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7D610" w14:textId="77777777" w:rsidR="00DC2F9C" w:rsidRDefault="00DC2F9C" w:rsidP="00DC2F9C">
      <w:pPr>
        <w:spacing w:line="360" w:lineRule="auto"/>
        <w:jc w:val="both"/>
        <w:rPr>
          <w:rFonts w:ascii="Times New Roman" w:hAnsi="Times New Roman" w:cs="Times New Roman"/>
          <w:b/>
          <w:bCs/>
          <w:sz w:val="24"/>
          <w:szCs w:val="24"/>
        </w:rPr>
      </w:pPr>
    </w:p>
    <w:p w14:paraId="479F5ED3" w14:textId="77777777" w:rsidR="00DC2F9C" w:rsidRDefault="00DC2F9C" w:rsidP="00DC2F9C">
      <w:pPr>
        <w:spacing w:line="360" w:lineRule="auto"/>
        <w:jc w:val="both"/>
        <w:rPr>
          <w:rFonts w:ascii="Times New Roman" w:hAnsi="Times New Roman" w:cs="Times New Roman"/>
          <w:b/>
          <w:bCs/>
          <w:sz w:val="24"/>
          <w:szCs w:val="24"/>
        </w:rPr>
      </w:pPr>
    </w:p>
    <w:p w14:paraId="1D66F960" w14:textId="77777777" w:rsidR="00DC2F9C" w:rsidRDefault="00DC2F9C" w:rsidP="00DC2F9C">
      <w:pPr>
        <w:spacing w:line="360" w:lineRule="auto"/>
        <w:jc w:val="both"/>
        <w:rPr>
          <w:rFonts w:ascii="Times New Roman" w:hAnsi="Times New Roman" w:cs="Times New Roman"/>
          <w:b/>
          <w:bCs/>
          <w:sz w:val="24"/>
          <w:szCs w:val="24"/>
        </w:rPr>
      </w:pPr>
    </w:p>
    <w:p w14:paraId="5DE37658" w14:textId="77777777" w:rsidR="00DC2F9C" w:rsidRDefault="00DC2F9C" w:rsidP="00DC2F9C">
      <w:pPr>
        <w:spacing w:line="360" w:lineRule="auto"/>
        <w:jc w:val="both"/>
        <w:rPr>
          <w:rFonts w:ascii="Times New Roman" w:hAnsi="Times New Roman" w:cs="Times New Roman"/>
          <w:b/>
          <w:bCs/>
          <w:sz w:val="24"/>
          <w:szCs w:val="24"/>
        </w:rPr>
      </w:pPr>
    </w:p>
    <w:p w14:paraId="05A90874" w14:textId="77777777" w:rsidR="00DC2F9C" w:rsidRDefault="00DC2F9C" w:rsidP="00DC2F9C">
      <w:pPr>
        <w:spacing w:line="360" w:lineRule="auto"/>
        <w:jc w:val="both"/>
        <w:rPr>
          <w:rFonts w:ascii="Times New Roman" w:hAnsi="Times New Roman" w:cs="Times New Roman"/>
          <w:b/>
          <w:bCs/>
          <w:sz w:val="24"/>
          <w:szCs w:val="24"/>
        </w:rPr>
      </w:pPr>
    </w:p>
    <w:p w14:paraId="2284546A" w14:textId="77777777" w:rsidR="00DC2F9C" w:rsidRDefault="00DC2F9C" w:rsidP="00DC2F9C">
      <w:pPr>
        <w:spacing w:line="360" w:lineRule="auto"/>
        <w:jc w:val="both"/>
        <w:rPr>
          <w:rFonts w:ascii="Times New Roman" w:hAnsi="Times New Roman" w:cs="Times New Roman"/>
          <w:b/>
          <w:bCs/>
          <w:sz w:val="24"/>
          <w:szCs w:val="24"/>
        </w:rPr>
      </w:pPr>
    </w:p>
    <w:p w14:paraId="2018DF38" w14:textId="6833820E" w:rsidR="00C66043" w:rsidRDefault="00DC2F9C" w:rsidP="008E6C47">
      <w:pPr>
        <w:spacing w:line="360" w:lineRule="auto"/>
        <w:jc w:val="center"/>
        <w:rPr>
          <w:rFonts w:ascii="Times New Roman" w:hAnsi="Times New Roman" w:cs="Times New Roman"/>
          <w:b/>
          <w:bCs/>
          <w:sz w:val="32"/>
          <w:szCs w:val="32"/>
        </w:rPr>
      </w:pPr>
      <w:r w:rsidRPr="00DC2F9C">
        <w:rPr>
          <w:rFonts w:ascii="Times New Roman" w:hAnsi="Times New Roman" w:cs="Times New Roman"/>
          <w:b/>
          <w:bCs/>
          <w:sz w:val="32"/>
          <w:szCs w:val="32"/>
        </w:rPr>
        <w:t>STRATEGIC MANAGEMENT AND SUSTAINABILITY</w:t>
      </w:r>
    </w:p>
    <w:p w14:paraId="7DA4D671" w14:textId="376074DA" w:rsidR="008E6C47" w:rsidRPr="008E6C47" w:rsidRDefault="008E6C47" w:rsidP="008E6C47">
      <w:pPr>
        <w:spacing w:line="360" w:lineRule="auto"/>
        <w:jc w:val="center"/>
        <w:rPr>
          <w:rFonts w:ascii="Times New Roman" w:hAnsi="Times New Roman" w:cs="Times New Roman"/>
          <w:b/>
          <w:bCs/>
          <w:sz w:val="32"/>
          <w:szCs w:val="32"/>
        </w:rPr>
      </w:pPr>
      <w:r w:rsidRPr="008E6C47">
        <w:rPr>
          <w:rFonts w:ascii="Times New Roman" w:hAnsi="Times New Roman" w:cs="Times New Roman"/>
          <w:b/>
          <w:bCs/>
          <w:sz w:val="32"/>
          <w:szCs w:val="32"/>
        </w:rPr>
        <w:t xml:space="preserve">Student name: Sanya Suneja </w:t>
      </w:r>
    </w:p>
    <w:p w14:paraId="6ADA1156" w14:textId="2ADB3A83" w:rsidR="008E6C47" w:rsidRPr="008E6C47" w:rsidRDefault="008E6C47" w:rsidP="008E6C47">
      <w:pPr>
        <w:spacing w:line="360" w:lineRule="auto"/>
        <w:jc w:val="center"/>
        <w:rPr>
          <w:rFonts w:ascii="Times New Roman" w:hAnsi="Times New Roman" w:cs="Times New Roman"/>
          <w:b/>
          <w:bCs/>
          <w:sz w:val="32"/>
          <w:szCs w:val="32"/>
        </w:rPr>
      </w:pPr>
      <w:r w:rsidRPr="008E6C47">
        <w:rPr>
          <w:rFonts w:ascii="Times New Roman" w:hAnsi="Times New Roman" w:cs="Times New Roman"/>
          <w:b/>
          <w:bCs/>
          <w:sz w:val="32"/>
          <w:szCs w:val="32"/>
        </w:rPr>
        <w:t xml:space="preserve">Student </w:t>
      </w:r>
      <w:r>
        <w:rPr>
          <w:rFonts w:ascii="Times New Roman" w:hAnsi="Times New Roman" w:cs="Times New Roman"/>
          <w:b/>
          <w:bCs/>
          <w:sz w:val="32"/>
          <w:szCs w:val="32"/>
        </w:rPr>
        <w:t>ID</w:t>
      </w:r>
      <w:r w:rsidRPr="008E6C47">
        <w:rPr>
          <w:rFonts w:ascii="Times New Roman" w:hAnsi="Times New Roman" w:cs="Times New Roman"/>
          <w:b/>
          <w:bCs/>
          <w:sz w:val="32"/>
          <w:szCs w:val="32"/>
        </w:rPr>
        <w:t>: 2234449</w:t>
      </w:r>
    </w:p>
    <w:p w14:paraId="5E4393DA" w14:textId="0A6FB10E" w:rsidR="008E6C47" w:rsidRPr="008E6C47" w:rsidRDefault="008E6C47" w:rsidP="008E6C47">
      <w:pPr>
        <w:spacing w:line="360" w:lineRule="auto"/>
        <w:jc w:val="center"/>
        <w:rPr>
          <w:rFonts w:ascii="Times New Roman" w:hAnsi="Times New Roman" w:cs="Times New Roman"/>
          <w:b/>
          <w:bCs/>
          <w:sz w:val="32"/>
          <w:szCs w:val="32"/>
        </w:rPr>
      </w:pPr>
      <w:r w:rsidRPr="008E6C47">
        <w:rPr>
          <w:rFonts w:ascii="Times New Roman" w:hAnsi="Times New Roman" w:cs="Times New Roman"/>
          <w:b/>
          <w:bCs/>
          <w:sz w:val="32"/>
          <w:szCs w:val="32"/>
        </w:rPr>
        <w:t xml:space="preserve">Module name: Strategic Management and Sustainability </w:t>
      </w:r>
    </w:p>
    <w:p w14:paraId="696C368D" w14:textId="618BF7A6" w:rsidR="008E6C47" w:rsidRDefault="008E6C47" w:rsidP="008E6C47">
      <w:pPr>
        <w:spacing w:line="360" w:lineRule="auto"/>
        <w:jc w:val="center"/>
        <w:rPr>
          <w:rFonts w:ascii="Times New Roman" w:hAnsi="Times New Roman" w:cs="Times New Roman"/>
          <w:b/>
          <w:bCs/>
          <w:sz w:val="32"/>
          <w:szCs w:val="32"/>
        </w:rPr>
      </w:pPr>
      <w:r w:rsidRPr="008E6C47">
        <w:rPr>
          <w:rFonts w:ascii="Times New Roman" w:hAnsi="Times New Roman" w:cs="Times New Roman"/>
          <w:b/>
          <w:bCs/>
          <w:sz w:val="32"/>
          <w:szCs w:val="32"/>
        </w:rPr>
        <w:t>Module code: LCBB6004</w:t>
      </w:r>
    </w:p>
    <w:p w14:paraId="59712C3D" w14:textId="65BB1678" w:rsidR="008E6C47" w:rsidRDefault="008E6C47">
      <w:pPr>
        <w:rPr>
          <w:rFonts w:ascii="Times New Roman" w:hAnsi="Times New Roman" w:cs="Times New Roman"/>
          <w:b/>
          <w:bCs/>
          <w:sz w:val="32"/>
          <w:szCs w:val="32"/>
        </w:rPr>
      </w:pPr>
      <w:r>
        <w:rPr>
          <w:rFonts w:ascii="Times New Roman" w:hAnsi="Times New Roman" w:cs="Times New Roman"/>
          <w:b/>
          <w:bCs/>
          <w:sz w:val="32"/>
          <w:szCs w:val="32"/>
        </w:rPr>
        <w:br w:type="page"/>
      </w:r>
    </w:p>
    <w:sdt>
      <w:sdtPr>
        <w:rPr>
          <w:rFonts w:asciiTheme="minorHAnsi" w:eastAsiaTheme="minorHAnsi" w:hAnsiTheme="minorHAnsi" w:cstheme="minorBidi"/>
          <w:color w:val="auto"/>
          <w:kern w:val="2"/>
          <w:sz w:val="22"/>
          <w:szCs w:val="22"/>
          <w:lang w:val="en-IN"/>
          <w14:ligatures w14:val="standardContextual"/>
        </w:rPr>
        <w:id w:val="-1204086635"/>
        <w:docPartObj>
          <w:docPartGallery w:val="Table of Contents"/>
          <w:docPartUnique/>
        </w:docPartObj>
      </w:sdtPr>
      <w:sdtEndPr>
        <w:rPr>
          <w:b/>
          <w:bCs/>
          <w:noProof/>
        </w:rPr>
      </w:sdtEndPr>
      <w:sdtContent>
        <w:p w14:paraId="4E2C2D80" w14:textId="09D56F5E" w:rsidR="008E6C47" w:rsidRPr="008E6C47" w:rsidRDefault="008E6C47" w:rsidP="008E6C47">
          <w:pPr>
            <w:pStyle w:val="TOCHeading"/>
            <w:spacing w:line="360" w:lineRule="auto"/>
            <w:jc w:val="center"/>
            <w:rPr>
              <w:rFonts w:ascii="Times New Roman" w:hAnsi="Times New Roman" w:cs="Times New Roman"/>
              <w:color w:val="auto"/>
            </w:rPr>
          </w:pPr>
          <w:r w:rsidRPr="008E6C47">
            <w:rPr>
              <w:rFonts w:ascii="Times New Roman" w:hAnsi="Times New Roman" w:cs="Times New Roman"/>
              <w:color w:val="auto"/>
            </w:rPr>
            <w:t>Table of Contents</w:t>
          </w:r>
        </w:p>
        <w:p w14:paraId="5C8FC01F" w14:textId="4CA86E78" w:rsidR="008E6C47" w:rsidRPr="008E6C47" w:rsidRDefault="008E6C47" w:rsidP="008E6C47">
          <w:pPr>
            <w:pStyle w:val="TOC1"/>
            <w:tabs>
              <w:tab w:val="right" w:leader="dot" w:pos="9016"/>
            </w:tabs>
            <w:spacing w:line="360" w:lineRule="auto"/>
            <w:jc w:val="center"/>
            <w:rPr>
              <w:rFonts w:ascii="Times New Roman" w:hAnsi="Times New Roman" w:cs="Times New Roman"/>
              <w:noProof/>
            </w:rPr>
          </w:pPr>
          <w:r w:rsidRPr="008E6C47">
            <w:rPr>
              <w:rFonts w:ascii="Times New Roman" w:hAnsi="Times New Roman" w:cs="Times New Roman"/>
            </w:rPr>
            <w:fldChar w:fldCharType="begin"/>
          </w:r>
          <w:r w:rsidRPr="008E6C47">
            <w:rPr>
              <w:rFonts w:ascii="Times New Roman" w:hAnsi="Times New Roman" w:cs="Times New Roman"/>
            </w:rPr>
            <w:instrText xml:space="preserve"> TOC \o "1-3" \h \z \u </w:instrText>
          </w:r>
          <w:r w:rsidRPr="008E6C47">
            <w:rPr>
              <w:rFonts w:ascii="Times New Roman" w:hAnsi="Times New Roman" w:cs="Times New Roman"/>
            </w:rPr>
            <w:fldChar w:fldCharType="separate"/>
          </w:r>
          <w:hyperlink w:anchor="_Toc215249426" w:history="1">
            <w:r w:rsidRPr="008E6C47">
              <w:rPr>
                <w:rStyle w:val="Hyperlink"/>
                <w:rFonts w:ascii="Times New Roman" w:hAnsi="Times New Roman" w:cs="Times New Roman"/>
                <w:noProof/>
              </w:rPr>
              <w:t>1. Introduction</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_Toc215249426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3</w:t>
            </w:r>
            <w:r w:rsidRPr="008E6C47">
              <w:rPr>
                <w:rFonts w:ascii="Times New Roman" w:hAnsi="Times New Roman" w:cs="Times New Roman"/>
                <w:noProof/>
                <w:webHidden/>
              </w:rPr>
              <w:fldChar w:fldCharType="end"/>
            </w:r>
          </w:hyperlink>
        </w:p>
        <w:p w14:paraId="11CA5CED" w14:textId="248B8831" w:rsidR="008E6C47" w:rsidRPr="008E6C47" w:rsidRDefault="008E6C47" w:rsidP="008E6C47">
          <w:pPr>
            <w:pStyle w:val="TOC1"/>
            <w:tabs>
              <w:tab w:val="right" w:leader="dot" w:pos="9016"/>
            </w:tabs>
            <w:spacing w:line="360" w:lineRule="auto"/>
            <w:jc w:val="center"/>
            <w:rPr>
              <w:rFonts w:ascii="Times New Roman" w:hAnsi="Times New Roman" w:cs="Times New Roman"/>
              <w:noProof/>
            </w:rPr>
          </w:pPr>
          <w:hyperlink w:anchor="_Toc215249427" w:history="1">
            <w:r w:rsidRPr="008E6C47">
              <w:rPr>
                <w:rStyle w:val="Hyperlink"/>
                <w:rFonts w:ascii="Times New Roman" w:hAnsi="Times New Roman" w:cs="Times New Roman"/>
                <w:noProof/>
              </w:rPr>
              <w:t>2. External Environment Analysis</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_Toc215249427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3</w:t>
            </w:r>
            <w:r w:rsidRPr="008E6C47">
              <w:rPr>
                <w:rFonts w:ascii="Times New Roman" w:hAnsi="Times New Roman" w:cs="Times New Roman"/>
                <w:noProof/>
                <w:webHidden/>
              </w:rPr>
              <w:fldChar w:fldCharType="end"/>
            </w:r>
          </w:hyperlink>
        </w:p>
        <w:p w14:paraId="1B5BA6A6" w14:textId="19672BEA" w:rsidR="008E6C47" w:rsidRPr="008E6C47" w:rsidRDefault="008E6C47" w:rsidP="008E6C47">
          <w:pPr>
            <w:pStyle w:val="TOC2"/>
            <w:tabs>
              <w:tab w:val="right" w:leader="dot" w:pos="9016"/>
            </w:tabs>
            <w:spacing w:line="360" w:lineRule="auto"/>
            <w:jc w:val="center"/>
            <w:rPr>
              <w:rFonts w:ascii="Times New Roman" w:hAnsi="Times New Roman" w:cs="Times New Roman"/>
              <w:noProof/>
            </w:rPr>
          </w:pPr>
          <w:hyperlink w:anchor="_Toc215249428" w:history="1">
            <w:r w:rsidRPr="008E6C47">
              <w:rPr>
                <w:rStyle w:val="Hyperlink"/>
                <w:rFonts w:ascii="Times New Roman" w:hAnsi="Times New Roman" w:cs="Times New Roman"/>
                <w:noProof/>
              </w:rPr>
              <w:t>2.1 PESTEL Analysis</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_Toc215249428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3</w:t>
            </w:r>
            <w:r w:rsidRPr="008E6C47">
              <w:rPr>
                <w:rFonts w:ascii="Times New Roman" w:hAnsi="Times New Roman" w:cs="Times New Roman"/>
                <w:noProof/>
                <w:webHidden/>
              </w:rPr>
              <w:fldChar w:fldCharType="end"/>
            </w:r>
          </w:hyperlink>
        </w:p>
        <w:p w14:paraId="2614EAC6" w14:textId="45B00DF1" w:rsidR="008E6C47" w:rsidRPr="008E6C47" w:rsidRDefault="008E6C47" w:rsidP="008E6C47">
          <w:pPr>
            <w:pStyle w:val="TOC2"/>
            <w:tabs>
              <w:tab w:val="right" w:leader="dot" w:pos="9016"/>
            </w:tabs>
            <w:spacing w:line="360" w:lineRule="auto"/>
            <w:jc w:val="center"/>
            <w:rPr>
              <w:rFonts w:ascii="Times New Roman" w:hAnsi="Times New Roman" w:cs="Times New Roman"/>
              <w:noProof/>
            </w:rPr>
          </w:pPr>
          <w:hyperlink w:anchor="_Toc215249429" w:history="1">
            <w:r w:rsidRPr="008E6C47">
              <w:rPr>
                <w:rStyle w:val="Hyperlink"/>
                <w:rFonts w:ascii="Times New Roman" w:hAnsi="Times New Roman" w:cs="Times New Roman"/>
                <w:noProof/>
              </w:rPr>
              <w:t>2.2 Porter’s Five Forces</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_Toc215249429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5</w:t>
            </w:r>
            <w:r w:rsidRPr="008E6C47">
              <w:rPr>
                <w:rFonts w:ascii="Times New Roman" w:hAnsi="Times New Roman" w:cs="Times New Roman"/>
                <w:noProof/>
                <w:webHidden/>
              </w:rPr>
              <w:fldChar w:fldCharType="end"/>
            </w:r>
          </w:hyperlink>
        </w:p>
        <w:p w14:paraId="0B7F77D0" w14:textId="23B645C3" w:rsidR="008E6C47" w:rsidRPr="008E6C47" w:rsidRDefault="008E6C47" w:rsidP="008E6C47">
          <w:pPr>
            <w:pStyle w:val="TOC1"/>
            <w:tabs>
              <w:tab w:val="right" w:leader="dot" w:pos="9016"/>
            </w:tabs>
            <w:spacing w:line="360" w:lineRule="auto"/>
            <w:jc w:val="center"/>
            <w:rPr>
              <w:rFonts w:ascii="Times New Roman" w:hAnsi="Times New Roman" w:cs="Times New Roman"/>
              <w:noProof/>
            </w:rPr>
          </w:pPr>
          <w:hyperlink w:anchor="_Toc215249430" w:history="1">
            <w:r w:rsidRPr="008E6C47">
              <w:rPr>
                <w:rStyle w:val="Hyperlink"/>
                <w:rFonts w:ascii="Times New Roman" w:hAnsi="Times New Roman" w:cs="Times New Roman"/>
                <w:noProof/>
              </w:rPr>
              <w:t>3. Internal Environment Analysis</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_Toc215249430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6</w:t>
            </w:r>
            <w:r w:rsidRPr="008E6C47">
              <w:rPr>
                <w:rFonts w:ascii="Times New Roman" w:hAnsi="Times New Roman" w:cs="Times New Roman"/>
                <w:noProof/>
                <w:webHidden/>
              </w:rPr>
              <w:fldChar w:fldCharType="end"/>
            </w:r>
          </w:hyperlink>
        </w:p>
        <w:p w14:paraId="34241DC9" w14:textId="4AE70163" w:rsidR="008E6C47" w:rsidRPr="008E6C47" w:rsidRDefault="008E6C47" w:rsidP="008E6C47">
          <w:pPr>
            <w:pStyle w:val="TOC2"/>
            <w:tabs>
              <w:tab w:val="right" w:leader="dot" w:pos="9016"/>
            </w:tabs>
            <w:spacing w:line="360" w:lineRule="auto"/>
            <w:jc w:val="center"/>
            <w:rPr>
              <w:rFonts w:ascii="Times New Roman" w:hAnsi="Times New Roman" w:cs="Times New Roman"/>
              <w:noProof/>
            </w:rPr>
          </w:pPr>
          <w:hyperlink w:anchor="_Toc215249431" w:history="1">
            <w:r w:rsidRPr="008E6C47">
              <w:rPr>
                <w:rStyle w:val="Hyperlink"/>
                <w:rFonts w:ascii="Times New Roman" w:hAnsi="Times New Roman" w:cs="Times New Roman"/>
                <w:noProof/>
              </w:rPr>
              <w:t>3.1 Resource Based View (RBV)</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_Toc215249431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6</w:t>
            </w:r>
            <w:r w:rsidRPr="008E6C47">
              <w:rPr>
                <w:rFonts w:ascii="Times New Roman" w:hAnsi="Times New Roman" w:cs="Times New Roman"/>
                <w:noProof/>
                <w:webHidden/>
              </w:rPr>
              <w:fldChar w:fldCharType="end"/>
            </w:r>
          </w:hyperlink>
        </w:p>
        <w:p w14:paraId="68977CD6" w14:textId="2B200333" w:rsidR="008E6C47" w:rsidRPr="008E6C47" w:rsidRDefault="008E6C47" w:rsidP="008E6C47">
          <w:pPr>
            <w:pStyle w:val="TOC2"/>
            <w:tabs>
              <w:tab w:val="right" w:leader="dot" w:pos="9016"/>
            </w:tabs>
            <w:spacing w:line="360" w:lineRule="auto"/>
            <w:jc w:val="center"/>
            <w:rPr>
              <w:rFonts w:ascii="Times New Roman" w:hAnsi="Times New Roman" w:cs="Times New Roman"/>
              <w:noProof/>
            </w:rPr>
          </w:pPr>
          <w:hyperlink w:anchor="_Toc215249432" w:history="1">
            <w:r w:rsidRPr="008E6C47">
              <w:rPr>
                <w:rStyle w:val="Hyperlink"/>
                <w:rFonts w:ascii="Times New Roman" w:hAnsi="Times New Roman" w:cs="Times New Roman"/>
                <w:noProof/>
              </w:rPr>
              <w:t>3.2 VRIO Analysis</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_Toc215249432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7</w:t>
            </w:r>
            <w:r w:rsidRPr="008E6C47">
              <w:rPr>
                <w:rFonts w:ascii="Times New Roman" w:hAnsi="Times New Roman" w:cs="Times New Roman"/>
                <w:noProof/>
                <w:webHidden/>
              </w:rPr>
              <w:fldChar w:fldCharType="end"/>
            </w:r>
          </w:hyperlink>
        </w:p>
        <w:p w14:paraId="169D0F43" w14:textId="334FFA39" w:rsidR="008E6C47" w:rsidRPr="008E6C47" w:rsidRDefault="008E6C47" w:rsidP="008E6C47">
          <w:pPr>
            <w:pStyle w:val="TOC2"/>
            <w:tabs>
              <w:tab w:val="right" w:leader="dot" w:pos="9016"/>
            </w:tabs>
            <w:spacing w:line="360" w:lineRule="auto"/>
            <w:jc w:val="center"/>
            <w:rPr>
              <w:rFonts w:ascii="Times New Roman" w:hAnsi="Times New Roman" w:cs="Times New Roman"/>
              <w:noProof/>
            </w:rPr>
          </w:pPr>
          <w:hyperlink w:anchor="_Toc215249433" w:history="1">
            <w:r w:rsidRPr="008E6C47">
              <w:rPr>
                <w:rStyle w:val="Hyperlink"/>
                <w:rFonts w:ascii="Times New Roman" w:hAnsi="Times New Roman" w:cs="Times New Roman"/>
                <w:noProof/>
              </w:rPr>
              <w:t>3.3 Value Chain Analysis</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_Toc215249433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8</w:t>
            </w:r>
            <w:r w:rsidRPr="008E6C47">
              <w:rPr>
                <w:rFonts w:ascii="Times New Roman" w:hAnsi="Times New Roman" w:cs="Times New Roman"/>
                <w:noProof/>
                <w:webHidden/>
              </w:rPr>
              <w:fldChar w:fldCharType="end"/>
            </w:r>
          </w:hyperlink>
        </w:p>
        <w:p w14:paraId="225F37F0" w14:textId="7A3EE8FA" w:rsidR="008E6C47" w:rsidRPr="008E6C47" w:rsidRDefault="008E6C47" w:rsidP="008E6C47">
          <w:pPr>
            <w:pStyle w:val="TOC1"/>
            <w:tabs>
              <w:tab w:val="right" w:leader="dot" w:pos="9016"/>
            </w:tabs>
            <w:spacing w:line="360" w:lineRule="auto"/>
            <w:jc w:val="center"/>
            <w:rPr>
              <w:rFonts w:ascii="Times New Roman" w:hAnsi="Times New Roman" w:cs="Times New Roman"/>
              <w:noProof/>
            </w:rPr>
          </w:pPr>
          <w:hyperlink w:anchor="_Toc215249434" w:history="1">
            <w:r w:rsidRPr="008E6C47">
              <w:rPr>
                <w:rStyle w:val="Hyperlink"/>
                <w:rFonts w:ascii="Times New Roman" w:hAnsi="Times New Roman" w:cs="Times New Roman"/>
                <w:noProof/>
              </w:rPr>
              <w:t>4. SWOT Analysis</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_Toc215249434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9</w:t>
            </w:r>
            <w:r w:rsidRPr="008E6C47">
              <w:rPr>
                <w:rFonts w:ascii="Times New Roman" w:hAnsi="Times New Roman" w:cs="Times New Roman"/>
                <w:noProof/>
                <w:webHidden/>
              </w:rPr>
              <w:fldChar w:fldCharType="end"/>
            </w:r>
          </w:hyperlink>
        </w:p>
        <w:p w14:paraId="39F1A750" w14:textId="7CFE6ED7" w:rsidR="008E6C47" w:rsidRPr="008E6C47" w:rsidRDefault="008E6C47" w:rsidP="008E6C47">
          <w:pPr>
            <w:pStyle w:val="TOC1"/>
            <w:tabs>
              <w:tab w:val="right" w:leader="dot" w:pos="9016"/>
            </w:tabs>
            <w:spacing w:line="360" w:lineRule="auto"/>
            <w:jc w:val="center"/>
            <w:rPr>
              <w:rFonts w:ascii="Times New Roman" w:hAnsi="Times New Roman" w:cs="Times New Roman"/>
              <w:noProof/>
            </w:rPr>
          </w:pPr>
          <w:hyperlink w:anchor="_Toc215249435" w:history="1">
            <w:r w:rsidRPr="008E6C47">
              <w:rPr>
                <w:rStyle w:val="Hyperlink"/>
                <w:rFonts w:ascii="Times New Roman" w:hAnsi="Times New Roman" w:cs="Times New Roman"/>
                <w:noProof/>
              </w:rPr>
              <w:t>5. Strategic Issues Identified</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_Toc215249435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10</w:t>
            </w:r>
            <w:r w:rsidRPr="008E6C47">
              <w:rPr>
                <w:rFonts w:ascii="Times New Roman" w:hAnsi="Times New Roman" w:cs="Times New Roman"/>
                <w:noProof/>
                <w:webHidden/>
              </w:rPr>
              <w:fldChar w:fldCharType="end"/>
            </w:r>
          </w:hyperlink>
        </w:p>
        <w:p w14:paraId="06AC7997" w14:textId="3C29D162" w:rsidR="008E6C47" w:rsidRPr="008E6C47" w:rsidRDefault="008E6C47" w:rsidP="008E6C47">
          <w:pPr>
            <w:pStyle w:val="TOC1"/>
            <w:tabs>
              <w:tab w:val="right" w:leader="dot" w:pos="9016"/>
            </w:tabs>
            <w:spacing w:line="360" w:lineRule="auto"/>
            <w:jc w:val="center"/>
            <w:rPr>
              <w:rFonts w:ascii="Times New Roman" w:hAnsi="Times New Roman" w:cs="Times New Roman"/>
              <w:noProof/>
            </w:rPr>
          </w:pPr>
          <w:hyperlink w:anchor="_Toc215249436" w:history="1">
            <w:r w:rsidRPr="008E6C47">
              <w:rPr>
                <w:rStyle w:val="Hyperlink"/>
                <w:rFonts w:ascii="Times New Roman" w:hAnsi="Times New Roman" w:cs="Times New Roman"/>
                <w:noProof/>
              </w:rPr>
              <w:t>6. Strategy Formulation</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_Toc215249436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11</w:t>
            </w:r>
            <w:r w:rsidRPr="008E6C47">
              <w:rPr>
                <w:rFonts w:ascii="Times New Roman" w:hAnsi="Times New Roman" w:cs="Times New Roman"/>
                <w:noProof/>
                <w:webHidden/>
              </w:rPr>
              <w:fldChar w:fldCharType="end"/>
            </w:r>
          </w:hyperlink>
        </w:p>
        <w:p w14:paraId="21C13AF2" w14:textId="1451CD57" w:rsidR="008E6C47" w:rsidRPr="008E6C47" w:rsidRDefault="008E6C47" w:rsidP="008E6C47">
          <w:pPr>
            <w:pStyle w:val="TOC1"/>
            <w:tabs>
              <w:tab w:val="right" w:leader="dot" w:pos="9016"/>
            </w:tabs>
            <w:spacing w:line="360" w:lineRule="auto"/>
            <w:jc w:val="center"/>
            <w:rPr>
              <w:rFonts w:ascii="Times New Roman" w:hAnsi="Times New Roman" w:cs="Times New Roman"/>
              <w:noProof/>
            </w:rPr>
          </w:pPr>
          <w:hyperlink w:anchor="_Toc215249437" w:history="1">
            <w:r w:rsidRPr="008E6C47">
              <w:rPr>
                <w:rStyle w:val="Hyperlink"/>
                <w:rFonts w:ascii="Times New Roman" w:hAnsi="Times New Roman" w:cs="Times New Roman"/>
                <w:noProof/>
              </w:rPr>
              <w:t>7. Recommendations</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_Toc215249437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12</w:t>
            </w:r>
            <w:r w:rsidRPr="008E6C47">
              <w:rPr>
                <w:rFonts w:ascii="Times New Roman" w:hAnsi="Times New Roman" w:cs="Times New Roman"/>
                <w:noProof/>
                <w:webHidden/>
              </w:rPr>
              <w:fldChar w:fldCharType="end"/>
            </w:r>
          </w:hyperlink>
        </w:p>
        <w:p w14:paraId="0CFF2C62" w14:textId="11C56CE6" w:rsidR="008E6C47" w:rsidRPr="008E6C47" w:rsidRDefault="008E6C47" w:rsidP="008E6C47">
          <w:pPr>
            <w:pStyle w:val="TOC1"/>
            <w:tabs>
              <w:tab w:val="right" w:leader="dot" w:pos="9016"/>
            </w:tabs>
            <w:spacing w:line="360" w:lineRule="auto"/>
            <w:jc w:val="center"/>
            <w:rPr>
              <w:rFonts w:ascii="Times New Roman" w:hAnsi="Times New Roman" w:cs="Times New Roman"/>
              <w:noProof/>
            </w:rPr>
          </w:pPr>
          <w:hyperlink w:anchor="_Toc215249438" w:history="1">
            <w:r w:rsidRPr="008E6C47">
              <w:rPr>
                <w:rStyle w:val="Hyperlink"/>
                <w:rFonts w:ascii="Times New Roman" w:hAnsi="Times New Roman" w:cs="Times New Roman"/>
                <w:noProof/>
              </w:rPr>
              <w:t>8. Conclusion</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_Toc215249438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12</w:t>
            </w:r>
            <w:r w:rsidRPr="008E6C47">
              <w:rPr>
                <w:rFonts w:ascii="Times New Roman" w:hAnsi="Times New Roman" w:cs="Times New Roman"/>
                <w:noProof/>
                <w:webHidden/>
              </w:rPr>
              <w:fldChar w:fldCharType="end"/>
            </w:r>
          </w:hyperlink>
        </w:p>
        <w:p w14:paraId="3456769B" w14:textId="44590F31" w:rsidR="008E6C47" w:rsidRPr="008E6C47" w:rsidRDefault="008E6C47" w:rsidP="008E6C47">
          <w:pPr>
            <w:pStyle w:val="TOC1"/>
            <w:tabs>
              <w:tab w:val="right" w:leader="dot" w:pos="9016"/>
            </w:tabs>
            <w:spacing w:line="360" w:lineRule="auto"/>
            <w:jc w:val="center"/>
            <w:rPr>
              <w:rFonts w:ascii="Times New Roman" w:hAnsi="Times New Roman" w:cs="Times New Roman"/>
              <w:noProof/>
            </w:rPr>
          </w:pPr>
          <w:hyperlink w:anchor="_Toc215249439" w:history="1">
            <w:r w:rsidRPr="008E6C47">
              <w:rPr>
                <w:rStyle w:val="Hyperlink"/>
                <w:rFonts w:ascii="Times New Roman" w:hAnsi="Times New Roman" w:cs="Times New Roman"/>
                <w:noProof/>
                <w:lang w:val="en-US"/>
              </w:rPr>
              <w:t>Reference</w:t>
            </w:r>
            <w:r w:rsidRPr="008E6C47">
              <w:rPr>
                <w:rFonts w:ascii="Times New Roman" w:hAnsi="Times New Roman" w:cs="Times New Roman"/>
                <w:noProof/>
                <w:webHidden/>
              </w:rPr>
              <w:tab/>
            </w:r>
            <w:r w:rsidRPr="008E6C47">
              <w:rPr>
                <w:rFonts w:ascii="Times New Roman" w:hAnsi="Times New Roman" w:cs="Times New Roman"/>
                <w:noProof/>
                <w:webHidden/>
              </w:rPr>
              <w:fldChar w:fldCharType="begin"/>
            </w:r>
            <w:r w:rsidRPr="008E6C47">
              <w:rPr>
                <w:rFonts w:ascii="Times New Roman" w:hAnsi="Times New Roman" w:cs="Times New Roman"/>
                <w:noProof/>
                <w:webHidden/>
              </w:rPr>
              <w:instrText xml:space="preserve"> PAGEREF _Toc215249439 \h </w:instrText>
            </w:r>
            <w:r w:rsidRPr="008E6C47">
              <w:rPr>
                <w:rFonts w:ascii="Times New Roman" w:hAnsi="Times New Roman" w:cs="Times New Roman"/>
                <w:noProof/>
                <w:webHidden/>
              </w:rPr>
            </w:r>
            <w:r w:rsidRPr="008E6C47">
              <w:rPr>
                <w:rFonts w:ascii="Times New Roman" w:hAnsi="Times New Roman" w:cs="Times New Roman"/>
                <w:noProof/>
                <w:webHidden/>
              </w:rPr>
              <w:fldChar w:fldCharType="separate"/>
            </w:r>
            <w:r w:rsidRPr="008E6C47">
              <w:rPr>
                <w:rFonts w:ascii="Times New Roman" w:hAnsi="Times New Roman" w:cs="Times New Roman"/>
                <w:noProof/>
                <w:webHidden/>
              </w:rPr>
              <w:t>14</w:t>
            </w:r>
            <w:r w:rsidRPr="008E6C47">
              <w:rPr>
                <w:rFonts w:ascii="Times New Roman" w:hAnsi="Times New Roman" w:cs="Times New Roman"/>
                <w:noProof/>
                <w:webHidden/>
              </w:rPr>
              <w:fldChar w:fldCharType="end"/>
            </w:r>
          </w:hyperlink>
        </w:p>
        <w:p w14:paraId="0FDA6EE8" w14:textId="27A897D4" w:rsidR="008E6C47" w:rsidRDefault="008E6C47" w:rsidP="008E6C47">
          <w:pPr>
            <w:spacing w:line="360" w:lineRule="auto"/>
            <w:jc w:val="center"/>
          </w:pPr>
          <w:r w:rsidRPr="008E6C47">
            <w:rPr>
              <w:rFonts w:ascii="Times New Roman" w:hAnsi="Times New Roman" w:cs="Times New Roman"/>
              <w:b/>
              <w:bCs/>
              <w:noProof/>
            </w:rPr>
            <w:fldChar w:fldCharType="end"/>
          </w:r>
        </w:p>
      </w:sdtContent>
    </w:sdt>
    <w:p w14:paraId="5559F287" w14:textId="77777777" w:rsidR="008E6C47" w:rsidRPr="00DC2F9C" w:rsidRDefault="008E6C47" w:rsidP="008E6C47">
      <w:pPr>
        <w:spacing w:line="360" w:lineRule="auto"/>
        <w:jc w:val="center"/>
        <w:rPr>
          <w:rFonts w:ascii="Times New Roman" w:hAnsi="Times New Roman" w:cs="Times New Roman"/>
          <w:b/>
          <w:bCs/>
          <w:sz w:val="32"/>
          <w:szCs w:val="32"/>
        </w:rPr>
      </w:pPr>
    </w:p>
    <w:p w14:paraId="41551891" w14:textId="77777777" w:rsidR="00C66043" w:rsidRPr="00DC2F9C" w:rsidRDefault="00C66043" w:rsidP="00DC2F9C">
      <w:pPr>
        <w:spacing w:line="360" w:lineRule="auto"/>
        <w:jc w:val="both"/>
        <w:rPr>
          <w:rFonts w:ascii="Times New Roman" w:hAnsi="Times New Roman" w:cs="Times New Roman"/>
          <w:b/>
          <w:bCs/>
          <w:sz w:val="24"/>
          <w:szCs w:val="24"/>
        </w:rPr>
      </w:pPr>
      <w:r w:rsidRPr="00DC2F9C">
        <w:rPr>
          <w:rFonts w:ascii="Times New Roman" w:hAnsi="Times New Roman" w:cs="Times New Roman"/>
          <w:b/>
          <w:bCs/>
          <w:sz w:val="24"/>
          <w:szCs w:val="24"/>
        </w:rPr>
        <w:br w:type="page"/>
      </w:r>
    </w:p>
    <w:p w14:paraId="42288EE3" w14:textId="19893F7B" w:rsidR="00C66043" w:rsidRPr="00C66043" w:rsidRDefault="00C66043" w:rsidP="00DC2F9C">
      <w:pPr>
        <w:pStyle w:val="Heading1"/>
      </w:pPr>
      <w:bookmarkStart w:id="0" w:name="_Toc215249426"/>
      <w:r w:rsidRPr="00C66043">
        <w:lastRenderedPageBreak/>
        <w:t>1. Introduction</w:t>
      </w:r>
      <w:bookmarkEnd w:id="0"/>
    </w:p>
    <w:p w14:paraId="5815282A" w14:textId="0B7D9058" w:rsidR="00C66043" w:rsidRPr="00C66043" w:rsidRDefault="00C66043"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The strategic management helps firms manoeuvre through competitive environments, adjust to new trends, and bring organisational resources into line with the long-term objectives. With the worldwide automotive industry that is defined by technological upheaval, regulatory compulsions as well as changing customer tastes strategic planning is what will make the difference between a firm remaining afloat or becoming ineffective over time. Jaguar Land Rover (JLR) is a car manufacturer based in the UK which is the largest automotive manufacturer since it is owned by Tata Motors since 2008 and a high-end global brand. In the last ten years, JLR has experienced great change due to the impact of electrification, sustainability, and fluctuating world demand. Its Reimagine strategy points to transformation into a modern luxury EV-centric business with the priorities of carbon neutrality, digitalisation, and platform innovation. Nevertheless, the company has significant threats: the growing competition with German luxury brands, the international supply chain instability, the shortage of semiconductors, and the slow introduction of EV compared to Tesla and BMW. This report is a critical evaluation of the global strategy of JLR, and the major frameworks that have been learned in the module such as PESTEL, Porters Five Forces, the Resource Based View (RBV), VRIO, Value Chain analysis, and SWOT. It assesses the competitive positioning, internal strength, international expansion strategy, and strategic fit of JLR with the new technology and sustainability trends. The report ends with the provision of strategic options and presentation of recommendations on how to improve the competitiveness and market performance of JLR in the long run.</w:t>
      </w:r>
    </w:p>
    <w:p w14:paraId="3EB2B3D7" w14:textId="77777777" w:rsidR="00C66043" w:rsidRPr="00C66043" w:rsidRDefault="00C66043" w:rsidP="00DC2F9C">
      <w:pPr>
        <w:pStyle w:val="Heading1"/>
      </w:pPr>
      <w:bookmarkStart w:id="1" w:name="_Toc215249427"/>
      <w:r w:rsidRPr="00C66043">
        <w:t>2. External Environment Analysis</w:t>
      </w:r>
      <w:bookmarkEnd w:id="1"/>
    </w:p>
    <w:p w14:paraId="68AA1E1D" w14:textId="77777777" w:rsidR="00C66043" w:rsidRPr="00C66043" w:rsidRDefault="00C66043" w:rsidP="00DC2F9C">
      <w:pPr>
        <w:pStyle w:val="Heading2"/>
      </w:pPr>
      <w:bookmarkStart w:id="2" w:name="_Toc215249428"/>
      <w:r w:rsidRPr="00C66043">
        <w:t>2.1 PESTEL Analysis</w:t>
      </w:r>
      <w:bookmarkEnd w:id="2"/>
    </w:p>
    <w:p w14:paraId="615224A9" w14:textId="77777777" w:rsidR="00C66043" w:rsidRPr="00C66043" w:rsidRDefault="00C66043" w:rsidP="00DC2F9C">
      <w:pPr>
        <w:spacing w:line="360" w:lineRule="auto"/>
        <w:jc w:val="both"/>
        <w:rPr>
          <w:rFonts w:ascii="Times New Roman" w:hAnsi="Times New Roman" w:cs="Times New Roman"/>
          <w:b/>
          <w:bCs/>
          <w:sz w:val="24"/>
          <w:szCs w:val="24"/>
        </w:rPr>
      </w:pPr>
      <w:r w:rsidRPr="00C66043">
        <w:rPr>
          <w:rFonts w:ascii="Times New Roman" w:hAnsi="Times New Roman" w:cs="Times New Roman"/>
          <w:b/>
          <w:bCs/>
          <w:sz w:val="24"/>
          <w:szCs w:val="24"/>
        </w:rPr>
        <w:t>Political Factors</w:t>
      </w:r>
    </w:p>
    <w:p w14:paraId="1725C9B5" w14:textId="77777777" w:rsidR="00C66043" w:rsidRPr="00DC2F9C" w:rsidRDefault="00C66043"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The political decisions in the UK and the export markets have a high impact on the operations of JLR. BREXIT has introduced delays at the customs, regulatory divergence, and additional complexity in the administrative work, which increased the supply chain costs. The localisation and innovation are possible with the help of policies that promote domestic manufacturing like the Advanced Manufacturing Strategy of the UK or funds the green technologies (</w:t>
      </w:r>
      <w:proofErr w:type="spellStart"/>
      <w:r w:rsidRPr="00DC2F9C">
        <w:rPr>
          <w:rFonts w:ascii="Times New Roman" w:hAnsi="Times New Roman" w:cs="Times New Roman"/>
          <w:sz w:val="24"/>
          <w:szCs w:val="24"/>
        </w:rPr>
        <w:t>Serohi</w:t>
      </w:r>
      <w:proofErr w:type="spellEnd"/>
      <w:r w:rsidRPr="00DC2F9C">
        <w:rPr>
          <w:rFonts w:ascii="Times New Roman" w:hAnsi="Times New Roman" w:cs="Times New Roman"/>
          <w:sz w:val="24"/>
          <w:szCs w:val="24"/>
        </w:rPr>
        <w:t xml:space="preserve">, 2020). Moreover, geopolitical frictions, particularly, between the UK and EU, affect the tariffs systems and cross-border logistics. Market stability in a country like the United States and </w:t>
      </w:r>
      <w:r w:rsidRPr="00DC2F9C">
        <w:rPr>
          <w:rFonts w:ascii="Times New Roman" w:hAnsi="Times New Roman" w:cs="Times New Roman"/>
          <w:sz w:val="24"/>
          <w:szCs w:val="24"/>
        </w:rPr>
        <w:lastRenderedPageBreak/>
        <w:t>China is always critical because these are the areas that population of customers of JLR are concentrated.</w:t>
      </w:r>
    </w:p>
    <w:p w14:paraId="10046652" w14:textId="4725FB48" w:rsidR="00C66043" w:rsidRPr="00C66043" w:rsidRDefault="00C66043" w:rsidP="00DC2F9C">
      <w:pPr>
        <w:spacing w:line="360" w:lineRule="auto"/>
        <w:jc w:val="both"/>
        <w:rPr>
          <w:rFonts w:ascii="Times New Roman" w:hAnsi="Times New Roman" w:cs="Times New Roman"/>
          <w:b/>
          <w:bCs/>
          <w:sz w:val="24"/>
          <w:szCs w:val="24"/>
        </w:rPr>
      </w:pPr>
      <w:r w:rsidRPr="00C66043">
        <w:rPr>
          <w:rFonts w:ascii="Times New Roman" w:hAnsi="Times New Roman" w:cs="Times New Roman"/>
          <w:b/>
          <w:bCs/>
          <w:sz w:val="24"/>
          <w:szCs w:val="24"/>
        </w:rPr>
        <w:t>Economic Factors</w:t>
      </w:r>
    </w:p>
    <w:p w14:paraId="2D65791B" w14:textId="4B65ABF6" w:rsidR="00C66043" w:rsidRPr="00DC2F9C" w:rsidRDefault="00C66043"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Luxury automotive market is </w:t>
      </w:r>
      <w:r w:rsidR="00DC2F9C" w:rsidRPr="00DC2F9C">
        <w:rPr>
          <w:rFonts w:ascii="Times New Roman" w:hAnsi="Times New Roman" w:cs="Times New Roman"/>
          <w:sz w:val="24"/>
          <w:szCs w:val="24"/>
        </w:rPr>
        <w:t>macro-economic</w:t>
      </w:r>
      <w:r w:rsidRPr="00DC2F9C">
        <w:rPr>
          <w:rFonts w:ascii="Times New Roman" w:hAnsi="Times New Roman" w:cs="Times New Roman"/>
          <w:sz w:val="24"/>
          <w:szCs w:val="24"/>
        </w:rPr>
        <w:t xml:space="preserve"> cycle sensitive. Price pressures through inflation, unstable interest rates, and decreased consumer buying power in Europe impact on the demand of high-end vehicles. The economic slowdown of China is of particular importance, as it is the biggest overseas market of JLR and a primary contributor to the sales of Range Rover and Jaguar. Cost and export margin also face currency volatility particularly GBP/EUR and GBP/USD flutters. On the other hand, new revenue sources are available in new economies (India, Middle East).</w:t>
      </w:r>
    </w:p>
    <w:p w14:paraId="1732CD97" w14:textId="1E4DE561" w:rsidR="00C66043" w:rsidRPr="00C66043" w:rsidRDefault="00C66043" w:rsidP="00DC2F9C">
      <w:pPr>
        <w:spacing w:line="360" w:lineRule="auto"/>
        <w:jc w:val="both"/>
        <w:rPr>
          <w:rFonts w:ascii="Times New Roman" w:hAnsi="Times New Roman" w:cs="Times New Roman"/>
          <w:b/>
          <w:bCs/>
          <w:sz w:val="24"/>
          <w:szCs w:val="24"/>
        </w:rPr>
      </w:pPr>
      <w:r w:rsidRPr="00C66043">
        <w:rPr>
          <w:rFonts w:ascii="Times New Roman" w:hAnsi="Times New Roman" w:cs="Times New Roman"/>
          <w:b/>
          <w:bCs/>
          <w:sz w:val="24"/>
          <w:szCs w:val="24"/>
        </w:rPr>
        <w:t>Social Factors</w:t>
      </w:r>
    </w:p>
    <w:p w14:paraId="529E6B37" w14:textId="77777777" w:rsidR="00C66043" w:rsidRPr="00DC2F9C" w:rsidRDefault="00C66043"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The consumers are switching to sustainable mobility, digital features and personalised experiences. Europe and North American consumers who are younger and prefer EVs and vehicles with high technology are changing the demand pattern towards Tesla-like brands. Luxury customers would want to have smooth digital experiences, sophisticated infotainment facilities, and robust after sales services. Furthermore, behavioural shifts, which have taken place after the pandemic, diminished traditional commuting, influenced traditional ICE models, and an accelerating EV momentum.</w:t>
      </w:r>
    </w:p>
    <w:p w14:paraId="63D082F3" w14:textId="02CB76EF" w:rsidR="00C66043" w:rsidRPr="00C66043" w:rsidRDefault="00C66043" w:rsidP="00DC2F9C">
      <w:pPr>
        <w:spacing w:line="360" w:lineRule="auto"/>
        <w:jc w:val="both"/>
        <w:rPr>
          <w:rFonts w:ascii="Times New Roman" w:hAnsi="Times New Roman" w:cs="Times New Roman"/>
          <w:b/>
          <w:bCs/>
          <w:sz w:val="24"/>
          <w:szCs w:val="24"/>
        </w:rPr>
      </w:pPr>
      <w:r w:rsidRPr="00C66043">
        <w:rPr>
          <w:rFonts w:ascii="Times New Roman" w:hAnsi="Times New Roman" w:cs="Times New Roman"/>
          <w:b/>
          <w:bCs/>
          <w:sz w:val="24"/>
          <w:szCs w:val="24"/>
        </w:rPr>
        <w:t>Technological Factors</w:t>
      </w:r>
    </w:p>
    <w:p w14:paraId="56B0C597" w14:textId="72B2174C" w:rsidR="00C66043" w:rsidRPr="00DC2F9C" w:rsidRDefault="00C66043"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The most critical source of strategic change to JLR is technological disruption. Electrification of the world necessitates new platforms and battery technologies and software capabilities. The JLR EMA (Electric Modular Architecture) and MLA (Modular Longitudinal Architecture) platforms should be supportive of both hybrid and EV models, however, have been delayed. </w:t>
      </w:r>
      <w:r w:rsidR="00647EA5" w:rsidRPr="00DC2F9C">
        <w:rPr>
          <w:rFonts w:ascii="Times New Roman" w:hAnsi="Times New Roman" w:cs="Times New Roman"/>
          <w:sz w:val="24"/>
          <w:szCs w:val="24"/>
        </w:rPr>
        <w:t>L</w:t>
      </w:r>
      <w:r w:rsidRPr="00DC2F9C">
        <w:rPr>
          <w:rFonts w:ascii="Times New Roman" w:hAnsi="Times New Roman" w:cs="Times New Roman"/>
          <w:sz w:val="24"/>
          <w:szCs w:val="24"/>
        </w:rPr>
        <w:t>ightweight</w:t>
      </w:r>
      <w:r w:rsidR="00647EA5" w:rsidRPr="00DC2F9C">
        <w:rPr>
          <w:rFonts w:ascii="Times New Roman" w:hAnsi="Times New Roman" w:cs="Times New Roman"/>
          <w:sz w:val="24"/>
          <w:szCs w:val="24"/>
        </w:rPr>
        <w:t xml:space="preserve"> </w:t>
      </w:r>
      <w:r w:rsidRPr="00DC2F9C">
        <w:rPr>
          <w:rFonts w:ascii="Times New Roman" w:hAnsi="Times New Roman" w:cs="Times New Roman"/>
          <w:sz w:val="24"/>
          <w:szCs w:val="24"/>
        </w:rPr>
        <w:t>materials</w:t>
      </w:r>
      <w:r w:rsidR="00647EA5" w:rsidRPr="00DC2F9C">
        <w:rPr>
          <w:rFonts w:ascii="Times New Roman" w:hAnsi="Times New Roman" w:cs="Times New Roman"/>
          <w:sz w:val="24"/>
          <w:szCs w:val="24"/>
        </w:rPr>
        <w:t xml:space="preserve"> transforming vehicle development</w:t>
      </w:r>
      <w:r w:rsidRPr="00DC2F9C">
        <w:rPr>
          <w:rFonts w:ascii="Times New Roman" w:hAnsi="Times New Roman" w:cs="Times New Roman"/>
          <w:sz w:val="24"/>
          <w:szCs w:val="24"/>
        </w:rPr>
        <w:t xml:space="preserve">, </w:t>
      </w:r>
      <w:r w:rsidR="00647EA5" w:rsidRPr="00DC2F9C">
        <w:rPr>
          <w:rFonts w:ascii="Times New Roman" w:hAnsi="Times New Roman" w:cs="Times New Roman"/>
          <w:sz w:val="24"/>
          <w:szCs w:val="24"/>
        </w:rPr>
        <w:t>emerging</w:t>
      </w:r>
      <w:r w:rsidRPr="00DC2F9C">
        <w:rPr>
          <w:rFonts w:ascii="Times New Roman" w:hAnsi="Times New Roman" w:cs="Times New Roman"/>
          <w:sz w:val="24"/>
          <w:szCs w:val="24"/>
        </w:rPr>
        <w:t xml:space="preserve"> technologies of joining, and Industry 4.0 manufacturing systems (Papa et al., 2024). Autonomous driving, over-the-air (OTA) updates, and digital ecosystems have become a mandatory investment to keep up with competition.</w:t>
      </w:r>
    </w:p>
    <w:p w14:paraId="1C204FA5" w14:textId="1D7CC57B" w:rsidR="00C66043" w:rsidRPr="00C66043" w:rsidRDefault="00C66043" w:rsidP="00DC2F9C">
      <w:pPr>
        <w:spacing w:line="360" w:lineRule="auto"/>
        <w:jc w:val="both"/>
        <w:rPr>
          <w:rFonts w:ascii="Times New Roman" w:hAnsi="Times New Roman" w:cs="Times New Roman"/>
          <w:b/>
          <w:bCs/>
          <w:sz w:val="24"/>
          <w:szCs w:val="24"/>
        </w:rPr>
      </w:pPr>
      <w:r w:rsidRPr="00C66043">
        <w:rPr>
          <w:rFonts w:ascii="Times New Roman" w:hAnsi="Times New Roman" w:cs="Times New Roman"/>
          <w:b/>
          <w:bCs/>
          <w:sz w:val="24"/>
          <w:szCs w:val="24"/>
        </w:rPr>
        <w:t>Environmental Factors</w:t>
      </w:r>
    </w:p>
    <w:p w14:paraId="58C37DD3" w14:textId="77777777" w:rsidR="00C66043" w:rsidRPr="00DC2F9C" w:rsidRDefault="00C66043"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Tougher environmental policies such as the planned phase out of new ICE vehicles in the UK put strain on the JLR to hasten the manufacture of EVs. The carbon neutrality pledges demand </w:t>
      </w:r>
      <w:r w:rsidRPr="00DC2F9C">
        <w:rPr>
          <w:rFonts w:ascii="Times New Roman" w:hAnsi="Times New Roman" w:cs="Times New Roman"/>
          <w:sz w:val="24"/>
          <w:szCs w:val="24"/>
        </w:rPr>
        <w:lastRenderedPageBreak/>
        <w:t>modifications in the manufacturing, sourcing, and supply chain practices. Supply chain risks which are climate related like extreme weather and scarcity of resources only make matters worse in production planning. Sustainable luxury is demanded by consumers, and it supports the importance of green materials, the creation of the circular economy, and manufacturing that does not consume much energy.</w:t>
      </w:r>
    </w:p>
    <w:p w14:paraId="6A576F37" w14:textId="4954E434" w:rsidR="00C66043" w:rsidRPr="00C66043" w:rsidRDefault="00C66043" w:rsidP="00DC2F9C">
      <w:pPr>
        <w:spacing w:line="360" w:lineRule="auto"/>
        <w:jc w:val="both"/>
        <w:rPr>
          <w:rFonts w:ascii="Times New Roman" w:hAnsi="Times New Roman" w:cs="Times New Roman"/>
          <w:b/>
          <w:bCs/>
          <w:sz w:val="24"/>
          <w:szCs w:val="24"/>
        </w:rPr>
      </w:pPr>
      <w:r w:rsidRPr="00C66043">
        <w:rPr>
          <w:rFonts w:ascii="Times New Roman" w:hAnsi="Times New Roman" w:cs="Times New Roman"/>
          <w:b/>
          <w:bCs/>
          <w:sz w:val="24"/>
          <w:szCs w:val="24"/>
        </w:rPr>
        <w:t>Legal Factors</w:t>
      </w:r>
    </w:p>
    <w:p w14:paraId="71BAD609" w14:textId="36B22998" w:rsidR="00C66043" w:rsidRPr="00DC2F9C" w:rsidRDefault="00C66043"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The automotive companies are based on strict legal provisions concerned with emission, safety, labour legislation, and trade regulations across international borders. The creation of EURO 7 standards and world safety in crashes necessitates constant advancement of engine technologies and platform bases of vehicles. integrated-vehicle technologies and digital service platforms are also influenced by laws on data protection. </w:t>
      </w:r>
    </w:p>
    <w:p w14:paraId="662FA7AA" w14:textId="6BF27319" w:rsidR="00C66043" w:rsidRPr="00C66043" w:rsidRDefault="00C66043"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The PESTEL analysis indicates the presence of a complex external environment that is characterized by regulatory pressure, technological disruption, and geopolitical uncertainty, which supports the necessity of strategic agility and urgent electrification.</w:t>
      </w:r>
    </w:p>
    <w:p w14:paraId="4D4019DF" w14:textId="77777777" w:rsidR="00C66043" w:rsidRPr="00C66043" w:rsidRDefault="00C66043" w:rsidP="00DC2F9C">
      <w:pPr>
        <w:pStyle w:val="Heading2"/>
      </w:pPr>
      <w:bookmarkStart w:id="3" w:name="_Toc215249429"/>
      <w:r w:rsidRPr="00C66043">
        <w:t>2.2 Porter’s Five Forces</w:t>
      </w:r>
      <w:bookmarkEnd w:id="3"/>
    </w:p>
    <w:p w14:paraId="2F2D562E" w14:textId="563B04A6" w:rsidR="00C66043" w:rsidRPr="00C66043" w:rsidRDefault="00C66043" w:rsidP="00DC2F9C">
      <w:pPr>
        <w:spacing w:line="360" w:lineRule="auto"/>
        <w:jc w:val="both"/>
        <w:rPr>
          <w:rFonts w:ascii="Times New Roman" w:hAnsi="Times New Roman" w:cs="Times New Roman"/>
          <w:b/>
          <w:bCs/>
          <w:sz w:val="24"/>
          <w:szCs w:val="24"/>
        </w:rPr>
      </w:pPr>
      <w:r w:rsidRPr="00C66043">
        <w:rPr>
          <w:rFonts w:ascii="Times New Roman" w:hAnsi="Times New Roman" w:cs="Times New Roman"/>
          <w:b/>
          <w:bCs/>
          <w:sz w:val="24"/>
          <w:szCs w:val="24"/>
        </w:rPr>
        <w:t xml:space="preserve">Industry </w:t>
      </w:r>
      <w:r w:rsidR="00647EA5" w:rsidRPr="00DC2F9C">
        <w:rPr>
          <w:rFonts w:ascii="Times New Roman" w:hAnsi="Times New Roman" w:cs="Times New Roman"/>
          <w:b/>
          <w:bCs/>
          <w:sz w:val="24"/>
          <w:szCs w:val="24"/>
        </w:rPr>
        <w:t xml:space="preserve">Rivalry: </w:t>
      </w:r>
      <w:r w:rsidRPr="00C66043">
        <w:rPr>
          <w:rFonts w:ascii="Times New Roman" w:hAnsi="Times New Roman" w:cs="Times New Roman"/>
          <w:b/>
          <w:bCs/>
          <w:sz w:val="24"/>
          <w:szCs w:val="24"/>
        </w:rPr>
        <w:t>High</w:t>
      </w:r>
    </w:p>
    <w:p w14:paraId="650A158D" w14:textId="4DF4E027" w:rsidR="00647EA5" w:rsidRPr="00DC2F9C" w:rsidRDefault="00647EA5"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JLR is a direct competitor of BMW, Mercedes-Benz, Audi, Volvo, Lexus, and new EV brands. The rivalry is stiff in terms of prices, design, technology, and brand experience. EV competitors like Tesla and BYD car premiums also reduce market share. Differentiation of products is a necessity but it is expensive, brand loyalty is becoming more susceptible to the software and digital capability.</w:t>
      </w:r>
    </w:p>
    <w:p w14:paraId="0BF1C666" w14:textId="59ADF5B0" w:rsidR="00C66043" w:rsidRPr="00C66043" w:rsidRDefault="00C66043" w:rsidP="00DC2F9C">
      <w:pPr>
        <w:spacing w:line="360" w:lineRule="auto"/>
        <w:jc w:val="both"/>
        <w:rPr>
          <w:rFonts w:ascii="Times New Roman" w:hAnsi="Times New Roman" w:cs="Times New Roman"/>
          <w:b/>
          <w:bCs/>
          <w:sz w:val="24"/>
          <w:szCs w:val="24"/>
        </w:rPr>
      </w:pPr>
      <w:r w:rsidRPr="00C66043">
        <w:rPr>
          <w:rFonts w:ascii="Times New Roman" w:hAnsi="Times New Roman" w:cs="Times New Roman"/>
          <w:b/>
          <w:bCs/>
          <w:sz w:val="24"/>
          <w:szCs w:val="24"/>
        </w:rPr>
        <w:t xml:space="preserve">Threat of New </w:t>
      </w:r>
      <w:r w:rsidR="00647EA5" w:rsidRPr="00DC2F9C">
        <w:rPr>
          <w:rFonts w:ascii="Times New Roman" w:hAnsi="Times New Roman" w:cs="Times New Roman"/>
          <w:b/>
          <w:bCs/>
          <w:sz w:val="24"/>
          <w:szCs w:val="24"/>
        </w:rPr>
        <w:t>Entrants: Moderate</w:t>
      </w:r>
    </w:p>
    <w:p w14:paraId="25E12F5B" w14:textId="7035E20B" w:rsidR="00647EA5" w:rsidRPr="00DC2F9C" w:rsidRDefault="00647EA5"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Even though a substantial capital is required, EV focused startups (Tesla, NIO, Rivian) show that specially-focused companies can disrupt the luxury market. The availability of battery technology and the digital capabilities help to enter the market faster.</w:t>
      </w:r>
    </w:p>
    <w:p w14:paraId="1B2DA1F8" w14:textId="77777777" w:rsidR="00647EA5" w:rsidRPr="00DC2F9C" w:rsidRDefault="00647EA5" w:rsidP="00DC2F9C">
      <w:pPr>
        <w:spacing w:line="360" w:lineRule="auto"/>
        <w:jc w:val="both"/>
        <w:rPr>
          <w:rFonts w:ascii="Times New Roman" w:hAnsi="Times New Roman" w:cs="Times New Roman"/>
          <w:b/>
          <w:bCs/>
          <w:sz w:val="24"/>
          <w:szCs w:val="24"/>
        </w:rPr>
      </w:pPr>
      <w:r w:rsidRPr="00DC2F9C">
        <w:rPr>
          <w:rFonts w:ascii="Times New Roman" w:hAnsi="Times New Roman" w:cs="Times New Roman"/>
          <w:b/>
          <w:bCs/>
          <w:sz w:val="24"/>
          <w:szCs w:val="24"/>
        </w:rPr>
        <w:br w:type="page"/>
      </w:r>
    </w:p>
    <w:p w14:paraId="36F82698" w14:textId="09FC1C41" w:rsidR="00C66043" w:rsidRPr="00C66043" w:rsidRDefault="00C66043" w:rsidP="00DC2F9C">
      <w:pPr>
        <w:spacing w:line="360" w:lineRule="auto"/>
        <w:jc w:val="both"/>
        <w:rPr>
          <w:rFonts w:ascii="Times New Roman" w:hAnsi="Times New Roman" w:cs="Times New Roman"/>
          <w:b/>
          <w:bCs/>
          <w:sz w:val="24"/>
          <w:szCs w:val="24"/>
        </w:rPr>
      </w:pPr>
      <w:r w:rsidRPr="00C66043">
        <w:rPr>
          <w:rFonts w:ascii="Times New Roman" w:hAnsi="Times New Roman" w:cs="Times New Roman"/>
          <w:b/>
          <w:bCs/>
          <w:sz w:val="24"/>
          <w:szCs w:val="24"/>
        </w:rPr>
        <w:lastRenderedPageBreak/>
        <w:t xml:space="preserve">Bargaining Power of </w:t>
      </w:r>
      <w:r w:rsidR="00647EA5" w:rsidRPr="00DC2F9C">
        <w:rPr>
          <w:rFonts w:ascii="Times New Roman" w:hAnsi="Times New Roman" w:cs="Times New Roman"/>
          <w:b/>
          <w:bCs/>
          <w:sz w:val="24"/>
          <w:szCs w:val="24"/>
        </w:rPr>
        <w:t>Suppliers: High</w:t>
      </w:r>
    </w:p>
    <w:p w14:paraId="5F1C5B78" w14:textId="77777777" w:rsidR="00647EA5" w:rsidRPr="00DC2F9C" w:rsidRDefault="00647EA5"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The reliance on semiconductors and batteries as well as specialised materials provides suppliers with high leverage. JLR was exposed to the post-pandemic shortage of chips. Poor UK battery manufacture and dependence on Asian manufacturers are additional risks to the supply chain.</w:t>
      </w:r>
    </w:p>
    <w:p w14:paraId="778B26F7" w14:textId="6C8E1FAB" w:rsidR="00C66043" w:rsidRPr="00C66043" w:rsidRDefault="00C66043" w:rsidP="00DC2F9C">
      <w:pPr>
        <w:spacing w:line="360" w:lineRule="auto"/>
        <w:jc w:val="both"/>
        <w:rPr>
          <w:rFonts w:ascii="Times New Roman" w:hAnsi="Times New Roman" w:cs="Times New Roman"/>
          <w:b/>
          <w:bCs/>
          <w:sz w:val="24"/>
          <w:szCs w:val="24"/>
        </w:rPr>
      </w:pPr>
      <w:r w:rsidRPr="00C66043">
        <w:rPr>
          <w:rFonts w:ascii="Times New Roman" w:hAnsi="Times New Roman" w:cs="Times New Roman"/>
          <w:b/>
          <w:bCs/>
          <w:sz w:val="24"/>
          <w:szCs w:val="24"/>
        </w:rPr>
        <w:t>Bargaining Power of Buyers</w:t>
      </w:r>
      <w:r w:rsidR="00647EA5" w:rsidRPr="00DC2F9C">
        <w:rPr>
          <w:rFonts w:ascii="Times New Roman" w:hAnsi="Times New Roman" w:cs="Times New Roman"/>
          <w:b/>
          <w:bCs/>
          <w:sz w:val="24"/>
          <w:szCs w:val="24"/>
        </w:rPr>
        <w:t>:</w:t>
      </w:r>
      <w:r w:rsidRPr="00C66043">
        <w:rPr>
          <w:rFonts w:ascii="Times New Roman" w:hAnsi="Times New Roman" w:cs="Times New Roman"/>
          <w:b/>
          <w:bCs/>
          <w:sz w:val="24"/>
          <w:szCs w:val="24"/>
        </w:rPr>
        <w:t xml:space="preserve"> Moderate to High</w:t>
      </w:r>
    </w:p>
    <w:p w14:paraId="12DDB874" w14:textId="0BD9FB97" w:rsidR="00647EA5" w:rsidRPr="00DC2F9C" w:rsidRDefault="00647EA5"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The high-end consumers are differentiated, informed and price conscious in the luxury market. The cost of switching is minimal since numerous substitutes are featured with similar functionalities and fame.</w:t>
      </w:r>
    </w:p>
    <w:p w14:paraId="56623A82" w14:textId="1F915931" w:rsidR="00C66043" w:rsidRPr="00C66043" w:rsidRDefault="00C66043" w:rsidP="00DC2F9C">
      <w:pPr>
        <w:spacing w:line="360" w:lineRule="auto"/>
        <w:jc w:val="both"/>
        <w:rPr>
          <w:rFonts w:ascii="Times New Roman" w:hAnsi="Times New Roman" w:cs="Times New Roman"/>
          <w:b/>
          <w:bCs/>
          <w:sz w:val="24"/>
          <w:szCs w:val="24"/>
        </w:rPr>
      </w:pPr>
      <w:r w:rsidRPr="00C66043">
        <w:rPr>
          <w:rFonts w:ascii="Times New Roman" w:hAnsi="Times New Roman" w:cs="Times New Roman"/>
          <w:b/>
          <w:bCs/>
          <w:sz w:val="24"/>
          <w:szCs w:val="24"/>
        </w:rPr>
        <w:t>Threat of Substitutes</w:t>
      </w:r>
      <w:r w:rsidR="00DC2F9C">
        <w:rPr>
          <w:rFonts w:ascii="Times New Roman" w:hAnsi="Times New Roman" w:cs="Times New Roman"/>
          <w:b/>
          <w:bCs/>
          <w:sz w:val="24"/>
          <w:szCs w:val="24"/>
        </w:rPr>
        <w:t xml:space="preserve">: </w:t>
      </w:r>
      <w:r w:rsidRPr="00C66043">
        <w:rPr>
          <w:rFonts w:ascii="Times New Roman" w:hAnsi="Times New Roman" w:cs="Times New Roman"/>
          <w:b/>
          <w:bCs/>
          <w:sz w:val="24"/>
          <w:szCs w:val="24"/>
        </w:rPr>
        <w:t>Increasing</w:t>
      </w:r>
    </w:p>
    <w:p w14:paraId="3C8E2AE8" w14:textId="77777777" w:rsidR="00647EA5" w:rsidRPr="00DC2F9C" w:rsidRDefault="00647EA5"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Public transport, ride-hailing, and shared mobility are the alternatives that are less applicable in the luxury segment. The largest threat of substitutes is the electric-first brands, which re-interpret the concept of modern luxury as being technology-oriented instead of heritage.</w:t>
      </w:r>
    </w:p>
    <w:p w14:paraId="6B8DDD83" w14:textId="0EF756B4" w:rsidR="00C66043" w:rsidRPr="00C66043" w:rsidRDefault="00647EA5"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Analysis proves that JLR belongs to one of the most competitive and dynamical industries in the world, and it needs radical technological and strategic changes.</w:t>
      </w:r>
    </w:p>
    <w:p w14:paraId="3C77E5B3" w14:textId="77777777" w:rsidR="00C66043" w:rsidRPr="00C66043" w:rsidRDefault="00C66043" w:rsidP="00DC2F9C">
      <w:pPr>
        <w:pStyle w:val="Heading1"/>
      </w:pPr>
      <w:bookmarkStart w:id="4" w:name="_Toc215249430"/>
      <w:r w:rsidRPr="00C66043">
        <w:t>3. Internal Environment Analysis</w:t>
      </w:r>
      <w:bookmarkEnd w:id="4"/>
    </w:p>
    <w:p w14:paraId="5EB3C849" w14:textId="622628EE" w:rsidR="00C66043" w:rsidRPr="00C66043" w:rsidRDefault="00C66043" w:rsidP="00DC2F9C">
      <w:pPr>
        <w:pStyle w:val="Heading2"/>
      </w:pPr>
      <w:bookmarkStart w:id="5" w:name="_Toc215249431"/>
      <w:r w:rsidRPr="00C66043">
        <w:t>3.1 Resource</w:t>
      </w:r>
      <w:r w:rsidR="00647EA5" w:rsidRPr="00DC2F9C">
        <w:t xml:space="preserve"> </w:t>
      </w:r>
      <w:r w:rsidRPr="00C66043">
        <w:t>Based View (RBV)</w:t>
      </w:r>
      <w:bookmarkEnd w:id="5"/>
    </w:p>
    <w:p w14:paraId="32178491" w14:textId="7CCD18DE" w:rsidR="00C66043" w:rsidRPr="00C66043" w:rsidRDefault="00647EA5"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Traditional competitive advantages of JLR lie in the intangible resources of the company including heritage, design prowess, and craftsmanship. Physical assets are those such as production plants in the UK, research and development centres, and international retail networks. The difference in the luxury SUV segment is achieved by intangible capabilities brand reputation, experience design, and engineering knowledge. Nevertheless, technology capacity especially in EV platforms and in digital systems are still less developed than competitors with more advanced designs. The long</w:t>
      </w:r>
      <w:r w:rsidR="00DC2F9C">
        <w:rPr>
          <w:rFonts w:ascii="Times New Roman" w:hAnsi="Times New Roman" w:cs="Times New Roman"/>
          <w:sz w:val="24"/>
          <w:szCs w:val="24"/>
        </w:rPr>
        <w:t>-</w:t>
      </w:r>
      <w:r w:rsidRPr="00DC2F9C">
        <w:rPr>
          <w:rFonts w:ascii="Times New Roman" w:hAnsi="Times New Roman" w:cs="Times New Roman"/>
          <w:sz w:val="24"/>
          <w:szCs w:val="24"/>
        </w:rPr>
        <w:t>term competitiveness will be based on dynamic capabilities like the rate of innovation, reconfiguration of the supply chain, and transformation of digital services.</w:t>
      </w:r>
    </w:p>
    <w:p w14:paraId="43FB8A11" w14:textId="23EC7CED" w:rsidR="00647EA5" w:rsidRPr="00DC2F9C" w:rsidRDefault="00647EA5" w:rsidP="00DC2F9C">
      <w:pPr>
        <w:spacing w:line="360" w:lineRule="auto"/>
        <w:jc w:val="both"/>
        <w:rPr>
          <w:rFonts w:ascii="Times New Roman" w:hAnsi="Times New Roman" w:cs="Times New Roman"/>
          <w:sz w:val="24"/>
          <w:szCs w:val="24"/>
        </w:rPr>
      </w:pPr>
    </w:p>
    <w:p w14:paraId="4B4585AB" w14:textId="6CFD142A" w:rsidR="00C66043" w:rsidRPr="00C66043" w:rsidRDefault="00C66043" w:rsidP="00DC2F9C">
      <w:pPr>
        <w:spacing w:line="360" w:lineRule="auto"/>
        <w:jc w:val="both"/>
        <w:rPr>
          <w:rFonts w:ascii="Times New Roman" w:hAnsi="Times New Roman" w:cs="Times New Roman"/>
          <w:sz w:val="24"/>
          <w:szCs w:val="24"/>
        </w:rPr>
      </w:pPr>
    </w:p>
    <w:p w14:paraId="5D84E1AC" w14:textId="77777777" w:rsidR="00DC2F9C" w:rsidRDefault="00DC2F9C">
      <w:pPr>
        <w:rPr>
          <w:rFonts w:ascii="Times New Roman" w:hAnsi="Times New Roman" w:cs="Times New Roman"/>
          <w:b/>
          <w:bCs/>
          <w:sz w:val="24"/>
          <w:szCs w:val="24"/>
        </w:rPr>
      </w:pPr>
      <w:r>
        <w:rPr>
          <w:rFonts w:ascii="Times New Roman" w:hAnsi="Times New Roman" w:cs="Times New Roman"/>
          <w:b/>
          <w:bCs/>
          <w:sz w:val="24"/>
          <w:szCs w:val="24"/>
        </w:rPr>
        <w:br w:type="page"/>
      </w:r>
    </w:p>
    <w:p w14:paraId="4525C68A" w14:textId="217340AD" w:rsidR="00C66043" w:rsidRPr="00DC2F9C" w:rsidRDefault="00C66043" w:rsidP="00DC2F9C">
      <w:pPr>
        <w:pStyle w:val="Heading2"/>
      </w:pPr>
      <w:bookmarkStart w:id="6" w:name="_Toc215249432"/>
      <w:r w:rsidRPr="00C66043">
        <w:lastRenderedPageBreak/>
        <w:t>3.2 VRIO Analysis</w:t>
      </w:r>
      <w:bookmarkEnd w:id="6"/>
    </w:p>
    <w:tbl>
      <w:tblPr>
        <w:tblStyle w:val="GridTable4-Accent5"/>
        <w:tblW w:w="0" w:type="auto"/>
        <w:tblLook w:val="04A0" w:firstRow="1" w:lastRow="0" w:firstColumn="1" w:lastColumn="0" w:noHBand="0" w:noVBand="1"/>
      </w:tblPr>
      <w:tblGrid>
        <w:gridCol w:w="2539"/>
        <w:gridCol w:w="1178"/>
        <w:gridCol w:w="782"/>
        <w:gridCol w:w="1334"/>
        <w:gridCol w:w="1349"/>
        <w:gridCol w:w="1834"/>
      </w:tblGrid>
      <w:tr w:rsidR="00DC2F9C" w:rsidRPr="00C66043" w14:paraId="21CD650D" w14:textId="77777777" w:rsidTr="00C660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CB77F9"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Resource / Capability</w:t>
            </w:r>
          </w:p>
        </w:tc>
        <w:tc>
          <w:tcPr>
            <w:tcW w:w="0" w:type="auto"/>
            <w:hideMark/>
          </w:tcPr>
          <w:p w14:paraId="4CC65E41" w14:textId="77777777" w:rsidR="00C66043" w:rsidRPr="00C66043" w:rsidRDefault="00C66043" w:rsidP="00DC2F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66043">
              <w:rPr>
                <w:rFonts w:ascii="Times New Roman" w:hAnsi="Times New Roman" w:cs="Times New Roman"/>
                <w:sz w:val="24"/>
                <w:szCs w:val="24"/>
              </w:rPr>
              <w:t>Valuable (V)</w:t>
            </w:r>
          </w:p>
        </w:tc>
        <w:tc>
          <w:tcPr>
            <w:tcW w:w="0" w:type="auto"/>
            <w:hideMark/>
          </w:tcPr>
          <w:p w14:paraId="711AB26F" w14:textId="77777777" w:rsidR="00C66043" w:rsidRPr="00C66043" w:rsidRDefault="00C66043" w:rsidP="00DC2F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66043">
              <w:rPr>
                <w:rFonts w:ascii="Times New Roman" w:hAnsi="Times New Roman" w:cs="Times New Roman"/>
                <w:sz w:val="24"/>
                <w:szCs w:val="24"/>
              </w:rPr>
              <w:t>Rare (R)</w:t>
            </w:r>
          </w:p>
        </w:tc>
        <w:tc>
          <w:tcPr>
            <w:tcW w:w="0" w:type="auto"/>
            <w:hideMark/>
          </w:tcPr>
          <w:p w14:paraId="283C4FD3" w14:textId="77777777" w:rsidR="00C66043" w:rsidRPr="00C66043" w:rsidRDefault="00C66043" w:rsidP="00DC2F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66043">
              <w:rPr>
                <w:rFonts w:ascii="Times New Roman" w:hAnsi="Times New Roman" w:cs="Times New Roman"/>
                <w:sz w:val="24"/>
                <w:szCs w:val="24"/>
              </w:rPr>
              <w:t>Inimitable (I)</w:t>
            </w:r>
          </w:p>
        </w:tc>
        <w:tc>
          <w:tcPr>
            <w:tcW w:w="0" w:type="auto"/>
            <w:hideMark/>
          </w:tcPr>
          <w:p w14:paraId="2CCF231A" w14:textId="77777777" w:rsidR="00C66043" w:rsidRPr="00C66043" w:rsidRDefault="00C66043" w:rsidP="00DC2F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66043">
              <w:rPr>
                <w:rFonts w:ascii="Times New Roman" w:hAnsi="Times New Roman" w:cs="Times New Roman"/>
                <w:sz w:val="24"/>
                <w:szCs w:val="24"/>
              </w:rPr>
              <w:t>Organised (O)</w:t>
            </w:r>
          </w:p>
        </w:tc>
        <w:tc>
          <w:tcPr>
            <w:tcW w:w="0" w:type="auto"/>
            <w:hideMark/>
          </w:tcPr>
          <w:p w14:paraId="218260EF" w14:textId="77777777" w:rsidR="00C66043" w:rsidRPr="00C66043" w:rsidRDefault="00C66043" w:rsidP="00DC2F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66043">
              <w:rPr>
                <w:rFonts w:ascii="Times New Roman" w:hAnsi="Times New Roman" w:cs="Times New Roman"/>
                <w:sz w:val="24"/>
                <w:szCs w:val="24"/>
              </w:rPr>
              <w:t>Competitive Implication</w:t>
            </w:r>
          </w:p>
        </w:tc>
      </w:tr>
      <w:tr w:rsidR="00DC2F9C" w:rsidRPr="00C66043" w14:paraId="6BD9EBF3" w14:textId="77777777" w:rsidTr="00C660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AA6E5A"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Brand Equity: Range Rover, Defender</w:t>
            </w:r>
          </w:p>
        </w:tc>
        <w:tc>
          <w:tcPr>
            <w:tcW w:w="0" w:type="auto"/>
            <w:hideMark/>
          </w:tcPr>
          <w:p w14:paraId="2858493D"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5DFE7B21"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06C69641"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0B7EF95C"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2130E550"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Sustained competitive advantage</w:t>
            </w:r>
          </w:p>
        </w:tc>
      </w:tr>
      <w:tr w:rsidR="00DC2F9C" w:rsidRPr="00C66043" w14:paraId="58526AF1" w14:textId="77777777" w:rsidTr="00C66043">
        <w:tc>
          <w:tcPr>
            <w:cnfStyle w:val="001000000000" w:firstRow="0" w:lastRow="0" w:firstColumn="1" w:lastColumn="0" w:oddVBand="0" w:evenVBand="0" w:oddHBand="0" w:evenHBand="0" w:firstRowFirstColumn="0" w:firstRowLastColumn="0" w:lastRowFirstColumn="0" w:lastRowLastColumn="0"/>
            <w:tcW w:w="0" w:type="auto"/>
            <w:hideMark/>
          </w:tcPr>
          <w:p w14:paraId="223DCAD5"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Luxury Design &amp; Craftsmanship</w:t>
            </w:r>
          </w:p>
        </w:tc>
        <w:tc>
          <w:tcPr>
            <w:tcW w:w="0" w:type="auto"/>
            <w:hideMark/>
          </w:tcPr>
          <w:p w14:paraId="379B031A"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50D2DF5A"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44CF508B"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6051BDF5"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r w:rsidRPr="00C66043">
              <w:rPr>
                <w:rFonts w:ascii="Times New Roman" w:hAnsi="Times New Roman" w:cs="Times New Roman"/>
                <w:b/>
                <w:bCs/>
                <w:sz w:val="24"/>
                <w:szCs w:val="24"/>
              </w:rPr>
              <w:t>/Partial</w:t>
            </w:r>
          </w:p>
        </w:tc>
        <w:tc>
          <w:tcPr>
            <w:tcW w:w="0" w:type="auto"/>
            <w:hideMark/>
          </w:tcPr>
          <w:p w14:paraId="3AF15B90"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Potential sustained advantage</w:t>
            </w:r>
          </w:p>
        </w:tc>
      </w:tr>
      <w:tr w:rsidR="00DC2F9C" w:rsidRPr="00C66043" w14:paraId="2D341C09" w14:textId="77777777" w:rsidTr="00C660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DD9243"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Reimagine Strategy &amp; Electrification Platforms (EMA/MLA)</w:t>
            </w:r>
          </w:p>
        </w:tc>
        <w:tc>
          <w:tcPr>
            <w:tcW w:w="0" w:type="auto"/>
            <w:hideMark/>
          </w:tcPr>
          <w:p w14:paraId="0B411811"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5B45043D"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01C07D9E"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509FC7A0"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1CBA2BEE"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Temporary competitive advantage</w:t>
            </w:r>
          </w:p>
        </w:tc>
      </w:tr>
      <w:tr w:rsidR="00DC2F9C" w:rsidRPr="00C66043" w14:paraId="30AB502F" w14:textId="77777777" w:rsidTr="00C66043">
        <w:tc>
          <w:tcPr>
            <w:cnfStyle w:val="001000000000" w:firstRow="0" w:lastRow="0" w:firstColumn="1" w:lastColumn="0" w:oddVBand="0" w:evenVBand="0" w:oddHBand="0" w:evenHBand="0" w:firstRowFirstColumn="0" w:firstRowLastColumn="0" w:lastRowFirstColumn="0" w:lastRowLastColumn="0"/>
            <w:tcW w:w="0" w:type="auto"/>
            <w:hideMark/>
          </w:tcPr>
          <w:p w14:paraId="43243F30"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Global Supply Chain Network</w:t>
            </w:r>
          </w:p>
        </w:tc>
        <w:tc>
          <w:tcPr>
            <w:tcW w:w="0" w:type="auto"/>
            <w:hideMark/>
          </w:tcPr>
          <w:p w14:paraId="6098FDEF"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6852B06F"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474780C5"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1D23D55E"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02BD3BC9"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Competitive parity</w:t>
            </w:r>
          </w:p>
        </w:tc>
      </w:tr>
      <w:tr w:rsidR="00DC2F9C" w:rsidRPr="00C66043" w14:paraId="12583EE7" w14:textId="77777777" w:rsidTr="00C660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2FDD77"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Tata Motors Financial &amp; Innovation Support</w:t>
            </w:r>
          </w:p>
        </w:tc>
        <w:tc>
          <w:tcPr>
            <w:tcW w:w="0" w:type="auto"/>
            <w:hideMark/>
          </w:tcPr>
          <w:p w14:paraId="424FE629"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0E3D9B20"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6C74C123"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5622437D"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7B840246"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Temporary advantage</w:t>
            </w:r>
          </w:p>
        </w:tc>
      </w:tr>
      <w:tr w:rsidR="00DC2F9C" w:rsidRPr="00C66043" w14:paraId="4848413D" w14:textId="77777777" w:rsidTr="00C66043">
        <w:tc>
          <w:tcPr>
            <w:cnfStyle w:val="001000000000" w:firstRow="0" w:lastRow="0" w:firstColumn="1" w:lastColumn="0" w:oddVBand="0" w:evenVBand="0" w:oddHBand="0" w:evenHBand="0" w:firstRowFirstColumn="0" w:firstRowLastColumn="0" w:lastRowFirstColumn="0" w:lastRowLastColumn="0"/>
            <w:tcW w:w="0" w:type="auto"/>
            <w:hideMark/>
          </w:tcPr>
          <w:p w14:paraId="5E71E6FA"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Lightweight Materials &amp; Joining Technologies</w:t>
            </w:r>
          </w:p>
        </w:tc>
        <w:tc>
          <w:tcPr>
            <w:tcW w:w="0" w:type="auto"/>
            <w:hideMark/>
          </w:tcPr>
          <w:p w14:paraId="52B6F476"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4FCD456F"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10ED82C0"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02BDC7E9"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45AAE60C"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Short-term advantage</w:t>
            </w:r>
          </w:p>
        </w:tc>
      </w:tr>
      <w:tr w:rsidR="00DC2F9C" w:rsidRPr="00C66043" w14:paraId="73022AA0" w14:textId="77777777" w:rsidTr="00C660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FB9AB4"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Manufacturing Excellence (UK plants)</w:t>
            </w:r>
          </w:p>
        </w:tc>
        <w:tc>
          <w:tcPr>
            <w:tcW w:w="0" w:type="auto"/>
            <w:hideMark/>
          </w:tcPr>
          <w:p w14:paraId="4D6AA130"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0EB69851"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0DFE01CB"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64977C38"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22856862"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Competitive parity</w:t>
            </w:r>
          </w:p>
        </w:tc>
      </w:tr>
      <w:tr w:rsidR="00DC2F9C" w:rsidRPr="00C66043" w14:paraId="700AD481" w14:textId="77777777" w:rsidTr="00C66043">
        <w:tc>
          <w:tcPr>
            <w:cnfStyle w:val="001000000000" w:firstRow="0" w:lastRow="0" w:firstColumn="1" w:lastColumn="0" w:oddVBand="0" w:evenVBand="0" w:oddHBand="0" w:evenHBand="0" w:firstRowFirstColumn="0" w:firstRowLastColumn="0" w:lastRowFirstColumn="0" w:lastRowLastColumn="0"/>
            <w:tcW w:w="0" w:type="auto"/>
            <w:hideMark/>
          </w:tcPr>
          <w:p w14:paraId="352A30B7"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Digital Customer Experience &amp; After-Sales</w:t>
            </w:r>
          </w:p>
        </w:tc>
        <w:tc>
          <w:tcPr>
            <w:tcW w:w="0" w:type="auto"/>
            <w:hideMark/>
          </w:tcPr>
          <w:p w14:paraId="2E9BA83C"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2491D1C7"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092979D1"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Segoe UI Symbol" w:hAnsi="Segoe UI Symbol" w:cs="Segoe UI Symbol"/>
                <w:b/>
                <w:bCs/>
                <w:sz w:val="24"/>
                <w:szCs w:val="24"/>
              </w:rPr>
              <w:t>✖</w:t>
            </w:r>
          </w:p>
        </w:tc>
        <w:tc>
          <w:tcPr>
            <w:tcW w:w="0" w:type="auto"/>
            <w:hideMark/>
          </w:tcPr>
          <w:p w14:paraId="1732F516"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Partial</w:t>
            </w:r>
          </w:p>
        </w:tc>
        <w:tc>
          <w:tcPr>
            <w:tcW w:w="0" w:type="auto"/>
            <w:hideMark/>
          </w:tcPr>
          <w:p w14:paraId="18F0FC46"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Competitive parity</w:t>
            </w:r>
          </w:p>
        </w:tc>
      </w:tr>
    </w:tbl>
    <w:p w14:paraId="27D45317" w14:textId="77777777" w:rsidR="00C66043" w:rsidRPr="00C66043" w:rsidRDefault="00C66043" w:rsidP="00DC2F9C">
      <w:pPr>
        <w:spacing w:line="360" w:lineRule="auto"/>
        <w:jc w:val="both"/>
        <w:rPr>
          <w:rFonts w:ascii="Times New Roman" w:hAnsi="Times New Roman" w:cs="Times New Roman"/>
          <w:b/>
          <w:bCs/>
          <w:sz w:val="24"/>
          <w:szCs w:val="24"/>
        </w:rPr>
      </w:pPr>
    </w:p>
    <w:p w14:paraId="58A81E79" w14:textId="14850CED" w:rsidR="00C66043" w:rsidRPr="00C66043" w:rsidRDefault="00647EA5"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Jaguar Land Rover has got some high value resources, but few of them can produce sustained competitive advantage. JLR brand equity, especially the Range Rover and Defender nameplates, is the strongest strategic source, and they are recognised as the world marks of </w:t>
      </w:r>
      <w:r w:rsidRPr="00DC2F9C">
        <w:rPr>
          <w:rFonts w:ascii="Times New Roman" w:hAnsi="Times New Roman" w:cs="Times New Roman"/>
          <w:sz w:val="24"/>
          <w:szCs w:val="24"/>
        </w:rPr>
        <w:lastRenderedPageBreak/>
        <w:t xml:space="preserve">luxury, off-road </w:t>
      </w:r>
      <w:r w:rsidR="00DC2F9C" w:rsidRPr="00DC2F9C">
        <w:rPr>
          <w:rFonts w:ascii="Times New Roman" w:hAnsi="Times New Roman" w:cs="Times New Roman"/>
          <w:sz w:val="24"/>
          <w:szCs w:val="24"/>
        </w:rPr>
        <w:t>performance,</w:t>
      </w:r>
      <w:r w:rsidRPr="00DC2F9C">
        <w:rPr>
          <w:rFonts w:ascii="Times New Roman" w:hAnsi="Times New Roman" w:cs="Times New Roman"/>
          <w:sz w:val="24"/>
          <w:szCs w:val="24"/>
        </w:rPr>
        <w:t xml:space="preserve"> and engineering. The brands are worth, scanty, not easy to replicate by competitors and are backed up by organisational systems like international marketing and quality distribution networks (Priya, 2019). This will generate a sustainable, sustainable competitive edge in the luxury SUV business. The design capabilities of JLR such as heritage-based craftsmanship are equally infrequent and they are culturally entrenched in the organisation. This capability is not always harnessed to the full though because of execution difficulties and product roll-outs slowing down the VRIO criteria of the organisation aspect. The new EV platforms (EMA/MLA) and Reimagine Strategy are useful to deal with the changes in technology and sustainability, but they are not unique and </w:t>
      </w:r>
      <w:proofErr w:type="spellStart"/>
      <w:r w:rsidRPr="00DC2F9C">
        <w:rPr>
          <w:rFonts w:ascii="Times New Roman" w:hAnsi="Times New Roman" w:cs="Times New Roman"/>
          <w:sz w:val="24"/>
          <w:szCs w:val="24"/>
        </w:rPr>
        <w:t>unimitable</w:t>
      </w:r>
      <w:proofErr w:type="spellEnd"/>
      <w:r w:rsidRPr="00DC2F9C">
        <w:rPr>
          <w:rFonts w:ascii="Times New Roman" w:hAnsi="Times New Roman" w:cs="Times New Roman"/>
          <w:sz w:val="24"/>
          <w:szCs w:val="24"/>
        </w:rPr>
        <w:t xml:space="preserve"> due to the developed EV architecture of BMW, Mercedes, and Tesla. Therefore, the capabilities are temporary competitive advantage. The supply chain and manufacturing strengths of JLR are valuable but not rare </w:t>
      </w:r>
      <w:proofErr w:type="gramStart"/>
      <w:r w:rsidRPr="00DC2F9C">
        <w:rPr>
          <w:rFonts w:ascii="Times New Roman" w:hAnsi="Times New Roman" w:cs="Times New Roman"/>
          <w:sz w:val="24"/>
          <w:szCs w:val="24"/>
        </w:rPr>
        <w:t>and also</w:t>
      </w:r>
      <w:proofErr w:type="gramEnd"/>
      <w:r w:rsidRPr="00DC2F9C">
        <w:rPr>
          <w:rFonts w:ascii="Times New Roman" w:hAnsi="Times New Roman" w:cs="Times New Roman"/>
          <w:sz w:val="24"/>
          <w:szCs w:val="24"/>
        </w:rPr>
        <w:t xml:space="preserve"> prone to disruptions like semiconductor shortage, BREXIT-induced delays, and battery supplies (</w:t>
      </w:r>
      <w:proofErr w:type="spellStart"/>
      <w:r w:rsidRPr="00DC2F9C">
        <w:rPr>
          <w:rFonts w:ascii="Times New Roman" w:hAnsi="Times New Roman" w:cs="Times New Roman"/>
          <w:sz w:val="24"/>
          <w:szCs w:val="24"/>
        </w:rPr>
        <w:t>Serohi</w:t>
      </w:r>
      <w:proofErr w:type="spellEnd"/>
      <w:r w:rsidRPr="00DC2F9C">
        <w:rPr>
          <w:rFonts w:ascii="Times New Roman" w:hAnsi="Times New Roman" w:cs="Times New Roman"/>
          <w:sz w:val="24"/>
          <w:szCs w:val="24"/>
        </w:rPr>
        <w:t>, 2020). In turn, these provide competitive parity instead of being differentiated. In general, JLR has a long-term competitive advantage of the brand and has short- to medium-term benefits of its technological and operational resources, which would need a strategic improvement.</w:t>
      </w:r>
    </w:p>
    <w:p w14:paraId="44A5E671" w14:textId="77777777" w:rsidR="00C66043" w:rsidRPr="00C66043" w:rsidRDefault="00C66043" w:rsidP="00DC2F9C">
      <w:pPr>
        <w:pStyle w:val="Heading2"/>
      </w:pPr>
      <w:bookmarkStart w:id="7" w:name="_Toc215249433"/>
      <w:r w:rsidRPr="00C66043">
        <w:t>3.3 Value Chain Analysis</w:t>
      </w:r>
      <w:bookmarkEnd w:id="7"/>
    </w:p>
    <w:p w14:paraId="440EE31F" w14:textId="54D1C3E3" w:rsidR="00C66043" w:rsidRPr="00C66043" w:rsidRDefault="00647EA5"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The value chain of JLR identifies both the points of creation of competitive advantage and the points of the performance restriction of the performance. The semiconductors, specialised materials and batteries are globally sourced, which affects inbound logistics. The UK is the location where operations are centralised which gives the possibility of quality control but also exposes it to labour costs, regulatory </w:t>
      </w:r>
      <w:r w:rsidR="00DC2F9C" w:rsidRPr="00DC2F9C">
        <w:rPr>
          <w:rFonts w:ascii="Times New Roman" w:hAnsi="Times New Roman" w:cs="Times New Roman"/>
          <w:sz w:val="24"/>
          <w:szCs w:val="24"/>
        </w:rPr>
        <w:t>limitations,</w:t>
      </w:r>
      <w:r w:rsidRPr="00DC2F9C">
        <w:rPr>
          <w:rFonts w:ascii="Times New Roman" w:hAnsi="Times New Roman" w:cs="Times New Roman"/>
          <w:sz w:val="24"/>
          <w:szCs w:val="24"/>
        </w:rPr>
        <w:t xml:space="preserve"> and supply risks (Priya, 2019). Export has much to do with the international systems of shipping, so the exports become susceptible to port delays and geopolitical conflict. JLR has a premium brand image which is used to market and sell the </w:t>
      </w:r>
      <w:r w:rsidR="00DC2F9C" w:rsidRPr="00DC2F9C">
        <w:rPr>
          <w:rFonts w:ascii="Times New Roman" w:hAnsi="Times New Roman" w:cs="Times New Roman"/>
          <w:sz w:val="24"/>
          <w:szCs w:val="24"/>
        </w:rPr>
        <w:t>product;</w:t>
      </w:r>
      <w:r w:rsidRPr="00DC2F9C">
        <w:rPr>
          <w:rFonts w:ascii="Times New Roman" w:hAnsi="Times New Roman" w:cs="Times New Roman"/>
          <w:sz w:val="24"/>
          <w:szCs w:val="24"/>
        </w:rPr>
        <w:t xml:space="preserve"> however, the online retail experience is not on the same level with other companies that provide online purchasing and customer interaction. The digital diagnostics and connected car services are enhancing the after-sales services even though there are discrepancies in all regions. The support activities consist of robust R&amp;D investment, but the timeline of EV development suggests organisational bottlenecks. The HR issues are the lack of software engineers, specialists in batteries, and digital talent. The innovation in technology is being enhanced with the help of partnerships and Tata, although the software-defined vehicles still need to be further invested in. </w:t>
      </w:r>
    </w:p>
    <w:p w14:paraId="0A2C0311" w14:textId="77777777" w:rsidR="00C66043" w:rsidRPr="00DC2F9C" w:rsidRDefault="00C66043" w:rsidP="00DC2F9C">
      <w:pPr>
        <w:pStyle w:val="Heading1"/>
      </w:pPr>
      <w:bookmarkStart w:id="8" w:name="_Toc215249434"/>
      <w:r w:rsidRPr="00C66043">
        <w:lastRenderedPageBreak/>
        <w:t>4. SWOT Analysis</w:t>
      </w:r>
      <w:bookmarkEnd w:id="8"/>
    </w:p>
    <w:tbl>
      <w:tblPr>
        <w:tblStyle w:val="GridTable4-Accent2"/>
        <w:tblW w:w="0" w:type="auto"/>
        <w:tblLook w:val="04A0" w:firstRow="1" w:lastRow="0" w:firstColumn="1" w:lastColumn="0" w:noHBand="0" w:noVBand="1"/>
      </w:tblPr>
      <w:tblGrid>
        <w:gridCol w:w="4513"/>
        <w:gridCol w:w="4503"/>
      </w:tblGrid>
      <w:tr w:rsidR="00C66043" w:rsidRPr="00C66043" w14:paraId="435235C9" w14:textId="77777777" w:rsidTr="00C660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FE8735"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Strengths</w:t>
            </w:r>
          </w:p>
        </w:tc>
        <w:tc>
          <w:tcPr>
            <w:tcW w:w="0" w:type="auto"/>
            <w:hideMark/>
          </w:tcPr>
          <w:p w14:paraId="1895BBCC" w14:textId="77777777" w:rsidR="00C66043" w:rsidRPr="00C66043" w:rsidRDefault="00C66043" w:rsidP="00DC2F9C">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66043">
              <w:rPr>
                <w:rFonts w:ascii="Times New Roman" w:hAnsi="Times New Roman" w:cs="Times New Roman"/>
                <w:sz w:val="24"/>
                <w:szCs w:val="24"/>
              </w:rPr>
              <w:t>Weaknesses</w:t>
            </w:r>
          </w:p>
        </w:tc>
      </w:tr>
      <w:tr w:rsidR="00C66043" w:rsidRPr="00C66043" w14:paraId="744475C5" w14:textId="77777777" w:rsidTr="00C660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E62E18"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Strong luxury brand equity (Range Rover, Defender)</w:t>
            </w:r>
          </w:p>
        </w:tc>
        <w:tc>
          <w:tcPr>
            <w:tcW w:w="0" w:type="auto"/>
            <w:hideMark/>
          </w:tcPr>
          <w:p w14:paraId="708332E5"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Slow EV rollout vs competitors</w:t>
            </w:r>
          </w:p>
        </w:tc>
      </w:tr>
      <w:tr w:rsidR="00C66043" w:rsidRPr="00C66043" w14:paraId="14D0ED3D" w14:textId="77777777" w:rsidTr="00C66043">
        <w:tc>
          <w:tcPr>
            <w:cnfStyle w:val="001000000000" w:firstRow="0" w:lastRow="0" w:firstColumn="1" w:lastColumn="0" w:oddVBand="0" w:evenVBand="0" w:oddHBand="0" w:evenHBand="0" w:firstRowFirstColumn="0" w:firstRowLastColumn="0" w:lastRowFirstColumn="0" w:lastRowLastColumn="0"/>
            <w:tcW w:w="0" w:type="auto"/>
            <w:hideMark/>
          </w:tcPr>
          <w:p w14:paraId="01670D11"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Backing of Tata Motors (financial stability)</w:t>
            </w:r>
          </w:p>
        </w:tc>
        <w:tc>
          <w:tcPr>
            <w:tcW w:w="0" w:type="auto"/>
            <w:hideMark/>
          </w:tcPr>
          <w:p w14:paraId="696CFA73"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Complex &amp; fragile global supply chain</w:t>
            </w:r>
          </w:p>
        </w:tc>
      </w:tr>
      <w:tr w:rsidR="00C66043" w:rsidRPr="00C66043" w14:paraId="21DFFA2B" w14:textId="77777777" w:rsidTr="00C660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2A0BD6"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High-margin luxury product portfolio</w:t>
            </w:r>
          </w:p>
        </w:tc>
        <w:tc>
          <w:tcPr>
            <w:tcW w:w="0" w:type="auto"/>
            <w:hideMark/>
          </w:tcPr>
          <w:p w14:paraId="1E14DFF2"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High dependence on diesel/ICE legacy</w:t>
            </w:r>
          </w:p>
        </w:tc>
      </w:tr>
      <w:tr w:rsidR="00C66043" w:rsidRPr="00C66043" w14:paraId="01B24EF3" w14:textId="77777777" w:rsidTr="00C66043">
        <w:tc>
          <w:tcPr>
            <w:cnfStyle w:val="001000000000" w:firstRow="0" w:lastRow="0" w:firstColumn="1" w:lastColumn="0" w:oddVBand="0" w:evenVBand="0" w:oddHBand="0" w:evenHBand="0" w:firstRowFirstColumn="0" w:firstRowLastColumn="0" w:lastRowFirstColumn="0" w:lastRowLastColumn="0"/>
            <w:tcW w:w="0" w:type="auto"/>
            <w:hideMark/>
          </w:tcPr>
          <w:p w14:paraId="288D0064"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Global presence (China, US, UK)</w:t>
            </w:r>
          </w:p>
        </w:tc>
        <w:tc>
          <w:tcPr>
            <w:tcW w:w="0" w:type="auto"/>
            <w:hideMark/>
          </w:tcPr>
          <w:p w14:paraId="4454BBB8"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Production delays, platform development issues</w:t>
            </w:r>
          </w:p>
        </w:tc>
      </w:tr>
      <w:tr w:rsidR="00C66043" w:rsidRPr="00C66043" w14:paraId="4AD9928D" w14:textId="77777777" w:rsidTr="00C660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8B703C"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Strong design &amp; craftsmanship capabilities</w:t>
            </w:r>
          </w:p>
        </w:tc>
        <w:tc>
          <w:tcPr>
            <w:tcW w:w="0" w:type="auto"/>
            <w:hideMark/>
          </w:tcPr>
          <w:p w14:paraId="705D6ADD"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Lower economies of scale compared to German rivals</w:t>
            </w:r>
          </w:p>
        </w:tc>
      </w:tr>
      <w:tr w:rsidR="00DC2F9C" w:rsidRPr="00C66043" w14:paraId="2891E9D7" w14:textId="77777777" w:rsidTr="00C66043">
        <w:tc>
          <w:tcPr>
            <w:cnfStyle w:val="001000000000" w:firstRow="0" w:lastRow="0" w:firstColumn="1" w:lastColumn="0" w:oddVBand="0" w:evenVBand="0" w:oddHBand="0" w:evenHBand="0" w:firstRowFirstColumn="0" w:firstRowLastColumn="0" w:lastRowFirstColumn="0" w:lastRowLastColumn="0"/>
            <w:tcW w:w="0" w:type="auto"/>
            <w:hideMark/>
          </w:tcPr>
          <w:p w14:paraId="2C66BE53"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Opportunities</w:t>
            </w:r>
          </w:p>
        </w:tc>
        <w:tc>
          <w:tcPr>
            <w:tcW w:w="0" w:type="auto"/>
            <w:hideMark/>
          </w:tcPr>
          <w:p w14:paraId="7CA03158"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Threats</w:t>
            </w:r>
          </w:p>
        </w:tc>
      </w:tr>
      <w:tr w:rsidR="00C66043" w:rsidRPr="00C66043" w14:paraId="0573230B" w14:textId="77777777" w:rsidTr="00C660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C4B41A"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Rising global demand for luxury EVs</w:t>
            </w:r>
          </w:p>
        </w:tc>
        <w:tc>
          <w:tcPr>
            <w:tcW w:w="0" w:type="auto"/>
            <w:hideMark/>
          </w:tcPr>
          <w:p w14:paraId="153DF881"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Intense competition from Tesla, BMW, Mercedes</w:t>
            </w:r>
          </w:p>
        </w:tc>
      </w:tr>
      <w:tr w:rsidR="00C66043" w:rsidRPr="00C66043" w14:paraId="34599AD1" w14:textId="77777777" w:rsidTr="00C66043">
        <w:tc>
          <w:tcPr>
            <w:cnfStyle w:val="001000000000" w:firstRow="0" w:lastRow="0" w:firstColumn="1" w:lastColumn="0" w:oddVBand="0" w:evenVBand="0" w:oddHBand="0" w:evenHBand="0" w:firstRowFirstColumn="0" w:firstRowLastColumn="0" w:lastRowFirstColumn="0" w:lastRowLastColumn="0"/>
            <w:tcW w:w="0" w:type="auto"/>
            <w:hideMark/>
          </w:tcPr>
          <w:p w14:paraId="2D140220"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Green regulations accelerating EV adoption</w:t>
            </w:r>
          </w:p>
        </w:tc>
        <w:tc>
          <w:tcPr>
            <w:tcW w:w="0" w:type="auto"/>
            <w:hideMark/>
          </w:tcPr>
          <w:p w14:paraId="73A24C64"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Economic slowdown in China (major JLR market)</w:t>
            </w:r>
          </w:p>
        </w:tc>
      </w:tr>
      <w:tr w:rsidR="00C66043" w:rsidRPr="00C66043" w14:paraId="4EEA3989" w14:textId="77777777" w:rsidTr="00C660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95172B"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Supply chain localisation &amp; vertical integration</w:t>
            </w:r>
          </w:p>
        </w:tc>
        <w:tc>
          <w:tcPr>
            <w:tcW w:w="0" w:type="auto"/>
            <w:hideMark/>
          </w:tcPr>
          <w:p w14:paraId="2EA6C542" w14:textId="77777777" w:rsidR="00C66043" w:rsidRPr="00C66043" w:rsidRDefault="00C66043" w:rsidP="00DC2F9C">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Regulatory pressures (2030 ICE ban, emissions standards)</w:t>
            </w:r>
          </w:p>
        </w:tc>
      </w:tr>
      <w:tr w:rsidR="00DC2F9C" w:rsidRPr="00C66043" w14:paraId="07EE141A" w14:textId="77777777" w:rsidTr="00C66043">
        <w:tc>
          <w:tcPr>
            <w:cnfStyle w:val="001000000000" w:firstRow="0" w:lastRow="0" w:firstColumn="1" w:lastColumn="0" w:oddVBand="0" w:evenVBand="0" w:oddHBand="0" w:evenHBand="0" w:firstRowFirstColumn="0" w:firstRowLastColumn="0" w:lastRowFirstColumn="0" w:lastRowLastColumn="0"/>
            <w:tcW w:w="0" w:type="auto"/>
            <w:hideMark/>
          </w:tcPr>
          <w:p w14:paraId="0AAE1E54" w14:textId="77777777" w:rsidR="00C66043" w:rsidRPr="00C66043" w:rsidRDefault="00C66043" w:rsidP="00DC2F9C">
            <w:pPr>
              <w:spacing w:after="160" w:line="360" w:lineRule="auto"/>
              <w:jc w:val="both"/>
              <w:rPr>
                <w:rFonts w:ascii="Times New Roman" w:hAnsi="Times New Roman" w:cs="Times New Roman"/>
                <w:sz w:val="24"/>
                <w:szCs w:val="24"/>
              </w:rPr>
            </w:pPr>
            <w:r w:rsidRPr="00C66043">
              <w:rPr>
                <w:rFonts w:ascii="Times New Roman" w:hAnsi="Times New Roman" w:cs="Times New Roman"/>
                <w:sz w:val="24"/>
                <w:szCs w:val="24"/>
              </w:rPr>
              <w:t>Expansion into high-growth markets (India, Middle East)</w:t>
            </w:r>
          </w:p>
        </w:tc>
        <w:tc>
          <w:tcPr>
            <w:tcW w:w="0" w:type="auto"/>
            <w:hideMark/>
          </w:tcPr>
          <w:p w14:paraId="54CE4306" w14:textId="77777777" w:rsidR="00C66043" w:rsidRPr="00C66043" w:rsidRDefault="00C66043" w:rsidP="00DC2F9C">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66043">
              <w:rPr>
                <w:rFonts w:ascii="Times New Roman" w:hAnsi="Times New Roman" w:cs="Times New Roman"/>
                <w:b/>
                <w:bCs/>
                <w:sz w:val="24"/>
                <w:szCs w:val="24"/>
              </w:rPr>
              <w:t>Disruptive entrants (NIO, Lucid, Rivian, BYD)</w:t>
            </w:r>
          </w:p>
        </w:tc>
      </w:tr>
    </w:tbl>
    <w:p w14:paraId="62C9A1EA" w14:textId="77777777" w:rsidR="00C66043" w:rsidRPr="00C66043" w:rsidRDefault="00C66043" w:rsidP="00DC2F9C">
      <w:pPr>
        <w:spacing w:line="360" w:lineRule="auto"/>
        <w:jc w:val="both"/>
        <w:rPr>
          <w:rFonts w:ascii="Times New Roman" w:hAnsi="Times New Roman" w:cs="Times New Roman"/>
          <w:b/>
          <w:bCs/>
          <w:sz w:val="24"/>
          <w:szCs w:val="24"/>
        </w:rPr>
      </w:pPr>
    </w:p>
    <w:p w14:paraId="6C05885F" w14:textId="2CE8C3BE" w:rsidR="00C66043" w:rsidRPr="00C66043" w:rsidRDefault="00DC2F9C"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SWOT analysis reveals that the JLR brand equity is the strongest of the company and it makes it one of the world best luxury automobile companies in the world. The presence of iconic models including Range Rover and Defender allows the company to command a premium price and high margins, which is essential to continue to make profits in the industry where electrification is heavy. Parent company support in terms of finances and strategy JLR has a stronger investment capability, particularly in EV and digital technology research and development, supported by financial and strategic assistance of its parent company Tata </w:t>
      </w:r>
      <w:r w:rsidRPr="00DC2F9C">
        <w:rPr>
          <w:rFonts w:ascii="Times New Roman" w:hAnsi="Times New Roman" w:cs="Times New Roman"/>
          <w:sz w:val="24"/>
          <w:szCs w:val="24"/>
        </w:rPr>
        <w:lastRenderedPageBreak/>
        <w:t>Motors. Nevertheless, JLR has considerable internal disadvantages, including the inability to transition to EVs faster than Tesla, BMW, and Mercedes. JLR has been weakening in the rapidly expanding luxury EV market due to the delays in the MLA/EMA platform. Performance is further limited by operational inefficiencies specifically supply chain vulnerability revealed in the semiconductor crisis and BREXIT associated friction (</w:t>
      </w:r>
      <w:proofErr w:type="spellStart"/>
      <w:r w:rsidRPr="00DC2F9C">
        <w:rPr>
          <w:rFonts w:ascii="Times New Roman" w:hAnsi="Times New Roman" w:cs="Times New Roman"/>
          <w:sz w:val="24"/>
          <w:szCs w:val="24"/>
        </w:rPr>
        <w:t>Serohi</w:t>
      </w:r>
      <w:proofErr w:type="spellEnd"/>
      <w:r w:rsidRPr="00DC2F9C">
        <w:rPr>
          <w:rFonts w:ascii="Times New Roman" w:hAnsi="Times New Roman" w:cs="Times New Roman"/>
          <w:sz w:val="24"/>
          <w:szCs w:val="24"/>
        </w:rPr>
        <w:t>, 2020). The long-time reliance on diesel vehicles also poses a threat of becoming a structural weakness of the firm as the global emissions laws become stricter. It has opportunities created by global sustainability megatrends. The move towards EVs and green mobility is consistent with the JLR long-term strategy of Reimagine, which allows the company to expand in the high demand, the US, EU, China, and the Middle East. India: the Tata ecosystem can support expansion into India, which is one of the key diversification opportunities. The threats are also very prominent and dynamic. The market in the high-end EV is getting increasingly competitive, and Tesla, BMW, Mercedes, and up-and-coming Chinese companies competitiveness introduce highly developed electric platforms. Moreover, the macroeconomic risks, in particular, the reduced growth of China might affect the global revenues of JLR. There are still regulatory tightening and technological disruption threats. In general, to be able to utilize its strong brand and international opportunities to the fullest, JLR needs to resolve internal weaknesses especially EV delays and supply chain vulnerabilities.</w:t>
      </w:r>
    </w:p>
    <w:p w14:paraId="2B4D8D30" w14:textId="77777777" w:rsidR="00C66043" w:rsidRPr="00C66043" w:rsidRDefault="00C66043" w:rsidP="00DC2F9C">
      <w:pPr>
        <w:pStyle w:val="Heading1"/>
      </w:pPr>
      <w:bookmarkStart w:id="9" w:name="_Toc215249435"/>
      <w:r w:rsidRPr="00C66043">
        <w:t>5. Strategic Issues Identified</w:t>
      </w:r>
      <w:bookmarkEnd w:id="9"/>
    </w:p>
    <w:p w14:paraId="510A2B22" w14:textId="28440FA0" w:rsidR="00DC2F9C" w:rsidRPr="00DC2F9C" w:rsidRDefault="00DC2F9C"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Based on the analysis of external and internal environment, several strategic issues can be identified: </w:t>
      </w:r>
    </w:p>
    <w:p w14:paraId="54847C59" w14:textId="77772BAF" w:rsidR="00DC2F9C" w:rsidRPr="00DC2F9C" w:rsidRDefault="00DC2F9C" w:rsidP="00DC2F9C">
      <w:pPr>
        <w:pStyle w:val="ListParagraph"/>
        <w:numPr>
          <w:ilvl w:val="0"/>
          <w:numId w:val="7"/>
        </w:numPr>
        <w:spacing w:line="360" w:lineRule="auto"/>
        <w:jc w:val="both"/>
        <w:rPr>
          <w:rFonts w:ascii="Times New Roman" w:hAnsi="Times New Roman" w:cs="Times New Roman"/>
          <w:sz w:val="24"/>
          <w:szCs w:val="24"/>
        </w:rPr>
      </w:pPr>
      <w:r w:rsidRPr="00DC2F9C">
        <w:rPr>
          <w:rFonts w:ascii="Times New Roman" w:hAnsi="Times New Roman" w:cs="Times New Roman"/>
          <w:b/>
          <w:bCs/>
          <w:sz w:val="24"/>
          <w:szCs w:val="24"/>
        </w:rPr>
        <w:t xml:space="preserve">Slowness in EV Transition: </w:t>
      </w:r>
      <w:r w:rsidRPr="00DC2F9C">
        <w:rPr>
          <w:rFonts w:ascii="Times New Roman" w:hAnsi="Times New Roman" w:cs="Times New Roman"/>
          <w:sz w:val="24"/>
          <w:szCs w:val="24"/>
        </w:rPr>
        <w:t xml:space="preserve">Sluggish adoption of MLA/EMA platforms will see JLR trailing behind Tesla, BMW, and Mercedes in the high-end EV market. </w:t>
      </w:r>
    </w:p>
    <w:p w14:paraId="07F1A285" w14:textId="77777777" w:rsidR="00DC2F9C" w:rsidRPr="00DC2F9C" w:rsidRDefault="00DC2F9C" w:rsidP="00DC2F9C">
      <w:pPr>
        <w:pStyle w:val="ListParagraph"/>
        <w:numPr>
          <w:ilvl w:val="0"/>
          <w:numId w:val="7"/>
        </w:numPr>
        <w:spacing w:line="360" w:lineRule="auto"/>
        <w:jc w:val="both"/>
        <w:rPr>
          <w:rFonts w:ascii="Times New Roman" w:hAnsi="Times New Roman" w:cs="Times New Roman"/>
          <w:sz w:val="24"/>
          <w:szCs w:val="24"/>
        </w:rPr>
      </w:pPr>
      <w:r w:rsidRPr="00DC2F9C">
        <w:rPr>
          <w:rFonts w:ascii="Times New Roman" w:hAnsi="Times New Roman" w:cs="Times New Roman"/>
          <w:b/>
          <w:bCs/>
          <w:sz w:val="24"/>
          <w:szCs w:val="24"/>
        </w:rPr>
        <w:t>Supply Chain Vulnerabilities:</w:t>
      </w:r>
      <w:r w:rsidRPr="00DC2F9C">
        <w:rPr>
          <w:rFonts w:ascii="Times New Roman" w:hAnsi="Times New Roman" w:cs="Times New Roman"/>
          <w:sz w:val="24"/>
          <w:szCs w:val="24"/>
        </w:rPr>
        <w:t xml:space="preserve"> The use of external suppliers of batteries and chips poses a risk of production and margin pressure. </w:t>
      </w:r>
    </w:p>
    <w:p w14:paraId="4DC7E636" w14:textId="77777777" w:rsidR="00DC2F9C" w:rsidRPr="00DC2F9C" w:rsidRDefault="00DC2F9C" w:rsidP="00DC2F9C">
      <w:pPr>
        <w:pStyle w:val="ListParagraph"/>
        <w:numPr>
          <w:ilvl w:val="0"/>
          <w:numId w:val="7"/>
        </w:numPr>
        <w:spacing w:line="360" w:lineRule="auto"/>
        <w:jc w:val="both"/>
        <w:rPr>
          <w:rFonts w:ascii="Times New Roman" w:hAnsi="Times New Roman" w:cs="Times New Roman"/>
          <w:sz w:val="24"/>
          <w:szCs w:val="24"/>
        </w:rPr>
      </w:pPr>
      <w:r w:rsidRPr="00DC2F9C">
        <w:rPr>
          <w:rFonts w:ascii="Times New Roman" w:hAnsi="Times New Roman" w:cs="Times New Roman"/>
          <w:b/>
          <w:bCs/>
          <w:sz w:val="24"/>
          <w:szCs w:val="24"/>
        </w:rPr>
        <w:t>Dependence on China:</w:t>
      </w:r>
      <w:r w:rsidRPr="00DC2F9C">
        <w:rPr>
          <w:rFonts w:ascii="Times New Roman" w:hAnsi="Times New Roman" w:cs="Times New Roman"/>
          <w:sz w:val="24"/>
          <w:szCs w:val="24"/>
        </w:rPr>
        <w:t xml:space="preserve"> A huge percentage of revenues of JLR is pegged on a volatile market that is susceptible to economic turmoil and regulatory reform. </w:t>
      </w:r>
    </w:p>
    <w:p w14:paraId="4D4A484C" w14:textId="77777777" w:rsidR="00DC2F9C" w:rsidRPr="00DC2F9C" w:rsidRDefault="00DC2F9C" w:rsidP="00DC2F9C">
      <w:pPr>
        <w:pStyle w:val="ListParagraph"/>
        <w:numPr>
          <w:ilvl w:val="0"/>
          <w:numId w:val="7"/>
        </w:numPr>
        <w:spacing w:line="360" w:lineRule="auto"/>
        <w:jc w:val="both"/>
        <w:rPr>
          <w:rFonts w:ascii="Times New Roman" w:hAnsi="Times New Roman" w:cs="Times New Roman"/>
          <w:sz w:val="24"/>
          <w:szCs w:val="24"/>
        </w:rPr>
      </w:pPr>
      <w:r w:rsidRPr="00DC2F9C">
        <w:rPr>
          <w:rFonts w:ascii="Times New Roman" w:hAnsi="Times New Roman" w:cs="Times New Roman"/>
          <w:b/>
          <w:bCs/>
          <w:sz w:val="24"/>
          <w:szCs w:val="24"/>
        </w:rPr>
        <w:t>Technological Disadvantages:</w:t>
      </w:r>
      <w:r w:rsidRPr="00DC2F9C">
        <w:rPr>
          <w:rFonts w:ascii="Times New Roman" w:hAnsi="Times New Roman" w:cs="Times New Roman"/>
          <w:sz w:val="24"/>
          <w:szCs w:val="24"/>
        </w:rPr>
        <w:t xml:space="preserve"> Competitors have superior digital ecosystems, superior software integration, and advanced autonomous systems. </w:t>
      </w:r>
    </w:p>
    <w:p w14:paraId="4BC22F72" w14:textId="52A2665E" w:rsidR="00DC2F9C" w:rsidRPr="00DC2F9C" w:rsidRDefault="00DC2F9C" w:rsidP="00DC2F9C">
      <w:pPr>
        <w:pStyle w:val="ListParagraph"/>
        <w:numPr>
          <w:ilvl w:val="0"/>
          <w:numId w:val="7"/>
        </w:numPr>
        <w:spacing w:line="360" w:lineRule="auto"/>
        <w:jc w:val="both"/>
        <w:rPr>
          <w:rFonts w:ascii="Times New Roman" w:hAnsi="Times New Roman" w:cs="Times New Roman"/>
          <w:sz w:val="24"/>
          <w:szCs w:val="24"/>
        </w:rPr>
      </w:pPr>
      <w:r w:rsidRPr="00DC2F9C">
        <w:rPr>
          <w:rFonts w:ascii="Times New Roman" w:hAnsi="Times New Roman" w:cs="Times New Roman"/>
          <w:b/>
          <w:bCs/>
          <w:sz w:val="24"/>
          <w:szCs w:val="24"/>
        </w:rPr>
        <w:t>High-Cost Structure:</w:t>
      </w:r>
      <w:r w:rsidRPr="00DC2F9C">
        <w:rPr>
          <w:rFonts w:ascii="Times New Roman" w:hAnsi="Times New Roman" w:cs="Times New Roman"/>
          <w:sz w:val="24"/>
          <w:szCs w:val="24"/>
        </w:rPr>
        <w:t xml:space="preserve"> The manufacturing is based in the UK, economies of scale are low, and complicated platform strategies add costs of production. </w:t>
      </w:r>
    </w:p>
    <w:p w14:paraId="029693EC" w14:textId="7B956CD7" w:rsidR="00C66043" w:rsidRPr="00C66043" w:rsidRDefault="00DC2F9C"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lastRenderedPageBreak/>
        <w:t>These are the problems that should be addressed to maintain competitiveness in a technologically changing market.</w:t>
      </w:r>
    </w:p>
    <w:p w14:paraId="65B582B3" w14:textId="77777777" w:rsidR="00C66043" w:rsidRPr="00C66043" w:rsidRDefault="00C66043" w:rsidP="00DC2F9C">
      <w:pPr>
        <w:pStyle w:val="Heading1"/>
      </w:pPr>
      <w:bookmarkStart w:id="10" w:name="_Toc215249436"/>
      <w:r w:rsidRPr="00C66043">
        <w:t>6. Strategy Formulation</w:t>
      </w:r>
      <w:bookmarkEnd w:id="10"/>
    </w:p>
    <w:p w14:paraId="4C8F06EC" w14:textId="77777777" w:rsidR="00DC2F9C" w:rsidRPr="00DC2F9C" w:rsidRDefault="00DC2F9C" w:rsidP="00DC2F9C">
      <w:pPr>
        <w:spacing w:line="360" w:lineRule="auto"/>
        <w:jc w:val="both"/>
        <w:rPr>
          <w:rFonts w:ascii="Times New Roman" w:hAnsi="Times New Roman" w:cs="Times New Roman"/>
          <w:b/>
          <w:bCs/>
          <w:sz w:val="24"/>
          <w:szCs w:val="24"/>
        </w:rPr>
      </w:pPr>
      <w:r w:rsidRPr="00DC2F9C">
        <w:rPr>
          <w:rFonts w:ascii="Times New Roman" w:hAnsi="Times New Roman" w:cs="Times New Roman"/>
          <w:b/>
          <w:bCs/>
          <w:sz w:val="24"/>
          <w:szCs w:val="24"/>
        </w:rPr>
        <w:t>Option 1:</w:t>
      </w:r>
    </w:p>
    <w:p w14:paraId="0D744BCC" w14:textId="4D2982E2" w:rsidR="00DC2F9C" w:rsidRPr="00DC2F9C" w:rsidRDefault="00DC2F9C"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 Accelerated Electrification Strategy. To implement the EV models faster, JLR needs to focus on the EMA platform, simplify the process of R&amp;D and establish a closer cooperation with battery providers. More aggressive EV implementation would win over the increasing demand, facilitate the emissions regulation, and avoid the further loss of market share. Alliances such as BMW CATL or Mercedes </w:t>
      </w:r>
      <w:proofErr w:type="spellStart"/>
      <w:r w:rsidRPr="00DC2F9C">
        <w:rPr>
          <w:rFonts w:ascii="Times New Roman" w:hAnsi="Times New Roman" w:cs="Times New Roman"/>
          <w:sz w:val="24"/>
          <w:szCs w:val="24"/>
        </w:rPr>
        <w:t>Farasis</w:t>
      </w:r>
      <w:proofErr w:type="spellEnd"/>
      <w:r w:rsidRPr="00DC2F9C">
        <w:rPr>
          <w:rFonts w:ascii="Times New Roman" w:hAnsi="Times New Roman" w:cs="Times New Roman"/>
          <w:sz w:val="24"/>
          <w:szCs w:val="24"/>
        </w:rPr>
        <w:t xml:space="preserve"> have the potential to decrease reliance and enhance batteries supply elasticity. This type of strategy will go hand in hand with the global sustainability switch but will need the company to invest heavily in the beginning.</w:t>
      </w:r>
    </w:p>
    <w:p w14:paraId="76FC0A1D" w14:textId="77777777" w:rsidR="00DC2F9C" w:rsidRPr="00DC2F9C" w:rsidRDefault="00DC2F9C" w:rsidP="00DC2F9C">
      <w:pPr>
        <w:spacing w:line="360" w:lineRule="auto"/>
        <w:jc w:val="both"/>
        <w:rPr>
          <w:rFonts w:ascii="Times New Roman" w:hAnsi="Times New Roman" w:cs="Times New Roman"/>
          <w:b/>
          <w:bCs/>
          <w:sz w:val="24"/>
          <w:szCs w:val="24"/>
        </w:rPr>
      </w:pPr>
      <w:r w:rsidRPr="00DC2F9C">
        <w:rPr>
          <w:rFonts w:ascii="Times New Roman" w:hAnsi="Times New Roman" w:cs="Times New Roman"/>
          <w:b/>
          <w:bCs/>
          <w:sz w:val="24"/>
          <w:szCs w:val="24"/>
        </w:rPr>
        <w:t xml:space="preserve"> Option 2: </w:t>
      </w:r>
    </w:p>
    <w:p w14:paraId="4F82417B" w14:textId="6D587E8E" w:rsidR="00DC2F9C" w:rsidRPr="00DC2F9C" w:rsidRDefault="00DC2F9C"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Resilience and Localisation of the Supply Chain. The exposure to risk will be less because of the creation of a more robust supply chain by nearshoring, multi supplier, and local production of batteries. Gigafactories of UK or EU batteries which could be developed jointly would decrease logistical uncertainty and improve control. Online supply chain management, predictive analytics, and joint planning with suppliers enhance long-term business stability. </w:t>
      </w:r>
    </w:p>
    <w:p w14:paraId="782AFDA5" w14:textId="77777777" w:rsidR="00DC2F9C" w:rsidRPr="00DC2F9C" w:rsidRDefault="00DC2F9C" w:rsidP="00DC2F9C">
      <w:pPr>
        <w:spacing w:line="360" w:lineRule="auto"/>
        <w:jc w:val="both"/>
        <w:rPr>
          <w:rFonts w:ascii="Times New Roman" w:hAnsi="Times New Roman" w:cs="Times New Roman"/>
          <w:b/>
          <w:bCs/>
          <w:sz w:val="24"/>
          <w:szCs w:val="24"/>
        </w:rPr>
      </w:pPr>
      <w:r w:rsidRPr="00DC2F9C">
        <w:rPr>
          <w:rFonts w:ascii="Times New Roman" w:hAnsi="Times New Roman" w:cs="Times New Roman"/>
          <w:b/>
          <w:bCs/>
          <w:sz w:val="24"/>
          <w:szCs w:val="24"/>
        </w:rPr>
        <w:t>Option 3:</w:t>
      </w:r>
    </w:p>
    <w:p w14:paraId="52208159" w14:textId="2451AA44" w:rsidR="00C66043" w:rsidRPr="00C66043" w:rsidRDefault="00DC2F9C" w:rsidP="00DC2F9C">
      <w:pPr>
        <w:spacing w:line="360" w:lineRule="auto"/>
        <w:jc w:val="both"/>
        <w:rPr>
          <w:rFonts w:ascii="Times New Roman" w:hAnsi="Times New Roman" w:cs="Times New Roman"/>
          <w:b/>
          <w:bCs/>
          <w:sz w:val="24"/>
          <w:szCs w:val="24"/>
        </w:rPr>
      </w:pPr>
      <w:r w:rsidRPr="00DC2F9C">
        <w:rPr>
          <w:rFonts w:ascii="Times New Roman" w:hAnsi="Times New Roman" w:cs="Times New Roman"/>
          <w:sz w:val="24"/>
          <w:szCs w:val="24"/>
        </w:rPr>
        <w:t>High Growth Markets Geographic Diversification. The increased presence in India, Middle East and Southeast Asia minimizes China reliance. Using the good regional networks that Tata Motors has will enhance the market penetration and reduce the costs of market entry. Differentiated pricing strategy, geographic features, and focus marketing may be useful to attract the high-income customer segments in these regions</w:t>
      </w:r>
      <w:r w:rsidRPr="00DC2F9C">
        <w:rPr>
          <w:rFonts w:ascii="Times New Roman" w:hAnsi="Times New Roman" w:cs="Times New Roman"/>
          <w:b/>
          <w:bCs/>
          <w:sz w:val="24"/>
          <w:szCs w:val="24"/>
        </w:rPr>
        <w:t>.</w:t>
      </w:r>
    </w:p>
    <w:p w14:paraId="7D220147" w14:textId="77777777" w:rsidR="00DC2F9C" w:rsidRPr="00DC2F9C" w:rsidRDefault="00DC2F9C" w:rsidP="00DC2F9C">
      <w:pPr>
        <w:spacing w:line="360" w:lineRule="auto"/>
        <w:jc w:val="both"/>
        <w:rPr>
          <w:rFonts w:ascii="Times New Roman" w:hAnsi="Times New Roman" w:cs="Times New Roman"/>
          <w:b/>
          <w:bCs/>
          <w:sz w:val="24"/>
          <w:szCs w:val="24"/>
        </w:rPr>
      </w:pPr>
      <w:r w:rsidRPr="00DC2F9C">
        <w:rPr>
          <w:rFonts w:ascii="Times New Roman" w:hAnsi="Times New Roman" w:cs="Times New Roman"/>
          <w:b/>
          <w:bCs/>
          <w:sz w:val="24"/>
          <w:szCs w:val="24"/>
        </w:rPr>
        <w:br w:type="page"/>
      </w:r>
    </w:p>
    <w:p w14:paraId="440F0980" w14:textId="6BFDA7FA" w:rsidR="00C66043" w:rsidRPr="00C66043" w:rsidRDefault="00C66043" w:rsidP="00DC2F9C">
      <w:pPr>
        <w:pStyle w:val="Heading1"/>
      </w:pPr>
      <w:bookmarkStart w:id="11" w:name="_Toc215249437"/>
      <w:r w:rsidRPr="00C66043">
        <w:lastRenderedPageBreak/>
        <w:t>7. Recommendations</w:t>
      </w:r>
      <w:bookmarkEnd w:id="11"/>
    </w:p>
    <w:p w14:paraId="19A9D610" w14:textId="005A9789" w:rsidR="00DC2F9C" w:rsidRPr="00DC2F9C" w:rsidRDefault="00DC2F9C"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According to the analysis, the best approach is a combined one with Electrification Acceleration Option 1 and Supply Chain Resilience Option 2.</w:t>
      </w:r>
    </w:p>
    <w:p w14:paraId="64A61541" w14:textId="77777777" w:rsidR="00DC2F9C" w:rsidRPr="00DC2F9C" w:rsidRDefault="00DC2F9C" w:rsidP="00DC2F9C">
      <w:pPr>
        <w:spacing w:line="360" w:lineRule="auto"/>
        <w:jc w:val="both"/>
        <w:rPr>
          <w:rFonts w:ascii="Times New Roman" w:hAnsi="Times New Roman" w:cs="Times New Roman"/>
          <w:b/>
          <w:bCs/>
          <w:sz w:val="24"/>
          <w:szCs w:val="24"/>
        </w:rPr>
      </w:pPr>
      <w:r w:rsidRPr="00DC2F9C">
        <w:rPr>
          <w:rFonts w:ascii="Times New Roman" w:hAnsi="Times New Roman" w:cs="Times New Roman"/>
          <w:b/>
          <w:bCs/>
          <w:sz w:val="24"/>
          <w:szCs w:val="24"/>
        </w:rPr>
        <w:t xml:space="preserve"> Recommendation 1: </w:t>
      </w:r>
    </w:p>
    <w:p w14:paraId="1EB268A3" w14:textId="77777777" w:rsidR="00DC2F9C" w:rsidRPr="00DC2F9C" w:rsidRDefault="00DC2F9C" w:rsidP="00DC2F9C">
      <w:pPr>
        <w:pStyle w:val="ListParagraph"/>
        <w:numPr>
          <w:ilvl w:val="0"/>
          <w:numId w:val="13"/>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Rapid EV Development. </w:t>
      </w:r>
    </w:p>
    <w:p w14:paraId="6085C25B" w14:textId="41653D17" w:rsidR="00DC2F9C" w:rsidRPr="00DC2F9C" w:rsidRDefault="00DC2F9C" w:rsidP="00DC2F9C">
      <w:pPr>
        <w:pStyle w:val="ListParagraph"/>
        <w:numPr>
          <w:ilvl w:val="0"/>
          <w:numId w:val="13"/>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Focus more on full EV models and less on hybrids.</w:t>
      </w:r>
    </w:p>
    <w:p w14:paraId="2B868F6F" w14:textId="2C716413" w:rsidR="00DC2F9C" w:rsidRPr="00DC2F9C" w:rsidRDefault="00DC2F9C" w:rsidP="00DC2F9C">
      <w:pPr>
        <w:pStyle w:val="ListParagraph"/>
        <w:numPr>
          <w:ilvl w:val="0"/>
          <w:numId w:val="13"/>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Minimize platform complexity through model architecture integration. </w:t>
      </w:r>
    </w:p>
    <w:p w14:paraId="05F26368" w14:textId="0E0773E6" w:rsidR="00DC2F9C" w:rsidRPr="00DC2F9C" w:rsidRDefault="00DC2F9C" w:rsidP="00DC2F9C">
      <w:pPr>
        <w:pStyle w:val="ListParagraph"/>
        <w:numPr>
          <w:ilvl w:val="0"/>
          <w:numId w:val="13"/>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Make more alliances with battery and semiconductor innovators. </w:t>
      </w:r>
    </w:p>
    <w:p w14:paraId="211E86B9" w14:textId="77777777" w:rsidR="00DC2F9C" w:rsidRPr="00DC2F9C" w:rsidRDefault="00DC2F9C" w:rsidP="00DC2F9C">
      <w:pPr>
        <w:spacing w:line="360" w:lineRule="auto"/>
        <w:jc w:val="both"/>
        <w:rPr>
          <w:rFonts w:ascii="Times New Roman" w:hAnsi="Times New Roman" w:cs="Times New Roman"/>
          <w:b/>
          <w:bCs/>
          <w:sz w:val="24"/>
          <w:szCs w:val="24"/>
        </w:rPr>
      </w:pPr>
      <w:r w:rsidRPr="00DC2F9C">
        <w:rPr>
          <w:rFonts w:ascii="Times New Roman" w:hAnsi="Times New Roman" w:cs="Times New Roman"/>
          <w:b/>
          <w:bCs/>
          <w:sz w:val="24"/>
          <w:szCs w:val="24"/>
        </w:rPr>
        <w:t xml:space="preserve">Recommendation 2: </w:t>
      </w:r>
    </w:p>
    <w:p w14:paraId="7DBAB21F" w14:textId="77777777" w:rsidR="00DC2F9C" w:rsidRPr="00DC2F9C" w:rsidRDefault="00DC2F9C" w:rsidP="00DC2F9C">
      <w:pPr>
        <w:pStyle w:val="ListParagraph"/>
        <w:numPr>
          <w:ilvl w:val="0"/>
          <w:numId w:val="12"/>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Localise Major Components.</w:t>
      </w:r>
    </w:p>
    <w:p w14:paraId="68956A87" w14:textId="22FAAAF1" w:rsidR="00DC2F9C" w:rsidRPr="00DC2F9C" w:rsidRDefault="00DC2F9C" w:rsidP="00DC2F9C">
      <w:pPr>
        <w:pStyle w:val="ListParagraph"/>
        <w:numPr>
          <w:ilvl w:val="0"/>
          <w:numId w:val="12"/>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Partner with UK and EU on the development of gigafactories. </w:t>
      </w:r>
    </w:p>
    <w:p w14:paraId="6709F0BB" w14:textId="52CDD31A" w:rsidR="00DC2F9C" w:rsidRPr="00DC2F9C" w:rsidRDefault="00DC2F9C" w:rsidP="00DC2F9C">
      <w:pPr>
        <w:pStyle w:val="ListParagraph"/>
        <w:numPr>
          <w:ilvl w:val="0"/>
          <w:numId w:val="12"/>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Get second suppliers in Asia and Europe.</w:t>
      </w:r>
    </w:p>
    <w:p w14:paraId="08467EF3" w14:textId="3DDE72E8" w:rsidR="00DC2F9C" w:rsidRPr="00DC2F9C" w:rsidRDefault="00DC2F9C" w:rsidP="00DC2F9C">
      <w:pPr>
        <w:pStyle w:val="ListParagraph"/>
        <w:numPr>
          <w:ilvl w:val="0"/>
          <w:numId w:val="12"/>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Introduce online supply chain visibility solutions. </w:t>
      </w:r>
    </w:p>
    <w:p w14:paraId="58BE9DB8" w14:textId="77777777" w:rsidR="00DC2F9C" w:rsidRPr="00DC2F9C" w:rsidRDefault="00DC2F9C" w:rsidP="00DC2F9C">
      <w:pPr>
        <w:spacing w:line="360" w:lineRule="auto"/>
        <w:jc w:val="both"/>
        <w:rPr>
          <w:rFonts w:ascii="Times New Roman" w:hAnsi="Times New Roman" w:cs="Times New Roman"/>
          <w:b/>
          <w:bCs/>
          <w:sz w:val="24"/>
          <w:szCs w:val="24"/>
        </w:rPr>
      </w:pPr>
      <w:r w:rsidRPr="00DC2F9C">
        <w:rPr>
          <w:rFonts w:ascii="Times New Roman" w:hAnsi="Times New Roman" w:cs="Times New Roman"/>
          <w:b/>
          <w:bCs/>
          <w:sz w:val="24"/>
          <w:szCs w:val="24"/>
        </w:rPr>
        <w:t xml:space="preserve">Recommendation 3: </w:t>
      </w:r>
    </w:p>
    <w:p w14:paraId="0530F813" w14:textId="77777777" w:rsidR="00DC2F9C" w:rsidRPr="00DC2F9C" w:rsidRDefault="00DC2F9C" w:rsidP="00DC2F9C">
      <w:pPr>
        <w:pStyle w:val="ListParagraph"/>
        <w:numPr>
          <w:ilvl w:val="0"/>
          <w:numId w:val="11"/>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Take advantage of Tata Ecosystem to expand in the market. </w:t>
      </w:r>
    </w:p>
    <w:p w14:paraId="02671FA7" w14:textId="4790C240" w:rsidR="00DC2F9C" w:rsidRPr="00DC2F9C" w:rsidRDefault="00DC2F9C" w:rsidP="00DC2F9C">
      <w:pPr>
        <w:pStyle w:val="ListParagraph"/>
        <w:numPr>
          <w:ilvl w:val="0"/>
          <w:numId w:val="11"/>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Expand with local models and high-end EVs using the footprint of Tata in India. </w:t>
      </w:r>
    </w:p>
    <w:p w14:paraId="67AC2D04" w14:textId="3A425743" w:rsidR="00DC2F9C" w:rsidRPr="00DC2F9C" w:rsidRDefault="00DC2F9C" w:rsidP="00DC2F9C">
      <w:pPr>
        <w:pStyle w:val="ListParagraph"/>
        <w:numPr>
          <w:ilvl w:val="0"/>
          <w:numId w:val="11"/>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Enhance alliance in Middle East retail and service businesses. </w:t>
      </w:r>
    </w:p>
    <w:p w14:paraId="3909316D" w14:textId="77777777" w:rsidR="00DC2F9C" w:rsidRPr="00DC2F9C" w:rsidRDefault="00DC2F9C" w:rsidP="00DC2F9C">
      <w:pPr>
        <w:spacing w:line="360" w:lineRule="auto"/>
        <w:jc w:val="both"/>
        <w:rPr>
          <w:rFonts w:ascii="Times New Roman" w:hAnsi="Times New Roman" w:cs="Times New Roman"/>
          <w:b/>
          <w:bCs/>
          <w:sz w:val="24"/>
          <w:szCs w:val="24"/>
        </w:rPr>
      </w:pPr>
      <w:r w:rsidRPr="00DC2F9C">
        <w:rPr>
          <w:rFonts w:ascii="Times New Roman" w:hAnsi="Times New Roman" w:cs="Times New Roman"/>
          <w:b/>
          <w:bCs/>
          <w:sz w:val="24"/>
          <w:szCs w:val="24"/>
        </w:rPr>
        <w:t xml:space="preserve">Recommendation 4: </w:t>
      </w:r>
    </w:p>
    <w:p w14:paraId="66A3AE0F" w14:textId="77777777" w:rsidR="00DC2F9C" w:rsidRPr="00DC2F9C" w:rsidRDefault="00DC2F9C" w:rsidP="00DC2F9C">
      <w:pPr>
        <w:pStyle w:val="ListParagraph"/>
        <w:numPr>
          <w:ilvl w:val="0"/>
          <w:numId w:val="9"/>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Inventory Digital Capabilities and Software. </w:t>
      </w:r>
    </w:p>
    <w:p w14:paraId="72D27B89" w14:textId="7B8E1952" w:rsidR="00DC2F9C" w:rsidRPr="00DC2F9C" w:rsidRDefault="00DC2F9C" w:rsidP="00DC2F9C">
      <w:pPr>
        <w:pStyle w:val="ListParagraph"/>
        <w:numPr>
          <w:ilvl w:val="0"/>
          <w:numId w:val="9"/>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Hire software and artificially intelligent talent to aid related systems. </w:t>
      </w:r>
    </w:p>
    <w:p w14:paraId="406AAC6A" w14:textId="78E6E676" w:rsidR="00DC2F9C" w:rsidRPr="00DC2F9C" w:rsidRDefault="00DC2F9C" w:rsidP="00DC2F9C">
      <w:pPr>
        <w:pStyle w:val="ListParagraph"/>
        <w:numPr>
          <w:ilvl w:val="0"/>
          <w:numId w:val="9"/>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Create an integrated digital customer experience in markets.</w:t>
      </w:r>
    </w:p>
    <w:p w14:paraId="73BCDD5F" w14:textId="4E3C1681" w:rsidR="00C66043" w:rsidRPr="00DC2F9C" w:rsidRDefault="00DC2F9C" w:rsidP="00DC2F9C">
      <w:pPr>
        <w:pStyle w:val="ListParagraph"/>
        <w:numPr>
          <w:ilvl w:val="0"/>
          <w:numId w:val="9"/>
        </w:num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Extend over air (OTA) functions.</w:t>
      </w:r>
    </w:p>
    <w:p w14:paraId="2F858618" w14:textId="77777777" w:rsidR="00C66043" w:rsidRPr="00C66043" w:rsidRDefault="00C66043" w:rsidP="00DC2F9C">
      <w:pPr>
        <w:pStyle w:val="Heading1"/>
      </w:pPr>
      <w:bookmarkStart w:id="12" w:name="_Toc215249438"/>
      <w:r w:rsidRPr="00C66043">
        <w:t>8. Conclusion</w:t>
      </w:r>
      <w:bookmarkEnd w:id="12"/>
    </w:p>
    <w:p w14:paraId="08AF2AB2" w14:textId="2BD8B4FA" w:rsidR="00C66043" w:rsidRPr="00DC2F9C" w:rsidRDefault="00DC2F9C" w:rsidP="00DC2F9C">
      <w:pPr>
        <w:spacing w:line="360" w:lineRule="auto"/>
        <w:jc w:val="both"/>
        <w:rPr>
          <w:rFonts w:ascii="Times New Roman" w:hAnsi="Times New Roman" w:cs="Times New Roman"/>
          <w:sz w:val="24"/>
          <w:szCs w:val="24"/>
          <w:lang w:val="en-US"/>
        </w:rPr>
      </w:pPr>
      <w:r w:rsidRPr="00DC2F9C">
        <w:rPr>
          <w:rFonts w:ascii="Times New Roman" w:hAnsi="Times New Roman" w:cs="Times New Roman"/>
          <w:sz w:val="24"/>
          <w:szCs w:val="24"/>
        </w:rPr>
        <w:t xml:space="preserve">Jaguar Land Rover has been engaged in an environment that is highly competitive and intricate around the world; this is because of the disrupted technological advancements coupled with the demands of the regulatory bodies as well as the uncertainty in the supply chain that determine strategic priorities. As the high brand equity and luxury history of JLR give sustainable competitive advantage, internal strengths hamper performance in the long term, </w:t>
      </w:r>
      <w:r w:rsidRPr="00DC2F9C">
        <w:rPr>
          <w:rFonts w:ascii="Times New Roman" w:hAnsi="Times New Roman" w:cs="Times New Roman"/>
          <w:sz w:val="24"/>
          <w:szCs w:val="24"/>
        </w:rPr>
        <w:lastRenderedPageBreak/>
        <w:t>especially in the slow execution of EVs, as well as weak supply chains. The opportunities provided by the external environment are enormous due to the global EV expansion, sustainability, and market expansion into high growth markets. To prosper, JLR will have to speed up its electrification, build supply chain strength, strengthen partnerships, and become digital first. These measures will help the firm to consolidate its global position and guarantee the sustainability of its performance in the changing automotive industry.</w:t>
      </w:r>
      <w:r w:rsidR="00C66043" w:rsidRPr="00DC2F9C">
        <w:rPr>
          <w:rFonts w:ascii="Times New Roman" w:hAnsi="Times New Roman" w:cs="Times New Roman"/>
          <w:sz w:val="24"/>
          <w:szCs w:val="24"/>
          <w:lang w:val="en-US"/>
        </w:rPr>
        <w:br w:type="page"/>
      </w:r>
    </w:p>
    <w:p w14:paraId="39B51FBC" w14:textId="31E065D3" w:rsidR="007742B6" w:rsidRPr="00DC2F9C" w:rsidRDefault="00D11DD9" w:rsidP="00DC2F9C">
      <w:pPr>
        <w:pStyle w:val="Heading1"/>
        <w:rPr>
          <w:lang w:val="en-US"/>
        </w:rPr>
      </w:pPr>
      <w:bookmarkStart w:id="13" w:name="_Toc215249439"/>
      <w:r w:rsidRPr="00DC2F9C">
        <w:rPr>
          <w:lang w:val="en-US"/>
        </w:rPr>
        <w:lastRenderedPageBreak/>
        <w:t>Reference</w:t>
      </w:r>
      <w:bookmarkEnd w:id="13"/>
      <w:r w:rsidRPr="00DC2F9C">
        <w:rPr>
          <w:lang w:val="en-US"/>
        </w:rPr>
        <w:t xml:space="preserve"> </w:t>
      </w:r>
    </w:p>
    <w:p w14:paraId="3E362FE6" w14:textId="77777777" w:rsidR="005C5058" w:rsidRPr="00DC2F9C" w:rsidRDefault="005C5058"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Bathla, D., Awasthi, S. and Ahuja, R., 2022. PESTEL Analysis of the Automotive Industry. In </w:t>
      </w:r>
      <w:r w:rsidRPr="00DC2F9C">
        <w:rPr>
          <w:rFonts w:ascii="Times New Roman" w:hAnsi="Times New Roman" w:cs="Times New Roman"/>
          <w:i/>
          <w:iCs/>
          <w:sz w:val="24"/>
          <w:szCs w:val="24"/>
        </w:rPr>
        <w:t xml:space="preserve">Applying </w:t>
      </w:r>
      <w:proofErr w:type="spellStart"/>
      <w:r w:rsidRPr="00DC2F9C">
        <w:rPr>
          <w:rFonts w:ascii="Times New Roman" w:hAnsi="Times New Roman" w:cs="Times New Roman"/>
          <w:i/>
          <w:iCs/>
          <w:sz w:val="24"/>
          <w:szCs w:val="24"/>
        </w:rPr>
        <w:t>Metalytics</w:t>
      </w:r>
      <w:proofErr w:type="spellEnd"/>
      <w:r w:rsidRPr="00DC2F9C">
        <w:rPr>
          <w:rFonts w:ascii="Times New Roman" w:hAnsi="Times New Roman" w:cs="Times New Roman"/>
          <w:i/>
          <w:iCs/>
          <w:sz w:val="24"/>
          <w:szCs w:val="24"/>
        </w:rPr>
        <w:t xml:space="preserve"> to Measure Customer Experience in the Metaverse</w:t>
      </w:r>
      <w:r w:rsidRPr="00DC2F9C">
        <w:rPr>
          <w:rFonts w:ascii="Times New Roman" w:hAnsi="Times New Roman" w:cs="Times New Roman"/>
          <w:sz w:val="24"/>
          <w:szCs w:val="24"/>
        </w:rPr>
        <w:t> (pp. 143-160). IGI Global Scientific Publishing.</w:t>
      </w:r>
    </w:p>
    <w:p w14:paraId="3FD86BA9" w14:textId="77777777" w:rsidR="005C5058" w:rsidRPr="00DC2F9C" w:rsidRDefault="005C5058" w:rsidP="00DC2F9C">
      <w:pPr>
        <w:spacing w:line="360" w:lineRule="auto"/>
        <w:jc w:val="both"/>
        <w:rPr>
          <w:rFonts w:ascii="Times New Roman" w:hAnsi="Times New Roman" w:cs="Times New Roman"/>
          <w:color w:val="222222"/>
          <w:sz w:val="24"/>
          <w:szCs w:val="24"/>
          <w:shd w:val="clear" w:color="auto" w:fill="FFFFFF"/>
        </w:rPr>
      </w:pPr>
      <w:r w:rsidRPr="00DC2F9C">
        <w:rPr>
          <w:rFonts w:ascii="Times New Roman" w:hAnsi="Times New Roman" w:cs="Times New Roman"/>
          <w:sz w:val="24"/>
          <w:szCs w:val="24"/>
        </w:rPr>
        <w:t>Delic, M., Eyers, D.R. and Mikulic, J., 2019. Additive manufacturing: empirical evidence for supply chain integration and performance from the automotive industry. </w:t>
      </w:r>
      <w:r w:rsidRPr="00DC2F9C">
        <w:rPr>
          <w:rFonts w:ascii="Times New Roman" w:hAnsi="Times New Roman" w:cs="Times New Roman"/>
          <w:i/>
          <w:iCs/>
          <w:sz w:val="24"/>
          <w:szCs w:val="24"/>
        </w:rPr>
        <w:t>Supply Chain Management: An International Journal</w:t>
      </w:r>
      <w:r w:rsidRPr="00DC2F9C">
        <w:rPr>
          <w:rFonts w:ascii="Times New Roman" w:hAnsi="Times New Roman" w:cs="Times New Roman"/>
          <w:sz w:val="24"/>
          <w:szCs w:val="24"/>
        </w:rPr>
        <w:t>, </w:t>
      </w:r>
      <w:r w:rsidRPr="00DC2F9C">
        <w:rPr>
          <w:rFonts w:ascii="Times New Roman" w:hAnsi="Times New Roman" w:cs="Times New Roman"/>
          <w:i/>
          <w:iCs/>
          <w:sz w:val="24"/>
          <w:szCs w:val="24"/>
        </w:rPr>
        <w:t>24</w:t>
      </w:r>
      <w:r w:rsidRPr="00DC2F9C">
        <w:rPr>
          <w:rFonts w:ascii="Times New Roman" w:hAnsi="Times New Roman" w:cs="Times New Roman"/>
          <w:sz w:val="24"/>
          <w:szCs w:val="24"/>
        </w:rPr>
        <w:t>(5), pp.604-621.</w:t>
      </w:r>
      <w:r w:rsidRPr="00DC2F9C">
        <w:rPr>
          <w:rFonts w:ascii="Times New Roman" w:hAnsi="Times New Roman" w:cs="Times New Roman"/>
          <w:color w:val="222222"/>
          <w:sz w:val="24"/>
          <w:szCs w:val="24"/>
          <w:shd w:val="clear" w:color="auto" w:fill="FFFFFF"/>
        </w:rPr>
        <w:t xml:space="preserve"> </w:t>
      </w:r>
    </w:p>
    <w:p w14:paraId="6CA71BD1" w14:textId="77777777" w:rsidR="005C5058" w:rsidRPr="00DC2F9C" w:rsidRDefault="005C5058" w:rsidP="00DC2F9C">
      <w:pPr>
        <w:spacing w:line="360" w:lineRule="auto"/>
        <w:jc w:val="both"/>
        <w:rPr>
          <w:rFonts w:ascii="Times New Roman" w:hAnsi="Times New Roman" w:cs="Times New Roman"/>
          <w:sz w:val="24"/>
          <w:szCs w:val="24"/>
          <w:lang w:val="en-US"/>
        </w:rPr>
      </w:pPr>
      <w:r w:rsidRPr="00DC2F9C">
        <w:rPr>
          <w:rFonts w:ascii="Times New Roman" w:hAnsi="Times New Roman" w:cs="Times New Roman"/>
          <w:sz w:val="24"/>
          <w:szCs w:val="24"/>
        </w:rPr>
        <w:t xml:space="preserve">Drozd, M., </w:t>
      </w:r>
      <w:proofErr w:type="spellStart"/>
      <w:r w:rsidRPr="00DC2F9C">
        <w:rPr>
          <w:rFonts w:ascii="Times New Roman" w:hAnsi="Times New Roman" w:cs="Times New Roman"/>
          <w:sz w:val="24"/>
          <w:szCs w:val="24"/>
        </w:rPr>
        <w:t>Hanuljaková</w:t>
      </w:r>
      <w:proofErr w:type="spellEnd"/>
      <w:r w:rsidRPr="00DC2F9C">
        <w:rPr>
          <w:rFonts w:ascii="Times New Roman" w:hAnsi="Times New Roman" w:cs="Times New Roman"/>
          <w:sz w:val="24"/>
          <w:szCs w:val="24"/>
        </w:rPr>
        <w:t xml:space="preserve">, H. and </w:t>
      </w:r>
      <w:proofErr w:type="spellStart"/>
      <w:r w:rsidRPr="00DC2F9C">
        <w:rPr>
          <w:rFonts w:ascii="Times New Roman" w:hAnsi="Times New Roman" w:cs="Times New Roman"/>
          <w:sz w:val="24"/>
          <w:szCs w:val="24"/>
        </w:rPr>
        <w:t>Popovicova</w:t>
      </w:r>
      <w:proofErr w:type="spellEnd"/>
      <w:r w:rsidRPr="00DC2F9C">
        <w:rPr>
          <w:rFonts w:ascii="Times New Roman" w:hAnsi="Times New Roman" w:cs="Times New Roman"/>
          <w:sz w:val="24"/>
          <w:szCs w:val="24"/>
        </w:rPr>
        <w:t xml:space="preserve">, A., 2024. Carbon footprint analysis of Jaguar Land Rover Slovakia </w:t>
      </w:r>
      <w:proofErr w:type="spellStart"/>
      <w:r w:rsidRPr="00DC2F9C">
        <w:rPr>
          <w:rFonts w:ascii="Times New Roman" w:hAnsi="Times New Roman" w:cs="Times New Roman"/>
          <w:sz w:val="24"/>
          <w:szCs w:val="24"/>
        </w:rPr>
        <w:t>sro</w:t>
      </w:r>
      <w:proofErr w:type="spellEnd"/>
      <w:r w:rsidRPr="00DC2F9C">
        <w:rPr>
          <w:rFonts w:ascii="Times New Roman" w:hAnsi="Times New Roman" w:cs="Times New Roman"/>
          <w:sz w:val="24"/>
          <w:szCs w:val="24"/>
        </w:rPr>
        <w:t>. </w:t>
      </w:r>
      <w:proofErr w:type="spellStart"/>
      <w:r w:rsidRPr="00DC2F9C">
        <w:rPr>
          <w:rFonts w:ascii="Times New Roman" w:hAnsi="Times New Roman" w:cs="Times New Roman"/>
          <w:i/>
          <w:iCs/>
          <w:sz w:val="24"/>
          <w:szCs w:val="24"/>
        </w:rPr>
        <w:t>Ecocycles</w:t>
      </w:r>
      <w:proofErr w:type="spellEnd"/>
      <w:r w:rsidRPr="00DC2F9C">
        <w:rPr>
          <w:rFonts w:ascii="Times New Roman" w:hAnsi="Times New Roman" w:cs="Times New Roman"/>
          <w:sz w:val="24"/>
          <w:szCs w:val="24"/>
        </w:rPr>
        <w:t>, </w:t>
      </w:r>
      <w:r w:rsidRPr="00DC2F9C">
        <w:rPr>
          <w:rFonts w:ascii="Times New Roman" w:hAnsi="Times New Roman" w:cs="Times New Roman"/>
          <w:i/>
          <w:iCs/>
          <w:sz w:val="24"/>
          <w:szCs w:val="24"/>
        </w:rPr>
        <w:t>10</w:t>
      </w:r>
      <w:r w:rsidRPr="00DC2F9C">
        <w:rPr>
          <w:rFonts w:ascii="Times New Roman" w:hAnsi="Times New Roman" w:cs="Times New Roman"/>
          <w:sz w:val="24"/>
          <w:szCs w:val="24"/>
        </w:rPr>
        <w:t>(1), pp.95-104.</w:t>
      </w:r>
    </w:p>
    <w:p w14:paraId="61E31091" w14:textId="77777777" w:rsidR="005C5058" w:rsidRPr="00DC2F9C" w:rsidRDefault="005C5058" w:rsidP="00DC2F9C">
      <w:pPr>
        <w:spacing w:line="360" w:lineRule="auto"/>
        <w:jc w:val="both"/>
        <w:rPr>
          <w:rFonts w:ascii="Times New Roman" w:hAnsi="Times New Roman" w:cs="Times New Roman"/>
          <w:sz w:val="24"/>
          <w:szCs w:val="24"/>
        </w:rPr>
      </w:pPr>
      <w:proofErr w:type="spellStart"/>
      <w:r w:rsidRPr="00DC2F9C">
        <w:rPr>
          <w:rFonts w:ascii="Times New Roman" w:hAnsi="Times New Roman" w:cs="Times New Roman"/>
          <w:sz w:val="24"/>
          <w:szCs w:val="24"/>
        </w:rPr>
        <w:t>Giampieri</w:t>
      </w:r>
      <w:proofErr w:type="spellEnd"/>
      <w:r w:rsidRPr="00DC2F9C">
        <w:rPr>
          <w:rFonts w:ascii="Times New Roman" w:hAnsi="Times New Roman" w:cs="Times New Roman"/>
          <w:sz w:val="24"/>
          <w:szCs w:val="24"/>
        </w:rPr>
        <w:t>, A., Ling-Chin, J., Taylor, W., Smallbone, A. and Roskilly, A.P., 2019. Moving towards low-carbon manufacturing in the UK automotive industry. </w:t>
      </w:r>
      <w:r w:rsidRPr="00DC2F9C">
        <w:rPr>
          <w:rFonts w:ascii="Times New Roman" w:hAnsi="Times New Roman" w:cs="Times New Roman"/>
          <w:i/>
          <w:iCs/>
          <w:sz w:val="24"/>
          <w:szCs w:val="24"/>
        </w:rPr>
        <w:t>Energy Procedia</w:t>
      </w:r>
      <w:r w:rsidRPr="00DC2F9C">
        <w:rPr>
          <w:rFonts w:ascii="Times New Roman" w:hAnsi="Times New Roman" w:cs="Times New Roman"/>
          <w:sz w:val="24"/>
          <w:szCs w:val="24"/>
        </w:rPr>
        <w:t>, </w:t>
      </w:r>
      <w:r w:rsidRPr="00DC2F9C">
        <w:rPr>
          <w:rFonts w:ascii="Times New Roman" w:hAnsi="Times New Roman" w:cs="Times New Roman"/>
          <w:i/>
          <w:iCs/>
          <w:sz w:val="24"/>
          <w:szCs w:val="24"/>
        </w:rPr>
        <w:t>158</w:t>
      </w:r>
      <w:r w:rsidRPr="00DC2F9C">
        <w:rPr>
          <w:rFonts w:ascii="Times New Roman" w:hAnsi="Times New Roman" w:cs="Times New Roman"/>
          <w:sz w:val="24"/>
          <w:szCs w:val="24"/>
        </w:rPr>
        <w:t>, pp.3381-3386.</w:t>
      </w:r>
    </w:p>
    <w:p w14:paraId="5EFF7D64" w14:textId="77777777" w:rsidR="005C5058" w:rsidRPr="00DC2F9C" w:rsidRDefault="005C5058" w:rsidP="00DC2F9C">
      <w:pPr>
        <w:spacing w:line="360" w:lineRule="auto"/>
        <w:jc w:val="both"/>
        <w:rPr>
          <w:rFonts w:ascii="Times New Roman" w:hAnsi="Times New Roman" w:cs="Times New Roman"/>
          <w:sz w:val="24"/>
          <w:szCs w:val="24"/>
          <w:lang w:val="en-US"/>
        </w:rPr>
      </w:pPr>
      <w:r w:rsidRPr="00DC2F9C">
        <w:rPr>
          <w:rFonts w:ascii="Times New Roman" w:hAnsi="Times New Roman" w:cs="Times New Roman"/>
          <w:sz w:val="24"/>
          <w:szCs w:val="24"/>
        </w:rPr>
        <w:t>Gupta, N., 2022. </w:t>
      </w:r>
      <w:r w:rsidRPr="00DC2F9C">
        <w:rPr>
          <w:rFonts w:ascii="Times New Roman" w:hAnsi="Times New Roman" w:cs="Times New Roman"/>
          <w:i/>
          <w:iCs/>
          <w:sz w:val="24"/>
          <w:szCs w:val="24"/>
        </w:rPr>
        <w:t>Cross Border Merger &amp; Acquisition a wealth creating proposition: An exploratory case study of Tata Motors and Jaguar Land Rover</w:t>
      </w:r>
      <w:r w:rsidRPr="00DC2F9C">
        <w:rPr>
          <w:rFonts w:ascii="Times New Roman" w:hAnsi="Times New Roman" w:cs="Times New Roman"/>
          <w:sz w:val="24"/>
          <w:szCs w:val="24"/>
        </w:rPr>
        <w:t> (Doctoral dissertation, Dublin, National College of Ireland).</w:t>
      </w:r>
    </w:p>
    <w:p w14:paraId="0A7A42B1" w14:textId="77777777" w:rsidR="005C5058" w:rsidRPr="00DC2F9C" w:rsidRDefault="005C5058" w:rsidP="00DC2F9C">
      <w:pPr>
        <w:spacing w:line="360" w:lineRule="auto"/>
        <w:jc w:val="both"/>
        <w:rPr>
          <w:rFonts w:ascii="Times New Roman" w:hAnsi="Times New Roman" w:cs="Times New Roman"/>
          <w:sz w:val="24"/>
          <w:szCs w:val="24"/>
          <w:lang w:val="en-US"/>
        </w:rPr>
      </w:pPr>
      <w:r w:rsidRPr="00DC2F9C">
        <w:rPr>
          <w:rFonts w:ascii="Times New Roman" w:hAnsi="Times New Roman" w:cs="Times New Roman"/>
          <w:sz w:val="24"/>
          <w:szCs w:val="24"/>
        </w:rPr>
        <w:t>Hiller, H.M., 2023. </w:t>
      </w:r>
      <w:r w:rsidRPr="00DC2F9C">
        <w:rPr>
          <w:rFonts w:ascii="Times New Roman" w:hAnsi="Times New Roman" w:cs="Times New Roman"/>
          <w:i/>
          <w:iCs/>
          <w:sz w:val="24"/>
          <w:szCs w:val="24"/>
        </w:rPr>
        <w:t>Accelerating into an Electric Future: How Global Market Dynamics will Influence Cash Flows</w:t>
      </w:r>
      <w:r w:rsidRPr="00DC2F9C">
        <w:rPr>
          <w:rFonts w:ascii="Times New Roman" w:hAnsi="Times New Roman" w:cs="Times New Roman"/>
          <w:sz w:val="24"/>
          <w:szCs w:val="24"/>
        </w:rPr>
        <w:t xml:space="preserve"> (Master's thesis, </w:t>
      </w:r>
      <w:proofErr w:type="spellStart"/>
      <w:r w:rsidRPr="00DC2F9C">
        <w:rPr>
          <w:rFonts w:ascii="Times New Roman" w:hAnsi="Times New Roman" w:cs="Times New Roman"/>
          <w:sz w:val="24"/>
          <w:szCs w:val="24"/>
        </w:rPr>
        <w:t>Universidade</w:t>
      </w:r>
      <w:proofErr w:type="spellEnd"/>
      <w:r w:rsidRPr="00DC2F9C">
        <w:rPr>
          <w:rFonts w:ascii="Times New Roman" w:hAnsi="Times New Roman" w:cs="Times New Roman"/>
          <w:sz w:val="24"/>
          <w:szCs w:val="24"/>
        </w:rPr>
        <w:t xml:space="preserve"> NOVA de Lisboa (Portugal)).</w:t>
      </w:r>
    </w:p>
    <w:p w14:paraId="0F5D4038" w14:textId="77777777" w:rsidR="005C5058" w:rsidRPr="00DC2F9C" w:rsidRDefault="005C5058" w:rsidP="00DC2F9C">
      <w:pPr>
        <w:spacing w:line="360" w:lineRule="auto"/>
        <w:jc w:val="both"/>
        <w:rPr>
          <w:rFonts w:ascii="Times New Roman" w:hAnsi="Times New Roman" w:cs="Times New Roman"/>
          <w:sz w:val="24"/>
          <w:szCs w:val="24"/>
          <w:lang w:val="en-US"/>
        </w:rPr>
      </w:pPr>
      <w:proofErr w:type="spellStart"/>
      <w:r w:rsidRPr="00DC2F9C">
        <w:rPr>
          <w:rFonts w:ascii="Times New Roman" w:hAnsi="Times New Roman" w:cs="Times New Roman"/>
          <w:sz w:val="24"/>
          <w:szCs w:val="24"/>
        </w:rPr>
        <w:t>Madić</w:t>
      </w:r>
      <w:proofErr w:type="spellEnd"/>
      <w:r w:rsidRPr="00DC2F9C">
        <w:rPr>
          <w:rFonts w:ascii="Times New Roman" w:hAnsi="Times New Roman" w:cs="Times New Roman"/>
          <w:sz w:val="24"/>
          <w:szCs w:val="24"/>
        </w:rPr>
        <w:t>, V., Marković, D. and Mijušković, V., 2021. Competitive strategies in premium automotive segment. </w:t>
      </w:r>
      <w:r w:rsidRPr="00DC2F9C">
        <w:rPr>
          <w:rFonts w:ascii="Times New Roman" w:hAnsi="Times New Roman" w:cs="Times New Roman"/>
          <w:i/>
          <w:iCs/>
          <w:sz w:val="24"/>
          <w:szCs w:val="24"/>
        </w:rPr>
        <w:t>Teme</w:t>
      </w:r>
      <w:r w:rsidRPr="00DC2F9C">
        <w:rPr>
          <w:rFonts w:ascii="Times New Roman" w:hAnsi="Times New Roman" w:cs="Times New Roman"/>
          <w:sz w:val="24"/>
          <w:szCs w:val="24"/>
        </w:rPr>
        <w:t>, pp.639-659.</w:t>
      </w:r>
    </w:p>
    <w:p w14:paraId="07755580" w14:textId="77777777" w:rsidR="005C5058" w:rsidRPr="00DC2F9C" w:rsidRDefault="005C5058"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 xml:space="preserve">Pangarkar, N. and </w:t>
      </w:r>
      <w:proofErr w:type="spellStart"/>
      <w:r w:rsidRPr="00DC2F9C">
        <w:rPr>
          <w:rFonts w:ascii="Times New Roman" w:hAnsi="Times New Roman" w:cs="Times New Roman"/>
          <w:sz w:val="24"/>
          <w:szCs w:val="24"/>
        </w:rPr>
        <w:t>Prabhudesai</w:t>
      </w:r>
      <w:proofErr w:type="spellEnd"/>
      <w:r w:rsidRPr="00DC2F9C">
        <w:rPr>
          <w:rFonts w:ascii="Times New Roman" w:hAnsi="Times New Roman" w:cs="Times New Roman"/>
          <w:sz w:val="24"/>
          <w:szCs w:val="24"/>
        </w:rPr>
        <w:t>, R., 2024. Using Porter's Five Forces analysis to drive strategy. </w:t>
      </w:r>
      <w:r w:rsidRPr="00DC2F9C">
        <w:rPr>
          <w:rFonts w:ascii="Times New Roman" w:hAnsi="Times New Roman" w:cs="Times New Roman"/>
          <w:i/>
          <w:iCs/>
          <w:sz w:val="24"/>
          <w:szCs w:val="24"/>
        </w:rPr>
        <w:t>Global Business and Organizational Excellence</w:t>
      </w:r>
      <w:r w:rsidRPr="00DC2F9C">
        <w:rPr>
          <w:rFonts w:ascii="Times New Roman" w:hAnsi="Times New Roman" w:cs="Times New Roman"/>
          <w:sz w:val="24"/>
          <w:szCs w:val="24"/>
        </w:rPr>
        <w:t>, </w:t>
      </w:r>
      <w:r w:rsidRPr="00DC2F9C">
        <w:rPr>
          <w:rFonts w:ascii="Times New Roman" w:hAnsi="Times New Roman" w:cs="Times New Roman"/>
          <w:i/>
          <w:iCs/>
          <w:sz w:val="24"/>
          <w:szCs w:val="24"/>
        </w:rPr>
        <w:t>43</w:t>
      </w:r>
      <w:r w:rsidRPr="00DC2F9C">
        <w:rPr>
          <w:rFonts w:ascii="Times New Roman" w:hAnsi="Times New Roman" w:cs="Times New Roman"/>
          <w:sz w:val="24"/>
          <w:szCs w:val="24"/>
        </w:rPr>
        <w:t>(5), pp.24-34.</w:t>
      </w:r>
    </w:p>
    <w:p w14:paraId="3B5DC8F8" w14:textId="77777777" w:rsidR="005C5058" w:rsidRPr="00DC2F9C" w:rsidRDefault="005C5058" w:rsidP="00DC2F9C">
      <w:pPr>
        <w:spacing w:line="360" w:lineRule="auto"/>
        <w:jc w:val="both"/>
        <w:rPr>
          <w:rFonts w:ascii="Times New Roman" w:hAnsi="Times New Roman" w:cs="Times New Roman"/>
          <w:sz w:val="24"/>
          <w:szCs w:val="24"/>
          <w:lang w:val="en-US"/>
        </w:rPr>
      </w:pPr>
      <w:r w:rsidRPr="00DC2F9C">
        <w:rPr>
          <w:rFonts w:ascii="Times New Roman" w:hAnsi="Times New Roman" w:cs="Times New Roman"/>
          <w:sz w:val="24"/>
          <w:szCs w:val="24"/>
          <w:lang w:val="it-IT"/>
        </w:rPr>
        <w:t xml:space="preserve">Papa, I., Panico, M., Carandente, M. and Lopresto, V., 2024. </w:t>
      </w:r>
      <w:r w:rsidRPr="00DC2F9C">
        <w:rPr>
          <w:rFonts w:ascii="Times New Roman" w:hAnsi="Times New Roman" w:cs="Times New Roman"/>
          <w:sz w:val="24"/>
          <w:szCs w:val="24"/>
        </w:rPr>
        <w:t>Innovative joining technologies for lightweight material vehicles. </w:t>
      </w:r>
      <w:r w:rsidRPr="00DC2F9C">
        <w:rPr>
          <w:rFonts w:ascii="Times New Roman" w:hAnsi="Times New Roman" w:cs="Times New Roman"/>
          <w:i/>
          <w:iCs/>
          <w:sz w:val="24"/>
          <w:szCs w:val="24"/>
        </w:rPr>
        <w:t>Proceedings of the Institution of Mechanical Engineers, Part C: Journal of Mechanical Engineering Science</w:t>
      </w:r>
      <w:r w:rsidRPr="00DC2F9C">
        <w:rPr>
          <w:rFonts w:ascii="Times New Roman" w:hAnsi="Times New Roman" w:cs="Times New Roman"/>
          <w:sz w:val="24"/>
          <w:szCs w:val="24"/>
        </w:rPr>
        <w:t>, </w:t>
      </w:r>
      <w:r w:rsidRPr="00DC2F9C">
        <w:rPr>
          <w:rFonts w:ascii="Times New Roman" w:hAnsi="Times New Roman" w:cs="Times New Roman"/>
          <w:i/>
          <w:iCs/>
          <w:sz w:val="24"/>
          <w:szCs w:val="24"/>
        </w:rPr>
        <w:t>238</w:t>
      </w:r>
      <w:r w:rsidRPr="00DC2F9C">
        <w:rPr>
          <w:rFonts w:ascii="Times New Roman" w:hAnsi="Times New Roman" w:cs="Times New Roman"/>
          <w:sz w:val="24"/>
          <w:szCs w:val="24"/>
        </w:rPr>
        <w:t>(12), pp.5674-5684.</w:t>
      </w:r>
    </w:p>
    <w:p w14:paraId="17F3B826" w14:textId="77777777" w:rsidR="005C5058" w:rsidRPr="00DC2F9C" w:rsidRDefault="005C5058" w:rsidP="00DC2F9C">
      <w:pPr>
        <w:spacing w:line="360" w:lineRule="auto"/>
        <w:jc w:val="both"/>
        <w:rPr>
          <w:rFonts w:ascii="Times New Roman" w:hAnsi="Times New Roman" w:cs="Times New Roman"/>
          <w:sz w:val="24"/>
          <w:szCs w:val="24"/>
        </w:rPr>
      </w:pPr>
      <w:r w:rsidRPr="00DC2F9C">
        <w:rPr>
          <w:rFonts w:ascii="Times New Roman" w:hAnsi="Times New Roman" w:cs="Times New Roman"/>
          <w:sz w:val="24"/>
          <w:szCs w:val="24"/>
        </w:rPr>
        <w:t>Priya, R.S., 2019. </w:t>
      </w:r>
      <w:r w:rsidRPr="00DC2F9C">
        <w:rPr>
          <w:rFonts w:ascii="Times New Roman" w:hAnsi="Times New Roman" w:cs="Times New Roman"/>
          <w:i/>
          <w:iCs/>
          <w:sz w:val="24"/>
          <w:szCs w:val="24"/>
        </w:rPr>
        <w:t>Enhancing UK manufacturing productivity by enabling a value chain orientation</w:t>
      </w:r>
      <w:r w:rsidRPr="00DC2F9C">
        <w:rPr>
          <w:rFonts w:ascii="Times New Roman" w:hAnsi="Times New Roman" w:cs="Times New Roman"/>
          <w:sz w:val="24"/>
          <w:szCs w:val="24"/>
        </w:rPr>
        <w:t> (Doctoral dissertation, University of Warwick).</w:t>
      </w:r>
    </w:p>
    <w:p w14:paraId="7BEC4C6A" w14:textId="77777777" w:rsidR="005C5058" w:rsidRPr="00DC2F9C" w:rsidRDefault="005C5058" w:rsidP="00DC2F9C">
      <w:pPr>
        <w:spacing w:line="360" w:lineRule="auto"/>
        <w:jc w:val="both"/>
        <w:rPr>
          <w:rFonts w:ascii="Times New Roman" w:hAnsi="Times New Roman" w:cs="Times New Roman"/>
          <w:sz w:val="24"/>
          <w:szCs w:val="24"/>
        </w:rPr>
      </w:pPr>
      <w:proofErr w:type="spellStart"/>
      <w:r w:rsidRPr="00DC2F9C">
        <w:rPr>
          <w:rFonts w:ascii="Times New Roman" w:hAnsi="Times New Roman" w:cs="Times New Roman"/>
          <w:sz w:val="24"/>
          <w:szCs w:val="24"/>
        </w:rPr>
        <w:t>Rotjanakorn</w:t>
      </w:r>
      <w:proofErr w:type="spellEnd"/>
      <w:r w:rsidRPr="00DC2F9C">
        <w:rPr>
          <w:rFonts w:ascii="Times New Roman" w:hAnsi="Times New Roman" w:cs="Times New Roman"/>
          <w:sz w:val="24"/>
          <w:szCs w:val="24"/>
        </w:rPr>
        <w:t xml:space="preserve">, A., </w:t>
      </w:r>
      <w:proofErr w:type="spellStart"/>
      <w:r w:rsidRPr="00DC2F9C">
        <w:rPr>
          <w:rFonts w:ascii="Times New Roman" w:hAnsi="Times New Roman" w:cs="Times New Roman"/>
          <w:sz w:val="24"/>
          <w:szCs w:val="24"/>
        </w:rPr>
        <w:t>Sadangharn</w:t>
      </w:r>
      <w:proofErr w:type="spellEnd"/>
      <w:r w:rsidRPr="00DC2F9C">
        <w:rPr>
          <w:rFonts w:ascii="Times New Roman" w:hAnsi="Times New Roman" w:cs="Times New Roman"/>
          <w:sz w:val="24"/>
          <w:szCs w:val="24"/>
        </w:rPr>
        <w:t>, P. and Na-Nan, K., 2020. Development of dynamic capabilities for automotive industry performance under disruptive innovation. </w:t>
      </w:r>
      <w:r w:rsidRPr="00DC2F9C">
        <w:rPr>
          <w:rFonts w:ascii="Times New Roman" w:hAnsi="Times New Roman" w:cs="Times New Roman"/>
          <w:i/>
          <w:iCs/>
          <w:sz w:val="24"/>
          <w:szCs w:val="24"/>
        </w:rPr>
        <w:t>Journal of Open Innovation: Technology, Market, and Complexity</w:t>
      </w:r>
      <w:r w:rsidRPr="00DC2F9C">
        <w:rPr>
          <w:rFonts w:ascii="Times New Roman" w:hAnsi="Times New Roman" w:cs="Times New Roman"/>
          <w:sz w:val="24"/>
          <w:szCs w:val="24"/>
        </w:rPr>
        <w:t>, </w:t>
      </w:r>
      <w:r w:rsidRPr="00DC2F9C">
        <w:rPr>
          <w:rFonts w:ascii="Times New Roman" w:hAnsi="Times New Roman" w:cs="Times New Roman"/>
          <w:i/>
          <w:iCs/>
          <w:sz w:val="24"/>
          <w:szCs w:val="24"/>
        </w:rPr>
        <w:t>6</w:t>
      </w:r>
      <w:r w:rsidRPr="00DC2F9C">
        <w:rPr>
          <w:rFonts w:ascii="Times New Roman" w:hAnsi="Times New Roman" w:cs="Times New Roman"/>
          <w:sz w:val="24"/>
          <w:szCs w:val="24"/>
        </w:rPr>
        <w:t>(4), p.97.</w:t>
      </w:r>
    </w:p>
    <w:p w14:paraId="333C6AB5" w14:textId="77777777" w:rsidR="005C5058" w:rsidRPr="00DC2F9C" w:rsidRDefault="005C5058" w:rsidP="00DC2F9C">
      <w:pPr>
        <w:spacing w:line="360" w:lineRule="auto"/>
        <w:jc w:val="both"/>
        <w:rPr>
          <w:rFonts w:ascii="Times New Roman" w:hAnsi="Times New Roman" w:cs="Times New Roman"/>
          <w:sz w:val="24"/>
          <w:szCs w:val="24"/>
        </w:rPr>
      </w:pPr>
      <w:proofErr w:type="spellStart"/>
      <w:r w:rsidRPr="00DC2F9C">
        <w:rPr>
          <w:rFonts w:ascii="Times New Roman" w:hAnsi="Times New Roman" w:cs="Times New Roman"/>
          <w:sz w:val="24"/>
          <w:szCs w:val="24"/>
        </w:rPr>
        <w:lastRenderedPageBreak/>
        <w:t>Serohi</w:t>
      </w:r>
      <w:proofErr w:type="spellEnd"/>
      <w:r w:rsidRPr="00DC2F9C">
        <w:rPr>
          <w:rFonts w:ascii="Times New Roman" w:hAnsi="Times New Roman" w:cs="Times New Roman"/>
          <w:sz w:val="24"/>
          <w:szCs w:val="24"/>
        </w:rPr>
        <w:t>, A., 2020. Sustainable supply chain of automobile sector: a literature review. </w:t>
      </w:r>
      <w:r w:rsidRPr="00DC2F9C">
        <w:rPr>
          <w:rFonts w:ascii="Times New Roman" w:hAnsi="Times New Roman" w:cs="Times New Roman"/>
          <w:i/>
          <w:iCs/>
          <w:sz w:val="24"/>
          <w:szCs w:val="24"/>
        </w:rPr>
        <w:t>Int J Supply Chain Manag</w:t>
      </w:r>
      <w:r w:rsidRPr="00DC2F9C">
        <w:rPr>
          <w:rFonts w:ascii="Times New Roman" w:hAnsi="Times New Roman" w:cs="Times New Roman"/>
          <w:sz w:val="24"/>
          <w:szCs w:val="24"/>
        </w:rPr>
        <w:t>, </w:t>
      </w:r>
      <w:r w:rsidRPr="00DC2F9C">
        <w:rPr>
          <w:rFonts w:ascii="Times New Roman" w:hAnsi="Times New Roman" w:cs="Times New Roman"/>
          <w:i/>
          <w:iCs/>
          <w:sz w:val="24"/>
          <w:szCs w:val="24"/>
        </w:rPr>
        <w:t>9</w:t>
      </w:r>
      <w:r w:rsidRPr="00DC2F9C">
        <w:rPr>
          <w:rFonts w:ascii="Times New Roman" w:hAnsi="Times New Roman" w:cs="Times New Roman"/>
          <w:sz w:val="24"/>
          <w:szCs w:val="24"/>
        </w:rPr>
        <w:t>, pp.82-87.</w:t>
      </w:r>
    </w:p>
    <w:p w14:paraId="2FD66052" w14:textId="77777777" w:rsidR="005C5058" w:rsidRPr="00DC2F9C" w:rsidRDefault="005C5058" w:rsidP="00DC2F9C">
      <w:pPr>
        <w:spacing w:line="360" w:lineRule="auto"/>
        <w:jc w:val="both"/>
        <w:rPr>
          <w:rFonts w:ascii="Times New Roman" w:hAnsi="Times New Roman" w:cs="Times New Roman"/>
          <w:sz w:val="24"/>
          <w:szCs w:val="24"/>
          <w:lang w:val="en-US"/>
        </w:rPr>
      </w:pPr>
      <w:r w:rsidRPr="00DC2F9C">
        <w:rPr>
          <w:rFonts w:ascii="Times New Roman" w:hAnsi="Times New Roman" w:cs="Times New Roman"/>
          <w:sz w:val="24"/>
          <w:szCs w:val="24"/>
          <w:lang w:val="en-US"/>
        </w:rPr>
        <w:t xml:space="preserve">Sjunnesson, L., Gamal Abbas Helmy Elsayed, M. and </w:t>
      </w:r>
      <w:proofErr w:type="spellStart"/>
      <w:r w:rsidRPr="00DC2F9C">
        <w:rPr>
          <w:rFonts w:ascii="Times New Roman" w:hAnsi="Times New Roman" w:cs="Times New Roman"/>
          <w:sz w:val="24"/>
          <w:szCs w:val="24"/>
          <w:lang w:val="en-US"/>
        </w:rPr>
        <w:t>Hemmatkhah</w:t>
      </w:r>
      <w:proofErr w:type="spellEnd"/>
      <w:r w:rsidRPr="00DC2F9C">
        <w:rPr>
          <w:rFonts w:ascii="Times New Roman" w:hAnsi="Times New Roman" w:cs="Times New Roman"/>
          <w:sz w:val="24"/>
          <w:szCs w:val="24"/>
          <w:lang w:val="en-US"/>
        </w:rPr>
        <w:t>, G., 2025. Repositioning on the roads: How Automotive Brands’ current customers are reacting to Rebranding Towards Electric Vehicles. LBMG Strategic Brand Management-Masters Paper Series.</w:t>
      </w:r>
    </w:p>
    <w:p w14:paraId="4E39F6F7" w14:textId="77777777" w:rsidR="005C5058" w:rsidRPr="00DC2F9C" w:rsidRDefault="005C5058" w:rsidP="00DC2F9C">
      <w:pPr>
        <w:spacing w:line="360" w:lineRule="auto"/>
        <w:jc w:val="both"/>
        <w:rPr>
          <w:rFonts w:ascii="Times New Roman" w:hAnsi="Times New Roman" w:cs="Times New Roman"/>
          <w:sz w:val="24"/>
          <w:szCs w:val="24"/>
          <w:lang w:val="en-US"/>
        </w:rPr>
      </w:pPr>
      <w:r w:rsidRPr="00DC2F9C">
        <w:rPr>
          <w:rFonts w:ascii="Times New Roman" w:hAnsi="Times New Roman" w:cs="Times New Roman"/>
          <w:sz w:val="24"/>
          <w:szCs w:val="24"/>
        </w:rPr>
        <w:t>SKIRLIS, K., 2019. The Effects of European Integration and the Case of Slovakian Automotive Industry. </w:t>
      </w:r>
      <w:r w:rsidRPr="00DC2F9C">
        <w:rPr>
          <w:rFonts w:ascii="Times New Roman" w:hAnsi="Times New Roman" w:cs="Times New Roman"/>
          <w:i/>
          <w:iCs/>
          <w:sz w:val="24"/>
          <w:szCs w:val="24"/>
        </w:rPr>
        <w:t>Review of European Affairs</w:t>
      </w:r>
      <w:r w:rsidRPr="00DC2F9C">
        <w:rPr>
          <w:rFonts w:ascii="Times New Roman" w:hAnsi="Times New Roman" w:cs="Times New Roman"/>
          <w:sz w:val="24"/>
          <w:szCs w:val="24"/>
        </w:rPr>
        <w:t>, </w:t>
      </w:r>
      <w:r w:rsidRPr="00DC2F9C">
        <w:rPr>
          <w:rFonts w:ascii="Times New Roman" w:hAnsi="Times New Roman" w:cs="Times New Roman"/>
          <w:i/>
          <w:iCs/>
          <w:sz w:val="24"/>
          <w:szCs w:val="24"/>
        </w:rPr>
        <w:t>3</w:t>
      </w:r>
      <w:r w:rsidRPr="00DC2F9C">
        <w:rPr>
          <w:rFonts w:ascii="Times New Roman" w:hAnsi="Times New Roman" w:cs="Times New Roman"/>
          <w:sz w:val="24"/>
          <w:szCs w:val="24"/>
        </w:rPr>
        <w:t>(2).</w:t>
      </w:r>
    </w:p>
    <w:sectPr w:rsidR="005C5058" w:rsidRPr="00DC2F9C" w:rsidSect="005C5058">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6E2B0" w14:textId="77777777" w:rsidR="00832DB2" w:rsidRDefault="00832DB2" w:rsidP="00DC2F9C">
      <w:pPr>
        <w:spacing w:after="0" w:line="240" w:lineRule="auto"/>
      </w:pPr>
      <w:r>
        <w:separator/>
      </w:r>
    </w:p>
  </w:endnote>
  <w:endnote w:type="continuationSeparator" w:id="0">
    <w:p w14:paraId="28AB8472" w14:textId="77777777" w:rsidR="00832DB2" w:rsidRDefault="00832DB2" w:rsidP="00DC2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277044"/>
      <w:docPartObj>
        <w:docPartGallery w:val="Page Numbers (Bottom of Page)"/>
        <w:docPartUnique/>
      </w:docPartObj>
    </w:sdtPr>
    <w:sdtEndPr>
      <w:rPr>
        <w:noProof/>
      </w:rPr>
    </w:sdtEndPr>
    <w:sdtContent>
      <w:p w14:paraId="4A53F6AE" w14:textId="14F34E79" w:rsidR="00DC2F9C" w:rsidRDefault="00DC2F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C1830B" w14:textId="77777777" w:rsidR="00DC2F9C" w:rsidRDefault="00DC2F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24C85" w14:textId="77777777" w:rsidR="00832DB2" w:rsidRDefault="00832DB2" w:rsidP="00DC2F9C">
      <w:pPr>
        <w:spacing w:after="0" w:line="240" w:lineRule="auto"/>
      </w:pPr>
      <w:r>
        <w:separator/>
      </w:r>
    </w:p>
  </w:footnote>
  <w:footnote w:type="continuationSeparator" w:id="0">
    <w:p w14:paraId="1B7119EB" w14:textId="77777777" w:rsidR="00832DB2" w:rsidRDefault="00832DB2" w:rsidP="00DC2F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F00D3"/>
    <w:multiLevelType w:val="hybridMultilevel"/>
    <w:tmpl w:val="BCBCF8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4830B5"/>
    <w:multiLevelType w:val="hybridMultilevel"/>
    <w:tmpl w:val="A75CFE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D9A7268"/>
    <w:multiLevelType w:val="multilevel"/>
    <w:tmpl w:val="904EA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6136FA"/>
    <w:multiLevelType w:val="multilevel"/>
    <w:tmpl w:val="9806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74496B"/>
    <w:multiLevelType w:val="hybridMultilevel"/>
    <w:tmpl w:val="C0588E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4152D84"/>
    <w:multiLevelType w:val="hybridMultilevel"/>
    <w:tmpl w:val="C5D8AC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2F30279"/>
    <w:multiLevelType w:val="hybridMultilevel"/>
    <w:tmpl w:val="4DE8469A"/>
    <w:lvl w:ilvl="0" w:tplc="40090001">
      <w:start w:val="1"/>
      <w:numFmt w:val="bullet"/>
      <w:lvlText w:val=""/>
      <w:lvlJc w:val="left"/>
      <w:pPr>
        <w:ind w:left="720" w:hanging="360"/>
      </w:pPr>
      <w:rPr>
        <w:rFonts w:ascii="Symbol" w:hAnsi="Symbol" w:hint="default"/>
      </w:rPr>
    </w:lvl>
    <w:lvl w:ilvl="1" w:tplc="19D6954C">
      <w:numFmt w:val="bullet"/>
      <w:lvlText w:val="•"/>
      <w:lvlJc w:val="left"/>
      <w:pPr>
        <w:ind w:left="1440" w:hanging="360"/>
      </w:pPr>
      <w:rPr>
        <w:rFonts w:ascii="Calibri" w:eastAsiaTheme="minorHAnsi" w:hAnsi="Calibri" w:cs="Calibri"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9445269"/>
    <w:multiLevelType w:val="multilevel"/>
    <w:tmpl w:val="B0DA0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18722A"/>
    <w:multiLevelType w:val="hybridMultilevel"/>
    <w:tmpl w:val="39DAF3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3626A0F"/>
    <w:multiLevelType w:val="hybridMultilevel"/>
    <w:tmpl w:val="3A0095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650535F"/>
    <w:multiLevelType w:val="multilevel"/>
    <w:tmpl w:val="5A9C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AD3B9C"/>
    <w:multiLevelType w:val="multilevel"/>
    <w:tmpl w:val="1434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9E5474"/>
    <w:multiLevelType w:val="hybridMultilevel"/>
    <w:tmpl w:val="9FBEECBC"/>
    <w:lvl w:ilvl="0" w:tplc="40090001">
      <w:start w:val="1"/>
      <w:numFmt w:val="bullet"/>
      <w:lvlText w:val=""/>
      <w:lvlJc w:val="left"/>
      <w:pPr>
        <w:ind w:left="720" w:hanging="360"/>
      </w:pPr>
      <w:rPr>
        <w:rFonts w:ascii="Symbol" w:hAnsi="Symbol" w:hint="default"/>
      </w:rPr>
    </w:lvl>
    <w:lvl w:ilvl="1" w:tplc="6F7A32BA">
      <w:numFmt w:val="bullet"/>
      <w:lvlText w:val="•"/>
      <w:lvlJc w:val="left"/>
      <w:pPr>
        <w:ind w:left="1440" w:hanging="360"/>
      </w:pPr>
      <w:rPr>
        <w:rFonts w:ascii="Calibri" w:eastAsiaTheme="minorHAnsi" w:hAnsi="Calibri" w:cs="Calibri"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85247198">
    <w:abstractNumId w:val="4"/>
  </w:num>
  <w:num w:numId="2" w16cid:durableId="15233237">
    <w:abstractNumId w:val="7"/>
  </w:num>
  <w:num w:numId="3" w16cid:durableId="603420730">
    <w:abstractNumId w:val="11"/>
  </w:num>
  <w:num w:numId="4" w16cid:durableId="960261606">
    <w:abstractNumId w:val="3"/>
  </w:num>
  <w:num w:numId="5" w16cid:durableId="1691834080">
    <w:abstractNumId w:val="10"/>
  </w:num>
  <w:num w:numId="6" w16cid:durableId="1187716321">
    <w:abstractNumId w:val="2"/>
  </w:num>
  <w:num w:numId="7" w16cid:durableId="1336766406">
    <w:abstractNumId w:val="8"/>
  </w:num>
  <w:num w:numId="8" w16cid:durableId="1381244979">
    <w:abstractNumId w:val="12"/>
  </w:num>
  <w:num w:numId="9" w16cid:durableId="29765871">
    <w:abstractNumId w:val="1"/>
  </w:num>
  <w:num w:numId="10" w16cid:durableId="1954508742">
    <w:abstractNumId w:val="6"/>
  </w:num>
  <w:num w:numId="11" w16cid:durableId="1201437036">
    <w:abstractNumId w:val="0"/>
  </w:num>
  <w:num w:numId="12" w16cid:durableId="1024556823">
    <w:abstractNumId w:val="9"/>
  </w:num>
  <w:num w:numId="13" w16cid:durableId="19652357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D9"/>
    <w:rsid w:val="000E4080"/>
    <w:rsid w:val="003B6275"/>
    <w:rsid w:val="005037FC"/>
    <w:rsid w:val="005C5058"/>
    <w:rsid w:val="00647EA5"/>
    <w:rsid w:val="007742B6"/>
    <w:rsid w:val="00832DB2"/>
    <w:rsid w:val="008722C7"/>
    <w:rsid w:val="008E6C47"/>
    <w:rsid w:val="00A826E3"/>
    <w:rsid w:val="00BF3E4B"/>
    <w:rsid w:val="00C66043"/>
    <w:rsid w:val="00D11DD9"/>
    <w:rsid w:val="00DC2F9C"/>
    <w:rsid w:val="00DD1AFE"/>
    <w:rsid w:val="00E91677"/>
    <w:rsid w:val="00F355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49C45"/>
  <w15:chartTrackingRefBased/>
  <w15:docId w15:val="{79D801E7-F1BB-4CB3-9335-D017038E7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9C"/>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DC2F9C"/>
    <w:pPr>
      <w:keepNext/>
      <w:keepLines/>
      <w:spacing w:before="160" w:after="80" w:line="360" w:lineRule="auto"/>
      <w:jc w:val="both"/>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semiHidden/>
    <w:unhideWhenUsed/>
    <w:qFormat/>
    <w:rsid w:val="00D11D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1D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1D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1D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D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D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D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9C"/>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DC2F9C"/>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D11DD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1DD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1DD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1D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D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D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DD9"/>
    <w:rPr>
      <w:rFonts w:eastAsiaTheme="majorEastAsia" w:cstheme="majorBidi"/>
      <w:color w:val="272727" w:themeColor="text1" w:themeTint="D8"/>
    </w:rPr>
  </w:style>
  <w:style w:type="paragraph" w:styleId="Title">
    <w:name w:val="Title"/>
    <w:basedOn w:val="Normal"/>
    <w:next w:val="Normal"/>
    <w:link w:val="TitleChar"/>
    <w:uiPriority w:val="10"/>
    <w:qFormat/>
    <w:rsid w:val="00D11D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D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D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D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DD9"/>
    <w:pPr>
      <w:spacing w:before="160"/>
      <w:jc w:val="center"/>
    </w:pPr>
    <w:rPr>
      <w:i/>
      <w:iCs/>
      <w:color w:val="404040" w:themeColor="text1" w:themeTint="BF"/>
    </w:rPr>
  </w:style>
  <w:style w:type="character" w:customStyle="1" w:styleId="QuoteChar">
    <w:name w:val="Quote Char"/>
    <w:basedOn w:val="DefaultParagraphFont"/>
    <w:link w:val="Quote"/>
    <w:uiPriority w:val="29"/>
    <w:rsid w:val="00D11DD9"/>
    <w:rPr>
      <w:i/>
      <w:iCs/>
      <w:color w:val="404040" w:themeColor="text1" w:themeTint="BF"/>
    </w:rPr>
  </w:style>
  <w:style w:type="paragraph" w:styleId="ListParagraph">
    <w:name w:val="List Paragraph"/>
    <w:basedOn w:val="Normal"/>
    <w:uiPriority w:val="34"/>
    <w:qFormat/>
    <w:rsid w:val="00D11DD9"/>
    <w:pPr>
      <w:ind w:left="720"/>
      <w:contextualSpacing/>
    </w:pPr>
  </w:style>
  <w:style w:type="character" w:styleId="IntenseEmphasis">
    <w:name w:val="Intense Emphasis"/>
    <w:basedOn w:val="DefaultParagraphFont"/>
    <w:uiPriority w:val="21"/>
    <w:qFormat/>
    <w:rsid w:val="00D11DD9"/>
    <w:rPr>
      <w:i/>
      <w:iCs/>
      <w:color w:val="2F5496" w:themeColor="accent1" w:themeShade="BF"/>
    </w:rPr>
  </w:style>
  <w:style w:type="paragraph" w:styleId="IntenseQuote">
    <w:name w:val="Intense Quote"/>
    <w:basedOn w:val="Normal"/>
    <w:next w:val="Normal"/>
    <w:link w:val="IntenseQuoteChar"/>
    <w:uiPriority w:val="30"/>
    <w:qFormat/>
    <w:rsid w:val="00D11D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1DD9"/>
    <w:rPr>
      <w:i/>
      <w:iCs/>
      <w:color w:val="2F5496" w:themeColor="accent1" w:themeShade="BF"/>
    </w:rPr>
  </w:style>
  <w:style w:type="character" w:styleId="IntenseReference">
    <w:name w:val="Intense Reference"/>
    <w:basedOn w:val="DefaultParagraphFont"/>
    <w:uiPriority w:val="32"/>
    <w:qFormat/>
    <w:rsid w:val="00D11DD9"/>
    <w:rPr>
      <w:b/>
      <w:bCs/>
      <w:smallCaps/>
      <w:color w:val="2F5496" w:themeColor="accent1" w:themeShade="BF"/>
      <w:spacing w:val="5"/>
    </w:rPr>
  </w:style>
  <w:style w:type="table" w:styleId="GridTable4-Accent5">
    <w:name w:val="Grid Table 4 Accent 5"/>
    <w:basedOn w:val="TableNormal"/>
    <w:uiPriority w:val="49"/>
    <w:rsid w:val="00C6604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Strong">
    <w:name w:val="Strong"/>
    <w:basedOn w:val="DefaultParagraphFont"/>
    <w:uiPriority w:val="22"/>
    <w:qFormat/>
    <w:rsid w:val="00C66043"/>
    <w:rPr>
      <w:b/>
      <w:bCs/>
    </w:rPr>
  </w:style>
  <w:style w:type="table" w:styleId="GridTable4-Accent2">
    <w:name w:val="Grid Table 4 Accent 2"/>
    <w:basedOn w:val="TableNormal"/>
    <w:uiPriority w:val="49"/>
    <w:rsid w:val="00C6604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Header">
    <w:name w:val="header"/>
    <w:basedOn w:val="Normal"/>
    <w:link w:val="HeaderChar"/>
    <w:uiPriority w:val="99"/>
    <w:unhideWhenUsed/>
    <w:rsid w:val="00DC2F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F9C"/>
  </w:style>
  <w:style w:type="paragraph" w:styleId="Footer">
    <w:name w:val="footer"/>
    <w:basedOn w:val="Normal"/>
    <w:link w:val="FooterChar"/>
    <w:uiPriority w:val="99"/>
    <w:unhideWhenUsed/>
    <w:rsid w:val="00DC2F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F9C"/>
  </w:style>
  <w:style w:type="paragraph" w:styleId="TOCHeading">
    <w:name w:val="TOC Heading"/>
    <w:basedOn w:val="Heading1"/>
    <w:next w:val="Normal"/>
    <w:uiPriority w:val="39"/>
    <w:unhideWhenUsed/>
    <w:qFormat/>
    <w:rsid w:val="008E6C47"/>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8E6C47"/>
    <w:pPr>
      <w:spacing w:after="100"/>
    </w:pPr>
  </w:style>
  <w:style w:type="paragraph" w:styleId="TOC2">
    <w:name w:val="toc 2"/>
    <w:basedOn w:val="Normal"/>
    <w:next w:val="Normal"/>
    <w:autoRedefine/>
    <w:uiPriority w:val="39"/>
    <w:unhideWhenUsed/>
    <w:rsid w:val="008E6C47"/>
    <w:pPr>
      <w:spacing w:after="100"/>
      <w:ind w:left="220"/>
    </w:pPr>
  </w:style>
  <w:style w:type="character" w:styleId="Hyperlink">
    <w:name w:val="Hyperlink"/>
    <w:basedOn w:val="DefaultParagraphFont"/>
    <w:uiPriority w:val="99"/>
    <w:unhideWhenUsed/>
    <w:rsid w:val="008E6C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43A4C-A76B-4167-8022-66F7F9451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3553</Words>
  <Characters>20255</Characters>
  <Application>Microsoft Office Word</Application>
  <DocSecurity>0</DocSecurity>
  <Lines>168</Lines>
  <Paragraphs>47</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1. Introduction</vt:lpstr>
      <vt:lpstr>2. External Environment Analysis</vt:lpstr>
      <vt:lpstr>    2.1 PESTEL Analysis</vt:lpstr>
      <vt:lpstr>    2.2 Porter’s Five Forces</vt:lpstr>
      <vt:lpstr>3. Internal Environment Analysis</vt:lpstr>
      <vt:lpstr>    3.1 Resource Based View (RBV)</vt:lpstr>
      <vt:lpstr>    3.2 VRIO Analysis</vt:lpstr>
      <vt:lpstr>    3.3 Value Chain Analysis</vt:lpstr>
      <vt:lpstr>4. SWOT Analysis</vt:lpstr>
      <vt:lpstr>5. Strategic Issues Identified</vt:lpstr>
      <vt:lpstr>6. Strategy Formulation</vt:lpstr>
      <vt:lpstr>7. Recommendations</vt:lpstr>
      <vt:lpstr>8. Conclusion</vt:lpstr>
      <vt:lpstr>Reference </vt:lpstr>
    </vt:vector>
  </TitlesOfParts>
  <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Sanya Suneja</dc:creator>
  <cp:keywords/>
  <dc:description/>
  <cp:lastModifiedBy>Sanya Suneja</cp:lastModifiedBy>
  <cp:revision>2</cp:revision>
  <dcterms:created xsi:type="dcterms:W3CDTF">2025-11-28T13:47:00Z</dcterms:created>
  <dcterms:modified xsi:type="dcterms:W3CDTF">2025-11-28T13:47:00Z</dcterms:modified>
</cp:coreProperties>
</file>