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B1276C"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31FE3399"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proofErr w:type="spellStart"/>
      <w:r w:rsidR="00360B41">
        <w:rPr>
          <w:rFonts w:ascii="Arial" w:hAnsi="Arial" w:cs="Arial"/>
          <w:sz w:val="28"/>
          <w:szCs w:val="28"/>
          <w:lang w:val="nl-NL"/>
        </w:rPr>
        <w:t>Introduction</w:t>
      </w:r>
      <w:proofErr w:type="spellEnd"/>
      <w:r w:rsidR="00360B41">
        <w:rPr>
          <w:rFonts w:ascii="Arial" w:hAnsi="Arial" w:cs="Arial"/>
          <w:sz w:val="28"/>
          <w:szCs w:val="28"/>
          <w:lang w:val="nl-NL"/>
        </w:rPr>
        <w:t xml:space="preserve"> </w:t>
      </w:r>
      <w:proofErr w:type="spellStart"/>
      <w:r w:rsidR="00360B41">
        <w:rPr>
          <w:rFonts w:ascii="Arial" w:hAnsi="Arial" w:cs="Arial"/>
          <w:sz w:val="28"/>
          <w:szCs w:val="28"/>
          <w:lang w:val="nl-NL"/>
        </w:rPr>
        <w:t>to</w:t>
      </w:r>
      <w:proofErr w:type="spellEnd"/>
      <w:r w:rsidR="00360B41">
        <w:rPr>
          <w:rFonts w:ascii="Arial" w:hAnsi="Arial" w:cs="Arial"/>
          <w:sz w:val="28"/>
          <w:szCs w:val="28"/>
          <w:lang w:val="nl-NL"/>
        </w:rPr>
        <w:t xml:space="preserve"> health </w:t>
      </w:r>
      <w:proofErr w:type="spellStart"/>
      <w:r w:rsidR="00360B41">
        <w:rPr>
          <w:rFonts w:ascii="Arial" w:hAnsi="Arial" w:cs="Arial"/>
          <w:sz w:val="28"/>
          <w:szCs w:val="28"/>
          <w:lang w:val="nl-NL"/>
        </w:rPr>
        <w:t>and</w:t>
      </w:r>
      <w:proofErr w:type="spellEnd"/>
      <w:r w:rsidR="00360B41">
        <w:rPr>
          <w:rFonts w:ascii="Arial" w:hAnsi="Arial" w:cs="Arial"/>
          <w:sz w:val="28"/>
          <w:szCs w:val="28"/>
          <w:lang w:val="nl-NL"/>
        </w:rPr>
        <w:t xml:space="preserve"> </w:t>
      </w:r>
      <w:proofErr w:type="spellStart"/>
      <w:r w:rsidR="00360B41">
        <w:rPr>
          <w:rFonts w:ascii="Arial" w:hAnsi="Arial" w:cs="Arial"/>
          <w:sz w:val="28"/>
          <w:szCs w:val="28"/>
          <w:lang w:val="nl-NL"/>
        </w:rPr>
        <w:t>social</w:t>
      </w:r>
      <w:proofErr w:type="spellEnd"/>
      <w:r w:rsidR="00360B41">
        <w:rPr>
          <w:rFonts w:ascii="Arial" w:hAnsi="Arial" w:cs="Arial"/>
          <w:sz w:val="28"/>
          <w:szCs w:val="28"/>
          <w:lang w:val="nl-NL"/>
        </w:rPr>
        <w:t xml:space="preserve"> care </w:t>
      </w:r>
    </w:p>
    <w:p w14:paraId="529D7354" w14:textId="47055573" w:rsidR="00CD33A8" w:rsidRPr="0090507E"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00B9460A">
        <w:rPr>
          <w:rFonts w:ascii="Arial" w:hAnsi="Arial" w:cs="Arial"/>
          <w:sz w:val="28"/>
          <w:szCs w:val="28"/>
        </w:rPr>
        <w:t>:(</w:t>
      </w:r>
      <w:r w:rsidR="00AA3AC2">
        <w:rPr>
          <w:rFonts w:ascii="Arial" w:hAnsi="Arial" w:cs="Arial"/>
          <w:sz w:val="28"/>
          <w:szCs w:val="28"/>
        </w:rPr>
        <w:t>LCHS4008_LON)</w:t>
      </w:r>
    </w:p>
    <w:p w14:paraId="0A48766D" w14:textId="0F640330"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 xml:space="preserve">Student </w:t>
      </w:r>
      <w:proofErr w:type="spellStart"/>
      <w:r w:rsidRPr="00CD33A8">
        <w:rPr>
          <w:rFonts w:ascii="Arial" w:hAnsi="Arial" w:cs="Arial"/>
          <w:b/>
          <w:bCs/>
          <w:sz w:val="28"/>
          <w:szCs w:val="28"/>
          <w:lang w:val="nl-NL"/>
        </w:rPr>
        <w:t>name</w:t>
      </w:r>
      <w:r w:rsidRPr="00CD33A8">
        <w:rPr>
          <w:rFonts w:ascii="Arial" w:hAnsi="Arial" w:cs="Arial"/>
          <w:sz w:val="28"/>
          <w:szCs w:val="28"/>
          <w:lang w:val="nl-NL"/>
        </w:rPr>
        <w:t>:</w:t>
      </w:r>
      <w:r w:rsidR="00AA3AC2">
        <w:rPr>
          <w:rFonts w:ascii="Arial" w:hAnsi="Arial" w:cs="Arial"/>
          <w:sz w:val="28"/>
          <w:szCs w:val="28"/>
          <w:lang w:val="nl-NL"/>
        </w:rPr>
        <w:t>Johanna</w:t>
      </w:r>
      <w:proofErr w:type="spellEnd"/>
      <w:r w:rsidR="00AA3AC2">
        <w:rPr>
          <w:rFonts w:ascii="Arial" w:hAnsi="Arial" w:cs="Arial"/>
          <w:sz w:val="28"/>
          <w:szCs w:val="28"/>
          <w:lang w:val="nl-NL"/>
        </w:rPr>
        <w:t xml:space="preserve"> </w:t>
      </w:r>
      <w:proofErr w:type="spellStart"/>
      <w:r w:rsidR="00AA3AC2">
        <w:rPr>
          <w:rFonts w:ascii="Arial" w:hAnsi="Arial" w:cs="Arial"/>
          <w:sz w:val="28"/>
          <w:szCs w:val="28"/>
          <w:lang w:val="nl-NL"/>
        </w:rPr>
        <w:t>Itohan</w:t>
      </w:r>
      <w:proofErr w:type="spellEnd"/>
      <w:r w:rsidR="00AA3AC2">
        <w:rPr>
          <w:rFonts w:ascii="Arial" w:hAnsi="Arial" w:cs="Arial"/>
          <w:sz w:val="28"/>
          <w:szCs w:val="28"/>
          <w:lang w:val="nl-NL"/>
        </w:rPr>
        <w:t xml:space="preserve"> </w:t>
      </w:r>
      <w:proofErr w:type="spellStart"/>
      <w:r w:rsidR="00AA3AC2">
        <w:rPr>
          <w:rFonts w:ascii="Arial" w:hAnsi="Arial" w:cs="Arial"/>
          <w:sz w:val="28"/>
          <w:szCs w:val="28"/>
          <w:lang w:val="nl-NL"/>
        </w:rPr>
        <w:t>Erhunmwunse</w:t>
      </w:r>
      <w:proofErr w:type="spellEnd"/>
      <w:r w:rsidR="00AA3AC2">
        <w:rPr>
          <w:rFonts w:ascii="Arial" w:hAnsi="Arial" w:cs="Arial"/>
          <w:sz w:val="28"/>
          <w:szCs w:val="28"/>
          <w:lang w:val="nl-NL"/>
        </w:rPr>
        <w:t xml:space="preserve"> </w:t>
      </w:r>
    </w:p>
    <w:p w14:paraId="5E81F6AD" w14:textId="1478819D"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AA3AC2">
        <w:rPr>
          <w:rFonts w:ascii="Arial" w:hAnsi="Arial" w:cs="Arial"/>
          <w:sz w:val="28"/>
          <w:szCs w:val="28"/>
          <w:lang w:val="nl-NL"/>
        </w:rPr>
        <w:t>2517</w:t>
      </w:r>
      <w:r w:rsidR="00476629">
        <w:rPr>
          <w:rFonts w:ascii="Arial" w:hAnsi="Arial" w:cs="Arial"/>
          <w:sz w:val="28"/>
          <w:szCs w:val="28"/>
          <w:lang w:val="nl-NL"/>
        </w:rPr>
        <w:t>217</w:t>
      </w:r>
    </w:p>
    <w:p w14:paraId="73B07562" w14:textId="0848EB56" w:rsidR="008E3943" w:rsidRPr="00F214FB" w:rsidRDefault="008E3943" w:rsidP="00F214FB">
      <w:pPr>
        <w:tabs>
          <w:tab w:val="left" w:pos="6540"/>
        </w:tabs>
        <w:spacing w:line="360" w:lineRule="auto"/>
        <w:rPr>
          <w:rFonts w:ascii="Arial" w:hAnsi="Arial" w:cs="Arial"/>
          <w:sz w:val="28"/>
          <w:szCs w:val="28"/>
        </w:rPr>
      </w:pPr>
      <w:r>
        <w:rPr>
          <w:rFonts w:ascii="Arial" w:hAnsi="Arial" w:cs="Arial"/>
          <w:b/>
          <w:bCs/>
          <w:sz w:val="28"/>
          <w:szCs w:val="28"/>
        </w:rPr>
        <w:t xml:space="preserve">Lecturer’s </w:t>
      </w:r>
      <w:proofErr w:type="spellStart"/>
      <w:r w:rsidR="00F214FB">
        <w:rPr>
          <w:rFonts w:ascii="Arial" w:hAnsi="Arial" w:cs="Arial"/>
          <w:b/>
          <w:bCs/>
          <w:sz w:val="28"/>
          <w:szCs w:val="28"/>
        </w:rPr>
        <w:t>name</w:t>
      </w:r>
      <w:r w:rsidR="006D1918">
        <w:rPr>
          <w:rFonts w:ascii="Arial" w:hAnsi="Arial" w:cs="Arial"/>
          <w:b/>
          <w:bCs/>
          <w:sz w:val="28"/>
          <w:szCs w:val="28"/>
        </w:rPr>
        <w:t>:</w:t>
      </w:r>
      <w:r w:rsidR="00476629">
        <w:rPr>
          <w:rFonts w:ascii="Arial" w:hAnsi="Arial" w:cs="Arial"/>
          <w:b/>
          <w:bCs/>
          <w:sz w:val="28"/>
          <w:szCs w:val="28"/>
        </w:rPr>
        <w:t>Shepherd</w:t>
      </w:r>
      <w:proofErr w:type="spellEnd"/>
      <w:r w:rsidR="00476629">
        <w:rPr>
          <w:rFonts w:ascii="Arial" w:hAnsi="Arial" w:cs="Arial"/>
          <w:b/>
          <w:bCs/>
          <w:sz w:val="28"/>
          <w:szCs w:val="28"/>
        </w:rPr>
        <w:t xml:space="preserve"> </w:t>
      </w:r>
      <w:proofErr w:type="spellStart"/>
      <w:r w:rsidR="00476629">
        <w:rPr>
          <w:rFonts w:ascii="Arial" w:hAnsi="Arial" w:cs="Arial"/>
          <w:b/>
          <w:bCs/>
          <w:sz w:val="28"/>
          <w:szCs w:val="28"/>
        </w:rPr>
        <w:t>Ziko</w:t>
      </w:r>
      <w:proofErr w:type="spellEnd"/>
      <w:r w:rsidR="00476629">
        <w:rPr>
          <w:rFonts w:ascii="Arial" w:hAnsi="Arial" w:cs="Arial"/>
          <w:b/>
          <w:bCs/>
          <w:sz w:val="28"/>
          <w:szCs w:val="28"/>
        </w:rPr>
        <w:t xml:space="preserve"> </w:t>
      </w:r>
    </w:p>
    <w:p w14:paraId="6042D31C" w14:textId="77777777" w:rsidR="009A6F02" w:rsidRDefault="009A6F02">
      <w:pPr>
        <w:pStyle w:val="Heading1"/>
        <w:shd w:val="clear" w:color="auto" w:fill="FAF9FD"/>
        <w:rPr>
          <w:rFonts w:eastAsia="Times New Roman" w:cs="Arial"/>
          <w:color w:val="000000"/>
          <w:kern w:val="36"/>
          <w:sz w:val="48"/>
          <w:szCs w:val="48"/>
        </w:rPr>
      </w:pPr>
      <w:r>
        <w:rPr>
          <w:rFonts w:eastAsia="Times New Roman" w:cs="Arial"/>
          <w:color w:val="000000"/>
        </w:rPr>
        <w:t>Depression: A Public Health Issue and Its Impact on Individuals and Communities</w:t>
      </w:r>
    </w:p>
    <w:p w14:paraId="7EA9B94D" w14:textId="77777777" w:rsidR="009A6F02" w:rsidRDefault="009A6F02">
      <w:pPr>
        <w:pStyle w:val="Heading2"/>
        <w:shd w:val="clear" w:color="auto" w:fill="FAF9FD"/>
        <w:rPr>
          <w:rFonts w:eastAsia="Times New Roman" w:cs="Arial"/>
          <w:color w:val="000000"/>
        </w:rPr>
      </w:pPr>
      <w:r>
        <w:rPr>
          <w:rFonts w:eastAsia="Times New Roman" w:cs="Arial"/>
          <w:color w:val="000000"/>
        </w:rPr>
        <w:t>1. Introduction</w:t>
      </w:r>
    </w:p>
    <w:p w14:paraId="5036C0E6" w14:textId="77777777" w:rsidR="009A6F02" w:rsidRDefault="009A6F02">
      <w:pPr>
        <w:pStyle w:val="NormalWeb"/>
        <w:shd w:val="clear" w:color="auto" w:fill="FAF9FD"/>
        <w:rPr>
          <w:rFonts w:ascii="Arial" w:hAnsi="Arial" w:cs="Arial"/>
          <w:color w:val="000000"/>
          <w:sz w:val="19"/>
          <w:szCs w:val="19"/>
        </w:rPr>
      </w:pPr>
      <w:r>
        <w:rPr>
          <w:rFonts w:ascii="Arial" w:hAnsi="Arial" w:cs="Arial"/>
          <w:color w:val="000000"/>
          <w:sz w:val="19"/>
          <w:szCs w:val="19"/>
        </w:rPr>
        <w:t>Depression is a common mental health condition that can affect a person's emotions, thoughts, behaviour and everyday life. It is different from feeling sad for a short time because the symptoms can continue and may interfere with normal activities. A person experiencing depression may lose interest in activities they previously enjoyed, feel tired, have difficulty concentrating, experience changes in sleeping or eating patterns, or have low confidence and feelings of hopelessness (NHS, 2024).</w:t>
      </w:r>
    </w:p>
    <w:p w14:paraId="5F93100B" w14:textId="77777777" w:rsidR="009A6F02" w:rsidRDefault="009A6F02">
      <w:pPr>
        <w:pStyle w:val="NormalWeb"/>
        <w:shd w:val="clear" w:color="auto" w:fill="FAF9FD"/>
        <w:rPr>
          <w:rFonts w:ascii="Arial" w:hAnsi="Arial" w:cs="Arial"/>
          <w:color w:val="000000"/>
          <w:sz w:val="19"/>
          <w:szCs w:val="19"/>
        </w:rPr>
      </w:pPr>
      <w:r>
        <w:rPr>
          <w:rFonts w:ascii="Arial" w:hAnsi="Arial" w:cs="Arial"/>
          <w:color w:val="000000"/>
          <w:sz w:val="19"/>
          <w:szCs w:val="19"/>
        </w:rPr>
        <w:t>Depression is an important public health issue because it can affect more than the individual. It can influence relationships, education, employment, physical health and participation in the community. It may also increase the need for support from health and social care services. The World Health Organization (WHO, 2025) explains that depression can affect a person's ability to function at home, at work, at school and within the wider community.</w:t>
      </w:r>
    </w:p>
    <w:p w14:paraId="27DB63B1" w14:textId="77777777" w:rsidR="009A6F02" w:rsidRDefault="009A6F02">
      <w:pPr>
        <w:pStyle w:val="NormalWeb"/>
        <w:shd w:val="clear" w:color="auto" w:fill="FAF9FD"/>
        <w:rPr>
          <w:rFonts w:ascii="Arial" w:hAnsi="Arial" w:cs="Arial"/>
          <w:color w:val="000000"/>
          <w:sz w:val="19"/>
          <w:szCs w:val="19"/>
        </w:rPr>
      </w:pPr>
      <w:r>
        <w:rPr>
          <w:rFonts w:ascii="Arial" w:hAnsi="Arial" w:cs="Arial"/>
          <w:color w:val="000000"/>
          <w:sz w:val="19"/>
          <w:szCs w:val="19"/>
        </w:rPr>
        <w:t>Mental health can also be influenced by the circumstances in which people live. Income, housing, education, employment and social relationships can all have an effect on health and wellbeing. </w:t>
      </w:r>
      <w:r>
        <w:rPr>
          <w:rStyle w:val="Strong"/>
          <w:rFonts w:ascii="Arial" w:hAnsi="Arial" w:cs="Arial"/>
          <w:color w:val="000000"/>
          <w:sz w:val="19"/>
          <w:szCs w:val="19"/>
        </w:rPr>
        <w:t>According to Marmot et al. (2010), the conditions in which people are born, grow, live, work and age can have an important influence on their health.</w:t>
      </w:r>
      <w:r>
        <w:rPr>
          <w:rFonts w:ascii="Arial" w:hAnsi="Arial" w:cs="Arial"/>
          <w:color w:val="000000"/>
          <w:sz w:val="19"/>
          <w:szCs w:val="19"/>
        </w:rPr>
        <w:t> This shows why health inequalities need to be considered when discussing depression.</w:t>
      </w:r>
    </w:p>
    <w:p w14:paraId="268C5425" w14:textId="77777777" w:rsidR="009A6F02" w:rsidRDefault="009A6F02">
      <w:pPr>
        <w:pStyle w:val="NormalWeb"/>
        <w:shd w:val="clear" w:color="auto" w:fill="FAF9FD"/>
        <w:rPr>
          <w:rFonts w:ascii="Arial" w:hAnsi="Arial" w:cs="Arial"/>
          <w:color w:val="000000"/>
          <w:sz w:val="19"/>
          <w:szCs w:val="19"/>
        </w:rPr>
      </w:pPr>
      <w:r>
        <w:rPr>
          <w:rFonts w:ascii="Arial" w:hAnsi="Arial" w:cs="Arial"/>
          <w:color w:val="000000"/>
          <w:sz w:val="19"/>
          <w:szCs w:val="19"/>
        </w:rPr>
        <w:t>This assignment discusses depression as a public health issue, its effects on individuals and communities, and the relationship between depression, social determinants and health inequalities. It will also consider the contribution of Marmot's work to understanding these issues.</w:t>
      </w:r>
    </w:p>
    <w:p w14:paraId="6CBC3909" w14:textId="77777777" w:rsidR="00843739" w:rsidRDefault="00843739">
      <w:pPr>
        <w:pStyle w:val="Heading2"/>
        <w:shd w:val="clear" w:color="auto" w:fill="FAF9FD"/>
        <w:rPr>
          <w:rFonts w:eastAsia="Times New Roman" w:cs="Arial"/>
          <w:color w:val="000000"/>
          <w:sz w:val="36"/>
          <w:szCs w:val="36"/>
        </w:rPr>
      </w:pPr>
      <w:r>
        <w:rPr>
          <w:rFonts w:eastAsia="Times New Roman" w:cs="Arial"/>
          <w:color w:val="000000"/>
        </w:rPr>
        <w:t>2. Depression as a Public Health Issue and Its Impact on Individuals and Communities</w:t>
      </w:r>
    </w:p>
    <w:p w14:paraId="0BE4FBD1" w14:textId="77777777" w:rsidR="00843739" w:rsidRDefault="00843739">
      <w:pPr>
        <w:pStyle w:val="NormalWeb"/>
        <w:shd w:val="clear" w:color="auto" w:fill="FAF9FD"/>
        <w:rPr>
          <w:rFonts w:ascii="Arial" w:hAnsi="Arial" w:cs="Arial"/>
          <w:color w:val="000000"/>
          <w:sz w:val="19"/>
          <w:szCs w:val="19"/>
        </w:rPr>
      </w:pPr>
      <w:r>
        <w:rPr>
          <w:rFonts w:ascii="Arial" w:hAnsi="Arial" w:cs="Arial"/>
          <w:color w:val="000000"/>
          <w:sz w:val="19"/>
          <w:szCs w:val="19"/>
        </w:rPr>
        <w:t>Depression can develop for different reasons, and there is not one explanation that applies to everyone. A person may experience several difficulties at the same time, including relationship problems, financial worries, loneliness, unemployment, stressful experiences or difficulties with education. The WHO (2025) recognises that depression can be influenced by a combination of biological, psychological and social factors.</w:t>
      </w:r>
    </w:p>
    <w:p w14:paraId="6A9D49D4" w14:textId="77777777" w:rsidR="00843739" w:rsidRDefault="00843739">
      <w:pPr>
        <w:pStyle w:val="NormalWeb"/>
        <w:shd w:val="clear" w:color="auto" w:fill="FAF9FD"/>
        <w:rPr>
          <w:rFonts w:ascii="Arial" w:hAnsi="Arial" w:cs="Arial"/>
          <w:color w:val="000000"/>
          <w:sz w:val="19"/>
          <w:szCs w:val="19"/>
        </w:rPr>
      </w:pPr>
      <w:r>
        <w:rPr>
          <w:rFonts w:ascii="Arial" w:hAnsi="Arial" w:cs="Arial"/>
          <w:color w:val="000000"/>
          <w:sz w:val="19"/>
          <w:szCs w:val="19"/>
        </w:rPr>
        <w:t>Depression can have a major effect on everyday life. Someone who is experiencing depression may find ordinary tasks difficult to complete. Getting out of bed, preparing food, attending work or university, looking after personal needs and communicating with other people may require considerable effort. A person may also stop taking part in hobbies and social activities because they no longer feel interested or motivated.</w:t>
      </w:r>
    </w:p>
    <w:p w14:paraId="2F26401B" w14:textId="77777777" w:rsidR="00843739" w:rsidRDefault="00843739">
      <w:pPr>
        <w:pStyle w:val="NormalWeb"/>
        <w:shd w:val="clear" w:color="auto" w:fill="FAF9FD"/>
        <w:rPr>
          <w:rFonts w:ascii="Arial" w:hAnsi="Arial" w:cs="Arial"/>
          <w:color w:val="000000"/>
          <w:sz w:val="19"/>
          <w:szCs w:val="19"/>
        </w:rPr>
      </w:pPr>
      <w:r>
        <w:rPr>
          <w:rFonts w:ascii="Arial" w:hAnsi="Arial" w:cs="Arial"/>
          <w:color w:val="000000"/>
          <w:sz w:val="19"/>
          <w:szCs w:val="19"/>
        </w:rPr>
        <w:t>Physical health can also be affected. Depression may be associated with problems such as tiredness, disturbed sleep and changes in appetite. A person may also have less motivation to exercise or maintain healthy routines. The NHS (2024) identifies changes in sleep, appetite and energy among the difficulties that can occur with depression. This demonstrates that mental and physical wellbeing are closely connected.</w:t>
      </w:r>
    </w:p>
    <w:p w14:paraId="69760979" w14:textId="77777777" w:rsidR="00843739" w:rsidRDefault="00843739">
      <w:pPr>
        <w:pStyle w:val="NormalWeb"/>
        <w:shd w:val="clear" w:color="auto" w:fill="FAF9FD"/>
        <w:rPr>
          <w:rFonts w:ascii="Arial" w:hAnsi="Arial" w:cs="Arial"/>
          <w:color w:val="000000"/>
          <w:sz w:val="19"/>
          <w:szCs w:val="19"/>
        </w:rPr>
      </w:pPr>
      <w:r>
        <w:rPr>
          <w:rFonts w:ascii="Arial" w:hAnsi="Arial" w:cs="Arial"/>
          <w:color w:val="000000"/>
          <w:sz w:val="19"/>
          <w:szCs w:val="19"/>
        </w:rPr>
        <w:t>Employment can be affected when a person is depressed. They may find it difficult to concentrate, make decisions or complete their usual responsibilities. Some people may need time away from work, while others may struggle to remain employed. Losing employment can create financial difficulties, particularly when a person's income is reduced. Worry about rent, bills and other essential costs can then add further stress.</w:t>
      </w:r>
    </w:p>
    <w:p w14:paraId="7056539A" w14:textId="77777777" w:rsidR="00843739" w:rsidRDefault="00843739">
      <w:pPr>
        <w:pStyle w:val="NormalWeb"/>
        <w:shd w:val="clear" w:color="auto" w:fill="FAF9FD"/>
        <w:rPr>
          <w:rFonts w:ascii="Arial" w:hAnsi="Arial" w:cs="Arial"/>
          <w:color w:val="000000"/>
          <w:sz w:val="19"/>
          <w:szCs w:val="19"/>
        </w:rPr>
      </w:pPr>
      <w:r>
        <w:rPr>
          <w:rFonts w:ascii="Arial" w:hAnsi="Arial" w:cs="Arial"/>
          <w:color w:val="000000"/>
          <w:sz w:val="19"/>
          <w:szCs w:val="19"/>
        </w:rPr>
        <w:t>Education can also be affected. A student with depression may find it difficult to attend classes, concentrate during lessons or complete assignments. Falling behind can cause additional worry about academic progress and future employment. This may affect the person's confidence and motivation and can make their mental health difficulties harder to manage.</w:t>
      </w:r>
    </w:p>
    <w:p w14:paraId="3AD22352" w14:textId="77777777" w:rsidR="00843739" w:rsidRDefault="00843739">
      <w:pPr>
        <w:pStyle w:val="NormalWeb"/>
        <w:shd w:val="clear" w:color="auto" w:fill="FAF9FD"/>
        <w:rPr>
          <w:rFonts w:ascii="Arial" w:hAnsi="Arial" w:cs="Arial"/>
          <w:color w:val="000000"/>
          <w:sz w:val="19"/>
          <w:szCs w:val="19"/>
        </w:rPr>
      </w:pPr>
      <w:r>
        <w:rPr>
          <w:rFonts w:ascii="Arial" w:hAnsi="Arial" w:cs="Arial"/>
          <w:color w:val="000000"/>
          <w:sz w:val="19"/>
          <w:szCs w:val="19"/>
        </w:rPr>
        <w:t>The effects of depression can extend to families. Someone experiencing depression may withdraw from relatives and friends. Family members may become concerned and may provide emotional or practical support. Although this support can be helpful, it may also place pressure on family members, particularly when the person's difficulties continue for a long time.</w:t>
      </w:r>
    </w:p>
    <w:p w14:paraId="2AA1DBAE" w14:textId="77777777" w:rsidR="00843739" w:rsidRDefault="00843739">
      <w:pPr>
        <w:pStyle w:val="NormalWeb"/>
        <w:shd w:val="clear" w:color="auto" w:fill="FAF9FD"/>
        <w:rPr>
          <w:rFonts w:ascii="Arial" w:hAnsi="Arial" w:cs="Arial"/>
          <w:color w:val="000000"/>
          <w:sz w:val="19"/>
          <w:szCs w:val="19"/>
        </w:rPr>
      </w:pPr>
      <w:r>
        <w:rPr>
          <w:rFonts w:ascii="Arial" w:hAnsi="Arial" w:cs="Arial"/>
          <w:color w:val="000000"/>
          <w:sz w:val="19"/>
          <w:szCs w:val="19"/>
        </w:rPr>
        <w:t>Depression can also affect communities. People experiencing poor mental health may find it harder to participate in employment, education, social activities and community life. There can also be greater demand for health and social care services. This is why depression should be viewed as a public health concern rather than only as an individual's personal difficulty.</w:t>
      </w:r>
    </w:p>
    <w:p w14:paraId="1E75625A" w14:textId="77777777" w:rsidR="00843739" w:rsidRDefault="00843739">
      <w:pPr>
        <w:pStyle w:val="NormalWeb"/>
        <w:shd w:val="clear" w:color="auto" w:fill="FAF9FD"/>
        <w:rPr>
          <w:rFonts w:ascii="Arial" w:hAnsi="Arial" w:cs="Arial"/>
          <w:color w:val="000000"/>
          <w:sz w:val="19"/>
          <w:szCs w:val="19"/>
        </w:rPr>
      </w:pPr>
      <w:r>
        <w:rPr>
          <w:rFonts w:ascii="Arial" w:hAnsi="Arial" w:cs="Arial"/>
          <w:color w:val="000000"/>
          <w:sz w:val="19"/>
          <w:szCs w:val="19"/>
        </w:rPr>
        <w:t>Supportive communities can help people manage depression. Family, friends, community organisations and peer support can provide encouragement and reduce isolation. Having someone to talk to may help an individual feel less alone and make it easier to seek professional support.</w:t>
      </w:r>
    </w:p>
    <w:p w14:paraId="184ADCC2" w14:textId="77777777" w:rsidR="00843739" w:rsidRDefault="00843739">
      <w:pPr>
        <w:pStyle w:val="NormalWeb"/>
        <w:shd w:val="clear" w:color="auto" w:fill="FAF9FD"/>
        <w:rPr>
          <w:rFonts w:ascii="Arial" w:hAnsi="Arial" w:cs="Arial"/>
          <w:color w:val="000000"/>
          <w:sz w:val="19"/>
          <w:szCs w:val="19"/>
        </w:rPr>
      </w:pPr>
      <w:r>
        <w:rPr>
          <w:rFonts w:ascii="Arial" w:hAnsi="Arial" w:cs="Arial"/>
          <w:color w:val="000000"/>
          <w:sz w:val="19"/>
          <w:szCs w:val="19"/>
        </w:rPr>
        <w:t>Stigma can be a barrier to receiving help. Some people may worry that others will judge them because of their mental health. They may hide their symptoms or delay asking for support. The WHO (2025) identifies stigma as one of the barriers that can prevent people from accessing appropriate mental health care. Improving awareness and understanding of depression can therefore encourage people to seek help earlier.</w:t>
      </w:r>
    </w:p>
    <w:p w14:paraId="0B03AB96" w14:textId="77777777" w:rsidR="00843739" w:rsidRDefault="00843739">
      <w:pPr>
        <w:pStyle w:val="NormalWeb"/>
        <w:shd w:val="clear" w:color="auto" w:fill="FAF9FD"/>
        <w:rPr>
          <w:rFonts w:ascii="Arial" w:hAnsi="Arial" w:cs="Arial"/>
          <w:color w:val="000000"/>
          <w:sz w:val="19"/>
          <w:szCs w:val="19"/>
        </w:rPr>
      </w:pPr>
      <w:r>
        <w:rPr>
          <w:rFonts w:ascii="Arial" w:hAnsi="Arial" w:cs="Arial"/>
          <w:color w:val="000000"/>
          <w:sz w:val="19"/>
          <w:szCs w:val="19"/>
        </w:rPr>
        <w:t>Early intervention is important. Health and social care professionals can listen to individuals, recognise possible signs of depression and help them access appropriate services. Support should be person-centred because each individual's experiences, needs and circumstances are different.</w:t>
      </w:r>
    </w:p>
    <w:p w14:paraId="2CF6DE44" w14:textId="77777777" w:rsidR="00254C25" w:rsidRDefault="00254C25">
      <w:pPr>
        <w:pStyle w:val="Heading2"/>
        <w:shd w:val="clear" w:color="auto" w:fill="FAF9FD"/>
        <w:rPr>
          <w:rFonts w:eastAsia="Times New Roman" w:cs="Arial"/>
          <w:color w:val="000000"/>
          <w:sz w:val="36"/>
          <w:szCs w:val="36"/>
        </w:rPr>
      </w:pPr>
      <w:r>
        <w:rPr>
          <w:rFonts w:eastAsia="Times New Roman" w:cs="Arial"/>
          <w:color w:val="000000"/>
        </w:rPr>
        <w:t>3. Marmot Review, Social Determinants and Health Inequalities</w:t>
      </w:r>
    </w:p>
    <w:p w14:paraId="15B9B45E" w14:textId="77777777" w:rsidR="00254C25" w:rsidRDefault="00254C25">
      <w:pPr>
        <w:pStyle w:val="NormalWeb"/>
        <w:shd w:val="clear" w:color="auto" w:fill="FAF9FD"/>
        <w:rPr>
          <w:rFonts w:ascii="Arial" w:hAnsi="Arial" w:cs="Arial"/>
          <w:color w:val="000000"/>
          <w:sz w:val="19"/>
          <w:szCs w:val="19"/>
        </w:rPr>
      </w:pPr>
      <w:r>
        <w:rPr>
          <w:rFonts w:ascii="Arial" w:hAnsi="Arial" w:cs="Arial"/>
          <w:color w:val="000000"/>
          <w:sz w:val="19"/>
          <w:szCs w:val="19"/>
        </w:rPr>
        <w:t>Sir Michael Marmot is well known for his research into health inequalities and the social determinants of health. His work demonstrates that health is influenced by more than healthcare and individual choices. The social and economic circumstances surrounding people can affect their opportunities to live healthy lives.</w:t>
      </w:r>
    </w:p>
    <w:p w14:paraId="10492F93" w14:textId="77777777" w:rsidR="00254C25" w:rsidRDefault="00254C25">
      <w:pPr>
        <w:pStyle w:val="NormalWeb"/>
        <w:shd w:val="clear" w:color="auto" w:fill="FAF9FD"/>
        <w:rPr>
          <w:rFonts w:ascii="Arial" w:hAnsi="Arial" w:cs="Arial"/>
          <w:color w:val="000000"/>
          <w:sz w:val="19"/>
          <w:szCs w:val="19"/>
        </w:rPr>
      </w:pPr>
      <w:r>
        <w:rPr>
          <w:rFonts w:ascii="Arial" w:hAnsi="Arial" w:cs="Arial"/>
          <w:color w:val="000000"/>
          <w:sz w:val="19"/>
          <w:szCs w:val="19"/>
        </w:rPr>
        <w:t>The Marmot Review, </w:t>
      </w:r>
      <w:r>
        <w:rPr>
          <w:rStyle w:val="Emphasis"/>
          <w:rFonts w:ascii="Arial" w:hAnsi="Arial" w:cs="Arial"/>
          <w:color w:val="000000"/>
          <w:sz w:val="19"/>
          <w:szCs w:val="19"/>
        </w:rPr>
        <w:t>Fair Society, Healthy Lives</w:t>
      </w:r>
      <w:r>
        <w:rPr>
          <w:rFonts w:ascii="Arial" w:hAnsi="Arial" w:cs="Arial"/>
          <w:color w:val="000000"/>
          <w:sz w:val="19"/>
          <w:szCs w:val="19"/>
        </w:rPr>
        <w:t>, was published in 2010 following an independent review of health inequalities in England. The review examined why health outcomes differ between groups and considered how these inequalities could be reduced (Marmot et al., 2010).</w:t>
      </w:r>
    </w:p>
    <w:p w14:paraId="62B2E16F" w14:textId="77777777" w:rsidR="00254C25" w:rsidRDefault="00254C25">
      <w:pPr>
        <w:pStyle w:val="NormalWeb"/>
        <w:shd w:val="clear" w:color="auto" w:fill="FAF9FD"/>
        <w:rPr>
          <w:rFonts w:ascii="Arial" w:hAnsi="Arial" w:cs="Arial"/>
          <w:color w:val="000000"/>
          <w:sz w:val="19"/>
          <w:szCs w:val="19"/>
        </w:rPr>
      </w:pPr>
      <w:r>
        <w:rPr>
          <w:rStyle w:val="Strong"/>
          <w:rFonts w:ascii="Arial" w:hAnsi="Arial" w:cs="Arial"/>
          <w:color w:val="000000"/>
          <w:sz w:val="19"/>
          <w:szCs w:val="19"/>
        </w:rPr>
        <w:t>According to Marmot et al. (2010), there is a social gradient in health.</w:t>
      </w:r>
      <w:r>
        <w:rPr>
          <w:rFonts w:ascii="Arial" w:hAnsi="Arial" w:cs="Arial"/>
          <w:color w:val="000000"/>
          <w:sz w:val="19"/>
          <w:szCs w:val="19"/>
        </w:rPr>
        <w:t> This means that health generally improves as people's social and economic circumstances become more favourable. People experiencing greater disadvantage may therefore face greater risks to their health. This is relevant to depression because difficult living circumstances can create additional stress and reduce opportunities for good mental wellbeing.</w:t>
      </w:r>
    </w:p>
    <w:p w14:paraId="037F40A9" w14:textId="77777777" w:rsidR="00254C25" w:rsidRDefault="00254C25">
      <w:pPr>
        <w:pStyle w:val="NormalWeb"/>
        <w:shd w:val="clear" w:color="auto" w:fill="FAF9FD"/>
        <w:rPr>
          <w:rFonts w:ascii="Arial" w:hAnsi="Arial" w:cs="Arial"/>
          <w:color w:val="000000"/>
          <w:sz w:val="19"/>
          <w:szCs w:val="19"/>
        </w:rPr>
      </w:pPr>
      <w:r>
        <w:rPr>
          <w:rFonts w:ascii="Arial" w:hAnsi="Arial" w:cs="Arial"/>
          <w:color w:val="000000"/>
          <w:sz w:val="19"/>
          <w:szCs w:val="19"/>
        </w:rPr>
        <w:t>Income is an important social determinant. Having enough money to meet basic needs can provide security and reduce some pressures. However, people experiencing poverty may worry about food, rent, energy bills and other necessities. Financial insecurity can create ongoing stress and may affect emotional wellbeing. It may also limit opportunities to take part in activities that support social connection and wellbeing.</w:t>
      </w:r>
    </w:p>
    <w:p w14:paraId="43E044FF" w14:textId="77777777" w:rsidR="00254C25" w:rsidRDefault="00254C25">
      <w:pPr>
        <w:pStyle w:val="NormalWeb"/>
        <w:shd w:val="clear" w:color="auto" w:fill="FAF9FD"/>
        <w:rPr>
          <w:rFonts w:ascii="Arial" w:hAnsi="Arial" w:cs="Arial"/>
          <w:color w:val="000000"/>
          <w:sz w:val="19"/>
          <w:szCs w:val="19"/>
        </w:rPr>
      </w:pPr>
      <w:r>
        <w:rPr>
          <w:rFonts w:ascii="Arial" w:hAnsi="Arial" w:cs="Arial"/>
          <w:color w:val="000000"/>
          <w:sz w:val="19"/>
          <w:szCs w:val="19"/>
        </w:rPr>
        <w:t>Housing is another important factor. Safe and secure housing can provide stability. In contrast, overcrowding, poor housing conditions or uncertainty about keeping accommodation can cause stress. Housing conditions are therefore relevant when considering health inequalities and mental wellbeing (Office for Health Improvement and Disparities, 2026).</w:t>
      </w:r>
    </w:p>
    <w:p w14:paraId="0DC3CDEC" w14:textId="77777777" w:rsidR="00254C25" w:rsidRDefault="00254C25">
      <w:pPr>
        <w:pStyle w:val="NormalWeb"/>
        <w:shd w:val="clear" w:color="auto" w:fill="FAF9FD"/>
        <w:rPr>
          <w:rFonts w:ascii="Arial" w:hAnsi="Arial" w:cs="Arial"/>
          <w:color w:val="000000"/>
          <w:sz w:val="19"/>
          <w:szCs w:val="19"/>
        </w:rPr>
      </w:pPr>
      <w:r>
        <w:rPr>
          <w:rFonts w:ascii="Arial" w:hAnsi="Arial" w:cs="Arial"/>
          <w:color w:val="000000"/>
          <w:sz w:val="19"/>
          <w:szCs w:val="19"/>
        </w:rPr>
        <w:t>Employment can also influence health. Secure employment may provide income, routine, social contact and a sense of purpose. Unemployment or insecure employment can instead create financial difficulties and uncertainty. Stressful working conditions may also have a negative effect on mental wellbeing.</w:t>
      </w:r>
    </w:p>
    <w:p w14:paraId="2BBF7DB3" w14:textId="77777777" w:rsidR="00254C25" w:rsidRDefault="00254C25">
      <w:pPr>
        <w:pStyle w:val="NormalWeb"/>
        <w:shd w:val="clear" w:color="auto" w:fill="FAF9FD"/>
        <w:rPr>
          <w:rFonts w:ascii="Arial" w:hAnsi="Arial" w:cs="Arial"/>
          <w:color w:val="000000"/>
          <w:sz w:val="19"/>
          <w:szCs w:val="19"/>
        </w:rPr>
      </w:pPr>
      <w:r>
        <w:rPr>
          <w:rFonts w:ascii="Arial" w:hAnsi="Arial" w:cs="Arial"/>
          <w:color w:val="000000"/>
          <w:sz w:val="19"/>
          <w:szCs w:val="19"/>
        </w:rPr>
        <w:t>Education can influence a person's opportunities throughout life. Access to education can provide knowledge, skills and better opportunities for employment. Limited educational opportunities may make it more difficult for some people to obtain secure employment and sufficient income. These differences can contribute to health inequalities.</w:t>
      </w:r>
    </w:p>
    <w:p w14:paraId="6C4600E2" w14:textId="77777777" w:rsidR="00254C25" w:rsidRDefault="00254C25">
      <w:pPr>
        <w:pStyle w:val="NormalWeb"/>
        <w:shd w:val="clear" w:color="auto" w:fill="FAF9FD"/>
        <w:rPr>
          <w:rFonts w:ascii="Arial" w:hAnsi="Arial" w:cs="Arial"/>
          <w:color w:val="000000"/>
          <w:sz w:val="19"/>
          <w:szCs w:val="19"/>
        </w:rPr>
      </w:pPr>
      <w:r>
        <w:rPr>
          <w:rFonts w:ascii="Arial" w:hAnsi="Arial" w:cs="Arial"/>
          <w:color w:val="000000"/>
          <w:sz w:val="19"/>
          <w:szCs w:val="19"/>
        </w:rPr>
        <w:t>Social relationships are also important. Support from family, friends and community networks can help people cope with difficult experiences. Someone experiencing loneliness or social isolation may have fewer people to talk to when they are struggling. Social connection can therefore be an important part of protecting mental wellbeing (Mental Health Foundation, 2021).</w:t>
      </w:r>
    </w:p>
    <w:p w14:paraId="549CDB88" w14:textId="77777777" w:rsidR="00254C25" w:rsidRDefault="00254C25">
      <w:pPr>
        <w:pStyle w:val="NormalWeb"/>
        <w:shd w:val="clear" w:color="auto" w:fill="FAF9FD"/>
        <w:rPr>
          <w:rFonts w:ascii="Arial" w:hAnsi="Arial" w:cs="Arial"/>
          <w:color w:val="000000"/>
          <w:sz w:val="19"/>
          <w:szCs w:val="19"/>
        </w:rPr>
      </w:pPr>
      <w:r>
        <w:rPr>
          <w:rFonts w:ascii="Arial" w:hAnsi="Arial" w:cs="Arial"/>
          <w:color w:val="000000"/>
          <w:sz w:val="19"/>
          <w:szCs w:val="19"/>
        </w:rPr>
        <w:t>These factors show why depression should not simply be viewed as an individual's personal problem. Two people may experience similar mental health difficulties but have very different circumstances and resources. One person may have secure housing, employment, financial stability and strong relationships, while another may experience several disadvantages at the same time.</w:t>
      </w:r>
    </w:p>
    <w:p w14:paraId="209ECCCC" w14:textId="77777777" w:rsidR="00254C25" w:rsidRDefault="00254C25">
      <w:pPr>
        <w:pStyle w:val="NormalWeb"/>
        <w:shd w:val="clear" w:color="auto" w:fill="FAF9FD"/>
        <w:rPr>
          <w:rFonts w:ascii="Arial" w:hAnsi="Arial" w:cs="Arial"/>
          <w:color w:val="000000"/>
          <w:sz w:val="19"/>
          <w:szCs w:val="19"/>
        </w:rPr>
      </w:pPr>
      <w:r>
        <w:rPr>
          <w:rFonts w:ascii="Arial" w:hAnsi="Arial" w:cs="Arial"/>
          <w:color w:val="000000"/>
          <w:sz w:val="19"/>
          <w:szCs w:val="19"/>
        </w:rPr>
        <w:t>Marmot's work therefore has an important connection with public health. Reducing depression requires more than treating symptoms after someone becomes unwell. Improving wider living conditions can also contribute to better mental health. Public health action should consider access to suitable housing, education, employment, financial security and social support.</w:t>
      </w:r>
    </w:p>
    <w:p w14:paraId="0723602A" w14:textId="77777777" w:rsidR="00254C25" w:rsidRDefault="00254C25">
      <w:pPr>
        <w:pStyle w:val="NormalWeb"/>
        <w:shd w:val="clear" w:color="auto" w:fill="FAF9FD"/>
        <w:rPr>
          <w:rFonts w:ascii="Arial" w:hAnsi="Arial" w:cs="Arial"/>
          <w:color w:val="000000"/>
          <w:sz w:val="19"/>
          <w:szCs w:val="19"/>
        </w:rPr>
      </w:pPr>
      <w:r>
        <w:rPr>
          <w:rFonts w:ascii="Arial" w:hAnsi="Arial" w:cs="Arial"/>
          <w:color w:val="000000"/>
          <w:sz w:val="19"/>
          <w:szCs w:val="19"/>
        </w:rPr>
        <w:t>Health and social care professionals have an important role in recognising these wider influences. When supporting someone with depression, professionals should consider the whole person rather than focusing only on symptoms. They can identify barriers, provide information, encourage appropriate help-seeking and signpost individuals to relevant services. This supports a holistic and person-centred approach.</w:t>
      </w:r>
    </w:p>
    <w:p w14:paraId="3182DF1E" w14:textId="77777777" w:rsidR="00CA0DE2" w:rsidRDefault="00CA0DE2">
      <w:pPr>
        <w:pStyle w:val="Heading2"/>
        <w:shd w:val="clear" w:color="auto" w:fill="FAF9FD"/>
        <w:rPr>
          <w:rFonts w:eastAsia="Times New Roman" w:cs="Arial"/>
          <w:color w:val="000000"/>
          <w:sz w:val="36"/>
          <w:szCs w:val="36"/>
        </w:rPr>
      </w:pPr>
      <w:r>
        <w:rPr>
          <w:rFonts w:eastAsia="Times New Roman" w:cs="Arial"/>
          <w:color w:val="000000"/>
        </w:rPr>
        <w:t>Conclusion</w:t>
      </w:r>
    </w:p>
    <w:p w14:paraId="04B64A35" w14:textId="77777777" w:rsidR="00CA0DE2" w:rsidRDefault="00CA0DE2">
      <w:pPr>
        <w:pStyle w:val="NormalWeb"/>
        <w:shd w:val="clear" w:color="auto" w:fill="FAF9FD"/>
        <w:rPr>
          <w:rFonts w:ascii="Arial" w:hAnsi="Arial" w:cs="Arial"/>
          <w:color w:val="000000"/>
          <w:sz w:val="19"/>
          <w:szCs w:val="19"/>
        </w:rPr>
      </w:pPr>
      <w:r>
        <w:rPr>
          <w:rFonts w:ascii="Arial" w:hAnsi="Arial" w:cs="Arial"/>
          <w:color w:val="000000"/>
          <w:sz w:val="19"/>
          <w:szCs w:val="19"/>
        </w:rPr>
        <w:t>Depression is a significant public health issue because it can affect emotional wellbeing, physical health, relationships, education, employment and quality of life. Its effects can also reach families and communities and can increase demand for health and social care support.</w:t>
      </w:r>
    </w:p>
    <w:p w14:paraId="60499198" w14:textId="77777777" w:rsidR="00CA0DE2" w:rsidRDefault="00CA0DE2">
      <w:pPr>
        <w:pStyle w:val="NormalWeb"/>
        <w:shd w:val="clear" w:color="auto" w:fill="FAF9FD"/>
        <w:rPr>
          <w:rFonts w:ascii="Arial" w:hAnsi="Arial" w:cs="Arial"/>
          <w:color w:val="000000"/>
          <w:sz w:val="19"/>
          <w:szCs w:val="19"/>
        </w:rPr>
      </w:pPr>
      <w:r>
        <w:rPr>
          <w:rFonts w:ascii="Arial" w:hAnsi="Arial" w:cs="Arial"/>
          <w:color w:val="000000"/>
          <w:sz w:val="19"/>
          <w:szCs w:val="19"/>
        </w:rPr>
        <w:t>Marmot's work demonstrates why the wider circumstances of people's lives should be considered when discussing health. </w:t>
      </w:r>
      <w:r>
        <w:rPr>
          <w:rStyle w:val="Strong"/>
          <w:rFonts w:ascii="Arial" w:hAnsi="Arial" w:cs="Arial"/>
          <w:color w:val="000000"/>
          <w:sz w:val="19"/>
          <w:szCs w:val="19"/>
        </w:rPr>
        <w:t>According to Marmot et al. (2010), social and economic conditions are closely connected with health and contribute to inequalities between different groups.</w:t>
      </w:r>
      <w:r>
        <w:rPr>
          <w:rFonts w:ascii="Arial" w:hAnsi="Arial" w:cs="Arial"/>
          <w:color w:val="000000"/>
          <w:sz w:val="19"/>
          <w:szCs w:val="19"/>
        </w:rPr>
        <w:t> Income, housing, employment, education and social support can all influence mental wellbeing.</w:t>
      </w:r>
    </w:p>
    <w:p w14:paraId="016352DB" w14:textId="77777777" w:rsidR="00CA0DE2" w:rsidRDefault="00CA0DE2">
      <w:pPr>
        <w:pStyle w:val="NormalWeb"/>
        <w:shd w:val="clear" w:color="auto" w:fill="FAF9FD"/>
        <w:rPr>
          <w:rFonts w:ascii="Arial" w:hAnsi="Arial" w:cs="Arial"/>
          <w:color w:val="000000"/>
          <w:sz w:val="19"/>
          <w:szCs w:val="19"/>
        </w:rPr>
      </w:pPr>
      <w:r>
        <w:rPr>
          <w:rFonts w:ascii="Arial" w:hAnsi="Arial" w:cs="Arial"/>
          <w:color w:val="000000"/>
          <w:sz w:val="19"/>
          <w:szCs w:val="19"/>
        </w:rPr>
        <w:t>Reducing the impact of depression therefore requires both individual support and wider public health action. Early intervention, accessible services, mental health awareness, supportive communities and efforts to reduce social inequalities can contribute to better outcomes. By considering both the individual and their social environment, health and social care professionals can provide more appropriate and person-centred support.</w:t>
      </w:r>
    </w:p>
    <w:p w14:paraId="7251C9C6" w14:textId="77777777" w:rsidR="00336C92" w:rsidRDefault="00336C92">
      <w:pPr>
        <w:pStyle w:val="Heading2"/>
        <w:rPr>
          <w:rFonts w:eastAsia="Times New Roman" w:cs="Arial"/>
          <w:color w:val="000000"/>
          <w:sz w:val="36"/>
          <w:szCs w:val="36"/>
        </w:rPr>
      </w:pPr>
      <w:r>
        <w:rPr>
          <w:rFonts w:eastAsia="Times New Roman" w:cs="Arial"/>
          <w:color w:val="000000"/>
        </w:rPr>
        <w:t>References</w:t>
      </w:r>
    </w:p>
    <w:p w14:paraId="46B6975B" w14:textId="77777777" w:rsidR="00336C92" w:rsidRDefault="00336C92">
      <w:pPr>
        <w:pStyle w:val="NormalWeb"/>
        <w:numPr>
          <w:ilvl w:val="0"/>
          <w:numId w:val="1"/>
        </w:numPr>
        <w:rPr>
          <w:rFonts w:ascii="Arial" w:hAnsi="Arial" w:cs="Arial"/>
          <w:color w:val="000000"/>
          <w:sz w:val="19"/>
          <w:szCs w:val="19"/>
        </w:rPr>
      </w:pPr>
      <w:r>
        <w:rPr>
          <w:rFonts w:ascii="Arial" w:hAnsi="Arial" w:cs="Arial"/>
          <w:color w:val="000000"/>
          <w:sz w:val="19"/>
          <w:szCs w:val="19"/>
        </w:rPr>
        <w:t xml:space="preserve">Marmot, M., Allen, J., </w:t>
      </w:r>
      <w:proofErr w:type="spellStart"/>
      <w:r>
        <w:rPr>
          <w:rFonts w:ascii="Arial" w:hAnsi="Arial" w:cs="Arial"/>
          <w:color w:val="000000"/>
          <w:sz w:val="19"/>
          <w:szCs w:val="19"/>
        </w:rPr>
        <w:t>Goldblatt</w:t>
      </w:r>
      <w:proofErr w:type="spellEnd"/>
      <w:r>
        <w:rPr>
          <w:rFonts w:ascii="Arial" w:hAnsi="Arial" w:cs="Arial"/>
          <w:color w:val="000000"/>
          <w:sz w:val="19"/>
          <w:szCs w:val="19"/>
        </w:rPr>
        <w:t xml:space="preserve">, P., Boyce, T., </w:t>
      </w:r>
      <w:proofErr w:type="spellStart"/>
      <w:r>
        <w:rPr>
          <w:rFonts w:ascii="Arial" w:hAnsi="Arial" w:cs="Arial"/>
          <w:color w:val="000000"/>
          <w:sz w:val="19"/>
          <w:szCs w:val="19"/>
        </w:rPr>
        <w:t>McNeish</w:t>
      </w:r>
      <w:proofErr w:type="spellEnd"/>
      <w:r>
        <w:rPr>
          <w:rFonts w:ascii="Arial" w:hAnsi="Arial" w:cs="Arial"/>
          <w:color w:val="000000"/>
          <w:sz w:val="19"/>
          <w:szCs w:val="19"/>
        </w:rPr>
        <w:t>, D., Grady, M. and Geddes, I. (2010) </w:t>
      </w:r>
      <w:r>
        <w:rPr>
          <w:rStyle w:val="Emphasis"/>
          <w:rFonts w:ascii="Arial" w:hAnsi="Arial" w:cs="Arial"/>
          <w:color w:val="000000"/>
          <w:sz w:val="19"/>
          <w:szCs w:val="19"/>
        </w:rPr>
        <w:t>Fair Society, Healthy Lives: The Marmot Review</w:t>
      </w:r>
      <w:r>
        <w:rPr>
          <w:rFonts w:ascii="Arial" w:hAnsi="Arial" w:cs="Arial"/>
          <w:color w:val="000000"/>
          <w:sz w:val="19"/>
          <w:szCs w:val="19"/>
        </w:rPr>
        <w:t>. London: The Marmot Review.</w:t>
      </w:r>
    </w:p>
    <w:p w14:paraId="65D96396" w14:textId="77777777" w:rsidR="00336C92" w:rsidRDefault="00336C92">
      <w:pPr>
        <w:pStyle w:val="NormalWeb"/>
        <w:numPr>
          <w:ilvl w:val="0"/>
          <w:numId w:val="1"/>
        </w:numPr>
        <w:rPr>
          <w:rFonts w:ascii="Arial" w:hAnsi="Arial" w:cs="Arial"/>
          <w:color w:val="000000"/>
          <w:sz w:val="19"/>
          <w:szCs w:val="19"/>
        </w:rPr>
      </w:pPr>
      <w:r>
        <w:rPr>
          <w:rFonts w:ascii="Arial" w:hAnsi="Arial" w:cs="Arial"/>
          <w:color w:val="000000"/>
          <w:sz w:val="19"/>
          <w:szCs w:val="19"/>
        </w:rPr>
        <w:t>World Health Organization (WHO) (2025) </w:t>
      </w:r>
      <w:r>
        <w:rPr>
          <w:rStyle w:val="Emphasis"/>
          <w:rFonts w:ascii="Arial" w:hAnsi="Arial" w:cs="Arial"/>
          <w:color w:val="000000"/>
          <w:sz w:val="19"/>
          <w:szCs w:val="19"/>
        </w:rPr>
        <w:t>Depressive Disorder (Depression)</w:t>
      </w:r>
      <w:r>
        <w:rPr>
          <w:rFonts w:ascii="Arial" w:hAnsi="Arial" w:cs="Arial"/>
          <w:color w:val="000000"/>
          <w:sz w:val="19"/>
          <w:szCs w:val="19"/>
        </w:rPr>
        <w:t>. Geneva: World Health Organization.</w:t>
      </w:r>
    </w:p>
    <w:p w14:paraId="5FCE500D" w14:textId="77777777" w:rsidR="00336C92" w:rsidRDefault="00336C92">
      <w:pPr>
        <w:pStyle w:val="NormalWeb"/>
        <w:numPr>
          <w:ilvl w:val="0"/>
          <w:numId w:val="1"/>
        </w:numPr>
        <w:rPr>
          <w:rFonts w:ascii="Arial" w:hAnsi="Arial" w:cs="Arial"/>
          <w:color w:val="000000"/>
          <w:sz w:val="19"/>
          <w:szCs w:val="19"/>
        </w:rPr>
      </w:pPr>
      <w:r>
        <w:rPr>
          <w:rFonts w:ascii="Arial" w:hAnsi="Arial" w:cs="Arial"/>
          <w:color w:val="000000"/>
          <w:sz w:val="19"/>
          <w:szCs w:val="19"/>
        </w:rPr>
        <w:t>National Health Service (NHS) (2024) </w:t>
      </w:r>
      <w:r>
        <w:rPr>
          <w:rStyle w:val="Emphasis"/>
          <w:rFonts w:ascii="Arial" w:hAnsi="Arial" w:cs="Arial"/>
          <w:color w:val="000000"/>
          <w:sz w:val="19"/>
          <w:szCs w:val="19"/>
        </w:rPr>
        <w:t>Depression in Adults</w:t>
      </w:r>
      <w:r>
        <w:rPr>
          <w:rFonts w:ascii="Arial" w:hAnsi="Arial" w:cs="Arial"/>
          <w:color w:val="000000"/>
          <w:sz w:val="19"/>
          <w:szCs w:val="19"/>
        </w:rPr>
        <w:t>. London: NHS.</w:t>
      </w:r>
    </w:p>
    <w:p w14:paraId="08E1E568" w14:textId="77777777" w:rsidR="00336C92" w:rsidRDefault="00336C92">
      <w:pPr>
        <w:pStyle w:val="NormalWeb"/>
        <w:numPr>
          <w:ilvl w:val="0"/>
          <w:numId w:val="1"/>
        </w:numPr>
        <w:rPr>
          <w:rFonts w:ascii="Arial" w:hAnsi="Arial" w:cs="Arial"/>
          <w:color w:val="000000"/>
          <w:sz w:val="19"/>
          <w:szCs w:val="19"/>
        </w:rPr>
      </w:pPr>
      <w:r>
        <w:rPr>
          <w:rFonts w:ascii="Arial" w:hAnsi="Arial" w:cs="Arial"/>
          <w:color w:val="000000"/>
          <w:sz w:val="19"/>
          <w:szCs w:val="19"/>
        </w:rPr>
        <w:t>Office for Health Improvement and Disparities (2026) </w:t>
      </w:r>
      <w:r>
        <w:rPr>
          <w:rStyle w:val="Emphasis"/>
          <w:rFonts w:ascii="Arial" w:hAnsi="Arial" w:cs="Arial"/>
          <w:color w:val="000000"/>
          <w:sz w:val="19"/>
          <w:szCs w:val="19"/>
        </w:rPr>
        <w:t>Wider Determinants of Health</w:t>
      </w:r>
      <w:r>
        <w:rPr>
          <w:rFonts w:ascii="Arial" w:hAnsi="Arial" w:cs="Arial"/>
          <w:color w:val="000000"/>
          <w:sz w:val="19"/>
          <w:szCs w:val="19"/>
        </w:rPr>
        <w:t>. London: Department of Health and Social Care.</w:t>
      </w:r>
    </w:p>
    <w:p w14:paraId="5D2A82B9" w14:textId="77777777" w:rsidR="00336C92" w:rsidRDefault="00336C92">
      <w:pPr>
        <w:pStyle w:val="NormalWeb"/>
        <w:numPr>
          <w:ilvl w:val="0"/>
          <w:numId w:val="1"/>
        </w:numPr>
        <w:rPr>
          <w:rFonts w:ascii="Arial" w:hAnsi="Arial" w:cs="Arial"/>
          <w:color w:val="000000"/>
          <w:sz w:val="19"/>
          <w:szCs w:val="19"/>
        </w:rPr>
      </w:pPr>
      <w:r>
        <w:rPr>
          <w:rFonts w:ascii="Arial" w:hAnsi="Arial" w:cs="Arial"/>
          <w:color w:val="000000"/>
          <w:sz w:val="19"/>
          <w:szCs w:val="19"/>
        </w:rPr>
        <w:t>UK Government (2017) </w:t>
      </w:r>
      <w:r>
        <w:rPr>
          <w:rStyle w:val="Emphasis"/>
          <w:rFonts w:ascii="Arial" w:hAnsi="Arial" w:cs="Arial"/>
          <w:color w:val="000000"/>
          <w:sz w:val="19"/>
          <w:szCs w:val="19"/>
        </w:rPr>
        <w:t>Health Profile for England: Chapter 6 – Social Determinants of Health</w:t>
      </w:r>
      <w:r>
        <w:rPr>
          <w:rFonts w:ascii="Arial" w:hAnsi="Arial" w:cs="Arial"/>
          <w:color w:val="000000"/>
          <w:sz w:val="19"/>
          <w:szCs w:val="19"/>
        </w:rPr>
        <w:t>. London: Department of Health and Social Care.</w:t>
      </w:r>
    </w:p>
    <w:p w14:paraId="42E5D909" w14:textId="77777777" w:rsidR="00336C92" w:rsidRDefault="00336C92">
      <w:pPr>
        <w:pStyle w:val="NormalWeb"/>
        <w:numPr>
          <w:ilvl w:val="0"/>
          <w:numId w:val="1"/>
        </w:numPr>
        <w:rPr>
          <w:rFonts w:ascii="Arial" w:hAnsi="Arial" w:cs="Arial"/>
          <w:color w:val="000000"/>
          <w:sz w:val="19"/>
          <w:szCs w:val="19"/>
        </w:rPr>
      </w:pPr>
      <w:r>
        <w:rPr>
          <w:rFonts w:ascii="Arial" w:hAnsi="Arial" w:cs="Arial"/>
          <w:color w:val="000000"/>
          <w:sz w:val="19"/>
          <w:szCs w:val="19"/>
        </w:rPr>
        <w:t>Mental Health Foundation (2021) </w:t>
      </w:r>
      <w:r>
        <w:rPr>
          <w:rStyle w:val="Emphasis"/>
          <w:rFonts w:ascii="Arial" w:hAnsi="Arial" w:cs="Arial"/>
          <w:color w:val="000000"/>
          <w:sz w:val="19"/>
          <w:szCs w:val="19"/>
        </w:rPr>
        <w:t>Mental Health and Prevention</w:t>
      </w:r>
      <w:r>
        <w:rPr>
          <w:rFonts w:ascii="Arial" w:hAnsi="Arial" w:cs="Arial"/>
          <w:color w:val="000000"/>
          <w:sz w:val="19"/>
          <w:szCs w:val="19"/>
        </w:rPr>
        <w:t>. London: Mental Health Foundation.</w:t>
      </w:r>
    </w:p>
    <w:p w14:paraId="336F5447" w14:textId="77777777" w:rsidR="008E3943" w:rsidRDefault="008E3943" w:rsidP="00CD33A8">
      <w:pPr>
        <w:tabs>
          <w:tab w:val="left" w:pos="6540"/>
        </w:tabs>
        <w:spacing w:line="360" w:lineRule="auto"/>
        <w:rPr>
          <w:rFonts w:asciiTheme="minorBidi" w:hAnsiTheme="minorBidi"/>
          <w:sz w:val="22"/>
        </w:rPr>
      </w:pPr>
    </w:p>
    <w:p w14:paraId="3398AF2B" w14:textId="77777777" w:rsidR="008E3943" w:rsidRPr="00CD33A8" w:rsidRDefault="008E3943" w:rsidP="00CD33A8">
      <w:pPr>
        <w:tabs>
          <w:tab w:val="left" w:pos="6540"/>
        </w:tabs>
        <w:spacing w:line="360" w:lineRule="auto"/>
        <w:rPr>
          <w:rFonts w:asciiTheme="minorBidi" w:hAnsiTheme="minorBidi"/>
          <w:sz w:val="22"/>
        </w:rPr>
      </w:pPr>
    </w:p>
    <w:p w14:paraId="60B2CDC3" w14:textId="44C5CF74" w:rsidR="00B87E75" w:rsidRPr="00CD33A8" w:rsidRDefault="00B87E75" w:rsidP="00E620E7">
      <w:pPr>
        <w:pStyle w:val="Heading1"/>
      </w:pPr>
    </w:p>
    <w:p w14:paraId="4FC14C6B" w14:textId="77777777" w:rsidR="00B87E75" w:rsidRDefault="00B87E75" w:rsidP="00CD33A8">
      <w:pPr>
        <w:tabs>
          <w:tab w:val="left" w:pos="6540"/>
        </w:tabs>
        <w:spacing w:line="360" w:lineRule="auto"/>
        <w:rPr>
          <w:rFonts w:asciiTheme="minorBidi" w:hAnsiTheme="minorBidi"/>
          <w:sz w:val="22"/>
        </w:rPr>
      </w:pPr>
    </w:p>
    <w:p w14:paraId="68FFD705" w14:textId="77777777" w:rsidR="008E3943" w:rsidRDefault="008E3943" w:rsidP="00CD33A8">
      <w:pPr>
        <w:tabs>
          <w:tab w:val="left" w:pos="6540"/>
        </w:tabs>
        <w:spacing w:line="360" w:lineRule="auto"/>
        <w:rPr>
          <w:rFonts w:asciiTheme="minorBidi" w:hAnsiTheme="minorBidi"/>
          <w:sz w:val="22"/>
        </w:rPr>
      </w:pPr>
    </w:p>
    <w:p w14:paraId="2B008FF6" w14:textId="77777777" w:rsidR="008E3943" w:rsidRPr="00CD33A8" w:rsidRDefault="008E3943" w:rsidP="00CD33A8">
      <w:pPr>
        <w:tabs>
          <w:tab w:val="left" w:pos="6540"/>
        </w:tabs>
        <w:spacing w:line="360" w:lineRule="auto"/>
        <w:rPr>
          <w:rFonts w:asciiTheme="minorBidi" w:hAnsiTheme="minorBidi"/>
          <w:sz w:val="22"/>
        </w:rPr>
      </w:pPr>
    </w:p>
    <w:p w14:paraId="581C99BF" w14:textId="28E25463" w:rsidR="00B87E75" w:rsidRPr="00CD33A8" w:rsidRDefault="00B87E75" w:rsidP="00E620E7">
      <w:pPr>
        <w:pStyle w:val="Heading1"/>
      </w:pPr>
    </w:p>
    <w:p w14:paraId="682D1769" w14:textId="77777777" w:rsidR="003E4ECF" w:rsidRDefault="003E4ECF" w:rsidP="00CD33A8">
      <w:pPr>
        <w:tabs>
          <w:tab w:val="left" w:pos="6540"/>
        </w:tabs>
        <w:spacing w:line="360" w:lineRule="auto"/>
        <w:rPr>
          <w:rFonts w:asciiTheme="minorBidi" w:hAnsiTheme="minorBidi"/>
          <w:sz w:val="22"/>
        </w:rPr>
      </w:pPr>
    </w:p>
    <w:p w14:paraId="15C25996" w14:textId="77777777" w:rsidR="008E3943" w:rsidRDefault="008E3943" w:rsidP="00CD33A8">
      <w:pPr>
        <w:tabs>
          <w:tab w:val="left" w:pos="6540"/>
        </w:tabs>
        <w:spacing w:line="360" w:lineRule="auto"/>
        <w:rPr>
          <w:rFonts w:asciiTheme="minorBidi" w:hAnsiTheme="minorBidi"/>
          <w:sz w:val="22"/>
        </w:rPr>
      </w:pPr>
    </w:p>
    <w:p w14:paraId="3A742EE2" w14:textId="77777777" w:rsidR="008E3943" w:rsidRPr="00CD33A8" w:rsidRDefault="008E3943" w:rsidP="00CD33A8">
      <w:pPr>
        <w:tabs>
          <w:tab w:val="left" w:pos="6540"/>
        </w:tabs>
        <w:spacing w:line="360" w:lineRule="auto"/>
        <w:rPr>
          <w:rFonts w:asciiTheme="minorBidi" w:hAnsiTheme="minorBidi"/>
          <w:sz w:val="22"/>
        </w:rPr>
      </w:pPr>
    </w:p>
    <w:p w14:paraId="6DBC958B" w14:textId="63FDCF78" w:rsidR="00CD33A8" w:rsidRPr="006D1918" w:rsidRDefault="00CD33A8" w:rsidP="006D1918">
      <w:pPr>
        <w:pStyle w:val="Heading1"/>
      </w:pPr>
    </w:p>
    <w:p w14:paraId="6812580D" w14:textId="47452A39" w:rsidR="0090040D" w:rsidRPr="00CD33A8" w:rsidRDefault="0090040D"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21DA4DE5" w:rsidR="00B87E75" w:rsidRPr="00CD33A8" w:rsidRDefault="00B87E75" w:rsidP="00E620E7">
      <w:pPr>
        <w:pStyle w:val="Heading1"/>
      </w:pP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01A8D0" w14:textId="77777777" w:rsidR="007A1B8D" w:rsidRDefault="007A1B8D" w:rsidP="003E4ECF">
      <w:pPr>
        <w:spacing w:after="0" w:line="240" w:lineRule="auto"/>
      </w:pPr>
      <w:r>
        <w:separator/>
      </w:r>
    </w:p>
  </w:endnote>
  <w:endnote w:type="continuationSeparator" w:id="0">
    <w:p w14:paraId="21833636" w14:textId="77777777" w:rsidR="007A1B8D" w:rsidRDefault="007A1B8D"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2E3639" w14:textId="77777777" w:rsidR="007A1B8D" w:rsidRDefault="007A1B8D" w:rsidP="003E4ECF">
      <w:pPr>
        <w:spacing w:after="0" w:line="240" w:lineRule="auto"/>
      </w:pPr>
      <w:r>
        <w:separator/>
      </w:r>
    </w:p>
  </w:footnote>
  <w:footnote w:type="continuationSeparator" w:id="0">
    <w:p w14:paraId="5764AEE1" w14:textId="77777777" w:rsidR="007A1B8D" w:rsidRDefault="007A1B8D"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165F9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700471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1D7C03"/>
    <w:rsid w:val="00216C85"/>
    <w:rsid w:val="00254C25"/>
    <w:rsid w:val="0026393A"/>
    <w:rsid w:val="00273EDD"/>
    <w:rsid w:val="002C3965"/>
    <w:rsid w:val="00321C4C"/>
    <w:rsid w:val="00336C92"/>
    <w:rsid w:val="00360B41"/>
    <w:rsid w:val="00392BBC"/>
    <w:rsid w:val="003E4ECF"/>
    <w:rsid w:val="00476629"/>
    <w:rsid w:val="004A736E"/>
    <w:rsid w:val="00631309"/>
    <w:rsid w:val="006925AA"/>
    <w:rsid w:val="006D1918"/>
    <w:rsid w:val="00725177"/>
    <w:rsid w:val="007A1B8D"/>
    <w:rsid w:val="00814A9E"/>
    <w:rsid w:val="00843739"/>
    <w:rsid w:val="008E3943"/>
    <w:rsid w:val="0090040D"/>
    <w:rsid w:val="0090507E"/>
    <w:rsid w:val="009A6F02"/>
    <w:rsid w:val="009D052C"/>
    <w:rsid w:val="009D1D1E"/>
    <w:rsid w:val="00A035FD"/>
    <w:rsid w:val="00AA3AC2"/>
    <w:rsid w:val="00AD23A0"/>
    <w:rsid w:val="00B1276C"/>
    <w:rsid w:val="00B87E75"/>
    <w:rsid w:val="00B9460A"/>
    <w:rsid w:val="00CA0DE2"/>
    <w:rsid w:val="00CD33A8"/>
    <w:rsid w:val="00E569FD"/>
    <w:rsid w:val="00E620E7"/>
    <w:rsid w:val="00F214FB"/>
    <w:rsid w:val="00F66E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NormalWeb">
    <w:name w:val="Normal (Web)"/>
    <w:basedOn w:val="Normal"/>
    <w:uiPriority w:val="99"/>
    <w:semiHidden/>
    <w:unhideWhenUsed/>
    <w:rsid w:val="009A6F02"/>
    <w:pPr>
      <w:spacing w:before="100" w:beforeAutospacing="1" w:after="100" w:afterAutospacing="1" w:line="240" w:lineRule="auto"/>
    </w:pPr>
    <w:rPr>
      <w:rFonts w:eastAsiaTheme="minorEastAsia" w:cs="Times New Roman"/>
      <w:szCs w:val="24"/>
    </w:rPr>
  </w:style>
  <w:style w:type="character" w:styleId="Strong">
    <w:name w:val="Strong"/>
    <w:basedOn w:val="DefaultParagraphFont"/>
    <w:uiPriority w:val="22"/>
    <w:qFormat/>
    <w:rsid w:val="009A6F02"/>
    <w:rPr>
      <w:b/>
      <w:bCs/>
    </w:rPr>
  </w:style>
  <w:style w:type="character" w:styleId="Emphasis">
    <w:name w:val="Emphasis"/>
    <w:basedOn w:val="DefaultParagraphFont"/>
    <w:uiPriority w:val="20"/>
    <w:qFormat/>
    <w:rsid w:val="00254C2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1736</Words>
  <Characters>9901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Johanna Erhunmwunse</cp:lastModifiedBy>
  <cp:revision>2</cp:revision>
  <dcterms:created xsi:type="dcterms:W3CDTF">2026-08-06T15:27:00Z</dcterms:created>
  <dcterms:modified xsi:type="dcterms:W3CDTF">2026-08-06T15:27:00Z</dcterms:modified>
</cp:coreProperties>
</file>