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6C4F04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32A0B">
              <w:rPr>
                <w:rFonts w:ascii="Times New Roman" w:hAnsi="Times New Roman" w:cs="Times New Roman"/>
                <w:b/>
                <w:color w:val="auto"/>
                <w:sz w:val="48"/>
              </w:rPr>
              <w:t>Cai O’Marah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08134F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32A0B">
              <w:rPr>
                <w:rFonts w:ascii="Times New Roman" w:hAnsi="Times New Roman" w:cs="Times New Roman"/>
                <w:b/>
                <w:color w:val="auto"/>
                <w:sz w:val="48"/>
              </w:rPr>
              <w:t xml:space="preserve"> cai.omarah@conwy.gov.uk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B782FB9"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981C976" w14:textId="77777777" w:rsidR="00332A0B" w:rsidRDefault="00332A0B" w:rsidP="00332A0B">
            <w:pPr>
              <w:overflowPunct/>
              <w:autoSpaceDE/>
              <w:autoSpaceDN/>
              <w:adjustRightInd/>
              <w:ind w:right="-957"/>
              <w:textAlignment w:val="auto"/>
              <w:rPr>
                <w:rFonts w:ascii="Times New Roman" w:hAnsi="Times New Roman" w:cs="Times New Roman"/>
                <w:b/>
                <w:color w:val="auto"/>
                <w:sz w:val="48"/>
              </w:rPr>
            </w:pPr>
            <w:r w:rsidRPr="00B54E31">
              <w:rPr>
                <w:rFonts w:ascii="Times New Roman" w:hAnsi="Times New Roman" w:cs="Times New Roman"/>
                <w:b/>
                <w:sz w:val="48"/>
              </w:rPr>
              <w:t>2238433</w:t>
            </w:r>
          </w:p>
          <w:p w14:paraId="5CCB9A5B" w14:textId="77777777" w:rsidR="00332A0B" w:rsidRPr="005D3F07" w:rsidRDefault="00332A0B" w:rsidP="005D3F07">
            <w:pPr>
              <w:overflowPunct/>
              <w:autoSpaceDE/>
              <w:autoSpaceDN/>
              <w:adjustRightInd/>
              <w:ind w:right="-957"/>
              <w:textAlignment w:val="auto"/>
              <w:rPr>
                <w:rFonts w:ascii="Times New Roman" w:hAnsi="Times New Roman" w:cs="Times New Roman"/>
                <w:b/>
                <w:color w:val="auto"/>
                <w:sz w:val="48"/>
              </w:rPr>
            </w:pPr>
          </w:p>
          <w:p w14:paraId="5F84129B" w14:textId="7A06866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7A49A0C7" w14:textId="77777777" w:rsidR="00332A0B" w:rsidRDefault="00332A0B" w:rsidP="00332A0B">
            <w:pPr>
              <w:spacing w:line="360" w:lineRule="auto"/>
            </w:pPr>
            <w:r>
              <w:t xml:space="preserve">In 2019, Wales became the first part of the UK to adopt a single set of safeguarding guidelines for both children and adult (xxx Safeguarding Board; 2020). The guidelines launched through the Wales Safeguarding Procedures online and by app is intended to reflect the Social Services and Wellbeing (Wales) Act (SSWB(W)A) (2014). Section 3(3) defines a child as </w:t>
            </w:r>
            <w:r>
              <w:rPr>
                <w:i/>
              </w:rPr>
              <w:t xml:space="preserve">“persons under the age of 18”, </w:t>
            </w:r>
            <w:r>
              <w:t xml:space="preserve">while Section 130(4) of the </w:t>
            </w:r>
            <w:proofErr w:type="gramStart"/>
            <w:r>
              <w:t>SSWB(</w:t>
            </w:r>
            <w:proofErr w:type="gramEnd"/>
            <w:r>
              <w:t>W)A (2014) defines a child at risk as “</w:t>
            </w:r>
            <w:r>
              <w:rPr>
                <w:i/>
              </w:rPr>
              <w:t xml:space="preserve">experiencing or at risk of abuse, neglect or other kind of harm” </w:t>
            </w:r>
            <w:r>
              <w:t xml:space="preserve">(Welsh Government [WG]; 2014). Underpinning the </w:t>
            </w:r>
            <w:proofErr w:type="gramStart"/>
            <w:r>
              <w:t>SSWB(</w:t>
            </w:r>
            <w:proofErr w:type="gramEnd"/>
            <w:r>
              <w:t xml:space="preserve">W)A (2014) along with the Wales Safeguarding Procedures in legislation on safeguarding children in Wales is the Children Act [CA] (1989). The United Nations Convention on the Rights of the Child (UNCRC; 1989) has been adopted into Welsh legislation (WG; 2004) and informs policy, with all articles of the Convention having specific pertinence in relation to safeguarding (in Wales). </w:t>
            </w:r>
          </w:p>
          <w:p w14:paraId="75A9F69D" w14:textId="77777777" w:rsidR="00332A0B" w:rsidRDefault="00332A0B" w:rsidP="00332A0B">
            <w:pPr>
              <w:spacing w:line="360" w:lineRule="auto"/>
            </w:pPr>
            <w:r>
              <w:t xml:space="preserve">Section 130(1) of the SSWBA (2014) states that there is a duty to report to the Local Authority (LA) if suspected that a child is </w:t>
            </w:r>
            <w:r>
              <w:rPr>
                <w:i/>
              </w:rPr>
              <w:t xml:space="preserve">“experiencing or at risk of harm and abuse”. </w:t>
            </w:r>
            <w:r>
              <w:t xml:space="preserve">When a report is made to the LA, the receiving authority has a duty under Section 47 of the Children’s Act (1989) to investigate if there is </w:t>
            </w:r>
            <w:r w:rsidRPr="002770C4">
              <w:rPr>
                <w:i/>
              </w:rPr>
              <w:t>“reasonable cause to suspect the child is at risk of significant harm”</w:t>
            </w:r>
            <w:r>
              <w:rPr>
                <w:i/>
              </w:rPr>
              <w:t xml:space="preserve"> </w:t>
            </w:r>
            <w:r>
              <w:t xml:space="preserve">(CA; 1989). A S47 Enquiry is intended to gather information to determine the likelihood that a child is at risk, or experiencing significant harm (Wales Safeguarding Procedures [WSP]; 2019). There is no statutory definition for ‘significant harm’ though harm is defined in </w:t>
            </w:r>
            <w:proofErr w:type="gramStart"/>
            <w:r>
              <w:t>S31(</w:t>
            </w:r>
            <w:proofErr w:type="gramEnd"/>
            <w:r>
              <w:t xml:space="preserve">9) of the Children Act (1989) as </w:t>
            </w:r>
            <w:r>
              <w:rPr>
                <w:i/>
              </w:rPr>
              <w:t xml:space="preserve">“sexual abuse, neglect, emotional… and psychological abuse” </w:t>
            </w:r>
            <w:r>
              <w:t xml:space="preserve">as well as the </w:t>
            </w:r>
            <w:r>
              <w:rPr>
                <w:i/>
              </w:rPr>
              <w:t xml:space="preserve">“impairment of physical and mental health… social or behavioural development” </w:t>
            </w:r>
            <w:r>
              <w:t xml:space="preserve">which would be in contravention to the UNCRC (1989). Guidelines in Wales have a strong emphasise on a child-centred approach to safeguarding children in Wales (WG; 2018). </w:t>
            </w:r>
          </w:p>
          <w:p w14:paraId="1466DCD9" w14:textId="77777777" w:rsidR="00332A0B" w:rsidRDefault="00332A0B" w:rsidP="00332A0B">
            <w:pPr>
              <w:spacing w:line="360" w:lineRule="auto"/>
            </w:pPr>
            <w:r>
              <w:t xml:space="preserve">Safeguarding is everyone’s business (WG; 2018) and Section 17(1) of the CA (1989) places a duty on LA’s to safeguard children (Social Care Institute of Excellence [SCIE]; 2012). However, LA’s/Social Services have statutory duty in S47 of the CA (1989) to investigate when reports are filed. If initial findings conclude that there </w:t>
            </w:r>
            <w:r>
              <w:lastRenderedPageBreak/>
              <w:t xml:space="preserve">is enough reason to suspect a child is suffering from ‘(significant) harm’ then a strategy meeting would need to be convened (WSP; 2019). Strategy meetings can be used to initiate S47 Enquiries, though sometimes the enquiries would have been initiated prior to strategy meeting (WSP; 2019). Following a strategy discussion, S47’s should be initiated 1 working day after, to be concluded 10 working days after strategy meeting (WSP; 2019).  If the decision taken by a multi-disciplinary team in strategy is that there is enough evidence to take further, case will then need to be discussed at a Child Protection Conference [CPC] within 15 working days of that decision being taken (WSP; 2019). At a CPC, decision can be taken to place children on the child protection register and a post-conference care and support protection plan must be outlined and/or an assessment of needs under </w:t>
            </w:r>
            <w:proofErr w:type="gramStart"/>
            <w:r>
              <w:t>SSWB(</w:t>
            </w:r>
            <w:proofErr w:type="gramEnd"/>
            <w:r>
              <w:t xml:space="preserve">W)A including all parts of an assessment as noted in Part 4 of the SSWB(W)A but an emphasis on protection and risk management with child-centred outcomes (WSP; 2019). </w:t>
            </w:r>
          </w:p>
          <w:p w14:paraId="49333564" w14:textId="77777777" w:rsidR="00332A0B" w:rsidRDefault="00332A0B" w:rsidP="00332A0B">
            <w:pPr>
              <w:spacing w:line="360" w:lineRule="auto"/>
            </w:pPr>
          </w:p>
          <w:p w14:paraId="4C941EE2" w14:textId="77777777" w:rsidR="00332A0B" w:rsidRPr="002A654B" w:rsidRDefault="00332A0B" w:rsidP="00332A0B">
            <w:pPr>
              <w:spacing w:line="360" w:lineRule="auto"/>
              <w:rPr>
                <w:b/>
              </w:rPr>
            </w:pPr>
            <w:r>
              <w:rPr>
                <w:b/>
              </w:rPr>
              <w:t>Word Count - 547</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476F69EC" w:rsidR="00FC0334" w:rsidRDefault="00FC0334" w:rsidP="00FC0334">
            <w:pPr>
              <w:jc w:val="both"/>
              <w:rPr>
                <w:sz w:val="24"/>
                <w:szCs w:val="24"/>
              </w:rPr>
            </w:pPr>
          </w:p>
          <w:p w14:paraId="583B227B" w14:textId="77777777" w:rsidR="00332A0B" w:rsidRDefault="00332A0B" w:rsidP="00332A0B">
            <w:pPr>
              <w:spacing w:line="360" w:lineRule="auto"/>
            </w:pPr>
            <w:r>
              <w:t>The Wales Safeguarding Procedures (WSP; 2019) include guidance for safeguarding both children and adults. The WSPs are intended to standardise safeguarding systems between children and adults, underpinned by the Social Services and Wellbeing (Wales) Act 2014 (</w:t>
            </w:r>
            <w:proofErr w:type="gramStart"/>
            <w:r>
              <w:t>SSWB(</w:t>
            </w:r>
            <w:proofErr w:type="gramEnd"/>
            <w:r>
              <w:t xml:space="preserve">W)A). However, there are notable differences in safeguarding procedures for children and adults. In Part 2, Section 7 (1-2) this is highlighted in differences of international legislation working with adults and children; adults are protected by the United Nations Principles for Older Persons, whilst children are protected by the United Nations Convention on the Rights of the Child. </w:t>
            </w:r>
          </w:p>
          <w:p w14:paraId="6FA6ADE9" w14:textId="77777777" w:rsidR="00332A0B" w:rsidRDefault="00332A0B" w:rsidP="00332A0B">
            <w:pPr>
              <w:spacing w:line="360" w:lineRule="auto"/>
            </w:pPr>
            <w:r>
              <w:t xml:space="preserve">One of the biggest differences in safeguarding procedures for adults and children is that adults with capacity have a right to make ‘unwise decisions’ and the right to refuse to engage in the safeguarding process and can advise that no conferences take place (WSP Adult Section 3, part 2;2019). The right to ‘unwise decisions’ is also enshrined in law through Section 1 (4) of the Mental Capacity Act [MCA] 2005 (MCA; 2005). Within Child Safeguarding Procedures in Wales, children’s wishes and feelings should always be central and consent </w:t>
            </w:r>
            <w:r>
              <w:lastRenderedPageBreak/>
              <w:t xml:space="preserve">should also be obtained from the child and parent/carer (whenever appropriate); however the difference is that this consent can be overridden if there are concerns for the safety of a child (WSP Children Section 2; 2019). </w:t>
            </w:r>
          </w:p>
          <w:p w14:paraId="686AACB1" w14:textId="77777777" w:rsidR="00332A0B" w:rsidRDefault="00332A0B" w:rsidP="00332A0B">
            <w:pPr>
              <w:spacing w:line="360" w:lineRule="auto"/>
            </w:pPr>
            <w:r>
              <w:t xml:space="preserve">While the MCA (2005) is primarily used for assessing adults’ ability in relation to consent (which includes consent to proceed with safeguarding), the </w:t>
            </w:r>
            <w:proofErr w:type="spellStart"/>
            <w:r>
              <w:t>Gillick</w:t>
            </w:r>
            <w:proofErr w:type="spellEnd"/>
            <w:r>
              <w:t xml:space="preserve"> Competency Test is an assessment tool used to assess if children are mature enough to make their own decisions (NSPCC; 2022). However, in a safeguarding context, even if a child, (persons under the age of 18; SSWBA 2014 S3 [3]) their wishes and feelings should still be taken into consideration, but this will need to be balanced with a duty to keep them safe from harm (SafeguardingHub</w:t>
            </w:r>
            <w:proofErr w:type="gramStart"/>
            <w:r>
              <w:t>;2023</w:t>
            </w:r>
            <w:proofErr w:type="gramEnd"/>
            <w:r>
              <w:t xml:space="preserve">). With adults, there is still a mechanism for overriding consent in some circumstances, such as if others are at risk (and children involved) or if a crime has been committed (xxx Safeguarding Board; 2020). In the event of adult assessed as having no capacity to make decisions on their safety needs, then a Best Interest decision would need to be taken at each stage of the process (WSP; 2019). </w:t>
            </w:r>
          </w:p>
          <w:p w14:paraId="5F6FF59D" w14:textId="77777777" w:rsidR="00332A0B" w:rsidRDefault="00332A0B" w:rsidP="00332A0B">
            <w:pPr>
              <w:spacing w:line="360" w:lineRule="auto"/>
            </w:pPr>
            <w:r>
              <w:t xml:space="preserve">Another area where there is difference between adult and children safeguarding is within the General Data Protection Regulation (GDPR). Data protection laws in Wales, and the UK, permit information to be shared when required to identify children at risk (Information Commissioner’s Office; 2023); the laws are stricter in sharing information about adults without consent (Social Care Institute of Excellence; 2015). </w:t>
            </w:r>
          </w:p>
          <w:p w14:paraId="652E76C7" w14:textId="77777777" w:rsidR="00332A0B" w:rsidRDefault="00332A0B" w:rsidP="00332A0B">
            <w:pPr>
              <w:spacing w:line="360" w:lineRule="auto"/>
            </w:pPr>
          </w:p>
          <w:p w14:paraId="428F9BF7" w14:textId="77777777" w:rsidR="00332A0B" w:rsidRDefault="00332A0B" w:rsidP="00332A0B">
            <w:pPr>
              <w:spacing w:line="360" w:lineRule="auto"/>
            </w:pPr>
            <w:r>
              <w:rPr>
                <w:b/>
              </w:rPr>
              <w:t xml:space="preserve">Word Count – 438 </w:t>
            </w:r>
          </w:p>
          <w:p w14:paraId="1A5F2D3F" w14:textId="77777777" w:rsidR="00332A0B" w:rsidRDefault="00332A0B" w:rsidP="00332A0B">
            <w:pPr>
              <w:spacing w:line="360" w:lineRule="auto"/>
              <w:rPr>
                <w:b/>
              </w:rPr>
            </w:pPr>
          </w:p>
          <w:p w14:paraId="50578D8C" w14:textId="77777777" w:rsidR="00332A0B" w:rsidRDefault="00332A0B" w:rsidP="00332A0B">
            <w:pPr>
              <w:spacing w:line="360" w:lineRule="auto"/>
              <w:rPr>
                <w:b/>
              </w:rPr>
            </w:pPr>
          </w:p>
          <w:p w14:paraId="183F52FC" w14:textId="77777777" w:rsidR="00332A0B" w:rsidRDefault="00332A0B" w:rsidP="00FC0334">
            <w:pPr>
              <w:jc w:val="both"/>
              <w:rPr>
                <w:sz w:val="24"/>
                <w:szCs w:val="24"/>
              </w:rPr>
            </w:pPr>
          </w:p>
          <w:p w14:paraId="795C6051" w14:textId="77777777" w:rsidR="00FC0334" w:rsidRDefault="00FC0334" w:rsidP="00FC0334">
            <w:pPr>
              <w:jc w:val="both"/>
              <w:rPr>
                <w:sz w:val="24"/>
                <w:szCs w:val="24"/>
              </w:rPr>
            </w:pPr>
          </w:p>
          <w:p w14:paraId="6BA3DD84" w14:textId="2F6C2A95" w:rsidR="00FC0334" w:rsidRDefault="00FC0334" w:rsidP="00FC0334">
            <w:pPr>
              <w:jc w:val="both"/>
              <w:rPr>
                <w:i/>
                <w:sz w:val="24"/>
                <w:szCs w:val="24"/>
              </w:rPr>
            </w:pPr>
            <w:bookmarkStart w:id="0" w:name="_GoBack"/>
            <w:bookmarkEnd w:id="0"/>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B91537" w14:textId="77777777" w:rsidR="00243A3F" w:rsidRDefault="00243A3F">
      <w:r>
        <w:separator/>
      </w:r>
    </w:p>
  </w:endnote>
  <w:endnote w:type="continuationSeparator" w:id="0">
    <w:p w14:paraId="1045B420" w14:textId="77777777" w:rsidR="00243A3F" w:rsidRDefault="00243A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A6D7372" w:rsidR="00A5656A" w:rsidRDefault="00A5656A">
    <w:pPr>
      <w:pStyle w:val="Footer"/>
      <w:jc w:val="right"/>
    </w:pPr>
    <w:r>
      <w:fldChar w:fldCharType="begin"/>
    </w:r>
    <w:r>
      <w:instrText xml:space="preserve"> PAGE   \* MERGEFORMAT </w:instrText>
    </w:r>
    <w:r>
      <w:fldChar w:fldCharType="separate"/>
    </w:r>
    <w:r w:rsidR="00332A0B">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39A792" w14:textId="77777777" w:rsidR="00243A3F" w:rsidRDefault="00243A3F">
      <w:r>
        <w:separator/>
      </w:r>
    </w:p>
  </w:footnote>
  <w:footnote w:type="continuationSeparator" w:id="0">
    <w:p w14:paraId="0E6D6C22" w14:textId="77777777" w:rsidR="00243A3F" w:rsidRDefault="00243A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A3F"/>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2A0B"/>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E0EEFE-BEFE-4E4D-8069-06B51A9FB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1122</Words>
  <Characters>6399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Cai O'Marah</cp:lastModifiedBy>
  <cp:revision>5</cp:revision>
  <cp:lastPrinted>2020-02-11T19:20:00Z</cp:lastPrinted>
  <dcterms:created xsi:type="dcterms:W3CDTF">2022-09-29T11:35:00Z</dcterms:created>
  <dcterms:modified xsi:type="dcterms:W3CDTF">2024-02-10T10:47:00Z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