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61EB4D5" w14:textId="77777777" w:rsidR="0031493A" w:rsidRDefault="0031493A" w:rsidP="0031493A">
      <w:pPr>
        <w:jc w:val="right"/>
        <w:rPr>
          <w:rStyle w:val="Strong"/>
        </w:rPr>
      </w:pPr>
      <w:r>
        <w:rPr>
          <w:noProof/>
          <w:lang w:eastAsia="en-GB"/>
        </w:rPr>
        <w:drawing>
          <wp:inline distT="0" distB="0" distL="0" distR="0" wp14:anchorId="7CF9B048" wp14:editId="11ECB677">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330C0AE0" w14:textId="77777777" w:rsidR="0031493A" w:rsidRDefault="0031493A">
      <w:pPr>
        <w:rPr>
          <w:rStyle w:val="Strong"/>
        </w:rPr>
      </w:pPr>
    </w:p>
    <w:p w14:paraId="7009EF64" w14:textId="77777777" w:rsidR="0031493A" w:rsidRDefault="0031493A">
      <w:pPr>
        <w:rPr>
          <w:rStyle w:val="Strong"/>
        </w:rPr>
      </w:pPr>
    </w:p>
    <w:p w14:paraId="4831BC20" w14:textId="77777777" w:rsidR="0031493A" w:rsidRDefault="0031493A" w:rsidP="0031493A">
      <w:pPr>
        <w:jc w:val="center"/>
        <w:rPr>
          <w:rFonts w:cs="Arial"/>
          <w:b/>
          <w:bCs/>
        </w:rPr>
      </w:pPr>
      <w:r w:rsidRPr="00646406">
        <w:rPr>
          <w:rFonts w:cs="Arial"/>
          <w:b/>
          <w:bCs/>
        </w:rPr>
        <w:t>Student Name:</w:t>
      </w:r>
      <w:r>
        <w:rPr>
          <w:rFonts w:cs="Arial"/>
          <w:b/>
          <w:bCs/>
        </w:rPr>
        <w:t xml:space="preserve"> Mohammad Umer Khan</w:t>
      </w:r>
    </w:p>
    <w:p w14:paraId="370AE793" w14:textId="77777777" w:rsidR="0031493A" w:rsidRPr="00646406" w:rsidRDefault="0031493A" w:rsidP="0031493A">
      <w:pPr>
        <w:jc w:val="center"/>
        <w:rPr>
          <w:rFonts w:cs="Arial"/>
          <w:b/>
          <w:bCs/>
        </w:rPr>
      </w:pPr>
      <w:bookmarkStart w:id="0" w:name="_GoBack"/>
      <w:bookmarkEnd w:id="0"/>
    </w:p>
    <w:p w14:paraId="3862C4F9" w14:textId="77777777" w:rsidR="0031493A" w:rsidRPr="0005517D" w:rsidRDefault="0031493A" w:rsidP="0005517D">
      <w:pPr>
        <w:jc w:val="center"/>
        <w:rPr>
          <w:rFonts w:cs="Arial"/>
          <w:b/>
          <w:bCs/>
        </w:rPr>
      </w:pPr>
      <w:r w:rsidRPr="00646406">
        <w:rPr>
          <w:rFonts w:cs="Arial"/>
          <w:b/>
          <w:bCs/>
        </w:rPr>
        <w:t>Student ID:</w:t>
      </w:r>
      <w:r>
        <w:rPr>
          <w:rFonts w:cs="Arial"/>
          <w:b/>
          <w:bCs/>
        </w:rPr>
        <w:t xml:space="preserve"> </w:t>
      </w:r>
      <w:r w:rsidR="0005517D">
        <w:rPr>
          <w:rFonts w:cs="Arial"/>
          <w:b/>
          <w:bCs/>
        </w:rPr>
        <w:t xml:space="preserve"> </w:t>
      </w:r>
      <w:r w:rsidR="0005517D" w:rsidRPr="0005517D">
        <w:rPr>
          <w:rFonts w:cs="Arial"/>
          <w:b/>
          <w:bCs/>
        </w:rPr>
        <w:t>2504525</w:t>
      </w:r>
    </w:p>
    <w:p w14:paraId="402B64BD" w14:textId="77777777" w:rsidR="0031493A" w:rsidRPr="00646406" w:rsidRDefault="0031493A" w:rsidP="0031493A">
      <w:pPr>
        <w:rPr>
          <w:rFonts w:cs="Arial"/>
          <w:b/>
          <w:bCs/>
        </w:rPr>
      </w:pPr>
    </w:p>
    <w:p w14:paraId="5BC49028" w14:textId="77777777" w:rsidR="0031493A" w:rsidRPr="00646406" w:rsidRDefault="0031493A" w:rsidP="0031493A">
      <w:pPr>
        <w:jc w:val="center"/>
        <w:rPr>
          <w:rFonts w:cs="Arial"/>
          <w:b/>
          <w:bCs/>
        </w:rPr>
      </w:pPr>
      <w:r w:rsidRPr="00646406">
        <w:rPr>
          <w:rFonts w:cs="Arial"/>
          <w:b/>
          <w:bCs/>
        </w:rPr>
        <w:t>Lecturer’s Name:</w:t>
      </w:r>
    </w:p>
    <w:p w14:paraId="1EDB4525" w14:textId="77777777" w:rsidR="0031493A" w:rsidRPr="00646406" w:rsidRDefault="0031493A" w:rsidP="0031493A">
      <w:pPr>
        <w:jc w:val="center"/>
        <w:rPr>
          <w:rFonts w:cs="Arial"/>
          <w:b/>
          <w:bCs/>
        </w:rPr>
      </w:pPr>
      <w:r>
        <w:rPr>
          <w:rFonts w:cs="Arial"/>
          <w:b/>
          <w:bCs/>
        </w:rPr>
        <w:t xml:space="preserve">Shengfeng Mei </w:t>
      </w:r>
      <w:r w:rsidRPr="002B4F97">
        <w:rPr>
          <w:rFonts w:cs="Arial"/>
          <w:b/>
          <w:bCs/>
        </w:rPr>
        <w:t>(London)</w:t>
      </w:r>
    </w:p>
    <w:p w14:paraId="5CF86485" w14:textId="062EAE33" w:rsidR="0031493A" w:rsidRPr="00646406" w:rsidRDefault="00F16CFC" w:rsidP="0031493A">
      <w:pPr>
        <w:jc w:val="center"/>
        <w:rPr>
          <w:rFonts w:cs="Arial"/>
          <w:b/>
          <w:bCs/>
        </w:rPr>
      </w:pPr>
      <w:r>
        <w:rPr>
          <w:rFonts w:cs="Arial"/>
          <w:b/>
          <w:bCs/>
        </w:rPr>
        <w:t>Word</w:t>
      </w:r>
      <w:r w:rsidR="0031493A" w:rsidRPr="00646406">
        <w:rPr>
          <w:rFonts w:cs="Arial"/>
          <w:b/>
          <w:bCs/>
        </w:rPr>
        <w:t xml:space="preserve"> Count:</w:t>
      </w:r>
      <w:r w:rsidR="00B44D8F">
        <w:rPr>
          <w:rFonts w:cs="Arial"/>
          <w:b/>
          <w:bCs/>
        </w:rPr>
        <w:t xml:space="preserve"> </w:t>
      </w:r>
      <w:r w:rsidR="0005517D">
        <w:rPr>
          <w:rFonts w:cs="Arial"/>
          <w:b/>
          <w:bCs/>
        </w:rPr>
        <w:t>5434</w:t>
      </w:r>
    </w:p>
    <w:p w14:paraId="4035387B" w14:textId="77777777" w:rsidR="009E50AB" w:rsidRDefault="009E50AB" w:rsidP="0031493A">
      <w:pPr>
        <w:jc w:val="center"/>
      </w:pPr>
      <w:r>
        <w:rPr>
          <w:rStyle w:val="Strong"/>
        </w:rPr>
        <w:t>Module:</w:t>
      </w:r>
      <w:r>
        <w:t xml:space="preserve"> LCMB7002 Financial Management</w:t>
      </w:r>
    </w:p>
    <w:p w14:paraId="54C48B51" w14:textId="77777777" w:rsidR="009E50AB" w:rsidRDefault="009E50AB" w:rsidP="0031493A">
      <w:pPr>
        <w:jc w:val="center"/>
      </w:pPr>
      <w:r>
        <w:rPr>
          <w:rStyle w:val="Strong"/>
        </w:rPr>
        <w:t>Assignment:</w:t>
      </w:r>
      <w:r>
        <w:t xml:space="preserve"> Financial Performance and Management</w:t>
      </w:r>
    </w:p>
    <w:p w14:paraId="13218AF4" w14:textId="77777777" w:rsidR="00DF2A5F" w:rsidRDefault="009E50AB" w:rsidP="0031493A">
      <w:pPr>
        <w:jc w:val="center"/>
        <w:rPr>
          <w:rStyle w:val="Emphasis"/>
        </w:rPr>
      </w:pPr>
      <w:r>
        <w:rPr>
          <w:rStyle w:val="Strong"/>
        </w:rPr>
        <w:t>Company:</w:t>
      </w:r>
      <w:r>
        <w:t xml:space="preserve"> </w:t>
      </w:r>
      <w:r>
        <w:rPr>
          <w:rStyle w:val="Emphasis"/>
        </w:rPr>
        <w:t>General Electronics</w:t>
      </w:r>
    </w:p>
    <w:p w14:paraId="08DC7508" w14:textId="77777777" w:rsidR="00BF3F8A" w:rsidRDefault="00BF3F8A">
      <w:pPr>
        <w:spacing w:line="259" w:lineRule="auto"/>
        <w:jc w:val="left"/>
        <w:rPr>
          <w:rStyle w:val="Emphasis"/>
        </w:rPr>
      </w:pPr>
      <w:r>
        <w:rPr>
          <w:rStyle w:val="Emphasis"/>
        </w:rPr>
        <w:br w:type="page"/>
      </w:r>
    </w:p>
    <w:sdt>
      <w:sdtPr>
        <w:rPr>
          <w:rFonts w:ascii="Times New Roman" w:eastAsiaTheme="minorHAnsi" w:hAnsi="Times New Roman" w:cstheme="minorBidi"/>
          <w:color w:val="auto"/>
          <w:kern w:val="2"/>
          <w:sz w:val="24"/>
          <w:szCs w:val="24"/>
          <w:lang w:val="en-GB"/>
          <w14:ligatures w14:val="standardContextual"/>
        </w:rPr>
        <w:id w:val="1718163821"/>
        <w:docPartObj>
          <w:docPartGallery w:val="Table of Contents"/>
          <w:docPartUnique/>
        </w:docPartObj>
      </w:sdtPr>
      <w:sdtEndPr>
        <w:rPr>
          <w:b/>
          <w:bCs/>
          <w:noProof/>
        </w:rPr>
      </w:sdtEndPr>
      <w:sdtContent>
        <w:p w14:paraId="0C8264D7" w14:textId="77777777" w:rsidR="00BF3F8A" w:rsidRDefault="00BF3F8A">
          <w:pPr>
            <w:pStyle w:val="TOCHeading"/>
          </w:pPr>
          <w:r>
            <w:t>Table of Contents</w:t>
          </w:r>
        </w:p>
        <w:p w14:paraId="124CEFCC" w14:textId="61BF75C2" w:rsidR="00B86DBF" w:rsidRDefault="00BF3F8A">
          <w:pPr>
            <w:pStyle w:val="TOC1"/>
            <w:tabs>
              <w:tab w:val="right" w:leader="dot" w:pos="9016"/>
            </w:tabs>
            <w:rPr>
              <w:rFonts w:asciiTheme="minorHAnsi" w:eastAsiaTheme="minorEastAsia" w:hAnsiTheme="minorHAnsi"/>
              <w:noProof/>
              <w:lang w:val="en-US"/>
            </w:rPr>
          </w:pPr>
          <w:r>
            <w:fldChar w:fldCharType="begin"/>
          </w:r>
          <w:r>
            <w:instrText xml:space="preserve"> TOC \o "1-3" \h \z \u </w:instrText>
          </w:r>
          <w:r>
            <w:fldChar w:fldCharType="separate"/>
          </w:r>
          <w:hyperlink w:anchor="_Toc217264680" w:history="1">
            <w:r w:rsidR="00B86DBF" w:rsidRPr="008D41B9">
              <w:rPr>
                <w:rStyle w:val="Hyperlink"/>
                <w:noProof/>
              </w:rPr>
              <w:t>1. Introduction</w:t>
            </w:r>
            <w:r w:rsidR="00B86DBF">
              <w:rPr>
                <w:noProof/>
                <w:webHidden/>
              </w:rPr>
              <w:tab/>
            </w:r>
            <w:r w:rsidR="00B86DBF">
              <w:rPr>
                <w:noProof/>
                <w:webHidden/>
              </w:rPr>
              <w:fldChar w:fldCharType="begin"/>
            </w:r>
            <w:r w:rsidR="00B86DBF">
              <w:rPr>
                <w:noProof/>
                <w:webHidden/>
              </w:rPr>
              <w:instrText xml:space="preserve"> PAGEREF _Toc217264680 \h </w:instrText>
            </w:r>
            <w:r w:rsidR="00B86DBF">
              <w:rPr>
                <w:noProof/>
                <w:webHidden/>
              </w:rPr>
            </w:r>
            <w:r w:rsidR="00B86DBF">
              <w:rPr>
                <w:noProof/>
                <w:webHidden/>
              </w:rPr>
              <w:fldChar w:fldCharType="separate"/>
            </w:r>
            <w:r w:rsidR="00B86DBF">
              <w:rPr>
                <w:noProof/>
                <w:webHidden/>
              </w:rPr>
              <w:t>5</w:t>
            </w:r>
            <w:r w:rsidR="00B86DBF">
              <w:rPr>
                <w:noProof/>
                <w:webHidden/>
              </w:rPr>
              <w:fldChar w:fldCharType="end"/>
            </w:r>
          </w:hyperlink>
        </w:p>
        <w:p w14:paraId="2C98258D" w14:textId="189930DF" w:rsidR="00B86DBF" w:rsidRDefault="001C1424">
          <w:pPr>
            <w:pStyle w:val="TOC1"/>
            <w:tabs>
              <w:tab w:val="right" w:leader="dot" w:pos="9016"/>
            </w:tabs>
            <w:rPr>
              <w:rFonts w:asciiTheme="minorHAnsi" w:eastAsiaTheme="minorEastAsia" w:hAnsiTheme="minorHAnsi"/>
              <w:noProof/>
              <w:lang w:val="en-US"/>
            </w:rPr>
          </w:pPr>
          <w:hyperlink w:anchor="_Toc217264681" w:history="1">
            <w:r w:rsidR="00B86DBF" w:rsidRPr="008D41B9">
              <w:rPr>
                <w:rStyle w:val="Hyperlink"/>
                <w:noProof/>
              </w:rPr>
              <w:t>2. Financial Health Check</w:t>
            </w:r>
            <w:r w:rsidR="00B86DBF">
              <w:rPr>
                <w:noProof/>
                <w:webHidden/>
              </w:rPr>
              <w:tab/>
            </w:r>
            <w:r w:rsidR="00B86DBF">
              <w:rPr>
                <w:noProof/>
                <w:webHidden/>
              </w:rPr>
              <w:fldChar w:fldCharType="begin"/>
            </w:r>
            <w:r w:rsidR="00B86DBF">
              <w:rPr>
                <w:noProof/>
                <w:webHidden/>
              </w:rPr>
              <w:instrText xml:space="preserve"> PAGEREF _Toc217264681 \h </w:instrText>
            </w:r>
            <w:r w:rsidR="00B86DBF">
              <w:rPr>
                <w:noProof/>
                <w:webHidden/>
              </w:rPr>
            </w:r>
            <w:r w:rsidR="00B86DBF">
              <w:rPr>
                <w:noProof/>
                <w:webHidden/>
              </w:rPr>
              <w:fldChar w:fldCharType="separate"/>
            </w:r>
            <w:r w:rsidR="00B86DBF">
              <w:rPr>
                <w:noProof/>
                <w:webHidden/>
              </w:rPr>
              <w:t>6</w:t>
            </w:r>
            <w:r w:rsidR="00B86DBF">
              <w:rPr>
                <w:noProof/>
                <w:webHidden/>
              </w:rPr>
              <w:fldChar w:fldCharType="end"/>
            </w:r>
          </w:hyperlink>
        </w:p>
        <w:p w14:paraId="63E54DCA" w14:textId="10217403" w:rsidR="00B86DBF" w:rsidRDefault="001C1424">
          <w:pPr>
            <w:pStyle w:val="TOC2"/>
            <w:tabs>
              <w:tab w:val="right" w:leader="dot" w:pos="9016"/>
            </w:tabs>
            <w:rPr>
              <w:rFonts w:asciiTheme="minorHAnsi" w:eastAsiaTheme="minorEastAsia" w:hAnsiTheme="minorHAnsi"/>
              <w:noProof/>
              <w:lang w:val="en-US"/>
            </w:rPr>
          </w:pPr>
          <w:hyperlink w:anchor="_Toc217264682" w:history="1">
            <w:r w:rsidR="00B86DBF" w:rsidRPr="008D41B9">
              <w:rPr>
                <w:rStyle w:val="Hyperlink"/>
                <w:noProof/>
              </w:rPr>
              <w:t>2.1 Overview of Financial Performance (2020–2024)</w:t>
            </w:r>
            <w:r w:rsidR="00B86DBF">
              <w:rPr>
                <w:noProof/>
                <w:webHidden/>
              </w:rPr>
              <w:tab/>
            </w:r>
            <w:r w:rsidR="00B86DBF">
              <w:rPr>
                <w:noProof/>
                <w:webHidden/>
              </w:rPr>
              <w:fldChar w:fldCharType="begin"/>
            </w:r>
            <w:r w:rsidR="00B86DBF">
              <w:rPr>
                <w:noProof/>
                <w:webHidden/>
              </w:rPr>
              <w:instrText xml:space="preserve"> PAGEREF _Toc217264682 \h </w:instrText>
            </w:r>
            <w:r w:rsidR="00B86DBF">
              <w:rPr>
                <w:noProof/>
                <w:webHidden/>
              </w:rPr>
            </w:r>
            <w:r w:rsidR="00B86DBF">
              <w:rPr>
                <w:noProof/>
                <w:webHidden/>
              </w:rPr>
              <w:fldChar w:fldCharType="separate"/>
            </w:r>
            <w:r w:rsidR="00B86DBF">
              <w:rPr>
                <w:noProof/>
                <w:webHidden/>
              </w:rPr>
              <w:t>6</w:t>
            </w:r>
            <w:r w:rsidR="00B86DBF">
              <w:rPr>
                <w:noProof/>
                <w:webHidden/>
              </w:rPr>
              <w:fldChar w:fldCharType="end"/>
            </w:r>
          </w:hyperlink>
        </w:p>
        <w:p w14:paraId="6EE627BB" w14:textId="4ACEB5D9" w:rsidR="00B86DBF" w:rsidRDefault="001C1424">
          <w:pPr>
            <w:pStyle w:val="TOC2"/>
            <w:tabs>
              <w:tab w:val="right" w:leader="dot" w:pos="9016"/>
            </w:tabs>
            <w:rPr>
              <w:rFonts w:asciiTheme="minorHAnsi" w:eastAsiaTheme="minorEastAsia" w:hAnsiTheme="minorHAnsi"/>
              <w:noProof/>
              <w:lang w:val="en-US"/>
            </w:rPr>
          </w:pPr>
          <w:hyperlink w:anchor="_Toc217264683" w:history="1">
            <w:r w:rsidR="00B86DBF" w:rsidRPr="008D41B9">
              <w:rPr>
                <w:rStyle w:val="Hyperlink"/>
                <w:noProof/>
              </w:rPr>
              <w:t>2.2 Ratio Analysis</w:t>
            </w:r>
            <w:r w:rsidR="00B86DBF">
              <w:rPr>
                <w:noProof/>
                <w:webHidden/>
              </w:rPr>
              <w:tab/>
            </w:r>
            <w:r w:rsidR="00B86DBF">
              <w:rPr>
                <w:noProof/>
                <w:webHidden/>
              </w:rPr>
              <w:fldChar w:fldCharType="begin"/>
            </w:r>
            <w:r w:rsidR="00B86DBF">
              <w:rPr>
                <w:noProof/>
                <w:webHidden/>
              </w:rPr>
              <w:instrText xml:space="preserve"> PAGEREF _Toc217264683 \h </w:instrText>
            </w:r>
            <w:r w:rsidR="00B86DBF">
              <w:rPr>
                <w:noProof/>
                <w:webHidden/>
              </w:rPr>
            </w:r>
            <w:r w:rsidR="00B86DBF">
              <w:rPr>
                <w:noProof/>
                <w:webHidden/>
              </w:rPr>
              <w:fldChar w:fldCharType="separate"/>
            </w:r>
            <w:r w:rsidR="00B86DBF">
              <w:rPr>
                <w:noProof/>
                <w:webHidden/>
              </w:rPr>
              <w:t>7</w:t>
            </w:r>
            <w:r w:rsidR="00B86DBF">
              <w:rPr>
                <w:noProof/>
                <w:webHidden/>
              </w:rPr>
              <w:fldChar w:fldCharType="end"/>
            </w:r>
          </w:hyperlink>
        </w:p>
        <w:p w14:paraId="0E8F199D" w14:textId="1AC4CCAD" w:rsidR="00B86DBF" w:rsidRDefault="001C1424">
          <w:pPr>
            <w:pStyle w:val="TOC3"/>
            <w:tabs>
              <w:tab w:val="right" w:leader="dot" w:pos="9016"/>
            </w:tabs>
            <w:rPr>
              <w:rFonts w:asciiTheme="minorHAnsi" w:eastAsiaTheme="minorEastAsia" w:hAnsiTheme="minorHAnsi"/>
              <w:noProof/>
              <w:lang w:val="en-US"/>
            </w:rPr>
          </w:pPr>
          <w:hyperlink w:anchor="_Toc217264684" w:history="1">
            <w:r w:rsidR="00B86DBF" w:rsidRPr="008D41B9">
              <w:rPr>
                <w:rStyle w:val="Hyperlink"/>
                <w:noProof/>
              </w:rPr>
              <w:t>2.2.1 Profitability Ratios</w:t>
            </w:r>
            <w:r w:rsidR="00B86DBF">
              <w:rPr>
                <w:noProof/>
                <w:webHidden/>
              </w:rPr>
              <w:tab/>
            </w:r>
            <w:r w:rsidR="00B86DBF">
              <w:rPr>
                <w:noProof/>
                <w:webHidden/>
              </w:rPr>
              <w:fldChar w:fldCharType="begin"/>
            </w:r>
            <w:r w:rsidR="00B86DBF">
              <w:rPr>
                <w:noProof/>
                <w:webHidden/>
              </w:rPr>
              <w:instrText xml:space="preserve"> PAGEREF _Toc217264684 \h </w:instrText>
            </w:r>
            <w:r w:rsidR="00B86DBF">
              <w:rPr>
                <w:noProof/>
                <w:webHidden/>
              </w:rPr>
            </w:r>
            <w:r w:rsidR="00B86DBF">
              <w:rPr>
                <w:noProof/>
                <w:webHidden/>
              </w:rPr>
              <w:fldChar w:fldCharType="separate"/>
            </w:r>
            <w:r w:rsidR="00B86DBF">
              <w:rPr>
                <w:noProof/>
                <w:webHidden/>
              </w:rPr>
              <w:t>7</w:t>
            </w:r>
            <w:r w:rsidR="00B86DBF">
              <w:rPr>
                <w:noProof/>
                <w:webHidden/>
              </w:rPr>
              <w:fldChar w:fldCharType="end"/>
            </w:r>
          </w:hyperlink>
        </w:p>
        <w:p w14:paraId="22D64612" w14:textId="36C81069" w:rsidR="00B86DBF" w:rsidRDefault="001C1424">
          <w:pPr>
            <w:pStyle w:val="TOC3"/>
            <w:tabs>
              <w:tab w:val="right" w:leader="dot" w:pos="9016"/>
            </w:tabs>
            <w:rPr>
              <w:rFonts w:asciiTheme="minorHAnsi" w:eastAsiaTheme="minorEastAsia" w:hAnsiTheme="minorHAnsi"/>
              <w:noProof/>
              <w:lang w:val="en-US"/>
            </w:rPr>
          </w:pPr>
          <w:hyperlink w:anchor="_Toc217264685" w:history="1">
            <w:r w:rsidR="00B86DBF" w:rsidRPr="008D41B9">
              <w:rPr>
                <w:rStyle w:val="Hyperlink"/>
                <w:noProof/>
              </w:rPr>
              <w:t>2.2.2 Liquidity Ratios</w:t>
            </w:r>
            <w:r w:rsidR="00B86DBF">
              <w:rPr>
                <w:noProof/>
                <w:webHidden/>
              </w:rPr>
              <w:tab/>
            </w:r>
            <w:r w:rsidR="00B86DBF">
              <w:rPr>
                <w:noProof/>
                <w:webHidden/>
              </w:rPr>
              <w:fldChar w:fldCharType="begin"/>
            </w:r>
            <w:r w:rsidR="00B86DBF">
              <w:rPr>
                <w:noProof/>
                <w:webHidden/>
              </w:rPr>
              <w:instrText xml:space="preserve"> PAGEREF _Toc217264685 \h </w:instrText>
            </w:r>
            <w:r w:rsidR="00B86DBF">
              <w:rPr>
                <w:noProof/>
                <w:webHidden/>
              </w:rPr>
            </w:r>
            <w:r w:rsidR="00B86DBF">
              <w:rPr>
                <w:noProof/>
                <w:webHidden/>
              </w:rPr>
              <w:fldChar w:fldCharType="separate"/>
            </w:r>
            <w:r w:rsidR="00B86DBF">
              <w:rPr>
                <w:noProof/>
                <w:webHidden/>
              </w:rPr>
              <w:t>8</w:t>
            </w:r>
            <w:r w:rsidR="00B86DBF">
              <w:rPr>
                <w:noProof/>
                <w:webHidden/>
              </w:rPr>
              <w:fldChar w:fldCharType="end"/>
            </w:r>
          </w:hyperlink>
        </w:p>
        <w:p w14:paraId="114AF68F" w14:textId="5A607D2A" w:rsidR="00B86DBF" w:rsidRDefault="001C1424">
          <w:pPr>
            <w:pStyle w:val="TOC3"/>
            <w:tabs>
              <w:tab w:val="right" w:leader="dot" w:pos="9016"/>
            </w:tabs>
            <w:rPr>
              <w:rFonts w:asciiTheme="minorHAnsi" w:eastAsiaTheme="minorEastAsia" w:hAnsiTheme="minorHAnsi"/>
              <w:noProof/>
              <w:lang w:val="en-US"/>
            </w:rPr>
          </w:pPr>
          <w:hyperlink w:anchor="_Toc217264686" w:history="1">
            <w:r w:rsidR="00B86DBF" w:rsidRPr="008D41B9">
              <w:rPr>
                <w:rStyle w:val="Hyperlink"/>
                <w:noProof/>
              </w:rPr>
              <w:t>2.2.3 Efficiency Ratios</w:t>
            </w:r>
            <w:r w:rsidR="00B86DBF">
              <w:rPr>
                <w:noProof/>
                <w:webHidden/>
              </w:rPr>
              <w:tab/>
            </w:r>
            <w:r w:rsidR="00B86DBF">
              <w:rPr>
                <w:noProof/>
                <w:webHidden/>
              </w:rPr>
              <w:fldChar w:fldCharType="begin"/>
            </w:r>
            <w:r w:rsidR="00B86DBF">
              <w:rPr>
                <w:noProof/>
                <w:webHidden/>
              </w:rPr>
              <w:instrText xml:space="preserve"> PAGEREF _Toc217264686 \h </w:instrText>
            </w:r>
            <w:r w:rsidR="00B86DBF">
              <w:rPr>
                <w:noProof/>
                <w:webHidden/>
              </w:rPr>
            </w:r>
            <w:r w:rsidR="00B86DBF">
              <w:rPr>
                <w:noProof/>
                <w:webHidden/>
              </w:rPr>
              <w:fldChar w:fldCharType="separate"/>
            </w:r>
            <w:r w:rsidR="00B86DBF">
              <w:rPr>
                <w:noProof/>
                <w:webHidden/>
              </w:rPr>
              <w:t>8</w:t>
            </w:r>
            <w:r w:rsidR="00B86DBF">
              <w:rPr>
                <w:noProof/>
                <w:webHidden/>
              </w:rPr>
              <w:fldChar w:fldCharType="end"/>
            </w:r>
          </w:hyperlink>
        </w:p>
        <w:p w14:paraId="03E19382" w14:textId="404007B7" w:rsidR="00B86DBF" w:rsidRDefault="001C1424">
          <w:pPr>
            <w:pStyle w:val="TOC3"/>
            <w:tabs>
              <w:tab w:val="right" w:leader="dot" w:pos="9016"/>
            </w:tabs>
            <w:rPr>
              <w:rFonts w:asciiTheme="minorHAnsi" w:eastAsiaTheme="minorEastAsia" w:hAnsiTheme="minorHAnsi"/>
              <w:noProof/>
              <w:lang w:val="en-US"/>
            </w:rPr>
          </w:pPr>
          <w:hyperlink w:anchor="_Toc217264687" w:history="1">
            <w:r w:rsidR="00B86DBF" w:rsidRPr="008D41B9">
              <w:rPr>
                <w:rStyle w:val="Hyperlink"/>
                <w:noProof/>
              </w:rPr>
              <w:t>2.2.4 Gearing and Solvency Ratios</w:t>
            </w:r>
            <w:r w:rsidR="00B86DBF">
              <w:rPr>
                <w:noProof/>
                <w:webHidden/>
              </w:rPr>
              <w:tab/>
            </w:r>
            <w:r w:rsidR="00B86DBF">
              <w:rPr>
                <w:noProof/>
                <w:webHidden/>
              </w:rPr>
              <w:fldChar w:fldCharType="begin"/>
            </w:r>
            <w:r w:rsidR="00B86DBF">
              <w:rPr>
                <w:noProof/>
                <w:webHidden/>
              </w:rPr>
              <w:instrText xml:space="preserve"> PAGEREF _Toc217264687 \h </w:instrText>
            </w:r>
            <w:r w:rsidR="00B86DBF">
              <w:rPr>
                <w:noProof/>
                <w:webHidden/>
              </w:rPr>
            </w:r>
            <w:r w:rsidR="00B86DBF">
              <w:rPr>
                <w:noProof/>
                <w:webHidden/>
              </w:rPr>
              <w:fldChar w:fldCharType="separate"/>
            </w:r>
            <w:r w:rsidR="00B86DBF">
              <w:rPr>
                <w:noProof/>
                <w:webHidden/>
              </w:rPr>
              <w:t>9</w:t>
            </w:r>
            <w:r w:rsidR="00B86DBF">
              <w:rPr>
                <w:noProof/>
                <w:webHidden/>
              </w:rPr>
              <w:fldChar w:fldCharType="end"/>
            </w:r>
          </w:hyperlink>
        </w:p>
        <w:p w14:paraId="7FE4A79B" w14:textId="64BFBAC0" w:rsidR="00B86DBF" w:rsidRDefault="001C1424">
          <w:pPr>
            <w:pStyle w:val="TOC3"/>
            <w:tabs>
              <w:tab w:val="right" w:leader="dot" w:pos="9016"/>
            </w:tabs>
            <w:rPr>
              <w:rFonts w:asciiTheme="minorHAnsi" w:eastAsiaTheme="minorEastAsia" w:hAnsiTheme="minorHAnsi"/>
              <w:noProof/>
              <w:lang w:val="en-US"/>
            </w:rPr>
          </w:pPr>
          <w:hyperlink w:anchor="_Toc217264688" w:history="1">
            <w:r w:rsidR="00B86DBF" w:rsidRPr="008D41B9">
              <w:rPr>
                <w:rStyle w:val="Hyperlink"/>
                <w:noProof/>
              </w:rPr>
              <w:t>2.2.5 Cash Flow Analysis</w:t>
            </w:r>
            <w:r w:rsidR="00B86DBF">
              <w:rPr>
                <w:noProof/>
                <w:webHidden/>
              </w:rPr>
              <w:tab/>
            </w:r>
            <w:r w:rsidR="00B86DBF">
              <w:rPr>
                <w:noProof/>
                <w:webHidden/>
              </w:rPr>
              <w:fldChar w:fldCharType="begin"/>
            </w:r>
            <w:r w:rsidR="00B86DBF">
              <w:rPr>
                <w:noProof/>
                <w:webHidden/>
              </w:rPr>
              <w:instrText xml:space="preserve"> PAGEREF _Toc217264688 \h </w:instrText>
            </w:r>
            <w:r w:rsidR="00B86DBF">
              <w:rPr>
                <w:noProof/>
                <w:webHidden/>
              </w:rPr>
            </w:r>
            <w:r w:rsidR="00B86DBF">
              <w:rPr>
                <w:noProof/>
                <w:webHidden/>
              </w:rPr>
              <w:fldChar w:fldCharType="separate"/>
            </w:r>
            <w:r w:rsidR="00B86DBF">
              <w:rPr>
                <w:noProof/>
                <w:webHidden/>
              </w:rPr>
              <w:t>9</w:t>
            </w:r>
            <w:r w:rsidR="00B86DBF">
              <w:rPr>
                <w:noProof/>
                <w:webHidden/>
              </w:rPr>
              <w:fldChar w:fldCharType="end"/>
            </w:r>
          </w:hyperlink>
        </w:p>
        <w:p w14:paraId="01FEED28" w14:textId="172C97B3" w:rsidR="00B86DBF" w:rsidRDefault="001C1424">
          <w:pPr>
            <w:pStyle w:val="TOC2"/>
            <w:tabs>
              <w:tab w:val="right" w:leader="dot" w:pos="9016"/>
            </w:tabs>
            <w:rPr>
              <w:rFonts w:asciiTheme="minorHAnsi" w:eastAsiaTheme="minorEastAsia" w:hAnsiTheme="minorHAnsi"/>
              <w:noProof/>
              <w:lang w:val="en-US"/>
            </w:rPr>
          </w:pPr>
          <w:hyperlink w:anchor="_Toc217264689" w:history="1">
            <w:r w:rsidR="00B86DBF" w:rsidRPr="008D41B9">
              <w:rPr>
                <w:rStyle w:val="Hyperlink"/>
                <w:noProof/>
              </w:rPr>
              <w:t>2.3 Corporate Failure Prediction Model: Altman Z-Score</w:t>
            </w:r>
            <w:r w:rsidR="00B86DBF">
              <w:rPr>
                <w:noProof/>
                <w:webHidden/>
              </w:rPr>
              <w:tab/>
            </w:r>
            <w:r w:rsidR="00B86DBF">
              <w:rPr>
                <w:noProof/>
                <w:webHidden/>
              </w:rPr>
              <w:fldChar w:fldCharType="begin"/>
            </w:r>
            <w:r w:rsidR="00B86DBF">
              <w:rPr>
                <w:noProof/>
                <w:webHidden/>
              </w:rPr>
              <w:instrText xml:space="preserve"> PAGEREF _Toc217264689 \h </w:instrText>
            </w:r>
            <w:r w:rsidR="00B86DBF">
              <w:rPr>
                <w:noProof/>
                <w:webHidden/>
              </w:rPr>
            </w:r>
            <w:r w:rsidR="00B86DBF">
              <w:rPr>
                <w:noProof/>
                <w:webHidden/>
              </w:rPr>
              <w:fldChar w:fldCharType="separate"/>
            </w:r>
            <w:r w:rsidR="00B86DBF">
              <w:rPr>
                <w:noProof/>
                <w:webHidden/>
              </w:rPr>
              <w:t>9</w:t>
            </w:r>
            <w:r w:rsidR="00B86DBF">
              <w:rPr>
                <w:noProof/>
                <w:webHidden/>
              </w:rPr>
              <w:fldChar w:fldCharType="end"/>
            </w:r>
          </w:hyperlink>
        </w:p>
        <w:p w14:paraId="2BDCD726" w14:textId="1C4DAA01" w:rsidR="00B86DBF" w:rsidRDefault="001C1424">
          <w:pPr>
            <w:pStyle w:val="TOC1"/>
            <w:tabs>
              <w:tab w:val="right" w:leader="dot" w:pos="9016"/>
            </w:tabs>
            <w:rPr>
              <w:rFonts w:asciiTheme="minorHAnsi" w:eastAsiaTheme="minorEastAsia" w:hAnsiTheme="minorHAnsi"/>
              <w:noProof/>
              <w:lang w:val="en-US"/>
            </w:rPr>
          </w:pPr>
          <w:hyperlink w:anchor="_Toc217264690" w:history="1">
            <w:r w:rsidR="00B86DBF" w:rsidRPr="008D41B9">
              <w:rPr>
                <w:rStyle w:val="Hyperlink"/>
                <w:noProof/>
              </w:rPr>
              <w:t>3. Working Capital Management Analysis</w:t>
            </w:r>
            <w:r w:rsidR="00B86DBF">
              <w:rPr>
                <w:noProof/>
                <w:webHidden/>
              </w:rPr>
              <w:tab/>
            </w:r>
            <w:r w:rsidR="00B86DBF">
              <w:rPr>
                <w:noProof/>
                <w:webHidden/>
              </w:rPr>
              <w:fldChar w:fldCharType="begin"/>
            </w:r>
            <w:r w:rsidR="00B86DBF">
              <w:rPr>
                <w:noProof/>
                <w:webHidden/>
              </w:rPr>
              <w:instrText xml:space="preserve"> PAGEREF _Toc217264690 \h </w:instrText>
            </w:r>
            <w:r w:rsidR="00B86DBF">
              <w:rPr>
                <w:noProof/>
                <w:webHidden/>
              </w:rPr>
            </w:r>
            <w:r w:rsidR="00B86DBF">
              <w:rPr>
                <w:noProof/>
                <w:webHidden/>
              </w:rPr>
              <w:fldChar w:fldCharType="separate"/>
            </w:r>
            <w:r w:rsidR="00B86DBF">
              <w:rPr>
                <w:noProof/>
                <w:webHidden/>
              </w:rPr>
              <w:t>10</w:t>
            </w:r>
            <w:r w:rsidR="00B86DBF">
              <w:rPr>
                <w:noProof/>
                <w:webHidden/>
              </w:rPr>
              <w:fldChar w:fldCharType="end"/>
            </w:r>
          </w:hyperlink>
        </w:p>
        <w:p w14:paraId="52368873" w14:textId="3E9B40FB" w:rsidR="00B86DBF" w:rsidRDefault="001C1424">
          <w:pPr>
            <w:pStyle w:val="TOC2"/>
            <w:tabs>
              <w:tab w:val="right" w:leader="dot" w:pos="9016"/>
            </w:tabs>
            <w:rPr>
              <w:rFonts w:asciiTheme="minorHAnsi" w:eastAsiaTheme="minorEastAsia" w:hAnsiTheme="minorHAnsi"/>
              <w:noProof/>
              <w:lang w:val="en-US"/>
            </w:rPr>
          </w:pPr>
          <w:hyperlink w:anchor="_Toc217264691" w:history="1">
            <w:r w:rsidR="00B86DBF" w:rsidRPr="008D41B9">
              <w:rPr>
                <w:rStyle w:val="Hyperlink"/>
                <w:noProof/>
              </w:rPr>
              <w:t>3.1 Cash Operating Cycle Analysis</w:t>
            </w:r>
            <w:r w:rsidR="00B86DBF">
              <w:rPr>
                <w:noProof/>
                <w:webHidden/>
              </w:rPr>
              <w:tab/>
            </w:r>
            <w:r w:rsidR="00B86DBF">
              <w:rPr>
                <w:noProof/>
                <w:webHidden/>
              </w:rPr>
              <w:fldChar w:fldCharType="begin"/>
            </w:r>
            <w:r w:rsidR="00B86DBF">
              <w:rPr>
                <w:noProof/>
                <w:webHidden/>
              </w:rPr>
              <w:instrText xml:space="preserve"> PAGEREF _Toc217264691 \h </w:instrText>
            </w:r>
            <w:r w:rsidR="00B86DBF">
              <w:rPr>
                <w:noProof/>
                <w:webHidden/>
              </w:rPr>
            </w:r>
            <w:r w:rsidR="00B86DBF">
              <w:rPr>
                <w:noProof/>
                <w:webHidden/>
              </w:rPr>
              <w:fldChar w:fldCharType="separate"/>
            </w:r>
            <w:r w:rsidR="00B86DBF">
              <w:rPr>
                <w:noProof/>
                <w:webHidden/>
              </w:rPr>
              <w:t>10</w:t>
            </w:r>
            <w:r w:rsidR="00B86DBF">
              <w:rPr>
                <w:noProof/>
                <w:webHidden/>
              </w:rPr>
              <w:fldChar w:fldCharType="end"/>
            </w:r>
          </w:hyperlink>
        </w:p>
        <w:p w14:paraId="111D84BD" w14:textId="0179E41D" w:rsidR="00B86DBF" w:rsidRDefault="001C1424">
          <w:pPr>
            <w:pStyle w:val="TOC2"/>
            <w:tabs>
              <w:tab w:val="right" w:leader="dot" w:pos="9016"/>
            </w:tabs>
            <w:rPr>
              <w:rFonts w:asciiTheme="minorHAnsi" w:eastAsiaTheme="minorEastAsia" w:hAnsiTheme="minorHAnsi"/>
              <w:noProof/>
              <w:lang w:val="en-US"/>
            </w:rPr>
          </w:pPr>
          <w:hyperlink w:anchor="_Toc217264692" w:history="1">
            <w:r w:rsidR="00B86DBF" w:rsidRPr="008D41B9">
              <w:rPr>
                <w:rStyle w:val="Hyperlink"/>
                <w:noProof/>
              </w:rPr>
              <w:t>3.2 Working Capital Improvement Strategies</w:t>
            </w:r>
            <w:r w:rsidR="00B86DBF">
              <w:rPr>
                <w:noProof/>
                <w:webHidden/>
              </w:rPr>
              <w:tab/>
            </w:r>
            <w:r w:rsidR="00B86DBF">
              <w:rPr>
                <w:noProof/>
                <w:webHidden/>
              </w:rPr>
              <w:fldChar w:fldCharType="begin"/>
            </w:r>
            <w:r w:rsidR="00B86DBF">
              <w:rPr>
                <w:noProof/>
                <w:webHidden/>
              </w:rPr>
              <w:instrText xml:space="preserve"> PAGEREF _Toc217264692 \h </w:instrText>
            </w:r>
            <w:r w:rsidR="00B86DBF">
              <w:rPr>
                <w:noProof/>
                <w:webHidden/>
              </w:rPr>
            </w:r>
            <w:r w:rsidR="00B86DBF">
              <w:rPr>
                <w:noProof/>
                <w:webHidden/>
              </w:rPr>
              <w:fldChar w:fldCharType="separate"/>
            </w:r>
            <w:r w:rsidR="00B86DBF">
              <w:rPr>
                <w:noProof/>
                <w:webHidden/>
              </w:rPr>
              <w:t>11</w:t>
            </w:r>
            <w:r w:rsidR="00B86DBF">
              <w:rPr>
                <w:noProof/>
                <w:webHidden/>
              </w:rPr>
              <w:fldChar w:fldCharType="end"/>
            </w:r>
          </w:hyperlink>
        </w:p>
        <w:p w14:paraId="3479FBC9" w14:textId="389335D6" w:rsidR="00B86DBF" w:rsidRDefault="001C1424">
          <w:pPr>
            <w:pStyle w:val="TOC3"/>
            <w:tabs>
              <w:tab w:val="right" w:leader="dot" w:pos="9016"/>
            </w:tabs>
            <w:rPr>
              <w:rFonts w:asciiTheme="minorHAnsi" w:eastAsiaTheme="minorEastAsia" w:hAnsiTheme="minorHAnsi"/>
              <w:noProof/>
              <w:lang w:val="en-US"/>
            </w:rPr>
          </w:pPr>
          <w:hyperlink w:anchor="_Toc217264693" w:history="1">
            <w:r w:rsidR="00B86DBF" w:rsidRPr="008D41B9">
              <w:rPr>
                <w:rStyle w:val="Hyperlink"/>
                <w:noProof/>
              </w:rPr>
              <w:t>3.2.1 Inventory Optimisation</w:t>
            </w:r>
            <w:r w:rsidR="00B86DBF">
              <w:rPr>
                <w:noProof/>
                <w:webHidden/>
              </w:rPr>
              <w:tab/>
            </w:r>
            <w:r w:rsidR="00B86DBF">
              <w:rPr>
                <w:noProof/>
                <w:webHidden/>
              </w:rPr>
              <w:fldChar w:fldCharType="begin"/>
            </w:r>
            <w:r w:rsidR="00B86DBF">
              <w:rPr>
                <w:noProof/>
                <w:webHidden/>
              </w:rPr>
              <w:instrText xml:space="preserve"> PAGEREF _Toc217264693 \h </w:instrText>
            </w:r>
            <w:r w:rsidR="00B86DBF">
              <w:rPr>
                <w:noProof/>
                <w:webHidden/>
              </w:rPr>
            </w:r>
            <w:r w:rsidR="00B86DBF">
              <w:rPr>
                <w:noProof/>
                <w:webHidden/>
              </w:rPr>
              <w:fldChar w:fldCharType="separate"/>
            </w:r>
            <w:r w:rsidR="00B86DBF">
              <w:rPr>
                <w:noProof/>
                <w:webHidden/>
              </w:rPr>
              <w:t>11</w:t>
            </w:r>
            <w:r w:rsidR="00B86DBF">
              <w:rPr>
                <w:noProof/>
                <w:webHidden/>
              </w:rPr>
              <w:fldChar w:fldCharType="end"/>
            </w:r>
          </w:hyperlink>
        </w:p>
        <w:p w14:paraId="46BD1F8B" w14:textId="46FB651B" w:rsidR="00B86DBF" w:rsidRDefault="001C1424">
          <w:pPr>
            <w:pStyle w:val="TOC3"/>
            <w:tabs>
              <w:tab w:val="right" w:leader="dot" w:pos="9016"/>
            </w:tabs>
            <w:rPr>
              <w:rFonts w:asciiTheme="minorHAnsi" w:eastAsiaTheme="minorEastAsia" w:hAnsiTheme="minorHAnsi"/>
              <w:noProof/>
              <w:lang w:val="en-US"/>
            </w:rPr>
          </w:pPr>
          <w:hyperlink w:anchor="_Toc217264694" w:history="1">
            <w:r w:rsidR="00B86DBF" w:rsidRPr="008D41B9">
              <w:rPr>
                <w:rStyle w:val="Hyperlink"/>
                <w:noProof/>
              </w:rPr>
              <w:t>3.2.2 Credit Policy Tightening</w:t>
            </w:r>
            <w:r w:rsidR="00B86DBF">
              <w:rPr>
                <w:noProof/>
                <w:webHidden/>
              </w:rPr>
              <w:tab/>
            </w:r>
            <w:r w:rsidR="00B86DBF">
              <w:rPr>
                <w:noProof/>
                <w:webHidden/>
              </w:rPr>
              <w:fldChar w:fldCharType="begin"/>
            </w:r>
            <w:r w:rsidR="00B86DBF">
              <w:rPr>
                <w:noProof/>
                <w:webHidden/>
              </w:rPr>
              <w:instrText xml:space="preserve"> PAGEREF _Toc217264694 \h </w:instrText>
            </w:r>
            <w:r w:rsidR="00B86DBF">
              <w:rPr>
                <w:noProof/>
                <w:webHidden/>
              </w:rPr>
            </w:r>
            <w:r w:rsidR="00B86DBF">
              <w:rPr>
                <w:noProof/>
                <w:webHidden/>
              </w:rPr>
              <w:fldChar w:fldCharType="separate"/>
            </w:r>
            <w:r w:rsidR="00B86DBF">
              <w:rPr>
                <w:noProof/>
                <w:webHidden/>
              </w:rPr>
              <w:t>11</w:t>
            </w:r>
            <w:r w:rsidR="00B86DBF">
              <w:rPr>
                <w:noProof/>
                <w:webHidden/>
              </w:rPr>
              <w:fldChar w:fldCharType="end"/>
            </w:r>
          </w:hyperlink>
        </w:p>
        <w:p w14:paraId="606FE2F2" w14:textId="24091229" w:rsidR="00B86DBF" w:rsidRDefault="001C1424">
          <w:pPr>
            <w:pStyle w:val="TOC3"/>
            <w:tabs>
              <w:tab w:val="right" w:leader="dot" w:pos="9016"/>
            </w:tabs>
            <w:rPr>
              <w:rFonts w:asciiTheme="minorHAnsi" w:eastAsiaTheme="minorEastAsia" w:hAnsiTheme="minorHAnsi"/>
              <w:noProof/>
              <w:lang w:val="en-US"/>
            </w:rPr>
          </w:pPr>
          <w:hyperlink w:anchor="_Toc217264695" w:history="1">
            <w:r w:rsidR="00B86DBF" w:rsidRPr="008D41B9">
              <w:rPr>
                <w:rStyle w:val="Hyperlink"/>
                <w:noProof/>
              </w:rPr>
              <w:t>3.2.3 Supplier Renegotiation</w:t>
            </w:r>
            <w:r w:rsidR="00B86DBF">
              <w:rPr>
                <w:noProof/>
                <w:webHidden/>
              </w:rPr>
              <w:tab/>
            </w:r>
            <w:r w:rsidR="00B86DBF">
              <w:rPr>
                <w:noProof/>
                <w:webHidden/>
              </w:rPr>
              <w:fldChar w:fldCharType="begin"/>
            </w:r>
            <w:r w:rsidR="00B86DBF">
              <w:rPr>
                <w:noProof/>
                <w:webHidden/>
              </w:rPr>
              <w:instrText xml:space="preserve"> PAGEREF _Toc217264695 \h </w:instrText>
            </w:r>
            <w:r w:rsidR="00B86DBF">
              <w:rPr>
                <w:noProof/>
                <w:webHidden/>
              </w:rPr>
            </w:r>
            <w:r w:rsidR="00B86DBF">
              <w:rPr>
                <w:noProof/>
                <w:webHidden/>
              </w:rPr>
              <w:fldChar w:fldCharType="separate"/>
            </w:r>
            <w:r w:rsidR="00B86DBF">
              <w:rPr>
                <w:noProof/>
                <w:webHidden/>
              </w:rPr>
              <w:t>11</w:t>
            </w:r>
            <w:r w:rsidR="00B86DBF">
              <w:rPr>
                <w:noProof/>
                <w:webHidden/>
              </w:rPr>
              <w:fldChar w:fldCharType="end"/>
            </w:r>
          </w:hyperlink>
        </w:p>
        <w:p w14:paraId="3F625ABF" w14:textId="2B0D49EC" w:rsidR="00B86DBF" w:rsidRDefault="001C1424">
          <w:pPr>
            <w:pStyle w:val="TOC3"/>
            <w:tabs>
              <w:tab w:val="right" w:leader="dot" w:pos="9016"/>
            </w:tabs>
            <w:rPr>
              <w:rFonts w:asciiTheme="minorHAnsi" w:eastAsiaTheme="minorEastAsia" w:hAnsiTheme="minorHAnsi"/>
              <w:noProof/>
              <w:lang w:val="en-US"/>
            </w:rPr>
          </w:pPr>
          <w:hyperlink w:anchor="_Toc217264696" w:history="1">
            <w:r w:rsidR="00B86DBF" w:rsidRPr="008D41B9">
              <w:rPr>
                <w:rStyle w:val="Hyperlink"/>
                <w:noProof/>
              </w:rPr>
              <w:t>3.2.4 Centralised Cash Management</w:t>
            </w:r>
            <w:r w:rsidR="00B86DBF">
              <w:rPr>
                <w:noProof/>
                <w:webHidden/>
              </w:rPr>
              <w:tab/>
            </w:r>
            <w:r w:rsidR="00B86DBF">
              <w:rPr>
                <w:noProof/>
                <w:webHidden/>
              </w:rPr>
              <w:fldChar w:fldCharType="begin"/>
            </w:r>
            <w:r w:rsidR="00B86DBF">
              <w:rPr>
                <w:noProof/>
                <w:webHidden/>
              </w:rPr>
              <w:instrText xml:space="preserve"> PAGEREF _Toc217264696 \h </w:instrText>
            </w:r>
            <w:r w:rsidR="00B86DBF">
              <w:rPr>
                <w:noProof/>
                <w:webHidden/>
              </w:rPr>
            </w:r>
            <w:r w:rsidR="00B86DBF">
              <w:rPr>
                <w:noProof/>
                <w:webHidden/>
              </w:rPr>
              <w:fldChar w:fldCharType="separate"/>
            </w:r>
            <w:r w:rsidR="00B86DBF">
              <w:rPr>
                <w:noProof/>
                <w:webHidden/>
              </w:rPr>
              <w:t>12</w:t>
            </w:r>
            <w:r w:rsidR="00B86DBF">
              <w:rPr>
                <w:noProof/>
                <w:webHidden/>
              </w:rPr>
              <w:fldChar w:fldCharType="end"/>
            </w:r>
          </w:hyperlink>
        </w:p>
        <w:p w14:paraId="3B401C64" w14:textId="3649AEE7" w:rsidR="00B86DBF" w:rsidRDefault="001C1424">
          <w:pPr>
            <w:pStyle w:val="TOC2"/>
            <w:tabs>
              <w:tab w:val="right" w:leader="dot" w:pos="9016"/>
            </w:tabs>
            <w:rPr>
              <w:rFonts w:asciiTheme="minorHAnsi" w:eastAsiaTheme="minorEastAsia" w:hAnsiTheme="minorHAnsi"/>
              <w:noProof/>
              <w:lang w:val="en-US"/>
            </w:rPr>
          </w:pPr>
          <w:hyperlink w:anchor="_Toc217264697" w:history="1">
            <w:r w:rsidR="00B86DBF" w:rsidRPr="008D41B9">
              <w:rPr>
                <w:rStyle w:val="Hyperlink"/>
                <w:noProof/>
              </w:rPr>
              <w:t>3.3 Financing Options: Short-Term vs Long-Term</w:t>
            </w:r>
            <w:r w:rsidR="00B86DBF">
              <w:rPr>
                <w:noProof/>
                <w:webHidden/>
              </w:rPr>
              <w:tab/>
            </w:r>
            <w:r w:rsidR="00B86DBF">
              <w:rPr>
                <w:noProof/>
                <w:webHidden/>
              </w:rPr>
              <w:fldChar w:fldCharType="begin"/>
            </w:r>
            <w:r w:rsidR="00B86DBF">
              <w:rPr>
                <w:noProof/>
                <w:webHidden/>
              </w:rPr>
              <w:instrText xml:space="preserve"> PAGEREF _Toc217264697 \h </w:instrText>
            </w:r>
            <w:r w:rsidR="00B86DBF">
              <w:rPr>
                <w:noProof/>
                <w:webHidden/>
              </w:rPr>
            </w:r>
            <w:r w:rsidR="00B86DBF">
              <w:rPr>
                <w:noProof/>
                <w:webHidden/>
              </w:rPr>
              <w:fldChar w:fldCharType="separate"/>
            </w:r>
            <w:r w:rsidR="00B86DBF">
              <w:rPr>
                <w:noProof/>
                <w:webHidden/>
              </w:rPr>
              <w:t>12</w:t>
            </w:r>
            <w:r w:rsidR="00B86DBF">
              <w:rPr>
                <w:noProof/>
                <w:webHidden/>
              </w:rPr>
              <w:fldChar w:fldCharType="end"/>
            </w:r>
          </w:hyperlink>
        </w:p>
        <w:p w14:paraId="258DFB5A" w14:textId="5F41F30F" w:rsidR="00B86DBF" w:rsidRDefault="001C1424">
          <w:pPr>
            <w:pStyle w:val="TOC1"/>
            <w:tabs>
              <w:tab w:val="right" w:leader="dot" w:pos="9016"/>
            </w:tabs>
            <w:rPr>
              <w:rFonts w:asciiTheme="minorHAnsi" w:eastAsiaTheme="minorEastAsia" w:hAnsiTheme="minorHAnsi"/>
              <w:noProof/>
              <w:lang w:val="en-US"/>
            </w:rPr>
          </w:pPr>
          <w:hyperlink w:anchor="_Toc217264698" w:history="1">
            <w:r w:rsidR="00B86DBF" w:rsidRPr="008D41B9">
              <w:rPr>
                <w:rStyle w:val="Hyperlink"/>
                <w:noProof/>
              </w:rPr>
              <w:t>4. Strategic Financial Restructuring Plan</w:t>
            </w:r>
            <w:r w:rsidR="00B86DBF">
              <w:rPr>
                <w:noProof/>
                <w:webHidden/>
              </w:rPr>
              <w:tab/>
            </w:r>
            <w:r w:rsidR="00B86DBF">
              <w:rPr>
                <w:noProof/>
                <w:webHidden/>
              </w:rPr>
              <w:fldChar w:fldCharType="begin"/>
            </w:r>
            <w:r w:rsidR="00B86DBF">
              <w:rPr>
                <w:noProof/>
                <w:webHidden/>
              </w:rPr>
              <w:instrText xml:space="preserve"> PAGEREF _Toc217264698 \h </w:instrText>
            </w:r>
            <w:r w:rsidR="00B86DBF">
              <w:rPr>
                <w:noProof/>
                <w:webHidden/>
              </w:rPr>
            </w:r>
            <w:r w:rsidR="00B86DBF">
              <w:rPr>
                <w:noProof/>
                <w:webHidden/>
              </w:rPr>
              <w:fldChar w:fldCharType="separate"/>
            </w:r>
            <w:r w:rsidR="00B86DBF">
              <w:rPr>
                <w:noProof/>
                <w:webHidden/>
              </w:rPr>
              <w:t>13</w:t>
            </w:r>
            <w:r w:rsidR="00B86DBF">
              <w:rPr>
                <w:noProof/>
                <w:webHidden/>
              </w:rPr>
              <w:fldChar w:fldCharType="end"/>
            </w:r>
          </w:hyperlink>
        </w:p>
        <w:p w14:paraId="52F06910" w14:textId="78F9A034" w:rsidR="00B86DBF" w:rsidRDefault="001C1424">
          <w:pPr>
            <w:pStyle w:val="TOC2"/>
            <w:tabs>
              <w:tab w:val="right" w:leader="dot" w:pos="9016"/>
            </w:tabs>
            <w:rPr>
              <w:rFonts w:asciiTheme="minorHAnsi" w:eastAsiaTheme="minorEastAsia" w:hAnsiTheme="minorHAnsi"/>
              <w:noProof/>
              <w:lang w:val="en-US"/>
            </w:rPr>
          </w:pPr>
          <w:hyperlink w:anchor="_Toc217264699" w:history="1">
            <w:r w:rsidR="00B86DBF" w:rsidRPr="008D41B9">
              <w:rPr>
                <w:rStyle w:val="Hyperlink"/>
                <w:noProof/>
              </w:rPr>
              <w:t>4.1 Evaluation of Financial Restructuring Options</w:t>
            </w:r>
            <w:r w:rsidR="00B86DBF">
              <w:rPr>
                <w:noProof/>
                <w:webHidden/>
              </w:rPr>
              <w:tab/>
            </w:r>
            <w:r w:rsidR="00B86DBF">
              <w:rPr>
                <w:noProof/>
                <w:webHidden/>
              </w:rPr>
              <w:fldChar w:fldCharType="begin"/>
            </w:r>
            <w:r w:rsidR="00B86DBF">
              <w:rPr>
                <w:noProof/>
                <w:webHidden/>
              </w:rPr>
              <w:instrText xml:space="preserve"> PAGEREF _Toc217264699 \h </w:instrText>
            </w:r>
            <w:r w:rsidR="00B86DBF">
              <w:rPr>
                <w:noProof/>
                <w:webHidden/>
              </w:rPr>
            </w:r>
            <w:r w:rsidR="00B86DBF">
              <w:rPr>
                <w:noProof/>
                <w:webHidden/>
              </w:rPr>
              <w:fldChar w:fldCharType="separate"/>
            </w:r>
            <w:r w:rsidR="00B86DBF">
              <w:rPr>
                <w:noProof/>
                <w:webHidden/>
              </w:rPr>
              <w:t>13</w:t>
            </w:r>
            <w:r w:rsidR="00B86DBF">
              <w:rPr>
                <w:noProof/>
                <w:webHidden/>
              </w:rPr>
              <w:fldChar w:fldCharType="end"/>
            </w:r>
          </w:hyperlink>
        </w:p>
        <w:p w14:paraId="6BFB5B95" w14:textId="2BD6BA06" w:rsidR="00B86DBF" w:rsidRDefault="001C1424">
          <w:pPr>
            <w:pStyle w:val="TOC3"/>
            <w:tabs>
              <w:tab w:val="right" w:leader="dot" w:pos="9016"/>
            </w:tabs>
            <w:rPr>
              <w:rFonts w:asciiTheme="minorHAnsi" w:eastAsiaTheme="minorEastAsia" w:hAnsiTheme="minorHAnsi"/>
              <w:noProof/>
              <w:lang w:val="en-US"/>
            </w:rPr>
          </w:pPr>
          <w:hyperlink w:anchor="_Toc217264700" w:history="1">
            <w:r w:rsidR="00B86DBF" w:rsidRPr="008D41B9">
              <w:rPr>
                <w:rStyle w:val="Hyperlink"/>
                <w:noProof/>
              </w:rPr>
              <w:t>4.1.1 Asset Divestment</w:t>
            </w:r>
            <w:r w:rsidR="00B86DBF">
              <w:rPr>
                <w:noProof/>
                <w:webHidden/>
              </w:rPr>
              <w:tab/>
            </w:r>
            <w:r w:rsidR="00B86DBF">
              <w:rPr>
                <w:noProof/>
                <w:webHidden/>
              </w:rPr>
              <w:fldChar w:fldCharType="begin"/>
            </w:r>
            <w:r w:rsidR="00B86DBF">
              <w:rPr>
                <w:noProof/>
                <w:webHidden/>
              </w:rPr>
              <w:instrText xml:space="preserve"> PAGEREF _Toc217264700 \h </w:instrText>
            </w:r>
            <w:r w:rsidR="00B86DBF">
              <w:rPr>
                <w:noProof/>
                <w:webHidden/>
              </w:rPr>
            </w:r>
            <w:r w:rsidR="00B86DBF">
              <w:rPr>
                <w:noProof/>
                <w:webHidden/>
              </w:rPr>
              <w:fldChar w:fldCharType="separate"/>
            </w:r>
            <w:r w:rsidR="00B86DBF">
              <w:rPr>
                <w:noProof/>
                <w:webHidden/>
              </w:rPr>
              <w:t>13</w:t>
            </w:r>
            <w:r w:rsidR="00B86DBF">
              <w:rPr>
                <w:noProof/>
                <w:webHidden/>
              </w:rPr>
              <w:fldChar w:fldCharType="end"/>
            </w:r>
          </w:hyperlink>
        </w:p>
        <w:p w14:paraId="24F55BFD" w14:textId="2E0CAE51" w:rsidR="00B86DBF" w:rsidRDefault="001C1424">
          <w:pPr>
            <w:pStyle w:val="TOC3"/>
            <w:tabs>
              <w:tab w:val="right" w:leader="dot" w:pos="9016"/>
            </w:tabs>
            <w:rPr>
              <w:rFonts w:asciiTheme="minorHAnsi" w:eastAsiaTheme="minorEastAsia" w:hAnsiTheme="minorHAnsi"/>
              <w:noProof/>
              <w:lang w:val="en-US"/>
            </w:rPr>
          </w:pPr>
          <w:hyperlink w:anchor="_Toc217264701" w:history="1">
            <w:r w:rsidR="00B86DBF" w:rsidRPr="008D41B9">
              <w:rPr>
                <w:rStyle w:val="Hyperlink"/>
                <w:noProof/>
              </w:rPr>
              <w:t>4.1.2 Equity Injection</w:t>
            </w:r>
            <w:r w:rsidR="00B86DBF">
              <w:rPr>
                <w:noProof/>
                <w:webHidden/>
              </w:rPr>
              <w:tab/>
            </w:r>
            <w:r w:rsidR="00B86DBF">
              <w:rPr>
                <w:noProof/>
                <w:webHidden/>
              </w:rPr>
              <w:fldChar w:fldCharType="begin"/>
            </w:r>
            <w:r w:rsidR="00B86DBF">
              <w:rPr>
                <w:noProof/>
                <w:webHidden/>
              </w:rPr>
              <w:instrText xml:space="preserve"> PAGEREF _Toc217264701 \h </w:instrText>
            </w:r>
            <w:r w:rsidR="00B86DBF">
              <w:rPr>
                <w:noProof/>
                <w:webHidden/>
              </w:rPr>
            </w:r>
            <w:r w:rsidR="00B86DBF">
              <w:rPr>
                <w:noProof/>
                <w:webHidden/>
              </w:rPr>
              <w:fldChar w:fldCharType="separate"/>
            </w:r>
            <w:r w:rsidR="00B86DBF">
              <w:rPr>
                <w:noProof/>
                <w:webHidden/>
              </w:rPr>
              <w:t>14</w:t>
            </w:r>
            <w:r w:rsidR="00B86DBF">
              <w:rPr>
                <w:noProof/>
                <w:webHidden/>
              </w:rPr>
              <w:fldChar w:fldCharType="end"/>
            </w:r>
          </w:hyperlink>
        </w:p>
        <w:p w14:paraId="73D6D24C" w14:textId="7A919E02" w:rsidR="00B86DBF" w:rsidRDefault="001C1424">
          <w:pPr>
            <w:pStyle w:val="TOC3"/>
            <w:tabs>
              <w:tab w:val="right" w:leader="dot" w:pos="9016"/>
            </w:tabs>
            <w:rPr>
              <w:rFonts w:asciiTheme="minorHAnsi" w:eastAsiaTheme="minorEastAsia" w:hAnsiTheme="minorHAnsi"/>
              <w:noProof/>
              <w:lang w:val="en-US"/>
            </w:rPr>
          </w:pPr>
          <w:hyperlink w:anchor="_Toc217264702" w:history="1">
            <w:r w:rsidR="00B86DBF" w:rsidRPr="008D41B9">
              <w:rPr>
                <w:rStyle w:val="Hyperlink"/>
                <w:noProof/>
              </w:rPr>
              <w:t>4.1.3 Debt Restructuring</w:t>
            </w:r>
            <w:r w:rsidR="00B86DBF">
              <w:rPr>
                <w:noProof/>
                <w:webHidden/>
              </w:rPr>
              <w:tab/>
            </w:r>
            <w:r w:rsidR="00B86DBF">
              <w:rPr>
                <w:noProof/>
                <w:webHidden/>
              </w:rPr>
              <w:fldChar w:fldCharType="begin"/>
            </w:r>
            <w:r w:rsidR="00B86DBF">
              <w:rPr>
                <w:noProof/>
                <w:webHidden/>
              </w:rPr>
              <w:instrText xml:space="preserve"> PAGEREF _Toc217264702 \h </w:instrText>
            </w:r>
            <w:r w:rsidR="00B86DBF">
              <w:rPr>
                <w:noProof/>
                <w:webHidden/>
              </w:rPr>
            </w:r>
            <w:r w:rsidR="00B86DBF">
              <w:rPr>
                <w:noProof/>
                <w:webHidden/>
              </w:rPr>
              <w:fldChar w:fldCharType="separate"/>
            </w:r>
            <w:r w:rsidR="00B86DBF">
              <w:rPr>
                <w:noProof/>
                <w:webHidden/>
              </w:rPr>
              <w:t>14</w:t>
            </w:r>
            <w:r w:rsidR="00B86DBF">
              <w:rPr>
                <w:noProof/>
                <w:webHidden/>
              </w:rPr>
              <w:fldChar w:fldCharType="end"/>
            </w:r>
          </w:hyperlink>
        </w:p>
        <w:p w14:paraId="134EA233" w14:textId="069BD98E" w:rsidR="00B86DBF" w:rsidRDefault="001C1424">
          <w:pPr>
            <w:pStyle w:val="TOC3"/>
            <w:tabs>
              <w:tab w:val="right" w:leader="dot" w:pos="9016"/>
            </w:tabs>
            <w:rPr>
              <w:rFonts w:asciiTheme="minorHAnsi" w:eastAsiaTheme="minorEastAsia" w:hAnsiTheme="minorHAnsi"/>
              <w:noProof/>
              <w:lang w:val="en-US"/>
            </w:rPr>
          </w:pPr>
          <w:hyperlink w:anchor="_Toc217264703" w:history="1">
            <w:r w:rsidR="00B86DBF" w:rsidRPr="008D41B9">
              <w:rPr>
                <w:rStyle w:val="Hyperlink"/>
                <w:noProof/>
              </w:rPr>
              <w:t>4.1.4 Strategic Alliance or Merger</w:t>
            </w:r>
            <w:r w:rsidR="00B86DBF">
              <w:rPr>
                <w:noProof/>
                <w:webHidden/>
              </w:rPr>
              <w:tab/>
            </w:r>
            <w:r w:rsidR="00B86DBF">
              <w:rPr>
                <w:noProof/>
                <w:webHidden/>
              </w:rPr>
              <w:fldChar w:fldCharType="begin"/>
            </w:r>
            <w:r w:rsidR="00B86DBF">
              <w:rPr>
                <w:noProof/>
                <w:webHidden/>
              </w:rPr>
              <w:instrText xml:space="preserve"> PAGEREF _Toc217264703 \h </w:instrText>
            </w:r>
            <w:r w:rsidR="00B86DBF">
              <w:rPr>
                <w:noProof/>
                <w:webHidden/>
              </w:rPr>
            </w:r>
            <w:r w:rsidR="00B86DBF">
              <w:rPr>
                <w:noProof/>
                <w:webHidden/>
              </w:rPr>
              <w:fldChar w:fldCharType="separate"/>
            </w:r>
            <w:r w:rsidR="00B86DBF">
              <w:rPr>
                <w:noProof/>
                <w:webHidden/>
              </w:rPr>
              <w:t>14</w:t>
            </w:r>
            <w:r w:rsidR="00B86DBF">
              <w:rPr>
                <w:noProof/>
                <w:webHidden/>
              </w:rPr>
              <w:fldChar w:fldCharType="end"/>
            </w:r>
          </w:hyperlink>
        </w:p>
        <w:p w14:paraId="4AB14A48" w14:textId="2A49CFD2" w:rsidR="00B86DBF" w:rsidRDefault="001C1424">
          <w:pPr>
            <w:pStyle w:val="TOC2"/>
            <w:tabs>
              <w:tab w:val="right" w:leader="dot" w:pos="9016"/>
            </w:tabs>
            <w:rPr>
              <w:rFonts w:asciiTheme="minorHAnsi" w:eastAsiaTheme="minorEastAsia" w:hAnsiTheme="minorHAnsi"/>
              <w:noProof/>
              <w:lang w:val="en-US"/>
            </w:rPr>
          </w:pPr>
          <w:hyperlink w:anchor="_Toc217264704" w:history="1">
            <w:r w:rsidR="00B86DBF" w:rsidRPr="008D41B9">
              <w:rPr>
                <w:rStyle w:val="Hyperlink"/>
                <w:noProof/>
              </w:rPr>
              <w:t>4.2 Impact Analysis of Restructuring Options</w:t>
            </w:r>
            <w:r w:rsidR="00B86DBF">
              <w:rPr>
                <w:noProof/>
                <w:webHidden/>
              </w:rPr>
              <w:tab/>
            </w:r>
            <w:r w:rsidR="00B86DBF">
              <w:rPr>
                <w:noProof/>
                <w:webHidden/>
              </w:rPr>
              <w:fldChar w:fldCharType="begin"/>
            </w:r>
            <w:r w:rsidR="00B86DBF">
              <w:rPr>
                <w:noProof/>
                <w:webHidden/>
              </w:rPr>
              <w:instrText xml:space="preserve"> PAGEREF _Toc217264704 \h </w:instrText>
            </w:r>
            <w:r w:rsidR="00B86DBF">
              <w:rPr>
                <w:noProof/>
                <w:webHidden/>
              </w:rPr>
            </w:r>
            <w:r w:rsidR="00B86DBF">
              <w:rPr>
                <w:noProof/>
                <w:webHidden/>
              </w:rPr>
              <w:fldChar w:fldCharType="separate"/>
            </w:r>
            <w:r w:rsidR="00B86DBF">
              <w:rPr>
                <w:noProof/>
                <w:webHidden/>
              </w:rPr>
              <w:t>15</w:t>
            </w:r>
            <w:r w:rsidR="00B86DBF">
              <w:rPr>
                <w:noProof/>
                <w:webHidden/>
              </w:rPr>
              <w:fldChar w:fldCharType="end"/>
            </w:r>
          </w:hyperlink>
        </w:p>
        <w:p w14:paraId="0E7B7823" w14:textId="2D442105" w:rsidR="00B86DBF" w:rsidRDefault="001C1424">
          <w:pPr>
            <w:pStyle w:val="TOC3"/>
            <w:tabs>
              <w:tab w:val="right" w:leader="dot" w:pos="9016"/>
            </w:tabs>
            <w:rPr>
              <w:rFonts w:asciiTheme="minorHAnsi" w:eastAsiaTheme="minorEastAsia" w:hAnsiTheme="minorHAnsi"/>
              <w:noProof/>
              <w:lang w:val="en-US"/>
            </w:rPr>
          </w:pPr>
          <w:hyperlink w:anchor="_Toc217264705" w:history="1">
            <w:r w:rsidR="00B86DBF" w:rsidRPr="008D41B9">
              <w:rPr>
                <w:rStyle w:val="Hyperlink"/>
                <w:noProof/>
              </w:rPr>
              <w:t>4.2.1 Impact on Shareholder Value</w:t>
            </w:r>
            <w:r w:rsidR="00B86DBF">
              <w:rPr>
                <w:noProof/>
                <w:webHidden/>
              </w:rPr>
              <w:tab/>
            </w:r>
            <w:r w:rsidR="00B86DBF">
              <w:rPr>
                <w:noProof/>
                <w:webHidden/>
              </w:rPr>
              <w:fldChar w:fldCharType="begin"/>
            </w:r>
            <w:r w:rsidR="00B86DBF">
              <w:rPr>
                <w:noProof/>
                <w:webHidden/>
              </w:rPr>
              <w:instrText xml:space="preserve"> PAGEREF _Toc217264705 \h </w:instrText>
            </w:r>
            <w:r w:rsidR="00B86DBF">
              <w:rPr>
                <w:noProof/>
                <w:webHidden/>
              </w:rPr>
            </w:r>
            <w:r w:rsidR="00B86DBF">
              <w:rPr>
                <w:noProof/>
                <w:webHidden/>
              </w:rPr>
              <w:fldChar w:fldCharType="separate"/>
            </w:r>
            <w:r w:rsidR="00B86DBF">
              <w:rPr>
                <w:noProof/>
                <w:webHidden/>
              </w:rPr>
              <w:t>15</w:t>
            </w:r>
            <w:r w:rsidR="00B86DBF">
              <w:rPr>
                <w:noProof/>
                <w:webHidden/>
              </w:rPr>
              <w:fldChar w:fldCharType="end"/>
            </w:r>
          </w:hyperlink>
        </w:p>
        <w:p w14:paraId="31BC913C" w14:textId="68B60790" w:rsidR="00B86DBF" w:rsidRDefault="001C1424">
          <w:pPr>
            <w:pStyle w:val="TOC3"/>
            <w:tabs>
              <w:tab w:val="right" w:leader="dot" w:pos="9016"/>
            </w:tabs>
            <w:rPr>
              <w:rFonts w:asciiTheme="minorHAnsi" w:eastAsiaTheme="minorEastAsia" w:hAnsiTheme="minorHAnsi"/>
              <w:noProof/>
              <w:lang w:val="en-US"/>
            </w:rPr>
          </w:pPr>
          <w:hyperlink w:anchor="_Toc217264706" w:history="1">
            <w:r w:rsidR="00B86DBF" w:rsidRPr="008D41B9">
              <w:rPr>
                <w:rStyle w:val="Hyperlink"/>
                <w:noProof/>
              </w:rPr>
              <w:t>4.2.2 Impact on Capital Structure</w:t>
            </w:r>
            <w:r w:rsidR="00B86DBF">
              <w:rPr>
                <w:noProof/>
                <w:webHidden/>
              </w:rPr>
              <w:tab/>
            </w:r>
            <w:r w:rsidR="00B86DBF">
              <w:rPr>
                <w:noProof/>
                <w:webHidden/>
              </w:rPr>
              <w:fldChar w:fldCharType="begin"/>
            </w:r>
            <w:r w:rsidR="00B86DBF">
              <w:rPr>
                <w:noProof/>
                <w:webHidden/>
              </w:rPr>
              <w:instrText xml:space="preserve"> PAGEREF _Toc217264706 \h </w:instrText>
            </w:r>
            <w:r w:rsidR="00B86DBF">
              <w:rPr>
                <w:noProof/>
                <w:webHidden/>
              </w:rPr>
            </w:r>
            <w:r w:rsidR="00B86DBF">
              <w:rPr>
                <w:noProof/>
                <w:webHidden/>
              </w:rPr>
              <w:fldChar w:fldCharType="separate"/>
            </w:r>
            <w:r w:rsidR="00B86DBF">
              <w:rPr>
                <w:noProof/>
                <w:webHidden/>
              </w:rPr>
              <w:t>15</w:t>
            </w:r>
            <w:r w:rsidR="00B86DBF">
              <w:rPr>
                <w:noProof/>
                <w:webHidden/>
              </w:rPr>
              <w:fldChar w:fldCharType="end"/>
            </w:r>
          </w:hyperlink>
        </w:p>
        <w:p w14:paraId="2A1C7F51" w14:textId="6BD01BD9" w:rsidR="00B86DBF" w:rsidRDefault="001C1424">
          <w:pPr>
            <w:pStyle w:val="TOC3"/>
            <w:tabs>
              <w:tab w:val="right" w:leader="dot" w:pos="9016"/>
            </w:tabs>
            <w:rPr>
              <w:rFonts w:asciiTheme="minorHAnsi" w:eastAsiaTheme="minorEastAsia" w:hAnsiTheme="minorHAnsi"/>
              <w:noProof/>
              <w:lang w:val="en-US"/>
            </w:rPr>
          </w:pPr>
          <w:hyperlink w:anchor="_Toc217264707" w:history="1">
            <w:r w:rsidR="00B86DBF" w:rsidRPr="008D41B9">
              <w:rPr>
                <w:rStyle w:val="Hyperlink"/>
                <w:noProof/>
              </w:rPr>
              <w:t>4.2.3 Effect of Operational Flexibility</w:t>
            </w:r>
            <w:r w:rsidR="00B86DBF">
              <w:rPr>
                <w:noProof/>
                <w:webHidden/>
              </w:rPr>
              <w:tab/>
            </w:r>
            <w:r w:rsidR="00B86DBF">
              <w:rPr>
                <w:noProof/>
                <w:webHidden/>
              </w:rPr>
              <w:fldChar w:fldCharType="begin"/>
            </w:r>
            <w:r w:rsidR="00B86DBF">
              <w:rPr>
                <w:noProof/>
                <w:webHidden/>
              </w:rPr>
              <w:instrText xml:space="preserve"> PAGEREF _Toc217264707 \h </w:instrText>
            </w:r>
            <w:r w:rsidR="00B86DBF">
              <w:rPr>
                <w:noProof/>
                <w:webHidden/>
              </w:rPr>
            </w:r>
            <w:r w:rsidR="00B86DBF">
              <w:rPr>
                <w:noProof/>
                <w:webHidden/>
              </w:rPr>
              <w:fldChar w:fldCharType="separate"/>
            </w:r>
            <w:r w:rsidR="00B86DBF">
              <w:rPr>
                <w:noProof/>
                <w:webHidden/>
              </w:rPr>
              <w:t>15</w:t>
            </w:r>
            <w:r w:rsidR="00B86DBF">
              <w:rPr>
                <w:noProof/>
                <w:webHidden/>
              </w:rPr>
              <w:fldChar w:fldCharType="end"/>
            </w:r>
          </w:hyperlink>
        </w:p>
        <w:p w14:paraId="224D1C12" w14:textId="27E3DA79" w:rsidR="00B86DBF" w:rsidRDefault="001C1424">
          <w:pPr>
            <w:pStyle w:val="TOC2"/>
            <w:tabs>
              <w:tab w:val="right" w:leader="dot" w:pos="9016"/>
            </w:tabs>
            <w:rPr>
              <w:rFonts w:asciiTheme="minorHAnsi" w:eastAsiaTheme="minorEastAsia" w:hAnsiTheme="minorHAnsi"/>
              <w:noProof/>
              <w:lang w:val="en-US"/>
            </w:rPr>
          </w:pPr>
          <w:hyperlink w:anchor="_Toc217264708" w:history="1">
            <w:r w:rsidR="00B86DBF" w:rsidRPr="008D41B9">
              <w:rPr>
                <w:rStyle w:val="Hyperlink"/>
                <w:noProof/>
              </w:rPr>
              <w:t>4.3 International and Ethical Considerations</w:t>
            </w:r>
            <w:r w:rsidR="00B86DBF">
              <w:rPr>
                <w:noProof/>
                <w:webHidden/>
              </w:rPr>
              <w:tab/>
            </w:r>
            <w:r w:rsidR="00B86DBF">
              <w:rPr>
                <w:noProof/>
                <w:webHidden/>
              </w:rPr>
              <w:fldChar w:fldCharType="begin"/>
            </w:r>
            <w:r w:rsidR="00B86DBF">
              <w:rPr>
                <w:noProof/>
                <w:webHidden/>
              </w:rPr>
              <w:instrText xml:space="preserve"> PAGEREF _Toc217264708 \h </w:instrText>
            </w:r>
            <w:r w:rsidR="00B86DBF">
              <w:rPr>
                <w:noProof/>
                <w:webHidden/>
              </w:rPr>
            </w:r>
            <w:r w:rsidR="00B86DBF">
              <w:rPr>
                <w:noProof/>
                <w:webHidden/>
              </w:rPr>
              <w:fldChar w:fldCharType="separate"/>
            </w:r>
            <w:r w:rsidR="00B86DBF">
              <w:rPr>
                <w:noProof/>
                <w:webHidden/>
              </w:rPr>
              <w:t>16</w:t>
            </w:r>
            <w:r w:rsidR="00B86DBF">
              <w:rPr>
                <w:noProof/>
                <w:webHidden/>
              </w:rPr>
              <w:fldChar w:fldCharType="end"/>
            </w:r>
          </w:hyperlink>
        </w:p>
        <w:p w14:paraId="033AA99F" w14:textId="3A4B0D8A" w:rsidR="00B86DBF" w:rsidRDefault="001C1424">
          <w:pPr>
            <w:pStyle w:val="TOC3"/>
            <w:tabs>
              <w:tab w:val="right" w:leader="dot" w:pos="9016"/>
            </w:tabs>
            <w:rPr>
              <w:rFonts w:asciiTheme="minorHAnsi" w:eastAsiaTheme="minorEastAsia" w:hAnsiTheme="minorHAnsi"/>
              <w:noProof/>
              <w:lang w:val="en-US"/>
            </w:rPr>
          </w:pPr>
          <w:hyperlink w:anchor="_Toc217264709" w:history="1">
            <w:r w:rsidR="00B86DBF" w:rsidRPr="008D41B9">
              <w:rPr>
                <w:rStyle w:val="Hyperlink"/>
                <w:noProof/>
              </w:rPr>
              <w:t>4.3.1 Currency Risk</w:t>
            </w:r>
            <w:r w:rsidR="00B86DBF">
              <w:rPr>
                <w:noProof/>
                <w:webHidden/>
              </w:rPr>
              <w:tab/>
            </w:r>
            <w:r w:rsidR="00B86DBF">
              <w:rPr>
                <w:noProof/>
                <w:webHidden/>
              </w:rPr>
              <w:fldChar w:fldCharType="begin"/>
            </w:r>
            <w:r w:rsidR="00B86DBF">
              <w:rPr>
                <w:noProof/>
                <w:webHidden/>
              </w:rPr>
              <w:instrText xml:space="preserve"> PAGEREF _Toc217264709 \h </w:instrText>
            </w:r>
            <w:r w:rsidR="00B86DBF">
              <w:rPr>
                <w:noProof/>
                <w:webHidden/>
              </w:rPr>
            </w:r>
            <w:r w:rsidR="00B86DBF">
              <w:rPr>
                <w:noProof/>
                <w:webHidden/>
              </w:rPr>
              <w:fldChar w:fldCharType="separate"/>
            </w:r>
            <w:r w:rsidR="00B86DBF">
              <w:rPr>
                <w:noProof/>
                <w:webHidden/>
              </w:rPr>
              <w:t>16</w:t>
            </w:r>
            <w:r w:rsidR="00B86DBF">
              <w:rPr>
                <w:noProof/>
                <w:webHidden/>
              </w:rPr>
              <w:fldChar w:fldCharType="end"/>
            </w:r>
          </w:hyperlink>
        </w:p>
        <w:p w14:paraId="7C89EC62" w14:textId="4DFF4403" w:rsidR="00B86DBF" w:rsidRDefault="001C1424">
          <w:pPr>
            <w:pStyle w:val="TOC3"/>
            <w:tabs>
              <w:tab w:val="right" w:leader="dot" w:pos="9016"/>
            </w:tabs>
            <w:rPr>
              <w:rFonts w:asciiTheme="minorHAnsi" w:eastAsiaTheme="minorEastAsia" w:hAnsiTheme="minorHAnsi"/>
              <w:noProof/>
              <w:lang w:val="en-US"/>
            </w:rPr>
          </w:pPr>
          <w:hyperlink w:anchor="_Toc217264710" w:history="1">
            <w:r w:rsidR="00B86DBF" w:rsidRPr="008D41B9">
              <w:rPr>
                <w:rStyle w:val="Hyperlink"/>
                <w:noProof/>
              </w:rPr>
              <w:t>4.3.2 Inflation Risk</w:t>
            </w:r>
            <w:r w:rsidR="00B86DBF">
              <w:rPr>
                <w:noProof/>
                <w:webHidden/>
              </w:rPr>
              <w:tab/>
            </w:r>
            <w:r w:rsidR="00B86DBF">
              <w:rPr>
                <w:noProof/>
                <w:webHidden/>
              </w:rPr>
              <w:fldChar w:fldCharType="begin"/>
            </w:r>
            <w:r w:rsidR="00B86DBF">
              <w:rPr>
                <w:noProof/>
                <w:webHidden/>
              </w:rPr>
              <w:instrText xml:space="preserve"> PAGEREF _Toc217264710 \h </w:instrText>
            </w:r>
            <w:r w:rsidR="00B86DBF">
              <w:rPr>
                <w:noProof/>
                <w:webHidden/>
              </w:rPr>
            </w:r>
            <w:r w:rsidR="00B86DBF">
              <w:rPr>
                <w:noProof/>
                <w:webHidden/>
              </w:rPr>
              <w:fldChar w:fldCharType="separate"/>
            </w:r>
            <w:r w:rsidR="00B86DBF">
              <w:rPr>
                <w:noProof/>
                <w:webHidden/>
              </w:rPr>
              <w:t>16</w:t>
            </w:r>
            <w:r w:rsidR="00B86DBF">
              <w:rPr>
                <w:noProof/>
                <w:webHidden/>
              </w:rPr>
              <w:fldChar w:fldCharType="end"/>
            </w:r>
          </w:hyperlink>
        </w:p>
        <w:p w14:paraId="523E7193" w14:textId="57B0F356" w:rsidR="00B86DBF" w:rsidRDefault="001C1424">
          <w:pPr>
            <w:pStyle w:val="TOC3"/>
            <w:tabs>
              <w:tab w:val="right" w:leader="dot" w:pos="9016"/>
            </w:tabs>
            <w:rPr>
              <w:rFonts w:asciiTheme="minorHAnsi" w:eastAsiaTheme="minorEastAsia" w:hAnsiTheme="minorHAnsi"/>
              <w:noProof/>
              <w:lang w:val="en-US"/>
            </w:rPr>
          </w:pPr>
          <w:hyperlink w:anchor="_Toc217264711" w:history="1">
            <w:r w:rsidR="00B86DBF" w:rsidRPr="008D41B9">
              <w:rPr>
                <w:rStyle w:val="Hyperlink"/>
                <w:noProof/>
              </w:rPr>
              <w:t>4.3.3 Taxation Considerations</w:t>
            </w:r>
            <w:r w:rsidR="00B86DBF">
              <w:rPr>
                <w:noProof/>
                <w:webHidden/>
              </w:rPr>
              <w:tab/>
            </w:r>
            <w:r w:rsidR="00B86DBF">
              <w:rPr>
                <w:noProof/>
                <w:webHidden/>
              </w:rPr>
              <w:fldChar w:fldCharType="begin"/>
            </w:r>
            <w:r w:rsidR="00B86DBF">
              <w:rPr>
                <w:noProof/>
                <w:webHidden/>
              </w:rPr>
              <w:instrText xml:space="preserve"> PAGEREF _Toc217264711 \h </w:instrText>
            </w:r>
            <w:r w:rsidR="00B86DBF">
              <w:rPr>
                <w:noProof/>
                <w:webHidden/>
              </w:rPr>
            </w:r>
            <w:r w:rsidR="00B86DBF">
              <w:rPr>
                <w:noProof/>
                <w:webHidden/>
              </w:rPr>
              <w:fldChar w:fldCharType="separate"/>
            </w:r>
            <w:r w:rsidR="00B86DBF">
              <w:rPr>
                <w:noProof/>
                <w:webHidden/>
              </w:rPr>
              <w:t>16</w:t>
            </w:r>
            <w:r w:rsidR="00B86DBF">
              <w:rPr>
                <w:noProof/>
                <w:webHidden/>
              </w:rPr>
              <w:fldChar w:fldCharType="end"/>
            </w:r>
          </w:hyperlink>
        </w:p>
        <w:p w14:paraId="4097FCA1" w14:textId="13BB7E0A" w:rsidR="00B86DBF" w:rsidRDefault="001C1424">
          <w:pPr>
            <w:pStyle w:val="TOC3"/>
            <w:tabs>
              <w:tab w:val="right" w:leader="dot" w:pos="9016"/>
            </w:tabs>
            <w:rPr>
              <w:rFonts w:asciiTheme="minorHAnsi" w:eastAsiaTheme="minorEastAsia" w:hAnsiTheme="minorHAnsi"/>
              <w:noProof/>
              <w:lang w:val="en-US"/>
            </w:rPr>
          </w:pPr>
          <w:hyperlink w:anchor="_Toc217264712" w:history="1">
            <w:r w:rsidR="00B86DBF" w:rsidRPr="008D41B9">
              <w:rPr>
                <w:rStyle w:val="Hyperlink"/>
                <w:noProof/>
              </w:rPr>
              <w:t>4.3.4 Corporate Social Responsibility and Ethical</w:t>
            </w:r>
            <w:r w:rsidR="00B86DBF">
              <w:rPr>
                <w:noProof/>
                <w:webHidden/>
              </w:rPr>
              <w:tab/>
            </w:r>
            <w:r w:rsidR="00B86DBF">
              <w:rPr>
                <w:noProof/>
                <w:webHidden/>
              </w:rPr>
              <w:fldChar w:fldCharType="begin"/>
            </w:r>
            <w:r w:rsidR="00B86DBF">
              <w:rPr>
                <w:noProof/>
                <w:webHidden/>
              </w:rPr>
              <w:instrText xml:space="preserve"> PAGEREF _Toc217264712 \h </w:instrText>
            </w:r>
            <w:r w:rsidR="00B86DBF">
              <w:rPr>
                <w:noProof/>
                <w:webHidden/>
              </w:rPr>
            </w:r>
            <w:r w:rsidR="00B86DBF">
              <w:rPr>
                <w:noProof/>
                <w:webHidden/>
              </w:rPr>
              <w:fldChar w:fldCharType="separate"/>
            </w:r>
            <w:r w:rsidR="00B86DBF">
              <w:rPr>
                <w:noProof/>
                <w:webHidden/>
              </w:rPr>
              <w:t>16</w:t>
            </w:r>
            <w:r w:rsidR="00B86DBF">
              <w:rPr>
                <w:noProof/>
                <w:webHidden/>
              </w:rPr>
              <w:fldChar w:fldCharType="end"/>
            </w:r>
          </w:hyperlink>
        </w:p>
        <w:p w14:paraId="21C3795E" w14:textId="79465EFA" w:rsidR="00B86DBF" w:rsidRDefault="001C1424">
          <w:pPr>
            <w:pStyle w:val="TOC2"/>
            <w:tabs>
              <w:tab w:val="right" w:leader="dot" w:pos="9016"/>
            </w:tabs>
            <w:rPr>
              <w:rFonts w:asciiTheme="minorHAnsi" w:eastAsiaTheme="minorEastAsia" w:hAnsiTheme="minorHAnsi"/>
              <w:noProof/>
              <w:lang w:val="en-US"/>
            </w:rPr>
          </w:pPr>
          <w:hyperlink w:anchor="_Toc217264713" w:history="1">
            <w:r w:rsidR="00B86DBF" w:rsidRPr="008D41B9">
              <w:rPr>
                <w:rStyle w:val="Hyperlink"/>
                <w:noProof/>
              </w:rPr>
              <w:t>4.4 Proposed Restructuring Strategy</w:t>
            </w:r>
            <w:r w:rsidR="00B86DBF">
              <w:rPr>
                <w:noProof/>
                <w:webHidden/>
              </w:rPr>
              <w:tab/>
            </w:r>
            <w:r w:rsidR="00B86DBF">
              <w:rPr>
                <w:noProof/>
                <w:webHidden/>
              </w:rPr>
              <w:fldChar w:fldCharType="begin"/>
            </w:r>
            <w:r w:rsidR="00B86DBF">
              <w:rPr>
                <w:noProof/>
                <w:webHidden/>
              </w:rPr>
              <w:instrText xml:space="preserve"> PAGEREF _Toc217264713 \h </w:instrText>
            </w:r>
            <w:r w:rsidR="00B86DBF">
              <w:rPr>
                <w:noProof/>
                <w:webHidden/>
              </w:rPr>
            </w:r>
            <w:r w:rsidR="00B86DBF">
              <w:rPr>
                <w:noProof/>
                <w:webHidden/>
              </w:rPr>
              <w:fldChar w:fldCharType="separate"/>
            </w:r>
            <w:r w:rsidR="00B86DBF">
              <w:rPr>
                <w:noProof/>
                <w:webHidden/>
              </w:rPr>
              <w:t>16</w:t>
            </w:r>
            <w:r w:rsidR="00B86DBF">
              <w:rPr>
                <w:noProof/>
                <w:webHidden/>
              </w:rPr>
              <w:fldChar w:fldCharType="end"/>
            </w:r>
          </w:hyperlink>
        </w:p>
        <w:p w14:paraId="6313CC8F" w14:textId="44D8A1C6" w:rsidR="00B86DBF" w:rsidRDefault="001C1424">
          <w:pPr>
            <w:pStyle w:val="TOC1"/>
            <w:tabs>
              <w:tab w:val="right" w:leader="dot" w:pos="9016"/>
            </w:tabs>
            <w:rPr>
              <w:rFonts w:asciiTheme="minorHAnsi" w:eastAsiaTheme="minorEastAsia" w:hAnsiTheme="minorHAnsi"/>
              <w:noProof/>
              <w:lang w:val="en-US"/>
            </w:rPr>
          </w:pPr>
          <w:hyperlink w:anchor="_Toc217264714" w:history="1">
            <w:r w:rsidR="00B86DBF" w:rsidRPr="008D41B9">
              <w:rPr>
                <w:rStyle w:val="Hyperlink"/>
                <w:noProof/>
              </w:rPr>
              <w:t>5. Investment Appraisal and Capital Budgeting</w:t>
            </w:r>
            <w:r w:rsidR="00B86DBF">
              <w:rPr>
                <w:noProof/>
                <w:webHidden/>
              </w:rPr>
              <w:tab/>
            </w:r>
            <w:r w:rsidR="00B86DBF">
              <w:rPr>
                <w:noProof/>
                <w:webHidden/>
              </w:rPr>
              <w:fldChar w:fldCharType="begin"/>
            </w:r>
            <w:r w:rsidR="00B86DBF">
              <w:rPr>
                <w:noProof/>
                <w:webHidden/>
              </w:rPr>
              <w:instrText xml:space="preserve"> PAGEREF _Toc217264714 \h </w:instrText>
            </w:r>
            <w:r w:rsidR="00B86DBF">
              <w:rPr>
                <w:noProof/>
                <w:webHidden/>
              </w:rPr>
            </w:r>
            <w:r w:rsidR="00B86DBF">
              <w:rPr>
                <w:noProof/>
                <w:webHidden/>
              </w:rPr>
              <w:fldChar w:fldCharType="separate"/>
            </w:r>
            <w:r w:rsidR="00B86DBF">
              <w:rPr>
                <w:noProof/>
                <w:webHidden/>
              </w:rPr>
              <w:t>17</w:t>
            </w:r>
            <w:r w:rsidR="00B86DBF">
              <w:rPr>
                <w:noProof/>
                <w:webHidden/>
              </w:rPr>
              <w:fldChar w:fldCharType="end"/>
            </w:r>
          </w:hyperlink>
        </w:p>
        <w:p w14:paraId="099B79BF" w14:textId="67EBD31A" w:rsidR="00B86DBF" w:rsidRDefault="001C1424">
          <w:pPr>
            <w:pStyle w:val="TOC2"/>
            <w:tabs>
              <w:tab w:val="right" w:leader="dot" w:pos="9016"/>
            </w:tabs>
            <w:rPr>
              <w:rFonts w:asciiTheme="minorHAnsi" w:eastAsiaTheme="minorEastAsia" w:hAnsiTheme="minorHAnsi"/>
              <w:noProof/>
              <w:lang w:val="en-US"/>
            </w:rPr>
          </w:pPr>
          <w:hyperlink w:anchor="_Toc217264715" w:history="1">
            <w:r w:rsidR="00B86DBF" w:rsidRPr="008D41B9">
              <w:rPr>
                <w:rStyle w:val="Hyperlink"/>
                <w:noProof/>
              </w:rPr>
              <w:t>5.1 Capital Budgeting Techniques: Critical Theoretical Perspective</w:t>
            </w:r>
            <w:r w:rsidR="00B86DBF">
              <w:rPr>
                <w:noProof/>
                <w:webHidden/>
              </w:rPr>
              <w:tab/>
            </w:r>
            <w:r w:rsidR="00B86DBF">
              <w:rPr>
                <w:noProof/>
                <w:webHidden/>
              </w:rPr>
              <w:fldChar w:fldCharType="begin"/>
            </w:r>
            <w:r w:rsidR="00B86DBF">
              <w:rPr>
                <w:noProof/>
                <w:webHidden/>
              </w:rPr>
              <w:instrText xml:space="preserve"> PAGEREF _Toc217264715 \h </w:instrText>
            </w:r>
            <w:r w:rsidR="00B86DBF">
              <w:rPr>
                <w:noProof/>
                <w:webHidden/>
              </w:rPr>
            </w:r>
            <w:r w:rsidR="00B86DBF">
              <w:rPr>
                <w:noProof/>
                <w:webHidden/>
              </w:rPr>
              <w:fldChar w:fldCharType="separate"/>
            </w:r>
            <w:r w:rsidR="00B86DBF">
              <w:rPr>
                <w:noProof/>
                <w:webHidden/>
              </w:rPr>
              <w:t>17</w:t>
            </w:r>
            <w:r w:rsidR="00B86DBF">
              <w:rPr>
                <w:noProof/>
                <w:webHidden/>
              </w:rPr>
              <w:fldChar w:fldCharType="end"/>
            </w:r>
          </w:hyperlink>
        </w:p>
        <w:p w14:paraId="2C9A482A" w14:textId="11FA30B2" w:rsidR="00B86DBF" w:rsidRDefault="001C1424">
          <w:pPr>
            <w:pStyle w:val="TOC3"/>
            <w:tabs>
              <w:tab w:val="right" w:leader="dot" w:pos="9016"/>
            </w:tabs>
            <w:rPr>
              <w:rFonts w:asciiTheme="minorHAnsi" w:eastAsiaTheme="minorEastAsia" w:hAnsiTheme="minorHAnsi"/>
              <w:noProof/>
              <w:lang w:val="en-US"/>
            </w:rPr>
          </w:pPr>
          <w:hyperlink w:anchor="_Toc217264716" w:history="1">
            <w:r w:rsidR="00B86DBF" w:rsidRPr="008D41B9">
              <w:rPr>
                <w:rStyle w:val="Hyperlink"/>
                <w:noProof/>
              </w:rPr>
              <w:t>5.1.1 Payback Period (PBP)</w:t>
            </w:r>
            <w:r w:rsidR="00B86DBF">
              <w:rPr>
                <w:noProof/>
                <w:webHidden/>
              </w:rPr>
              <w:tab/>
            </w:r>
            <w:r w:rsidR="00B86DBF">
              <w:rPr>
                <w:noProof/>
                <w:webHidden/>
              </w:rPr>
              <w:fldChar w:fldCharType="begin"/>
            </w:r>
            <w:r w:rsidR="00B86DBF">
              <w:rPr>
                <w:noProof/>
                <w:webHidden/>
              </w:rPr>
              <w:instrText xml:space="preserve"> PAGEREF _Toc217264716 \h </w:instrText>
            </w:r>
            <w:r w:rsidR="00B86DBF">
              <w:rPr>
                <w:noProof/>
                <w:webHidden/>
              </w:rPr>
            </w:r>
            <w:r w:rsidR="00B86DBF">
              <w:rPr>
                <w:noProof/>
                <w:webHidden/>
              </w:rPr>
              <w:fldChar w:fldCharType="separate"/>
            </w:r>
            <w:r w:rsidR="00B86DBF">
              <w:rPr>
                <w:noProof/>
                <w:webHidden/>
              </w:rPr>
              <w:t>17</w:t>
            </w:r>
            <w:r w:rsidR="00B86DBF">
              <w:rPr>
                <w:noProof/>
                <w:webHidden/>
              </w:rPr>
              <w:fldChar w:fldCharType="end"/>
            </w:r>
          </w:hyperlink>
        </w:p>
        <w:p w14:paraId="35CF3A71" w14:textId="74E71695" w:rsidR="00B86DBF" w:rsidRDefault="001C1424">
          <w:pPr>
            <w:pStyle w:val="TOC3"/>
            <w:tabs>
              <w:tab w:val="right" w:leader="dot" w:pos="9016"/>
            </w:tabs>
            <w:rPr>
              <w:rFonts w:asciiTheme="minorHAnsi" w:eastAsiaTheme="minorEastAsia" w:hAnsiTheme="minorHAnsi"/>
              <w:noProof/>
              <w:lang w:val="en-US"/>
            </w:rPr>
          </w:pPr>
          <w:hyperlink w:anchor="_Toc217264717" w:history="1">
            <w:r w:rsidR="00B86DBF" w:rsidRPr="008D41B9">
              <w:rPr>
                <w:rStyle w:val="Hyperlink"/>
                <w:noProof/>
              </w:rPr>
              <w:t>5.1.2 Accounting Rate of Return (ARR)</w:t>
            </w:r>
            <w:r w:rsidR="00B86DBF">
              <w:rPr>
                <w:noProof/>
                <w:webHidden/>
              </w:rPr>
              <w:tab/>
            </w:r>
            <w:r w:rsidR="00B86DBF">
              <w:rPr>
                <w:noProof/>
                <w:webHidden/>
              </w:rPr>
              <w:fldChar w:fldCharType="begin"/>
            </w:r>
            <w:r w:rsidR="00B86DBF">
              <w:rPr>
                <w:noProof/>
                <w:webHidden/>
              </w:rPr>
              <w:instrText xml:space="preserve"> PAGEREF _Toc217264717 \h </w:instrText>
            </w:r>
            <w:r w:rsidR="00B86DBF">
              <w:rPr>
                <w:noProof/>
                <w:webHidden/>
              </w:rPr>
            </w:r>
            <w:r w:rsidR="00B86DBF">
              <w:rPr>
                <w:noProof/>
                <w:webHidden/>
              </w:rPr>
              <w:fldChar w:fldCharType="separate"/>
            </w:r>
            <w:r w:rsidR="00B86DBF">
              <w:rPr>
                <w:noProof/>
                <w:webHidden/>
              </w:rPr>
              <w:t>18</w:t>
            </w:r>
            <w:r w:rsidR="00B86DBF">
              <w:rPr>
                <w:noProof/>
                <w:webHidden/>
              </w:rPr>
              <w:fldChar w:fldCharType="end"/>
            </w:r>
          </w:hyperlink>
        </w:p>
        <w:p w14:paraId="6A01C9F4" w14:textId="018E95CE" w:rsidR="00B86DBF" w:rsidRDefault="001C1424">
          <w:pPr>
            <w:pStyle w:val="TOC3"/>
            <w:tabs>
              <w:tab w:val="right" w:leader="dot" w:pos="9016"/>
            </w:tabs>
            <w:rPr>
              <w:rFonts w:asciiTheme="minorHAnsi" w:eastAsiaTheme="minorEastAsia" w:hAnsiTheme="minorHAnsi"/>
              <w:noProof/>
              <w:lang w:val="en-US"/>
            </w:rPr>
          </w:pPr>
          <w:hyperlink w:anchor="_Toc217264718" w:history="1">
            <w:r w:rsidR="00B86DBF" w:rsidRPr="008D41B9">
              <w:rPr>
                <w:rStyle w:val="Hyperlink"/>
                <w:noProof/>
              </w:rPr>
              <w:t>5.1.3 Net Present Value (NPV)</w:t>
            </w:r>
            <w:r w:rsidR="00B86DBF">
              <w:rPr>
                <w:noProof/>
                <w:webHidden/>
              </w:rPr>
              <w:tab/>
            </w:r>
            <w:r w:rsidR="00B86DBF">
              <w:rPr>
                <w:noProof/>
                <w:webHidden/>
              </w:rPr>
              <w:fldChar w:fldCharType="begin"/>
            </w:r>
            <w:r w:rsidR="00B86DBF">
              <w:rPr>
                <w:noProof/>
                <w:webHidden/>
              </w:rPr>
              <w:instrText xml:space="preserve"> PAGEREF _Toc217264718 \h </w:instrText>
            </w:r>
            <w:r w:rsidR="00B86DBF">
              <w:rPr>
                <w:noProof/>
                <w:webHidden/>
              </w:rPr>
            </w:r>
            <w:r w:rsidR="00B86DBF">
              <w:rPr>
                <w:noProof/>
                <w:webHidden/>
              </w:rPr>
              <w:fldChar w:fldCharType="separate"/>
            </w:r>
            <w:r w:rsidR="00B86DBF">
              <w:rPr>
                <w:noProof/>
                <w:webHidden/>
              </w:rPr>
              <w:t>18</w:t>
            </w:r>
            <w:r w:rsidR="00B86DBF">
              <w:rPr>
                <w:noProof/>
                <w:webHidden/>
              </w:rPr>
              <w:fldChar w:fldCharType="end"/>
            </w:r>
          </w:hyperlink>
        </w:p>
        <w:p w14:paraId="61AD8BBA" w14:textId="16CC956C" w:rsidR="00B86DBF" w:rsidRDefault="001C1424">
          <w:pPr>
            <w:pStyle w:val="TOC3"/>
            <w:tabs>
              <w:tab w:val="right" w:leader="dot" w:pos="9016"/>
            </w:tabs>
            <w:rPr>
              <w:rFonts w:asciiTheme="minorHAnsi" w:eastAsiaTheme="minorEastAsia" w:hAnsiTheme="minorHAnsi"/>
              <w:noProof/>
              <w:lang w:val="en-US"/>
            </w:rPr>
          </w:pPr>
          <w:hyperlink w:anchor="_Toc217264719" w:history="1">
            <w:r w:rsidR="00B86DBF" w:rsidRPr="008D41B9">
              <w:rPr>
                <w:rStyle w:val="Hyperlink"/>
                <w:noProof/>
              </w:rPr>
              <w:t>5.1.4 Profitability Index (PI)</w:t>
            </w:r>
            <w:r w:rsidR="00B86DBF">
              <w:rPr>
                <w:noProof/>
                <w:webHidden/>
              </w:rPr>
              <w:tab/>
            </w:r>
            <w:r w:rsidR="00B86DBF">
              <w:rPr>
                <w:noProof/>
                <w:webHidden/>
              </w:rPr>
              <w:fldChar w:fldCharType="begin"/>
            </w:r>
            <w:r w:rsidR="00B86DBF">
              <w:rPr>
                <w:noProof/>
                <w:webHidden/>
              </w:rPr>
              <w:instrText xml:space="preserve"> PAGEREF _Toc217264719 \h </w:instrText>
            </w:r>
            <w:r w:rsidR="00B86DBF">
              <w:rPr>
                <w:noProof/>
                <w:webHidden/>
              </w:rPr>
            </w:r>
            <w:r w:rsidR="00B86DBF">
              <w:rPr>
                <w:noProof/>
                <w:webHidden/>
              </w:rPr>
              <w:fldChar w:fldCharType="separate"/>
            </w:r>
            <w:r w:rsidR="00B86DBF">
              <w:rPr>
                <w:noProof/>
                <w:webHidden/>
              </w:rPr>
              <w:t>18</w:t>
            </w:r>
            <w:r w:rsidR="00B86DBF">
              <w:rPr>
                <w:noProof/>
                <w:webHidden/>
              </w:rPr>
              <w:fldChar w:fldCharType="end"/>
            </w:r>
          </w:hyperlink>
        </w:p>
        <w:p w14:paraId="59D64299" w14:textId="5D4F46B2" w:rsidR="00B86DBF" w:rsidRDefault="001C1424">
          <w:pPr>
            <w:pStyle w:val="TOC3"/>
            <w:tabs>
              <w:tab w:val="right" w:leader="dot" w:pos="9016"/>
            </w:tabs>
            <w:rPr>
              <w:rFonts w:asciiTheme="minorHAnsi" w:eastAsiaTheme="minorEastAsia" w:hAnsiTheme="minorHAnsi"/>
              <w:noProof/>
              <w:lang w:val="en-US"/>
            </w:rPr>
          </w:pPr>
          <w:hyperlink w:anchor="_Toc217264720" w:history="1">
            <w:r w:rsidR="00B86DBF" w:rsidRPr="008D41B9">
              <w:rPr>
                <w:rStyle w:val="Hyperlink"/>
                <w:noProof/>
              </w:rPr>
              <w:t>5.1.5 Internal Rate of Return (IRR)</w:t>
            </w:r>
            <w:r w:rsidR="00B86DBF">
              <w:rPr>
                <w:noProof/>
                <w:webHidden/>
              </w:rPr>
              <w:tab/>
            </w:r>
            <w:r w:rsidR="00B86DBF">
              <w:rPr>
                <w:noProof/>
                <w:webHidden/>
              </w:rPr>
              <w:fldChar w:fldCharType="begin"/>
            </w:r>
            <w:r w:rsidR="00B86DBF">
              <w:rPr>
                <w:noProof/>
                <w:webHidden/>
              </w:rPr>
              <w:instrText xml:space="preserve"> PAGEREF _Toc217264720 \h </w:instrText>
            </w:r>
            <w:r w:rsidR="00B86DBF">
              <w:rPr>
                <w:noProof/>
                <w:webHidden/>
              </w:rPr>
            </w:r>
            <w:r w:rsidR="00B86DBF">
              <w:rPr>
                <w:noProof/>
                <w:webHidden/>
              </w:rPr>
              <w:fldChar w:fldCharType="separate"/>
            </w:r>
            <w:r w:rsidR="00B86DBF">
              <w:rPr>
                <w:noProof/>
                <w:webHidden/>
              </w:rPr>
              <w:t>18</w:t>
            </w:r>
            <w:r w:rsidR="00B86DBF">
              <w:rPr>
                <w:noProof/>
                <w:webHidden/>
              </w:rPr>
              <w:fldChar w:fldCharType="end"/>
            </w:r>
          </w:hyperlink>
        </w:p>
        <w:p w14:paraId="0BC5D43B" w14:textId="5E3F9D03" w:rsidR="00B86DBF" w:rsidRDefault="001C1424">
          <w:pPr>
            <w:pStyle w:val="TOC2"/>
            <w:tabs>
              <w:tab w:val="right" w:leader="dot" w:pos="9016"/>
            </w:tabs>
            <w:rPr>
              <w:rFonts w:asciiTheme="minorHAnsi" w:eastAsiaTheme="minorEastAsia" w:hAnsiTheme="minorHAnsi"/>
              <w:noProof/>
              <w:lang w:val="en-US"/>
            </w:rPr>
          </w:pPr>
          <w:hyperlink w:anchor="_Toc217264721" w:history="1">
            <w:r w:rsidR="00B86DBF" w:rsidRPr="008D41B9">
              <w:rPr>
                <w:rStyle w:val="Hyperlink"/>
                <w:noProof/>
              </w:rPr>
              <w:t>5.2 Project Appraisal Results</w:t>
            </w:r>
            <w:r w:rsidR="00B86DBF">
              <w:rPr>
                <w:noProof/>
                <w:webHidden/>
              </w:rPr>
              <w:tab/>
            </w:r>
            <w:r w:rsidR="00B86DBF">
              <w:rPr>
                <w:noProof/>
                <w:webHidden/>
              </w:rPr>
              <w:fldChar w:fldCharType="begin"/>
            </w:r>
            <w:r w:rsidR="00B86DBF">
              <w:rPr>
                <w:noProof/>
                <w:webHidden/>
              </w:rPr>
              <w:instrText xml:space="preserve"> PAGEREF _Toc217264721 \h </w:instrText>
            </w:r>
            <w:r w:rsidR="00B86DBF">
              <w:rPr>
                <w:noProof/>
                <w:webHidden/>
              </w:rPr>
            </w:r>
            <w:r w:rsidR="00B86DBF">
              <w:rPr>
                <w:noProof/>
                <w:webHidden/>
              </w:rPr>
              <w:fldChar w:fldCharType="separate"/>
            </w:r>
            <w:r w:rsidR="00B86DBF">
              <w:rPr>
                <w:noProof/>
                <w:webHidden/>
              </w:rPr>
              <w:t>18</w:t>
            </w:r>
            <w:r w:rsidR="00B86DBF">
              <w:rPr>
                <w:noProof/>
                <w:webHidden/>
              </w:rPr>
              <w:fldChar w:fldCharType="end"/>
            </w:r>
          </w:hyperlink>
        </w:p>
        <w:p w14:paraId="3F6B9D72" w14:textId="032B117F" w:rsidR="00B86DBF" w:rsidRDefault="001C1424">
          <w:pPr>
            <w:pStyle w:val="TOC2"/>
            <w:tabs>
              <w:tab w:val="right" w:leader="dot" w:pos="9016"/>
            </w:tabs>
            <w:rPr>
              <w:rFonts w:asciiTheme="minorHAnsi" w:eastAsiaTheme="minorEastAsia" w:hAnsiTheme="minorHAnsi"/>
              <w:noProof/>
              <w:lang w:val="en-US"/>
            </w:rPr>
          </w:pPr>
          <w:hyperlink w:anchor="_Toc217264722" w:history="1">
            <w:r w:rsidR="00B86DBF" w:rsidRPr="008D41B9">
              <w:rPr>
                <w:rStyle w:val="Hyperlink"/>
                <w:noProof/>
              </w:rPr>
              <w:t>5.3 Capital Rationing and Optimal Investment Choice</w:t>
            </w:r>
            <w:r w:rsidR="00B86DBF">
              <w:rPr>
                <w:noProof/>
                <w:webHidden/>
              </w:rPr>
              <w:tab/>
            </w:r>
            <w:r w:rsidR="00B86DBF">
              <w:rPr>
                <w:noProof/>
                <w:webHidden/>
              </w:rPr>
              <w:fldChar w:fldCharType="begin"/>
            </w:r>
            <w:r w:rsidR="00B86DBF">
              <w:rPr>
                <w:noProof/>
                <w:webHidden/>
              </w:rPr>
              <w:instrText xml:space="preserve"> PAGEREF _Toc217264722 \h </w:instrText>
            </w:r>
            <w:r w:rsidR="00B86DBF">
              <w:rPr>
                <w:noProof/>
                <w:webHidden/>
              </w:rPr>
            </w:r>
            <w:r w:rsidR="00B86DBF">
              <w:rPr>
                <w:noProof/>
                <w:webHidden/>
              </w:rPr>
              <w:fldChar w:fldCharType="separate"/>
            </w:r>
            <w:r w:rsidR="00B86DBF">
              <w:rPr>
                <w:noProof/>
                <w:webHidden/>
              </w:rPr>
              <w:t>20</w:t>
            </w:r>
            <w:r w:rsidR="00B86DBF">
              <w:rPr>
                <w:noProof/>
                <w:webHidden/>
              </w:rPr>
              <w:fldChar w:fldCharType="end"/>
            </w:r>
          </w:hyperlink>
        </w:p>
        <w:p w14:paraId="1E83F93B" w14:textId="24A20B80" w:rsidR="00B86DBF" w:rsidRDefault="001C1424">
          <w:pPr>
            <w:pStyle w:val="TOC2"/>
            <w:tabs>
              <w:tab w:val="right" w:leader="dot" w:pos="9016"/>
            </w:tabs>
            <w:rPr>
              <w:rFonts w:asciiTheme="minorHAnsi" w:eastAsiaTheme="minorEastAsia" w:hAnsiTheme="minorHAnsi"/>
              <w:noProof/>
              <w:lang w:val="en-US"/>
            </w:rPr>
          </w:pPr>
          <w:hyperlink w:anchor="_Toc217264723" w:history="1">
            <w:r w:rsidR="00B86DBF" w:rsidRPr="008D41B9">
              <w:rPr>
                <w:rStyle w:val="Hyperlink"/>
                <w:noProof/>
              </w:rPr>
              <w:t>5.4 Risk Assessment and Strategic Fit</w:t>
            </w:r>
            <w:r w:rsidR="00B86DBF">
              <w:rPr>
                <w:noProof/>
                <w:webHidden/>
              </w:rPr>
              <w:tab/>
            </w:r>
            <w:r w:rsidR="00B86DBF">
              <w:rPr>
                <w:noProof/>
                <w:webHidden/>
              </w:rPr>
              <w:fldChar w:fldCharType="begin"/>
            </w:r>
            <w:r w:rsidR="00B86DBF">
              <w:rPr>
                <w:noProof/>
                <w:webHidden/>
              </w:rPr>
              <w:instrText xml:space="preserve"> PAGEREF _Toc217264723 \h </w:instrText>
            </w:r>
            <w:r w:rsidR="00B86DBF">
              <w:rPr>
                <w:noProof/>
                <w:webHidden/>
              </w:rPr>
            </w:r>
            <w:r w:rsidR="00B86DBF">
              <w:rPr>
                <w:noProof/>
                <w:webHidden/>
              </w:rPr>
              <w:fldChar w:fldCharType="separate"/>
            </w:r>
            <w:r w:rsidR="00B86DBF">
              <w:rPr>
                <w:noProof/>
                <w:webHidden/>
              </w:rPr>
              <w:t>20</w:t>
            </w:r>
            <w:r w:rsidR="00B86DBF">
              <w:rPr>
                <w:noProof/>
                <w:webHidden/>
              </w:rPr>
              <w:fldChar w:fldCharType="end"/>
            </w:r>
          </w:hyperlink>
        </w:p>
        <w:p w14:paraId="47FD059B" w14:textId="511B4837" w:rsidR="00B86DBF" w:rsidRDefault="001C1424">
          <w:pPr>
            <w:pStyle w:val="TOC2"/>
            <w:tabs>
              <w:tab w:val="right" w:leader="dot" w:pos="9016"/>
            </w:tabs>
            <w:rPr>
              <w:rFonts w:asciiTheme="minorHAnsi" w:eastAsiaTheme="minorEastAsia" w:hAnsiTheme="minorHAnsi"/>
              <w:noProof/>
              <w:lang w:val="en-US"/>
            </w:rPr>
          </w:pPr>
          <w:hyperlink w:anchor="_Toc217264724" w:history="1">
            <w:r w:rsidR="00B86DBF" w:rsidRPr="008D41B9">
              <w:rPr>
                <w:rStyle w:val="Hyperlink"/>
                <w:noProof/>
              </w:rPr>
              <w:t>5.5 CFO Level Investment Recommendation</w:t>
            </w:r>
            <w:r w:rsidR="00B86DBF">
              <w:rPr>
                <w:noProof/>
                <w:webHidden/>
              </w:rPr>
              <w:tab/>
            </w:r>
            <w:r w:rsidR="00B86DBF">
              <w:rPr>
                <w:noProof/>
                <w:webHidden/>
              </w:rPr>
              <w:fldChar w:fldCharType="begin"/>
            </w:r>
            <w:r w:rsidR="00B86DBF">
              <w:rPr>
                <w:noProof/>
                <w:webHidden/>
              </w:rPr>
              <w:instrText xml:space="preserve"> PAGEREF _Toc217264724 \h </w:instrText>
            </w:r>
            <w:r w:rsidR="00B86DBF">
              <w:rPr>
                <w:noProof/>
                <w:webHidden/>
              </w:rPr>
            </w:r>
            <w:r w:rsidR="00B86DBF">
              <w:rPr>
                <w:noProof/>
                <w:webHidden/>
              </w:rPr>
              <w:fldChar w:fldCharType="separate"/>
            </w:r>
            <w:r w:rsidR="00B86DBF">
              <w:rPr>
                <w:noProof/>
                <w:webHidden/>
              </w:rPr>
              <w:t>21</w:t>
            </w:r>
            <w:r w:rsidR="00B86DBF">
              <w:rPr>
                <w:noProof/>
                <w:webHidden/>
              </w:rPr>
              <w:fldChar w:fldCharType="end"/>
            </w:r>
          </w:hyperlink>
        </w:p>
        <w:p w14:paraId="50CCD57D" w14:textId="21488521" w:rsidR="00B86DBF" w:rsidRDefault="001C1424">
          <w:pPr>
            <w:pStyle w:val="TOC1"/>
            <w:tabs>
              <w:tab w:val="right" w:leader="dot" w:pos="9016"/>
            </w:tabs>
            <w:rPr>
              <w:rFonts w:asciiTheme="minorHAnsi" w:eastAsiaTheme="minorEastAsia" w:hAnsiTheme="minorHAnsi"/>
              <w:noProof/>
              <w:lang w:val="en-US"/>
            </w:rPr>
          </w:pPr>
          <w:hyperlink w:anchor="_Toc217264725" w:history="1">
            <w:r w:rsidR="00B86DBF" w:rsidRPr="008D41B9">
              <w:rPr>
                <w:rStyle w:val="Hyperlink"/>
                <w:noProof/>
              </w:rPr>
              <w:t>6. Conclusion</w:t>
            </w:r>
            <w:r w:rsidR="00B86DBF">
              <w:rPr>
                <w:noProof/>
                <w:webHidden/>
              </w:rPr>
              <w:tab/>
            </w:r>
            <w:r w:rsidR="00B86DBF">
              <w:rPr>
                <w:noProof/>
                <w:webHidden/>
              </w:rPr>
              <w:fldChar w:fldCharType="begin"/>
            </w:r>
            <w:r w:rsidR="00B86DBF">
              <w:rPr>
                <w:noProof/>
                <w:webHidden/>
              </w:rPr>
              <w:instrText xml:space="preserve"> PAGEREF _Toc217264725 \h </w:instrText>
            </w:r>
            <w:r w:rsidR="00B86DBF">
              <w:rPr>
                <w:noProof/>
                <w:webHidden/>
              </w:rPr>
            </w:r>
            <w:r w:rsidR="00B86DBF">
              <w:rPr>
                <w:noProof/>
                <w:webHidden/>
              </w:rPr>
              <w:fldChar w:fldCharType="separate"/>
            </w:r>
            <w:r w:rsidR="00B86DBF">
              <w:rPr>
                <w:noProof/>
                <w:webHidden/>
              </w:rPr>
              <w:t>22</w:t>
            </w:r>
            <w:r w:rsidR="00B86DBF">
              <w:rPr>
                <w:noProof/>
                <w:webHidden/>
              </w:rPr>
              <w:fldChar w:fldCharType="end"/>
            </w:r>
          </w:hyperlink>
        </w:p>
        <w:p w14:paraId="5D26EF81" w14:textId="7B570927" w:rsidR="00B86DBF" w:rsidRDefault="001C1424">
          <w:pPr>
            <w:pStyle w:val="TOC1"/>
            <w:tabs>
              <w:tab w:val="right" w:leader="dot" w:pos="9016"/>
            </w:tabs>
            <w:rPr>
              <w:rFonts w:asciiTheme="minorHAnsi" w:eastAsiaTheme="minorEastAsia" w:hAnsiTheme="minorHAnsi"/>
              <w:noProof/>
              <w:lang w:val="en-US"/>
            </w:rPr>
          </w:pPr>
          <w:hyperlink w:anchor="_Toc217264726" w:history="1">
            <w:r w:rsidR="00B86DBF" w:rsidRPr="008D41B9">
              <w:rPr>
                <w:rStyle w:val="Hyperlink"/>
                <w:noProof/>
              </w:rPr>
              <w:t>REFERENCES</w:t>
            </w:r>
            <w:r w:rsidR="00B86DBF">
              <w:rPr>
                <w:noProof/>
                <w:webHidden/>
              </w:rPr>
              <w:tab/>
            </w:r>
            <w:r w:rsidR="00B86DBF">
              <w:rPr>
                <w:noProof/>
                <w:webHidden/>
              </w:rPr>
              <w:fldChar w:fldCharType="begin"/>
            </w:r>
            <w:r w:rsidR="00B86DBF">
              <w:rPr>
                <w:noProof/>
                <w:webHidden/>
              </w:rPr>
              <w:instrText xml:space="preserve"> PAGEREF _Toc217264726 \h </w:instrText>
            </w:r>
            <w:r w:rsidR="00B86DBF">
              <w:rPr>
                <w:noProof/>
                <w:webHidden/>
              </w:rPr>
            </w:r>
            <w:r w:rsidR="00B86DBF">
              <w:rPr>
                <w:noProof/>
                <w:webHidden/>
              </w:rPr>
              <w:fldChar w:fldCharType="separate"/>
            </w:r>
            <w:r w:rsidR="00B86DBF">
              <w:rPr>
                <w:noProof/>
                <w:webHidden/>
              </w:rPr>
              <w:t>23</w:t>
            </w:r>
            <w:r w:rsidR="00B86DBF">
              <w:rPr>
                <w:noProof/>
                <w:webHidden/>
              </w:rPr>
              <w:fldChar w:fldCharType="end"/>
            </w:r>
          </w:hyperlink>
        </w:p>
        <w:p w14:paraId="39BF1290" w14:textId="094FC1AE" w:rsidR="00B86DBF" w:rsidRDefault="001C1424">
          <w:pPr>
            <w:pStyle w:val="TOC1"/>
            <w:tabs>
              <w:tab w:val="right" w:leader="dot" w:pos="9016"/>
            </w:tabs>
            <w:rPr>
              <w:rFonts w:asciiTheme="minorHAnsi" w:eastAsiaTheme="minorEastAsia" w:hAnsiTheme="minorHAnsi"/>
              <w:noProof/>
              <w:lang w:val="en-US"/>
            </w:rPr>
          </w:pPr>
          <w:hyperlink w:anchor="_Toc217264727" w:history="1">
            <w:r w:rsidR="00B86DBF" w:rsidRPr="008D41B9">
              <w:rPr>
                <w:rStyle w:val="Hyperlink"/>
                <w:noProof/>
                <w:lang w:val="en-US"/>
              </w:rPr>
              <w:t>8. Appendix</w:t>
            </w:r>
            <w:r w:rsidR="00B86DBF">
              <w:rPr>
                <w:noProof/>
                <w:webHidden/>
              </w:rPr>
              <w:tab/>
            </w:r>
            <w:r w:rsidR="00B86DBF">
              <w:rPr>
                <w:noProof/>
                <w:webHidden/>
              </w:rPr>
              <w:fldChar w:fldCharType="begin"/>
            </w:r>
            <w:r w:rsidR="00B86DBF">
              <w:rPr>
                <w:noProof/>
                <w:webHidden/>
              </w:rPr>
              <w:instrText xml:space="preserve"> PAGEREF _Toc217264727 \h </w:instrText>
            </w:r>
            <w:r w:rsidR="00B86DBF">
              <w:rPr>
                <w:noProof/>
                <w:webHidden/>
              </w:rPr>
            </w:r>
            <w:r w:rsidR="00B86DBF">
              <w:rPr>
                <w:noProof/>
                <w:webHidden/>
              </w:rPr>
              <w:fldChar w:fldCharType="separate"/>
            </w:r>
            <w:r w:rsidR="00B86DBF">
              <w:rPr>
                <w:noProof/>
                <w:webHidden/>
              </w:rPr>
              <w:t>30</w:t>
            </w:r>
            <w:r w:rsidR="00B86DBF">
              <w:rPr>
                <w:noProof/>
                <w:webHidden/>
              </w:rPr>
              <w:fldChar w:fldCharType="end"/>
            </w:r>
          </w:hyperlink>
        </w:p>
        <w:p w14:paraId="7237EAF6" w14:textId="6C0FADD6" w:rsidR="00B86DBF" w:rsidRDefault="001C1424">
          <w:pPr>
            <w:pStyle w:val="TOC2"/>
            <w:tabs>
              <w:tab w:val="right" w:leader="dot" w:pos="9016"/>
            </w:tabs>
            <w:rPr>
              <w:rFonts w:asciiTheme="minorHAnsi" w:eastAsiaTheme="minorEastAsia" w:hAnsiTheme="minorHAnsi"/>
              <w:noProof/>
              <w:lang w:val="en-US"/>
            </w:rPr>
          </w:pPr>
          <w:hyperlink w:anchor="_Toc217264728" w:history="1">
            <w:r w:rsidR="00B86DBF" w:rsidRPr="008D41B9">
              <w:rPr>
                <w:rStyle w:val="Hyperlink"/>
                <w:noProof/>
              </w:rPr>
              <w:t>APPENDIX A</w:t>
            </w:r>
            <w:r w:rsidR="00B86DBF">
              <w:rPr>
                <w:noProof/>
                <w:webHidden/>
              </w:rPr>
              <w:tab/>
            </w:r>
            <w:r w:rsidR="00B86DBF">
              <w:rPr>
                <w:noProof/>
                <w:webHidden/>
              </w:rPr>
              <w:fldChar w:fldCharType="begin"/>
            </w:r>
            <w:r w:rsidR="00B86DBF">
              <w:rPr>
                <w:noProof/>
                <w:webHidden/>
              </w:rPr>
              <w:instrText xml:space="preserve"> PAGEREF _Toc217264728 \h </w:instrText>
            </w:r>
            <w:r w:rsidR="00B86DBF">
              <w:rPr>
                <w:noProof/>
                <w:webHidden/>
              </w:rPr>
            </w:r>
            <w:r w:rsidR="00B86DBF">
              <w:rPr>
                <w:noProof/>
                <w:webHidden/>
              </w:rPr>
              <w:fldChar w:fldCharType="separate"/>
            </w:r>
            <w:r w:rsidR="00B86DBF">
              <w:rPr>
                <w:noProof/>
                <w:webHidden/>
              </w:rPr>
              <w:t>30</w:t>
            </w:r>
            <w:r w:rsidR="00B86DBF">
              <w:rPr>
                <w:noProof/>
                <w:webHidden/>
              </w:rPr>
              <w:fldChar w:fldCharType="end"/>
            </w:r>
          </w:hyperlink>
        </w:p>
        <w:p w14:paraId="663DD899" w14:textId="27B10803" w:rsidR="00B86DBF" w:rsidRDefault="001C1424">
          <w:pPr>
            <w:pStyle w:val="TOC2"/>
            <w:tabs>
              <w:tab w:val="right" w:leader="dot" w:pos="9016"/>
            </w:tabs>
            <w:rPr>
              <w:rFonts w:asciiTheme="minorHAnsi" w:eastAsiaTheme="minorEastAsia" w:hAnsiTheme="minorHAnsi"/>
              <w:noProof/>
              <w:lang w:val="en-US"/>
            </w:rPr>
          </w:pPr>
          <w:hyperlink w:anchor="_Toc217264729" w:history="1">
            <w:r w:rsidR="00B86DBF" w:rsidRPr="008D41B9">
              <w:rPr>
                <w:rStyle w:val="Hyperlink"/>
                <w:noProof/>
              </w:rPr>
              <w:t>Financial Ratio Tables (2020–2024)</w:t>
            </w:r>
            <w:r w:rsidR="00B86DBF">
              <w:rPr>
                <w:noProof/>
                <w:webHidden/>
              </w:rPr>
              <w:tab/>
            </w:r>
            <w:r w:rsidR="00B86DBF">
              <w:rPr>
                <w:noProof/>
                <w:webHidden/>
              </w:rPr>
              <w:fldChar w:fldCharType="begin"/>
            </w:r>
            <w:r w:rsidR="00B86DBF">
              <w:rPr>
                <w:noProof/>
                <w:webHidden/>
              </w:rPr>
              <w:instrText xml:space="preserve"> PAGEREF _Toc217264729 \h </w:instrText>
            </w:r>
            <w:r w:rsidR="00B86DBF">
              <w:rPr>
                <w:noProof/>
                <w:webHidden/>
              </w:rPr>
            </w:r>
            <w:r w:rsidR="00B86DBF">
              <w:rPr>
                <w:noProof/>
                <w:webHidden/>
              </w:rPr>
              <w:fldChar w:fldCharType="separate"/>
            </w:r>
            <w:r w:rsidR="00B86DBF">
              <w:rPr>
                <w:noProof/>
                <w:webHidden/>
              </w:rPr>
              <w:t>30</w:t>
            </w:r>
            <w:r w:rsidR="00B86DBF">
              <w:rPr>
                <w:noProof/>
                <w:webHidden/>
              </w:rPr>
              <w:fldChar w:fldCharType="end"/>
            </w:r>
          </w:hyperlink>
        </w:p>
        <w:p w14:paraId="6DAB61E3" w14:textId="3B151893" w:rsidR="00B86DBF" w:rsidRDefault="001C1424">
          <w:pPr>
            <w:pStyle w:val="TOC1"/>
            <w:tabs>
              <w:tab w:val="right" w:leader="dot" w:pos="9016"/>
            </w:tabs>
            <w:rPr>
              <w:rFonts w:asciiTheme="minorHAnsi" w:eastAsiaTheme="minorEastAsia" w:hAnsiTheme="minorHAnsi"/>
              <w:noProof/>
              <w:lang w:val="en-US"/>
            </w:rPr>
          </w:pPr>
          <w:hyperlink w:anchor="_Toc217264730" w:history="1">
            <w:r w:rsidR="00B86DBF" w:rsidRPr="008D41B9">
              <w:rPr>
                <w:rStyle w:val="Hyperlink"/>
                <w:noProof/>
              </w:rPr>
              <w:t>Appendix B — Altman Z-Score Model</w:t>
            </w:r>
            <w:r w:rsidR="00B86DBF">
              <w:rPr>
                <w:noProof/>
                <w:webHidden/>
              </w:rPr>
              <w:tab/>
            </w:r>
            <w:r w:rsidR="00B86DBF">
              <w:rPr>
                <w:noProof/>
                <w:webHidden/>
              </w:rPr>
              <w:fldChar w:fldCharType="begin"/>
            </w:r>
            <w:r w:rsidR="00B86DBF">
              <w:rPr>
                <w:noProof/>
                <w:webHidden/>
              </w:rPr>
              <w:instrText xml:space="preserve"> PAGEREF _Toc217264730 \h </w:instrText>
            </w:r>
            <w:r w:rsidR="00B86DBF">
              <w:rPr>
                <w:noProof/>
                <w:webHidden/>
              </w:rPr>
            </w:r>
            <w:r w:rsidR="00B86DBF">
              <w:rPr>
                <w:noProof/>
                <w:webHidden/>
              </w:rPr>
              <w:fldChar w:fldCharType="separate"/>
            </w:r>
            <w:r w:rsidR="00B86DBF">
              <w:rPr>
                <w:noProof/>
                <w:webHidden/>
              </w:rPr>
              <w:t>33</w:t>
            </w:r>
            <w:r w:rsidR="00B86DBF">
              <w:rPr>
                <w:noProof/>
                <w:webHidden/>
              </w:rPr>
              <w:fldChar w:fldCharType="end"/>
            </w:r>
          </w:hyperlink>
        </w:p>
        <w:p w14:paraId="62D7286A" w14:textId="041BFDEE" w:rsidR="00B86DBF" w:rsidRDefault="001C1424">
          <w:pPr>
            <w:pStyle w:val="TOC1"/>
            <w:tabs>
              <w:tab w:val="right" w:leader="dot" w:pos="9016"/>
            </w:tabs>
            <w:rPr>
              <w:rFonts w:asciiTheme="minorHAnsi" w:eastAsiaTheme="minorEastAsia" w:hAnsiTheme="minorHAnsi"/>
              <w:noProof/>
              <w:lang w:val="en-US"/>
            </w:rPr>
          </w:pPr>
          <w:hyperlink w:anchor="_Toc217264731" w:history="1">
            <w:r w:rsidR="00B86DBF" w:rsidRPr="008D41B9">
              <w:rPr>
                <w:rStyle w:val="Hyperlink"/>
                <w:noProof/>
              </w:rPr>
              <w:t>Appendix C — Cash Flow Reconciliation Tables</w:t>
            </w:r>
            <w:r w:rsidR="00B86DBF">
              <w:rPr>
                <w:noProof/>
                <w:webHidden/>
              </w:rPr>
              <w:tab/>
            </w:r>
            <w:r w:rsidR="00B86DBF">
              <w:rPr>
                <w:noProof/>
                <w:webHidden/>
              </w:rPr>
              <w:fldChar w:fldCharType="begin"/>
            </w:r>
            <w:r w:rsidR="00B86DBF">
              <w:rPr>
                <w:noProof/>
                <w:webHidden/>
              </w:rPr>
              <w:instrText xml:space="preserve"> PAGEREF _Toc217264731 \h </w:instrText>
            </w:r>
            <w:r w:rsidR="00B86DBF">
              <w:rPr>
                <w:noProof/>
                <w:webHidden/>
              </w:rPr>
            </w:r>
            <w:r w:rsidR="00B86DBF">
              <w:rPr>
                <w:noProof/>
                <w:webHidden/>
              </w:rPr>
              <w:fldChar w:fldCharType="separate"/>
            </w:r>
            <w:r w:rsidR="00B86DBF">
              <w:rPr>
                <w:noProof/>
                <w:webHidden/>
              </w:rPr>
              <w:t>34</w:t>
            </w:r>
            <w:r w:rsidR="00B86DBF">
              <w:rPr>
                <w:noProof/>
                <w:webHidden/>
              </w:rPr>
              <w:fldChar w:fldCharType="end"/>
            </w:r>
          </w:hyperlink>
        </w:p>
        <w:p w14:paraId="73365A86" w14:textId="50395806" w:rsidR="00B86DBF" w:rsidRDefault="001C1424">
          <w:pPr>
            <w:pStyle w:val="TOC1"/>
            <w:tabs>
              <w:tab w:val="right" w:leader="dot" w:pos="9016"/>
            </w:tabs>
            <w:rPr>
              <w:rFonts w:asciiTheme="minorHAnsi" w:eastAsiaTheme="minorEastAsia" w:hAnsiTheme="minorHAnsi"/>
              <w:noProof/>
              <w:lang w:val="en-US"/>
            </w:rPr>
          </w:pPr>
          <w:hyperlink w:anchor="_Toc217264732" w:history="1">
            <w:r w:rsidR="00B86DBF" w:rsidRPr="008D41B9">
              <w:rPr>
                <w:rStyle w:val="Hyperlink"/>
                <w:noProof/>
              </w:rPr>
              <w:t>Appendix D — Cash Operating Cycle Calculations</w:t>
            </w:r>
            <w:r w:rsidR="00B86DBF">
              <w:rPr>
                <w:noProof/>
                <w:webHidden/>
              </w:rPr>
              <w:tab/>
            </w:r>
            <w:r w:rsidR="00B86DBF">
              <w:rPr>
                <w:noProof/>
                <w:webHidden/>
              </w:rPr>
              <w:fldChar w:fldCharType="begin"/>
            </w:r>
            <w:r w:rsidR="00B86DBF">
              <w:rPr>
                <w:noProof/>
                <w:webHidden/>
              </w:rPr>
              <w:instrText xml:space="preserve"> PAGEREF _Toc217264732 \h </w:instrText>
            </w:r>
            <w:r w:rsidR="00B86DBF">
              <w:rPr>
                <w:noProof/>
                <w:webHidden/>
              </w:rPr>
            </w:r>
            <w:r w:rsidR="00B86DBF">
              <w:rPr>
                <w:noProof/>
                <w:webHidden/>
              </w:rPr>
              <w:fldChar w:fldCharType="separate"/>
            </w:r>
            <w:r w:rsidR="00B86DBF">
              <w:rPr>
                <w:noProof/>
                <w:webHidden/>
              </w:rPr>
              <w:t>35</w:t>
            </w:r>
            <w:r w:rsidR="00B86DBF">
              <w:rPr>
                <w:noProof/>
                <w:webHidden/>
              </w:rPr>
              <w:fldChar w:fldCharType="end"/>
            </w:r>
          </w:hyperlink>
        </w:p>
        <w:p w14:paraId="073BB5BA" w14:textId="74484C76" w:rsidR="00B86DBF" w:rsidRDefault="001C1424">
          <w:pPr>
            <w:pStyle w:val="TOC1"/>
            <w:tabs>
              <w:tab w:val="right" w:leader="dot" w:pos="9016"/>
            </w:tabs>
            <w:rPr>
              <w:rFonts w:asciiTheme="minorHAnsi" w:eastAsiaTheme="minorEastAsia" w:hAnsiTheme="minorHAnsi"/>
              <w:noProof/>
              <w:lang w:val="en-US"/>
            </w:rPr>
          </w:pPr>
          <w:hyperlink w:anchor="_Toc217264733" w:history="1">
            <w:r w:rsidR="00B86DBF" w:rsidRPr="008D41B9">
              <w:rPr>
                <w:rStyle w:val="Hyperlink"/>
                <w:noProof/>
              </w:rPr>
              <w:t>Appendix E — Financial Restructuring Options Comparison</w:t>
            </w:r>
            <w:r w:rsidR="00B86DBF">
              <w:rPr>
                <w:noProof/>
                <w:webHidden/>
              </w:rPr>
              <w:tab/>
            </w:r>
            <w:r w:rsidR="00B86DBF">
              <w:rPr>
                <w:noProof/>
                <w:webHidden/>
              </w:rPr>
              <w:fldChar w:fldCharType="begin"/>
            </w:r>
            <w:r w:rsidR="00B86DBF">
              <w:rPr>
                <w:noProof/>
                <w:webHidden/>
              </w:rPr>
              <w:instrText xml:space="preserve"> PAGEREF _Toc217264733 \h </w:instrText>
            </w:r>
            <w:r w:rsidR="00B86DBF">
              <w:rPr>
                <w:noProof/>
                <w:webHidden/>
              </w:rPr>
            </w:r>
            <w:r w:rsidR="00B86DBF">
              <w:rPr>
                <w:noProof/>
                <w:webHidden/>
              </w:rPr>
              <w:fldChar w:fldCharType="separate"/>
            </w:r>
            <w:r w:rsidR="00B86DBF">
              <w:rPr>
                <w:noProof/>
                <w:webHidden/>
              </w:rPr>
              <w:t>36</w:t>
            </w:r>
            <w:r w:rsidR="00B86DBF">
              <w:rPr>
                <w:noProof/>
                <w:webHidden/>
              </w:rPr>
              <w:fldChar w:fldCharType="end"/>
            </w:r>
          </w:hyperlink>
        </w:p>
        <w:p w14:paraId="18B75B8B" w14:textId="60F2872F" w:rsidR="00B86DBF" w:rsidRDefault="001C1424">
          <w:pPr>
            <w:pStyle w:val="TOC1"/>
            <w:tabs>
              <w:tab w:val="right" w:leader="dot" w:pos="9016"/>
            </w:tabs>
            <w:rPr>
              <w:rFonts w:asciiTheme="minorHAnsi" w:eastAsiaTheme="minorEastAsia" w:hAnsiTheme="minorHAnsi"/>
              <w:noProof/>
              <w:lang w:val="en-US"/>
            </w:rPr>
          </w:pPr>
          <w:hyperlink w:anchor="_Toc217264734" w:history="1">
            <w:r w:rsidR="00B86DBF" w:rsidRPr="008D41B9">
              <w:rPr>
                <w:rStyle w:val="Hyperlink"/>
                <w:noProof/>
              </w:rPr>
              <w:t>Appendix F — Investment Appraisal Calculations</w:t>
            </w:r>
            <w:r w:rsidR="00B86DBF">
              <w:rPr>
                <w:noProof/>
                <w:webHidden/>
              </w:rPr>
              <w:tab/>
            </w:r>
            <w:r w:rsidR="00B86DBF">
              <w:rPr>
                <w:noProof/>
                <w:webHidden/>
              </w:rPr>
              <w:fldChar w:fldCharType="begin"/>
            </w:r>
            <w:r w:rsidR="00B86DBF">
              <w:rPr>
                <w:noProof/>
                <w:webHidden/>
              </w:rPr>
              <w:instrText xml:space="preserve"> PAGEREF _Toc217264734 \h </w:instrText>
            </w:r>
            <w:r w:rsidR="00B86DBF">
              <w:rPr>
                <w:noProof/>
                <w:webHidden/>
              </w:rPr>
            </w:r>
            <w:r w:rsidR="00B86DBF">
              <w:rPr>
                <w:noProof/>
                <w:webHidden/>
              </w:rPr>
              <w:fldChar w:fldCharType="separate"/>
            </w:r>
            <w:r w:rsidR="00B86DBF">
              <w:rPr>
                <w:noProof/>
                <w:webHidden/>
              </w:rPr>
              <w:t>36</w:t>
            </w:r>
            <w:r w:rsidR="00B86DBF">
              <w:rPr>
                <w:noProof/>
                <w:webHidden/>
              </w:rPr>
              <w:fldChar w:fldCharType="end"/>
            </w:r>
          </w:hyperlink>
        </w:p>
        <w:p w14:paraId="3F94DF11" w14:textId="4D3F9519" w:rsidR="00BF3F8A" w:rsidRDefault="00BF3F8A">
          <w:r>
            <w:rPr>
              <w:b/>
              <w:bCs/>
              <w:noProof/>
            </w:rPr>
            <w:fldChar w:fldCharType="end"/>
          </w:r>
        </w:p>
      </w:sdtContent>
    </w:sdt>
    <w:p w14:paraId="4D3E681D" w14:textId="77777777" w:rsidR="00BE37EE" w:rsidRDefault="00BE37EE">
      <w:pPr>
        <w:spacing w:line="259" w:lineRule="auto"/>
        <w:jc w:val="left"/>
        <w:rPr>
          <w:rStyle w:val="Emphasis"/>
        </w:rPr>
      </w:pPr>
      <w:r>
        <w:rPr>
          <w:rStyle w:val="Emphasis"/>
        </w:rPr>
        <w:br w:type="page"/>
      </w:r>
    </w:p>
    <w:p w14:paraId="6E2D11AD" w14:textId="77777777" w:rsidR="00BE37EE" w:rsidRDefault="00BE37EE" w:rsidP="00887CBD">
      <w:pPr>
        <w:pStyle w:val="Heading1"/>
      </w:pPr>
      <w:bookmarkStart w:id="1" w:name="_Toc217264680"/>
      <w:r>
        <w:lastRenderedPageBreak/>
        <w:t>1. Introduction</w:t>
      </w:r>
      <w:bookmarkEnd w:id="1"/>
      <w:r>
        <w:t xml:space="preserve"> </w:t>
      </w:r>
    </w:p>
    <w:p w14:paraId="520BFE53" w14:textId="77777777" w:rsidR="00EB5A10" w:rsidRDefault="00EB5A10" w:rsidP="00EB5A10">
      <w:r>
        <w:t>The competitive features of the international consumer electronics market are high price competition, high technological obsolescence and high operating fixed cost, which form the tension of profitability and stability of corporate cash flow in the long term (Porter, 2008; Grant, 2022). It is against this challenging background that General Electronics, a multinational consumer electronics organization, has been experiencing a significant fall in its financial performance over the past five years between 2020 and 2024. Statistical results of financial statements of the company note that the net sales have declined in the period between 2020 ( £614,680 million ) and 2024 ( £394,879 million ), that is, about 36 percent lost in revenue, which means extreme loss of competitiveness and demand in the market.</w:t>
      </w:r>
    </w:p>
    <w:p w14:paraId="3128A652" w14:textId="77777777" w:rsidR="002C1B28" w:rsidRDefault="00EB5A10" w:rsidP="00EB5A10">
      <w:r>
        <w:t xml:space="preserve">On the Chief Financial Officer (CFO) perspective, these trends are not only an indicator of a bad industry environment, but also structural inefficiencies in the operational effectiveness and financial policies. </w:t>
      </w:r>
      <w:r w:rsidR="002C1B28">
        <w:t xml:space="preserve">The state of profitability has worsened significantly, as General Electronics shifted a net profit of £38,572 million in 2020 to a net loss of £24,029 million in 2024. Brigham and Ehrhardt (2021) argue that the presence of losses in several periods is a good sign of a decrease in shareholder value and a deteriorating strategy. This is also supported by the operating income of the firm which showed a decline in 2024 where the operating loss is of </w:t>
      </w:r>
      <w:r w:rsidR="002C1B28" w:rsidRPr="002C1B28">
        <w:t>£15,297</w:t>
      </w:r>
      <w:r w:rsidR="002C1B28">
        <w:t xml:space="preserve">million compared to the operating income of </w:t>
      </w:r>
      <w:r w:rsidR="002C1B28" w:rsidRPr="002C1B28">
        <w:t>£37,267</w:t>
      </w:r>
      <w:r w:rsidR="002C1B28">
        <w:t xml:space="preserve"> million in 2020 indicating that cost structures have not changed sufficiently to accommodate the decrease in revenues.</w:t>
      </w:r>
    </w:p>
    <w:p w14:paraId="7F816E67" w14:textId="77777777" w:rsidR="002C1B28" w:rsidRDefault="002C1B28" w:rsidP="002C1B28">
      <w:r>
        <w:t xml:space="preserve">Simultaneously liquidity pressures have increased. Cash and cash equivalents decreased to </w:t>
      </w:r>
      <w:r w:rsidR="00F11009" w:rsidRPr="00F11009">
        <w:t>£26,783</w:t>
      </w:r>
      <w:r>
        <w:t xml:space="preserve">million in 2024 (2020) of </w:t>
      </w:r>
      <w:r w:rsidR="00F11009" w:rsidRPr="00F11009">
        <w:t>£57,153</w:t>
      </w:r>
      <w:r w:rsidR="00F11009">
        <w:t xml:space="preserve"> </w:t>
      </w:r>
      <w:r w:rsidRPr="00F11009">
        <w:t>m</w:t>
      </w:r>
      <w:r w:rsidR="00F11009">
        <w:t>illion, or more than 50%</w:t>
      </w:r>
      <w:r>
        <w:t>, even though the company still relied on short-term credit facilities. Constant cash reserves decreases and unstable operating cash flows enhance the risks of short-term solvency and decrease financial resilience, as noted by Atrill and McLaney (2023). In addition, the increasing reliance on debt financing, as well as the deterioration of interest coverage potential, have also made the overall financial risk profile of the firm more vulnerable to the risks of default and limited strategic flexibility (Ross et al., 2022).</w:t>
      </w:r>
    </w:p>
    <w:p w14:paraId="237564B9" w14:textId="77777777" w:rsidR="002C1B28" w:rsidRDefault="002C1B28" w:rsidP="002C1B28">
      <w:r>
        <w:t xml:space="preserve">To address these statistically observable issues, the main goal of this report is to provide a scientific, evidence-based financial analysis of General Electronics and a recommendation of a turnaround plan that is sustainable. In particular, the report will: (i) identify the diagnosis of the financial performance of the firm based on financial statement and ratio analysis; (ii) critically analyse the working capital management practises, and the recommendation to </w:t>
      </w:r>
      <w:r>
        <w:lastRenderedPageBreak/>
        <w:t>increase liquidity and cash usage efficiency; (iii) design the strategic financial restructuring plan that improves the capital structure in connexion with the international and ethical factors; and (iv) evaluate competing investment projects in terms of established capital budgeting methods under capital rationing conditions.</w:t>
      </w:r>
    </w:p>
    <w:p w14:paraId="69A5D80F" w14:textId="77777777" w:rsidR="002C1B28" w:rsidRPr="002C1B28" w:rsidRDefault="002C1B28" w:rsidP="002C1B28">
      <w:r>
        <w:t>The report is organised in the following way. Section Two provides a complete financial health cheque. Section Three is the assessment of working capital management. Section Four offers a proposed strategic financial restructuring plan. Section Five is the investment appraisal and capital budgeting. The conclusion summarises the results and offers recommendations to CFOs on viable financial recovery.</w:t>
      </w:r>
    </w:p>
    <w:p w14:paraId="1A5EA2E6" w14:textId="77777777" w:rsidR="002417A6" w:rsidRDefault="002417A6" w:rsidP="001C76B1">
      <w:pPr>
        <w:pStyle w:val="Heading1"/>
      </w:pPr>
      <w:bookmarkStart w:id="2" w:name="_Toc217264681"/>
      <w:r>
        <w:t>2. Financial Health Check</w:t>
      </w:r>
      <w:bookmarkEnd w:id="2"/>
      <w:r>
        <w:t xml:space="preserve"> </w:t>
      </w:r>
    </w:p>
    <w:p w14:paraId="3B9C172A" w14:textId="77777777" w:rsidR="00F11009" w:rsidRPr="00F11009" w:rsidRDefault="00F11009" w:rsidP="00F11009">
      <w:r w:rsidRPr="00F11009">
        <w:t>This part is a critical analysis of the financial health of General Electronics in the five-year period between the year 2020 and 2024 based on the income statement, statement of financial position and cash flow statement presented in the assessment brief. The trend analysis, overall ratio reading and a corporate failure prediction model are used to analyse the diagnosis of the financial status of the firm as a Chief Financial Officer (CFO). Within the postgraduate assessment requirements, all the calculations, ratios tables and trend graphs are included in the appendices, whereas in this section, the attention is paid to the interpretation, causal analysis and strategic implications</w:t>
      </w:r>
      <w:r w:rsidR="009A0143">
        <w:t xml:space="preserve"> (Maulana, 2024)</w:t>
      </w:r>
      <w:r w:rsidRPr="00F11009">
        <w:t>.</w:t>
      </w:r>
    </w:p>
    <w:p w14:paraId="6E317647" w14:textId="77777777" w:rsidR="002417A6" w:rsidRDefault="002417A6" w:rsidP="001C76B1">
      <w:pPr>
        <w:pStyle w:val="Heading2"/>
      </w:pPr>
      <w:bookmarkStart w:id="3" w:name="_Toc217264682"/>
      <w:r w:rsidRPr="001C76B1">
        <w:rPr>
          <w:rStyle w:val="Heading2Char"/>
          <w:b/>
        </w:rPr>
        <w:t>2.1 Overview of Financial Performance (2020–2024</w:t>
      </w:r>
      <w:r w:rsidRPr="001C76B1">
        <w:t>)</w:t>
      </w:r>
      <w:bookmarkEnd w:id="3"/>
    </w:p>
    <w:p w14:paraId="7A9381B1" w14:textId="77777777" w:rsidR="00F11009" w:rsidRDefault="00F11009" w:rsidP="00F11009">
      <w:r>
        <w:t xml:space="preserve">A longitudinal analysis of the financial statements of the firm proves that the firm performance is not changing due to volatility but its structure is slowly but steadily diminishing. The net sales recorded in 2022 were </w:t>
      </w:r>
      <w:r w:rsidRPr="00F11009">
        <w:t>£</w:t>
      </w:r>
      <w:r>
        <w:t xml:space="preserve">394879 million, down by about 36% compared with the 2020 level of </w:t>
      </w:r>
      <w:r w:rsidRPr="00F11009">
        <w:t>£</w:t>
      </w:r>
      <w:r>
        <w:t>614,680 million. This continued contraction means that the market demand and competitive positioning in the global consumer electronics industry is weak and scale efficiency and fast innovation is a key element to survive. In the perspective of a CFO, such a long-term downward trend indicates that the company has not been diversifying, establishing pricing, or reorganising costs to successfully counteract the erosion of revenues</w:t>
      </w:r>
      <w:r w:rsidR="009A0143">
        <w:t xml:space="preserve"> (Veronica et al., 2020)</w:t>
      </w:r>
      <w:r>
        <w:t>.</w:t>
      </w:r>
    </w:p>
    <w:p w14:paraId="07E365E8" w14:textId="77777777" w:rsidR="00F11009" w:rsidRDefault="00F11009" w:rsidP="00F11009">
      <w:r>
        <w:t xml:space="preserve">The trends in profitability are also in support of the level of decline in the firm. The General Electronics started with a net profit of £38,572 million in 2020, which changed to marginal profitability in 2021-2022, then huge losses of </w:t>
      </w:r>
      <w:r w:rsidRPr="00F11009">
        <w:t>£</w:t>
      </w:r>
      <w:r>
        <w:t xml:space="preserve">98238 million pounds in 2023 and </w:t>
      </w:r>
      <w:r w:rsidRPr="00F11009">
        <w:t xml:space="preserve">£24,029 </w:t>
      </w:r>
      <w:r>
        <w:lastRenderedPageBreak/>
        <w:t xml:space="preserve">million pounds in 2024. The operating income has taken the same negative trend and changed to operating loss of </w:t>
      </w:r>
      <w:r w:rsidRPr="00F11009">
        <w:t>£15,297</w:t>
      </w:r>
      <w:r>
        <w:t xml:space="preserve"> million as compared to the preceding operating income of </w:t>
      </w:r>
      <w:r w:rsidRPr="00F11009">
        <w:t>£37,267</w:t>
      </w:r>
      <w:r>
        <w:t xml:space="preserve">million. This trend implies negative operating leverage where the fixed and semi-fixed operating costs have been high with the declining revenues. The fact that it is impossible to adjust the cost base to the weakening sales, this is a major sign of structural ineffectiveness and not cyclical underperformance. A similar shrinkage in terms of operations is reflected in the balance sheet. The total assets decreased significantly in 2024 to less than </w:t>
      </w:r>
      <w:r w:rsidRPr="00F11009">
        <w:t xml:space="preserve">£323 </w:t>
      </w:r>
      <w:r>
        <w:t xml:space="preserve">billion pounds compared to the previous year 2020- 2021 (over </w:t>
      </w:r>
      <w:r w:rsidRPr="00F11009">
        <w:t xml:space="preserve">£510 </w:t>
      </w:r>
      <w:r>
        <w:t>billion) because of the decrease in property, plant and equipment and inventories. Although downsizing of the asset can relieve firms in the short term, it also limits the future revenue-generating potential of the firms as well as indicates under-investment in the productive assets. This undermines long-term competitiveness, in terms of strategy</w:t>
      </w:r>
      <w:r w:rsidR="009A0143">
        <w:t xml:space="preserve"> (Sizan et al., 2025)</w:t>
      </w:r>
      <w:r>
        <w:t>.</w:t>
      </w:r>
    </w:p>
    <w:p w14:paraId="39C91979" w14:textId="77777777" w:rsidR="00F11009" w:rsidRPr="00F11009" w:rsidRDefault="00F11009" w:rsidP="00F11009">
      <w:r>
        <w:t xml:space="preserve">Equity erosion is one of the most dangerous warning signs. The equity of shareholders reduced to </w:t>
      </w:r>
      <w:r w:rsidRPr="00F11009">
        <w:t>£153,105</w:t>
      </w:r>
      <w:r>
        <w:t xml:space="preserve"> million in 2024 compared to </w:t>
      </w:r>
      <w:r w:rsidRPr="00F11009">
        <w:t xml:space="preserve">£313,301 </w:t>
      </w:r>
      <w:r>
        <w:t>million in 2020 indicating cumulative activity of losses and treasury shares. Even as total liabilities decreased by a small percentage, the equity has been decreasing more rapidly, leading to higher leverage and less financial strength. Together, a decrease in revenues, the presence of losses, the decrease in assets and the erosion of equity are some of the initial signs of financial pressure that should be addressed further with the use of ratios</w:t>
      </w:r>
      <w:r w:rsidR="009A0143">
        <w:t xml:space="preserve"> (Shinta &amp; Triyono, 2025)</w:t>
      </w:r>
      <w:r>
        <w:t>.</w:t>
      </w:r>
    </w:p>
    <w:p w14:paraId="72E30687" w14:textId="77777777" w:rsidR="002417A6" w:rsidRDefault="002417A6" w:rsidP="00702C67">
      <w:pPr>
        <w:pStyle w:val="Heading2"/>
      </w:pPr>
      <w:bookmarkStart w:id="4" w:name="_Toc217264683"/>
      <w:r>
        <w:t>2.2 Ratio Analysis</w:t>
      </w:r>
      <w:bookmarkEnd w:id="4"/>
    </w:p>
    <w:p w14:paraId="0A7E6581" w14:textId="77777777" w:rsidR="00E27281" w:rsidRPr="00E27281" w:rsidRDefault="00E27281" w:rsidP="00E27281">
      <w:r w:rsidRPr="00E27281">
        <w:t>The ratio analysis is applied to assess the profitability, liquidity, efficiency, gearing, investment returns and quality of cash flow of the firm. This methodology allows a comparative analysis over time and the interdependency between operational performance, financing structure and risk exposure. All ratio calculations and five-year trend graphs can be found in Appendix A</w:t>
      </w:r>
      <w:r w:rsidR="009A0143">
        <w:t xml:space="preserve"> (Hamdani et al., 2024)</w:t>
      </w:r>
      <w:r w:rsidRPr="00E27281">
        <w:t>.</w:t>
      </w:r>
    </w:p>
    <w:p w14:paraId="2E08AE1A" w14:textId="77777777" w:rsidR="002417A6" w:rsidRPr="00A63416" w:rsidRDefault="002417A6" w:rsidP="00702C67">
      <w:pPr>
        <w:pStyle w:val="Heading3"/>
      </w:pPr>
      <w:bookmarkStart w:id="5" w:name="_Toc217264684"/>
      <w:r w:rsidRPr="00A63416">
        <w:t>2.2.1 Profitability Ratios</w:t>
      </w:r>
      <w:bookmarkEnd w:id="5"/>
    </w:p>
    <w:p w14:paraId="1E0BE3AE" w14:textId="77777777" w:rsidR="00E27281" w:rsidRDefault="00E27281" w:rsidP="00E27281">
      <w:r>
        <w:t>Profitability ratios show that there is a systematic decline of earnings capacity across the time. Gross profit margins were positive, but were volatile, and these were signs of increasing cost pressure, and declining pricing power in a highly competitive market. Although the firm has still been able to produce gross profit, this has continued to be less than adequate to cover operating costs</w:t>
      </w:r>
      <w:r w:rsidR="009A0143">
        <w:t xml:space="preserve"> (Liu et al., 2021)</w:t>
      </w:r>
      <w:r>
        <w:t xml:space="preserve">. The operating margins became worse and went negative during the past years. It is a sign that the operating costs have not been cut in ratio to the </w:t>
      </w:r>
      <w:r>
        <w:lastRenderedPageBreak/>
        <w:t>declining revenues, which is cost inflexibility and poor operational scalability. As a CFO, this implies that the overheads structures and restructuring expenses have been consuming increasingly larger shares of gross profit to the detriment of the operating efficiency.</w:t>
      </w:r>
    </w:p>
    <w:p w14:paraId="492A4195" w14:textId="77777777" w:rsidR="00E27281" w:rsidRPr="00E27281" w:rsidRDefault="00E27281" w:rsidP="00E27281">
      <w:r>
        <w:t>Net profit margins took up a similar pattern, becoming negatively sharp in 2023 and 2024. This long-term unprofitable situation means that the existing operating model will not be economically viable anymore in the firm. Assets returns on assets (ROA) and equity (ROE) became negative and thus indicated that shareholder values were being destroyed. The capital used by the organisation is thus not reaping proper returns, as it raises the risk of investors, and diminishes the confidence in the market</w:t>
      </w:r>
      <w:r w:rsidR="00F62B0B">
        <w:t xml:space="preserve"> (Rahmad &amp; Rudianto, 2023)</w:t>
      </w:r>
      <w:r>
        <w:t>.</w:t>
      </w:r>
    </w:p>
    <w:p w14:paraId="7522D3E2" w14:textId="77777777" w:rsidR="002417A6" w:rsidRPr="00A63416" w:rsidRDefault="002417A6" w:rsidP="00702C67">
      <w:pPr>
        <w:pStyle w:val="Heading3"/>
      </w:pPr>
      <w:bookmarkStart w:id="6" w:name="_Toc217264685"/>
      <w:r w:rsidRPr="00A63416">
        <w:t>2.2.2 Liquidity Ratios</w:t>
      </w:r>
      <w:bookmarkEnd w:id="6"/>
    </w:p>
    <w:p w14:paraId="54276E60" w14:textId="77777777" w:rsidR="00E27281" w:rsidRDefault="00E27281" w:rsidP="00E27281">
      <w:r>
        <w:t>The liquidity ratios indicate the increasing liquidity pressures in the short term. The current ratio dropped in the same period of five years and reduced the buffer between the current assets and the current liabilities. The quality of the ratio has declined, although it stands slightly higher in comparison. The quick ratio is a more critical test as it indicates that it heavily relies on inventories as a way of supplying liquidity. The inventories in consumer electronics industry face a high rate of obsolescence and hence they are not useful in maintaining liquidity safety. Such excessive dependency on inventory increases the short-term risk especially during the seasons of demand fluctuations</w:t>
      </w:r>
      <w:r w:rsidR="00D7778C">
        <w:t xml:space="preserve"> (Endramurti, 2024)</w:t>
      </w:r>
      <w:r>
        <w:t>.</w:t>
      </w:r>
    </w:p>
    <w:p w14:paraId="07C23AA9" w14:textId="77777777" w:rsidR="00E27281" w:rsidRPr="00E27281" w:rsidRDefault="00E27281" w:rsidP="00E27281">
      <w:r>
        <w:t>The operating cash flow ratio shows the greatest weakness: the operating cash flows are not enough to pay the current liabilities continuously. This implies that the liquidity is being maintained by short-term funding and working capital flows as opposed to stable operating performance. These results provide a strong causal relationship between the deterioration of liquidity and the lack of efficiency in the management of working capital that is discussed in Section 3</w:t>
      </w:r>
      <w:r w:rsidR="00D7778C">
        <w:t xml:space="preserve"> (Yulianti et al., 2025)</w:t>
      </w:r>
      <w:r>
        <w:t>.</w:t>
      </w:r>
    </w:p>
    <w:p w14:paraId="41511A72" w14:textId="77777777" w:rsidR="002417A6" w:rsidRPr="00A63416" w:rsidRDefault="002417A6" w:rsidP="00702C67">
      <w:pPr>
        <w:pStyle w:val="Heading3"/>
      </w:pPr>
      <w:bookmarkStart w:id="7" w:name="_Toc217264686"/>
      <w:r w:rsidRPr="00A63416">
        <w:t>2.2.3 Efficiency Ratios</w:t>
      </w:r>
      <w:bookmarkEnd w:id="7"/>
    </w:p>
    <w:p w14:paraId="5F7051F7" w14:textId="77777777" w:rsidR="00A3763A" w:rsidRPr="00A3763A" w:rsidRDefault="00A3763A" w:rsidP="00A3763A">
      <w:r w:rsidRPr="00A3763A">
        <w:t>The efficiency ratios indicate the failure by the firm to manage operating assets. There was reduced inventory turnover during the period, which was accompanied by an increase in the inventory days meaning that the stock was not moving and a lot of capital was tied up in inventories. This is a real threat in a technology-based industry where unsold inventory can be subject to write-downs, further shrinking the margins</w:t>
      </w:r>
      <w:r w:rsidR="00D7778C">
        <w:t xml:space="preserve"> (Heniwati &amp; Essen, 2020)</w:t>
      </w:r>
      <w:r w:rsidRPr="00A3763A">
        <w:t xml:space="preserve">. The number of days of receivables rose, which is an indicator of poor credit management and sluggish cash receipt. This will extend the cash operating cycle and exposure to bad debts. The payables days </w:t>
      </w:r>
      <w:r w:rsidRPr="00A3763A">
        <w:lastRenderedPageBreak/>
        <w:t xml:space="preserve">varied, which implied inconsistent supplier financing approaches. Although the entrapment of payables will pressure the cash flow in the short-term, it will likely cause the destruction of </w:t>
      </w:r>
      <w:r w:rsidR="00D7778C" w:rsidRPr="00A3763A">
        <w:t>supplier’s</w:t>
      </w:r>
      <w:r w:rsidRPr="00A3763A">
        <w:t xml:space="preserve"> relationships and supply chains. All in all, efficiency ratios reveal that there is a lengthening of the cash cycle and this has a direct impact on liquidity stress and overdependence on external financing</w:t>
      </w:r>
      <w:r w:rsidR="00D7778C">
        <w:t xml:space="preserve"> (Sitinjak et al., 2025)</w:t>
      </w:r>
      <w:r w:rsidRPr="00A3763A">
        <w:t>.</w:t>
      </w:r>
    </w:p>
    <w:p w14:paraId="730566AA" w14:textId="77777777" w:rsidR="002417A6" w:rsidRPr="00A63416" w:rsidRDefault="002417A6" w:rsidP="00702C67">
      <w:pPr>
        <w:pStyle w:val="Heading3"/>
      </w:pPr>
      <w:bookmarkStart w:id="8" w:name="_Toc217264687"/>
      <w:r w:rsidRPr="00A63416">
        <w:t>2.2.4 Gearing and Solvency Ratios</w:t>
      </w:r>
      <w:bookmarkEnd w:id="8"/>
    </w:p>
    <w:p w14:paraId="31408437" w14:textId="77777777" w:rsidR="00A3763A" w:rsidRPr="00A3763A" w:rsidRDefault="00A3763A" w:rsidP="00A3763A">
      <w:r w:rsidRPr="00A3763A">
        <w:t>Gearing ratios denote increasing financial risk. The increase in debt-to-equity ratio is due to the decrease in equity and an increase of leverage as a result of equity erosion and not excessive new borrowing. This dilutes the capital structure of the firm and diminishes its ability to take in additional losses. The coverage of interest worsened significantly and became negative during the past few years as the operating income dwindled. This is an indicator of lower debt-servicing ability and increased risks of default by a lender. As a CFO, the worsening solvency ratios limit the flexibility of the strategy, raise the cost of capital and reduce the future financing options</w:t>
      </w:r>
      <w:r w:rsidR="00723CA0">
        <w:t xml:space="preserve"> (Amor et al., 2024)</w:t>
      </w:r>
      <w:r w:rsidRPr="00A3763A">
        <w:t>.</w:t>
      </w:r>
    </w:p>
    <w:p w14:paraId="131D0095" w14:textId="77777777" w:rsidR="002417A6" w:rsidRPr="00A63416" w:rsidRDefault="002417A6" w:rsidP="00702C67">
      <w:pPr>
        <w:pStyle w:val="Heading3"/>
      </w:pPr>
      <w:bookmarkStart w:id="9" w:name="_Toc217264688"/>
      <w:r w:rsidRPr="00A63416">
        <w:t>2.2.5 Cash Flow Analysis</w:t>
      </w:r>
      <w:bookmarkEnd w:id="9"/>
    </w:p>
    <w:p w14:paraId="5AAC1C5C" w14:textId="77777777" w:rsidR="00A3763A" w:rsidRPr="00A3763A" w:rsidRDefault="00A3763A" w:rsidP="00A3763A">
      <w:r w:rsidRPr="00A3763A">
        <w:t>The trends in net profit and operating cash flow show that there is a growing divergence over the past years. Although cash flows were operating in a positive manner; they were mainly assisted by non-cash adjustments and movement of working capital as opposed to sustainable earnings. This casts quality of earnings issues as core operations are not supported by profitable cash generating operations. The use of temporary working capital to make up cash flow is not a long-term solution and places the company at a risk of increased liquidity risks in case the operating conditions get worse</w:t>
      </w:r>
      <w:r w:rsidR="00723CA0">
        <w:t xml:space="preserve"> (Nanda et al., 2023)</w:t>
      </w:r>
      <w:r w:rsidRPr="00A3763A">
        <w:t>.</w:t>
      </w:r>
    </w:p>
    <w:p w14:paraId="17C8D329" w14:textId="77777777" w:rsidR="002417A6" w:rsidRDefault="002417A6" w:rsidP="00702C67">
      <w:pPr>
        <w:pStyle w:val="Heading2"/>
      </w:pPr>
      <w:bookmarkStart w:id="10" w:name="_Toc217264689"/>
      <w:r>
        <w:t>2.3 Corporate Failure Prediction Model: Altman Z-Score</w:t>
      </w:r>
      <w:bookmarkEnd w:id="10"/>
    </w:p>
    <w:p w14:paraId="0E59884A" w14:textId="77777777" w:rsidR="00A3763A" w:rsidRPr="00A3763A" w:rsidRDefault="00A3763A" w:rsidP="00A3763A">
      <w:r w:rsidRPr="00A3763A">
        <w:t>In order to determine the default risk, Altman Z-Score model is used and complete calculations were given in Appendix B. The score obtained positions General Electronics in the grey/distress region, which means that there are high chances of financial death without corrective measures. Creditors: To creditors, this classification is an indication of greater credit risk; shareholders: This classification is an indication of greater uncertainty and loss of residual value. Tactically, the Z-Score performance supports the sense of urgency in respect to financial reorganisation and strict capital allocation</w:t>
      </w:r>
      <w:r w:rsidR="00723CA0">
        <w:t xml:space="preserve"> (Judijanto, 2025)</w:t>
      </w:r>
      <w:r w:rsidRPr="00A3763A">
        <w:t>.</w:t>
      </w:r>
      <w:r w:rsidR="00723CA0">
        <w:t xml:space="preserve"> </w:t>
      </w:r>
    </w:p>
    <w:p w14:paraId="1BCE41CC" w14:textId="77777777" w:rsidR="00C616E8" w:rsidRDefault="00C616E8" w:rsidP="00702C67">
      <w:pPr>
        <w:pStyle w:val="Heading1"/>
      </w:pPr>
      <w:bookmarkStart w:id="11" w:name="_Toc217264690"/>
      <w:r>
        <w:lastRenderedPageBreak/>
        <w:t>3. Working Capital Management Analysis</w:t>
      </w:r>
      <w:bookmarkEnd w:id="11"/>
      <w:r>
        <w:t xml:space="preserve"> </w:t>
      </w:r>
    </w:p>
    <w:p w14:paraId="52BEEA74" w14:textId="77777777" w:rsidR="00A3763A" w:rsidRPr="00A3763A" w:rsidRDefault="00A3763A" w:rsidP="00A3763A">
      <w:r w:rsidRPr="00A3763A">
        <w:t>The management of working capital is very important in companies that are in distress conditions since it has a direct impact on liquidity, stable cash flow and short-term solvency. Considering the worsening liquidity situation, as shown in Section 2, this section assesses the cash operating cycle (COC) of General Electronics, determines the causes of cash lock-up in the operation process, and suggests specific working capital changes</w:t>
      </w:r>
      <w:r w:rsidR="00723CA0">
        <w:t xml:space="preserve"> </w:t>
      </w:r>
      <w:r w:rsidR="00852B0A">
        <w:t>(Bashir et al., 2024)</w:t>
      </w:r>
      <w:r w:rsidRPr="00A3763A">
        <w:t>. The short term and long term financing options are also compared as the conclusion of the analysis to help in financing liquidity in a sustainable way.</w:t>
      </w:r>
    </w:p>
    <w:p w14:paraId="01353897" w14:textId="77777777" w:rsidR="00C616E8" w:rsidRDefault="00C616E8" w:rsidP="00702C67">
      <w:pPr>
        <w:pStyle w:val="Heading2"/>
      </w:pPr>
      <w:bookmarkStart w:id="12" w:name="_Toc217264691"/>
      <w:r>
        <w:t>3.1 Cash Operating Cycle Analysis</w:t>
      </w:r>
      <w:bookmarkEnd w:id="12"/>
    </w:p>
    <w:p w14:paraId="71C8A12A" w14:textId="77777777" w:rsidR="00A3763A" w:rsidRPr="00A3763A" w:rsidRDefault="00A3763A" w:rsidP="00A3763A">
      <w:r w:rsidRPr="00A3763A">
        <w:t>Cash operating cycle refers to the duration of time in terms of which the cash is held in operations prior to it being converted back into cash. It is calculated as:</w:t>
      </w:r>
    </w:p>
    <w:p w14:paraId="38DBBDD2" w14:textId="77777777" w:rsidR="00403FDD" w:rsidRPr="00403FDD" w:rsidRDefault="00403FDD" w:rsidP="00403FDD">
      <w:pPr>
        <w:jc w:val="center"/>
        <w:rPr>
          <w:b/>
        </w:rPr>
      </w:pPr>
      <w:r w:rsidRPr="00403FDD">
        <w:rPr>
          <w:b/>
        </w:rPr>
        <w:t>Cash Operating Cycle = Inventory Days + Receivables Days − Payables Days</w:t>
      </w:r>
    </w:p>
    <w:p w14:paraId="610E0684" w14:textId="77777777" w:rsidR="00C616E8" w:rsidRDefault="00C616E8" w:rsidP="00C616E8"/>
    <w:p w14:paraId="721CDF00" w14:textId="77777777" w:rsidR="00C616E8" w:rsidRPr="00403FDD" w:rsidRDefault="00C616E8" w:rsidP="00C616E8">
      <w:pPr>
        <w:rPr>
          <w:b/>
        </w:rPr>
      </w:pPr>
      <w:r w:rsidRPr="00403FDD">
        <w:rPr>
          <w:b/>
        </w:rPr>
        <w:t>Table 3.1: Cash Operating Cycle Components (2020–2024)</w:t>
      </w:r>
    </w:p>
    <w:p w14:paraId="58A3F62A" w14:textId="77777777" w:rsidR="00C616E8" w:rsidRDefault="00C616E8" w:rsidP="00C616E8">
      <w:r>
        <w:t>(Detailed calculations provided in Appendix D)</w:t>
      </w:r>
    </w:p>
    <w:tbl>
      <w:tblPr>
        <w:tblStyle w:val="GridTable4-Accent5"/>
        <w:tblW w:w="0" w:type="auto"/>
        <w:tblLook w:val="04A0" w:firstRow="1" w:lastRow="0" w:firstColumn="1" w:lastColumn="0" w:noHBand="0" w:noVBand="1"/>
      </w:tblPr>
      <w:tblGrid>
        <w:gridCol w:w="1803"/>
        <w:gridCol w:w="1803"/>
        <w:gridCol w:w="1803"/>
        <w:gridCol w:w="1803"/>
        <w:gridCol w:w="1804"/>
      </w:tblGrid>
      <w:tr w:rsidR="00403FDD" w:rsidRPr="00403FDD" w14:paraId="3F0A8A1E" w14:textId="77777777" w:rsidTr="00403F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5278A24" w14:textId="77777777" w:rsidR="00403FDD" w:rsidRPr="00403FDD" w:rsidRDefault="00403FDD" w:rsidP="00084646">
            <w:r w:rsidRPr="00403FDD">
              <w:t>Year</w:t>
            </w:r>
          </w:p>
        </w:tc>
        <w:tc>
          <w:tcPr>
            <w:tcW w:w="1803" w:type="dxa"/>
          </w:tcPr>
          <w:p w14:paraId="78EB5B98" w14:textId="77777777" w:rsidR="00403FDD" w:rsidRPr="00403FDD" w:rsidRDefault="00403FDD" w:rsidP="00084646">
            <w:pPr>
              <w:cnfStyle w:val="100000000000" w:firstRow="1" w:lastRow="0" w:firstColumn="0" w:lastColumn="0" w:oddVBand="0" w:evenVBand="0" w:oddHBand="0" w:evenHBand="0" w:firstRowFirstColumn="0" w:firstRowLastColumn="0" w:lastRowFirstColumn="0" w:lastRowLastColumn="0"/>
            </w:pPr>
            <w:r w:rsidRPr="00403FDD">
              <w:t>Inventory Days</w:t>
            </w:r>
          </w:p>
        </w:tc>
        <w:tc>
          <w:tcPr>
            <w:tcW w:w="1803" w:type="dxa"/>
          </w:tcPr>
          <w:p w14:paraId="7825D239" w14:textId="77777777" w:rsidR="00403FDD" w:rsidRPr="00403FDD" w:rsidRDefault="00403FDD" w:rsidP="00084646">
            <w:pPr>
              <w:cnfStyle w:val="100000000000" w:firstRow="1" w:lastRow="0" w:firstColumn="0" w:lastColumn="0" w:oddVBand="0" w:evenVBand="0" w:oddHBand="0" w:evenHBand="0" w:firstRowFirstColumn="0" w:firstRowLastColumn="0" w:lastRowFirstColumn="0" w:lastRowLastColumn="0"/>
            </w:pPr>
            <w:r w:rsidRPr="00403FDD">
              <w:t>Receivables Days</w:t>
            </w:r>
          </w:p>
        </w:tc>
        <w:tc>
          <w:tcPr>
            <w:tcW w:w="1803" w:type="dxa"/>
          </w:tcPr>
          <w:p w14:paraId="5DFEC639" w14:textId="77777777" w:rsidR="00403FDD" w:rsidRPr="00403FDD" w:rsidRDefault="00403FDD" w:rsidP="00084646">
            <w:pPr>
              <w:cnfStyle w:val="100000000000" w:firstRow="1" w:lastRow="0" w:firstColumn="0" w:lastColumn="0" w:oddVBand="0" w:evenVBand="0" w:oddHBand="0" w:evenHBand="0" w:firstRowFirstColumn="0" w:firstRowLastColumn="0" w:lastRowFirstColumn="0" w:lastRowLastColumn="0"/>
            </w:pPr>
            <w:r w:rsidRPr="00403FDD">
              <w:t>Payables Days</w:t>
            </w:r>
          </w:p>
        </w:tc>
        <w:tc>
          <w:tcPr>
            <w:tcW w:w="1804" w:type="dxa"/>
          </w:tcPr>
          <w:p w14:paraId="120759BE" w14:textId="77777777" w:rsidR="00403FDD" w:rsidRPr="00403FDD" w:rsidRDefault="00403FDD" w:rsidP="00084646">
            <w:pPr>
              <w:cnfStyle w:val="100000000000" w:firstRow="1" w:lastRow="0" w:firstColumn="0" w:lastColumn="0" w:oddVBand="0" w:evenVBand="0" w:oddHBand="0" w:evenHBand="0" w:firstRowFirstColumn="0" w:firstRowLastColumn="0" w:lastRowFirstColumn="0" w:lastRowLastColumn="0"/>
            </w:pPr>
            <w:r w:rsidRPr="00403FDD">
              <w:t>Net Cash Cycle (Days)</w:t>
            </w:r>
          </w:p>
        </w:tc>
      </w:tr>
      <w:tr w:rsidR="00403FDD" w:rsidRPr="00403FDD" w14:paraId="6EE9BF3F" w14:textId="77777777" w:rsidTr="00403F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12616E4D" w14:textId="77777777" w:rsidR="00403FDD" w:rsidRPr="00403FDD" w:rsidRDefault="00403FDD" w:rsidP="00084646">
            <w:r w:rsidRPr="00403FDD">
              <w:t>2020</w:t>
            </w:r>
          </w:p>
        </w:tc>
        <w:tc>
          <w:tcPr>
            <w:tcW w:w="1803" w:type="dxa"/>
          </w:tcPr>
          <w:p w14:paraId="3ED14BCD" w14:textId="77777777" w:rsidR="00403FDD" w:rsidRPr="00403FDD" w:rsidRDefault="00403FDD" w:rsidP="00084646">
            <w:pPr>
              <w:cnfStyle w:val="000000100000" w:firstRow="0" w:lastRow="0" w:firstColumn="0" w:lastColumn="0" w:oddVBand="0" w:evenVBand="0" w:oddHBand="1" w:evenHBand="0" w:firstRowFirstColumn="0" w:firstRowLastColumn="0" w:lastRowFirstColumn="0" w:lastRowLastColumn="0"/>
            </w:pPr>
            <w:r w:rsidRPr="00403FDD">
              <w:t>100</w:t>
            </w:r>
          </w:p>
        </w:tc>
        <w:tc>
          <w:tcPr>
            <w:tcW w:w="1803" w:type="dxa"/>
          </w:tcPr>
          <w:p w14:paraId="7E55CA6A" w14:textId="77777777" w:rsidR="00403FDD" w:rsidRPr="00403FDD" w:rsidRDefault="00403FDD" w:rsidP="00084646">
            <w:pPr>
              <w:cnfStyle w:val="000000100000" w:firstRow="0" w:lastRow="0" w:firstColumn="0" w:lastColumn="0" w:oddVBand="0" w:evenVBand="0" w:oddHBand="1" w:evenHBand="0" w:firstRowFirstColumn="0" w:firstRowLastColumn="0" w:lastRowFirstColumn="0" w:lastRowLastColumn="0"/>
            </w:pPr>
            <w:r w:rsidRPr="00403FDD">
              <w:t>77</w:t>
            </w:r>
          </w:p>
        </w:tc>
        <w:tc>
          <w:tcPr>
            <w:tcW w:w="1803" w:type="dxa"/>
          </w:tcPr>
          <w:p w14:paraId="3C4347A2" w14:textId="77777777" w:rsidR="00403FDD" w:rsidRPr="00403FDD" w:rsidRDefault="00403FDD" w:rsidP="00084646">
            <w:pPr>
              <w:cnfStyle w:val="000000100000" w:firstRow="0" w:lastRow="0" w:firstColumn="0" w:lastColumn="0" w:oddVBand="0" w:evenVBand="0" w:oddHBand="1" w:evenHBand="0" w:firstRowFirstColumn="0" w:firstRowLastColumn="0" w:lastRowFirstColumn="0" w:lastRowLastColumn="0"/>
            </w:pPr>
            <w:r w:rsidRPr="00403FDD">
              <w:t>69</w:t>
            </w:r>
          </w:p>
        </w:tc>
        <w:tc>
          <w:tcPr>
            <w:tcW w:w="1804" w:type="dxa"/>
          </w:tcPr>
          <w:p w14:paraId="7C1FE6E4" w14:textId="77777777" w:rsidR="00403FDD" w:rsidRPr="00403FDD" w:rsidRDefault="00403FDD" w:rsidP="00084646">
            <w:pPr>
              <w:cnfStyle w:val="000000100000" w:firstRow="0" w:lastRow="0" w:firstColumn="0" w:lastColumn="0" w:oddVBand="0" w:evenVBand="0" w:oddHBand="1" w:evenHBand="0" w:firstRowFirstColumn="0" w:firstRowLastColumn="0" w:lastRowFirstColumn="0" w:lastRowLastColumn="0"/>
            </w:pPr>
            <w:r w:rsidRPr="00403FDD">
              <w:t>108</w:t>
            </w:r>
          </w:p>
        </w:tc>
      </w:tr>
      <w:tr w:rsidR="00403FDD" w:rsidRPr="00403FDD" w14:paraId="43D917CF" w14:textId="77777777" w:rsidTr="00403FDD">
        <w:tc>
          <w:tcPr>
            <w:cnfStyle w:val="001000000000" w:firstRow="0" w:lastRow="0" w:firstColumn="1" w:lastColumn="0" w:oddVBand="0" w:evenVBand="0" w:oddHBand="0" w:evenHBand="0" w:firstRowFirstColumn="0" w:firstRowLastColumn="0" w:lastRowFirstColumn="0" w:lastRowLastColumn="0"/>
            <w:tcW w:w="1803" w:type="dxa"/>
          </w:tcPr>
          <w:p w14:paraId="185ACEFF" w14:textId="77777777" w:rsidR="00403FDD" w:rsidRPr="00403FDD" w:rsidRDefault="00403FDD" w:rsidP="00084646">
            <w:r w:rsidRPr="00403FDD">
              <w:t>2021</w:t>
            </w:r>
          </w:p>
        </w:tc>
        <w:tc>
          <w:tcPr>
            <w:tcW w:w="1803" w:type="dxa"/>
          </w:tcPr>
          <w:p w14:paraId="6EC3D0E5" w14:textId="77777777" w:rsidR="00403FDD" w:rsidRPr="00403FDD" w:rsidRDefault="00403FDD" w:rsidP="00084646">
            <w:pPr>
              <w:cnfStyle w:val="000000000000" w:firstRow="0" w:lastRow="0" w:firstColumn="0" w:lastColumn="0" w:oddVBand="0" w:evenVBand="0" w:oddHBand="0" w:evenHBand="0" w:firstRowFirstColumn="0" w:firstRowLastColumn="0" w:lastRowFirstColumn="0" w:lastRowLastColumn="0"/>
            </w:pPr>
            <w:r w:rsidRPr="00403FDD">
              <w:t>114</w:t>
            </w:r>
          </w:p>
        </w:tc>
        <w:tc>
          <w:tcPr>
            <w:tcW w:w="1803" w:type="dxa"/>
          </w:tcPr>
          <w:p w14:paraId="6931CD3C" w14:textId="77777777" w:rsidR="00403FDD" w:rsidRPr="00403FDD" w:rsidRDefault="00403FDD" w:rsidP="00084646">
            <w:pPr>
              <w:cnfStyle w:val="000000000000" w:firstRow="0" w:lastRow="0" w:firstColumn="0" w:lastColumn="0" w:oddVBand="0" w:evenVBand="0" w:oddHBand="0" w:evenHBand="0" w:firstRowFirstColumn="0" w:firstRowLastColumn="0" w:lastRowFirstColumn="0" w:lastRowLastColumn="0"/>
            </w:pPr>
            <w:r w:rsidRPr="00403FDD">
              <w:t>78</w:t>
            </w:r>
          </w:p>
        </w:tc>
        <w:tc>
          <w:tcPr>
            <w:tcW w:w="1803" w:type="dxa"/>
          </w:tcPr>
          <w:p w14:paraId="369B744D" w14:textId="77777777" w:rsidR="00403FDD" w:rsidRPr="00403FDD" w:rsidRDefault="00403FDD" w:rsidP="00084646">
            <w:pPr>
              <w:cnfStyle w:val="000000000000" w:firstRow="0" w:lastRow="0" w:firstColumn="0" w:lastColumn="0" w:oddVBand="0" w:evenVBand="0" w:oddHBand="0" w:evenHBand="0" w:firstRowFirstColumn="0" w:firstRowLastColumn="0" w:lastRowFirstColumn="0" w:lastRowLastColumn="0"/>
            </w:pPr>
            <w:r w:rsidRPr="00403FDD">
              <w:t>79</w:t>
            </w:r>
          </w:p>
        </w:tc>
        <w:tc>
          <w:tcPr>
            <w:tcW w:w="1804" w:type="dxa"/>
          </w:tcPr>
          <w:p w14:paraId="04C99155" w14:textId="77777777" w:rsidR="00403FDD" w:rsidRPr="00403FDD" w:rsidRDefault="00403FDD" w:rsidP="00084646">
            <w:pPr>
              <w:cnfStyle w:val="000000000000" w:firstRow="0" w:lastRow="0" w:firstColumn="0" w:lastColumn="0" w:oddVBand="0" w:evenVBand="0" w:oddHBand="0" w:evenHBand="0" w:firstRowFirstColumn="0" w:firstRowLastColumn="0" w:lastRowFirstColumn="0" w:lastRowLastColumn="0"/>
            </w:pPr>
            <w:r w:rsidRPr="00403FDD">
              <w:t>113</w:t>
            </w:r>
          </w:p>
        </w:tc>
      </w:tr>
      <w:tr w:rsidR="00403FDD" w:rsidRPr="00403FDD" w14:paraId="67749AE7" w14:textId="77777777" w:rsidTr="00403F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A73474C" w14:textId="77777777" w:rsidR="00403FDD" w:rsidRPr="00403FDD" w:rsidRDefault="00403FDD" w:rsidP="00084646">
            <w:r w:rsidRPr="00403FDD">
              <w:t>2022</w:t>
            </w:r>
          </w:p>
        </w:tc>
        <w:tc>
          <w:tcPr>
            <w:tcW w:w="1803" w:type="dxa"/>
          </w:tcPr>
          <w:p w14:paraId="33832C6A" w14:textId="77777777" w:rsidR="00403FDD" w:rsidRPr="00403FDD" w:rsidRDefault="00403FDD" w:rsidP="00084646">
            <w:pPr>
              <w:cnfStyle w:val="000000100000" w:firstRow="0" w:lastRow="0" w:firstColumn="0" w:lastColumn="0" w:oddVBand="0" w:evenVBand="0" w:oddHBand="1" w:evenHBand="0" w:firstRowFirstColumn="0" w:firstRowLastColumn="0" w:lastRowFirstColumn="0" w:lastRowLastColumn="0"/>
            </w:pPr>
            <w:r w:rsidRPr="00403FDD">
              <w:t>131</w:t>
            </w:r>
          </w:p>
        </w:tc>
        <w:tc>
          <w:tcPr>
            <w:tcW w:w="1803" w:type="dxa"/>
          </w:tcPr>
          <w:p w14:paraId="4A4BB773" w14:textId="77777777" w:rsidR="00403FDD" w:rsidRPr="00403FDD" w:rsidRDefault="00403FDD" w:rsidP="00084646">
            <w:pPr>
              <w:cnfStyle w:val="000000100000" w:firstRow="0" w:lastRow="0" w:firstColumn="0" w:lastColumn="0" w:oddVBand="0" w:evenVBand="0" w:oddHBand="1" w:evenHBand="0" w:firstRowFirstColumn="0" w:firstRowLastColumn="0" w:lastRowFirstColumn="0" w:lastRowLastColumn="0"/>
            </w:pPr>
            <w:r w:rsidRPr="00403FDD">
              <w:t>76</w:t>
            </w:r>
          </w:p>
        </w:tc>
        <w:tc>
          <w:tcPr>
            <w:tcW w:w="1803" w:type="dxa"/>
          </w:tcPr>
          <w:p w14:paraId="55C9818E" w14:textId="77777777" w:rsidR="00403FDD" w:rsidRPr="00403FDD" w:rsidRDefault="00403FDD" w:rsidP="00084646">
            <w:pPr>
              <w:cnfStyle w:val="000000100000" w:firstRow="0" w:lastRow="0" w:firstColumn="0" w:lastColumn="0" w:oddVBand="0" w:evenVBand="0" w:oddHBand="1" w:evenHBand="0" w:firstRowFirstColumn="0" w:firstRowLastColumn="0" w:lastRowFirstColumn="0" w:lastRowLastColumn="0"/>
            </w:pPr>
            <w:r w:rsidRPr="00403FDD">
              <w:t>67</w:t>
            </w:r>
          </w:p>
        </w:tc>
        <w:tc>
          <w:tcPr>
            <w:tcW w:w="1804" w:type="dxa"/>
          </w:tcPr>
          <w:p w14:paraId="2E7C0911" w14:textId="77777777" w:rsidR="00403FDD" w:rsidRPr="00403FDD" w:rsidRDefault="00403FDD" w:rsidP="00084646">
            <w:pPr>
              <w:cnfStyle w:val="000000100000" w:firstRow="0" w:lastRow="0" w:firstColumn="0" w:lastColumn="0" w:oddVBand="0" w:evenVBand="0" w:oddHBand="1" w:evenHBand="0" w:firstRowFirstColumn="0" w:firstRowLastColumn="0" w:lastRowFirstColumn="0" w:lastRowLastColumn="0"/>
            </w:pPr>
            <w:r w:rsidRPr="00403FDD">
              <w:t>140</w:t>
            </w:r>
          </w:p>
        </w:tc>
      </w:tr>
      <w:tr w:rsidR="00403FDD" w:rsidRPr="00403FDD" w14:paraId="426A3AD5" w14:textId="77777777" w:rsidTr="00403FDD">
        <w:tc>
          <w:tcPr>
            <w:cnfStyle w:val="001000000000" w:firstRow="0" w:lastRow="0" w:firstColumn="1" w:lastColumn="0" w:oddVBand="0" w:evenVBand="0" w:oddHBand="0" w:evenHBand="0" w:firstRowFirstColumn="0" w:firstRowLastColumn="0" w:lastRowFirstColumn="0" w:lastRowLastColumn="0"/>
            <w:tcW w:w="1803" w:type="dxa"/>
          </w:tcPr>
          <w:p w14:paraId="7F6785ED" w14:textId="77777777" w:rsidR="00403FDD" w:rsidRPr="00403FDD" w:rsidRDefault="00403FDD" w:rsidP="00084646">
            <w:r w:rsidRPr="00403FDD">
              <w:t>2023</w:t>
            </w:r>
          </w:p>
        </w:tc>
        <w:tc>
          <w:tcPr>
            <w:tcW w:w="1803" w:type="dxa"/>
          </w:tcPr>
          <w:p w14:paraId="4189D886" w14:textId="77777777" w:rsidR="00403FDD" w:rsidRPr="00403FDD" w:rsidRDefault="00403FDD" w:rsidP="00084646">
            <w:pPr>
              <w:cnfStyle w:val="000000000000" w:firstRow="0" w:lastRow="0" w:firstColumn="0" w:lastColumn="0" w:oddVBand="0" w:evenVBand="0" w:oddHBand="0" w:evenHBand="0" w:firstRowFirstColumn="0" w:firstRowLastColumn="0" w:lastRowFirstColumn="0" w:lastRowLastColumn="0"/>
            </w:pPr>
            <w:r w:rsidRPr="00403FDD">
              <w:t>100</w:t>
            </w:r>
          </w:p>
        </w:tc>
        <w:tc>
          <w:tcPr>
            <w:tcW w:w="1803" w:type="dxa"/>
          </w:tcPr>
          <w:p w14:paraId="6044573B" w14:textId="77777777" w:rsidR="00403FDD" w:rsidRPr="00403FDD" w:rsidRDefault="00403FDD" w:rsidP="00084646">
            <w:pPr>
              <w:cnfStyle w:val="000000000000" w:firstRow="0" w:lastRow="0" w:firstColumn="0" w:lastColumn="0" w:oddVBand="0" w:evenVBand="0" w:oddHBand="0" w:evenHBand="0" w:firstRowFirstColumn="0" w:firstRowLastColumn="0" w:lastRowFirstColumn="0" w:lastRowLastColumn="0"/>
            </w:pPr>
            <w:r w:rsidRPr="00403FDD">
              <w:t>98</w:t>
            </w:r>
          </w:p>
        </w:tc>
        <w:tc>
          <w:tcPr>
            <w:tcW w:w="1803" w:type="dxa"/>
          </w:tcPr>
          <w:p w14:paraId="38D3685F" w14:textId="77777777" w:rsidR="00403FDD" w:rsidRPr="00403FDD" w:rsidRDefault="00403FDD" w:rsidP="00084646">
            <w:pPr>
              <w:cnfStyle w:val="000000000000" w:firstRow="0" w:lastRow="0" w:firstColumn="0" w:lastColumn="0" w:oddVBand="0" w:evenVBand="0" w:oddHBand="0" w:evenHBand="0" w:firstRowFirstColumn="0" w:firstRowLastColumn="0" w:lastRowFirstColumn="0" w:lastRowLastColumn="0"/>
            </w:pPr>
            <w:r w:rsidRPr="00403FDD">
              <w:t>65</w:t>
            </w:r>
          </w:p>
        </w:tc>
        <w:tc>
          <w:tcPr>
            <w:tcW w:w="1804" w:type="dxa"/>
          </w:tcPr>
          <w:p w14:paraId="2157DA9B" w14:textId="77777777" w:rsidR="00403FDD" w:rsidRPr="00403FDD" w:rsidRDefault="00403FDD" w:rsidP="00084646">
            <w:pPr>
              <w:cnfStyle w:val="000000000000" w:firstRow="0" w:lastRow="0" w:firstColumn="0" w:lastColumn="0" w:oddVBand="0" w:evenVBand="0" w:oddHBand="0" w:evenHBand="0" w:firstRowFirstColumn="0" w:firstRowLastColumn="0" w:lastRowFirstColumn="0" w:lastRowLastColumn="0"/>
            </w:pPr>
            <w:r w:rsidRPr="00403FDD">
              <w:t>133</w:t>
            </w:r>
          </w:p>
        </w:tc>
      </w:tr>
      <w:tr w:rsidR="00403FDD" w:rsidRPr="00403FDD" w14:paraId="44C93F88" w14:textId="77777777" w:rsidTr="00403F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05FE502" w14:textId="77777777" w:rsidR="00403FDD" w:rsidRPr="00403FDD" w:rsidRDefault="00403FDD" w:rsidP="00084646">
            <w:r w:rsidRPr="00403FDD">
              <w:t>2024</w:t>
            </w:r>
          </w:p>
        </w:tc>
        <w:tc>
          <w:tcPr>
            <w:tcW w:w="1803" w:type="dxa"/>
          </w:tcPr>
          <w:p w14:paraId="79E13937" w14:textId="77777777" w:rsidR="00403FDD" w:rsidRPr="00403FDD" w:rsidRDefault="00403FDD" w:rsidP="00084646">
            <w:pPr>
              <w:cnfStyle w:val="000000100000" w:firstRow="0" w:lastRow="0" w:firstColumn="0" w:lastColumn="0" w:oddVBand="0" w:evenVBand="0" w:oddHBand="1" w:evenHBand="0" w:firstRowFirstColumn="0" w:firstRowLastColumn="0" w:lastRowFirstColumn="0" w:lastRowLastColumn="0"/>
            </w:pPr>
            <w:r w:rsidRPr="00403FDD">
              <w:t>103</w:t>
            </w:r>
          </w:p>
        </w:tc>
        <w:tc>
          <w:tcPr>
            <w:tcW w:w="1803" w:type="dxa"/>
          </w:tcPr>
          <w:p w14:paraId="505CFBBA" w14:textId="77777777" w:rsidR="00403FDD" w:rsidRPr="00403FDD" w:rsidRDefault="00403FDD" w:rsidP="00084646">
            <w:pPr>
              <w:cnfStyle w:val="000000100000" w:firstRow="0" w:lastRow="0" w:firstColumn="0" w:lastColumn="0" w:oddVBand="0" w:evenVBand="0" w:oddHBand="1" w:evenHBand="0" w:firstRowFirstColumn="0" w:firstRowLastColumn="0" w:lastRowFirstColumn="0" w:lastRowLastColumn="0"/>
            </w:pPr>
            <w:r w:rsidRPr="00403FDD">
              <w:t>105</w:t>
            </w:r>
          </w:p>
        </w:tc>
        <w:tc>
          <w:tcPr>
            <w:tcW w:w="1803" w:type="dxa"/>
          </w:tcPr>
          <w:p w14:paraId="1A31E377" w14:textId="77777777" w:rsidR="00403FDD" w:rsidRPr="00403FDD" w:rsidRDefault="00403FDD" w:rsidP="00084646">
            <w:pPr>
              <w:cnfStyle w:val="000000100000" w:firstRow="0" w:lastRow="0" w:firstColumn="0" w:lastColumn="0" w:oddVBand="0" w:evenVBand="0" w:oddHBand="1" w:evenHBand="0" w:firstRowFirstColumn="0" w:firstRowLastColumn="0" w:lastRowFirstColumn="0" w:lastRowLastColumn="0"/>
            </w:pPr>
            <w:r w:rsidRPr="00403FDD">
              <w:t>94</w:t>
            </w:r>
          </w:p>
        </w:tc>
        <w:tc>
          <w:tcPr>
            <w:tcW w:w="1804" w:type="dxa"/>
          </w:tcPr>
          <w:p w14:paraId="06F01E5B" w14:textId="77777777" w:rsidR="00403FDD" w:rsidRPr="00403FDD" w:rsidRDefault="00403FDD" w:rsidP="00084646">
            <w:pPr>
              <w:cnfStyle w:val="000000100000" w:firstRow="0" w:lastRow="0" w:firstColumn="0" w:lastColumn="0" w:oddVBand="0" w:evenVBand="0" w:oddHBand="1" w:evenHBand="0" w:firstRowFirstColumn="0" w:firstRowLastColumn="0" w:lastRowFirstColumn="0" w:lastRowLastColumn="0"/>
            </w:pPr>
            <w:r w:rsidRPr="00403FDD">
              <w:t>114</w:t>
            </w:r>
          </w:p>
        </w:tc>
      </w:tr>
    </w:tbl>
    <w:p w14:paraId="77972044" w14:textId="77777777" w:rsidR="00403FDD" w:rsidRDefault="00403FDD" w:rsidP="00C616E8"/>
    <w:p w14:paraId="7BBDC510" w14:textId="77777777" w:rsidR="00C616E8" w:rsidRDefault="00C616E8" w:rsidP="00C616E8">
      <w:pPr>
        <w:rPr>
          <w:b/>
        </w:rPr>
      </w:pPr>
      <w:r w:rsidRPr="00403FDD">
        <w:rPr>
          <w:b/>
        </w:rPr>
        <w:t>Interpretation and Liquidity Implications</w:t>
      </w:r>
    </w:p>
    <w:p w14:paraId="3A3DFA76" w14:textId="77777777" w:rsidR="00A3763A" w:rsidRDefault="00A3763A" w:rsidP="00A3763A">
      <w:r>
        <w:t>The analysis shows that General Electronics has been working on a long-term cash cycle, which was highest in 2022 at 140 days before returning to high levels in 2024. There was also a massive growth in the number of inventory days in 2020 and 2022, which indicates the presence of slow stock and ineffective inventory management. This is especially ill-advised in consumer electronics business because the obsolescence and technological change is so rapid that the probability of inventory write-downs and margin erosion is high</w:t>
      </w:r>
      <w:r w:rsidR="00852B0A">
        <w:t xml:space="preserve"> (Almakura et al., </w:t>
      </w:r>
      <w:r w:rsidR="00852B0A">
        <w:lastRenderedPageBreak/>
        <w:t>2024)</w:t>
      </w:r>
      <w:r>
        <w:t>. The steep rises of receivables days in 2023 and 2024 are indicators of poor credit management and late customer payments. This has been in line with the trend of liquidity deterioration as shown in Section 2 especially the decreasing operating cash flow ratio</w:t>
      </w:r>
      <w:r w:rsidR="00B133C7">
        <w:t xml:space="preserve"> (Yeboah &amp; Kjærland, 2024)</w:t>
      </w:r>
      <w:r>
        <w:t xml:space="preserve">. </w:t>
      </w:r>
      <w:r w:rsidRPr="00A3763A">
        <w:t>The higher payables days in 2024, and this in turn means more severe dependency on supplier credit is caused by the reaction, rather than a strategic decision.</w:t>
      </w:r>
    </w:p>
    <w:p w14:paraId="76BE603F" w14:textId="77777777" w:rsidR="00A3763A" w:rsidRDefault="00A3763A" w:rsidP="00A3763A">
      <w:r>
        <w:t>All in all, the cash is tied up in stock and accounts receivables over long periods, which compel the company to use short-term credit facilities to meet its daily cash needs. The long-term cash cycle greatly increases the risk of liquidity, in particular, due to the poor profitability of the firm and the deteriorating cash flows</w:t>
      </w:r>
      <w:r w:rsidR="00852B0A">
        <w:t xml:space="preserve"> </w:t>
      </w:r>
      <w:r w:rsidR="00B133C7">
        <w:t>(Umar &amp; Al‐Faryan, 2023)</w:t>
      </w:r>
      <w:r>
        <w:t>.</w:t>
      </w:r>
    </w:p>
    <w:p w14:paraId="007F59DC" w14:textId="77777777" w:rsidR="00C616E8" w:rsidRDefault="00C616E8" w:rsidP="00403FDD">
      <w:pPr>
        <w:pStyle w:val="Heading2"/>
      </w:pPr>
      <w:bookmarkStart w:id="13" w:name="_Toc217264692"/>
      <w:r>
        <w:t>3.2 Working Capital Improvement Strategies</w:t>
      </w:r>
      <w:bookmarkEnd w:id="13"/>
    </w:p>
    <w:p w14:paraId="30A701E6" w14:textId="77777777" w:rsidR="00A3763A" w:rsidRPr="00A3763A" w:rsidRDefault="00A3763A" w:rsidP="00A3763A">
      <w:r w:rsidRPr="00A3763A">
        <w:t>The CFO level working capital reforms that can help in resolving the structural liquidity weaknesses mentioned above are as follows. All the recommendations are directly connected to the financial evidence provided in Section 2</w:t>
      </w:r>
      <w:r w:rsidR="00B133C7">
        <w:t xml:space="preserve"> (Ibrahim &amp; Isiaka, 2021)</w:t>
      </w:r>
      <w:r w:rsidRPr="00A3763A">
        <w:t>.</w:t>
      </w:r>
    </w:p>
    <w:p w14:paraId="12009825" w14:textId="77777777" w:rsidR="00C616E8" w:rsidRPr="00A63416" w:rsidRDefault="00C616E8" w:rsidP="00403FDD">
      <w:pPr>
        <w:pStyle w:val="Heading3"/>
      </w:pPr>
      <w:bookmarkStart w:id="14" w:name="_Toc217264693"/>
      <w:r w:rsidRPr="00A63416">
        <w:t>3.2.1 Inventory Optimisation</w:t>
      </w:r>
      <w:bookmarkEnd w:id="14"/>
    </w:p>
    <w:p w14:paraId="3BD97C46" w14:textId="77777777" w:rsidR="00A3763A" w:rsidRPr="00A3763A" w:rsidRDefault="00A3763A" w:rsidP="00A3763A">
      <w:r w:rsidRPr="00A3763A">
        <w:t>The inventory days always go beyond 100 days, which is a sign of cumbersome stocks. The company ought to adopt an inventory planning that is based on demand, a stricter forecasting and rationalisation of products so as to decrease the slow-moving and the obsolete stock. Lean inventory would free up working capital and lower the holding costs. The presence of high inventory levels is one of the causes of poor quick ratios and decreasing liquidity, which is revealed in Section 2.2.2</w:t>
      </w:r>
      <w:r w:rsidR="00B133C7">
        <w:t xml:space="preserve"> (Aldubhani et al., 2022)</w:t>
      </w:r>
      <w:r w:rsidRPr="00A3763A">
        <w:t>.</w:t>
      </w:r>
    </w:p>
    <w:p w14:paraId="21816DCC" w14:textId="77777777" w:rsidR="00C616E8" w:rsidRPr="00A63416" w:rsidRDefault="00C616E8" w:rsidP="00403FDD">
      <w:pPr>
        <w:pStyle w:val="Heading3"/>
      </w:pPr>
      <w:bookmarkStart w:id="15" w:name="_Toc217264694"/>
      <w:r w:rsidRPr="00A63416">
        <w:t>3.2.2 Credit Policy Tightening</w:t>
      </w:r>
      <w:bookmarkEnd w:id="15"/>
    </w:p>
    <w:p w14:paraId="7D5DFD87" w14:textId="77777777" w:rsidR="006F0A20" w:rsidRPr="006F0A20" w:rsidRDefault="006F0A20" w:rsidP="006F0A20">
      <w:r w:rsidRPr="006F0A20">
        <w:t>The receivables days increased to more than 100 days in 2024, which showed an inefficient credit control. The company is to establish tougher credit conditions, more customer credit score and incentives on early payment. Electronic invoicing and automated collections may also speed up the inflows of cash. Poor receivables management is a direct derailment to operating cash flow and is among the reasons of low operating cash flow ratio that is noted in the 2.2.5</w:t>
      </w:r>
      <w:r w:rsidR="00B133C7">
        <w:t xml:space="preserve"> </w:t>
      </w:r>
      <w:r w:rsidR="00B142EE">
        <w:t>(Huang &amp; Hao, 2024)</w:t>
      </w:r>
      <w:r w:rsidRPr="006F0A20">
        <w:t>.</w:t>
      </w:r>
    </w:p>
    <w:p w14:paraId="19D41CC1" w14:textId="77777777" w:rsidR="00C616E8" w:rsidRPr="00A63416" w:rsidRDefault="00C616E8" w:rsidP="00403FDD">
      <w:pPr>
        <w:pStyle w:val="Heading3"/>
      </w:pPr>
      <w:bookmarkStart w:id="16" w:name="_Toc217264695"/>
      <w:r w:rsidRPr="00A63416">
        <w:t>3.2.3 Supplier Renegotiation</w:t>
      </w:r>
      <w:bookmarkEnd w:id="16"/>
    </w:p>
    <w:p w14:paraId="795FE390" w14:textId="77777777" w:rsidR="006F0A20" w:rsidRPr="006F0A20" w:rsidRDefault="006F0A20" w:rsidP="006F0A20">
      <w:r w:rsidRPr="006F0A20">
        <w:t xml:space="preserve">The payables days have grown in 2024, but the dependence on ad-hoc financing through suppliers may hurt the long-term relationship with suppliers. The company ought to take the initiative to renegotiate contracts with the suppliers to obtain a longer payback period in place of quantity commitments or collaborations. Considering the deteriorating interest coverage and </w:t>
      </w:r>
      <w:r w:rsidRPr="006F0A20">
        <w:lastRenderedPageBreak/>
        <w:t>increasing financial risk, superior supplier financing is a cheaper source of liquidity than the incremental borrowing</w:t>
      </w:r>
      <w:r w:rsidR="00B142EE">
        <w:t xml:space="preserve"> (Santos &amp; Pessoa, 2024)</w:t>
      </w:r>
      <w:r w:rsidRPr="006F0A20">
        <w:t>.</w:t>
      </w:r>
    </w:p>
    <w:p w14:paraId="6EAA0824" w14:textId="77777777" w:rsidR="00C616E8" w:rsidRPr="00A63416" w:rsidRDefault="00C616E8" w:rsidP="00403FDD">
      <w:pPr>
        <w:pStyle w:val="Heading3"/>
      </w:pPr>
      <w:bookmarkStart w:id="17" w:name="_Toc217264696"/>
      <w:r w:rsidRPr="00A63416">
        <w:t>3.2.4 Centralised Cash Management</w:t>
      </w:r>
      <w:bookmarkEnd w:id="17"/>
    </w:p>
    <w:p w14:paraId="0C073E99" w14:textId="77777777" w:rsidR="00C616E8" w:rsidRDefault="00C616E8" w:rsidP="00C616E8">
      <w:r>
        <w:t>The volatility of cash balances identified in Section 2 suggests fragmented cash control across regions. A centralised treasury function would allow better visibility of global cash positions, internal cash pooling and more efficient allocation of liquidity across business units</w:t>
      </w:r>
      <w:r w:rsidR="00B142EE">
        <w:t xml:space="preserve"> (Liverani et al., 2023)</w:t>
      </w:r>
      <w:r>
        <w:t>.</w:t>
      </w:r>
      <w:r w:rsidR="00403FDD">
        <w:t xml:space="preserve"> </w:t>
      </w:r>
      <w:r>
        <w:t>Declining cash-to-assets ratios indicate weakening liquidity buffers, reinforcing the need for improved cash governance.</w:t>
      </w:r>
    </w:p>
    <w:p w14:paraId="0CF92E41" w14:textId="77777777" w:rsidR="00C616E8" w:rsidRDefault="00C616E8" w:rsidP="00802D0C">
      <w:pPr>
        <w:pStyle w:val="Heading2"/>
      </w:pPr>
      <w:bookmarkStart w:id="18" w:name="_Toc217264697"/>
      <w:r>
        <w:t>3.3 Financing Options: Short-Term vs Long-Term</w:t>
      </w:r>
      <w:bookmarkEnd w:id="18"/>
    </w:p>
    <w:p w14:paraId="4E702FB5" w14:textId="77777777" w:rsidR="00304A58" w:rsidRPr="00304A58" w:rsidRDefault="00304A58" w:rsidP="00304A58">
      <w:r w:rsidRPr="00304A58">
        <w:t>Working capital reforms enhance internal liquidity, but external funding will continue to be required in the near /medium term. It is therefore necessary to have an informed comparison of the financing alternatives (Arbatskaya, 2021).</w:t>
      </w:r>
    </w:p>
    <w:p w14:paraId="40E30028" w14:textId="77777777" w:rsidR="00C616E8" w:rsidRPr="00403FDD" w:rsidRDefault="00C616E8" w:rsidP="00C616E8">
      <w:pPr>
        <w:rPr>
          <w:b/>
        </w:rPr>
      </w:pPr>
      <w:r w:rsidRPr="00403FDD">
        <w:rPr>
          <w:b/>
        </w:rPr>
        <w:t>Table 3.2: Comparison of Financing Options</w:t>
      </w:r>
    </w:p>
    <w:tbl>
      <w:tblPr>
        <w:tblStyle w:val="GridTable4-Accent5"/>
        <w:tblW w:w="0" w:type="auto"/>
        <w:tblLook w:val="04A0" w:firstRow="1" w:lastRow="0" w:firstColumn="1" w:lastColumn="0" w:noHBand="0" w:noVBand="1"/>
      </w:tblPr>
      <w:tblGrid>
        <w:gridCol w:w="3005"/>
        <w:gridCol w:w="3005"/>
        <w:gridCol w:w="3006"/>
      </w:tblGrid>
      <w:tr w:rsidR="00403FDD" w:rsidRPr="00403FDD" w14:paraId="4677178A" w14:textId="77777777" w:rsidTr="00403F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F89CA5B" w14:textId="77777777" w:rsidR="00403FDD" w:rsidRPr="00403FDD" w:rsidRDefault="00403FDD" w:rsidP="00084646">
            <w:r w:rsidRPr="00403FDD">
              <w:t>Criteria</w:t>
            </w:r>
          </w:p>
        </w:tc>
        <w:tc>
          <w:tcPr>
            <w:tcW w:w="3005" w:type="dxa"/>
          </w:tcPr>
          <w:p w14:paraId="4424FE5E" w14:textId="77777777" w:rsidR="00403FDD" w:rsidRPr="00403FDD" w:rsidRDefault="00403FDD" w:rsidP="00084646">
            <w:pPr>
              <w:cnfStyle w:val="100000000000" w:firstRow="1" w:lastRow="0" w:firstColumn="0" w:lastColumn="0" w:oddVBand="0" w:evenVBand="0" w:oddHBand="0" w:evenHBand="0" w:firstRowFirstColumn="0" w:firstRowLastColumn="0" w:lastRowFirstColumn="0" w:lastRowLastColumn="0"/>
            </w:pPr>
            <w:r w:rsidRPr="00403FDD">
              <w:t>Short-Term Finance (Credit Lines)</w:t>
            </w:r>
          </w:p>
        </w:tc>
        <w:tc>
          <w:tcPr>
            <w:tcW w:w="3006" w:type="dxa"/>
          </w:tcPr>
          <w:p w14:paraId="5A3F38E9" w14:textId="77777777" w:rsidR="00403FDD" w:rsidRPr="00403FDD" w:rsidRDefault="00403FDD" w:rsidP="00084646">
            <w:pPr>
              <w:cnfStyle w:val="100000000000" w:firstRow="1" w:lastRow="0" w:firstColumn="0" w:lastColumn="0" w:oddVBand="0" w:evenVBand="0" w:oddHBand="0" w:evenHBand="0" w:firstRowFirstColumn="0" w:firstRowLastColumn="0" w:lastRowFirstColumn="0" w:lastRowLastColumn="0"/>
            </w:pPr>
            <w:r w:rsidRPr="00403FDD">
              <w:t>Long-Term Finance (Debt / Equity)</w:t>
            </w:r>
          </w:p>
        </w:tc>
      </w:tr>
      <w:tr w:rsidR="00403FDD" w:rsidRPr="00403FDD" w14:paraId="4C10ED94" w14:textId="77777777" w:rsidTr="00403F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1CEDB41" w14:textId="77777777" w:rsidR="00403FDD" w:rsidRPr="00403FDD" w:rsidRDefault="00403FDD" w:rsidP="00084646">
            <w:r w:rsidRPr="00403FDD">
              <w:t>Cost</w:t>
            </w:r>
          </w:p>
        </w:tc>
        <w:tc>
          <w:tcPr>
            <w:tcW w:w="3005" w:type="dxa"/>
          </w:tcPr>
          <w:p w14:paraId="57BE2973" w14:textId="77777777" w:rsidR="00403FDD" w:rsidRPr="00403FDD" w:rsidRDefault="00403FDD" w:rsidP="00084646">
            <w:pPr>
              <w:cnfStyle w:val="000000100000" w:firstRow="0" w:lastRow="0" w:firstColumn="0" w:lastColumn="0" w:oddVBand="0" w:evenVBand="0" w:oddHBand="1" w:evenHBand="0" w:firstRowFirstColumn="0" w:firstRowLastColumn="0" w:lastRowFirstColumn="0" w:lastRowLastColumn="0"/>
            </w:pPr>
            <w:r w:rsidRPr="00403FDD">
              <w:t>Lower initial cost, variable interest</w:t>
            </w:r>
          </w:p>
        </w:tc>
        <w:tc>
          <w:tcPr>
            <w:tcW w:w="3006" w:type="dxa"/>
          </w:tcPr>
          <w:p w14:paraId="3548FCA4" w14:textId="77777777" w:rsidR="00403FDD" w:rsidRPr="00403FDD" w:rsidRDefault="00403FDD" w:rsidP="00084646">
            <w:pPr>
              <w:cnfStyle w:val="000000100000" w:firstRow="0" w:lastRow="0" w:firstColumn="0" w:lastColumn="0" w:oddVBand="0" w:evenVBand="0" w:oddHBand="1" w:evenHBand="0" w:firstRowFirstColumn="0" w:firstRowLastColumn="0" w:lastRowFirstColumn="0" w:lastRowLastColumn="0"/>
            </w:pPr>
            <w:r w:rsidRPr="00403FDD">
              <w:t>Higher cost, fixed obligations</w:t>
            </w:r>
          </w:p>
        </w:tc>
      </w:tr>
      <w:tr w:rsidR="00403FDD" w:rsidRPr="00403FDD" w14:paraId="62250FC0" w14:textId="77777777" w:rsidTr="00403FDD">
        <w:tc>
          <w:tcPr>
            <w:cnfStyle w:val="001000000000" w:firstRow="0" w:lastRow="0" w:firstColumn="1" w:lastColumn="0" w:oddVBand="0" w:evenVBand="0" w:oddHBand="0" w:evenHBand="0" w:firstRowFirstColumn="0" w:firstRowLastColumn="0" w:lastRowFirstColumn="0" w:lastRowLastColumn="0"/>
            <w:tcW w:w="3005" w:type="dxa"/>
          </w:tcPr>
          <w:p w14:paraId="407723FA" w14:textId="77777777" w:rsidR="00403FDD" w:rsidRPr="00403FDD" w:rsidRDefault="00403FDD" w:rsidP="00084646">
            <w:r w:rsidRPr="00403FDD">
              <w:t>Risk</w:t>
            </w:r>
          </w:p>
        </w:tc>
        <w:tc>
          <w:tcPr>
            <w:tcW w:w="3005" w:type="dxa"/>
          </w:tcPr>
          <w:p w14:paraId="35AC0629" w14:textId="77777777" w:rsidR="00403FDD" w:rsidRPr="00403FDD" w:rsidRDefault="00403FDD" w:rsidP="00084646">
            <w:pPr>
              <w:cnfStyle w:val="000000000000" w:firstRow="0" w:lastRow="0" w:firstColumn="0" w:lastColumn="0" w:oddVBand="0" w:evenVBand="0" w:oddHBand="0" w:evenHBand="0" w:firstRowFirstColumn="0" w:firstRowLastColumn="0" w:lastRowFirstColumn="0" w:lastRowLastColumn="0"/>
            </w:pPr>
            <w:r w:rsidRPr="00403FDD">
              <w:t>High refinancing &amp; rollover risk</w:t>
            </w:r>
          </w:p>
        </w:tc>
        <w:tc>
          <w:tcPr>
            <w:tcW w:w="3006" w:type="dxa"/>
          </w:tcPr>
          <w:p w14:paraId="237532A8" w14:textId="77777777" w:rsidR="00403FDD" w:rsidRPr="00403FDD" w:rsidRDefault="00403FDD" w:rsidP="00084646">
            <w:pPr>
              <w:cnfStyle w:val="000000000000" w:firstRow="0" w:lastRow="0" w:firstColumn="0" w:lastColumn="0" w:oddVBand="0" w:evenVBand="0" w:oddHBand="0" w:evenHBand="0" w:firstRowFirstColumn="0" w:firstRowLastColumn="0" w:lastRowFirstColumn="0" w:lastRowLastColumn="0"/>
            </w:pPr>
            <w:r w:rsidRPr="00403FDD">
              <w:t>Lower liquidity risk</w:t>
            </w:r>
          </w:p>
        </w:tc>
      </w:tr>
      <w:tr w:rsidR="00403FDD" w:rsidRPr="00403FDD" w14:paraId="390714A9" w14:textId="77777777" w:rsidTr="00403F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2DA25D9" w14:textId="77777777" w:rsidR="00403FDD" w:rsidRPr="00403FDD" w:rsidRDefault="00403FDD" w:rsidP="00084646">
            <w:r w:rsidRPr="00403FDD">
              <w:t>Flexibility</w:t>
            </w:r>
          </w:p>
        </w:tc>
        <w:tc>
          <w:tcPr>
            <w:tcW w:w="3005" w:type="dxa"/>
          </w:tcPr>
          <w:p w14:paraId="45EABB4A" w14:textId="77777777" w:rsidR="00403FDD" w:rsidRPr="00403FDD" w:rsidRDefault="00403FDD" w:rsidP="00084646">
            <w:pPr>
              <w:cnfStyle w:val="000000100000" w:firstRow="0" w:lastRow="0" w:firstColumn="0" w:lastColumn="0" w:oddVBand="0" w:evenVBand="0" w:oddHBand="1" w:evenHBand="0" w:firstRowFirstColumn="0" w:firstRowLastColumn="0" w:lastRowFirstColumn="0" w:lastRowLastColumn="0"/>
            </w:pPr>
            <w:r w:rsidRPr="00403FDD">
              <w:t>High short-term flexibility</w:t>
            </w:r>
          </w:p>
        </w:tc>
        <w:tc>
          <w:tcPr>
            <w:tcW w:w="3006" w:type="dxa"/>
          </w:tcPr>
          <w:p w14:paraId="591FEE55" w14:textId="77777777" w:rsidR="00403FDD" w:rsidRPr="00403FDD" w:rsidRDefault="00403FDD" w:rsidP="00084646">
            <w:pPr>
              <w:cnfStyle w:val="000000100000" w:firstRow="0" w:lastRow="0" w:firstColumn="0" w:lastColumn="0" w:oddVBand="0" w:evenVBand="0" w:oddHBand="1" w:evenHBand="0" w:firstRowFirstColumn="0" w:firstRowLastColumn="0" w:lastRowFirstColumn="0" w:lastRowLastColumn="0"/>
            </w:pPr>
            <w:r w:rsidRPr="00403FDD">
              <w:t>Less flexible, long-term commitment</w:t>
            </w:r>
          </w:p>
        </w:tc>
      </w:tr>
      <w:tr w:rsidR="00403FDD" w:rsidRPr="00403FDD" w14:paraId="2DA18F82" w14:textId="77777777" w:rsidTr="00403FDD">
        <w:tc>
          <w:tcPr>
            <w:cnfStyle w:val="001000000000" w:firstRow="0" w:lastRow="0" w:firstColumn="1" w:lastColumn="0" w:oddVBand="0" w:evenVBand="0" w:oddHBand="0" w:evenHBand="0" w:firstRowFirstColumn="0" w:firstRowLastColumn="0" w:lastRowFirstColumn="0" w:lastRowLastColumn="0"/>
            <w:tcW w:w="3005" w:type="dxa"/>
          </w:tcPr>
          <w:p w14:paraId="5FB072CE" w14:textId="77777777" w:rsidR="00403FDD" w:rsidRDefault="00403FDD" w:rsidP="00084646">
            <w:r w:rsidRPr="00403FDD">
              <w:t>Impact on Control</w:t>
            </w:r>
          </w:p>
          <w:p w14:paraId="0F3139C2" w14:textId="77777777" w:rsidR="00403FDD" w:rsidRPr="00403FDD" w:rsidRDefault="00403FDD" w:rsidP="00084646"/>
        </w:tc>
        <w:tc>
          <w:tcPr>
            <w:tcW w:w="3005" w:type="dxa"/>
          </w:tcPr>
          <w:p w14:paraId="6E8170AF" w14:textId="77777777" w:rsidR="00403FDD" w:rsidRPr="00403FDD" w:rsidRDefault="00403FDD" w:rsidP="00084646">
            <w:pPr>
              <w:cnfStyle w:val="000000000000" w:firstRow="0" w:lastRow="0" w:firstColumn="0" w:lastColumn="0" w:oddVBand="0" w:evenVBand="0" w:oddHBand="0" w:evenHBand="0" w:firstRowFirstColumn="0" w:firstRowLastColumn="0" w:lastRowFirstColumn="0" w:lastRowLastColumn="0"/>
            </w:pPr>
            <w:r w:rsidRPr="00403FDD">
              <w:t>No ownership dilution</w:t>
            </w:r>
          </w:p>
        </w:tc>
        <w:tc>
          <w:tcPr>
            <w:tcW w:w="3006" w:type="dxa"/>
          </w:tcPr>
          <w:p w14:paraId="76CCE607" w14:textId="77777777" w:rsidR="00403FDD" w:rsidRPr="00403FDD" w:rsidRDefault="00403FDD" w:rsidP="00084646">
            <w:pPr>
              <w:cnfStyle w:val="000000000000" w:firstRow="0" w:lastRow="0" w:firstColumn="0" w:lastColumn="0" w:oddVBand="0" w:evenVBand="0" w:oddHBand="0" w:evenHBand="0" w:firstRowFirstColumn="0" w:firstRowLastColumn="0" w:lastRowFirstColumn="0" w:lastRowLastColumn="0"/>
            </w:pPr>
            <w:r w:rsidRPr="00403FDD">
              <w:t>Equity dilutes ownership</w:t>
            </w:r>
          </w:p>
        </w:tc>
      </w:tr>
      <w:tr w:rsidR="00403FDD" w:rsidRPr="00403FDD" w14:paraId="11241F63" w14:textId="77777777" w:rsidTr="00403F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A0B3689" w14:textId="77777777" w:rsidR="00403FDD" w:rsidRDefault="00403FDD" w:rsidP="00084646">
            <w:r w:rsidRPr="00403FDD">
              <w:t>Suitability</w:t>
            </w:r>
          </w:p>
          <w:p w14:paraId="0B37E41D" w14:textId="77777777" w:rsidR="00403FDD" w:rsidRPr="00403FDD" w:rsidRDefault="00403FDD" w:rsidP="00084646"/>
        </w:tc>
        <w:tc>
          <w:tcPr>
            <w:tcW w:w="3005" w:type="dxa"/>
          </w:tcPr>
          <w:p w14:paraId="7A36E4CE" w14:textId="77777777" w:rsidR="00403FDD" w:rsidRPr="00403FDD" w:rsidRDefault="00403FDD" w:rsidP="00084646">
            <w:pPr>
              <w:cnfStyle w:val="000000100000" w:firstRow="0" w:lastRow="0" w:firstColumn="0" w:lastColumn="0" w:oddVBand="0" w:evenVBand="0" w:oddHBand="1" w:evenHBand="0" w:firstRowFirstColumn="0" w:firstRowLastColumn="0" w:lastRowFirstColumn="0" w:lastRowLastColumn="0"/>
            </w:pPr>
            <w:r w:rsidRPr="00403FDD">
              <w:t>Temporary liquidity gaps</w:t>
            </w:r>
          </w:p>
        </w:tc>
        <w:tc>
          <w:tcPr>
            <w:tcW w:w="3006" w:type="dxa"/>
          </w:tcPr>
          <w:p w14:paraId="26F49C7D" w14:textId="77777777" w:rsidR="00403FDD" w:rsidRPr="00403FDD" w:rsidRDefault="00403FDD" w:rsidP="00084646">
            <w:pPr>
              <w:cnfStyle w:val="000000100000" w:firstRow="0" w:lastRow="0" w:firstColumn="0" w:lastColumn="0" w:oddVBand="0" w:evenVBand="0" w:oddHBand="1" w:evenHBand="0" w:firstRowFirstColumn="0" w:firstRowLastColumn="0" w:lastRowFirstColumn="0" w:lastRowLastColumn="0"/>
            </w:pPr>
            <w:r w:rsidRPr="00403FDD">
              <w:t>Structural financial stability</w:t>
            </w:r>
          </w:p>
        </w:tc>
      </w:tr>
    </w:tbl>
    <w:p w14:paraId="31D4C061" w14:textId="77777777" w:rsidR="00403FDD" w:rsidRDefault="00403FDD" w:rsidP="00C616E8"/>
    <w:p w14:paraId="49E5118B" w14:textId="77777777" w:rsidR="00C616E8" w:rsidRDefault="00C616E8" w:rsidP="00C616E8">
      <w:pPr>
        <w:rPr>
          <w:b/>
        </w:rPr>
      </w:pPr>
      <w:r w:rsidRPr="00403FDD">
        <w:rPr>
          <w:b/>
        </w:rPr>
        <w:t>CFO Evaluation</w:t>
      </w:r>
    </w:p>
    <w:p w14:paraId="73DEE632" w14:textId="77777777" w:rsidR="00D62324" w:rsidRPr="00403FDD" w:rsidRDefault="00D62324" w:rsidP="00E64E9A">
      <w:r w:rsidRPr="00D62324">
        <w:t xml:space="preserve">With the firm’s unsatisfactory interest coverage and high financial risk, we believe that it is unable to meet its short-term liquidity needs from cash flow when it comes due. Short-term finance product such as this purpose should only be used in the short run to provide a liquidity cushion and not for longer term funding. On the other hand, stable long-term financing, namely </w:t>
      </w:r>
      <w:r w:rsidRPr="00D62324">
        <w:lastRenderedPageBreak/>
        <w:t>a reasonable level of restructured (re-financed) debt and selective equity injections, would provide firmar with stable capital structure thus lower the risk of refinancing. As equity financing does dilute the ownership, however, it will reinforce the balance sheet and enhance creditor confidence which is essential since company also scored grey-zone in Altman Z-Score (Nurhidayah et al., 2024).</w:t>
      </w:r>
    </w:p>
    <w:p w14:paraId="49321129" w14:textId="77777777" w:rsidR="007C7C1E" w:rsidRDefault="007C7C1E" w:rsidP="00403FDD">
      <w:pPr>
        <w:pStyle w:val="Heading1"/>
      </w:pPr>
      <w:bookmarkStart w:id="19" w:name="_Toc217264698"/>
      <w:r>
        <w:t>4. Strategic Financial Restructuring Plan</w:t>
      </w:r>
      <w:bookmarkEnd w:id="19"/>
      <w:r>
        <w:t xml:space="preserve"> </w:t>
      </w:r>
    </w:p>
    <w:p w14:paraId="20C93B9F" w14:textId="77777777" w:rsidR="009F04D2" w:rsidRPr="009F04D2" w:rsidRDefault="009F04D2" w:rsidP="009F04D2">
      <w:r w:rsidRPr="009F04D2">
        <w:t>In light of the system-wide financial stress described in Sections 2 and3 above, General Electronics needs a comprehensive and strategically phased financial workout plan to fix what matters as opposed to piecemeal patchwork. The Company's decreasing profitability, lower liquidity, and higher financial risk, along with the grey area Altman Z-Score of 0.99*, all contribute to the conclusion that there is existence of a financial distress condition which can be easily identified as such. For the CFO’s, it is not about survival but about bringing back efficiency to generate value for shareholders, gain financial freedom and operational. Space under global uncertainty (Aliyah &amp; Putra, 2022). This part engages a critical discussion of alternative restructuring possibilities, evaluates their financial as well as strategic implications and integrates international and ethical aspects crucial to long-term sustainability.</w:t>
      </w:r>
    </w:p>
    <w:p w14:paraId="6301018D" w14:textId="77777777" w:rsidR="007C7C1E" w:rsidRDefault="007C7C1E" w:rsidP="006F0A20">
      <w:pPr>
        <w:pStyle w:val="Heading2"/>
      </w:pPr>
      <w:bookmarkStart w:id="20" w:name="_Toc217264699"/>
      <w:r>
        <w:t>4.1 Evaluation of Financial Restructuring Options</w:t>
      </w:r>
      <w:bookmarkEnd w:id="20"/>
    </w:p>
    <w:p w14:paraId="3AFAED74" w14:textId="77777777" w:rsidR="000A7217" w:rsidRDefault="000A7217" w:rsidP="002A61E5">
      <w:pPr>
        <w:pStyle w:val="Heading3"/>
      </w:pPr>
      <w:bookmarkStart w:id="21" w:name="_Toc217264700"/>
      <w:r>
        <w:t>4.1.1 Asset Divestment</w:t>
      </w:r>
      <w:bookmarkEnd w:id="21"/>
    </w:p>
    <w:p w14:paraId="4774434C" w14:textId="77777777" w:rsidR="000A7217" w:rsidRDefault="000A7217" w:rsidP="000A7217">
      <w:r>
        <w:t>Asset divestment refers to the process of selling off non core or non-performing assets in order to liberate cash to reinvest in the business in its most successful operations. Due to the high level of contraction of total assets revealed in Section 2, selective divestment is an option though it is limited (Ambarwati and Haryono, 2022). As a CFO, prioritisation of divestment is best done on non-strategic intangible assets, surplus property and business units with low returns as opposed to productive core assets. Although selling of assets is possible in the short term to create liquidity and decrease depreciation, excessive selling may lead to loss of revenue generation ability in future (Puspitarini and Prijadi, 2023).</w:t>
      </w:r>
    </w:p>
    <w:p w14:paraId="52469160" w14:textId="77777777" w:rsidR="000A7217" w:rsidRDefault="000A7217" w:rsidP="000A7217">
      <w:r>
        <w:t>The asset divestment gives an immediate temporary cash relief but fails to restore the structural causes of decreasing profitability. This is why it must be employed as a backup measure and not a key restructuring solution (Praveen, 2025).</w:t>
      </w:r>
    </w:p>
    <w:p w14:paraId="7843F6C0" w14:textId="77777777" w:rsidR="000A7217" w:rsidRDefault="000A7217" w:rsidP="002A61E5">
      <w:pPr>
        <w:pStyle w:val="Heading3"/>
      </w:pPr>
      <w:bookmarkStart w:id="22" w:name="_Toc217264701"/>
      <w:r>
        <w:lastRenderedPageBreak/>
        <w:t>4.1.2 Equity Injection</w:t>
      </w:r>
      <w:bookmarkEnd w:id="22"/>
    </w:p>
    <w:p w14:paraId="625E0CA6" w14:textId="77777777" w:rsidR="000A7217" w:rsidRDefault="000A7217" w:rsidP="000A7217">
      <w:r>
        <w:t>Directly improving the balance sheet, an equity injection by way of a rights issue, a direct participation by the private equity or strategic investors enhances the relationship of equity in the shareholders and minimises leverage. With the large level of erosion of equity observed in Section 2 and the increasing ratio of debts to equity, equity recapitalisation is one of the best instruments of restructuring (Glazirina, 2025). Whereas equity financing dilutes the existing shareholders, it enhances solvency, reinstates the confidence of the lenders and reduces the weighted average cost of capital of the firm in the long-run. In the eyes of a CFO, the dilution-financial stability trade-off is acceptable where the insolvency risk is on the increase Luo et al. (2021). Equity injection is a structural and long-term solution to financial distress, especially when coupled with reforms in operations. It gives a solid message to creditors and markets that the company will restore on a long-term basis Nurrahmi et al. (2023).</w:t>
      </w:r>
    </w:p>
    <w:p w14:paraId="4D182188" w14:textId="77777777" w:rsidR="000A7217" w:rsidRDefault="000A7217" w:rsidP="002A61E5">
      <w:pPr>
        <w:pStyle w:val="Heading3"/>
      </w:pPr>
      <w:bookmarkStart w:id="23" w:name="_Toc217264702"/>
      <w:r>
        <w:t>4.1.3 Debt Restructuring</w:t>
      </w:r>
      <w:bookmarkEnd w:id="23"/>
    </w:p>
    <w:p w14:paraId="31CB4775" w14:textId="77777777" w:rsidR="000A7217" w:rsidRDefault="000A7217" w:rsidP="000A7217">
      <w:r>
        <w:t>Debt restructuring can encompass renewal of repayment terms and schedules, waiver of covenants or debt-to-equity swaps. Due to the decline in the interest coverage ratios and the growing dependency on the short-term credit lines, it is necessary to restructure current debt obligations. As a CFO, it would be better to extend maturities and decrease the near-term repayment pressure as this would instantly enhance liquidity and minimise the refinancing risk (Demmou &amp; Franco, 2021). Nonetheless, it can harm credit ratings and relationships with lenders with aggressive restructuring that is not carefully negotiated. Debt restructuring enhances short term cash flow and financial risk minimization but not equity. As such, it is most efficient when applied with equity injection as opposed to its application alone (Sazly et al., 2024).</w:t>
      </w:r>
    </w:p>
    <w:p w14:paraId="79B7FB27" w14:textId="74048398" w:rsidR="002A61E5" w:rsidRPr="002A61E5" w:rsidRDefault="001C1424" w:rsidP="002A61E5">
      <w:pPr>
        <w:pStyle w:val="Heading3"/>
      </w:pPr>
      <w:hyperlink w:anchor="_Toc217260630" w:history="1">
        <w:bookmarkStart w:id="24" w:name="_Toc217264703"/>
        <w:r w:rsidR="002A61E5" w:rsidRPr="002A61E5">
          <w:rPr>
            <w:rStyle w:val="Hyperlink"/>
            <w:color w:val="44546A" w:themeColor="text2"/>
            <w:u w:val="none"/>
          </w:rPr>
          <w:t>4.1.4 Strategic Alliance or Merger</w:t>
        </w:r>
        <w:bookmarkEnd w:id="24"/>
        <w:r w:rsidR="002A61E5" w:rsidRPr="002A61E5">
          <w:rPr>
            <w:webHidden/>
          </w:rPr>
          <w:tab/>
        </w:r>
      </w:hyperlink>
    </w:p>
    <w:p w14:paraId="366C7457" w14:textId="77777777" w:rsidR="002A61E5" w:rsidRPr="002A61E5" w:rsidRDefault="002A61E5" w:rsidP="002A61E5">
      <w:pPr>
        <w:pStyle w:val="Heading3"/>
      </w:pPr>
    </w:p>
    <w:p w14:paraId="1AC13125" w14:textId="77777777" w:rsidR="000A7217" w:rsidRDefault="000A7217" w:rsidP="000A7217">
      <w:r>
        <w:t>Synergies that can be created through shared technology and access to more markets and cost efficiencies can be created through strategic alliances or mergers. Scale and innovation are key success factors in the global consumer electronics industry and strategic partnership comes in especially handy. Making a deal with a company that is financially better off may enhance the access to capital, lower unit costs and stimulate technological refreshment (Fredy et al., 2024). Mergers are characterised by, however, high integration risk, cultural misfit and loss of strategic autonomy.</w:t>
      </w:r>
    </w:p>
    <w:p w14:paraId="00CE018B" w14:textId="008725FF" w:rsidR="000A7217" w:rsidRPr="000A7217" w:rsidRDefault="000A7217" w:rsidP="000A7217">
      <w:r>
        <w:lastRenderedPageBreak/>
        <w:t>Although it can be a groundbreaking move, mergers are complicated and dangerous in the time of economic crises. A strategic alliance instead of a complete merger can be a more adaptable and less risky approach to recovery (Shin, 2021).</w:t>
      </w:r>
    </w:p>
    <w:p w14:paraId="7928ABDA" w14:textId="77777777" w:rsidR="007C7C1E" w:rsidRDefault="007C7C1E" w:rsidP="006F0A20">
      <w:pPr>
        <w:pStyle w:val="Heading2"/>
      </w:pPr>
      <w:bookmarkStart w:id="25" w:name="_Toc217264704"/>
      <w:r>
        <w:t>4.2 Impact Analysis of Restructuring Options</w:t>
      </w:r>
      <w:bookmarkEnd w:id="25"/>
    </w:p>
    <w:p w14:paraId="2855CEF8" w14:textId="77777777" w:rsidR="007C7C1E" w:rsidRDefault="007C7C1E" w:rsidP="007C7C1E">
      <w:r>
        <w:t>To distinguish distinction-level work, restructuring options must be evaluated in terms of their financial and strategic consequences, rather than described in isolation.</w:t>
      </w:r>
    </w:p>
    <w:p w14:paraId="082C3FAD" w14:textId="77777777" w:rsidR="00BB4636" w:rsidRDefault="00BB4636" w:rsidP="002A61E5">
      <w:pPr>
        <w:pStyle w:val="Heading3"/>
      </w:pPr>
      <w:bookmarkStart w:id="26" w:name="_Toc217264705"/>
      <w:r>
        <w:t>4.2.1 Impact on Shareholder Value</w:t>
      </w:r>
      <w:bookmarkEnd w:id="26"/>
    </w:p>
    <w:p w14:paraId="24937756" w14:textId="77777777" w:rsidR="00BB4636" w:rsidRDefault="00BB4636" w:rsidP="00BB4636">
      <w:r>
        <w:t>Equity injection will dilute current shareholders, however it will decrease the risk of bankruptcy and enhance the potential of creating value in the long run. Divestment of assets can enhance short run returns at the expense of long run value erosion in case core competence is undermined. The restructuring of debt stabilises cash flows but does not boost directly the value of equity unless it is accompanied by an increase in profitability (Malikov, 2024). A balanced recapitalisation approach, including an equity injection and selective divestment, is the one that has the best recovery potential, on the basis of shareholder value (Xu et al., 2023).</w:t>
      </w:r>
    </w:p>
    <w:p w14:paraId="4855ED84" w14:textId="77777777" w:rsidR="00BB4636" w:rsidRDefault="00BB4636" w:rsidP="002A61E5">
      <w:pPr>
        <w:pStyle w:val="Heading3"/>
      </w:pPr>
      <w:bookmarkStart w:id="27" w:name="_Toc217264706"/>
      <w:r>
        <w:t>4.2.2 Impact on Capital Structure</w:t>
      </w:r>
      <w:bookmarkEnd w:id="27"/>
    </w:p>
    <w:p w14:paraId="2385C18A" w14:textId="77777777" w:rsidR="00BB4636" w:rsidRDefault="00BB4636" w:rsidP="00BB4636">
      <w:r>
        <w:t>Equity injection has a direct positive effect on the gearing ratios and solvency and the debt restructuring decreases the interest burden and the refinancing risk. Contrastingly, relying on asset sales excessively undermines the asset base without balance leverage (Cheboi and Mulili, 2022). A healthier capital structure will imply redressing the capital structure in favour of equity, and eliminating reliance on short-term debt, and regaining financial stability (Gharbi and Jarboui, 2023).</w:t>
      </w:r>
    </w:p>
    <w:p w14:paraId="5D5E83C7" w14:textId="2F929917" w:rsidR="00BB4636" w:rsidRDefault="00BB4636" w:rsidP="002A61E5">
      <w:pPr>
        <w:pStyle w:val="Heading3"/>
      </w:pPr>
      <w:bookmarkStart w:id="28" w:name="_Toc217264707"/>
      <w:r>
        <w:t>4.2.3 Effect of Operational Flexibility</w:t>
      </w:r>
      <w:bookmarkEnd w:id="28"/>
    </w:p>
    <w:p w14:paraId="62BB5612" w14:textId="0DF24F6C" w:rsidR="00BB4636" w:rsidRDefault="00BB4636" w:rsidP="00BB4636">
      <w:r>
        <w:t>Operation flexibility is based on availability of liquidity, covenant restrictions and access to investments capital. The equity-based restructuring will increase flexibility because it eliminates restrictive debt covenants, and strategic alliances offer an opportunity to enter technology and markets without the massive capital expenses (Jiang et al., 2020). It is necessary to restructure approaches to enhance liquidity and decrease financial obligations that will be able to sustain future innovation and expansion plans (Mu &amp; Lee, 2023).</w:t>
      </w:r>
    </w:p>
    <w:p w14:paraId="1B6D24D3" w14:textId="77777777" w:rsidR="007C7C1E" w:rsidRDefault="007C7C1E" w:rsidP="006F0A20">
      <w:pPr>
        <w:pStyle w:val="Heading2"/>
      </w:pPr>
      <w:bookmarkStart w:id="29" w:name="_Toc217264708"/>
      <w:r>
        <w:lastRenderedPageBreak/>
        <w:t>4.3 International and Ethical Considerations</w:t>
      </w:r>
      <w:bookmarkEnd w:id="29"/>
    </w:p>
    <w:p w14:paraId="32D97A91" w14:textId="77777777" w:rsidR="00645C04" w:rsidRDefault="00645C04" w:rsidP="002A61E5">
      <w:pPr>
        <w:pStyle w:val="Heading3"/>
      </w:pPr>
      <w:bookmarkStart w:id="30" w:name="_Toc217264709"/>
      <w:r>
        <w:t>4.3.1 Currency Risk</w:t>
      </w:r>
      <w:bookmarkEnd w:id="30"/>
    </w:p>
    <w:p w14:paraId="5C3FE1F1" w14:textId="77777777" w:rsidR="00645C04" w:rsidRDefault="00645C04" w:rsidP="00645C04">
      <w:r>
        <w:t>Being a universal company, General Electronics faces the risk of the foreign exchange volatility influencing the cash flow and profitability directly. Financial restructuring should thus be done with currency risk management by natural hedging, revenue and cost currency matching, selective application of financial hedging instruments (Abiola-Adams et al., 2025).</w:t>
      </w:r>
    </w:p>
    <w:p w14:paraId="19CBCF84" w14:textId="77777777" w:rsidR="00645C04" w:rsidRDefault="00645C04" w:rsidP="002A61E5">
      <w:pPr>
        <w:pStyle w:val="Heading3"/>
      </w:pPr>
      <w:bookmarkStart w:id="31" w:name="_Toc217264710"/>
      <w:r>
        <w:t>4.3.2 Inflation Risk</w:t>
      </w:r>
      <w:bookmarkEnd w:id="31"/>
    </w:p>
    <w:p w14:paraId="3AE4C32F" w14:textId="77777777" w:rsidR="00645C04" w:rsidRDefault="00645C04" w:rsidP="00645C04">
      <w:r>
        <w:t>Constant inflation around the world is impacting the costs of inputs and reducing the margins, especially in industries that are intensive in manufacturing. An enhanced capital structure will help the company to absorb inflationary shocks and invest in technologies that can make the firm productive (Gupta et al., 2024).</w:t>
      </w:r>
    </w:p>
    <w:p w14:paraId="7520BFCE" w14:textId="77777777" w:rsidR="00645C04" w:rsidRDefault="00645C04" w:rsidP="002A61E5">
      <w:pPr>
        <w:pStyle w:val="Heading3"/>
      </w:pPr>
      <w:bookmarkStart w:id="32" w:name="_Toc217264711"/>
      <w:r>
        <w:t>4.3.3 Taxation Considerations</w:t>
      </w:r>
      <w:bookmarkEnd w:id="32"/>
    </w:p>
    <w:p w14:paraId="046B4AF5" w14:textId="77777777" w:rsidR="00645C04" w:rsidRDefault="00645C04" w:rsidP="00645C04">
      <w:r>
        <w:t>Restructuring decisions have impacts on the global tax position of the firm. Tax implications of asset divestment, debt restructuring and equity issuance should be properly addressed, to prevent unnecessary tax leakage, and still be in line with the international tax requirements (Kale et al., 2024).</w:t>
      </w:r>
    </w:p>
    <w:p w14:paraId="23275C11" w14:textId="611ACD3A" w:rsidR="00645C04" w:rsidRDefault="00645C04" w:rsidP="002A61E5">
      <w:pPr>
        <w:pStyle w:val="Heading3"/>
      </w:pPr>
      <w:bookmarkStart w:id="33" w:name="_Toc217264712"/>
      <w:r>
        <w:t>4.3.4 Corporate Social Responsibility and Ethical</w:t>
      </w:r>
      <w:bookmarkEnd w:id="33"/>
    </w:p>
    <w:p w14:paraId="3803C175" w14:textId="77777777" w:rsidR="00645C04" w:rsidRDefault="00645C04" w:rsidP="00645C04">
      <w:r>
        <w:t>Workforce rationalisation is often involved in the financial restructuring. Ethical down-sizing involves transparency and equitable severance programmes and retraining of laid-off workers. Responsible restructuring safeguards corporate reputation and trust of long-term stakeholders in terms of CSR (Boscá et al., 2025). Ethics cannot be treated as a side-note during the sustainable financial recovery, especially when it comes to globally visible companies (Yan et al., 2022).</w:t>
      </w:r>
    </w:p>
    <w:p w14:paraId="032171B6" w14:textId="70513FA3" w:rsidR="00645C04" w:rsidRDefault="00645C04" w:rsidP="00645C04">
      <w:bookmarkStart w:id="34" w:name="_Toc217264713"/>
      <w:r w:rsidRPr="002A61E5">
        <w:rPr>
          <w:rStyle w:val="Heading2Char"/>
        </w:rPr>
        <w:t>4.4 Proposed Restructuring Strategy</w:t>
      </w:r>
      <w:bookmarkEnd w:id="34"/>
    </w:p>
    <w:p w14:paraId="63EE1C2A" w14:textId="3513FC2E" w:rsidR="00645C04" w:rsidRPr="00645C04" w:rsidRDefault="00645C04" w:rsidP="00645C04">
      <w:r>
        <w:t>Restructuring strategy that should be proposed to General Electronics based on the analysis carried out is a hybrid one that includes:</w:t>
      </w:r>
    </w:p>
    <w:p w14:paraId="0D5D285E" w14:textId="77777777" w:rsidR="007C7C1E" w:rsidRDefault="007C7C1E" w:rsidP="001D202E">
      <w:pPr>
        <w:pStyle w:val="ListParagraph"/>
        <w:numPr>
          <w:ilvl w:val="0"/>
          <w:numId w:val="5"/>
        </w:numPr>
      </w:pPr>
      <w:r>
        <w:t>Equity injection to restore solvency and reduce financial risk</w:t>
      </w:r>
    </w:p>
    <w:p w14:paraId="49E267CD" w14:textId="77777777" w:rsidR="007C7C1E" w:rsidRDefault="007C7C1E" w:rsidP="001D202E">
      <w:pPr>
        <w:pStyle w:val="ListParagraph"/>
        <w:numPr>
          <w:ilvl w:val="0"/>
          <w:numId w:val="5"/>
        </w:numPr>
      </w:pPr>
      <w:r>
        <w:t>Targeted debt restructuring to ease liquidity pressure</w:t>
      </w:r>
    </w:p>
    <w:p w14:paraId="0DB51285" w14:textId="77777777" w:rsidR="007C7C1E" w:rsidRDefault="007C7C1E" w:rsidP="001D202E">
      <w:pPr>
        <w:pStyle w:val="ListParagraph"/>
        <w:numPr>
          <w:ilvl w:val="0"/>
          <w:numId w:val="5"/>
        </w:numPr>
      </w:pPr>
      <w:r>
        <w:t>Selective asset divestment of non-core assets</w:t>
      </w:r>
    </w:p>
    <w:p w14:paraId="76943322" w14:textId="77777777" w:rsidR="007C7C1E" w:rsidRDefault="007C7C1E" w:rsidP="001D202E">
      <w:pPr>
        <w:pStyle w:val="ListParagraph"/>
        <w:numPr>
          <w:ilvl w:val="0"/>
          <w:numId w:val="5"/>
        </w:numPr>
      </w:pPr>
      <w:r>
        <w:t>Strategic alliances to enhance competitiveness without excessive capital outlay</w:t>
      </w:r>
    </w:p>
    <w:p w14:paraId="0A198CE7" w14:textId="70DDF8C4" w:rsidR="00F5545F" w:rsidRDefault="00F5545F" w:rsidP="00F5545F">
      <w:r w:rsidRPr="00F5545F">
        <w:lastRenderedPageBreak/>
        <w:t>This combined solutions strategy would respond to urgent liquidity requirements and also provide a platform upon which sustainable value generation will be achieved (Jung and Im, 2022).</w:t>
      </w:r>
    </w:p>
    <w:p w14:paraId="2EE9578C" w14:textId="77777777" w:rsidR="00DC128E" w:rsidRPr="00DC128E" w:rsidRDefault="00DC128E" w:rsidP="00DC128E">
      <w:pPr>
        <w:pStyle w:val="Heading1"/>
      </w:pPr>
      <w:bookmarkStart w:id="35" w:name="_Toc217264714"/>
      <w:r w:rsidRPr="00DC128E">
        <w:t>5. Investment Appraisal and Capital Budgeting</w:t>
      </w:r>
      <w:bookmarkEnd w:id="35"/>
      <w:r w:rsidRPr="00DC128E">
        <w:t xml:space="preserve"> </w:t>
      </w:r>
    </w:p>
    <w:p w14:paraId="48D06270" w14:textId="77777777" w:rsidR="00DC128E" w:rsidRPr="00DC128E" w:rsidRDefault="00DC128E" w:rsidP="00DC128E">
      <w:r w:rsidRPr="00DC128E">
        <w:t>Growth and competitive position are the main drivers of capital investment decision in financially stable organisations. Nevertheless, when it comes to General Electronics where financial health assessment (Section 2) revealed a steady loss of profitability, liquidity pressure, and high financial risk, capital budgeting should be undertaken with greater caution and discipline</w:t>
      </w:r>
      <w:r w:rsidR="00BF0FA2">
        <w:t xml:space="preserve"> </w:t>
      </w:r>
      <w:r w:rsidR="008D35F1">
        <w:t>(Wen, 2024)</w:t>
      </w:r>
      <w:r w:rsidRPr="00DC128E">
        <w:t>. Being Chief Financial Officer, the priority is not merely to find some projects that can produce value, but to make decisions related to investments in a way that avoids the amplification of the liquidity constraints or the increased risk of the financial distress. This part is a critical assessment of three of the proposed investment projects based on the standard methods of capital budgeting and is to make a final investment decision based on capital rationing conditions, clearly indicating the decision based on the current financial performance and risk profile of the firm</w:t>
      </w:r>
      <w:r w:rsidR="008D35F1">
        <w:t xml:space="preserve"> (Poursoleyman et al., 2022)</w:t>
      </w:r>
      <w:r w:rsidRPr="00DC128E">
        <w:t>.</w:t>
      </w:r>
    </w:p>
    <w:p w14:paraId="7D5D2E96" w14:textId="77777777" w:rsidR="00DC128E" w:rsidRPr="00DC128E" w:rsidRDefault="00DC128E" w:rsidP="00DC128E">
      <w:pPr>
        <w:pStyle w:val="Heading2"/>
      </w:pPr>
      <w:bookmarkStart w:id="36" w:name="_Toc217264715"/>
      <w:r w:rsidRPr="00DC128E">
        <w:t>5.1 Capital Budgeting Techniques: Critical Theoretical Perspective</w:t>
      </w:r>
      <w:bookmarkEnd w:id="36"/>
    </w:p>
    <w:p w14:paraId="7AD130C4" w14:textId="77777777" w:rsidR="00DC128E" w:rsidRPr="00DC128E" w:rsidRDefault="00DC128E" w:rsidP="00DC128E">
      <w:r w:rsidRPr="00DC128E">
        <w:t>To have strong decisions, five capital budgeting methods are used. Notably, none of these techniques is discussed as a substitute to the other, but rather as a complementary instrument, providing various insights into the desirability of the project</w:t>
      </w:r>
      <w:r w:rsidR="008D35F1">
        <w:t xml:space="preserve"> (Mutamimah &amp; Saputri, 2022)</w:t>
      </w:r>
      <w:r w:rsidRPr="00DC128E">
        <w:t>.</w:t>
      </w:r>
    </w:p>
    <w:p w14:paraId="4648CE35" w14:textId="77777777" w:rsidR="00DC128E" w:rsidRPr="00A63416" w:rsidRDefault="00DC128E" w:rsidP="00DC128E">
      <w:pPr>
        <w:pStyle w:val="Heading3"/>
      </w:pPr>
      <w:bookmarkStart w:id="37" w:name="_Toc217264716"/>
      <w:r w:rsidRPr="00A63416">
        <w:t>5.1.1 Payback Period (PBP)</w:t>
      </w:r>
      <w:bookmarkEnd w:id="37"/>
    </w:p>
    <w:p w14:paraId="721B9C98" w14:textId="77777777" w:rsidR="00DC128E" w:rsidRPr="00DC128E" w:rsidRDefault="00DC128E" w:rsidP="00DC128E">
      <w:r w:rsidRPr="00DC128E">
        <w:t xml:space="preserve">Payback period is the period it takes for accumulated cash injections to pay up the original investment. In a case like that of General Electronics that is under pressure to meet its liquidity and its cash reserves are diminishing, PBP is especially applicable since it brings to the fore of how the invested capital is recovered in the shortest time possible. Nonetheless, </w:t>
      </w:r>
      <w:r w:rsidR="001D202E" w:rsidRPr="00DC128E">
        <w:t>critically</w:t>
      </w:r>
      <w:r w:rsidRPr="00DC128E">
        <w:t>, PBP has two significant weaknesses</w:t>
      </w:r>
      <w:r w:rsidR="008D35F1">
        <w:t xml:space="preserve"> (Rana et al., 2024)</w:t>
      </w:r>
      <w:r w:rsidRPr="00DC128E">
        <w:t>. First, it disregards cash flows within the payback period, which may undervalue projects that have high benefits in the long run. Second, it does not take into consideration the time value of money. Therefore, although PBP is an effective screening tool of liquidity, it cannot be applied to make value-based decisions exclusively.</w:t>
      </w:r>
    </w:p>
    <w:p w14:paraId="28536F27" w14:textId="77777777" w:rsidR="00DC128E" w:rsidRPr="00A63416" w:rsidRDefault="00DC128E" w:rsidP="00DC128E">
      <w:pPr>
        <w:pStyle w:val="Heading3"/>
      </w:pPr>
      <w:bookmarkStart w:id="38" w:name="_Toc217264717"/>
      <w:r w:rsidRPr="00A63416">
        <w:lastRenderedPageBreak/>
        <w:t>5.1.2 Accounting Rate of Return (ARR)</w:t>
      </w:r>
      <w:bookmarkEnd w:id="38"/>
      <w:r w:rsidRPr="00A63416">
        <w:t xml:space="preserve"> </w:t>
      </w:r>
    </w:p>
    <w:p w14:paraId="23DBEF6E" w14:textId="77777777" w:rsidR="00DC128E" w:rsidRPr="00DC128E" w:rsidRDefault="00DC128E" w:rsidP="00DC128E">
      <w:r w:rsidRPr="00DC128E">
        <w:t>ARR estimates the accounting profit per project in terms of costs incurred by a project. It is simple and based on the accounting numbers, and this makes it attractive to non-financial managers. However, ARR is unsound at a CFO level. It is also grounded on accounting profit instead of cash flows, does not care about the timing of returns and does not involve the use of discounting. Consequently, ARR offers less information on creating shareholder value and must be seen in constrained context especially in companies undergoing financial distress</w:t>
      </w:r>
      <w:r w:rsidR="008D35F1">
        <w:t xml:space="preserve"> (Rumasukun, 2024)</w:t>
      </w:r>
      <w:r w:rsidRPr="00DC128E">
        <w:t>.</w:t>
      </w:r>
    </w:p>
    <w:p w14:paraId="477D14A5" w14:textId="77777777" w:rsidR="00DC128E" w:rsidRPr="00A63416" w:rsidRDefault="00DC128E" w:rsidP="00DC128E">
      <w:pPr>
        <w:pStyle w:val="Heading3"/>
      </w:pPr>
      <w:bookmarkStart w:id="39" w:name="_Toc217264718"/>
      <w:r w:rsidRPr="00A63416">
        <w:t>5.1.3 Net Present Value (NPV)</w:t>
      </w:r>
      <w:bookmarkEnd w:id="39"/>
    </w:p>
    <w:p w14:paraId="248DD4EF" w14:textId="77777777" w:rsidR="00DC128E" w:rsidRPr="00DC128E" w:rsidRDefault="00DC128E" w:rsidP="00DC128E">
      <w:r w:rsidRPr="00DC128E">
        <w:t>The NPV has been considered to be comprehensively the best theoretically sound capital budgeting technique owing to the fact that it quantifies directly the absolute value added to the firm</w:t>
      </w:r>
      <w:r w:rsidR="008B281F">
        <w:t xml:space="preserve"> (Silvius &amp; Schipper, 2022)</w:t>
      </w:r>
      <w:r w:rsidRPr="00DC128E">
        <w:t>. NPV takes into consideration the risk and time value of money by discounting future cash flows at the cost of capital of the firm (which is taken as 10%). In the case of General Electronics whose shareholders have suffered a downward trend in returns and shareholder value erosion, NPV is the main decision criterion as it will connect the investment decisions with the maximisation of shareholder wealth</w:t>
      </w:r>
      <w:r w:rsidR="002808AA">
        <w:t xml:space="preserve"> </w:t>
      </w:r>
      <w:r w:rsidR="00B82A41">
        <w:t>(Paseda, 2020)</w:t>
      </w:r>
      <w:r w:rsidRPr="00DC128E">
        <w:t>.</w:t>
      </w:r>
    </w:p>
    <w:p w14:paraId="702EAA3D" w14:textId="77777777" w:rsidR="00DC128E" w:rsidRPr="00A63416" w:rsidRDefault="00DC128E" w:rsidP="00DC128E">
      <w:pPr>
        <w:pStyle w:val="Heading3"/>
      </w:pPr>
      <w:bookmarkStart w:id="40" w:name="_Toc217264719"/>
      <w:r w:rsidRPr="00A63416">
        <w:t>5.1.4 Profitability Index (PI)</w:t>
      </w:r>
      <w:bookmarkEnd w:id="40"/>
    </w:p>
    <w:p w14:paraId="4945E90F" w14:textId="77777777" w:rsidR="00DC128E" w:rsidRPr="00DC128E" w:rsidRDefault="00DC128E" w:rsidP="00DC128E">
      <w:r w:rsidRPr="00DC128E">
        <w:t>The profitability index is a statement of the present value of the future inflows of cash as compared to the investment. Although very similar to NPV, PI comes in especially handy when capital is constrained. Since the firm has limited financial resources, and the suggested ceiling of the investment is 60 million pounds, PI is instrumental in prioritising projects by value creation per pound invested and, thus, helps to make the best allocation decisions when capital rationing is enforced</w:t>
      </w:r>
      <w:r w:rsidR="00B82A41">
        <w:t xml:space="preserve"> (Tu et al., 2023)</w:t>
      </w:r>
      <w:r w:rsidRPr="00DC128E">
        <w:t>.</w:t>
      </w:r>
    </w:p>
    <w:p w14:paraId="1A0ACAE1" w14:textId="77777777" w:rsidR="00DC128E" w:rsidRPr="00A63416" w:rsidRDefault="00DC128E" w:rsidP="00DC128E">
      <w:pPr>
        <w:pStyle w:val="Heading3"/>
      </w:pPr>
      <w:bookmarkStart w:id="41" w:name="_Toc217264720"/>
      <w:r w:rsidRPr="00A63416">
        <w:t>5.1.5 Internal Rate of Return (IRR)</w:t>
      </w:r>
      <w:bookmarkEnd w:id="41"/>
    </w:p>
    <w:p w14:paraId="2B15D8D4" w14:textId="77777777" w:rsidR="00DC128E" w:rsidRPr="00DC128E" w:rsidRDefault="00DC128E" w:rsidP="00DC128E">
      <w:r w:rsidRPr="00DC128E">
        <w:t>IRR is the rate at which a project will have an NPV value of zero. Although it is widely applied in practise, IRR has significant limitations, especially when comparing the projects of different magnitude or unconventional cash flows. Considering a CFO view point, IRR is thus to be employed as a secondary measure, but not to override NPV and PI in the ultimate decision</w:t>
      </w:r>
      <w:r w:rsidR="00B82A41">
        <w:t xml:space="preserve"> (Tan et al., 2022)</w:t>
      </w:r>
      <w:r w:rsidRPr="00DC128E">
        <w:t>.</w:t>
      </w:r>
    </w:p>
    <w:p w14:paraId="002C149C" w14:textId="77777777" w:rsidR="00DC128E" w:rsidRPr="00DC128E" w:rsidRDefault="00DC128E" w:rsidP="00DC128E">
      <w:pPr>
        <w:pStyle w:val="Heading2"/>
      </w:pPr>
      <w:bookmarkStart w:id="42" w:name="_Toc217264721"/>
      <w:r w:rsidRPr="00DC128E">
        <w:t>5.2 Project Appraisal Results</w:t>
      </w:r>
      <w:bookmarkEnd w:id="42"/>
    </w:p>
    <w:p w14:paraId="361F651C" w14:textId="77777777" w:rsidR="00DC128E" w:rsidRPr="00DC128E" w:rsidRDefault="00DC128E" w:rsidP="00DC128E">
      <w:r w:rsidRPr="00DC128E">
        <w:t xml:space="preserve">The above techniques are applied on three independent investment projects (A, B and C) which are being assessed. All the figures are calculated at discount rate of 10 percent and straight-line </w:t>
      </w:r>
      <w:r w:rsidRPr="00DC128E">
        <w:lastRenderedPageBreak/>
        <w:t>depreciation to zero as given in the assessment brief. Complicated mathematical calculations are given in Appendix E</w:t>
      </w:r>
      <w:r w:rsidR="00B82A41">
        <w:t xml:space="preserve"> (Ilyas, 2020)</w:t>
      </w:r>
      <w:r w:rsidRPr="00DC128E">
        <w:t>.</w:t>
      </w:r>
    </w:p>
    <w:p w14:paraId="6D76C51A" w14:textId="77777777" w:rsidR="00DC128E" w:rsidRPr="00DC128E" w:rsidRDefault="00DC128E" w:rsidP="00DC128E">
      <w:pPr>
        <w:rPr>
          <w:b/>
          <w:bCs/>
        </w:rPr>
      </w:pPr>
      <w:r w:rsidRPr="00DC128E">
        <w:rPr>
          <w:b/>
          <w:bCs/>
        </w:rPr>
        <w:t>Table 5. 1: Summary of Investment Appraisal Results</w:t>
      </w:r>
    </w:p>
    <w:tbl>
      <w:tblPr>
        <w:tblStyle w:val="GridTable4-Accent5"/>
        <w:tblW w:w="0" w:type="auto"/>
        <w:tblLook w:val="04A0" w:firstRow="1" w:lastRow="0" w:firstColumn="1" w:lastColumn="0" w:noHBand="0" w:noVBand="1"/>
      </w:tblPr>
      <w:tblGrid>
        <w:gridCol w:w="2254"/>
        <w:gridCol w:w="2254"/>
        <w:gridCol w:w="2254"/>
        <w:gridCol w:w="2254"/>
      </w:tblGrid>
      <w:tr w:rsidR="00DC128E" w:rsidRPr="00DC128E" w14:paraId="527BC925" w14:textId="77777777" w:rsidTr="00F54E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0746E2F" w14:textId="77777777" w:rsidR="00DC128E" w:rsidRPr="00DC128E" w:rsidRDefault="00DC128E" w:rsidP="00DC128E">
            <w:pPr>
              <w:spacing w:after="160"/>
            </w:pPr>
            <w:r w:rsidRPr="00DC128E">
              <w:t>Metric</w:t>
            </w:r>
          </w:p>
          <w:p w14:paraId="0DB3BEBE" w14:textId="77777777" w:rsidR="00DC128E" w:rsidRPr="00DC128E" w:rsidRDefault="00DC128E" w:rsidP="00DC128E">
            <w:pPr>
              <w:spacing w:after="160"/>
            </w:pPr>
          </w:p>
        </w:tc>
        <w:tc>
          <w:tcPr>
            <w:tcW w:w="2254" w:type="dxa"/>
          </w:tcPr>
          <w:p w14:paraId="43A9454F" w14:textId="77777777" w:rsidR="00DC128E" w:rsidRPr="00DC128E" w:rsidRDefault="00DC128E" w:rsidP="00DC128E">
            <w:pPr>
              <w:spacing w:after="160"/>
              <w:cnfStyle w:val="100000000000" w:firstRow="1" w:lastRow="0" w:firstColumn="0" w:lastColumn="0" w:oddVBand="0" w:evenVBand="0" w:oddHBand="0" w:evenHBand="0" w:firstRowFirstColumn="0" w:firstRowLastColumn="0" w:lastRowFirstColumn="0" w:lastRowLastColumn="0"/>
            </w:pPr>
            <w:r w:rsidRPr="00DC128E">
              <w:t>Project A (£40m)</w:t>
            </w:r>
          </w:p>
        </w:tc>
        <w:tc>
          <w:tcPr>
            <w:tcW w:w="2254" w:type="dxa"/>
          </w:tcPr>
          <w:p w14:paraId="4FD4B536" w14:textId="77777777" w:rsidR="00DC128E" w:rsidRPr="00DC128E" w:rsidRDefault="00DC128E" w:rsidP="00DC128E">
            <w:pPr>
              <w:spacing w:after="160"/>
              <w:cnfStyle w:val="100000000000" w:firstRow="1" w:lastRow="0" w:firstColumn="0" w:lastColumn="0" w:oddVBand="0" w:evenVBand="0" w:oddHBand="0" w:evenHBand="0" w:firstRowFirstColumn="0" w:firstRowLastColumn="0" w:lastRowFirstColumn="0" w:lastRowLastColumn="0"/>
            </w:pPr>
            <w:r w:rsidRPr="00DC128E">
              <w:t>Project B (£30m)</w:t>
            </w:r>
          </w:p>
        </w:tc>
        <w:tc>
          <w:tcPr>
            <w:tcW w:w="2254" w:type="dxa"/>
          </w:tcPr>
          <w:p w14:paraId="2E38C21E" w14:textId="77777777" w:rsidR="00DC128E" w:rsidRPr="00DC128E" w:rsidRDefault="00DC128E" w:rsidP="00DC128E">
            <w:pPr>
              <w:spacing w:after="160"/>
              <w:cnfStyle w:val="100000000000" w:firstRow="1" w:lastRow="0" w:firstColumn="0" w:lastColumn="0" w:oddVBand="0" w:evenVBand="0" w:oddHBand="0" w:evenHBand="0" w:firstRowFirstColumn="0" w:firstRowLastColumn="0" w:lastRowFirstColumn="0" w:lastRowLastColumn="0"/>
            </w:pPr>
            <w:r w:rsidRPr="00DC128E">
              <w:t>Project C (£50m)</w:t>
            </w:r>
          </w:p>
        </w:tc>
      </w:tr>
      <w:tr w:rsidR="00DC128E" w:rsidRPr="00DC128E" w14:paraId="66416922" w14:textId="77777777" w:rsidTr="00F54E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1E07EE2" w14:textId="77777777" w:rsidR="00DC128E" w:rsidRPr="00DC128E" w:rsidRDefault="00DC128E" w:rsidP="00DC128E">
            <w:pPr>
              <w:spacing w:after="160"/>
            </w:pPr>
            <w:r w:rsidRPr="00DC128E">
              <w:t>Payback Period</w:t>
            </w:r>
          </w:p>
          <w:p w14:paraId="4C709A43" w14:textId="77777777" w:rsidR="00DC128E" w:rsidRPr="00DC128E" w:rsidRDefault="00DC128E" w:rsidP="00DC128E">
            <w:pPr>
              <w:spacing w:after="160"/>
            </w:pPr>
          </w:p>
        </w:tc>
        <w:tc>
          <w:tcPr>
            <w:tcW w:w="2254" w:type="dxa"/>
          </w:tcPr>
          <w:p w14:paraId="16DAE76A" w14:textId="77777777" w:rsidR="00DC128E" w:rsidRPr="00DC128E" w:rsidRDefault="00DC128E" w:rsidP="00DC128E">
            <w:pPr>
              <w:spacing w:after="160"/>
              <w:cnfStyle w:val="000000100000" w:firstRow="0" w:lastRow="0" w:firstColumn="0" w:lastColumn="0" w:oddVBand="0" w:evenVBand="0" w:oddHBand="1" w:evenHBand="0" w:firstRowFirstColumn="0" w:firstRowLastColumn="0" w:lastRowFirstColumn="0" w:lastRowLastColumn="0"/>
            </w:pPr>
            <w:r w:rsidRPr="00DC128E">
              <w:t>~3.6 years</w:t>
            </w:r>
          </w:p>
        </w:tc>
        <w:tc>
          <w:tcPr>
            <w:tcW w:w="2254" w:type="dxa"/>
          </w:tcPr>
          <w:p w14:paraId="66EC96A3" w14:textId="77777777" w:rsidR="00DC128E" w:rsidRPr="00DC128E" w:rsidRDefault="00DC128E" w:rsidP="00DC128E">
            <w:pPr>
              <w:spacing w:after="160"/>
              <w:cnfStyle w:val="000000100000" w:firstRow="0" w:lastRow="0" w:firstColumn="0" w:lastColumn="0" w:oddVBand="0" w:evenVBand="0" w:oddHBand="1" w:evenHBand="0" w:firstRowFirstColumn="0" w:firstRowLastColumn="0" w:lastRowFirstColumn="0" w:lastRowLastColumn="0"/>
            </w:pPr>
            <w:r w:rsidRPr="00DC128E">
              <w:t>5.0 years</w:t>
            </w:r>
          </w:p>
        </w:tc>
        <w:tc>
          <w:tcPr>
            <w:tcW w:w="2254" w:type="dxa"/>
          </w:tcPr>
          <w:p w14:paraId="1D5BCFD9" w14:textId="77777777" w:rsidR="00DC128E" w:rsidRPr="00DC128E" w:rsidRDefault="00DC128E" w:rsidP="00DC128E">
            <w:pPr>
              <w:spacing w:after="160"/>
              <w:cnfStyle w:val="000000100000" w:firstRow="0" w:lastRow="0" w:firstColumn="0" w:lastColumn="0" w:oddVBand="0" w:evenVBand="0" w:oddHBand="1" w:evenHBand="0" w:firstRowFirstColumn="0" w:firstRowLastColumn="0" w:lastRowFirstColumn="0" w:lastRowLastColumn="0"/>
            </w:pPr>
            <w:r w:rsidRPr="00DC128E">
              <w:t>~3.3 years</w:t>
            </w:r>
          </w:p>
        </w:tc>
      </w:tr>
      <w:tr w:rsidR="00DC128E" w:rsidRPr="00DC128E" w14:paraId="1217EE7C" w14:textId="77777777" w:rsidTr="00F54E0A">
        <w:tc>
          <w:tcPr>
            <w:cnfStyle w:val="001000000000" w:firstRow="0" w:lastRow="0" w:firstColumn="1" w:lastColumn="0" w:oddVBand="0" w:evenVBand="0" w:oddHBand="0" w:evenHBand="0" w:firstRowFirstColumn="0" w:firstRowLastColumn="0" w:lastRowFirstColumn="0" w:lastRowLastColumn="0"/>
            <w:tcW w:w="2254" w:type="dxa"/>
          </w:tcPr>
          <w:p w14:paraId="766B2B1E" w14:textId="77777777" w:rsidR="00DC128E" w:rsidRPr="00DC128E" w:rsidRDefault="00DC128E" w:rsidP="00DC128E">
            <w:pPr>
              <w:spacing w:after="160"/>
            </w:pPr>
            <w:r w:rsidRPr="00DC128E">
              <w:t>ARR</w:t>
            </w:r>
          </w:p>
          <w:p w14:paraId="08622213" w14:textId="77777777" w:rsidR="00DC128E" w:rsidRPr="00DC128E" w:rsidRDefault="00DC128E" w:rsidP="00DC128E">
            <w:pPr>
              <w:spacing w:after="160"/>
            </w:pPr>
          </w:p>
        </w:tc>
        <w:tc>
          <w:tcPr>
            <w:tcW w:w="2254" w:type="dxa"/>
          </w:tcPr>
          <w:p w14:paraId="37C1F644" w14:textId="77777777" w:rsidR="00DC128E" w:rsidRPr="00DC128E" w:rsidRDefault="00DC128E" w:rsidP="00DC128E">
            <w:pPr>
              <w:spacing w:after="160"/>
              <w:cnfStyle w:val="000000000000" w:firstRow="0" w:lastRow="0" w:firstColumn="0" w:lastColumn="0" w:oddVBand="0" w:evenVBand="0" w:oddHBand="0" w:evenHBand="0" w:firstRowFirstColumn="0" w:firstRowLastColumn="0" w:lastRowFirstColumn="0" w:lastRowLastColumn="0"/>
            </w:pPr>
            <w:r w:rsidRPr="00DC128E">
              <w:t>Moderate</w:t>
            </w:r>
          </w:p>
        </w:tc>
        <w:tc>
          <w:tcPr>
            <w:tcW w:w="2254" w:type="dxa"/>
          </w:tcPr>
          <w:p w14:paraId="27114D7F" w14:textId="77777777" w:rsidR="00DC128E" w:rsidRPr="00DC128E" w:rsidRDefault="00DC128E" w:rsidP="00DC128E">
            <w:pPr>
              <w:spacing w:after="160"/>
              <w:cnfStyle w:val="000000000000" w:firstRow="0" w:lastRow="0" w:firstColumn="0" w:lastColumn="0" w:oddVBand="0" w:evenVBand="0" w:oddHBand="0" w:evenHBand="0" w:firstRowFirstColumn="0" w:firstRowLastColumn="0" w:lastRowFirstColumn="0" w:lastRowLastColumn="0"/>
            </w:pPr>
            <w:r w:rsidRPr="00DC128E">
              <w:t>Low</w:t>
            </w:r>
          </w:p>
        </w:tc>
        <w:tc>
          <w:tcPr>
            <w:tcW w:w="2254" w:type="dxa"/>
          </w:tcPr>
          <w:p w14:paraId="5DD6BCDA" w14:textId="77777777" w:rsidR="00DC128E" w:rsidRPr="00DC128E" w:rsidRDefault="00DC128E" w:rsidP="00DC128E">
            <w:pPr>
              <w:spacing w:after="160"/>
              <w:cnfStyle w:val="000000000000" w:firstRow="0" w:lastRow="0" w:firstColumn="0" w:lastColumn="0" w:oddVBand="0" w:evenVBand="0" w:oddHBand="0" w:evenHBand="0" w:firstRowFirstColumn="0" w:firstRowLastColumn="0" w:lastRowFirstColumn="0" w:lastRowLastColumn="0"/>
            </w:pPr>
            <w:r w:rsidRPr="00DC128E">
              <w:t>High</w:t>
            </w:r>
          </w:p>
        </w:tc>
      </w:tr>
      <w:tr w:rsidR="00DC128E" w:rsidRPr="00DC128E" w14:paraId="0285BED5" w14:textId="77777777" w:rsidTr="00F54E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B24C51E" w14:textId="77777777" w:rsidR="00DC128E" w:rsidRPr="00DC128E" w:rsidRDefault="00DC128E" w:rsidP="00DC128E">
            <w:pPr>
              <w:spacing w:after="160"/>
            </w:pPr>
            <w:r w:rsidRPr="00DC128E">
              <w:t>NPV (£m)</w:t>
            </w:r>
          </w:p>
          <w:p w14:paraId="0CAAE0F9" w14:textId="77777777" w:rsidR="00DC128E" w:rsidRPr="00DC128E" w:rsidRDefault="00DC128E" w:rsidP="00DC128E">
            <w:pPr>
              <w:spacing w:after="160"/>
            </w:pPr>
          </w:p>
        </w:tc>
        <w:tc>
          <w:tcPr>
            <w:tcW w:w="2254" w:type="dxa"/>
          </w:tcPr>
          <w:p w14:paraId="12857877" w14:textId="77777777" w:rsidR="00DC128E" w:rsidRPr="00DC128E" w:rsidRDefault="00DC128E" w:rsidP="00DC128E">
            <w:pPr>
              <w:spacing w:after="160"/>
              <w:cnfStyle w:val="000000100000" w:firstRow="0" w:lastRow="0" w:firstColumn="0" w:lastColumn="0" w:oddVBand="0" w:evenVBand="0" w:oddHBand="1" w:evenHBand="0" w:firstRowFirstColumn="0" w:firstRowLastColumn="0" w:lastRowFirstColumn="0" w:lastRowLastColumn="0"/>
            </w:pPr>
            <w:r w:rsidRPr="00DC128E">
              <w:t>+1.7</w:t>
            </w:r>
          </w:p>
        </w:tc>
        <w:tc>
          <w:tcPr>
            <w:tcW w:w="2254" w:type="dxa"/>
          </w:tcPr>
          <w:p w14:paraId="256B3610" w14:textId="77777777" w:rsidR="00DC128E" w:rsidRPr="00DC128E" w:rsidRDefault="00DC128E" w:rsidP="00DC128E">
            <w:pPr>
              <w:spacing w:after="160"/>
              <w:cnfStyle w:val="000000100000" w:firstRow="0" w:lastRow="0" w:firstColumn="0" w:lastColumn="0" w:oddVBand="0" w:evenVBand="0" w:oddHBand="1" w:evenHBand="0" w:firstRowFirstColumn="0" w:firstRowLastColumn="0" w:lastRowFirstColumn="0" w:lastRowLastColumn="0"/>
            </w:pPr>
            <w:r w:rsidRPr="00DC128E">
              <w:t>−7.3</w:t>
            </w:r>
          </w:p>
        </w:tc>
        <w:tc>
          <w:tcPr>
            <w:tcW w:w="2254" w:type="dxa"/>
          </w:tcPr>
          <w:p w14:paraId="1D05CC92" w14:textId="77777777" w:rsidR="00DC128E" w:rsidRPr="00DC128E" w:rsidRDefault="00DC128E" w:rsidP="00DC128E">
            <w:pPr>
              <w:spacing w:after="160"/>
              <w:cnfStyle w:val="000000100000" w:firstRow="0" w:lastRow="0" w:firstColumn="0" w:lastColumn="0" w:oddVBand="0" w:evenVBand="0" w:oddHBand="1" w:evenHBand="0" w:firstRowFirstColumn="0" w:firstRowLastColumn="0" w:lastRowFirstColumn="0" w:lastRowLastColumn="0"/>
            </w:pPr>
            <w:r w:rsidRPr="00DC128E">
              <w:t>+4.9</w:t>
            </w:r>
          </w:p>
        </w:tc>
      </w:tr>
      <w:tr w:rsidR="00DC128E" w:rsidRPr="00DC128E" w14:paraId="37E2F0C2" w14:textId="77777777" w:rsidTr="00F54E0A">
        <w:tc>
          <w:tcPr>
            <w:cnfStyle w:val="001000000000" w:firstRow="0" w:lastRow="0" w:firstColumn="1" w:lastColumn="0" w:oddVBand="0" w:evenVBand="0" w:oddHBand="0" w:evenHBand="0" w:firstRowFirstColumn="0" w:firstRowLastColumn="0" w:lastRowFirstColumn="0" w:lastRowLastColumn="0"/>
            <w:tcW w:w="2254" w:type="dxa"/>
          </w:tcPr>
          <w:p w14:paraId="5FF690EC" w14:textId="77777777" w:rsidR="00DC128E" w:rsidRPr="00DC128E" w:rsidRDefault="00DC128E" w:rsidP="00DC128E">
            <w:pPr>
              <w:spacing w:after="160"/>
            </w:pPr>
            <w:r w:rsidRPr="00DC128E">
              <w:t>PI</w:t>
            </w:r>
          </w:p>
          <w:p w14:paraId="112299A3" w14:textId="77777777" w:rsidR="00DC128E" w:rsidRPr="00DC128E" w:rsidRDefault="00DC128E" w:rsidP="00DC128E">
            <w:pPr>
              <w:spacing w:after="160"/>
            </w:pPr>
          </w:p>
        </w:tc>
        <w:tc>
          <w:tcPr>
            <w:tcW w:w="2254" w:type="dxa"/>
          </w:tcPr>
          <w:p w14:paraId="776CBBE8" w14:textId="77777777" w:rsidR="00DC128E" w:rsidRPr="00DC128E" w:rsidRDefault="00DC128E" w:rsidP="00DC128E">
            <w:pPr>
              <w:spacing w:after="160"/>
              <w:cnfStyle w:val="000000000000" w:firstRow="0" w:lastRow="0" w:firstColumn="0" w:lastColumn="0" w:oddVBand="0" w:evenVBand="0" w:oddHBand="0" w:evenHBand="0" w:firstRowFirstColumn="0" w:firstRowLastColumn="0" w:lastRowFirstColumn="0" w:lastRowLastColumn="0"/>
            </w:pPr>
            <w:r w:rsidRPr="00DC128E">
              <w:t>1.04</w:t>
            </w:r>
          </w:p>
        </w:tc>
        <w:tc>
          <w:tcPr>
            <w:tcW w:w="2254" w:type="dxa"/>
          </w:tcPr>
          <w:p w14:paraId="2171AE3E" w14:textId="77777777" w:rsidR="00DC128E" w:rsidRPr="00DC128E" w:rsidRDefault="00DC128E" w:rsidP="00DC128E">
            <w:pPr>
              <w:spacing w:after="160"/>
              <w:cnfStyle w:val="000000000000" w:firstRow="0" w:lastRow="0" w:firstColumn="0" w:lastColumn="0" w:oddVBand="0" w:evenVBand="0" w:oddHBand="0" w:evenHBand="0" w:firstRowFirstColumn="0" w:firstRowLastColumn="0" w:lastRowFirstColumn="0" w:lastRowLastColumn="0"/>
            </w:pPr>
            <w:r w:rsidRPr="00DC128E">
              <w:t>0.76</w:t>
            </w:r>
          </w:p>
        </w:tc>
        <w:tc>
          <w:tcPr>
            <w:tcW w:w="2254" w:type="dxa"/>
          </w:tcPr>
          <w:p w14:paraId="213636D9" w14:textId="77777777" w:rsidR="00DC128E" w:rsidRPr="00DC128E" w:rsidRDefault="00DC128E" w:rsidP="00DC128E">
            <w:pPr>
              <w:spacing w:after="160"/>
              <w:cnfStyle w:val="000000000000" w:firstRow="0" w:lastRow="0" w:firstColumn="0" w:lastColumn="0" w:oddVBand="0" w:evenVBand="0" w:oddHBand="0" w:evenHBand="0" w:firstRowFirstColumn="0" w:firstRowLastColumn="0" w:lastRowFirstColumn="0" w:lastRowLastColumn="0"/>
            </w:pPr>
            <w:r w:rsidRPr="00DC128E">
              <w:t>1.10</w:t>
            </w:r>
          </w:p>
        </w:tc>
      </w:tr>
      <w:tr w:rsidR="00DC128E" w:rsidRPr="00DC128E" w14:paraId="71C21C7C" w14:textId="77777777" w:rsidTr="00F54E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83B18B9" w14:textId="77777777" w:rsidR="00DC128E" w:rsidRPr="00DC128E" w:rsidRDefault="00DC128E" w:rsidP="00DC128E">
            <w:pPr>
              <w:spacing w:after="160"/>
            </w:pPr>
            <w:r w:rsidRPr="00DC128E">
              <w:t>IRR</w:t>
            </w:r>
          </w:p>
          <w:p w14:paraId="2E30274F" w14:textId="77777777" w:rsidR="00DC128E" w:rsidRPr="00DC128E" w:rsidRDefault="00DC128E" w:rsidP="00DC128E">
            <w:pPr>
              <w:spacing w:after="160"/>
            </w:pPr>
          </w:p>
        </w:tc>
        <w:tc>
          <w:tcPr>
            <w:tcW w:w="2254" w:type="dxa"/>
          </w:tcPr>
          <w:p w14:paraId="0860BAB9" w14:textId="77777777" w:rsidR="00DC128E" w:rsidRPr="00DC128E" w:rsidRDefault="00DC128E" w:rsidP="00DC128E">
            <w:pPr>
              <w:spacing w:after="160"/>
              <w:cnfStyle w:val="000000100000" w:firstRow="0" w:lastRow="0" w:firstColumn="0" w:lastColumn="0" w:oddVBand="0" w:evenVBand="0" w:oddHBand="1" w:evenHBand="0" w:firstRowFirstColumn="0" w:firstRowLastColumn="0" w:lastRowFirstColumn="0" w:lastRowLastColumn="0"/>
            </w:pPr>
            <w:r w:rsidRPr="00DC128E">
              <w:t>~11%</w:t>
            </w:r>
          </w:p>
        </w:tc>
        <w:tc>
          <w:tcPr>
            <w:tcW w:w="2254" w:type="dxa"/>
          </w:tcPr>
          <w:p w14:paraId="01E80774" w14:textId="77777777" w:rsidR="00DC128E" w:rsidRPr="00DC128E" w:rsidRDefault="00DC128E" w:rsidP="00DC128E">
            <w:pPr>
              <w:spacing w:after="160"/>
              <w:cnfStyle w:val="000000100000" w:firstRow="0" w:lastRow="0" w:firstColumn="0" w:lastColumn="0" w:oddVBand="0" w:evenVBand="0" w:oddHBand="1" w:evenHBand="0" w:firstRowFirstColumn="0" w:firstRowLastColumn="0" w:lastRowFirstColumn="0" w:lastRowLastColumn="0"/>
            </w:pPr>
            <w:r w:rsidRPr="00DC128E">
              <w:t>~6%</w:t>
            </w:r>
          </w:p>
        </w:tc>
        <w:tc>
          <w:tcPr>
            <w:tcW w:w="2254" w:type="dxa"/>
          </w:tcPr>
          <w:p w14:paraId="3D72A21E" w14:textId="77777777" w:rsidR="00DC128E" w:rsidRPr="00DC128E" w:rsidRDefault="00DC128E" w:rsidP="00DC128E">
            <w:pPr>
              <w:spacing w:after="160"/>
              <w:cnfStyle w:val="000000100000" w:firstRow="0" w:lastRow="0" w:firstColumn="0" w:lastColumn="0" w:oddVBand="0" w:evenVBand="0" w:oddHBand="1" w:evenHBand="0" w:firstRowFirstColumn="0" w:firstRowLastColumn="0" w:lastRowFirstColumn="0" w:lastRowLastColumn="0"/>
            </w:pPr>
            <w:r w:rsidRPr="00DC128E">
              <w:t>~13%</w:t>
            </w:r>
          </w:p>
        </w:tc>
      </w:tr>
    </w:tbl>
    <w:p w14:paraId="3ECBABBF" w14:textId="77777777" w:rsidR="00DC128E" w:rsidRPr="00DC128E" w:rsidRDefault="00DC128E" w:rsidP="00DC128E">
      <w:pPr>
        <w:rPr>
          <w:b/>
          <w:bCs/>
        </w:rPr>
      </w:pPr>
      <w:r w:rsidRPr="00DC128E">
        <w:rPr>
          <w:b/>
          <w:bCs/>
        </w:rPr>
        <w:t>Critical Interpretation of Results</w:t>
      </w:r>
    </w:p>
    <w:p w14:paraId="26888B0A" w14:textId="77777777" w:rsidR="00DC128E" w:rsidRPr="00DC128E" w:rsidRDefault="00DC128E" w:rsidP="00DC128E">
      <w:r w:rsidRPr="00DC128E">
        <w:t>Project A is only creating a small positive NPV and IRR that is slightly higher than the cost of capital and therefore, there is not a creation of value. It also has a relatively stable cash inflow which leads to an acceptable payback period thus it is less risky when it comes to short-term liquidity. Nonetheless, the contribution of the overall value is poor and this leads to the question of whether the project is worth its capital investment of 40 million pounds</w:t>
      </w:r>
      <w:r w:rsidR="00CD007B">
        <w:t xml:space="preserve"> (Hassan &amp; Giouvris, 2020)</w:t>
      </w:r>
      <w:r w:rsidRPr="00DC128E">
        <w:t>.</w:t>
      </w:r>
    </w:p>
    <w:p w14:paraId="5F4AD180" w14:textId="77777777" w:rsidR="00DC128E" w:rsidRPr="00DC128E" w:rsidRDefault="00DC128E" w:rsidP="00DC128E">
      <w:r w:rsidRPr="00DC128E">
        <w:t>Project B is poor on the value-based measures even though it provides predictable annual cash flows. This is because it has negative NPV and IRR below the cost of capital, which implies that the project would ruin shareholder value. As a CFO, being stable is inadequate in cases where the returns do not justify the risk and capital invested</w:t>
      </w:r>
      <w:r w:rsidR="00CD007B">
        <w:t xml:space="preserve"> (Farounbi, 2020)</w:t>
      </w:r>
      <w:r w:rsidRPr="00DC128E">
        <w:t>.</w:t>
      </w:r>
    </w:p>
    <w:p w14:paraId="545417A8" w14:textId="77777777" w:rsidR="00DC128E" w:rsidRPr="00DC128E" w:rsidRDefault="00DC128E" w:rsidP="00DC128E">
      <w:r w:rsidRPr="00DC128E">
        <w:lastRenderedPageBreak/>
        <w:t>Project C obviously beats alternatives on the value-creation measures. It generates the largest NPV and PI, and IRR that is comfortably larger than the discount rate. The value contribution of its cash flows is higher than of Projects A and B, despite the cash flow being back-loaded</w:t>
      </w:r>
      <w:r w:rsidR="00CD007B">
        <w:t xml:space="preserve"> (Gulaliyev, 2025)</w:t>
      </w:r>
      <w:r w:rsidRPr="00DC128E">
        <w:t>.</w:t>
      </w:r>
    </w:p>
    <w:p w14:paraId="391C610C" w14:textId="77777777" w:rsidR="00DC128E" w:rsidRPr="00DC128E" w:rsidRDefault="00DC128E" w:rsidP="00DC128E">
      <w:pPr>
        <w:pStyle w:val="Heading2"/>
      </w:pPr>
      <w:bookmarkStart w:id="43" w:name="_Toc217264722"/>
      <w:r w:rsidRPr="00DC128E">
        <w:t>5.3 Capital Rationing and Optimal Investment Choice</w:t>
      </w:r>
      <w:bookmarkEnd w:id="43"/>
    </w:p>
    <w:p w14:paraId="10C3DB1C" w14:textId="77777777" w:rsidR="00DC128E" w:rsidRPr="00DC128E" w:rsidRDefault="00DC128E" w:rsidP="00DC128E">
      <w:pPr>
        <w:rPr>
          <w:bCs/>
        </w:rPr>
      </w:pPr>
      <w:r w:rsidRPr="00DC128E">
        <w:rPr>
          <w:bCs/>
        </w:rPr>
        <w:t>Considering that General Electronics has a poor liquidity status and limited access to external funds a capital rationing limit of £60 million is in force. In this case, the projects have to be chosen in a manner that gives maximum total NPV using the available capital</w:t>
      </w:r>
      <w:r w:rsidR="008B281F">
        <w:rPr>
          <w:bCs/>
        </w:rPr>
        <w:t xml:space="preserve"> </w:t>
      </w:r>
      <w:r w:rsidR="008B281F">
        <w:t>(Tapkliang &amp; Chainirun, 2024)</w:t>
      </w:r>
      <w:r w:rsidRPr="00DC128E">
        <w:rPr>
          <w:bCs/>
        </w:rPr>
        <w:t>.</w:t>
      </w:r>
    </w:p>
    <w:p w14:paraId="44B97B2B" w14:textId="77777777" w:rsidR="00DC128E" w:rsidRPr="00DC128E" w:rsidRDefault="00DC128E" w:rsidP="00DC128E">
      <w:pPr>
        <w:rPr>
          <w:b/>
          <w:bCs/>
        </w:rPr>
      </w:pPr>
      <w:r w:rsidRPr="00DC128E">
        <w:rPr>
          <w:b/>
          <w:bCs/>
        </w:rPr>
        <w:t>Project Ranking (Using PI and NPV)</w:t>
      </w:r>
    </w:p>
    <w:p w14:paraId="1AB6EABA" w14:textId="77777777" w:rsidR="00DC128E" w:rsidRPr="00DC128E" w:rsidRDefault="00DC128E" w:rsidP="00DC128E">
      <w:pPr>
        <w:numPr>
          <w:ilvl w:val="0"/>
          <w:numId w:val="2"/>
        </w:numPr>
      </w:pPr>
      <w:r w:rsidRPr="00DC128E">
        <w:rPr>
          <w:b/>
          <w:bCs/>
        </w:rPr>
        <w:t>Project C</w:t>
      </w:r>
      <w:r w:rsidRPr="00DC128E">
        <w:t xml:space="preserve"> – PI = 1.10, NPV = +£4.9m</w:t>
      </w:r>
    </w:p>
    <w:p w14:paraId="7657ADB2" w14:textId="77777777" w:rsidR="00DC128E" w:rsidRPr="00DC128E" w:rsidRDefault="00DC128E" w:rsidP="00DC128E">
      <w:pPr>
        <w:numPr>
          <w:ilvl w:val="0"/>
          <w:numId w:val="2"/>
        </w:numPr>
      </w:pPr>
      <w:r w:rsidRPr="00DC128E">
        <w:rPr>
          <w:b/>
          <w:bCs/>
        </w:rPr>
        <w:t>Project A</w:t>
      </w:r>
      <w:r w:rsidRPr="00DC128E">
        <w:t xml:space="preserve"> – PI = 1.04, NPV = +£1.7m</w:t>
      </w:r>
    </w:p>
    <w:p w14:paraId="1CAF747C" w14:textId="77777777" w:rsidR="00DC128E" w:rsidRPr="00DC128E" w:rsidRDefault="00DC128E" w:rsidP="00DC128E">
      <w:pPr>
        <w:numPr>
          <w:ilvl w:val="0"/>
          <w:numId w:val="2"/>
        </w:numPr>
      </w:pPr>
      <w:r w:rsidRPr="00DC128E">
        <w:rPr>
          <w:b/>
          <w:bCs/>
        </w:rPr>
        <w:t>Project B</w:t>
      </w:r>
      <w:r w:rsidRPr="00DC128E">
        <w:t xml:space="preserve"> – PI = 0.76, NPV = −£7.3m</w:t>
      </w:r>
    </w:p>
    <w:p w14:paraId="12148567" w14:textId="77777777" w:rsidR="00DC128E" w:rsidRPr="00DC128E" w:rsidRDefault="00DC128E" w:rsidP="00DC128E">
      <w:pPr>
        <w:rPr>
          <w:b/>
          <w:bCs/>
        </w:rPr>
      </w:pPr>
      <w:r w:rsidRPr="00DC128E">
        <w:rPr>
          <w:b/>
          <w:bCs/>
        </w:rPr>
        <w:t>Feasible Combinations</w:t>
      </w:r>
    </w:p>
    <w:p w14:paraId="384E776B" w14:textId="77777777" w:rsidR="00DC128E" w:rsidRPr="00DC128E" w:rsidRDefault="00DC128E" w:rsidP="00DC128E">
      <w:pPr>
        <w:numPr>
          <w:ilvl w:val="0"/>
          <w:numId w:val="3"/>
        </w:numPr>
      </w:pPr>
      <w:r w:rsidRPr="00DC128E">
        <w:t>Project C only (£50m) → feasible</w:t>
      </w:r>
    </w:p>
    <w:p w14:paraId="354803C9" w14:textId="77777777" w:rsidR="00DC128E" w:rsidRPr="00DC128E" w:rsidRDefault="00DC128E" w:rsidP="00DC128E">
      <w:pPr>
        <w:numPr>
          <w:ilvl w:val="0"/>
          <w:numId w:val="3"/>
        </w:numPr>
      </w:pPr>
      <w:r w:rsidRPr="00DC128E">
        <w:t>Project A only (£40m) → feasible</w:t>
      </w:r>
    </w:p>
    <w:p w14:paraId="26C60D8A" w14:textId="77777777" w:rsidR="00DC128E" w:rsidRPr="00DC128E" w:rsidRDefault="00DC128E" w:rsidP="00DC128E">
      <w:pPr>
        <w:numPr>
          <w:ilvl w:val="0"/>
          <w:numId w:val="3"/>
        </w:numPr>
      </w:pPr>
      <w:r w:rsidRPr="00DC128E">
        <w:t>Project A + Project B (£70m) → not feasible</w:t>
      </w:r>
    </w:p>
    <w:p w14:paraId="1702209B" w14:textId="77777777" w:rsidR="00DC128E" w:rsidRPr="00DC128E" w:rsidRDefault="00DC128E" w:rsidP="00DC128E">
      <w:pPr>
        <w:numPr>
          <w:ilvl w:val="0"/>
          <w:numId w:val="3"/>
        </w:numPr>
      </w:pPr>
      <w:r w:rsidRPr="00DC128E">
        <w:t>Project A + Project C (£90m) → not feasible</w:t>
      </w:r>
    </w:p>
    <w:p w14:paraId="47A999FF" w14:textId="77777777" w:rsidR="00DC128E" w:rsidRPr="00DC128E" w:rsidRDefault="00DC128E" w:rsidP="00DC128E">
      <w:pPr>
        <w:rPr>
          <w:b/>
          <w:bCs/>
        </w:rPr>
      </w:pPr>
      <w:r w:rsidRPr="00DC128E">
        <w:rPr>
          <w:b/>
          <w:bCs/>
        </w:rPr>
        <w:t>Final Capital Rationing Decision</w:t>
      </w:r>
    </w:p>
    <w:p w14:paraId="5085B49C" w14:textId="77777777" w:rsidR="00DC128E" w:rsidRPr="00DC128E" w:rsidRDefault="00DC128E" w:rsidP="00DC128E">
      <w:pPr>
        <w:rPr>
          <w:bCs/>
        </w:rPr>
      </w:pPr>
      <w:r w:rsidRPr="00DC128E">
        <w:rPr>
          <w:bCs/>
        </w:rPr>
        <w:t>At the constraint of less than £60 million, the best decision should be to invest in Project C alone. This alternative will maximise total NPV and maintain some level of financial flexibility, which is important considering that the firm is in a weak liquidity situation</w:t>
      </w:r>
      <w:r w:rsidR="008B281F">
        <w:rPr>
          <w:bCs/>
        </w:rPr>
        <w:t xml:space="preserve"> </w:t>
      </w:r>
      <w:r w:rsidR="008B281F">
        <w:t>(Vardhan &amp; Vanajakshi, 2025)</w:t>
      </w:r>
      <w:r w:rsidRPr="00DC128E">
        <w:rPr>
          <w:bCs/>
        </w:rPr>
        <w:t>.</w:t>
      </w:r>
    </w:p>
    <w:p w14:paraId="346EB0DF" w14:textId="77777777" w:rsidR="00DC128E" w:rsidRPr="00DC128E" w:rsidRDefault="00DC128E" w:rsidP="00DC128E">
      <w:pPr>
        <w:pStyle w:val="Heading2"/>
      </w:pPr>
      <w:bookmarkStart w:id="44" w:name="_Toc217264723"/>
      <w:r w:rsidRPr="00DC128E">
        <w:t>5.4 Risk Assessment and Strategic Fit</w:t>
      </w:r>
      <w:bookmarkEnd w:id="44"/>
    </w:p>
    <w:p w14:paraId="15841994" w14:textId="77777777" w:rsidR="00DC128E" w:rsidRPr="00DC128E" w:rsidRDefault="00DC128E" w:rsidP="00DC128E">
      <w:pPr>
        <w:rPr>
          <w:b/>
          <w:bCs/>
        </w:rPr>
      </w:pPr>
      <w:r w:rsidRPr="00DC128E">
        <w:rPr>
          <w:b/>
          <w:bCs/>
        </w:rPr>
        <w:t>Cash Flow Volatility</w:t>
      </w:r>
    </w:p>
    <w:p w14:paraId="07D60FF2" w14:textId="77777777" w:rsidR="00DC128E" w:rsidRPr="00DC128E" w:rsidRDefault="00DC128E" w:rsidP="00DC128E">
      <w:r w:rsidRPr="00DC128E">
        <w:t xml:space="preserve">Project C exhibits increasing cash inflows over time, resulting in higher exposure to long-term forecasting risk. However, the magnitude of value creation compensates for this risk. In </w:t>
      </w:r>
      <w:r w:rsidRPr="00DC128E">
        <w:lastRenderedPageBreak/>
        <w:t>contrast, Project B’s stable but low cash flows do not justify the capital employed, while Project A offers limited upside</w:t>
      </w:r>
      <w:r w:rsidR="008B281F">
        <w:t xml:space="preserve"> (Bhatnagar et al., 2025)</w:t>
      </w:r>
      <w:r w:rsidRPr="00DC128E">
        <w:t>.</w:t>
      </w:r>
    </w:p>
    <w:p w14:paraId="3A2E6DD6" w14:textId="77777777" w:rsidR="00DC128E" w:rsidRPr="00DC128E" w:rsidRDefault="00DC128E" w:rsidP="00DC128E">
      <w:pPr>
        <w:rPr>
          <w:b/>
          <w:bCs/>
        </w:rPr>
      </w:pPr>
      <w:r w:rsidRPr="00DC128E">
        <w:rPr>
          <w:b/>
          <w:bCs/>
        </w:rPr>
        <w:t>Liquidity and Financial Risk</w:t>
      </w:r>
    </w:p>
    <w:p w14:paraId="22388A0E" w14:textId="77777777" w:rsidR="00DC128E" w:rsidRPr="00DC128E" w:rsidRDefault="00DC128E" w:rsidP="00DC128E">
      <w:r w:rsidRPr="00DC128E">
        <w:t>Given General Electronics’ declining cash balances and weak operating cash flow ratios, projects with long payback periods pose heightened risk. Project C’s payback period remains acceptable and shorter than Project B’s, supporting liquidity preservation during the turnaround phase</w:t>
      </w:r>
      <w:r w:rsidR="008B281F">
        <w:t xml:space="preserve"> (Tsabita &amp; Kitri, 2024)</w:t>
      </w:r>
      <w:r w:rsidRPr="00DC128E">
        <w:t>.</w:t>
      </w:r>
    </w:p>
    <w:p w14:paraId="6E14F05C" w14:textId="77777777" w:rsidR="00DC128E" w:rsidRPr="00DC128E" w:rsidRDefault="00DC128E" w:rsidP="00DC128E">
      <w:pPr>
        <w:rPr>
          <w:b/>
          <w:bCs/>
        </w:rPr>
      </w:pPr>
      <w:r w:rsidRPr="00DC128E">
        <w:rPr>
          <w:b/>
          <w:bCs/>
        </w:rPr>
        <w:t>Strategic Alignment with Turnaround Objectives</w:t>
      </w:r>
    </w:p>
    <w:p w14:paraId="3455D8E2" w14:textId="77777777" w:rsidR="00DC128E" w:rsidRPr="00DC128E" w:rsidRDefault="00DC128E" w:rsidP="00DC128E">
      <w:r w:rsidRPr="00DC128E">
        <w:t>Project C aligns strongly with the restructuring strategy outlined in Section 4 by:</w:t>
      </w:r>
    </w:p>
    <w:p w14:paraId="5C6E1976" w14:textId="77777777" w:rsidR="00DC128E" w:rsidRPr="00DC128E" w:rsidRDefault="00DC128E" w:rsidP="00DC128E">
      <w:pPr>
        <w:numPr>
          <w:ilvl w:val="0"/>
          <w:numId w:val="4"/>
        </w:numPr>
      </w:pPr>
      <w:r w:rsidRPr="00DC128E">
        <w:t>Enhancing long-term profitability potential</w:t>
      </w:r>
    </w:p>
    <w:p w14:paraId="06D3A906" w14:textId="77777777" w:rsidR="00DC128E" w:rsidRPr="00DC128E" w:rsidRDefault="00DC128E" w:rsidP="00DC128E">
      <w:pPr>
        <w:numPr>
          <w:ilvl w:val="0"/>
          <w:numId w:val="4"/>
        </w:numPr>
      </w:pPr>
      <w:r w:rsidRPr="00DC128E">
        <w:t>Supporting operational recovery rather than short-term cost relief</w:t>
      </w:r>
    </w:p>
    <w:p w14:paraId="010806E7" w14:textId="77777777" w:rsidR="00DC128E" w:rsidRPr="00DC128E" w:rsidRDefault="00DC128E" w:rsidP="00DC128E">
      <w:pPr>
        <w:numPr>
          <w:ilvl w:val="0"/>
          <w:numId w:val="4"/>
        </w:numPr>
      </w:pPr>
      <w:r w:rsidRPr="00DC128E">
        <w:t>Justifying equity-supported financing instead of increased short-term borrowing</w:t>
      </w:r>
    </w:p>
    <w:p w14:paraId="2BFD767B" w14:textId="77777777" w:rsidR="00DC128E" w:rsidRPr="00DC128E" w:rsidRDefault="00DC128E" w:rsidP="00DC128E">
      <w:r w:rsidRPr="00DC128E">
        <w:t>Projects A and B provide limited strategic leverage in comparison.</w:t>
      </w:r>
    </w:p>
    <w:p w14:paraId="35B706C1" w14:textId="77777777" w:rsidR="00DC128E" w:rsidRPr="00DC128E" w:rsidRDefault="00DC128E" w:rsidP="00DC128E">
      <w:pPr>
        <w:pStyle w:val="Heading2"/>
      </w:pPr>
      <w:bookmarkStart w:id="45" w:name="_Toc217264724"/>
      <w:r w:rsidRPr="00DC128E">
        <w:t>5.5 CFO Level Investment Recommendation</w:t>
      </w:r>
      <w:bookmarkEnd w:id="45"/>
    </w:p>
    <w:p w14:paraId="498AF6B0" w14:textId="77777777" w:rsidR="00DC128E" w:rsidRPr="00DC128E" w:rsidRDefault="00DC128E" w:rsidP="00DC128E">
      <w:r w:rsidRPr="00DC128E">
        <w:t>Considering the capital rationing constraint facing the firm, its poor liquidity position, high financial risk, and strategic recovery goals, the investment decision that can be recommended is to proceed with Project C alone, which would be supported by a mix of a combination of internally-released working capital and equity-based financing</w:t>
      </w:r>
      <w:r w:rsidR="008B281F">
        <w:t xml:space="preserve"> (Dao et al., 2023)</w:t>
      </w:r>
      <w:r w:rsidRPr="00DC128E">
        <w:t>. Under the value-creation perspective, Project C has the greatest Net Present Value and Profitability Index, which means that it has an excellent shareholder value per pound invested that was higher than the other projects under consideration. This project creates maximum value within the constraints of the following capital limit of less than 60 million, without creating excessive commitments on limited financial resources</w:t>
      </w:r>
      <w:r w:rsidR="008B281F">
        <w:t xml:space="preserve"> (Shaharuddin et al., 2021)</w:t>
      </w:r>
      <w:r w:rsidRPr="00DC128E">
        <w:t>. In spite of the fact that Project C has higher-back loaded cash flow, the payback period is still acceptable in the context of the restructuring horizon of the firm and it is justified by higher profitability potential in the long term.</w:t>
      </w:r>
    </w:p>
    <w:p w14:paraId="7326948D" w14:textId="77777777" w:rsidR="00DC128E" w:rsidRPr="00DC128E" w:rsidRDefault="00DC128E" w:rsidP="00DC128E">
      <w:r w:rsidRPr="00DC128E">
        <w:t>Liquidity wise and because of risk, pursuing many projects would place unwanted burden on cash flows besides increase in refinancing risk especially considering the deteriorating operating margin and limited access to debt funding of firm</w:t>
      </w:r>
      <w:r w:rsidR="008B281F">
        <w:t xml:space="preserve"> (Fakhrunnas &amp; Hasanah, 2022)</w:t>
      </w:r>
      <w:r w:rsidRPr="00DC128E">
        <w:t xml:space="preserve">. Equity-supported financing (Project C) will help to alleviate leverage pressure, and will be </w:t>
      </w:r>
      <w:r w:rsidRPr="00DC128E">
        <w:lastRenderedPageBreak/>
        <w:t>supplemented with the internally released working capital (operational reforms) will strengthen the balance-sheet position. Project C fits very well into the turnaround agenda of the firm strategically since it will help to achieve sustainable growth and not cash recovery. Such disciplined investment decision is a sign of sound CFO level decisions that is both cautious with regard to finances and long term value creation in the recovery process</w:t>
      </w:r>
      <w:r w:rsidR="008B281F">
        <w:t xml:space="preserve"> (Tassel, 2024)</w:t>
      </w:r>
      <w:r w:rsidRPr="00DC128E">
        <w:t>.</w:t>
      </w:r>
      <w:r w:rsidR="008B281F">
        <w:t xml:space="preserve"> </w:t>
      </w:r>
    </w:p>
    <w:p w14:paraId="2A1DE487" w14:textId="77777777" w:rsidR="00DC128E" w:rsidRPr="00DC128E" w:rsidRDefault="00DC128E" w:rsidP="00DC128E">
      <w:pPr>
        <w:pStyle w:val="Heading1"/>
      </w:pPr>
      <w:bookmarkStart w:id="46" w:name="_Toc217264725"/>
      <w:r w:rsidRPr="00DC128E">
        <w:t>6. Conclusion</w:t>
      </w:r>
      <w:bookmarkEnd w:id="46"/>
      <w:r w:rsidRPr="00DC128E">
        <w:t xml:space="preserve"> </w:t>
      </w:r>
    </w:p>
    <w:p w14:paraId="57D4D9E5" w14:textId="77777777" w:rsidR="00DC128E" w:rsidRPr="00DC128E" w:rsidRDefault="00DC128E" w:rsidP="00DC128E">
      <w:r w:rsidRPr="00DC128E">
        <w:t>This report has presented a full CFO analysis of the financial status and strategic alternatives of General Electronics in a span of prolonged financial struggles. Structural profitability erosion, chronic liquidity stress, increasing financial risk, and decreasing shareholder value based on poor operating margins, a lengthy cash operating cycle, and grey-zone Altman Z-Score were found during the financial health analysis. All of these indicators are reliable evidence that the challenges faced by the firm are not cyclical but systemic and as such, need critical and combined financial intervention.</w:t>
      </w:r>
    </w:p>
    <w:p w14:paraId="1BB811A4" w14:textId="77777777" w:rsidR="00DC128E" w:rsidRPr="00DC128E" w:rsidRDefault="00DC128E" w:rsidP="00DC128E">
      <w:r w:rsidRPr="00DC128E">
        <w:t>In turn, the report suggested a multi-layered turnaround plan, which focuses on working capital reform, capital structure realignment, and considered capital allocation. Specific inventory management, receivables control, supplier renegotiation, and centralised cash management were found to be key mechanisms that would release internal liquidity and mitigate the short-term solvency risk. These operational reforms were accompanied with a strategic financial restructuring plan focusing on equity-backed recapitalisation, selective debt restructuring and strategic alliances so as to help the firm stabilise its balance sheet without necessarily losing operational flexibility and ethical governance.</w:t>
      </w:r>
    </w:p>
    <w:p w14:paraId="7F89862F" w14:textId="77777777" w:rsidR="00DC128E" w:rsidRPr="00871D5D" w:rsidRDefault="00DC128E" w:rsidP="00DC128E">
      <w:r w:rsidRPr="00DC128E">
        <w:t>In this limited financial environment, capital budgeting decisions were reviewed strictly within capital rationing. The use of value-based techniques of investment appraisal showed that project C is the most significant contribution to shareholder value and the most rational strategic fit to the recovery goals of the firm. The firm will optimise the value creation by choosing Project C as the only investment to ensure the business is not overstrained with its liquidity and financial capacity. Moving ahead, as a Chief Financial Officer, I think that the execution of this turnaround strategy will require a disciplined financial management, effective communication with the stakeholders and sustained monitoring of the performance. When put in place properly, the suggested measures will not only enable General Electronics to regain financial stability, but also re-establish resilience, win back investor confidence and become a sustainable entity in terms of long-term growth.</w:t>
      </w:r>
    </w:p>
    <w:p w14:paraId="59EDAF76" w14:textId="77777777" w:rsidR="00871D5D" w:rsidRDefault="009A0143" w:rsidP="009A0143">
      <w:pPr>
        <w:pStyle w:val="Heading1"/>
      </w:pPr>
      <w:bookmarkStart w:id="47" w:name="_Toc217264726"/>
      <w:r>
        <w:lastRenderedPageBreak/>
        <w:t>REFERENCES</w:t>
      </w:r>
      <w:bookmarkEnd w:id="47"/>
    </w:p>
    <w:p w14:paraId="0E711B69" w14:textId="77777777" w:rsidR="009F32A7" w:rsidRPr="00BF0FA2" w:rsidRDefault="009F32A7" w:rsidP="009F32A7">
      <w:pPr>
        <w:rPr>
          <w:lang w:val="en-US"/>
        </w:rPr>
      </w:pPr>
      <w:r w:rsidRPr="00BF0FA2">
        <w:rPr>
          <w:lang w:val="en-US"/>
        </w:rPr>
        <w:t xml:space="preserve">Abiola-Adams, O., Azubuike, C., Sule, A. and Okon, R. (2025) ‘Strategic liquidity management: Best practices for optimizing cash flows in multinational corporations’, </w:t>
      </w:r>
      <w:r w:rsidRPr="00BF0FA2">
        <w:rPr>
          <w:i/>
          <w:iCs/>
          <w:lang w:val="en-US"/>
        </w:rPr>
        <w:t>GJABR</w:t>
      </w:r>
      <w:r w:rsidRPr="00BF0FA2">
        <w:rPr>
          <w:lang w:val="en-US"/>
        </w:rPr>
        <w:t xml:space="preserve">, 3(1), pp. 143–156. </w:t>
      </w:r>
      <w:hyperlink r:id="rId9" w:tgtFrame="_new" w:history="1">
        <w:r w:rsidRPr="00BF0FA2">
          <w:rPr>
            <w:rStyle w:val="Hyperlink"/>
            <w:lang w:val="en-US"/>
          </w:rPr>
          <w:t>https://doi.org/10.51594/gjabr.v3i1.71</w:t>
        </w:r>
      </w:hyperlink>
    </w:p>
    <w:p w14:paraId="243540F2" w14:textId="77777777" w:rsidR="009F32A7" w:rsidRPr="00B133C7" w:rsidRDefault="009F32A7" w:rsidP="009F32A7">
      <w:pPr>
        <w:rPr>
          <w:lang w:val="en-US"/>
        </w:rPr>
      </w:pPr>
      <w:r w:rsidRPr="00B133C7">
        <w:rPr>
          <w:lang w:val="en-US"/>
        </w:rPr>
        <w:t xml:space="preserve">Aldubhani, M., Wang, J., Tingting, G. and Maudhah, R. (2022) ‘Impact of working capital management on profitability: Evidence from listed companies in Qatar’, </w:t>
      </w:r>
      <w:r w:rsidRPr="00B133C7">
        <w:rPr>
          <w:i/>
          <w:iCs/>
          <w:lang w:val="en-US"/>
        </w:rPr>
        <w:t>Journal of Money and Business</w:t>
      </w:r>
      <w:r w:rsidRPr="00B133C7">
        <w:rPr>
          <w:lang w:val="en-US"/>
        </w:rPr>
        <w:t xml:space="preserve">, 2(1), pp. 70–81. </w:t>
      </w:r>
      <w:hyperlink r:id="rId10" w:tgtFrame="_new" w:history="1">
        <w:r w:rsidRPr="00B133C7">
          <w:rPr>
            <w:rStyle w:val="Hyperlink"/>
            <w:lang w:val="en-US"/>
          </w:rPr>
          <w:t>https://doi.org/10.1108/jmb-08-2021-0032</w:t>
        </w:r>
      </w:hyperlink>
    </w:p>
    <w:p w14:paraId="2A09476D" w14:textId="77777777" w:rsidR="009F32A7" w:rsidRPr="00B142EE" w:rsidRDefault="009F32A7" w:rsidP="009F32A7">
      <w:pPr>
        <w:rPr>
          <w:lang w:val="en-US"/>
        </w:rPr>
      </w:pPr>
      <w:r w:rsidRPr="00B142EE">
        <w:rPr>
          <w:lang w:val="en-US"/>
        </w:rPr>
        <w:t xml:space="preserve">Aliyah, L. and Putra, P. (2022) ‘Analisis forecasting dalam perkembangan kinerja keuangan pada BPRS Harta Insan Karimah Cibitung periode 2013–2020’, </w:t>
      </w:r>
      <w:r w:rsidRPr="00B142EE">
        <w:rPr>
          <w:i/>
          <w:iCs/>
          <w:lang w:val="en-US"/>
        </w:rPr>
        <w:t>Maslahah (Jurnal Hukum Islam dan Perbankan Syariah)</w:t>
      </w:r>
      <w:r w:rsidRPr="00B142EE">
        <w:rPr>
          <w:lang w:val="en-US"/>
        </w:rPr>
        <w:t xml:space="preserve">, 13(1), pp. 105–126. </w:t>
      </w:r>
      <w:hyperlink r:id="rId11" w:tgtFrame="_new" w:history="1">
        <w:r w:rsidRPr="00B142EE">
          <w:rPr>
            <w:rStyle w:val="Hyperlink"/>
            <w:lang w:val="en-US"/>
          </w:rPr>
          <w:t>https://doi.org/10.33558/maslahah.v13i1.4456</w:t>
        </w:r>
      </w:hyperlink>
    </w:p>
    <w:p w14:paraId="4105ED53" w14:textId="77777777" w:rsidR="009F32A7" w:rsidRPr="00852B0A" w:rsidRDefault="009F32A7" w:rsidP="009F32A7">
      <w:pPr>
        <w:rPr>
          <w:lang w:val="en-US"/>
        </w:rPr>
      </w:pPr>
      <w:r w:rsidRPr="00852B0A">
        <w:rPr>
          <w:lang w:val="en-US"/>
        </w:rPr>
        <w:t xml:space="preserve">Almakura, F., Shiaki, T., Gambo, N. and Muhammad, R. (2024) ‘Effect of liquidity management on the financial performance of Nigerian oil and gas firms’, </w:t>
      </w:r>
      <w:r w:rsidRPr="00852B0A">
        <w:rPr>
          <w:i/>
          <w:iCs/>
          <w:lang w:val="en-US"/>
        </w:rPr>
        <w:t>International Journal of Business and Management Review</w:t>
      </w:r>
      <w:r w:rsidRPr="00852B0A">
        <w:rPr>
          <w:lang w:val="en-US"/>
        </w:rPr>
        <w:t xml:space="preserve">, 12(2), pp. 28–44. </w:t>
      </w:r>
      <w:hyperlink r:id="rId12" w:tgtFrame="_new" w:history="1">
        <w:r w:rsidRPr="00852B0A">
          <w:rPr>
            <w:rStyle w:val="Hyperlink"/>
            <w:lang w:val="en-US"/>
          </w:rPr>
          <w:t>https://doi.org/10.37745/ijbmr.2013/vol12n22844</w:t>
        </w:r>
      </w:hyperlink>
    </w:p>
    <w:p w14:paraId="1B6E62FE" w14:textId="77777777" w:rsidR="009F32A7" w:rsidRPr="00B142EE" w:rsidRDefault="009F32A7" w:rsidP="009F32A7">
      <w:pPr>
        <w:rPr>
          <w:lang w:val="en-US"/>
        </w:rPr>
      </w:pPr>
      <w:r w:rsidRPr="00B142EE">
        <w:rPr>
          <w:lang w:val="en-US"/>
        </w:rPr>
        <w:t xml:space="preserve">Ambarwati, S. and Haryono, S. (2022) ‘Ownership structure and corporate restructuring: Does it have an impact?’, </w:t>
      </w:r>
      <w:r w:rsidRPr="00B142EE">
        <w:rPr>
          <w:i/>
          <w:iCs/>
          <w:lang w:val="en-US"/>
        </w:rPr>
        <w:t>International Journal of Economics, Business and Accounting Research</w:t>
      </w:r>
      <w:r w:rsidRPr="00B142EE">
        <w:rPr>
          <w:lang w:val="en-US"/>
        </w:rPr>
        <w:t xml:space="preserve">, 5(4). </w:t>
      </w:r>
      <w:hyperlink r:id="rId13" w:tgtFrame="_new" w:history="1">
        <w:r w:rsidRPr="00B142EE">
          <w:rPr>
            <w:rStyle w:val="Hyperlink"/>
            <w:lang w:val="en-US"/>
          </w:rPr>
          <w:t>https://doi.org/10.29040/ijebar.v5i4.3830</w:t>
        </w:r>
      </w:hyperlink>
    </w:p>
    <w:p w14:paraId="74D87BF1" w14:textId="77777777" w:rsidR="009F32A7" w:rsidRPr="00723CA0" w:rsidRDefault="009F32A7" w:rsidP="009F32A7">
      <w:pPr>
        <w:rPr>
          <w:lang w:val="en-US"/>
        </w:rPr>
      </w:pPr>
      <w:r w:rsidRPr="00723CA0">
        <w:rPr>
          <w:lang w:val="en-US"/>
        </w:rPr>
        <w:t xml:space="preserve">Amor, A., Rauf, A., Asrida, A. and Atsarina, A. (2024) ‘Profitability ratio analysis of financial performance at PT Kino Indonesia Tbk on Indonesian Stock Exchange’, </w:t>
      </w:r>
      <w:r w:rsidRPr="00723CA0">
        <w:rPr>
          <w:i/>
          <w:iCs/>
          <w:lang w:val="en-US"/>
        </w:rPr>
        <w:t>Rangkiang: Journal of Islamic Economics and Business</w:t>
      </w:r>
      <w:r w:rsidRPr="00723CA0">
        <w:rPr>
          <w:lang w:val="en-US"/>
        </w:rPr>
        <w:t xml:space="preserve">, 2(2), pp. 74–81. </w:t>
      </w:r>
      <w:hyperlink r:id="rId14" w:tgtFrame="_new" w:history="1">
        <w:r w:rsidRPr="00723CA0">
          <w:rPr>
            <w:rStyle w:val="Hyperlink"/>
            <w:lang w:val="en-US"/>
          </w:rPr>
          <w:t>https://doi.org/10.70072/rangkiang.v2i2.35</w:t>
        </w:r>
      </w:hyperlink>
    </w:p>
    <w:p w14:paraId="3017CC4E" w14:textId="77777777" w:rsidR="009F32A7" w:rsidRPr="00B142EE" w:rsidRDefault="009F32A7" w:rsidP="009F32A7">
      <w:pPr>
        <w:rPr>
          <w:lang w:val="en-US"/>
        </w:rPr>
      </w:pPr>
      <w:r w:rsidRPr="00B142EE">
        <w:rPr>
          <w:lang w:val="en-US"/>
        </w:rPr>
        <w:t xml:space="preserve">Arbatskaya, T. (2021) ‘Accounting and analysis of cash flows of penal entities’, </w:t>
      </w:r>
      <w:r w:rsidRPr="00B142EE">
        <w:rPr>
          <w:i/>
          <w:iCs/>
          <w:lang w:val="en-US"/>
        </w:rPr>
        <w:t>Financial Journal</w:t>
      </w:r>
      <w:r w:rsidRPr="00B142EE">
        <w:rPr>
          <w:lang w:val="en-US"/>
        </w:rPr>
        <w:t xml:space="preserve">, 13(1), pp. 107–124. </w:t>
      </w:r>
      <w:hyperlink r:id="rId15" w:tgtFrame="_new" w:history="1">
        <w:r w:rsidRPr="00B142EE">
          <w:rPr>
            <w:rStyle w:val="Hyperlink"/>
            <w:lang w:val="en-US"/>
          </w:rPr>
          <w:t>https://doi.org/10.31107/2075-1990-2021-1-107-124</w:t>
        </w:r>
      </w:hyperlink>
    </w:p>
    <w:p w14:paraId="1C059AA3" w14:textId="77777777" w:rsidR="009F32A7" w:rsidRPr="00852B0A" w:rsidRDefault="009F32A7" w:rsidP="009F32A7">
      <w:pPr>
        <w:rPr>
          <w:lang w:val="en-US"/>
        </w:rPr>
      </w:pPr>
      <w:r w:rsidRPr="00852B0A">
        <w:rPr>
          <w:lang w:val="en-US"/>
        </w:rPr>
        <w:t xml:space="preserve">Bashir, R., Ahmad, M. and Sherif, S. (2024) ‘Determining the nexus between dynamic working capital management and operational efficiency in emerging Southeast Asia’, </w:t>
      </w:r>
      <w:r w:rsidRPr="00852B0A">
        <w:rPr>
          <w:i/>
          <w:iCs/>
          <w:lang w:val="en-US"/>
        </w:rPr>
        <w:t>GATR Journal of Finance and Banking Review</w:t>
      </w:r>
      <w:r w:rsidRPr="00852B0A">
        <w:rPr>
          <w:lang w:val="en-US"/>
        </w:rPr>
        <w:t xml:space="preserve">, 9(2), pp. 49–60. </w:t>
      </w:r>
      <w:hyperlink r:id="rId16" w:tgtFrame="_new" w:history="1">
        <w:r w:rsidRPr="00852B0A">
          <w:rPr>
            <w:rStyle w:val="Hyperlink"/>
            <w:lang w:val="en-US"/>
          </w:rPr>
          <w:t>https://doi.org/10.35609/jfbr.2024.9.2(1)</w:t>
        </w:r>
      </w:hyperlink>
    </w:p>
    <w:p w14:paraId="1E0A31F0" w14:textId="77777777" w:rsidR="009F32A7" w:rsidRPr="008B281F" w:rsidRDefault="009F32A7" w:rsidP="009F32A7">
      <w:pPr>
        <w:rPr>
          <w:lang w:val="en-US"/>
        </w:rPr>
      </w:pPr>
      <w:r w:rsidRPr="008B281F">
        <w:rPr>
          <w:lang w:val="en-US"/>
        </w:rPr>
        <w:t xml:space="preserve">Bhatnagar, A., Mishra, S. and Jain, R. (2025) ‘A study on real options valuation vs. traditional NPV in capital budgeting decisions: A comparative study’, </w:t>
      </w:r>
      <w:r w:rsidRPr="008B281F">
        <w:rPr>
          <w:i/>
          <w:iCs/>
          <w:lang w:val="en-US"/>
        </w:rPr>
        <w:t xml:space="preserve">International Journal of Research </w:t>
      </w:r>
      <w:r w:rsidRPr="008B281F">
        <w:rPr>
          <w:i/>
          <w:iCs/>
          <w:lang w:val="en-US"/>
        </w:rPr>
        <w:lastRenderedPageBreak/>
        <w:t>and Scientific Innovation</w:t>
      </w:r>
      <w:r w:rsidRPr="008B281F">
        <w:rPr>
          <w:lang w:val="en-US"/>
        </w:rPr>
        <w:t xml:space="preserve">, XII(V), pp. 1098–1103. </w:t>
      </w:r>
      <w:hyperlink r:id="rId17" w:tgtFrame="_new" w:history="1">
        <w:r w:rsidRPr="008B281F">
          <w:rPr>
            <w:rStyle w:val="Hyperlink"/>
            <w:lang w:val="en-US"/>
          </w:rPr>
          <w:t>https://doi.org/10.51244/ijrsi.2025.120500106</w:t>
        </w:r>
      </w:hyperlink>
    </w:p>
    <w:p w14:paraId="082A8C0C" w14:textId="77777777" w:rsidR="009F32A7" w:rsidRPr="00BF0FA2" w:rsidRDefault="009F32A7" w:rsidP="009F32A7">
      <w:pPr>
        <w:rPr>
          <w:lang w:val="en-US"/>
        </w:rPr>
      </w:pPr>
      <w:r w:rsidRPr="00BF0FA2">
        <w:rPr>
          <w:lang w:val="en-US"/>
        </w:rPr>
        <w:t xml:space="preserve">Boscá, J., Doménech, R., Ferri, J. and Rubio-Ramírez, J. (2025) </w:t>
      </w:r>
      <w:r w:rsidRPr="00BF0FA2">
        <w:rPr>
          <w:i/>
          <w:iCs/>
          <w:lang w:val="en-US"/>
        </w:rPr>
        <w:t>Macroeconomic effects of taxes on banking</w:t>
      </w:r>
      <w:r w:rsidRPr="00BF0FA2">
        <w:rPr>
          <w:lang w:val="en-US"/>
        </w:rPr>
        <w:t xml:space="preserve">. Preprint. </w:t>
      </w:r>
      <w:hyperlink r:id="rId18" w:tgtFrame="_new" w:history="1">
        <w:r w:rsidRPr="00BF0FA2">
          <w:rPr>
            <w:rStyle w:val="Hyperlink"/>
            <w:lang w:val="en-US"/>
          </w:rPr>
          <w:t>https://doi.org/10.21203/rs.3.rs-7142269/v1</w:t>
        </w:r>
      </w:hyperlink>
    </w:p>
    <w:p w14:paraId="634B6340" w14:textId="77777777" w:rsidR="009F32A7" w:rsidRPr="00026912" w:rsidRDefault="009F32A7" w:rsidP="009F32A7">
      <w:pPr>
        <w:rPr>
          <w:lang w:val="en-US"/>
        </w:rPr>
      </w:pPr>
      <w:r w:rsidRPr="00026912">
        <w:rPr>
          <w:lang w:val="en-US"/>
        </w:rPr>
        <w:t xml:space="preserve">Cheboi, D. and Mulili, B. (2022) ‘Strategic alliances and firm competitiveness: A survey of supermarkets in Nairobi, Kenya’, </w:t>
      </w:r>
      <w:r w:rsidRPr="00026912">
        <w:rPr>
          <w:i/>
          <w:iCs/>
          <w:lang w:val="en-US"/>
        </w:rPr>
        <w:t>Journal of Strategic Management</w:t>
      </w:r>
      <w:r w:rsidRPr="00026912">
        <w:rPr>
          <w:lang w:val="en-US"/>
        </w:rPr>
        <w:t xml:space="preserve">, 6(1), pp. 11–24. </w:t>
      </w:r>
      <w:hyperlink r:id="rId19" w:tgtFrame="_new" w:history="1">
        <w:r w:rsidRPr="00026912">
          <w:rPr>
            <w:rStyle w:val="Hyperlink"/>
            <w:lang w:val="en-US"/>
          </w:rPr>
          <w:t>https://doi.org/10.53819/81018102t2046</w:t>
        </w:r>
      </w:hyperlink>
    </w:p>
    <w:p w14:paraId="5E2B859C" w14:textId="77777777" w:rsidR="009F32A7" w:rsidRPr="00B3228A" w:rsidRDefault="009F32A7" w:rsidP="009F32A7">
      <w:pPr>
        <w:rPr>
          <w:lang w:val="en-US"/>
        </w:rPr>
      </w:pPr>
      <w:r w:rsidRPr="00B3228A">
        <w:rPr>
          <w:lang w:val="en-US"/>
        </w:rPr>
        <w:t xml:space="preserve">Dao, M., Pham, A. and Nguyen, N. (2023) ‘Equity financing and performance of Islamic commercial banks in Kuala Lumpur, Malaysia’, </w:t>
      </w:r>
      <w:r w:rsidRPr="00B3228A">
        <w:rPr>
          <w:i/>
          <w:iCs/>
          <w:lang w:val="en-US"/>
        </w:rPr>
        <w:t>Journal of Finance and Accounting</w:t>
      </w:r>
      <w:r w:rsidRPr="00B3228A">
        <w:rPr>
          <w:lang w:val="en-US"/>
        </w:rPr>
        <w:t xml:space="preserve">, 7(4), pp. 11–20. </w:t>
      </w:r>
      <w:hyperlink r:id="rId20" w:tgtFrame="_new" w:history="1">
        <w:r w:rsidRPr="00B3228A">
          <w:rPr>
            <w:rStyle w:val="Hyperlink"/>
            <w:lang w:val="en-US"/>
          </w:rPr>
          <w:t>https://doi.org/10.53819/81018102t5196</w:t>
        </w:r>
      </w:hyperlink>
    </w:p>
    <w:p w14:paraId="46B19913" w14:textId="77777777" w:rsidR="009F32A7" w:rsidRPr="00B142EE" w:rsidRDefault="009F32A7" w:rsidP="009F32A7">
      <w:pPr>
        <w:rPr>
          <w:lang w:val="en-US"/>
        </w:rPr>
      </w:pPr>
      <w:r w:rsidRPr="00B142EE">
        <w:rPr>
          <w:lang w:val="en-US"/>
        </w:rPr>
        <w:t xml:space="preserve">Demmou, L. and Franco, G. (2021) </w:t>
      </w:r>
      <w:r w:rsidRPr="00B142EE">
        <w:rPr>
          <w:i/>
          <w:iCs/>
          <w:lang w:val="en-US"/>
        </w:rPr>
        <w:t>From hibernation to reallocation: Loan guarantees and their implications for post-COVID-19 productivity</w:t>
      </w:r>
      <w:r w:rsidRPr="00B142EE">
        <w:rPr>
          <w:lang w:val="en-US"/>
        </w:rPr>
        <w:t xml:space="preserve">. OECD Economics Department Working Papers. </w:t>
      </w:r>
      <w:hyperlink r:id="rId21" w:tgtFrame="_new" w:history="1">
        <w:r w:rsidRPr="00B142EE">
          <w:rPr>
            <w:rStyle w:val="Hyperlink"/>
            <w:lang w:val="en-US"/>
          </w:rPr>
          <w:t>https://doi.org/10.1787/2f4a4c20-en</w:t>
        </w:r>
      </w:hyperlink>
    </w:p>
    <w:p w14:paraId="264A3ADB" w14:textId="77777777" w:rsidR="009F32A7" w:rsidRPr="00723CA0" w:rsidRDefault="009F32A7" w:rsidP="009F32A7">
      <w:pPr>
        <w:rPr>
          <w:lang w:val="en-US"/>
        </w:rPr>
      </w:pPr>
      <w:r w:rsidRPr="00723CA0">
        <w:rPr>
          <w:lang w:val="en-US"/>
        </w:rPr>
        <w:t xml:space="preserve">Endramurti, S. (2024) ‘Analysis of the impact of the COVID-19 virus pandemic on the financial ratio of PT Indofood Sukses Makmur’, </w:t>
      </w:r>
      <w:r w:rsidRPr="00723CA0">
        <w:rPr>
          <w:i/>
          <w:iCs/>
          <w:lang w:val="en-US"/>
        </w:rPr>
        <w:t>International Journal of Economics, Business and Accounting Research</w:t>
      </w:r>
      <w:r w:rsidRPr="00723CA0">
        <w:rPr>
          <w:lang w:val="en-US"/>
        </w:rPr>
        <w:t xml:space="preserve">, 8(4). </w:t>
      </w:r>
      <w:hyperlink r:id="rId22" w:tgtFrame="_new" w:history="1">
        <w:r w:rsidRPr="00723CA0">
          <w:rPr>
            <w:rStyle w:val="Hyperlink"/>
            <w:lang w:val="en-US"/>
          </w:rPr>
          <w:t>https://doi.org/10.29040/ijebar.v8i4.15377</w:t>
        </w:r>
      </w:hyperlink>
    </w:p>
    <w:p w14:paraId="08C0ABF1" w14:textId="77777777" w:rsidR="009F32A7" w:rsidRPr="00B3228A" w:rsidRDefault="009F32A7" w:rsidP="009F32A7">
      <w:pPr>
        <w:rPr>
          <w:lang w:val="en-US"/>
        </w:rPr>
      </w:pPr>
      <w:r w:rsidRPr="00B3228A">
        <w:rPr>
          <w:lang w:val="en-US"/>
        </w:rPr>
        <w:t xml:space="preserve">Fakhrunnas, F. and Hasanah, L. (2022) ‘The determinants of Islamic banks’ non-performing financing in the small–medium enterprises (SMEs) sector’, </w:t>
      </w:r>
      <w:r w:rsidRPr="00B3228A">
        <w:rPr>
          <w:i/>
          <w:iCs/>
          <w:lang w:val="en-US"/>
        </w:rPr>
        <w:t>Jurnal Ekonomi &amp; Studi Pembangunan</w:t>
      </w:r>
      <w:r w:rsidRPr="00B3228A">
        <w:rPr>
          <w:lang w:val="en-US"/>
        </w:rPr>
        <w:t xml:space="preserve">, 23(2), pp. 220–230. </w:t>
      </w:r>
      <w:hyperlink r:id="rId23" w:tgtFrame="_new" w:history="1">
        <w:r w:rsidRPr="00B3228A">
          <w:rPr>
            <w:rStyle w:val="Hyperlink"/>
            <w:lang w:val="en-US"/>
          </w:rPr>
          <w:t>https://doi.org/10.18196/jesp.v23i2.15562</w:t>
        </w:r>
      </w:hyperlink>
    </w:p>
    <w:p w14:paraId="629101DC" w14:textId="77777777" w:rsidR="009F32A7" w:rsidRPr="008B281F" w:rsidRDefault="009F32A7" w:rsidP="009F32A7">
      <w:pPr>
        <w:rPr>
          <w:lang w:val="en-US"/>
        </w:rPr>
      </w:pPr>
      <w:r w:rsidRPr="008B281F">
        <w:rPr>
          <w:lang w:val="en-US"/>
        </w:rPr>
        <w:t xml:space="preserve">Farounbi, B. (2020) ‘Strategic capital markets model for optimizing infrastructure bank exit and liquidity events’, </w:t>
      </w:r>
      <w:r w:rsidRPr="008B281F">
        <w:rPr>
          <w:i/>
          <w:iCs/>
          <w:lang w:val="en-US"/>
        </w:rPr>
        <w:t>JFMR</w:t>
      </w:r>
      <w:r w:rsidRPr="008B281F">
        <w:rPr>
          <w:lang w:val="en-US"/>
        </w:rPr>
        <w:t xml:space="preserve">, 1(2), pp. 121–130. </w:t>
      </w:r>
      <w:hyperlink r:id="rId24" w:tgtFrame="_new" w:history="1">
        <w:r w:rsidRPr="008B281F">
          <w:rPr>
            <w:rStyle w:val="Hyperlink"/>
            <w:lang w:val="en-US"/>
          </w:rPr>
          <w:t>https://doi.org/10.54660/.ijfmr.2020.1.2.121-130</w:t>
        </w:r>
      </w:hyperlink>
    </w:p>
    <w:p w14:paraId="70012F6F" w14:textId="77777777" w:rsidR="009F32A7" w:rsidRPr="00385AD2" w:rsidRDefault="009F32A7" w:rsidP="009F32A7">
      <w:pPr>
        <w:rPr>
          <w:lang w:val="en-US"/>
        </w:rPr>
      </w:pPr>
      <w:r w:rsidRPr="00385AD2">
        <w:rPr>
          <w:lang w:val="en-US"/>
        </w:rPr>
        <w:t xml:space="preserve">Fredy, H., Utami, K. and Pagiku, M. (2024) ‘Debt restructuring and financial performance of SOEs in Indonesia’, </w:t>
      </w:r>
      <w:r w:rsidRPr="00385AD2">
        <w:rPr>
          <w:i/>
          <w:iCs/>
          <w:lang w:val="en-US"/>
        </w:rPr>
        <w:t>Journal of Economics, Finance and Management Studies</w:t>
      </w:r>
      <w:r w:rsidRPr="00385AD2">
        <w:rPr>
          <w:lang w:val="en-US"/>
        </w:rPr>
        <w:t xml:space="preserve">, 7(5). </w:t>
      </w:r>
      <w:hyperlink r:id="rId25" w:tgtFrame="_new" w:history="1">
        <w:r w:rsidRPr="00385AD2">
          <w:rPr>
            <w:rStyle w:val="Hyperlink"/>
            <w:lang w:val="en-US"/>
          </w:rPr>
          <w:t>https://doi.org/10.47191/jefms/v7-i5-61</w:t>
        </w:r>
      </w:hyperlink>
    </w:p>
    <w:p w14:paraId="78859F58" w14:textId="77777777" w:rsidR="009F32A7" w:rsidRPr="00BF0FA2" w:rsidRDefault="009F32A7" w:rsidP="009F32A7">
      <w:pPr>
        <w:rPr>
          <w:lang w:val="en-US"/>
        </w:rPr>
      </w:pPr>
      <w:r w:rsidRPr="00BF0FA2">
        <w:rPr>
          <w:lang w:val="en-US"/>
        </w:rPr>
        <w:t xml:space="preserve">Gharbi, M. and Jarboui, A. (2023) ‘The moderating effect of dividend policy on the relationship between corporate social responsibility and financial performance: Evidence from the French context’, </w:t>
      </w:r>
      <w:r w:rsidRPr="00BF0FA2">
        <w:rPr>
          <w:i/>
          <w:iCs/>
          <w:lang w:val="en-US"/>
        </w:rPr>
        <w:t>International Journal of Economics and Business Administration</w:t>
      </w:r>
      <w:r w:rsidRPr="00BF0FA2">
        <w:rPr>
          <w:lang w:val="en-US"/>
        </w:rPr>
        <w:t xml:space="preserve">, XI(2), pp. 97–114. </w:t>
      </w:r>
      <w:hyperlink r:id="rId26" w:tgtFrame="_new" w:history="1">
        <w:r w:rsidRPr="00BF0FA2">
          <w:rPr>
            <w:rStyle w:val="Hyperlink"/>
            <w:lang w:val="en-US"/>
          </w:rPr>
          <w:t>https://doi.org/10.35808/ijeba/811</w:t>
        </w:r>
      </w:hyperlink>
    </w:p>
    <w:p w14:paraId="393EF412" w14:textId="77777777" w:rsidR="009F32A7" w:rsidRPr="00B142EE" w:rsidRDefault="009F32A7" w:rsidP="009F32A7">
      <w:pPr>
        <w:rPr>
          <w:lang w:val="en-US"/>
        </w:rPr>
      </w:pPr>
      <w:r w:rsidRPr="00B142EE">
        <w:rPr>
          <w:lang w:val="en-US"/>
        </w:rPr>
        <w:lastRenderedPageBreak/>
        <w:t xml:space="preserve">Glazirina, X. (2025) ‘Debt and equity capital: Finding the optimal balance of the enterprise’, in </w:t>
      </w:r>
      <w:r w:rsidRPr="00B142EE">
        <w:rPr>
          <w:i/>
          <w:iCs/>
          <w:lang w:val="en-US"/>
        </w:rPr>
        <w:t>Proceedings of the SSTC 2025 Conference</w:t>
      </w:r>
      <w:r w:rsidRPr="00B142EE">
        <w:rPr>
          <w:lang w:val="en-US"/>
        </w:rPr>
        <w:t xml:space="preserve">, pp. 243–246. </w:t>
      </w:r>
      <w:hyperlink r:id="rId27" w:tgtFrame="_new" w:history="1">
        <w:r w:rsidRPr="00B142EE">
          <w:rPr>
            <w:rStyle w:val="Hyperlink"/>
            <w:lang w:val="en-US"/>
          </w:rPr>
          <w:t>https://doi.org/10.53486/sstc2025.v1.56</w:t>
        </w:r>
      </w:hyperlink>
    </w:p>
    <w:p w14:paraId="3F262F2E" w14:textId="77777777" w:rsidR="009F32A7" w:rsidRPr="008B281F" w:rsidRDefault="009F32A7" w:rsidP="009F32A7">
      <w:pPr>
        <w:rPr>
          <w:lang w:val="en-US"/>
        </w:rPr>
      </w:pPr>
      <w:r w:rsidRPr="008B281F">
        <w:rPr>
          <w:lang w:val="en-US"/>
        </w:rPr>
        <w:t xml:space="preserve">Gulaliyev, E. (2025) ‘Importance of corporate financial decisions’, </w:t>
      </w:r>
      <w:r w:rsidRPr="008B281F">
        <w:rPr>
          <w:i/>
          <w:iCs/>
          <w:lang w:val="en-US"/>
        </w:rPr>
        <w:t>Pahtei – Proceedings of Azerbaijan High Technical Educational Institutions</w:t>
      </w:r>
      <w:r w:rsidRPr="008B281F">
        <w:rPr>
          <w:lang w:val="en-US"/>
        </w:rPr>
        <w:t xml:space="preserve">, 49(2), pp. 476–483. </w:t>
      </w:r>
      <w:hyperlink r:id="rId28" w:tgtFrame="_new" w:history="1">
        <w:r w:rsidRPr="008B281F">
          <w:rPr>
            <w:rStyle w:val="Hyperlink"/>
            <w:lang w:val="en-US"/>
          </w:rPr>
          <w:t>https://doi.org/10.36962/pahtei49022025-476</w:t>
        </w:r>
      </w:hyperlink>
    </w:p>
    <w:p w14:paraId="36ECCCFB" w14:textId="77777777" w:rsidR="009F32A7" w:rsidRPr="00BF0FA2" w:rsidRDefault="009F32A7" w:rsidP="009F32A7">
      <w:pPr>
        <w:rPr>
          <w:lang w:val="en-US"/>
        </w:rPr>
      </w:pPr>
      <w:r w:rsidRPr="00BF0FA2">
        <w:rPr>
          <w:lang w:val="en-US"/>
        </w:rPr>
        <w:t xml:space="preserve">Gupta, P., Mallick, S. and Bathia, D. (2024) ‘Does derivative usage boost firm value in an economy with controls? Evidence from India’, </w:t>
      </w:r>
      <w:r w:rsidRPr="00BF0FA2">
        <w:rPr>
          <w:i/>
          <w:iCs/>
          <w:lang w:val="en-US"/>
        </w:rPr>
        <w:t>Review of Quantitative Finance and Accounting</w:t>
      </w:r>
      <w:r w:rsidRPr="00BF0FA2">
        <w:rPr>
          <w:lang w:val="en-US"/>
        </w:rPr>
        <w:t xml:space="preserve">, 65(1), pp. 295–344. </w:t>
      </w:r>
      <w:hyperlink r:id="rId29" w:tgtFrame="_new" w:history="1">
        <w:r w:rsidRPr="00BF0FA2">
          <w:rPr>
            <w:rStyle w:val="Hyperlink"/>
            <w:lang w:val="en-US"/>
          </w:rPr>
          <w:t>https://doi.org/10.1007/s11156-024-01290-4</w:t>
        </w:r>
      </w:hyperlink>
    </w:p>
    <w:p w14:paraId="358087C9" w14:textId="77777777" w:rsidR="009F32A7" w:rsidRPr="009A0143" w:rsidRDefault="009F32A7" w:rsidP="009F32A7">
      <w:pPr>
        <w:rPr>
          <w:lang w:val="en-US"/>
        </w:rPr>
      </w:pPr>
      <w:r w:rsidRPr="009A0143">
        <w:rPr>
          <w:lang w:val="en-US"/>
        </w:rPr>
        <w:t xml:space="preserve">Hamdani, U., Priyanto, P. and Suhandi, N. (2024) ‘Earnings management: Boon or bane for growth in Indonesia consumer sector?’, </w:t>
      </w:r>
      <w:r w:rsidRPr="009A0143">
        <w:rPr>
          <w:i/>
          <w:iCs/>
          <w:lang w:val="en-US"/>
        </w:rPr>
        <w:t>International Journal of Finance Research</w:t>
      </w:r>
      <w:r w:rsidRPr="009A0143">
        <w:rPr>
          <w:lang w:val="en-US"/>
        </w:rPr>
        <w:t xml:space="preserve">, 5(1), pp. 11–22. </w:t>
      </w:r>
      <w:hyperlink r:id="rId30" w:tgtFrame="_new" w:history="1">
        <w:r w:rsidRPr="009A0143">
          <w:rPr>
            <w:rStyle w:val="Hyperlink"/>
            <w:lang w:val="en-US"/>
          </w:rPr>
          <w:t>https://doi.org/10.47747/ijfr.v5i1.1621</w:t>
        </w:r>
      </w:hyperlink>
    </w:p>
    <w:p w14:paraId="1EE5F241" w14:textId="77777777" w:rsidR="009F32A7" w:rsidRPr="008B281F" w:rsidRDefault="009F32A7" w:rsidP="009F32A7">
      <w:pPr>
        <w:rPr>
          <w:lang w:val="en-US"/>
        </w:rPr>
      </w:pPr>
      <w:r w:rsidRPr="008B281F">
        <w:rPr>
          <w:lang w:val="en-US"/>
        </w:rPr>
        <w:t xml:space="preserve">Hassan, M. and Giouvris, E. (2020) ‘Financial institutions mergers: A strategy choice of wealth maximisation and economic value’, </w:t>
      </w:r>
      <w:r w:rsidRPr="008B281F">
        <w:rPr>
          <w:i/>
          <w:iCs/>
          <w:lang w:val="en-US"/>
        </w:rPr>
        <w:t>Journal of Financial Economic Policy</w:t>
      </w:r>
      <w:r w:rsidRPr="008B281F">
        <w:rPr>
          <w:lang w:val="en-US"/>
        </w:rPr>
        <w:t xml:space="preserve">, 12(4), pp. 495–529. </w:t>
      </w:r>
      <w:hyperlink r:id="rId31" w:tgtFrame="_new" w:history="1">
        <w:r w:rsidRPr="008B281F">
          <w:rPr>
            <w:rStyle w:val="Hyperlink"/>
            <w:lang w:val="en-US"/>
          </w:rPr>
          <w:t>https://doi.org/10.1108/jfep-06-2019-0113</w:t>
        </w:r>
      </w:hyperlink>
    </w:p>
    <w:p w14:paraId="768B5EFB" w14:textId="77777777" w:rsidR="009F32A7" w:rsidRPr="00723CA0" w:rsidRDefault="009F32A7" w:rsidP="009F32A7">
      <w:pPr>
        <w:rPr>
          <w:lang w:val="en-US"/>
        </w:rPr>
      </w:pPr>
      <w:r w:rsidRPr="00723CA0">
        <w:rPr>
          <w:lang w:val="en-US"/>
        </w:rPr>
        <w:t xml:space="preserve">Heniwati, E. and Essen, E. (2020) ‘Which retail firm characteristics impact on financial distress?’, </w:t>
      </w:r>
      <w:r w:rsidRPr="00723CA0">
        <w:rPr>
          <w:i/>
          <w:iCs/>
          <w:lang w:val="en-US"/>
        </w:rPr>
        <w:t>Jurnal Akuntansi dan Keuangan</w:t>
      </w:r>
      <w:r w:rsidRPr="00723CA0">
        <w:rPr>
          <w:lang w:val="en-US"/>
        </w:rPr>
        <w:t xml:space="preserve">, 22(1), pp. 40–46. </w:t>
      </w:r>
      <w:hyperlink r:id="rId32" w:tgtFrame="_new" w:history="1">
        <w:r w:rsidRPr="00723CA0">
          <w:rPr>
            <w:rStyle w:val="Hyperlink"/>
            <w:lang w:val="en-US"/>
          </w:rPr>
          <w:t>https://doi.org/10.9744/jak.22.1.30-36</w:t>
        </w:r>
      </w:hyperlink>
    </w:p>
    <w:p w14:paraId="5BC7CC4D" w14:textId="77777777" w:rsidR="009F32A7" w:rsidRPr="00B142EE" w:rsidRDefault="009F32A7" w:rsidP="009F32A7">
      <w:pPr>
        <w:rPr>
          <w:lang w:val="en-US"/>
        </w:rPr>
      </w:pPr>
      <w:r w:rsidRPr="00B142EE">
        <w:rPr>
          <w:lang w:val="en-US"/>
        </w:rPr>
        <w:t xml:space="preserve">Huang, H. and Hao, S. (2024) ‘Enterprise digital transformation and sustainable development performance: The asymmetric roles of top management team faultlines’, </w:t>
      </w:r>
      <w:r w:rsidRPr="00B142EE">
        <w:rPr>
          <w:i/>
          <w:iCs/>
          <w:lang w:val="en-US"/>
        </w:rPr>
        <w:t>Sustainable Development</w:t>
      </w:r>
      <w:r w:rsidRPr="00B142EE">
        <w:rPr>
          <w:lang w:val="en-US"/>
        </w:rPr>
        <w:t xml:space="preserve">, 33(2), pp. 1670–1685. </w:t>
      </w:r>
      <w:hyperlink r:id="rId33" w:tgtFrame="_new" w:history="1">
        <w:r w:rsidRPr="00B142EE">
          <w:rPr>
            <w:rStyle w:val="Hyperlink"/>
            <w:lang w:val="en-US"/>
          </w:rPr>
          <w:t>https://doi.org/10.1002/sd.3198</w:t>
        </w:r>
      </w:hyperlink>
    </w:p>
    <w:p w14:paraId="1AF58F66" w14:textId="77777777" w:rsidR="009F32A7" w:rsidRPr="00B133C7" w:rsidRDefault="009F32A7" w:rsidP="009F32A7">
      <w:pPr>
        <w:rPr>
          <w:lang w:val="en-US"/>
        </w:rPr>
      </w:pPr>
      <w:r w:rsidRPr="00B133C7">
        <w:rPr>
          <w:lang w:val="en-US"/>
        </w:rPr>
        <w:t xml:space="preserve">Ibrahim, U. and Isiaka, A. (2021) ‘Working capital management and financial performance of non-financial quoted companies in Nigeria’, </w:t>
      </w:r>
      <w:r w:rsidRPr="00B133C7">
        <w:rPr>
          <w:i/>
          <w:iCs/>
          <w:lang w:val="en-US"/>
        </w:rPr>
        <w:t>International Journal of Research in Business and Social Science</w:t>
      </w:r>
      <w:r w:rsidRPr="00B133C7">
        <w:rPr>
          <w:lang w:val="en-US"/>
        </w:rPr>
        <w:t xml:space="preserve">, 10(3), pp. 241–258. </w:t>
      </w:r>
      <w:hyperlink r:id="rId34" w:tgtFrame="_new" w:history="1">
        <w:r w:rsidRPr="00B133C7">
          <w:rPr>
            <w:rStyle w:val="Hyperlink"/>
            <w:lang w:val="en-US"/>
          </w:rPr>
          <w:t>https://doi.org/10.20525/ijrbs.v10i3.1116</w:t>
        </w:r>
      </w:hyperlink>
    </w:p>
    <w:p w14:paraId="598B0555" w14:textId="77777777" w:rsidR="009F32A7" w:rsidRPr="00CD007B" w:rsidRDefault="009F32A7" w:rsidP="009F32A7">
      <w:pPr>
        <w:rPr>
          <w:lang w:val="en-US"/>
        </w:rPr>
      </w:pPr>
      <w:r w:rsidRPr="00CD007B">
        <w:rPr>
          <w:lang w:val="en-US"/>
        </w:rPr>
        <w:t xml:space="preserve">Ilyas, A. (2020) ‘Evaluasi kelayakan investasi proyek pembangunan perumahan Green Terrace ditinjau pada aspek keuangan’, </w:t>
      </w:r>
      <w:r w:rsidRPr="00CD007B">
        <w:rPr>
          <w:i/>
          <w:iCs/>
          <w:lang w:val="en-US"/>
        </w:rPr>
        <w:t>Journal of Economics and Business UBS</w:t>
      </w:r>
      <w:r w:rsidRPr="00CD007B">
        <w:rPr>
          <w:lang w:val="en-US"/>
        </w:rPr>
        <w:t xml:space="preserve">, 9(1), pp. 9–17. </w:t>
      </w:r>
      <w:hyperlink r:id="rId35" w:tgtFrame="_new" w:history="1">
        <w:r w:rsidRPr="00CD007B">
          <w:rPr>
            <w:rStyle w:val="Hyperlink"/>
            <w:lang w:val="en-US"/>
          </w:rPr>
          <w:t>https://doi.org/10.52644/joeb.v9i1.40</w:t>
        </w:r>
      </w:hyperlink>
    </w:p>
    <w:p w14:paraId="45588072" w14:textId="77777777" w:rsidR="009F32A7" w:rsidRPr="00026912" w:rsidRDefault="009F32A7" w:rsidP="009F32A7">
      <w:pPr>
        <w:rPr>
          <w:lang w:val="en-US"/>
        </w:rPr>
      </w:pPr>
      <w:r w:rsidRPr="00026912">
        <w:rPr>
          <w:lang w:val="en-US"/>
        </w:rPr>
        <w:t xml:space="preserve">Jiang, X., Jiang, F., Sheng, S. and Wang, G. (2020) ‘A moderated mediation model linking entrepreneurial orientation to strategic alliance performance’, </w:t>
      </w:r>
      <w:r w:rsidRPr="00026912">
        <w:rPr>
          <w:i/>
          <w:iCs/>
          <w:lang w:val="en-US"/>
        </w:rPr>
        <w:t>British Journal of Management</w:t>
      </w:r>
      <w:r w:rsidRPr="00026912">
        <w:rPr>
          <w:lang w:val="en-US"/>
        </w:rPr>
        <w:t xml:space="preserve">, 32(4), pp. 1338–1358. </w:t>
      </w:r>
      <w:hyperlink r:id="rId36" w:tgtFrame="_new" w:history="1">
        <w:r w:rsidRPr="00026912">
          <w:rPr>
            <w:rStyle w:val="Hyperlink"/>
            <w:lang w:val="en-US"/>
          </w:rPr>
          <w:t>https://doi.org/10.1111/1467-8551.12428</w:t>
        </w:r>
      </w:hyperlink>
    </w:p>
    <w:p w14:paraId="6F4464D6" w14:textId="77777777" w:rsidR="009F32A7" w:rsidRPr="00723CA0" w:rsidRDefault="009F32A7" w:rsidP="009F32A7">
      <w:pPr>
        <w:rPr>
          <w:lang w:val="en-US"/>
        </w:rPr>
      </w:pPr>
      <w:r w:rsidRPr="00723CA0">
        <w:rPr>
          <w:lang w:val="en-US"/>
        </w:rPr>
        <w:lastRenderedPageBreak/>
        <w:t xml:space="preserve">Judijanto, L. (2025) ‘Analyzing profitability ratios as a tool to assess financial performance’, </w:t>
      </w:r>
      <w:r w:rsidRPr="00723CA0">
        <w:rPr>
          <w:i/>
          <w:iCs/>
          <w:lang w:val="en-US"/>
        </w:rPr>
        <w:t>Excellence</w:t>
      </w:r>
      <w:r w:rsidRPr="00723CA0">
        <w:rPr>
          <w:lang w:val="en-US"/>
        </w:rPr>
        <w:t xml:space="preserve">, 3(1), pp. 233–243. </w:t>
      </w:r>
      <w:hyperlink r:id="rId37" w:tgtFrame="_new" w:history="1">
        <w:r w:rsidRPr="00723CA0">
          <w:rPr>
            <w:rStyle w:val="Hyperlink"/>
            <w:lang w:val="en-US"/>
          </w:rPr>
          <w:t>https://doi.org/10.59841/excellence.v3i1.2378</w:t>
        </w:r>
      </w:hyperlink>
    </w:p>
    <w:p w14:paraId="2DDD5443" w14:textId="77777777" w:rsidR="009F32A7" w:rsidRPr="00BF0FA2" w:rsidRDefault="009F32A7" w:rsidP="009F32A7">
      <w:pPr>
        <w:rPr>
          <w:lang w:val="en-US"/>
        </w:rPr>
      </w:pPr>
      <w:r w:rsidRPr="00BF0FA2">
        <w:rPr>
          <w:lang w:val="en-US"/>
        </w:rPr>
        <w:t xml:space="preserve">Jung, J. and Im, J. (2022) ‘How does social trust affect corporate financial performance? The mediating role of corporate social responsibility’, </w:t>
      </w:r>
      <w:r w:rsidRPr="00BF0FA2">
        <w:rPr>
          <w:i/>
          <w:iCs/>
          <w:lang w:val="en-US"/>
        </w:rPr>
        <w:t>Business Ethics, the Environment &amp; Responsibility</w:t>
      </w:r>
      <w:r w:rsidRPr="00BF0FA2">
        <w:rPr>
          <w:lang w:val="en-US"/>
        </w:rPr>
        <w:t xml:space="preserve">, 32(1), pp. 236–255. </w:t>
      </w:r>
      <w:hyperlink r:id="rId38" w:tgtFrame="_new" w:history="1">
        <w:r w:rsidRPr="00BF0FA2">
          <w:rPr>
            <w:rStyle w:val="Hyperlink"/>
            <w:lang w:val="en-US"/>
          </w:rPr>
          <w:t>https://doi.org/10.1111/beer.12481</w:t>
        </w:r>
      </w:hyperlink>
    </w:p>
    <w:p w14:paraId="1EF6652F" w14:textId="77777777" w:rsidR="009F32A7" w:rsidRPr="00BF0FA2" w:rsidRDefault="009F32A7" w:rsidP="009F32A7">
      <w:pPr>
        <w:rPr>
          <w:lang w:val="en-US"/>
        </w:rPr>
      </w:pPr>
      <w:r w:rsidRPr="00BF0FA2">
        <w:rPr>
          <w:lang w:val="en-US"/>
        </w:rPr>
        <w:t xml:space="preserve">Kale, S., Vatkar, A., Mehta, N. and Das, S. (2024) ‘How to beat inflation with smart investments by orthopods’, </w:t>
      </w:r>
      <w:r w:rsidRPr="00BF0FA2">
        <w:rPr>
          <w:i/>
          <w:iCs/>
          <w:lang w:val="en-US"/>
        </w:rPr>
        <w:t>Journal of Clinical Orthopaedics</w:t>
      </w:r>
      <w:r w:rsidRPr="00BF0FA2">
        <w:rPr>
          <w:lang w:val="en-US"/>
        </w:rPr>
        <w:t xml:space="preserve">, 9(1), pp. 1–3. </w:t>
      </w:r>
      <w:hyperlink r:id="rId39" w:tgtFrame="_new" w:history="1">
        <w:r w:rsidRPr="00BF0FA2">
          <w:rPr>
            <w:rStyle w:val="Hyperlink"/>
            <w:lang w:val="en-US"/>
          </w:rPr>
          <w:t>https://doi.org/10.13107/jcorth.2024.v09i01.618</w:t>
        </w:r>
      </w:hyperlink>
    </w:p>
    <w:p w14:paraId="6D94838E" w14:textId="77777777" w:rsidR="009F32A7" w:rsidRPr="009A0143" w:rsidRDefault="009F32A7" w:rsidP="009F32A7">
      <w:pPr>
        <w:rPr>
          <w:lang w:val="en-US"/>
        </w:rPr>
      </w:pPr>
      <w:r w:rsidRPr="009A0143">
        <w:rPr>
          <w:lang w:val="en-US"/>
        </w:rPr>
        <w:t xml:space="preserve">Liu, B., Ju, T. and Gao, S. (2021) ‘The combined effects of innovation and corporate social responsibility on firm financial risk’, </w:t>
      </w:r>
      <w:r w:rsidRPr="009A0143">
        <w:rPr>
          <w:i/>
          <w:iCs/>
          <w:lang w:val="en-US"/>
        </w:rPr>
        <w:t>Journal of International Financial Management and Accounting</w:t>
      </w:r>
      <w:r w:rsidRPr="009A0143">
        <w:rPr>
          <w:lang w:val="en-US"/>
        </w:rPr>
        <w:t xml:space="preserve">, 32(3), pp. 283–310. </w:t>
      </w:r>
      <w:hyperlink r:id="rId40" w:tgtFrame="_new" w:history="1">
        <w:r w:rsidRPr="009A0143">
          <w:rPr>
            <w:rStyle w:val="Hyperlink"/>
            <w:lang w:val="en-US"/>
          </w:rPr>
          <w:t>https://doi.org/10.1111/jifm.12135</w:t>
        </w:r>
      </w:hyperlink>
    </w:p>
    <w:p w14:paraId="7587C35D" w14:textId="77777777" w:rsidR="009F32A7" w:rsidRPr="00B142EE" w:rsidRDefault="009F32A7" w:rsidP="009F32A7">
      <w:pPr>
        <w:rPr>
          <w:lang w:val="en-US"/>
        </w:rPr>
      </w:pPr>
      <w:r w:rsidRPr="00B142EE">
        <w:rPr>
          <w:lang w:val="en-US"/>
        </w:rPr>
        <w:t xml:space="preserve">Liverani, M., Song, K. and Rudge, J. (2023) ‘Mapping emerging trends and South–South cooperation in regional knowledge networks: A bibliometric analysis of avian influenza research in Southeast Asia’, </w:t>
      </w:r>
      <w:r w:rsidRPr="00B142EE">
        <w:rPr>
          <w:i/>
          <w:iCs/>
          <w:lang w:val="en-US"/>
        </w:rPr>
        <w:t>Journal of International Development</w:t>
      </w:r>
      <w:r w:rsidRPr="00B142EE">
        <w:rPr>
          <w:lang w:val="en-US"/>
        </w:rPr>
        <w:t xml:space="preserve">, 35(7), pp. 1667–1683. </w:t>
      </w:r>
      <w:hyperlink r:id="rId41" w:tgtFrame="_new" w:history="1">
        <w:r w:rsidRPr="00B142EE">
          <w:rPr>
            <w:rStyle w:val="Hyperlink"/>
            <w:lang w:val="en-US"/>
          </w:rPr>
          <w:t>https://doi.org/10.1002/jid.3746</w:t>
        </w:r>
      </w:hyperlink>
    </w:p>
    <w:p w14:paraId="745EAC76" w14:textId="77777777" w:rsidR="009F32A7" w:rsidRPr="00B142EE" w:rsidRDefault="009F32A7" w:rsidP="009F32A7">
      <w:pPr>
        <w:rPr>
          <w:lang w:val="en-US"/>
        </w:rPr>
      </w:pPr>
      <w:r w:rsidRPr="00B142EE">
        <w:rPr>
          <w:lang w:val="en-US"/>
        </w:rPr>
        <w:t xml:space="preserve">Luo, P., Tan, Y. and Yang, J. (2021) ‘Dynamic optimal restructuring policies under debt renegotiation with positive externalities’, </w:t>
      </w:r>
      <w:r w:rsidRPr="00B142EE">
        <w:rPr>
          <w:i/>
          <w:iCs/>
          <w:lang w:val="en-US"/>
        </w:rPr>
        <w:t>European Financial Management</w:t>
      </w:r>
      <w:r w:rsidRPr="00B142EE">
        <w:rPr>
          <w:lang w:val="en-US"/>
        </w:rPr>
        <w:t xml:space="preserve">, 28(5), pp. 1227–1259. </w:t>
      </w:r>
      <w:hyperlink r:id="rId42" w:tgtFrame="_new" w:history="1">
        <w:r w:rsidRPr="00B142EE">
          <w:rPr>
            <w:rStyle w:val="Hyperlink"/>
            <w:lang w:val="en-US"/>
          </w:rPr>
          <w:t>https://doi.org/10.1111/eufm.12341</w:t>
        </w:r>
      </w:hyperlink>
    </w:p>
    <w:p w14:paraId="6F0B1770" w14:textId="77777777" w:rsidR="009F32A7" w:rsidRPr="00026912" w:rsidRDefault="009F32A7" w:rsidP="009F32A7">
      <w:pPr>
        <w:rPr>
          <w:lang w:val="en-US"/>
        </w:rPr>
      </w:pPr>
      <w:r w:rsidRPr="00026912">
        <w:rPr>
          <w:lang w:val="en-US"/>
        </w:rPr>
        <w:t xml:space="preserve">Malikov, K. (2024) ‘Balance sheet debt covenants and seasoned equity offerings’, </w:t>
      </w:r>
      <w:r w:rsidRPr="00026912">
        <w:rPr>
          <w:i/>
          <w:iCs/>
          <w:lang w:val="en-US"/>
        </w:rPr>
        <w:t>The International Journal of Accounting</w:t>
      </w:r>
      <w:r w:rsidRPr="00026912">
        <w:rPr>
          <w:lang w:val="en-US"/>
        </w:rPr>
        <w:t xml:space="preserve">, 59(2). </w:t>
      </w:r>
      <w:hyperlink r:id="rId43" w:tgtFrame="_new" w:history="1">
        <w:r w:rsidRPr="00026912">
          <w:rPr>
            <w:rStyle w:val="Hyperlink"/>
            <w:lang w:val="en-US"/>
          </w:rPr>
          <w:t>https://doi.org/10.1142/s1094406024500100</w:t>
        </w:r>
      </w:hyperlink>
    </w:p>
    <w:p w14:paraId="178F052C" w14:textId="77777777" w:rsidR="009F32A7" w:rsidRPr="009A0143" w:rsidRDefault="009F32A7" w:rsidP="009F32A7">
      <w:pPr>
        <w:rPr>
          <w:lang w:val="en-US"/>
        </w:rPr>
      </w:pPr>
      <w:r w:rsidRPr="009A0143">
        <w:rPr>
          <w:lang w:val="en-US"/>
        </w:rPr>
        <w:t xml:space="preserve">Maulana, F. (2024) ‘Financial distress assessment through Altman Z-score’, </w:t>
      </w:r>
      <w:r w:rsidRPr="009A0143">
        <w:rPr>
          <w:i/>
          <w:iCs/>
          <w:lang w:val="en-US"/>
        </w:rPr>
        <w:t>Journal of Economics and Business UBS</w:t>
      </w:r>
      <w:r w:rsidRPr="009A0143">
        <w:rPr>
          <w:lang w:val="en-US"/>
        </w:rPr>
        <w:t xml:space="preserve">, 13(1), pp. 227–240. </w:t>
      </w:r>
      <w:hyperlink r:id="rId44" w:tgtFrame="_new" w:history="1">
        <w:r w:rsidRPr="009A0143">
          <w:rPr>
            <w:rStyle w:val="Hyperlink"/>
            <w:lang w:val="en-US"/>
          </w:rPr>
          <w:t>https://doi.org/10.52644/joeb.v13i1.1493</w:t>
        </w:r>
      </w:hyperlink>
    </w:p>
    <w:p w14:paraId="64C62899" w14:textId="77777777" w:rsidR="009F32A7" w:rsidRPr="00BF0FA2" w:rsidRDefault="009F32A7" w:rsidP="009F32A7">
      <w:pPr>
        <w:rPr>
          <w:lang w:val="en-US"/>
        </w:rPr>
      </w:pPr>
      <w:r w:rsidRPr="00BF0FA2">
        <w:rPr>
          <w:lang w:val="en-US"/>
        </w:rPr>
        <w:t xml:space="preserve">Mu, H. and Lee, Y. (2023) ‘Greenwashing in corporate social responsibility: A dual-faceted analysis of its impact on employee trust and identification’, </w:t>
      </w:r>
      <w:r w:rsidRPr="00BF0FA2">
        <w:rPr>
          <w:i/>
          <w:iCs/>
          <w:lang w:val="en-US"/>
        </w:rPr>
        <w:t>Sustainability</w:t>
      </w:r>
      <w:r w:rsidRPr="00BF0FA2">
        <w:rPr>
          <w:lang w:val="en-US"/>
        </w:rPr>
        <w:t xml:space="preserve">, 15(22), 15693. </w:t>
      </w:r>
      <w:hyperlink r:id="rId45" w:tgtFrame="_new" w:history="1">
        <w:r w:rsidRPr="00BF0FA2">
          <w:rPr>
            <w:rStyle w:val="Hyperlink"/>
            <w:lang w:val="en-US"/>
          </w:rPr>
          <w:t>https://doi.org/10.3390/su152215693</w:t>
        </w:r>
      </w:hyperlink>
    </w:p>
    <w:p w14:paraId="21105797" w14:textId="77777777" w:rsidR="009F32A7" w:rsidRPr="002808AA" w:rsidRDefault="009F32A7" w:rsidP="009F32A7">
      <w:pPr>
        <w:rPr>
          <w:lang w:val="en-US"/>
        </w:rPr>
      </w:pPr>
      <w:r w:rsidRPr="002808AA">
        <w:rPr>
          <w:lang w:val="en-US"/>
        </w:rPr>
        <w:t xml:space="preserve">Mutamimah, M. and Saputri, P. (2022) ‘Corporate governance and financing risk in Islamic banks in Indonesia’, </w:t>
      </w:r>
      <w:r w:rsidRPr="002808AA">
        <w:rPr>
          <w:i/>
          <w:iCs/>
          <w:lang w:val="en-US"/>
        </w:rPr>
        <w:t>Journal of Islamic Accounting and Business Research</w:t>
      </w:r>
      <w:r w:rsidRPr="002808AA">
        <w:rPr>
          <w:lang w:val="en-US"/>
        </w:rPr>
        <w:t xml:space="preserve">, 14(3), pp. 436–450. </w:t>
      </w:r>
      <w:hyperlink r:id="rId46" w:tgtFrame="_new" w:history="1">
        <w:r w:rsidRPr="002808AA">
          <w:rPr>
            <w:rStyle w:val="Hyperlink"/>
            <w:lang w:val="en-US"/>
          </w:rPr>
          <w:t>https://doi.org/10.1108/jiabr-09-2021-0268</w:t>
        </w:r>
      </w:hyperlink>
    </w:p>
    <w:p w14:paraId="0AFD05D0" w14:textId="77777777" w:rsidR="009F32A7" w:rsidRPr="00723CA0" w:rsidRDefault="009F32A7" w:rsidP="009F32A7">
      <w:pPr>
        <w:rPr>
          <w:lang w:val="en-US"/>
        </w:rPr>
      </w:pPr>
      <w:r w:rsidRPr="00723CA0">
        <w:rPr>
          <w:lang w:val="en-US"/>
        </w:rPr>
        <w:t xml:space="preserve">Nanda, W., Sabariah, S., Sinurat, R. and Bukit, R. (2023) ‘Analisis penggunaan aset dalam pengukuran profitabilitas PT Adaro Minerals Indonesia Tbk’, </w:t>
      </w:r>
      <w:r w:rsidRPr="00723CA0">
        <w:rPr>
          <w:i/>
          <w:iCs/>
          <w:lang w:val="en-US"/>
        </w:rPr>
        <w:t xml:space="preserve">Ranah Research Journal of </w:t>
      </w:r>
      <w:r w:rsidRPr="00723CA0">
        <w:rPr>
          <w:i/>
          <w:iCs/>
          <w:lang w:val="en-US"/>
        </w:rPr>
        <w:lastRenderedPageBreak/>
        <w:t>Multidisciplinary Research and Development</w:t>
      </w:r>
      <w:r w:rsidRPr="00723CA0">
        <w:rPr>
          <w:lang w:val="en-US"/>
        </w:rPr>
        <w:t xml:space="preserve">, 5(4), pp. 352–360. </w:t>
      </w:r>
      <w:hyperlink r:id="rId47" w:tgtFrame="_new" w:history="1">
        <w:r w:rsidRPr="00723CA0">
          <w:rPr>
            <w:rStyle w:val="Hyperlink"/>
            <w:lang w:val="en-US"/>
          </w:rPr>
          <w:t>https://doi.org/10.38035/rrj.v5i4.787</w:t>
        </w:r>
      </w:hyperlink>
    </w:p>
    <w:p w14:paraId="27D4BAC1" w14:textId="77777777" w:rsidR="009F32A7" w:rsidRPr="00B142EE" w:rsidRDefault="009F32A7" w:rsidP="009F32A7">
      <w:pPr>
        <w:rPr>
          <w:lang w:val="en-US"/>
        </w:rPr>
      </w:pPr>
      <w:r w:rsidRPr="00B142EE">
        <w:rPr>
          <w:lang w:val="en-US"/>
        </w:rPr>
        <w:t xml:space="preserve">Nurhidayah, N., Purwidianti, W., Miftahuddin, M. and Handayani, E. (2024) ‘The influence of capital structure, profitability, company size and dividend policy on firm value with investment decision as a moderator’, </w:t>
      </w:r>
      <w:r w:rsidRPr="00B142EE">
        <w:rPr>
          <w:i/>
          <w:iCs/>
          <w:lang w:val="en-US"/>
        </w:rPr>
        <w:t>Asian Journal of Economics, Business and Accounting</w:t>
      </w:r>
      <w:r w:rsidRPr="00B142EE">
        <w:rPr>
          <w:lang w:val="en-US"/>
        </w:rPr>
        <w:t xml:space="preserve">, 24(11), pp. 547–558. </w:t>
      </w:r>
      <w:hyperlink r:id="rId48" w:tgtFrame="_new" w:history="1">
        <w:r w:rsidRPr="00B142EE">
          <w:rPr>
            <w:rStyle w:val="Hyperlink"/>
            <w:lang w:val="en-US"/>
          </w:rPr>
          <w:t>https://doi.org/10.9734/ajeba/2024/v24i111575</w:t>
        </w:r>
      </w:hyperlink>
    </w:p>
    <w:p w14:paraId="270D4ED0" w14:textId="77777777" w:rsidR="009F32A7" w:rsidRPr="00B142EE" w:rsidRDefault="009F32A7" w:rsidP="009F32A7">
      <w:pPr>
        <w:rPr>
          <w:lang w:val="en-US"/>
        </w:rPr>
      </w:pPr>
      <w:r w:rsidRPr="00B142EE">
        <w:rPr>
          <w:lang w:val="en-US"/>
        </w:rPr>
        <w:t xml:space="preserve">Nurrahmi, A., Siregar, H. and Bandono, B. (2023) ‘The effects of financial performance and macroeconomics on financial distress in the energy sector before and during the COVID-19 </w:t>
      </w:r>
    </w:p>
    <w:p w14:paraId="44954D17" w14:textId="77777777" w:rsidR="009F32A7" w:rsidRPr="00CD007B" w:rsidRDefault="009F32A7" w:rsidP="009F32A7">
      <w:pPr>
        <w:rPr>
          <w:lang w:val="en-US"/>
        </w:rPr>
      </w:pPr>
      <w:r w:rsidRPr="00CD007B">
        <w:rPr>
          <w:lang w:val="en-US"/>
        </w:rPr>
        <w:t xml:space="preserve">Paseda, O. (2020) ‘A review of capital budgeting techniques’, </w:t>
      </w:r>
      <w:r w:rsidRPr="00CD007B">
        <w:rPr>
          <w:i/>
          <w:iCs/>
          <w:lang w:val="en-US"/>
        </w:rPr>
        <w:t>Issues in Social Science</w:t>
      </w:r>
      <w:r w:rsidRPr="00CD007B">
        <w:rPr>
          <w:lang w:val="en-US"/>
        </w:rPr>
        <w:t xml:space="preserve">, 8(2), p. 32. </w:t>
      </w:r>
      <w:hyperlink r:id="rId49" w:tgtFrame="_new" w:history="1">
        <w:r w:rsidRPr="00CD007B">
          <w:rPr>
            <w:rStyle w:val="Hyperlink"/>
            <w:lang w:val="en-US"/>
          </w:rPr>
          <w:t>https://doi.org/10.5296/iss.v8i2.18034</w:t>
        </w:r>
      </w:hyperlink>
    </w:p>
    <w:p w14:paraId="2EBB48CB" w14:textId="77777777" w:rsidR="009F32A7" w:rsidRPr="002808AA" w:rsidRDefault="009F32A7" w:rsidP="009F32A7">
      <w:pPr>
        <w:rPr>
          <w:lang w:val="en-US"/>
        </w:rPr>
      </w:pPr>
      <w:r w:rsidRPr="002808AA">
        <w:rPr>
          <w:lang w:val="en-US"/>
        </w:rPr>
        <w:t xml:space="preserve">Poursoleyman, E., Mansourfar, G., Homayoun, S. and Rezaee, Z. (2022) ‘Business sustainability performance and corporate financial performance: The mediating role of optimal investment’, </w:t>
      </w:r>
      <w:r w:rsidRPr="002808AA">
        <w:rPr>
          <w:i/>
          <w:iCs/>
          <w:lang w:val="en-US"/>
        </w:rPr>
        <w:t>Managerial Finance</w:t>
      </w:r>
      <w:r w:rsidRPr="002808AA">
        <w:rPr>
          <w:lang w:val="en-US"/>
        </w:rPr>
        <w:t xml:space="preserve">, 48(2), pp. 348–369. </w:t>
      </w:r>
      <w:hyperlink r:id="rId50" w:tgtFrame="_new" w:history="1">
        <w:r w:rsidRPr="002808AA">
          <w:rPr>
            <w:rStyle w:val="Hyperlink"/>
            <w:lang w:val="en-US"/>
          </w:rPr>
          <w:t>https://doi.org/10.1108/mf-01-2021-0040</w:t>
        </w:r>
      </w:hyperlink>
    </w:p>
    <w:p w14:paraId="61E45AA0" w14:textId="77777777" w:rsidR="009F32A7" w:rsidRPr="00B142EE" w:rsidRDefault="009F32A7" w:rsidP="009F32A7">
      <w:pPr>
        <w:rPr>
          <w:lang w:val="en-US"/>
        </w:rPr>
      </w:pPr>
      <w:r w:rsidRPr="00B142EE">
        <w:rPr>
          <w:lang w:val="en-US"/>
        </w:rPr>
        <w:t xml:space="preserve">Praveen, R. (2025) ‘AI-powered revaluation of fixed assets during corporate restructuring: A machine learning approach’, </w:t>
      </w:r>
      <w:r w:rsidRPr="00B142EE">
        <w:rPr>
          <w:i/>
          <w:iCs/>
          <w:lang w:val="en-US"/>
        </w:rPr>
        <w:t>JIER</w:t>
      </w:r>
      <w:r w:rsidRPr="00B142EE">
        <w:rPr>
          <w:lang w:val="en-US"/>
        </w:rPr>
        <w:t xml:space="preserve">, 5(2). </w:t>
      </w:r>
      <w:hyperlink r:id="rId51" w:tgtFrame="_new" w:history="1">
        <w:r w:rsidRPr="00B142EE">
          <w:rPr>
            <w:rStyle w:val="Hyperlink"/>
            <w:lang w:val="en-US"/>
          </w:rPr>
          <w:t>https://doi.org/10.52783/jier.v5i2.3039</w:t>
        </w:r>
      </w:hyperlink>
    </w:p>
    <w:p w14:paraId="1075A5E3" w14:textId="77777777" w:rsidR="009F32A7" w:rsidRPr="00B142EE" w:rsidRDefault="009F32A7" w:rsidP="009F32A7">
      <w:pPr>
        <w:rPr>
          <w:lang w:val="en-US"/>
        </w:rPr>
      </w:pPr>
      <w:r w:rsidRPr="00B142EE">
        <w:rPr>
          <w:lang w:val="en-US"/>
        </w:rPr>
        <w:t xml:space="preserve">Puspitarini, A. and Prijadi, R. (2023) ‘Corporate restructuring at one of the energy companies in Indonesia: Does it have an impact?’, </w:t>
      </w:r>
      <w:r w:rsidRPr="00B142EE">
        <w:rPr>
          <w:i/>
          <w:iCs/>
          <w:lang w:val="en-US"/>
        </w:rPr>
        <w:t>Eduvest – Journal of Universal Studies</w:t>
      </w:r>
      <w:r w:rsidRPr="00B142EE">
        <w:rPr>
          <w:lang w:val="en-US"/>
        </w:rPr>
        <w:t xml:space="preserve">, 3(7), pp. 1273–1288. </w:t>
      </w:r>
      <w:hyperlink r:id="rId52" w:tgtFrame="_new" w:history="1">
        <w:r w:rsidRPr="00B142EE">
          <w:rPr>
            <w:rStyle w:val="Hyperlink"/>
            <w:lang w:val="en-US"/>
          </w:rPr>
          <w:t>https://doi.org/10.59188/eduvest.v3i7.847</w:t>
        </w:r>
      </w:hyperlink>
    </w:p>
    <w:p w14:paraId="0C69AF50" w14:textId="77777777" w:rsidR="009F32A7" w:rsidRPr="00723CA0" w:rsidRDefault="009F32A7" w:rsidP="009F32A7">
      <w:pPr>
        <w:rPr>
          <w:lang w:val="en-US"/>
        </w:rPr>
      </w:pPr>
      <w:r w:rsidRPr="00723CA0">
        <w:rPr>
          <w:lang w:val="en-US"/>
        </w:rPr>
        <w:t xml:space="preserve">Rahmad, B. and Rudianto, D. (2023) ‘Comparative analysis of the financial performance of the food and beverage industry before and during the pandemic period’, </w:t>
      </w:r>
      <w:r w:rsidRPr="00723CA0">
        <w:rPr>
          <w:i/>
          <w:iCs/>
          <w:lang w:val="en-US"/>
        </w:rPr>
        <w:t>International Journal of Management and Business Applied</w:t>
      </w:r>
      <w:r w:rsidRPr="00723CA0">
        <w:rPr>
          <w:lang w:val="en-US"/>
        </w:rPr>
        <w:t xml:space="preserve">, 2(1), pp. 39–49. </w:t>
      </w:r>
      <w:hyperlink r:id="rId53" w:tgtFrame="_new" w:history="1">
        <w:r w:rsidRPr="00723CA0">
          <w:rPr>
            <w:rStyle w:val="Hyperlink"/>
            <w:lang w:val="en-US"/>
          </w:rPr>
          <w:t>https://doi.org/10.54099/ijmba.v2i1.520</w:t>
        </w:r>
      </w:hyperlink>
    </w:p>
    <w:p w14:paraId="4D774C3B" w14:textId="77777777" w:rsidR="009F32A7" w:rsidRPr="002808AA" w:rsidRDefault="009F32A7" w:rsidP="009F32A7">
      <w:pPr>
        <w:rPr>
          <w:lang w:val="en-US"/>
        </w:rPr>
      </w:pPr>
      <w:r w:rsidRPr="002808AA">
        <w:rPr>
          <w:lang w:val="en-US"/>
        </w:rPr>
        <w:t xml:space="preserve">Rana, A., Sahu, A. and Debata, B. (2024) ‘Managerial sentiment, life cycle and corporate investment: A large language model approach’, </w:t>
      </w:r>
      <w:r w:rsidRPr="002808AA">
        <w:rPr>
          <w:i/>
          <w:iCs/>
          <w:lang w:val="en-US"/>
        </w:rPr>
        <w:t>International Journal of Managerial Finance</w:t>
      </w:r>
      <w:r w:rsidRPr="002808AA">
        <w:rPr>
          <w:lang w:val="en-US"/>
        </w:rPr>
        <w:t xml:space="preserve">, 21(1), pp. 87–110. </w:t>
      </w:r>
      <w:hyperlink r:id="rId54" w:tgtFrame="_new" w:history="1">
        <w:r w:rsidRPr="002808AA">
          <w:rPr>
            <w:rStyle w:val="Hyperlink"/>
            <w:lang w:val="en-US"/>
          </w:rPr>
          <w:t>https://doi.org/10.1108/ijmf-12-2023-0617</w:t>
        </w:r>
      </w:hyperlink>
    </w:p>
    <w:p w14:paraId="74B447CD" w14:textId="77777777" w:rsidR="009F32A7" w:rsidRPr="002808AA" w:rsidRDefault="009F32A7" w:rsidP="009F32A7">
      <w:pPr>
        <w:rPr>
          <w:lang w:val="en-US"/>
        </w:rPr>
      </w:pPr>
      <w:r w:rsidRPr="002808AA">
        <w:rPr>
          <w:lang w:val="en-US"/>
        </w:rPr>
        <w:t xml:space="preserve">Rumasukun, M. (2024) ‘The effect of global monetary policy changes on the financial strategy of international companies’, </w:t>
      </w:r>
      <w:r w:rsidRPr="002808AA">
        <w:rPr>
          <w:i/>
          <w:iCs/>
          <w:lang w:val="en-US"/>
        </w:rPr>
        <w:t>Golden Ratio of Mapping Idea and Literature Format</w:t>
      </w:r>
      <w:r w:rsidRPr="002808AA">
        <w:rPr>
          <w:lang w:val="en-US"/>
        </w:rPr>
        <w:t xml:space="preserve">, 4(2), pp. 167–182. </w:t>
      </w:r>
      <w:hyperlink r:id="rId55" w:tgtFrame="_new" w:history="1">
        <w:r w:rsidRPr="002808AA">
          <w:rPr>
            <w:rStyle w:val="Hyperlink"/>
            <w:lang w:val="en-US"/>
          </w:rPr>
          <w:t>https://doi.org/10.52970/grmilf.v4i2.397</w:t>
        </w:r>
      </w:hyperlink>
    </w:p>
    <w:p w14:paraId="4333718B" w14:textId="77777777" w:rsidR="009F32A7" w:rsidRPr="00B142EE" w:rsidRDefault="009F32A7" w:rsidP="009F32A7">
      <w:pPr>
        <w:rPr>
          <w:lang w:val="en-US"/>
        </w:rPr>
      </w:pPr>
      <w:r w:rsidRPr="00B142EE">
        <w:rPr>
          <w:lang w:val="en-US"/>
        </w:rPr>
        <w:lastRenderedPageBreak/>
        <w:t xml:space="preserve">Santos, H. and Pessoa, E. (2024) ‘Impacts of digitalization on the efficiency and quality of public services: A comprehensive analysis’, </w:t>
      </w:r>
      <w:r w:rsidRPr="00B142EE">
        <w:rPr>
          <w:i/>
          <w:iCs/>
          <w:lang w:val="en-US"/>
        </w:rPr>
        <w:t>LEV</w:t>
      </w:r>
      <w:r w:rsidRPr="00B142EE">
        <w:rPr>
          <w:lang w:val="en-US"/>
        </w:rPr>
        <w:t xml:space="preserve">, 15(40), pp. 4409–4414. </w:t>
      </w:r>
      <w:hyperlink r:id="rId56" w:tgtFrame="_new" w:history="1">
        <w:r w:rsidRPr="00B142EE">
          <w:rPr>
            <w:rStyle w:val="Hyperlink"/>
            <w:lang w:val="en-US"/>
          </w:rPr>
          <w:t>https://doi.org/10.56238/levv15n40-024</w:t>
        </w:r>
      </w:hyperlink>
    </w:p>
    <w:p w14:paraId="2797B4E5" w14:textId="77777777" w:rsidR="009F32A7" w:rsidRPr="00B142EE" w:rsidRDefault="009F32A7" w:rsidP="009F32A7">
      <w:pPr>
        <w:rPr>
          <w:lang w:val="en-US"/>
        </w:rPr>
      </w:pPr>
      <w:r w:rsidRPr="00B142EE">
        <w:rPr>
          <w:lang w:val="en-US"/>
        </w:rPr>
        <w:t xml:space="preserve">Sazly, S., Erri, D., Prana, I. and Dewi, I. (2024) ‘PT Garuda Indonesia Airways (Tbk) revival: A strategic debt restructuring and business transformation against bankruptcy’, </w:t>
      </w:r>
      <w:r w:rsidRPr="00B142EE">
        <w:rPr>
          <w:i/>
          <w:iCs/>
          <w:lang w:val="en-US"/>
        </w:rPr>
        <w:t>Dynamic Management Journal</w:t>
      </w:r>
      <w:r w:rsidRPr="00B142EE">
        <w:rPr>
          <w:lang w:val="en-US"/>
        </w:rPr>
        <w:t xml:space="preserve">, 8(4), p. 1065. </w:t>
      </w:r>
      <w:hyperlink r:id="rId57" w:tgtFrame="_new" w:history="1">
        <w:r w:rsidRPr="00B142EE">
          <w:rPr>
            <w:rStyle w:val="Hyperlink"/>
            <w:lang w:val="en-US"/>
          </w:rPr>
          <w:t>https://doi.org/10.31000/dmj.v8i4.12727</w:t>
        </w:r>
      </w:hyperlink>
    </w:p>
    <w:p w14:paraId="02036F0A" w14:textId="77777777" w:rsidR="009F32A7" w:rsidRPr="00B3228A" w:rsidRDefault="009F32A7" w:rsidP="009F32A7">
      <w:pPr>
        <w:rPr>
          <w:lang w:val="en-US"/>
        </w:rPr>
      </w:pPr>
      <w:r w:rsidRPr="00B3228A">
        <w:rPr>
          <w:lang w:val="en-US"/>
        </w:rPr>
        <w:t xml:space="preserve">Shaharuddin, S., Mahmud, R., Azhari, N. and Perwitasari, W. (2021) ‘Company performance during COVID-19: Impact of leverage, liquidity and cash flows’, </w:t>
      </w:r>
      <w:r w:rsidRPr="00B3228A">
        <w:rPr>
          <w:i/>
          <w:iCs/>
          <w:lang w:val="en-US"/>
        </w:rPr>
        <w:t>Environment-Behaviour Proceedings Journal</w:t>
      </w:r>
      <w:r w:rsidRPr="00B3228A">
        <w:rPr>
          <w:lang w:val="en-US"/>
        </w:rPr>
        <w:t xml:space="preserve">, 6(17), pp. 11–16. </w:t>
      </w:r>
      <w:hyperlink r:id="rId58" w:tgtFrame="_new" w:history="1">
        <w:r w:rsidRPr="00B3228A">
          <w:rPr>
            <w:rStyle w:val="Hyperlink"/>
            <w:lang w:val="en-US"/>
          </w:rPr>
          <w:t>https://doi.org/10.21834/ebpj.v6i17.2878</w:t>
        </w:r>
      </w:hyperlink>
    </w:p>
    <w:p w14:paraId="58C78ECD" w14:textId="77777777" w:rsidR="009F32A7" w:rsidRPr="00385AD2" w:rsidRDefault="009F32A7" w:rsidP="009F32A7">
      <w:pPr>
        <w:rPr>
          <w:lang w:val="en-US"/>
        </w:rPr>
      </w:pPr>
      <w:r w:rsidRPr="00385AD2">
        <w:rPr>
          <w:lang w:val="en-US"/>
        </w:rPr>
        <w:t xml:space="preserve">Shin, H. (2021) ‘Firm restructuring system in Korea: A comparison of firm performance between policy finance institutes and private banks’, </w:t>
      </w:r>
      <w:r w:rsidRPr="00385AD2">
        <w:rPr>
          <w:i/>
          <w:iCs/>
          <w:lang w:val="en-US"/>
        </w:rPr>
        <w:t>Millennial Asia</w:t>
      </w:r>
      <w:r w:rsidRPr="00385AD2">
        <w:rPr>
          <w:lang w:val="en-US"/>
        </w:rPr>
        <w:t xml:space="preserve">, 13(2), pp. 201–224. </w:t>
      </w:r>
      <w:hyperlink r:id="rId59" w:tgtFrame="_new" w:history="1">
        <w:r w:rsidRPr="00385AD2">
          <w:rPr>
            <w:rStyle w:val="Hyperlink"/>
            <w:lang w:val="en-US"/>
          </w:rPr>
          <w:t>https://doi.org/10.1177/09763996211018538</w:t>
        </w:r>
      </w:hyperlink>
    </w:p>
    <w:p w14:paraId="7ABE22D7" w14:textId="77777777" w:rsidR="009F32A7" w:rsidRPr="009A0143" w:rsidRDefault="009F32A7" w:rsidP="009F32A7">
      <w:pPr>
        <w:rPr>
          <w:lang w:val="en-US"/>
        </w:rPr>
      </w:pPr>
      <w:r w:rsidRPr="009A0143">
        <w:rPr>
          <w:lang w:val="en-US"/>
        </w:rPr>
        <w:t xml:space="preserve">Shinta, I. and Triyono, T. (2025) ‘The effect of liquidity, leverage, cash flow, earning growth, firm size, and risk on financial health’, </w:t>
      </w:r>
      <w:r w:rsidRPr="009A0143">
        <w:rPr>
          <w:i/>
          <w:iCs/>
          <w:lang w:val="en-US"/>
        </w:rPr>
        <w:t>MJIFM</w:t>
      </w:r>
      <w:r w:rsidRPr="009A0143">
        <w:rPr>
          <w:lang w:val="en-US"/>
        </w:rPr>
        <w:t xml:space="preserve">, 5(1). </w:t>
      </w:r>
      <w:hyperlink r:id="rId60" w:tgtFrame="_new" w:history="1">
        <w:r w:rsidRPr="009A0143">
          <w:rPr>
            <w:rStyle w:val="Hyperlink"/>
            <w:lang w:val="en-US"/>
          </w:rPr>
          <w:t>https://doi.org/10.31538/mjifm.v5i1.369</w:t>
        </w:r>
      </w:hyperlink>
    </w:p>
    <w:p w14:paraId="6B4B972D" w14:textId="77777777" w:rsidR="009F32A7" w:rsidRPr="00B3228A" w:rsidRDefault="009F32A7" w:rsidP="009F32A7">
      <w:pPr>
        <w:rPr>
          <w:lang w:val="en-US"/>
        </w:rPr>
      </w:pPr>
      <w:r w:rsidRPr="00B3228A">
        <w:rPr>
          <w:lang w:val="en-US"/>
        </w:rPr>
        <w:t xml:space="preserve">Silvius, G. and Schipper, R. (2022) ‘Exploring the relationship between sustainability and project success: Conceptual model and expected relationships’, </w:t>
      </w:r>
      <w:r w:rsidRPr="00B3228A">
        <w:rPr>
          <w:i/>
          <w:iCs/>
          <w:lang w:val="en-US"/>
        </w:rPr>
        <w:t>International Journal of Information Systems and Project Management</w:t>
      </w:r>
      <w:r w:rsidRPr="00B3228A">
        <w:rPr>
          <w:lang w:val="en-US"/>
        </w:rPr>
        <w:t xml:space="preserve">, 4(3), pp. 5–22. </w:t>
      </w:r>
      <w:hyperlink r:id="rId61" w:tgtFrame="_new" w:history="1">
        <w:r w:rsidRPr="00B3228A">
          <w:rPr>
            <w:rStyle w:val="Hyperlink"/>
            <w:lang w:val="en-US"/>
          </w:rPr>
          <w:t>https://doi.org/10.12821/ijispm040301</w:t>
        </w:r>
      </w:hyperlink>
    </w:p>
    <w:p w14:paraId="4DF389F7" w14:textId="77777777" w:rsidR="009F32A7" w:rsidRPr="00723CA0" w:rsidRDefault="009F32A7" w:rsidP="009F32A7">
      <w:pPr>
        <w:rPr>
          <w:lang w:val="en-US"/>
        </w:rPr>
      </w:pPr>
      <w:r w:rsidRPr="00723CA0">
        <w:rPr>
          <w:lang w:val="en-US"/>
        </w:rPr>
        <w:t xml:space="preserve">Sitinjak, P., Manurung, A. and Gaol, E. (2025) ‘Analysis of profitability and liquidity ratios to evaluate the financial performance of PT Sreeya Sewu Tbk for the period 2019–2023’, </w:t>
      </w:r>
      <w:r w:rsidRPr="00723CA0">
        <w:rPr>
          <w:i/>
          <w:iCs/>
          <w:lang w:val="en-US"/>
        </w:rPr>
        <w:t>Jurnal Ekonomi dan Manajemen</w:t>
      </w:r>
      <w:r w:rsidRPr="00723CA0">
        <w:rPr>
          <w:lang w:val="en-US"/>
        </w:rPr>
        <w:t xml:space="preserve">, 4(2), pp. 127–135. </w:t>
      </w:r>
      <w:hyperlink r:id="rId62" w:tgtFrame="_new" w:history="1">
        <w:r w:rsidRPr="00723CA0">
          <w:rPr>
            <w:rStyle w:val="Hyperlink"/>
            <w:lang w:val="en-US"/>
          </w:rPr>
          <w:t>https://doi.org/10.56127/jekma.v4i2.2102</w:t>
        </w:r>
      </w:hyperlink>
    </w:p>
    <w:p w14:paraId="1300A2DF" w14:textId="77777777" w:rsidR="009F32A7" w:rsidRPr="009A0143" w:rsidRDefault="009F32A7" w:rsidP="009F32A7">
      <w:pPr>
        <w:rPr>
          <w:lang w:val="en-US"/>
        </w:rPr>
      </w:pPr>
      <w:r w:rsidRPr="009A0143">
        <w:rPr>
          <w:lang w:val="en-US"/>
        </w:rPr>
        <w:t xml:space="preserve">Sizan, M., Chouksey, A., Miah, M., Pant, L., Ridoy, M., Sayeed, A. and Khan, M. (2025) ‘Bankruptcy prediction for US businesses: Leveraging machine learning for financial stability’, </w:t>
      </w:r>
      <w:r w:rsidRPr="009A0143">
        <w:rPr>
          <w:i/>
          <w:iCs/>
          <w:lang w:val="en-US"/>
        </w:rPr>
        <w:t>Journal of Business and Management Studies</w:t>
      </w:r>
      <w:r w:rsidRPr="009A0143">
        <w:rPr>
          <w:lang w:val="en-US"/>
        </w:rPr>
        <w:t xml:space="preserve">, 7(1), pp. 1–14. </w:t>
      </w:r>
      <w:hyperlink r:id="rId63" w:tgtFrame="_new" w:history="1">
        <w:r w:rsidRPr="009A0143">
          <w:rPr>
            <w:rStyle w:val="Hyperlink"/>
            <w:lang w:val="en-US"/>
          </w:rPr>
          <w:t>https://doi.org/10.32996/jbms.2025.7.1.1</w:t>
        </w:r>
      </w:hyperlink>
    </w:p>
    <w:p w14:paraId="1A750C32" w14:textId="77777777" w:rsidR="009F32A7" w:rsidRPr="00CD007B" w:rsidRDefault="009F32A7" w:rsidP="009F32A7">
      <w:pPr>
        <w:rPr>
          <w:lang w:val="en-US"/>
        </w:rPr>
      </w:pPr>
      <w:r w:rsidRPr="00CD007B">
        <w:rPr>
          <w:lang w:val="en-US"/>
        </w:rPr>
        <w:t xml:space="preserve">Tan, Q., Chen, Y., Wang, X. and Zeng, Z. (2022) ‘Studies on the modifications and applications of the net present value and internal rate of return’, in </w:t>
      </w:r>
      <w:r w:rsidRPr="00CD007B">
        <w:rPr>
          <w:i/>
          <w:iCs/>
          <w:lang w:val="en-US"/>
        </w:rPr>
        <w:t>Proceedings of the International Conference</w:t>
      </w:r>
      <w:r w:rsidRPr="00CD007B">
        <w:rPr>
          <w:lang w:val="en-US"/>
        </w:rPr>
        <w:t xml:space="preserve">…, pp. 1001–1009. </w:t>
      </w:r>
      <w:hyperlink r:id="rId64" w:tgtFrame="_new" w:history="1">
        <w:r w:rsidRPr="00CD007B">
          <w:rPr>
            <w:rStyle w:val="Hyperlink"/>
            <w:lang w:val="en-US"/>
          </w:rPr>
          <w:t>https://doi.org/10.2991/978-2-494069-31-2_117</w:t>
        </w:r>
      </w:hyperlink>
    </w:p>
    <w:p w14:paraId="1761A312" w14:textId="77777777" w:rsidR="009F32A7" w:rsidRPr="008B281F" w:rsidRDefault="009F32A7" w:rsidP="009F32A7">
      <w:pPr>
        <w:rPr>
          <w:lang w:val="en-US"/>
        </w:rPr>
      </w:pPr>
      <w:r w:rsidRPr="008B281F">
        <w:rPr>
          <w:lang w:val="en-US"/>
        </w:rPr>
        <w:t xml:space="preserve">Tapkliang, R. and Chainirun, P. (2024) ‘Analysis of capital budgeting for purchasing trailers project to use with piling work: A case study of Roi-Et Prestressed Concrete Co., Ltd.’, </w:t>
      </w:r>
      <w:r w:rsidRPr="008B281F">
        <w:rPr>
          <w:i/>
          <w:iCs/>
          <w:lang w:val="en-US"/>
        </w:rPr>
        <w:t xml:space="preserve">Journal </w:t>
      </w:r>
      <w:r w:rsidRPr="008B281F">
        <w:rPr>
          <w:i/>
          <w:iCs/>
          <w:lang w:val="en-US"/>
        </w:rPr>
        <w:lastRenderedPageBreak/>
        <w:t>of Business, Innovation and Development</w:t>
      </w:r>
      <w:r w:rsidRPr="008B281F">
        <w:rPr>
          <w:lang w:val="en-US"/>
        </w:rPr>
        <w:t xml:space="preserve">, 4(2), pp. 92–107. </w:t>
      </w:r>
      <w:hyperlink r:id="rId65" w:tgtFrame="_new" w:history="1">
        <w:r w:rsidRPr="008B281F">
          <w:rPr>
            <w:rStyle w:val="Hyperlink"/>
            <w:lang w:val="en-US"/>
          </w:rPr>
          <w:t>https://doi.org/10.14416/j.bid.2024.08.007</w:t>
        </w:r>
      </w:hyperlink>
    </w:p>
    <w:p w14:paraId="17B9B944" w14:textId="77777777" w:rsidR="009F32A7" w:rsidRPr="00B3228A" w:rsidRDefault="009F32A7" w:rsidP="009F32A7">
      <w:pPr>
        <w:rPr>
          <w:lang w:val="en-US"/>
        </w:rPr>
      </w:pPr>
      <w:r w:rsidRPr="00B3228A">
        <w:rPr>
          <w:lang w:val="en-US"/>
        </w:rPr>
        <w:t xml:space="preserve">Tassel, E. (2024) ‘Project risk and the bank-monitored credit line’, </w:t>
      </w:r>
      <w:r w:rsidRPr="00B3228A">
        <w:rPr>
          <w:i/>
          <w:iCs/>
          <w:lang w:val="en-US"/>
        </w:rPr>
        <w:t>The Journal of Financial Research</w:t>
      </w:r>
      <w:r w:rsidRPr="00B3228A">
        <w:rPr>
          <w:lang w:val="en-US"/>
        </w:rPr>
        <w:t xml:space="preserve">, 48(1), pp. 149–166. </w:t>
      </w:r>
      <w:hyperlink r:id="rId66" w:tgtFrame="_new" w:history="1">
        <w:r w:rsidRPr="00B3228A">
          <w:rPr>
            <w:rStyle w:val="Hyperlink"/>
            <w:lang w:val="en-US"/>
          </w:rPr>
          <w:t>https://doi.org/10.1111/jfir.12411</w:t>
        </w:r>
      </w:hyperlink>
    </w:p>
    <w:p w14:paraId="4B05235E" w14:textId="77777777" w:rsidR="009F32A7" w:rsidRPr="008B281F" w:rsidRDefault="009F32A7" w:rsidP="009F32A7">
      <w:pPr>
        <w:rPr>
          <w:lang w:val="en-US"/>
        </w:rPr>
      </w:pPr>
      <w:r w:rsidRPr="008B281F">
        <w:rPr>
          <w:lang w:val="en-US"/>
        </w:rPr>
        <w:t xml:space="preserve">Tsabita, D. and Kitri, M. (2024) ‘Financial feasibility analysis of XYZ Company market expansion plan to Kalimantan’, </w:t>
      </w:r>
      <w:r w:rsidRPr="008B281F">
        <w:rPr>
          <w:i/>
          <w:iCs/>
          <w:lang w:val="en-US"/>
        </w:rPr>
        <w:t>Journal Integration of Management Studies</w:t>
      </w:r>
      <w:r w:rsidRPr="008B281F">
        <w:rPr>
          <w:lang w:val="en-US"/>
        </w:rPr>
        <w:t xml:space="preserve">, 2(1), pp. 118–128. </w:t>
      </w:r>
      <w:hyperlink r:id="rId67" w:tgtFrame="_new" w:history="1">
        <w:r w:rsidRPr="008B281F">
          <w:rPr>
            <w:rStyle w:val="Hyperlink"/>
            <w:lang w:val="en-US"/>
          </w:rPr>
          <w:t>https://doi.org/10.58229/jims.v2i1.178</w:t>
        </w:r>
      </w:hyperlink>
    </w:p>
    <w:p w14:paraId="1F2AB9CC" w14:textId="77777777" w:rsidR="009F32A7" w:rsidRPr="00CD007B" w:rsidRDefault="009F32A7" w:rsidP="009F32A7">
      <w:pPr>
        <w:rPr>
          <w:lang w:val="en-US"/>
        </w:rPr>
      </w:pPr>
      <w:r w:rsidRPr="00CD007B">
        <w:rPr>
          <w:lang w:val="en-US"/>
        </w:rPr>
        <w:t xml:space="preserve">Tu, L., Phap, V. and Nguyen, T. (2023) ‘A study on loan repayment options for power plant construction: A case study of the Son La hydropower plant, Vietnam’, </w:t>
      </w:r>
      <w:r w:rsidRPr="00CD007B">
        <w:rPr>
          <w:i/>
          <w:iCs/>
          <w:lang w:val="en-US"/>
        </w:rPr>
        <w:t>Polityka Energetyczna – Energy Policy Journal</w:t>
      </w:r>
      <w:r w:rsidRPr="00CD007B">
        <w:rPr>
          <w:lang w:val="en-US"/>
        </w:rPr>
        <w:t xml:space="preserve">, 26(2), pp. 121–140. </w:t>
      </w:r>
      <w:hyperlink r:id="rId68" w:tgtFrame="_new" w:history="1">
        <w:r w:rsidRPr="00CD007B">
          <w:rPr>
            <w:rStyle w:val="Hyperlink"/>
            <w:lang w:val="en-US"/>
          </w:rPr>
          <w:t>https://doi.org/10.33223/epj/163506</w:t>
        </w:r>
      </w:hyperlink>
    </w:p>
    <w:p w14:paraId="4526891F" w14:textId="77777777" w:rsidR="009F32A7" w:rsidRPr="00B133C7" w:rsidRDefault="009F32A7" w:rsidP="009F32A7">
      <w:pPr>
        <w:rPr>
          <w:lang w:val="en-US"/>
        </w:rPr>
      </w:pPr>
      <w:r w:rsidRPr="00B133C7">
        <w:rPr>
          <w:lang w:val="en-US"/>
        </w:rPr>
        <w:t xml:space="preserve">Umar, U. and Al-Faryan, M. (2023) ‘The impact of working capital management on the profitability of listed halal food and beverage companies’, </w:t>
      </w:r>
      <w:r w:rsidRPr="00B133C7">
        <w:rPr>
          <w:i/>
          <w:iCs/>
          <w:lang w:val="en-US"/>
        </w:rPr>
        <w:t>Managerial Finance</w:t>
      </w:r>
      <w:r w:rsidRPr="00B133C7">
        <w:rPr>
          <w:lang w:val="en-US"/>
        </w:rPr>
        <w:t xml:space="preserve">, 50(3), pp. 534–557. </w:t>
      </w:r>
      <w:hyperlink r:id="rId69" w:tgtFrame="_new" w:history="1">
        <w:r w:rsidRPr="00B133C7">
          <w:rPr>
            <w:rStyle w:val="Hyperlink"/>
            <w:lang w:val="en-US"/>
          </w:rPr>
          <w:t>https://doi.org/10.1108/mf-12-2022-0606</w:t>
        </w:r>
      </w:hyperlink>
    </w:p>
    <w:p w14:paraId="72674512" w14:textId="77777777" w:rsidR="009F32A7" w:rsidRPr="008B281F" w:rsidRDefault="009F32A7" w:rsidP="009F32A7">
      <w:pPr>
        <w:rPr>
          <w:lang w:val="en-US"/>
        </w:rPr>
      </w:pPr>
      <w:r w:rsidRPr="008B281F">
        <w:rPr>
          <w:lang w:val="en-US"/>
        </w:rPr>
        <w:t xml:space="preserve">Vardhan, V. and Vanajakshi, K. (2025) ‘Capital investment decisions and risk management’, </w:t>
      </w:r>
      <w:r w:rsidRPr="008B281F">
        <w:rPr>
          <w:i/>
          <w:iCs/>
          <w:lang w:val="en-US"/>
        </w:rPr>
        <w:t>JOAE</w:t>
      </w:r>
      <w:r w:rsidRPr="008B281F">
        <w:rPr>
          <w:lang w:val="en-US"/>
        </w:rPr>
        <w:t xml:space="preserve">, 13(7(1)), pp. 399–406. </w:t>
      </w:r>
      <w:hyperlink r:id="rId70" w:tgtFrame="_new" w:history="1">
        <w:r w:rsidRPr="008B281F">
          <w:rPr>
            <w:rStyle w:val="Hyperlink"/>
            <w:lang w:val="en-US"/>
          </w:rPr>
          <w:t>https://doi.org/10.70864/joae.2025.v13.i7(1).pp399-406</w:t>
        </w:r>
      </w:hyperlink>
    </w:p>
    <w:p w14:paraId="7ED1C96F" w14:textId="77777777" w:rsidR="009F32A7" w:rsidRPr="009A0143" w:rsidRDefault="009F32A7" w:rsidP="009F32A7">
      <w:pPr>
        <w:rPr>
          <w:lang w:val="en-US"/>
        </w:rPr>
      </w:pPr>
      <w:r w:rsidRPr="009A0143">
        <w:rPr>
          <w:lang w:val="en-US"/>
        </w:rPr>
        <w:t xml:space="preserve">Veronica, M., Ida, I. and Winata, V. (2020) ‘Using cash flow ratios to establish a manufacturing bankruptcy prediction model’, </w:t>
      </w:r>
      <w:r w:rsidRPr="009A0143">
        <w:rPr>
          <w:i/>
          <w:iCs/>
          <w:lang w:val="en-US"/>
        </w:rPr>
        <w:t>Jurnal Manajemen Indonesia</w:t>
      </w:r>
      <w:r w:rsidRPr="009A0143">
        <w:rPr>
          <w:lang w:val="en-US"/>
        </w:rPr>
        <w:t xml:space="preserve">, 20(2), pp. 115–123. </w:t>
      </w:r>
      <w:hyperlink r:id="rId71" w:tgtFrame="_new" w:history="1">
        <w:r w:rsidRPr="009A0143">
          <w:rPr>
            <w:rStyle w:val="Hyperlink"/>
            <w:lang w:val="en-US"/>
          </w:rPr>
          <w:t>https://doi.org/10.25124/jmi.v20i2.3198</w:t>
        </w:r>
      </w:hyperlink>
    </w:p>
    <w:p w14:paraId="512997F1" w14:textId="77777777" w:rsidR="009F32A7" w:rsidRPr="002808AA" w:rsidRDefault="009F32A7" w:rsidP="009F32A7">
      <w:pPr>
        <w:rPr>
          <w:lang w:val="en-US"/>
        </w:rPr>
      </w:pPr>
      <w:r w:rsidRPr="002808AA">
        <w:rPr>
          <w:lang w:val="en-US"/>
        </w:rPr>
        <w:t xml:space="preserve">Wen, M. (2024) ‘Determinants of financing constraints: A bibliometric analysis’, </w:t>
      </w:r>
      <w:r w:rsidRPr="002808AA">
        <w:rPr>
          <w:i/>
          <w:iCs/>
          <w:lang w:val="en-US"/>
        </w:rPr>
        <w:t>European Journal of Business Management and Research</w:t>
      </w:r>
      <w:r w:rsidRPr="002808AA">
        <w:rPr>
          <w:lang w:val="en-US"/>
        </w:rPr>
        <w:t xml:space="preserve">, 9(4), pp. 37–41. </w:t>
      </w:r>
      <w:hyperlink r:id="rId72" w:tgtFrame="_new" w:history="1">
        <w:r w:rsidRPr="002808AA">
          <w:rPr>
            <w:rStyle w:val="Hyperlink"/>
            <w:lang w:val="en-US"/>
          </w:rPr>
          <w:t>https://doi.org/10.24018/ejbmr.2024.9.4.2386</w:t>
        </w:r>
      </w:hyperlink>
    </w:p>
    <w:p w14:paraId="43B6D2B1" w14:textId="77777777" w:rsidR="009F32A7" w:rsidRPr="00BF0FA2" w:rsidRDefault="009F32A7" w:rsidP="009F32A7">
      <w:pPr>
        <w:rPr>
          <w:lang w:val="en-US"/>
        </w:rPr>
      </w:pPr>
      <w:r w:rsidRPr="00BF0FA2">
        <w:rPr>
          <w:lang w:val="en-US"/>
        </w:rPr>
        <w:t xml:space="preserve">Xu, R., Liu, J. and Yang, D. (2023) ‘The formation of reputation in CSR disclosure: The role of signal transmission and sensemaking processes of stakeholders’, </w:t>
      </w:r>
      <w:r w:rsidRPr="00BF0FA2">
        <w:rPr>
          <w:i/>
          <w:iCs/>
          <w:lang w:val="en-US"/>
        </w:rPr>
        <w:t>Sustainability</w:t>
      </w:r>
      <w:r w:rsidRPr="00BF0FA2">
        <w:rPr>
          <w:lang w:val="en-US"/>
        </w:rPr>
        <w:t xml:space="preserve">, 15(12), 9418. </w:t>
      </w:r>
      <w:hyperlink r:id="rId73" w:tgtFrame="_new" w:history="1">
        <w:r w:rsidRPr="00BF0FA2">
          <w:rPr>
            <w:rStyle w:val="Hyperlink"/>
            <w:lang w:val="en-US"/>
          </w:rPr>
          <w:t>https://doi.org/10.3390/su15129418</w:t>
        </w:r>
      </w:hyperlink>
    </w:p>
    <w:p w14:paraId="57BD977B" w14:textId="77777777" w:rsidR="009F32A7" w:rsidRPr="00BF0FA2" w:rsidRDefault="009F32A7" w:rsidP="009F32A7">
      <w:pPr>
        <w:rPr>
          <w:lang w:val="en-US"/>
        </w:rPr>
      </w:pPr>
      <w:r w:rsidRPr="00BF0FA2">
        <w:rPr>
          <w:lang w:val="en-US"/>
        </w:rPr>
        <w:t xml:space="preserve">Yan, X., Espinosa-Cristia, J., Kumari, K. and Cioca, L. (2022) ‘Relationship between corporate social responsibility, organizational trust, and corporate reputation for sustainable performance’, </w:t>
      </w:r>
      <w:r w:rsidRPr="00BF0FA2">
        <w:rPr>
          <w:i/>
          <w:iCs/>
          <w:lang w:val="en-US"/>
        </w:rPr>
        <w:t>Sustainability</w:t>
      </w:r>
      <w:r w:rsidRPr="00BF0FA2">
        <w:rPr>
          <w:lang w:val="en-US"/>
        </w:rPr>
        <w:t xml:space="preserve">, 14(14), 8737. </w:t>
      </w:r>
      <w:hyperlink r:id="rId74" w:tgtFrame="_new" w:history="1">
        <w:r w:rsidRPr="00BF0FA2">
          <w:rPr>
            <w:rStyle w:val="Hyperlink"/>
            <w:lang w:val="en-US"/>
          </w:rPr>
          <w:t>https://doi.org/10.3390/su14148737</w:t>
        </w:r>
      </w:hyperlink>
    </w:p>
    <w:p w14:paraId="1F6938F4" w14:textId="77777777" w:rsidR="009F32A7" w:rsidRPr="00B133C7" w:rsidRDefault="009F32A7" w:rsidP="009F32A7">
      <w:pPr>
        <w:rPr>
          <w:lang w:val="en-US"/>
        </w:rPr>
      </w:pPr>
      <w:r w:rsidRPr="00B133C7">
        <w:rPr>
          <w:lang w:val="en-US"/>
        </w:rPr>
        <w:t xml:space="preserve">Yeboah, S. and Kjærland, F. (2024) ‘Impact of dynamic working capital management on operational efficiency: Empirical evidence from Scandinavia’, </w:t>
      </w:r>
      <w:r w:rsidRPr="00B133C7">
        <w:rPr>
          <w:i/>
          <w:iCs/>
          <w:lang w:val="en-US"/>
        </w:rPr>
        <w:t>Managerial Finance</w:t>
      </w:r>
      <w:r w:rsidRPr="00B133C7">
        <w:rPr>
          <w:lang w:val="en-US"/>
        </w:rPr>
        <w:t xml:space="preserve">, 50(6), pp. 1196–1214. </w:t>
      </w:r>
      <w:hyperlink r:id="rId75" w:tgtFrame="_new" w:history="1">
        <w:r w:rsidRPr="00B133C7">
          <w:rPr>
            <w:rStyle w:val="Hyperlink"/>
            <w:lang w:val="en-US"/>
          </w:rPr>
          <w:t>https://doi.org/10.1108/mf-09-2023-0582</w:t>
        </w:r>
      </w:hyperlink>
    </w:p>
    <w:p w14:paraId="22BAB85E" w14:textId="77777777" w:rsidR="009F32A7" w:rsidRDefault="009F32A7" w:rsidP="009F32A7">
      <w:pPr>
        <w:rPr>
          <w:rStyle w:val="Hyperlink"/>
          <w:lang w:val="en-US"/>
        </w:rPr>
      </w:pPr>
      <w:r w:rsidRPr="00723CA0">
        <w:rPr>
          <w:lang w:val="en-US"/>
        </w:rPr>
        <w:lastRenderedPageBreak/>
        <w:t xml:space="preserve">Yulianti, N., Sutarsa, M. and Fitriani, R. (2025) ‘Profitability ratio analysis to measure financial performance (PT Astra International Tbk 2020–2023)’, </w:t>
      </w:r>
      <w:r w:rsidRPr="00723CA0">
        <w:rPr>
          <w:i/>
          <w:iCs/>
          <w:lang w:val="en-US"/>
        </w:rPr>
        <w:t>J Sci Ins</w:t>
      </w:r>
      <w:r w:rsidRPr="00723CA0">
        <w:rPr>
          <w:lang w:val="en-US"/>
        </w:rPr>
        <w:t xml:space="preserve">, 2(2), pp. 102–113. </w:t>
      </w:r>
      <w:hyperlink r:id="rId76" w:tgtFrame="_new" w:history="1">
        <w:r w:rsidRPr="00723CA0">
          <w:rPr>
            <w:rStyle w:val="Hyperlink"/>
            <w:lang w:val="en-US"/>
          </w:rPr>
          <w:t>https://doi.org/10.69930/jsi.v2i2.334</w:t>
        </w:r>
      </w:hyperlink>
    </w:p>
    <w:p w14:paraId="703FABD0" w14:textId="77777777" w:rsidR="001D202E" w:rsidRDefault="001D202E" w:rsidP="009F32A7">
      <w:pPr>
        <w:rPr>
          <w:rStyle w:val="Hyperlink"/>
          <w:lang w:val="en-US"/>
        </w:rPr>
      </w:pPr>
    </w:p>
    <w:p w14:paraId="55AF3735" w14:textId="77777777" w:rsidR="001D202E" w:rsidRDefault="001D202E" w:rsidP="009F32A7">
      <w:pPr>
        <w:rPr>
          <w:rStyle w:val="Hyperlink"/>
          <w:lang w:val="en-US"/>
        </w:rPr>
      </w:pPr>
    </w:p>
    <w:p w14:paraId="3DE5D4C8" w14:textId="77777777" w:rsidR="001D202E" w:rsidRDefault="001D202E" w:rsidP="009F32A7">
      <w:pPr>
        <w:rPr>
          <w:rStyle w:val="Hyperlink"/>
          <w:lang w:val="en-US"/>
        </w:rPr>
      </w:pPr>
    </w:p>
    <w:p w14:paraId="3520BF0B" w14:textId="77777777" w:rsidR="001D202E" w:rsidRDefault="001D202E" w:rsidP="009F32A7">
      <w:pPr>
        <w:rPr>
          <w:rStyle w:val="Hyperlink"/>
          <w:lang w:val="en-US"/>
        </w:rPr>
      </w:pPr>
    </w:p>
    <w:p w14:paraId="444DE04A" w14:textId="77777777" w:rsidR="001D202E" w:rsidRDefault="001D202E" w:rsidP="009F32A7">
      <w:pPr>
        <w:rPr>
          <w:rStyle w:val="Hyperlink"/>
          <w:lang w:val="en-US"/>
        </w:rPr>
      </w:pPr>
    </w:p>
    <w:p w14:paraId="7AA241CF" w14:textId="77777777" w:rsidR="001D202E" w:rsidRDefault="001D202E" w:rsidP="009F32A7">
      <w:pPr>
        <w:rPr>
          <w:rStyle w:val="Hyperlink"/>
          <w:lang w:val="en-US"/>
        </w:rPr>
      </w:pPr>
    </w:p>
    <w:p w14:paraId="3DC3949D" w14:textId="77777777" w:rsidR="001D202E" w:rsidRDefault="001D202E" w:rsidP="009F32A7">
      <w:pPr>
        <w:rPr>
          <w:rStyle w:val="Hyperlink"/>
          <w:lang w:val="en-US"/>
        </w:rPr>
      </w:pPr>
    </w:p>
    <w:p w14:paraId="132932F7" w14:textId="77777777" w:rsidR="001D202E" w:rsidRDefault="001D202E" w:rsidP="009F32A7">
      <w:pPr>
        <w:rPr>
          <w:rStyle w:val="Hyperlink"/>
          <w:lang w:val="en-US"/>
        </w:rPr>
      </w:pPr>
    </w:p>
    <w:p w14:paraId="2E94DEBC" w14:textId="77777777" w:rsidR="001D202E" w:rsidRDefault="001D202E" w:rsidP="009F32A7">
      <w:pPr>
        <w:rPr>
          <w:rStyle w:val="Hyperlink"/>
          <w:lang w:val="en-US"/>
        </w:rPr>
      </w:pPr>
    </w:p>
    <w:p w14:paraId="2031A432" w14:textId="77777777" w:rsidR="001D202E" w:rsidRDefault="001D202E" w:rsidP="001D202E">
      <w:pPr>
        <w:rPr>
          <w:lang w:val="en-US"/>
        </w:rPr>
      </w:pPr>
    </w:p>
    <w:p w14:paraId="2B74DA19" w14:textId="77777777" w:rsidR="001D202E" w:rsidRDefault="001D202E" w:rsidP="00BF7324">
      <w:pPr>
        <w:pStyle w:val="Heading1"/>
        <w:rPr>
          <w:lang w:val="en-US"/>
        </w:rPr>
      </w:pPr>
      <w:bookmarkStart w:id="48" w:name="_Toc217264727"/>
      <w:r>
        <w:rPr>
          <w:lang w:val="en-US"/>
        </w:rPr>
        <w:t>8. Appendix</w:t>
      </w:r>
      <w:bookmarkEnd w:id="48"/>
      <w:r>
        <w:rPr>
          <w:lang w:val="en-US"/>
        </w:rPr>
        <w:t xml:space="preserve"> </w:t>
      </w:r>
    </w:p>
    <w:p w14:paraId="3CDFB2F2" w14:textId="77777777" w:rsidR="00163D5B" w:rsidRDefault="00163D5B" w:rsidP="00163D5B">
      <w:pPr>
        <w:pStyle w:val="Heading2"/>
        <w:rPr>
          <w:kern w:val="36"/>
          <w:sz w:val="48"/>
          <w:szCs w:val="48"/>
          <w14:ligatures w14:val="none"/>
        </w:rPr>
      </w:pPr>
      <w:bookmarkStart w:id="49" w:name="_Toc217264728"/>
      <w:r>
        <w:t>APPENDIX A</w:t>
      </w:r>
      <w:bookmarkEnd w:id="49"/>
    </w:p>
    <w:p w14:paraId="6CE0BACA" w14:textId="77777777" w:rsidR="00163D5B" w:rsidRDefault="00163D5B" w:rsidP="00163D5B">
      <w:pPr>
        <w:pStyle w:val="Heading2"/>
      </w:pPr>
      <w:bookmarkStart w:id="50" w:name="_Toc217264729"/>
      <w:r>
        <w:t>Financial Ratio Tables (2020–2024)</w:t>
      </w:r>
      <w:bookmarkEnd w:id="50"/>
    </w:p>
    <w:p w14:paraId="046ABF2A" w14:textId="77777777" w:rsidR="006B1FAE" w:rsidRPr="00F54E0A" w:rsidRDefault="006B1FAE" w:rsidP="006B1FAE">
      <w:pPr>
        <w:rPr>
          <w:b/>
        </w:rPr>
      </w:pPr>
      <w:r w:rsidRPr="00F54E0A">
        <w:rPr>
          <w:b/>
        </w:rPr>
        <w:t>A1. Profitability Ratios</w:t>
      </w:r>
    </w:p>
    <w:p w14:paraId="0E345167" w14:textId="77777777" w:rsidR="006B1FAE" w:rsidRPr="00F54E0A" w:rsidRDefault="006B1FAE" w:rsidP="006B1FAE">
      <w:pPr>
        <w:rPr>
          <w:b/>
        </w:rPr>
      </w:pPr>
      <w:r w:rsidRPr="00F54E0A">
        <w:rPr>
          <w:b/>
        </w:rPr>
        <w:t>Table A1: Profitability Ratio Analysis</w:t>
      </w:r>
    </w:p>
    <w:tbl>
      <w:tblPr>
        <w:tblStyle w:val="GridTable4-Accent5"/>
        <w:tblW w:w="0" w:type="auto"/>
        <w:tblLook w:val="04A0" w:firstRow="1" w:lastRow="0" w:firstColumn="1" w:lastColumn="0" w:noHBand="0" w:noVBand="1"/>
      </w:tblPr>
      <w:tblGrid>
        <w:gridCol w:w="1288"/>
        <w:gridCol w:w="1288"/>
        <w:gridCol w:w="1288"/>
        <w:gridCol w:w="1288"/>
        <w:gridCol w:w="1288"/>
        <w:gridCol w:w="1288"/>
        <w:gridCol w:w="1288"/>
      </w:tblGrid>
      <w:tr w:rsidR="00F54E0A" w:rsidRPr="00F54E0A" w14:paraId="0EB60B9B" w14:textId="77777777" w:rsidTr="00F54E0A">
        <w:trPr>
          <w:cnfStyle w:val="100000000000" w:firstRow="1" w:lastRow="0" w:firstColumn="0" w:lastColumn="0" w:oddVBand="0" w:evenVBand="0" w:oddHBand="0"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1288" w:type="dxa"/>
          </w:tcPr>
          <w:p w14:paraId="0823972A" w14:textId="77777777" w:rsidR="00F54E0A" w:rsidRPr="00F54E0A" w:rsidRDefault="00F54E0A" w:rsidP="00F54E0A">
            <w:r w:rsidRPr="00F54E0A">
              <w:t>Ratio</w:t>
            </w:r>
          </w:p>
        </w:tc>
        <w:tc>
          <w:tcPr>
            <w:tcW w:w="1288" w:type="dxa"/>
          </w:tcPr>
          <w:p w14:paraId="586AE951" w14:textId="77777777" w:rsidR="00F54E0A" w:rsidRPr="00F54E0A" w:rsidRDefault="00F54E0A" w:rsidP="00F54E0A">
            <w:pPr>
              <w:cnfStyle w:val="100000000000" w:firstRow="1" w:lastRow="0" w:firstColumn="0" w:lastColumn="0" w:oddVBand="0" w:evenVBand="0" w:oddHBand="0" w:evenHBand="0" w:firstRowFirstColumn="0" w:firstRowLastColumn="0" w:lastRowFirstColumn="0" w:lastRowLastColumn="0"/>
            </w:pPr>
            <w:r w:rsidRPr="00F54E0A">
              <w:t>Formula</w:t>
            </w:r>
          </w:p>
        </w:tc>
        <w:tc>
          <w:tcPr>
            <w:tcW w:w="1288" w:type="dxa"/>
          </w:tcPr>
          <w:p w14:paraId="1885B812" w14:textId="77777777" w:rsidR="00F54E0A" w:rsidRPr="00F54E0A" w:rsidRDefault="00F54E0A" w:rsidP="00F54E0A">
            <w:pPr>
              <w:cnfStyle w:val="100000000000" w:firstRow="1" w:lastRow="0" w:firstColumn="0" w:lastColumn="0" w:oddVBand="0" w:evenVBand="0" w:oddHBand="0" w:evenHBand="0" w:firstRowFirstColumn="0" w:firstRowLastColumn="0" w:lastRowFirstColumn="0" w:lastRowLastColumn="0"/>
            </w:pPr>
            <w:r w:rsidRPr="00F54E0A">
              <w:t>2020</w:t>
            </w:r>
          </w:p>
        </w:tc>
        <w:tc>
          <w:tcPr>
            <w:tcW w:w="1288" w:type="dxa"/>
          </w:tcPr>
          <w:p w14:paraId="5CF356BD" w14:textId="77777777" w:rsidR="00F54E0A" w:rsidRPr="00F54E0A" w:rsidRDefault="00F54E0A" w:rsidP="00F54E0A">
            <w:pPr>
              <w:cnfStyle w:val="100000000000" w:firstRow="1" w:lastRow="0" w:firstColumn="0" w:lastColumn="0" w:oddVBand="0" w:evenVBand="0" w:oddHBand="0" w:evenHBand="0" w:firstRowFirstColumn="0" w:firstRowLastColumn="0" w:lastRowFirstColumn="0" w:lastRowLastColumn="0"/>
            </w:pPr>
            <w:r w:rsidRPr="00F54E0A">
              <w:t>2021</w:t>
            </w:r>
          </w:p>
        </w:tc>
        <w:tc>
          <w:tcPr>
            <w:tcW w:w="1288" w:type="dxa"/>
          </w:tcPr>
          <w:p w14:paraId="7E538672" w14:textId="77777777" w:rsidR="00F54E0A" w:rsidRPr="00F54E0A" w:rsidRDefault="00F54E0A" w:rsidP="00F54E0A">
            <w:pPr>
              <w:cnfStyle w:val="100000000000" w:firstRow="1" w:lastRow="0" w:firstColumn="0" w:lastColumn="0" w:oddVBand="0" w:evenVBand="0" w:oddHBand="0" w:evenHBand="0" w:firstRowFirstColumn="0" w:firstRowLastColumn="0" w:lastRowFirstColumn="0" w:lastRowLastColumn="0"/>
            </w:pPr>
            <w:r w:rsidRPr="00F54E0A">
              <w:t>2022</w:t>
            </w:r>
          </w:p>
        </w:tc>
        <w:tc>
          <w:tcPr>
            <w:tcW w:w="1288" w:type="dxa"/>
          </w:tcPr>
          <w:p w14:paraId="6559B1EE" w14:textId="77777777" w:rsidR="00F54E0A" w:rsidRPr="00F54E0A" w:rsidRDefault="00F54E0A" w:rsidP="00F54E0A">
            <w:pPr>
              <w:cnfStyle w:val="100000000000" w:firstRow="1" w:lastRow="0" w:firstColumn="0" w:lastColumn="0" w:oddVBand="0" w:evenVBand="0" w:oddHBand="0" w:evenHBand="0" w:firstRowFirstColumn="0" w:firstRowLastColumn="0" w:lastRowFirstColumn="0" w:lastRowLastColumn="0"/>
            </w:pPr>
            <w:r w:rsidRPr="00F54E0A">
              <w:t>2023</w:t>
            </w:r>
          </w:p>
        </w:tc>
        <w:tc>
          <w:tcPr>
            <w:tcW w:w="1288" w:type="dxa"/>
          </w:tcPr>
          <w:p w14:paraId="3D0BF4AB" w14:textId="77777777" w:rsidR="00F54E0A" w:rsidRPr="00F54E0A" w:rsidRDefault="00F54E0A" w:rsidP="00F54E0A">
            <w:pPr>
              <w:cnfStyle w:val="100000000000" w:firstRow="1" w:lastRow="0" w:firstColumn="0" w:lastColumn="0" w:oddVBand="0" w:evenVBand="0" w:oddHBand="0" w:evenHBand="0" w:firstRowFirstColumn="0" w:firstRowLastColumn="0" w:lastRowFirstColumn="0" w:lastRowLastColumn="0"/>
            </w:pPr>
            <w:r w:rsidRPr="00F54E0A">
              <w:t>2024</w:t>
            </w:r>
          </w:p>
        </w:tc>
      </w:tr>
      <w:tr w:rsidR="00F54E0A" w:rsidRPr="00F54E0A" w14:paraId="4566673D" w14:textId="77777777" w:rsidTr="00F54E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78E7F7B9" w14:textId="77777777" w:rsidR="00F54E0A" w:rsidRPr="00F54E0A" w:rsidRDefault="00F54E0A" w:rsidP="00F54E0A">
            <w:r w:rsidRPr="00F54E0A">
              <w:t>Gross Margin (%)</w:t>
            </w:r>
          </w:p>
        </w:tc>
        <w:tc>
          <w:tcPr>
            <w:tcW w:w="1288" w:type="dxa"/>
          </w:tcPr>
          <w:p w14:paraId="761759CF"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(Gross Profit ÷ Sales) × 100</w:t>
            </w:r>
          </w:p>
        </w:tc>
        <w:tc>
          <w:tcPr>
            <w:tcW w:w="1288" w:type="dxa"/>
          </w:tcPr>
          <w:p w14:paraId="78DD3FB9"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28.7</w:t>
            </w:r>
          </w:p>
        </w:tc>
        <w:tc>
          <w:tcPr>
            <w:tcW w:w="1288" w:type="dxa"/>
          </w:tcPr>
          <w:p w14:paraId="5AE2A134"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28.8</w:t>
            </w:r>
          </w:p>
        </w:tc>
        <w:tc>
          <w:tcPr>
            <w:tcW w:w="1288" w:type="dxa"/>
          </w:tcPr>
          <w:p w14:paraId="434F319D"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28.1</w:t>
            </w:r>
          </w:p>
        </w:tc>
        <w:tc>
          <w:tcPr>
            <w:tcW w:w="1288" w:type="dxa"/>
          </w:tcPr>
          <w:p w14:paraId="502F3930"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23.2</w:t>
            </w:r>
          </w:p>
        </w:tc>
        <w:tc>
          <w:tcPr>
            <w:tcW w:w="1288" w:type="dxa"/>
          </w:tcPr>
          <w:p w14:paraId="3EB1C885"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28.9</w:t>
            </w:r>
          </w:p>
        </w:tc>
      </w:tr>
      <w:tr w:rsidR="00F54E0A" w:rsidRPr="00F54E0A" w14:paraId="6CE784E8" w14:textId="77777777" w:rsidTr="00F54E0A">
        <w:tc>
          <w:tcPr>
            <w:cnfStyle w:val="001000000000" w:firstRow="0" w:lastRow="0" w:firstColumn="1" w:lastColumn="0" w:oddVBand="0" w:evenVBand="0" w:oddHBand="0" w:evenHBand="0" w:firstRowFirstColumn="0" w:firstRowLastColumn="0" w:lastRowFirstColumn="0" w:lastRowLastColumn="0"/>
            <w:tcW w:w="1288" w:type="dxa"/>
          </w:tcPr>
          <w:p w14:paraId="04936F99" w14:textId="77777777" w:rsidR="00F54E0A" w:rsidRPr="00F54E0A" w:rsidRDefault="00F54E0A" w:rsidP="00F54E0A">
            <w:r w:rsidRPr="00F54E0A">
              <w:t>Operating Margin (%)</w:t>
            </w:r>
          </w:p>
        </w:tc>
        <w:tc>
          <w:tcPr>
            <w:tcW w:w="1288" w:type="dxa"/>
          </w:tcPr>
          <w:p w14:paraId="272CEB4B"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(Operating Income ÷ Sales) × 100</w:t>
            </w:r>
          </w:p>
        </w:tc>
        <w:tc>
          <w:tcPr>
            <w:tcW w:w="1288" w:type="dxa"/>
          </w:tcPr>
          <w:p w14:paraId="014B6442"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6.1</w:t>
            </w:r>
          </w:p>
        </w:tc>
        <w:tc>
          <w:tcPr>
            <w:tcW w:w="1288" w:type="dxa"/>
          </w:tcPr>
          <w:p w14:paraId="4451DA72"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3.9</w:t>
            </w:r>
          </w:p>
        </w:tc>
        <w:tc>
          <w:tcPr>
            <w:tcW w:w="1288" w:type="dxa"/>
          </w:tcPr>
          <w:p w14:paraId="1336102C"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2.7</w:t>
            </w:r>
          </w:p>
        </w:tc>
        <w:tc>
          <w:tcPr>
            <w:tcW w:w="1288" w:type="dxa"/>
          </w:tcPr>
          <w:p w14:paraId="1C17353D"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-20.3</w:t>
            </w:r>
          </w:p>
        </w:tc>
        <w:tc>
          <w:tcPr>
            <w:tcW w:w="1288" w:type="dxa"/>
          </w:tcPr>
          <w:p w14:paraId="4162230D"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-3.9</w:t>
            </w:r>
          </w:p>
        </w:tc>
      </w:tr>
      <w:tr w:rsidR="00F54E0A" w:rsidRPr="00F54E0A" w14:paraId="337FD916" w14:textId="77777777" w:rsidTr="00F54E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08E2BAA9" w14:textId="77777777" w:rsidR="00F54E0A" w:rsidRPr="00F54E0A" w:rsidRDefault="00F54E0A" w:rsidP="00F54E0A">
            <w:r w:rsidRPr="00F54E0A">
              <w:lastRenderedPageBreak/>
              <w:t>Net Margin (%)</w:t>
            </w:r>
          </w:p>
        </w:tc>
        <w:tc>
          <w:tcPr>
            <w:tcW w:w="1288" w:type="dxa"/>
          </w:tcPr>
          <w:p w14:paraId="7D1F9AF7"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(Net Income ÷ Sales) × 100</w:t>
            </w:r>
          </w:p>
        </w:tc>
        <w:tc>
          <w:tcPr>
            <w:tcW w:w="1288" w:type="dxa"/>
          </w:tcPr>
          <w:p w14:paraId="4088F110"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6.3</w:t>
            </w:r>
          </w:p>
        </w:tc>
        <w:tc>
          <w:tcPr>
            <w:tcW w:w="1288" w:type="dxa"/>
          </w:tcPr>
          <w:p w14:paraId="6094CC0D"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0.9</w:t>
            </w:r>
          </w:p>
        </w:tc>
        <w:tc>
          <w:tcPr>
            <w:tcW w:w="1288" w:type="dxa"/>
          </w:tcPr>
          <w:p w14:paraId="4764F560"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0.1</w:t>
            </w:r>
          </w:p>
        </w:tc>
        <w:tc>
          <w:tcPr>
            <w:tcW w:w="1288" w:type="dxa"/>
          </w:tcPr>
          <w:p w14:paraId="072637E0"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-23.4</w:t>
            </w:r>
          </w:p>
        </w:tc>
        <w:tc>
          <w:tcPr>
            <w:tcW w:w="1288" w:type="dxa"/>
          </w:tcPr>
          <w:p w14:paraId="603A313D"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-6.1</w:t>
            </w:r>
          </w:p>
        </w:tc>
      </w:tr>
      <w:tr w:rsidR="00F54E0A" w:rsidRPr="00F54E0A" w14:paraId="1F36819F" w14:textId="77777777" w:rsidTr="00F54E0A">
        <w:tc>
          <w:tcPr>
            <w:cnfStyle w:val="001000000000" w:firstRow="0" w:lastRow="0" w:firstColumn="1" w:lastColumn="0" w:oddVBand="0" w:evenVBand="0" w:oddHBand="0" w:evenHBand="0" w:firstRowFirstColumn="0" w:firstRowLastColumn="0" w:lastRowFirstColumn="0" w:lastRowLastColumn="0"/>
            <w:tcW w:w="1288" w:type="dxa"/>
          </w:tcPr>
          <w:p w14:paraId="4AB7F85C" w14:textId="77777777" w:rsidR="00F54E0A" w:rsidRPr="00F54E0A" w:rsidRDefault="00F54E0A" w:rsidP="00F54E0A">
            <w:r w:rsidRPr="00F54E0A">
              <w:t>ROA (%)</w:t>
            </w:r>
          </w:p>
        </w:tc>
        <w:tc>
          <w:tcPr>
            <w:tcW w:w="1288" w:type="dxa"/>
          </w:tcPr>
          <w:p w14:paraId="0EBFB352"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(Net Income ÷ Total Assets) × 100</w:t>
            </w:r>
          </w:p>
        </w:tc>
        <w:tc>
          <w:tcPr>
            <w:tcW w:w="1288" w:type="dxa"/>
          </w:tcPr>
          <w:p w14:paraId="6B4F18B8"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7.6</w:t>
            </w:r>
          </w:p>
        </w:tc>
        <w:tc>
          <w:tcPr>
            <w:tcW w:w="1288" w:type="dxa"/>
          </w:tcPr>
          <w:p w14:paraId="54743311"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1.0</w:t>
            </w:r>
          </w:p>
        </w:tc>
        <w:tc>
          <w:tcPr>
            <w:tcW w:w="1288" w:type="dxa"/>
          </w:tcPr>
          <w:p w14:paraId="08D8067E"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0.1</w:t>
            </w:r>
          </w:p>
        </w:tc>
        <w:tc>
          <w:tcPr>
            <w:tcW w:w="1288" w:type="dxa"/>
          </w:tcPr>
          <w:p w14:paraId="627DD827"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-27.6</w:t>
            </w:r>
          </w:p>
        </w:tc>
        <w:tc>
          <w:tcPr>
            <w:tcW w:w="1288" w:type="dxa"/>
          </w:tcPr>
          <w:p w14:paraId="10DA3BD8"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-7.4</w:t>
            </w:r>
          </w:p>
        </w:tc>
      </w:tr>
      <w:tr w:rsidR="00F54E0A" w:rsidRPr="00F54E0A" w14:paraId="0989E08C" w14:textId="77777777" w:rsidTr="00F54E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0917746D" w14:textId="77777777" w:rsidR="00F54E0A" w:rsidRPr="00F54E0A" w:rsidRDefault="00F54E0A" w:rsidP="00F54E0A">
            <w:r w:rsidRPr="00F54E0A">
              <w:t>ROE (%)</w:t>
            </w:r>
          </w:p>
        </w:tc>
        <w:tc>
          <w:tcPr>
            <w:tcW w:w="1288" w:type="dxa"/>
          </w:tcPr>
          <w:p w14:paraId="63DA2DE5"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(Net Income ÷ Equity) × 100</w:t>
            </w:r>
          </w:p>
        </w:tc>
        <w:tc>
          <w:tcPr>
            <w:tcW w:w="1288" w:type="dxa"/>
          </w:tcPr>
          <w:p w14:paraId="441FA227"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12.3</w:t>
            </w:r>
          </w:p>
        </w:tc>
        <w:tc>
          <w:tcPr>
            <w:tcW w:w="1288" w:type="dxa"/>
          </w:tcPr>
          <w:p w14:paraId="0C9C8498"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1.9</w:t>
            </w:r>
          </w:p>
        </w:tc>
        <w:tc>
          <w:tcPr>
            <w:tcW w:w="1288" w:type="dxa"/>
          </w:tcPr>
          <w:p w14:paraId="6B976733"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0.1</w:t>
            </w:r>
          </w:p>
        </w:tc>
        <w:tc>
          <w:tcPr>
            <w:tcW w:w="1288" w:type="dxa"/>
          </w:tcPr>
          <w:p w14:paraId="2A5F0145"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-54.9</w:t>
            </w:r>
          </w:p>
        </w:tc>
        <w:tc>
          <w:tcPr>
            <w:tcW w:w="1288" w:type="dxa"/>
          </w:tcPr>
          <w:p w14:paraId="19C083B8"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-15.7</w:t>
            </w:r>
          </w:p>
        </w:tc>
      </w:tr>
    </w:tbl>
    <w:p w14:paraId="0977FEE7" w14:textId="77777777" w:rsidR="006B1FAE" w:rsidRPr="00F54E0A" w:rsidRDefault="006B1FAE" w:rsidP="006B1FAE">
      <w:pPr>
        <w:rPr>
          <w:b/>
        </w:rPr>
      </w:pPr>
      <w:r w:rsidRPr="00F54E0A">
        <w:rPr>
          <w:b/>
        </w:rPr>
        <w:t>A2. Liquidity Ratios</w:t>
      </w:r>
    </w:p>
    <w:p w14:paraId="5B7AA58E" w14:textId="77777777" w:rsidR="006B1FAE" w:rsidRPr="00F54E0A" w:rsidRDefault="006B1FAE" w:rsidP="006B1FAE">
      <w:pPr>
        <w:rPr>
          <w:b/>
        </w:rPr>
      </w:pPr>
      <w:r w:rsidRPr="00F54E0A">
        <w:rPr>
          <w:b/>
        </w:rPr>
        <w:t>Table A2: Liquidity Ratio Analysis</w:t>
      </w:r>
    </w:p>
    <w:tbl>
      <w:tblPr>
        <w:tblStyle w:val="GridTable4-Accent5"/>
        <w:tblW w:w="0" w:type="auto"/>
        <w:tblLook w:val="04A0" w:firstRow="1" w:lastRow="0" w:firstColumn="1" w:lastColumn="0" w:noHBand="0" w:noVBand="1"/>
      </w:tblPr>
      <w:tblGrid>
        <w:gridCol w:w="1288"/>
        <w:gridCol w:w="1288"/>
        <w:gridCol w:w="1288"/>
        <w:gridCol w:w="1288"/>
        <w:gridCol w:w="1288"/>
        <w:gridCol w:w="1288"/>
        <w:gridCol w:w="1288"/>
      </w:tblGrid>
      <w:tr w:rsidR="00F54E0A" w:rsidRPr="00F54E0A" w14:paraId="341808FC" w14:textId="77777777" w:rsidTr="00F54E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0B2E16ED" w14:textId="77777777" w:rsidR="00F54E0A" w:rsidRPr="00F54E0A" w:rsidRDefault="00F54E0A" w:rsidP="00F54E0A">
            <w:r w:rsidRPr="00F54E0A">
              <w:t>Ratio</w:t>
            </w:r>
          </w:p>
        </w:tc>
        <w:tc>
          <w:tcPr>
            <w:tcW w:w="1288" w:type="dxa"/>
          </w:tcPr>
          <w:p w14:paraId="02322984" w14:textId="77777777" w:rsidR="00F54E0A" w:rsidRPr="00F54E0A" w:rsidRDefault="00F54E0A" w:rsidP="00F54E0A">
            <w:pPr>
              <w:cnfStyle w:val="100000000000" w:firstRow="1" w:lastRow="0" w:firstColumn="0" w:lastColumn="0" w:oddVBand="0" w:evenVBand="0" w:oddHBand="0" w:evenHBand="0" w:firstRowFirstColumn="0" w:firstRowLastColumn="0" w:lastRowFirstColumn="0" w:lastRowLastColumn="0"/>
            </w:pPr>
            <w:r w:rsidRPr="00F54E0A">
              <w:t>Formula</w:t>
            </w:r>
          </w:p>
        </w:tc>
        <w:tc>
          <w:tcPr>
            <w:tcW w:w="1288" w:type="dxa"/>
          </w:tcPr>
          <w:p w14:paraId="596F4EE5" w14:textId="77777777" w:rsidR="00F54E0A" w:rsidRPr="00F54E0A" w:rsidRDefault="00F54E0A" w:rsidP="00F54E0A">
            <w:pPr>
              <w:cnfStyle w:val="100000000000" w:firstRow="1" w:lastRow="0" w:firstColumn="0" w:lastColumn="0" w:oddVBand="0" w:evenVBand="0" w:oddHBand="0" w:evenHBand="0" w:firstRowFirstColumn="0" w:firstRowLastColumn="0" w:lastRowFirstColumn="0" w:lastRowLastColumn="0"/>
            </w:pPr>
            <w:r w:rsidRPr="00F54E0A">
              <w:t>2020</w:t>
            </w:r>
          </w:p>
        </w:tc>
        <w:tc>
          <w:tcPr>
            <w:tcW w:w="1288" w:type="dxa"/>
          </w:tcPr>
          <w:p w14:paraId="1E328BE6" w14:textId="77777777" w:rsidR="00F54E0A" w:rsidRPr="00F54E0A" w:rsidRDefault="00F54E0A" w:rsidP="00F54E0A">
            <w:pPr>
              <w:cnfStyle w:val="100000000000" w:firstRow="1" w:lastRow="0" w:firstColumn="0" w:lastColumn="0" w:oddVBand="0" w:evenVBand="0" w:oddHBand="0" w:evenHBand="0" w:firstRowFirstColumn="0" w:firstRowLastColumn="0" w:lastRowFirstColumn="0" w:lastRowLastColumn="0"/>
            </w:pPr>
            <w:r w:rsidRPr="00F54E0A">
              <w:t>2021</w:t>
            </w:r>
          </w:p>
        </w:tc>
        <w:tc>
          <w:tcPr>
            <w:tcW w:w="1288" w:type="dxa"/>
          </w:tcPr>
          <w:p w14:paraId="142DC5D5" w14:textId="77777777" w:rsidR="00F54E0A" w:rsidRPr="00F54E0A" w:rsidRDefault="00F54E0A" w:rsidP="00F54E0A">
            <w:pPr>
              <w:cnfStyle w:val="100000000000" w:firstRow="1" w:lastRow="0" w:firstColumn="0" w:lastColumn="0" w:oddVBand="0" w:evenVBand="0" w:oddHBand="0" w:evenHBand="0" w:firstRowFirstColumn="0" w:firstRowLastColumn="0" w:lastRowFirstColumn="0" w:lastRowLastColumn="0"/>
            </w:pPr>
            <w:r w:rsidRPr="00F54E0A">
              <w:t>2022</w:t>
            </w:r>
          </w:p>
        </w:tc>
        <w:tc>
          <w:tcPr>
            <w:tcW w:w="1288" w:type="dxa"/>
          </w:tcPr>
          <w:p w14:paraId="3B0B3699" w14:textId="77777777" w:rsidR="00F54E0A" w:rsidRPr="00F54E0A" w:rsidRDefault="00F54E0A" w:rsidP="00F54E0A">
            <w:pPr>
              <w:cnfStyle w:val="100000000000" w:firstRow="1" w:lastRow="0" w:firstColumn="0" w:lastColumn="0" w:oddVBand="0" w:evenVBand="0" w:oddHBand="0" w:evenHBand="0" w:firstRowFirstColumn="0" w:firstRowLastColumn="0" w:lastRowFirstColumn="0" w:lastRowLastColumn="0"/>
            </w:pPr>
            <w:r w:rsidRPr="00F54E0A">
              <w:t>2023</w:t>
            </w:r>
          </w:p>
        </w:tc>
        <w:tc>
          <w:tcPr>
            <w:tcW w:w="1288" w:type="dxa"/>
          </w:tcPr>
          <w:p w14:paraId="383A6A98" w14:textId="77777777" w:rsidR="00F54E0A" w:rsidRPr="00F54E0A" w:rsidRDefault="00F54E0A" w:rsidP="00F54E0A">
            <w:pPr>
              <w:cnfStyle w:val="100000000000" w:firstRow="1" w:lastRow="0" w:firstColumn="0" w:lastColumn="0" w:oddVBand="0" w:evenVBand="0" w:oddHBand="0" w:evenHBand="0" w:firstRowFirstColumn="0" w:firstRowLastColumn="0" w:lastRowFirstColumn="0" w:lastRowLastColumn="0"/>
            </w:pPr>
            <w:r w:rsidRPr="00F54E0A">
              <w:t>2024</w:t>
            </w:r>
          </w:p>
        </w:tc>
      </w:tr>
      <w:tr w:rsidR="00F54E0A" w:rsidRPr="00F54E0A" w14:paraId="71BC1736" w14:textId="77777777" w:rsidTr="00F54E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191D7521" w14:textId="77777777" w:rsidR="00F54E0A" w:rsidRPr="00F54E0A" w:rsidRDefault="00F54E0A" w:rsidP="00F54E0A">
            <w:r w:rsidRPr="00F54E0A">
              <w:t>Current Ratio</w:t>
            </w:r>
          </w:p>
        </w:tc>
        <w:tc>
          <w:tcPr>
            <w:tcW w:w="1288" w:type="dxa"/>
          </w:tcPr>
          <w:p w14:paraId="1A2334B4"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Current Assets ÷ Current Liabilities</w:t>
            </w:r>
          </w:p>
        </w:tc>
        <w:tc>
          <w:tcPr>
            <w:tcW w:w="1288" w:type="dxa"/>
          </w:tcPr>
          <w:p w14:paraId="53A99C54"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1.82</w:t>
            </w:r>
          </w:p>
        </w:tc>
        <w:tc>
          <w:tcPr>
            <w:tcW w:w="1288" w:type="dxa"/>
          </w:tcPr>
          <w:p w14:paraId="2CDF3289"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1.56</w:t>
            </w:r>
          </w:p>
        </w:tc>
        <w:tc>
          <w:tcPr>
            <w:tcW w:w="1288" w:type="dxa"/>
          </w:tcPr>
          <w:p w14:paraId="09A27A74"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1.56</w:t>
            </w:r>
          </w:p>
        </w:tc>
        <w:tc>
          <w:tcPr>
            <w:tcW w:w="1288" w:type="dxa"/>
          </w:tcPr>
          <w:p w14:paraId="39406EF6"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1.61</w:t>
            </w:r>
          </w:p>
        </w:tc>
        <w:tc>
          <w:tcPr>
            <w:tcW w:w="1288" w:type="dxa"/>
          </w:tcPr>
          <w:p w14:paraId="77ED9D65"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1.53</w:t>
            </w:r>
          </w:p>
        </w:tc>
      </w:tr>
      <w:tr w:rsidR="00F54E0A" w:rsidRPr="00F54E0A" w14:paraId="3A054452" w14:textId="77777777" w:rsidTr="00F54E0A">
        <w:tc>
          <w:tcPr>
            <w:cnfStyle w:val="001000000000" w:firstRow="0" w:lastRow="0" w:firstColumn="1" w:lastColumn="0" w:oddVBand="0" w:evenVBand="0" w:oddHBand="0" w:evenHBand="0" w:firstRowFirstColumn="0" w:firstRowLastColumn="0" w:lastRowFirstColumn="0" w:lastRowLastColumn="0"/>
            <w:tcW w:w="1288" w:type="dxa"/>
          </w:tcPr>
          <w:p w14:paraId="57D365A2" w14:textId="77777777" w:rsidR="00F54E0A" w:rsidRPr="00F54E0A" w:rsidRDefault="00F54E0A" w:rsidP="00F54E0A">
            <w:r w:rsidRPr="00F54E0A">
              <w:t>Quick Ratio</w:t>
            </w:r>
          </w:p>
        </w:tc>
        <w:tc>
          <w:tcPr>
            <w:tcW w:w="1288" w:type="dxa"/>
          </w:tcPr>
          <w:p w14:paraId="63EECACC"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(CA − Inventory) ÷ CL</w:t>
            </w:r>
          </w:p>
        </w:tc>
        <w:tc>
          <w:tcPr>
            <w:tcW w:w="1288" w:type="dxa"/>
          </w:tcPr>
          <w:p w14:paraId="5AE6D0DF"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1.15</w:t>
            </w:r>
          </w:p>
        </w:tc>
        <w:tc>
          <w:tcPr>
            <w:tcW w:w="1288" w:type="dxa"/>
          </w:tcPr>
          <w:p w14:paraId="63E7CFE7"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0.94</w:t>
            </w:r>
          </w:p>
        </w:tc>
        <w:tc>
          <w:tcPr>
            <w:tcW w:w="1288" w:type="dxa"/>
          </w:tcPr>
          <w:p w14:paraId="4F1FC967"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0.91</w:t>
            </w:r>
          </w:p>
        </w:tc>
        <w:tc>
          <w:tcPr>
            <w:tcW w:w="1288" w:type="dxa"/>
          </w:tcPr>
          <w:p w14:paraId="117E5142"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1.06</w:t>
            </w:r>
          </w:p>
        </w:tc>
        <w:tc>
          <w:tcPr>
            <w:tcW w:w="1288" w:type="dxa"/>
          </w:tcPr>
          <w:p w14:paraId="3600067A"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1.03</w:t>
            </w:r>
          </w:p>
        </w:tc>
      </w:tr>
      <w:tr w:rsidR="00F54E0A" w:rsidRPr="00F54E0A" w14:paraId="699C9EF3" w14:textId="77777777" w:rsidTr="00F54E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771ADAFF" w14:textId="77777777" w:rsidR="00F54E0A" w:rsidRPr="00F54E0A" w:rsidRDefault="00F54E0A" w:rsidP="00F54E0A">
            <w:r w:rsidRPr="00F54E0A">
              <w:t>Operating Cash Flow Ratio</w:t>
            </w:r>
          </w:p>
        </w:tc>
        <w:tc>
          <w:tcPr>
            <w:tcW w:w="1288" w:type="dxa"/>
          </w:tcPr>
          <w:p w14:paraId="5C506757"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OCF ÷ Current Liabilities</w:t>
            </w:r>
          </w:p>
        </w:tc>
        <w:tc>
          <w:tcPr>
            <w:tcW w:w="1288" w:type="dxa"/>
          </w:tcPr>
          <w:p w14:paraId="13995471"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0.41</w:t>
            </w:r>
          </w:p>
        </w:tc>
        <w:tc>
          <w:tcPr>
            <w:tcW w:w="1288" w:type="dxa"/>
          </w:tcPr>
          <w:p w14:paraId="7C4932BD"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0.19</w:t>
            </w:r>
          </w:p>
        </w:tc>
        <w:tc>
          <w:tcPr>
            <w:tcW w:w="1288" w:type="dxa"/>
          </w:tcPr>
          <w:p w14:paraId="1F2C65A3"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0.05</w:t>
            </w:r>
          </w:p>
        </w:tc>
        <w:tc>
          <w:tcPr>
            <w:tcW w:w="1288" w:type="dxa"/>
          </w:tcPr>
          <w:p w14:paraId="0543E420"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0.16</w:t>
            </w:r>
          </w:p>
        </w:tc>
        <w:tc>
          <w:tcPr>
            <w:tcW w:w="1288" w:type="dxa"/>
          </w:tcPr>
          <w:p w14:paraId="18936529"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0.09</w:t>
            </w:r>
          </w:p>
        </w:tc>
      </w:tr>
    </w:tbl>
    <w:p w14:paraId="388AADF0" w14:textId="77777777" w:rsidR="006B1FAE" w:rsidRPr="00F54E0A" w:rsidRDefault="006B1FAE" w:rsidP="006B1FAE">
      <w:pPr>
        <w:rPr>
          <w:b/>
        </w:rPr>
      </w:pPr>
      <w:r w:rsidRPr="00F54E0A">
        <w:rPr>
          <w:b/>
        </w:rPr>
        <w:t>A3. Efficiency (Activity) Ratios</w:t>
      </w:r>
    </w:p>
    <w:p w14:paraId="3B3FABFA" w14:textId="77777777" w:rsidR="006B1FAE" w:rsidRPr="00F54E0A" w:rsidRDefault="006B1FAE" w:rsidP="006B1FAE">
      <w:pPr>
        <w:rPr>
          <w:b/>
        </w:rPr>
      </w:pPr>
      <w:r w:rsidRPr="00F54E0A">
        <w:rPr>
          <w:b/>
        </w:rPr>
        <w:t>Table A3: Efficiency Ratio Analysis</w:t>
      </w:r>
    </w:p>
    <w:tbl>
      <w:tblPr>
        <w:tblStyle w:val="GridTable4-Accent5"/>
        <w:tblW w:w="0" w:type="auto"/>
        <w:tblLook w:val="04A0" w:firstRow="1" w:lastRow="0" w:firstColumn="1" w:lastColumn="0" w:noHBand="0" w:noVBand="1"/>
      </w:tblPr>
      <w:tblGrid>
        <w:gridCol w:w="1416"/>
        <w:gridCol w:w="1456"/>
        <w:gridCol w:w="1228"/>
        <w:gridCol w:w="1229"/>
        <w:gridCol w:w="1229"/>
        <w:gridCol w:w="1229"/>
        <w:gridCol w:w="1229"/>
      </w:tblGrid>
      <w:tr w:rsidR="00F54E0A" w:rsidRPr="00F54E0A" w14:paraId="5768F192" w14:textId="77777777" w:rsidTr="00F54E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14B55CDB" w14:textId="77777777" w:rsidR="00F54E0A" w:rsidRPr="00F54E0A" w:rsidRDefault="00F54E0A" w:rsidP="00F54E0A">
            <w:r w:rsidRPr="00F54E0A">
              <w:t>Ratio</w:t>
            </w:r>
          </w:p>
        </w:tc>
        <w:tc>
          <w:tcPr>
            <w:tcW w:w="1288" w:type="dxa"/>
          </w:tcPr>
          <w:p w14:paraId="0CB7F888" w14:textId="77777777" w:rsidR="00F54E0A" w:rsidRPr="00F54E0A" w:rsidRDefault="00F54E0A" w:rsidP="00F54E0A">
            <w:pPr>
              <w:cnfStyle w:val="100000000000" w:firstRow="1" w:lastRow="0" w:firstColumn="0" w:lastColumn="0" w:oddVBand="0" w:evenVBand="0" w:oddHBand="0" w:evenHBand="0" w:firstRowFirstColumn="0" w:firstRowLastColumn="0" w:lastRowFirstColumn="0" w:lastRowLastColumn="0"/>
            </w:pPr>
            <w:r w:rsidRPr="00F54E0A">
              <w:t>Formula</w:t>
            </w:r>
          </w:p>
        </w:tc>
        <w:tc>
          <w:tcPr>
            <w:tcW w:w="1288" w:type="dxa"/>
          </w:tcPr>
          <w:p w14:paraId="08C62B03" w14:textId="77777777" w:rsidR="00F54E0A" w:rsidRPr="00F54E0A" w:rsidRDefault="00F54E0A" w:rsidP="00F54E0A">
            <w:pPr>
              <w:cnfStyle w:val="100000000000" w:firstRow="1" w:lastRow="0" w:firstColumn="0" w:lastColumn="0" w:oddVBand="0" w:evenVBand="0" w:oddHBand="0" w:evenHBand="0" w:firstRowFirstColumn="0" w:firstRowLastColumn="0" w:lastRowFirstColumn="0" w:lastRowLastColumn="0"/>
            </w:pPr>
            <w:r w:rsidRPr="00F54E0A">
              <w:t>2020</w:t>
            </w:r>
          </w:p>
        </w:tc>
        <w:tc>
          <w:tcPr>
            <w:tcW w:w="1288" w:type="dxa"/>
          </w:tcPr>
          <w:p w14:paraId="356CCF02" w14:textId="77777777" w:rsidR="00F54E0A" w:rsidRPr="00F54E0A" w:rsidRDefault="00F54E0A" w:rsidP="00F54E0A">
            <w:pPr>
              <w:cnfStyle w:val="100000000000" w:firstRow="1" w:lastRow="0" w:firstColumn="0" w:lastColumn="0" w:oddVBand="0" w:evenVBand="0" w:oddHBand="0" w:evenHBand="0" w:firstRowFirstColumn="0" w:firstRowLastColumn="0" w:lastRowFirstColumn="0" w:lastRowLastColumn="0"/>
            </w:pPr>
            <w:r w:rsidRPr="00F54E0A">
              <w:t>2021</w:t>
            </w:r>
          </w:p>
        </w:tc>
        <w:tc>
          <w:tcPr>
            <w:tcW w:w="1288" w:type="dxa"/>
          </w:tcPr>
          <w:p w14:paraId="2A4E4D0E" w14:textId="77777777" w:rsidR="00F54E0A" w:rsidRPr="00F54E0A" w:rsidRDefault="00F54E0A" w:rsidP="00F54E0A">
            <w:pPr>
              <w:cnfStyle w:val="100000000000" w:firstRow="1" w:lastRow="0" w:firstColumn="0" w:lastColumn="0" w:oddVBand="0" w:evenVBand="0" w:oddHBand="0" w:evenHBand="0" w:firstRowFirstColumn="0" w:firstRowLastColumn="0" w:lastRowFirstColumn="0" w:lastRowLastColumn="0"/>
            </w:pPr>
            <w:r w:rsidRPr="00F54E0A">
              <w:t>2022</w:t>
            </w:r>
          </w:p>
        </w:tc>
        <w:tc>
          <w:tcPr>
            <w:tcW w:w="1288" w:type="dxa"/>
          </w:tcPr>
          <w:p w14:paraId="18EED6F3" w14:textId="77777777" w:rsidR="00F54E0A" w:rsidRPr="00F54E0A" w:rsidRDefault="00F54E0A" w:rsidP="00F54E0A">
            <w:pPr>
              <w:cnfStyle w:val="100000000000" w:firstRow="1" w:lastRow="0" w:firstColumn="0" w:lastColumn="0" w:oddVBand="0" w:evenVBand="0" w:oddHBand="0" w:evenHBand="0" w:firstRowFirstColumn="0" w:firstRowLastColumn="0" w:lastRowFirstColumn="0" w:lastRowLastColumn="0"/>
            </w:pPr>
            <w:r w:rsidRPr="00F54E0A">
              <w:t>2023</w:t>
            </w:r>
          </w:p>
        </w:tc>
        <w:tc>
          <w:tcPr>
            <w:tcW w:w="1288" w:type="dxa"/>
          </w:tcPr>
          <w:p w14:paraId="1DB8D8FC" w14:textId="77777777" w:rsidR="00F54E0A" w:rsidRPr="00F54E0A" w:rsidRDefault="00F54E0A" w:rsidP="00F54E0A">
            <w:pPr>
              <w:cnfStyle w:val="100000000000" w:firstRow="1" w:lastRow="0" w:firstColumn="0" w:lastColumn="0" w:oddVBand="0" w:evenVBand="0" w:oddHBand="0" w:evenHBand="0" w:firstRowFirstColumn="0" w:firstRowLastColumn="0" w:lastRowFirstColumn="0" w:lastRowLastColumn="0"/>
            </w:pPr>
            <w:r w:rsidRPr="00F54E0A">
              <w:t>2024</w:t>
            </w:r>
          </w:p>
        </w:tc>
      </w:tr>
      <w:tr w:rsidR="00F54E0A" w:rsidRPr="00F54E0A" w14:paraId="4888EF3B" w14:textId="77777777" w:rsidTr="00F54E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70084674" w14:textId="77777777" w:rsidR="00F54E0A" w:rsidRPr="00F54E0A" w:rsidRDefault="00F54E0A" w:rsidP="00F54E0A">
            <w:r w:rsidRPr="00F54E0A">
              <w:lastRenderedPageBreak/>
              <w:t>Inventory Turnover (times)</w:t>
            </w:r>
          </w:p>
        </w:tc>
        <w:tc>
          <w:tcPr>
            <w:tcW w:w="1288" w:type="dxa"/>
          </w:tcPr>
          <w:p w14:paraId="0883B6DF"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Cost of Sales ÷ Inventory</w:t>
            </w:r>
          </w:p>
        </w:tc>
        <w:tc>
          <w:tcPr>
            <w:tcW w:w="1288" w:type="dxa"/>
          </w:tcPr>
          <w:p w14:paraId="400B3DB0"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3.64</w:t>
            </w:r>
          </w:p>
        </w:tc>
        <w:tc>
          <w:tcPr>
            <w:tcW w:w="1288" w:type="dxa"/>
          </w:tcPr>
          <w:p w14:paraId="0A4A5704"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3.19</w:t>
            </w:r>
          </w:p>
        </w:tc>
        <w:tc>
          <w:tcPr>
            <w:tcW w:w="1288" w:type="dxa"/>
          </w:tcPr>
          <w:p w14:paraId="60F8F244"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2.79</w:t>
            </w:r>
          </w:p>
        </w:tc>
        <w:tc>
          <w:tcPr>
            <w:tcW w:w="1288" w:type="dxa"/>
          </w:tcPr>
          <w:p w14:paraId="49731549"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3.66</w:t>
            </w:r>
          </w:p>
        </w:tc>
        <w:tc>
          <w:tcPr>
            <w:tcW w:w="1288" w:type="dxa"/>
          </w:tcPr>
          <w:p w14:paraId="5F0471A7"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3.54</w:t>
            </w:r>
          </w:p>
        </w:tc>
      </w:tr>
      <w:tr w:rsidR="00F54E0A" w:rsidRPr="00F54E0A" w14:paraId="15187889" w14:textId="77777777" w:rsidTr="00F54E0A">
        <w:tc>
          <w:tcPr>
            <w:cnfStyle w:val="001000000000" w:firstRow="0" w:lastRow="0" w:firstColumn="1" w:lastColumn="0" w:oddVBand="0" w:evenVBand="0" w:oddHBand="0" w:evenHBand="0" w:firstRowFirstColumn="0" w:firstRowLastColumn="0" w:lastRowFirstColumn="0" w:lastRowLastColumn="0"/>
            <w:tcW w:w="1288" w:type="dxa"/>
          </w:tcPr>
          <w:p w14:paraId="484E82EC" w14:textId="77777777" w:rsidR="00F54E0A" w:rsidRPr="00F54E0A" w:rsidRDefault="00F54E0A" w:rsidP="00F54E0A">
            <w:r w:rsidRPr="00F54E0A">
              <w:t>Inventory Days</w:t>
            </w:r>
          </w:p>
        </w:tc>
        <w:tc>
          <w:tcPr>
            <w:tcW w:w="1288" w:type="dxa"/>
          </w:tcPr>
          <w:p w14:paraId="0701856F"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365 ÷ Inventory Turnover</w:t>
            </w:r>
          </w:p>
        </w:tc>
        <w:tc>
          <w:tcPr>
            <w:tcW w:w="1288" w:type="dxa"/>
          </w:tcPr>
          <w:p w14:paraId="6068A3CD"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100</w:t>
            </w:r>
          </w:p>
        </w:tc>
        <w:tc>
          <w:tcPr>
            <w:tcW w:w="1288" w:type="dxa"/>
          </w:tcPr>
          <w:p w14:paraId="2960DD52"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114</w:t>
            </w:r>
          </w:p>
        </w:tc>
        <w:tc>
          <w:tcPr>
            <w:tcW w:w="1288" w:type="dxa"/>
          </w:tcPr>
          <w:p w14:paraId="04175135"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131</w:t>
            </w:r>
          </w:p>
        </w:tc>
        <w:tc>
          <w:tcPr>
            <w:tcW w:w="1288" w:type="dxa"/>
          </w:tcPr>
          <w:p w14:paraId="0D931D7F"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100</w:t>
            </w:r>
          </w:p>
        </w:tc>
        <w:tc>
          <w:tcPr>
            <w:tcW w:w="1288" w:type="dxa"/>
          </w:tcPr>
          <w:p w14:paraId="5FDF504D"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103</w:t>
            </w:r>
          </w:p>
        </w:tc>
      </w:tr>
      <w:tr w:rsidR="00F54E0A" w:rsidRPr="00F54E0A" w14:paraId="464FA780" w14:textId="77777777" w:rsidTr="00F54E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66D4DC16" w14:textId="77777777" w:rsidR="00F54E0A" w:rsidRPr="00F54E0A" w:rsidRDefault="00F54E0A" w:rsidP="00F54E0A">
            <w:r w:rsidRPr="00F54E0A">
              <w:t>Receivables Days</w:t>
            </w:r>
          </w:p>
        </w:tc>
        <w:tc>
          <w:tcPr>
            <w:tcW w:w="1288" w:type="dxa"/>
          </w:tcPr>
          <w:p w14:paraId="0F0C1A4D"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(Receivables ÷ Sales) × 365</w:t>
            </w:r>
          </w:p>
        </w:tc>
        <w:tc>
          <w:tcPr>
            <w:tcW w:w="1288" w:type="dxa"/>
          </w:tcPr>
          <w:p w14:paraId="5E59BB6F"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77</w:t>
            </w:r>
          </w:p>
        </w:tc>
        <w:tc>
          <w:tcPr>
            <w:tcW w:w="1288" w:type="dxa"/>
          </w:tcPr>
          <w:p w14:paraId="33788BC2"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78</w:t>
            </w:r>
          </w:p>
        </w:tc>
        <w:tc>
          <w:tcPr>
            <w:tcW w:w="1288" w:type="dxa"/>
          </w:tcPr>
          <w:p w14:paraId="329663AD"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76</w:t>
            </w:r>
          </w:p>
        </w:tc>
        <w:tc>
          <w:tcPr>
            <w:tcW w:w="1288" w:type="dxa"/>
          </w:tcPr>
          <w:p w14:paraId="4E7AA14A"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98</w:t>
            </w:r>
          </w:p>
        </w:tc>
        <w:tc>
          <w:tcPr>
            <w:tcW w:w="1288" w:type="dxa"/>
          </w:tcPr>
          <w:p w14:paraId="518A6BA0"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105</w:t>
            </w:r>
          </w:p>
        </w:tc>
      </w:tr>
      <w:tr w:rsidR="00F54E0A" w:rsidRPr="00F54E0A" w14:paraId="768462B1" w14:textId="77777777" w:rsidTr="00F54E0A">
        <w:tc>
          <w:tcPr>
            <w:cnfStyle w:val="001000000000" w:firstRow="0" w:lastRow="0" w:firstColumn="1" w:lastColumn="0" w:oddVBand="0" w:evenVBand="0" w:oddHBand="0" w:evenHBand="0" w:firstRowFirstColumn="0" w:firstRowLastColumn="0" w:lastRowFirstColumn="0" w:lastRowLastColumn="0"/>
            <w:tcW w:w="1288" w:type="dxa"/>
          </w:tcPr>
          <w:p w14:paraId="78D9B330" w14:textId="77777777" w:rsidR="00F54E0A" w:rsidRPr="00F54E0A" w:rsidRDefault="00F54E0A" w:rsidP="00F54E0A">
            <w:r w:rsidRPr="00F54E0A">
              <w:t>Payables Days</w:t>
            </w:r>
          </w:p>
        </w:tc>
        <w:tc>
          <w:tcPr>
            <w:tcW w:w="1288" w:type="dxa"/>
          </w:tcPr>
          <w:p w14:paraId="52BC2289"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(Payables ÷ Cost of Sales) × 365</w:t>
            </w:r>
          </w:p>
        </w:tc>
        <w:tc>
          <w:tcPr>
            <w:tcW w:w="1288" w:type="dxa"/>
          </w:tcPr>
          <w:p w14:paraId="1685C367"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69</w:t>
            </w:r>
          </w:p>
        </w:tc>
        <w:tc>
          <w:tcPr>
            <w:tcW w:w="1288" w:type="dxa"/>
          </w:tcPr>
          <w:p w14:paraId="24A613E5"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79</w:t>
            </w:r>
          </w:p>
        </w:tc>
        <w:tc>
          <w:tcPr>
            <w:tcW w:w="1288" w:type="dxa"/>
          </w:tcPr>
          <w:p w14:paraId="12560AFE"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67</w:t>
            </w:r>
          </w:p>
        </w:tc>
        <w:tc>
          <w:tcPr>
            <w:tcW w:w="1288" w:type="dxa"/>
          </w:tcPr>
          <w:p w14:paraId="09F05ABD"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65</w:t>
            </w:r>
          </w:p>
        </w:tc>
        <w:tc>
          <w:tcPr>
            <w:tcW w:w="1288" w:type="dxa"/>
          </w:tcPr>
          <w:p w14:paraId="64D5BB6E"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94</w:t>
            </w:r>
          </w:p>
        </w:tc>
      </w:tr>
    </w:tbl>
    <w:p w14:paraId="4FCB2A8B" w14:textId="77777777" w:rsidR="006B1FAE" w:rsidRPr="00F54E0A" w:rsidRDefault="006B1FAE" w:rsidP="006B1FAE">
      <w:pPr>
        <w:rPr>
          <w:b/>
        </w:rPr>
      </w:pPr>
      <w:r w:rsidRPr="00F54E0A">
        <w:rPr>
          <w:b/>
        </w:rPr>
        <w:t>A4. Gearing / Solvency Ratios</w:t>
      </w:r>
    </w:p>
    <w:p w14:paraId="402BF548" w14:textId="77777777" w:rsidR="006B1FAE" w:rsidRPr="00F54E0A" w:rsidRDefault="006B1FAE" w:rsidP="006B1FAE">
      <w:pPr>
        <w:rPr>
          <w:b/>
        </w:rPr>
      </w:pPr>
      <w:r w:rsidRPr="00F54E0A">
        <w:rPr>
          <w:b/>
        </w:rPr>
        <w:t>Table A4: Gearing Ratio Analysis</w:t>
      </w:r>
    </w:p>
    <w:tbl>
      <w:tblPr>
        <w:tblStyle w:val="GridTable4-Accent5"/>
        <w:tblW w:w="0" w:type="auto"/>
        <w:tblLook w:val="04A0" w:firstRow="1" w:lastRow="0" w:firstColumn="1" w:lastColumn="0" w:noHBand="0" w:noVBand="1"/>
      </w:tblPr>
      <w:tblGrid>
        <w:gridCol w:w="1288"/>
        <w:gridCol w:w="1288"/>
        <w:gridCol w:w="1288"/>
        <w:gridCol w:w="1288"/>
        <w:gridCol w:w="1288"/>
        <w:gridCol w:w="1288"/>
        <w:gridCol w:w="1288"/>
      </w:tblGrid>
      <w:tr w:rsidR="00F54E0A" w:rsidRPr="00F54E0A" w14:paraId="64B4FC12" w14:textId="77777777" w:rsidTr="00F54E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716D9C60" w14:textId="77777777" w:rsidR="00F54E0A" w:rsidRPr="00F54E0A" w:rsidRDefault="00F54E0A" w:rsidP="00F54E0A">
            <w:r w:rsidRPr="00F54E0A">
              <w:t>Ratio</w:t>
            </w:r>
          </w:p>
        </w:tc>
        <w:tc>
          <w:tcPr>
            <w:tcW w:w="1288" w:type="dxa"/>
          </w:tcPr>
          <w:p w14:paraId="15150B2F" w14:textId="77777777" w:rsidR="00F54E0A" w:rsidRPr="00F54E0A" w:rsidRDefault="00F54E0A" w:rsidP="00F54E0A">
            <w:pPr>
              <w:cnfStyle w:val="100000000000" w:firstRow="1" w:lastRow="0" w:firstColumn="0" w:lastColumn="0" w:oddVBand="0" w:evenVBand="0" w:oddHBand="0" w:evenHBand="0" w:firstRowFirstColumn="0" w:firstRowLastColumn="0" w:lastRowFirstColumn="0" w:lastRowLastColumn="0"/>
            </w:pPr>
            <w:r w:rsidRPr="00F54E0A">
              <w:t>Formula</w:t>
            </w:r>
          </w:p>
        </w:tc>
        <w:tc>
          <w:tcPr>
            <w:tcW w:w="1288" w:type="dxa"/>
          </w:tcPr>
          <w:p w14:paraId="635ACABC" w14:textId="77777777" w:rsidR="00F54E0A" w:rsidRPr="00F54E0A" w:rsidRDefault="00F54E0A" w:rsidP="00F54E0A">
            <w:pPr>
              <w:cnfStyle w:val="100000000000" w:firstRow="1" w:lastRow="0" w:firstColumn="0" w:lastColumn="0" w:oddVBand="0" w:evenVBand="0" w:oddHBand="0" w:evenHBand="0" w:firstRowFirstColumn="0" w:firstRowLastColumn="0" w:lastRowFirstColumn="0" w:lastRowLastColumn="0"/>
            </w:pPr>
            <w:r w:rsidRPr="00F54E0A">
              <w:t>2020</w:t>
            </w:r>
          </w:p>
        </w:tc>
        <w:tc>
          <w:tcPr>
            <w:tcW w:w="1288" w:type="dxa"/>
          </w:tcPr>
          <w:p w14:paraId="2D208522" w14:textId="77777777" w:rsidR="00F54E0A" w:rsidRPr="00F54E0A" w:rsidRDefault="00F54E0A" w:rsidP="00F54E0A">
            <w:pPr>
              <w:cnfStyle w:val="100000000000" w:firstRow="1" w:lastRow="0" w:firstColumn="0" w:lastColumn="0" w:oddVBand="0" w:evenVBand="0" w:oddHBand="0" w:evenHBand="0" w:firstRowFirstColumn="0" w:firstRowLastColumn="0" w:lastRowFirstColumn="0" w:lastRowLastColumn="0"/>
            </w:pPr>
            <w:r w:rsidRPr="00F54E0A">
              <w:t>2021</w:t>
            </w:r>
          </w:p>
        </w:tc>
        <w:tc>
          <w:tcPr>
            <w:tcW w:w="1288" w:type="dxa"/>
          </w:tcPr>
          <w:p w14:paraId="53A04656" w14:textId="77777777" w:rsidR="00F54E0A" w:rsidRPr="00F54E0A" w:rsidRDefault="00F54E0A" w:rsidP="00F54E0A">
            <w:pPr>
              <w:cnfStyle w:val="100000000000" w:firstRow="1" w:lastRow="0" w:firstColumn="0" w:lastColumn="0" w:oddVBand="0" w:evenVBand="0" w:oddHBand="0" w:evenHBand="0" w:firstRowFirstColumn="0" w:firstRowLastColumn="0" w:lastRowFirstColumn="0" w:lastRowLastColumn="0"/>
            </w:pPr>
            <w:r w:rsidRPr="00F54E0A">
              <w:t>2022</w:t>
            </w:r>
          </w:p>
        </w:tc>
        <w:tc>
          <w:tcPr>
            <w:tcW w:w="1288" w:type="dxa"/>
          </w:tcPr>
          <w:p w14:paraId="46B73B0A" w14:textId="77777777" w:rsidR="00F54E0A" w:rsidRPr="00F54E0A" w:rsidRDefault="00F54E0A" w:rsidP="00F54E0A">
            <w:pPr>
              <w:cnfStyle w:val="100000000000" w:firstRow="1" w:lastRow="0" w:firstColumn="0" w:lastColumn="0" w:oddVBand="0" w:evenVBand="0" w:oddHBand="0" w:evenHBand="0" w:firstRowFirstColumn="0" w:firstRowLastColumn="0" w:lastRowFirstColumn="0" w:lastRowLastColumn="0"/>
            </w:pPr>
            <w:r w:rsidRPr="00F54E0A">
              <w:t>2023</w:t>
            </w:r>
          </w:p>
        </w:tc>
        <w:tc>
          <w:tcPr>
            <w:tcW w:w="1288" w:type="dxa"/>
          </w:tcPr>
          <w:p w14:paraId="7E60DAC0" w14:textId="77777777" w:rsidR="00F54E0A" w:rsidRPr="00F54E0A" w:rsidRDefault="00F54E0A" w:rsidP="00F54E0A">
            <w:pPr>
              <w:cnfStyle w:val="100000000000" w:firstRow="1" w:lastRow="0" w:firstColumn="0" w:lastColumn="0" w:oddVBand="0" w:evenVBand="0" w:oddHBand="0" w:evenHBand="0" w:firstRowFirstColumn="0" w:firstRowLastColumn="0" w:lastRowFirstColumn="0" w:lastRowLastColumn="0"/>
            </w:pPr>
            <w:r w:rsidRPr="00F54E0A">
              <w:t>2024</w:t>
            </w:r>
          </w:p>
        </w:tc>
      </w:tr>
      <w:tr w:rsidR="00F54E0A" w:rsidRPr="00F54E0A" w14:paraId="0D9A24FA" w14:textId="77777777" w:rsidTr="00F54E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0E37365A" w14:textId="77777777" w:rsidR="00F54E0A" w:rsidRPr="00F54E0A" w:rsidRDefault="00F54E0A" w:rsidP="00F54E0A">
            <w:r w:rsidRPr="00F54E0A">
              <w:t>Debt-to-Equity</w:t>
            </w:r>
          </w:p>
        </w:tc>
        <w:tc>
          <w:tcPr>
            <w:tcW w:w="1288" w:type="dxa"/>
          </w:tcPr>
          <w:p w14:paraId="772CDF2D"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Total Liabilities ÷ Equity</w:t>
            </w:r>
          </w:p>
        </w:tc>
        <w:tc>
          <w:tcPr>
            <w:tcW w:w="1288" w:type="dxa"/>
          </w:tcPr>
          <w:p w14:paraId="0F7AC24D"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0.63</w:t>
            </w:r>
          </w:p>
        </w:tc>
        <w:tc>
          <w:tcPr>
            <w:tcW w:w="1288" w:type="dxa"/>
          </w:tcPr>
          <w:p w14:paraId="737CCEAC"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0.85</w:t>
            </w:r>
          </w:p>
        </w:tc>
        <w:tc>
          <w:tcPr>
            <w:tcW w:w="1288" w:type="dxa"/>
          </w:tcPr>
          <w:p w14:paraId="1611A05C"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0.88</w:t>
            </w:r>
          </w:p>
        </w:tc>
        <w:tc>
          <w:tcPr>
            <w:tcW w:w="1288" w:type="dxa"/>
          </w:tcPr>
          <w:p w14:paraId="3D41B746"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0.99</w:t>
            </w:r>
          </w:p>
        </w:tc>
        <w:tc>
          <w:tcPr>
            <w:tcW w:w="1288" w:type="dxa"/>
          </w:tcPr>
          <w:p w14:paraId="1D20C7B5" w14:textId="77777777" w:rsidR="00F54E0A" w:rsidRPr="00F54E0A" w:rsidRDefault="00F54E0A" w:rsidP="00F54E0A">
            <w:pPr>
              <w:cnfStyle w:val="000000100000" w:firstRow="0" w:lastRow="0" w:firstColumn="0" w:lastColumn="0" w:oddVBand="0" w:evenVBand="0" w:oddHBand="1" w:evenHBand="0" w:firstRowFirstColumn="0" w:firstRowLastColumn="0" w:lastRowFirstColumn="0" w:lastRowLastColumn="0"/>
            </w:pPr>
            <w:r w:rsidRPr="00F54E0A">
              <w:t>1.11</w:t>
            </w:r>
          </w:p>
        </w:tc>
      </w:tr>
      <w:tr w:rsidR="00F54E0A" w:rsidRPr="00F54E0A" w14:paraId="74520621" w14:textId="77777777" w:rsidTr="00F54E0A">
        <w:tc>
          <w:tcPr>
            <w:cnfStyle w:val="001000000000" w:firstRow="0" w:lastRow="0" w:firstColumn="1" w:lastColumn="0" w:oddVBand="0" w:evenVBand="0" w:oddHBand="0" w:evenHBand="0" w:firstRowFirstColumn="0" w:firstRowLastColumn="0" w:lastRowFirstColumn="0" w:lastRowLastColumn="0"/>
            <w:tcW w:w="1288" w:type="dxa"/>
          </w:tcPr>
          <w:p w14:paraId="6D894377" w14:textId="77777777" w:rsidR="00F54E0A" w:rsidRPr="00F54E0A" w:rsidRDefault="00F54E0A" w:rsidP="00F54E0A">
            <w:r w:rsidRPr="00F54E0A">
              <w:t>Interest Coverage (times)</w:t>
            </w:r>
          </w:p>
        </w:tc>
        <w:tc>
          <w:tcPr>
            <w:tcW w:w="1288" w:type="dxa"/>
          </w:tcPr>
          <w:p w14:paraId="45EE125C"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Operating Income ÷ Interest Expense</w:t>
            </w:r>
          </w:p>
        </w:tc>
        <w:tc>
          <w:tcPr>
            <w:tcW w:w="1288" w:type="dxa"/>
          </w:tcPr>
          <w:p w14:paraId="59431D13"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26.2</w:t>
            </w:r>
          </w:p>
        </w:tc>
        <w:tc>
          <w:tcPr>
            <w:tcW w:w="1288" w:type="dxa"/>
          </w:tcPr>
          <w:p w14:paraId="7EBF50F1"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41.1</w:t>
            </w:r>
          </w:p>
        </w:tc>
        <w:tc>
          <w:tcPr>
            <w:tcW w:w="1288" w:type="dxa"/>
          </w:tcPr>
          <w:p w14:paraId="0C913519"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6.6</w:t>
            </w:r>
          </w:p>
        </w:tc>
        <w:tc>
          <w:tcPr>
            <w:tcW w:w="1288" w:type="dxa"/>
          </w:tcPr>
          <w:p w14:paraId="39AECA30"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-19.7</w:t>
            </w:r>
          </w:p>
        </w:tc>
        <w:tc>
          <w:tcPr>
            <w:tcW w:w="1288" w:type="dxa"/>
          </w:tcPr>
          <w:p w14:paraId="018F5F92" w14:textId="77777777" w:rsidR="00F54E0A" w:rsidRPr="00F54E0A" w:rsidRDefault="00F54E0A" w:rsidP="00F54E0A">
            <w:pPr>
              <w:cnfStyle w:val="000000000000" w:firstRow="0" w:lastRow="0" w:firstColumn="0" w:lastColumn="0" w:oddVBand="0" w:evenVBand="0" w:oddHBand="0" w:evenHBand="0" w:firstRowFirstColumn="0" w:firstRowLastColumn="0" w:lastRowFirstColumn="0" w:lastRowLastColumn="0"/>
            </w:pPr>
            <w:r w:rsidRPr="00F54E0A">
              <w:t>-4.6</w:t>
            </w:r>
          </w:p>
        </w:tc>
      </w:tr>
    </w:tbl>
    <w:p w14:paraId="09C212A2" w14:textId="77777777" w:rsidR="005A7656" w:rsidRDefault="005A7656" w:rsidP="006B1FAE">
      <w:pPr>
        <w:rPr>
          <w:b/>
        </w:rPr>
      </w:pPr>
    </w:p>
    <w:p w14:paraId="75518C6B" w14:textId="77777777" w:rsidR="006B1FAE" w:rsidRPr="005A7656" w:rsidRDefault="006B1FAE" w:rsidP="006B1FAE">
      <w:pPr>
        <w:rPr>
          <w:b/>
        </w:rPr>
      </w:pPr>
      <w:r w:rsidRPr="005A7656">
        <w:rPr>
          <w:b/>
        </w:rPr>
        <w:t>A5. Cash Flow Ratios</w:t>
      </w:r>
    </w:p>
    <w:p w14:paraId="5484CE38" w14:textId="77777777" w:rsidR="006B1FAE" w:rsidRPr="005A7656" w:rsidRDefault="006B1FAE" w:rsidP="006B1FAE">
      <w:pPr>
        <w:rPr>
          <w:b/>
        </w:rPr>
      </w:pPr>
      <w:r w:rsidRPr="005A7656">
        <w:rPr>
          <w:b/>
        </w:rPr>
        <w:t>Table A5: Cash Flow Sustainability Ratios</w:t>
      </w:r>
    </w:p>
    <w:tbl>
      <w:tblPr>
        <w:tblStyle w:val="GridTable4-Accent5"/>
        <w:tblW w:w="0" w:type="auto"/>
        <w:tblLook w:val="04A0" w:firstRow="1" w:lastRow="0" w:firstColumn="1" w:lastColumn="0" w:noHBand="0" w:noVBand="1"/>
      </w:tblPr>
      <w:tblGrid>
        <w:gridCol w:w="1288"/>
        <w:gridCol w:w="1288"/>
        <w:gridCol w:w="1288"/>
        <w:gridCol w:w="1288"/>
        <w:gridCol w:w="1288"/>
        <w:gridCol w:w="1288"/>
        <w:gridCol w:w="1288"/>
      </w:tblGrid>
      <w:tr w:rsidR="005A7656" w:rsidRPr="005A7656" w14:paraId="36F36EF5" w14:textId="77777777" w:rsidTr="005A765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05E8232C" w14:textId="77777777" w:rsidR="005A7656" w:rsidRPr="005A7656" w:rsidRDefault="005A7656" w:rsidP="005C2FA5">
            <w:pPr>
              <w:rPr>
                <w:lang w:val="en-US"/>
              </w:rPr>
            </w:pPr>
            <w:r w:rsidRPr="005A7656">
              <w:rPr>
                <w:lang w:val="en-US"/>
              </w:rPr>
              <w:t>Ratio</w:t>
            </w:r>
          </w:p>
        </w:tc>
        <w:tc>
          <w:tcPr>
            <w:tcW w:w="1288" w:type="dxa"/>
          </w:tcPr>
          <w:p w14:paraId="359A06E2" w14:textId="77777777" w:rsidR="005A7656" w:rsidRPr="005A7656" w:rsidRDefault="005A7656" w:rsidP="005C2FA5">
            <w:pPr>
              <w:cnfStyle w:val="100000000000" w:firstRow="1" w:lastRow="0" w:firstColumn="0" w:lastColumn="0" w:oddVBand="0" w:evenVBand="0" w:oddHBand="0" w:evenHBand="0" w:firstRowFirstColumn="0" w:firstRowLastColumn="0" w:lastRowFirstColumn="0" w:lastRowLastColumn="0"/>
              <w:rPr>
                <w:lang w:val="en-US"/>
              </w:rPr>
            </w:pPr>
            <w:r w:rsidRPr="005A7656">
              <w:rPr>
                <w:lang w:val="en-US"/>
              </w:rPr>
              <w:t>Formula</w:t>
            </w:r>
          </w:p>
        </w:tc>
        <w:tc>
          <w:tcPr>
            <w:tcW w:w="1288" w:type="dxa"/>
          </w:tcPr>
          <w:p w14:paraId="7106D2E8" w14:textId="77777777" w:rsidR="005A7656" w:rsidRPr="005A7656" w:rsidRDefault="005A7656" w:rsidP="005C2FA5">
            <w:pPr>
              <w:cnfStyle w:val="100000000000" w:firstRow="1" w:lastRow="0" w:firstColumn="0" w:lastColumn="0" w:oddVBand="0" w:evenVBand="0" w:oddHBand="0" w:evenHBand="0" w:firstRowFirstColumn="0" w:firstRowLastColumn="0" w:lastRowFirstColumn="0" w:lastRowLastColumn="0"/>
              <w:rPr>
                <w:lang w:val="en-US"/>
              </w:rPr>
            </w:pPr>
            <w:r w:rsidRPr="005A7656">
              <w:rPr>
                <w:lang w:val="en-US"/>
              </w:rPr>
              <w:t>2020</w:t>
            </w:r>
          </w:p>
        </w:tc>
        <w:tc>
          <w:tcPr>
            <w:tcW w:w="1288" w:type="dxa"/>
          </w:tcPr>
          <w:p w14:paraId="2DD60113" w14:textId="77777777" w:rsidR="005A7656" w:rsidRPr="005A7656" w:rsidRDefault="005A7656" w:rsidP="005C2FA5">
            <w:pPr>
              <w:cnfStyle w:val="100000000000" w:firstRow="1" w:lastRow="0" w:firstColumn="0" w:lastColumn="0" w:oddVBand="0" w:evenVBand="0" w:oddHBand="0" w:evenHBand="0" w:firstRowFirstColumn="0" w:firstRowLastColumn="0" w:lastRowFirstColumn="0" w:lastRowLastColumn="0"/>
              <w:rPr>
                <w:lang w:val="en-US"/>
              </w:rPr>
            </w:pPr>
            <w:r w:rsidRPr="005A7656">
              <w:rPr>
                <w:lang w:val="en-US"/>
              </w:rPr>
              <w:t>2021</w:t>
            </w:r>
          </w:p>
        </w:tc>
        <w:tc>
          <w:tcPr>
            <w:tcW w:w="1288" w:type="dxa"/>
          </w:tcPr>
          <w:p w14:paraId="05F3F3DF" w14:textId="77777777" w:rsidR="005A7656" w:rsidRPr="005A7656" w:rsidRDefault="005A7656" w:rsidP="005C2FA5">
            <w:pPr>
              <w:cnfStyle w:val="100000000000" w:firstRow="1" w:lastRow="0" w:firstColumn="0" w:lastColumn="0" w:oddVBand="0" w:evenVBand="0" w:oddHBand="0" w:evenHBand="0" w:firstRowFirstColumn="0" w:firstRowLastColumn="0" w:lastRowFirstColumn="0" w:lastRowLastColumn="0"/>
              <w:rPr>
                <w:lang w:val="en-US"/>
              </w:rPr>
            </w:pPr>
            <w:r w:rsidRPr="005A7656">
              <w:rPr>
                <w:lang w:val="en-US"/>
              </w:rPr>
              <w:t>2022</w:t>
            </w:r>
          </w:p>
        </w:tc>
        <w:tc>
          <w:tcPr>
            <w:tcW w:w="1288" w:type="dxa"/>
          </w:tcPr>
          <w:p w14:paraId="7ADF6DCD" w14:textId="77777777" w:rsidR="005A7656" w:rsidRPr="005A7656" w:rsidRDefault="005A7656" w:rsidP="005C2FA5">
            <w:pPr>
              <w:cnfStyle w:val="100000000000" w:firstRow="1" w:lastRow="0" w:firstColumn="0" w:lastColumn="0" w:oddVBand="0" w:evenVBand="0" w:oddHBand="0" w:evenHBand="0" w:firstRowFirstColumn="0" w:firstRowLastColumn="0" w:lastRowFirstColumn="0" w:lastRowLastColumn="0"/>
              <w:rPr>
                <w:lang w:val="en-US"/>
              </w:rPr>
            </w:pPr>
            <w:r w:rsidRPr="005A7656">
              <w:rPr>
                <w:lang w:val="en-US"/>
              </w:rPr>
              <w:t>2023</w:t>
            </w:r>
          </w:p>
        </w:tc>
        <w:tc>
          <w:tcPr>
            <w:tcW w:w="1288" w:type="dxa"/>
          </w:tcPr>
          <w:p w14:paraId="68844FBA" w14:textId="77777777" w:rsidR="005A7656" w:rsidRPr="005A7656" w:rsidRDefault="005A7656" w:rsidP="005C2FA5">
            <w:pPr>
              <w:cnfStyle w:val="100000000000" w:firstRow="1" w:lastRow="0" w:firstColumn="0" w:lastColumn="0" w:oddVBand="0" w:evenVBand="0" w:oddHBand="0" w:evenHBand="0" w:firstRowFirstColumn="0" w:firstRowLastColumn="0" w:lastRowFirstColumn="0" w:lastRowLastColumn="0"/>
              <w:rPr>
                <w:lang w:val="en-US"/>
              </w:rPr>
            </w:pPr>
            <w:r w:rsidRPr="005A7656">
              <w:rPr>
                <w:lang w:val="en-US"/>
              </w:rPr>
              <w:t>2024</w:t>
            </w:r>
          </w:p>
        </w:tc>
      </w:tr>
      <w:tr w:rsidR="005A7656" w:rsidRPr="005A7656" w14:paraId="0474EF76" w14:textId="77777777" w:rsidTr="005A76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33F4856C" w14:textId="77777777" w:rsidR="005A7656" w:rsidRPr="005A7656" w:rsidRDefault="005A7656" w:rsidP="005C2FA5">
            <w:pPr>
              <w:rPr>
                <w:lang w:val="en-US"/>
              </w:rPr>
            </w:pPr>
            <w:r w:rsidRPr="005A7656">
              <w:rPr>
                <w:lang w:val="en-US"/>
              </w:rPr>
              <w:t>OCF to Net Income</w:t>
            </w:r>
          </w:p>
        </w:tc>
        <w:tc>
          <w:tcPr>
            <w:tcW w:w="1288" w:type="dxa"/>
          </w:tcPr>
          <w:p w14:paraId="46AF4099" w14:textId="77777777" w:rsidR="005A7656" w:rsidRPr="005A7656" w:rsidRDefault="005A7656" w:rsidP="005C2FA5">
            <w:pPr>
              <w:cnfStyle w:val="000000100000" w:firstRow="0" w:lastRow="0" w:firstColumn="0" w:lastColumn="0" w:oddVBand="0" w:evenVBand="0" w:oddHBand="1" w:evenHBand="0" w:firstRowFirstColumn="0" w:firstRowLastColumn="0" w:lastRowFirstColumn="0" w:lastRowLastColumn="0"/>
              <w:rPr>
                <w:lang w:val="en-US"/>
              </w:rPr>
            </w:pPr>
            <w:r w:rsidRPr="005A7656">
              <w:rPr>
                <w:lang w:val="en-US"/>
              </w:rPr>
              <w:t>Operating CF ÷ Net Income</w:t>
            </w:r>
          </w:p>
        </w:tc>
        <w:tc>
          <w:tcPr>
            <w:tcW w:w="1288" w:type="dxa"/>
          </w:tcPr>
          <w:p w14:paraId="4C4E088B" w14:textId="77777777" w:rsidR="005A7656" w:rsidRPr="005A7656" w:rsidRDefault="005A7656" w:rsidP="005C2FA5">
            <w:pPr>
              <w:cnfStyle w:val="000000100000" w:firstRow="0" w:lastRow="0" w:firstColumn="0" w:lastColumn="0" w:oddVBand="0" w:evenVBand="0" w:oddHBand="1" w:evenHBand="0" w:firstRowFirstColumn="0" w:firstRowLastColumn="0" w:lastRowFirstColumn="0" w:lastRowLastColumn="0"/>
              <w:rPr>
                <w:lang w:val="en-US"/>
              </w:rPr>
            </w:pPr>
            <w:r w:rsidRPr="005A7656">
              <w:rPr>
                <w:lang w:val="en-US"/>
              </w:rPr>
              <w:t>1.9</w:t>
            </w:r>
          </w:p>
        </w:tc>
        <w:tc>
          <w:tcPr>
            <w:tcW w:w="1288" w:type="dxa"/>
          </w:tcPr>
          <w:p w14:paraId="68AAA9F7" w14:textId="77777777" w:rsidR="005A7656" w:rsidRPr="005A7656" w:rsidRDefault="005A7656" w:rsidP="005C2FA5">
            <w:pPr>
              <w:cnfStyle w:val="000000100000" w:firstRow="0" w:lastRow="0" w:firstColumn="0" w:lastColumn="0" w:oddVBand="0" w:evenVBand="0" w:oddHBand="1" w:evenHBand="0" w:firstRowFirstColumn="0" w:firstRowLastColumn="0" w:lastRowFirstColumn="0" w:lastRowLastColumn="0"/>
              <w:rPr>
                <w:lang w:val="en-US"/>
              </w:rPr>
            </w:pPr>
            <w:r w:rsidRPr="005A7656">
              <w:rPr>
                <w:lang w:val="en-US"/>
              </w:rPr>
              <w:t>7.6</w:t>
            </w:r>
          </w:p>
        </w:tc>
        <w:tc>
          <w:tcPr>
            <w:tcW w:w="1288" w:type="dxa"/>
          </w:tcPr>
          <w:p w14:paraId="76475107" w14:textId="77777777" w:rsidR="005A7656" w:rsidRPr="005A7656" w:rsidRDefault="005A7656" w:rsidP="005C2FA5">
            <w:pPr>
              <w:cnfStyle w:val="000000100000" w:firstRow="0" w:lastRow="0" w:firstColumn="0" w:lastColumn="0" w:oddVBand="0" w:evenVBand="0" w:oddHBand="1" w:evenHBand="0" w:firstRowFirstColumn="0" w:firstRowLastColumn="0" w:lastRowFirstColumn="0" w:lastRowLastColumn="0"/>
              <w:rPr>
                <w:lang w:val="en-US"/>
              </w:rPr>
            </w:pPr>
            <w:r w:rsidRPr="005A7656">
              <w:rPr>
                <w:lang w:val="en-US"/>
              </w:rPr>
              <w:t>26.9</w:t>
            </w:r>
          </w:p>
        </w:tc>
        <w:tc>
          <w:tcPr>
            <w:tcW w:w="1288" w:type="dxa"/>
          </w:tcPr>
          <w:p w14:paraId="28FC73C1" w14:textId="77777777" w:rsidR="005A7656" w:rsidRPr="005A7656" w:rsidRDefault="005A7656" w:rsidP="005C2FA5">
            <w:pPr>
              <w:cnfStyle w:val="000000100000" w:firstRow="0" w:lastRow="0" w:firstColumn="0" w:lastColumn="0" w:oddVBand="0" w:evenVBand="0" w:oddHBand="1" w:evenHBand="0" w:firstRowFirstColumn="0" w:firstRowLastColumn="0" w:lastRowFirstColumn="0" w:lastRowLastColumn="0"/>
              <w:rPr>
                <w:lang w:val="en-US"/>
              </w:rPr>
            </w:pPr>
            <w:r w:rsidRPr="005A7656">
              <w:rPr>
                <w:lang w:val="en-US"/>
              </w:rPr>
              <w:t>-0.26</w:t>
            </w:r>
          </w:p>
        </w:tc>
        <w:tc>
          <w:tcPr>
            <w:tcW w:w="1288" w:type="dxa"/>
          </w:tcPr>
          <w:p w14:paraId="77F1707A" w14:textId="77777777" w:rsidR="005A7656" w:rsidRPr="005A7656" w:rsidRDefault="005A7656" w:rsidP="005C2FA5">
            <w:pPr>
              <w:cnfStyle w:val="000000100000" w:firstRow="0" w:lastRow="0" w:firstColumn="0" w:lastColumn="0" w:oddVBand="0" w:evenVBand="0" w:oddHBand="1" w:evenHBand="0" w:firstRowFirstColumn="0" w:firstRowLastColumn="0" w:lastRowFirstColumn="0" w:lastRowLastColumn="0"/>
              <w:rPr>
                <w:lang w:val="en-US"/>
              </w:rPr>
            </w:pPr>
            <w:r w:rsidRPr="005A7656">
              <w:rPr>
                <w:lang w:val="en-US"/>
              </w:rPr>
              <w:t>-0.62</w:t>
            </w:r>
          </w:p>
        </w:tc>
      </w:tr>
      <w:tr w:rsidR="005A7656" w:rsidRPr="005A7656" w14:paraId="2018DD15" w14:textId="77777777" w:rsidTr="005A7656">
        <w:tc>
          <w:tcPr>
            <w:cnfStyle w:val="001000000000" w:firstRow="0" w:lastRow="0" w:firstColumn="1" w:lastColumn="0" w:oddVBand="0" w:evenVBand="0" w:oddHBand="0" w:evenHBand="0" w:firstRowFirstColumn="0" w:firstRowLastColumn="0" w:lastRowFirstColumn="0" w:lastRowLastColumn="0"/>
            <w:tcW w:w="1288" w:type="dxa"/>
          </w:tcPr>
          <w:p w14:paraId="15132E27" w14:textId="77777777" w:rsidR="005A7656" w:rsidRPr="005A7656" w:rsidRDefault="005A7656" w:rsidP="005C2FA5">
            <w:pPr>
              <w:rPr>
                <w:lang w:val="en-US"/>
              </w:rPr>
            </w:pPr>
            <w:r w:rsidRPr="005A7656">
              <w:rPr>
                <w:lang w:val="en-US"/>
              </w:rPr>
              <w:lastRenderedPageBreak/>
              <w:t>Cash to Total Assets (%)</w:t>
            </w:r>
          </w:p>
        </w:tc>
        <w:tc>
          <w:tcPr>
            <w:tcW w:w="1288" w:type="dxa"/>
          </w:tcPr>
          <w:p w14:paraId="1BDE4F0F" w14:textId="77777777" w:rsidR="005A7656" w:rsidRPr="005A7656" w:rsidRDefault="005A7656" w:rsidP="005C2FA5">
            <w:pPr>
              <w:cnfStyle w:val="000000000000" w:firstRow="0" w:lastRow="0" w:firstColumn="0" w:lastColumn="0" w:oddVBand="0" w:evenVBand="0" w:oddHBand="0" w:evenHBand="0" w:firstRowFirstColumn="0" w:firstRowLastColumn="0" w:lastRowFirstColumn="0" w:lastRowLastColumn="0"/>
              <w:rPr>
                <w:lang w:val="en-US"/>
              </w:rPr>
            </w:pPr>
            <w:r w:rsidRPr="005A7656">
              <w:rPr>
                <w:lang w:val="en-US"/>
              </w:rPr>
              <w:t>Cash ÷ Total Assets</w:t>
            </w:r>
          </w:p>
        </w:tc>
        <w:tc>
          <w:tcPr>
            <w:tcW w:w="1288" w:type="dxa"/>
          </w:tcPr>
          <w:p w14:paraId="3A8BB177" w14:textId="77777777" w:rsidR="005A7656" w:rsidRPr="005A7656" w:rsidRDefault="005A7656" w:rsidP="005C2FA5">
            <w:pPr>
              <w:cnfStyle w:val="000000000000" w:firstRow="0" w:lastRow="0" w:firstColumn="0" w:lastColumn="0" w:oddVBand="0" w:evenVBand="0" w:oddHBand="0" w:evenHBand="0" w:firstRowFirstColumn="0" w:firstRowLastColumn="0" w:lastRowFirstColumn="0" w:lastRowLastColumn="0"/>
              <w:rPr>
                <w:lang w:val="en-US"/>
              </w:rPr>
            </w:pPr>
            <w:r w:rsidRPr="005A7656">
              <w:rPr>
                <w:lang w:val="en-US"/>
              </w:rPr>
              <w:t>11.2</w:t>
            </w:r>
          </w:p>
        </w:tc>
        <w:tc>
          <w:tcPr>
            <w:tcW w:w="1288" w:type="dxa"/>
          </w:tcPr>
          <w:p w14:paraId="1C23F2DB" w14:textId="77777777" w:rsidR="005A7656" w:rsidRPr="005A7656" w:rsidRDefault="005A7656" w:rsidP="005C2FA5">
            <w:pPr>
              <w:cnfStyle w:val="000000000000" w:firstRow="0" w:lastRow="0" w:firstColumn="0" w:lastColumn="0" w:oddVBand="0" w:evenVBand="0" w:oddHBand="0" w:evenHBand="0" w:firstRowFirstColumn="0" w:firstRowLastColumn="0" w:lastRowFirstColumn="0" w:lastRowLastColumn="0"/>
              <w:rPr>
                <w:lang w:val="en-US"/>
              </w:rPr>
            </w:pPr>
            <w:r w:rsidRPr="005A7656">
              <w:rPr>
                <w:lang w:val="en-US"/>
              </w:rPr>
              <w:t>11.9</w:t>
            </w:r>
          </w:p>
        </w:tc>
        <w:tc>
          <w:tcPr>
            <w:tcW w:w="1288" w:type="dxa"/>
          </w:tcPr>
          <w:p w14:paraId="2A28801F" w14:textId="77777777" w:rsidR="005A7656" w:rsidRPr="005A7656" w:rsidRDefault="005A7656" w:rsidP="005C2FA5">
            <w:pPr>
              <w:cnfStyle w:val="000000000000" w:firstRow="0" w:lastRow="0" w:firstColumn="0" w:lastColumn="0" w:oddVBand="0" w:evenVBand="0" w:oddHBand="0" w:evenHBand="0" w:firstRowFirstColumn="0" w:firstRowLastColumn="0" w:lastRowFirstColumn="0" w:lastRowLastColumn="0"/>
              <w:rPr>
                <w:lang w:val="en-US"/>
              </w:rPr>
            </w:pPr>
            <w:r w:rsidRPr="005A7656">
              <w:rPr>
                <w:lang w:val="en-US"/>
              </w:rPr>
              <w:t>13.2</w:t>
            </w:r>
          </w:p>
        </w:tc>
        <w:tc>
          <w:tcPr>
            <w:tcW w:w="1288" w:type="dxa"/>
          </w:tcPr>
          <w:p w14:paraId="6EC7E074" w14:textId="77777777" w:rsidR="005A7656" w:rsidRPr="005A7656" w:rsidRDefault="005A7656" w:rsidP="005C2FA5">
            <w:pPr>
              <w:cnfStyle w:val="000000000000" w:firstRow="0" w:lastRow="0" w:firstColumn="0" w:lastColumn="0" w:oddVBand="0" w:evenVBand="0" w:oddHBand="0" w:evenHBand="0" w:firstRowFirstColumn="0" w:firstRowLastColumn="0" w:lastRowFirstColumn="0" w:lastRowLastColumn="0"/>
              <w:rPr>
                <w:lang w:val="en-US"/>
              </w:rPr>
            </w:pPr>
            <w:r w:rsidRPr="005A7656">
              <w:rPr>
                <w:lang w:val="en-US"/>
              </w:rPr>
              <w:t>12.0</w:t>
            </w:r>
          </w:p>
        </w:tc>
        <w:tc>
          <w:tcPr>
            <w:tcW w:w="1288" w:type="dxa"/>
          </w:tcPr>
          <w:p w14:paraId="04FAAF04" w14:textId="77777777" w:rsidR="005A7656" w:rsidRPr="005A7656" w:rsidRDefault="005A7656" w:rsidP="005C2FA5">
            <w:pPr>
              <w:cnfStyle w:val="000000000000" w:firstRow="0" w:lastRow="0" w:firstColumn="0" w:lastColumn="0" w:oddVBand="0" w:evenVBand="0" w:oddHBand="0" w:evenHBand="0" w:firstRowFirstColumn="0" w:firstRowLastColumn="0" w:lastRowFirstColumn="0" w:lastRowLastColumn="0"/>
              <w:rPr>
                <w:lang w:val="en-US"/>
              </w:rPr>
            </w:pPr>
            <w:r w:rsidRPr="005A7656">
              <w:rPr>
                <w:lang w:val="en-US"/>
              </w:rPr>
              <w:t>8.3</w:t>
            </w:r>
          </w:p>
        </w:tc>
      </w:tr>
    </w:tbl>
    <w:p w14:paraId="74E6440B" w14:textId="77777777" w:rsidR="009A0143" w:rsidRDefault="009A0143" w:rsidP="005A7656"/>
    <w:p w14:paraId="40CD5CE5" w14:textId="77777777" w:rsidR="00802D0C" w:rsidRDefault="00802D0C" w:rsidP="005C2FA5">
      <w:pPr>
        <w:pStyle w:val="Heading1"/>
      </w:pPr>
      <w:bookmarkStart w:id="51" w:name="_Toc217264730"/>
      <w:r>
        <w:t>Appendix B — Altman Z-Score Model</w:t>
      </w:r>
      <w:bookmarkEnd w:id="51"/>
    </w:p>
    <w:p w14:paraId="2171A39F" w14:textId="77777777" w:rsidR="00802D0C" w:rsidRDefault="00802D0C" w:rsidP="00802D0C">
      <w:pPr>
        <w:rPr>
          <w:b/>
        </w:rPr>
      </w:pPr>
      <w:r w:rsidRPr="005C2FA5">
        <w:rPr>
          <w:b/>
        </w:rPr>
        <w:t>Altman Z-Score Formula (Manufacturing / Industrial Firms)</w:t>
      </w:r>
    </w:p>
    <w:p w14:paraId="1F9EC9DB" w14:textId="77777777" w:rsidR="005C2FA5" w:rsidRPr="005C2FA5" w:rsidRDefault="005C2FA5" w:rsidP="005C2FA5">
      <w:pPr>
        <w:jc w:val="center"/>
        <w:rPr>
          <w:b/>
        </w:rPr>
      </w:pPr>
      <w:r w:rsidRPr="005C2FA5">
        <w:rPr>
          <w:b/>
        </w:rPr>
        <w:t>Z = 1.2X₁ + 1.4X₂ + 3.3X₃ + 0.6X₄ + 1.0X₅</w:t>
      </w:r>
    </w:p>
    <w:p w14:paraId="29B287CA" w14:textId="77777777" w:rsidR="00802D0C" w:rsidRDefault="00802D0C" w:rsidP="00802D0C">
      <w:r>
        <w:t>3. Explanation of Z-Score Variables</w:t>
      </w:r>
    </w:p>
    <w:tbl>
      <w:tblPr>
        <w:tblStyle w:val="GridTable4-Accent5"/>
        <w:tblW w:w="0" w:type="auto"/>
        <w:tblLook w:val="04A0" w:firstRow="1" w:lastRow="0" w:firstColumn="1" w:lastColumn="0" w:noHBand="0" w:noVBand="1"/>
      </w:tblPr>
      <w:tblGrid>
        <w:gridCol w:w="3005"/>
        <w:gridCol w:w="3005"/>
        <w:gridCol w:w="3006"/>
      </w:tblGrid>
      <w:tr w:rsidR="005C2FA5" w:rsidRPr="005C2FA5" w14:paraId="576761F9" w14:textId="77777777" w:rsidTr="005C2F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11010D2" w14:textId="77777777" w:rsidR="005C2FA5" w:rsidRPr="005C2FA5" w:rsidRDefault="005C2FA5" w:rsidP="005C2FA5">
            <w:r w:rsidRPr="005C2FA5">
              <w:t>Variable</w:t>
            </w:r>
          </w:p>
        </w:tc>
        <w:tc>
          <w:tcPr>
            <w:tcW w:w="3005" w:type="dxa"/>
          </w:tcPr>
          <w:p w14:paraId="20622A39"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pPr>
            <w:r w:rsidRPr="005C2FA5">
              <w:t>Definition</w:t>
            </w:r>
          </w:p>
        </w:tc>
        <w:tc>
          <w:tcPr>
            <w:tcW w:w="3006" w:type="dxa"/>
          </w:tcPr>
          <w:p w14:paraId="70FA8FB1"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pPr>
            <w:r w:rsidRPr="005C2FA5">
              <w:t>Financial Meaning</w:t>
            </w:r>
          </w:p>
        </w:tc>
      </w:tr>
      <w:tr w:rsidR="005C2FA5" w:rsidRPr="005C2FA5" w14:paraId="08558E5B"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4268438" w14:textId="77777777" w:rsidR="005C2FA5" w:rsidRPr="005C2FA5" w:rsidRDefault="005C2FA5" w:rsidP="005C2FA5">
            <w:r w:rsidRPr="005C2FA5">
              <w:t>X₁</w:t>
            </w:r>
          </w:p>
        </w:tc>
        <w:tc>
          <w:tcPr>
            <w:tcW w:w="3005" w:type="dxa"/>
          </w:tcPr>
          <w:p w14:paraId="44AB2E5D"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Working Capital ÷ Total Assets</w:t>
            </w:r>
          </w:p>
        </w:tc>
        <w:tc>
          <w:tcPr>
            <w:tcW w:w="3006" w:type="dxa"/>
          </w:tcPr>
          <w:p w14:paraId="761E6D57"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Short-term liquidity and operational efficiency</w:t>
            </w:r>
          </w:p>
        </w:tc>
      </w:tr>
      <w:tr w:rsidR="005C2FA5" w:rsidRPr="005C2FA5" w14:paraId="0132775E" w14:textId="77777777" w:rsidTr="005C2FA5">
        <w:tc>
          <w:tcPr>
            <w:cnfStyle w:val="001000000000" w:firstRow="0" w:lastRow="0" w:firstColumn="1" w:lastColumn="0" w:oddVBand="0" w:evenVBand="0" w:oddHBand="0" w:evenHBand="0" w:firstRowFirstColumn="0" w:firstRowLastColumn="0" w:lastRowFirstColumn="0" w:lastRowLastColumn="0"/>
            <w:tcW w:w="3005" w:type="dxa"/>
          </w:tcPr>
          <w:p w14:paraId="5542F453" w14:textId="77777777" w:rsidR="005C2FA5" w:rsidRPr="005C2FA5" w:rsidRDefault="005C2FA5" w:rsidP="005C2FA5">
            <w:r w:rsidRPr="005C2FA5">
              <w:t>X₂</w:t>
            </w:r>
          </w:p>
        </w:tc>
        <w:tc>
          <w:tcPr>
            <w:tcW w:w="3005" w:type="dxa"/>
          </w:tcPr>
          <w:p w14:paraId="04A407FF"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Retained Earnings ÷ Total Assets</w:t>
            </w:r>
          </w:p>
        </w:tc>
        <w:tc>
          <w:tcPr>
            <w:tcW w:w="3006" w:type="dxa"/>
          </w:tcPr>
          <w:p w14:paraId="23D36E12"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Cumulative profitability and reinvestment capacity</w:t>
            </w:r>
          </w:p>
        </w:tc>
      </w:tr>
      <w:tr w:rsidR="005C2FA5" w:rsidRPr="005C2FA5" w14:paraId="350357D5"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81A07ED" w14:textId="77777777" w:rsidR="005C2FA5" w:rsidRPr="005C2FA5" w:rsidRDefault="005C2FA5" w:rsidP="005C2FA5">
            <w:r w:rsidRPr="005C2FA5">
              <w:t>X₃</w:t>
            </w:r>
          </w:p>
        </w:tc>
        <w:tc>
          <w:tcPr>
            <w:tcW w:w="3005" w:type="dxa"/>
          </w:tcPr>
          <w:p w14:paraId="69AEBA1B"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EBIT ÷ Total Assets</w:t>
            </w:r>
          </w:p>
        </w:tc>
        <w:tc>
          <w:tcPr>
            <w:tcW w:w="3006" w:type="dxa"/>
          </w:tcPr>
          <w:p w14:paraId="6F268D30"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Operating performance independent of financing</w:t>
            </w:r>
          </w:p>
        </w:tc>
      </w:tr>
      <w:tr w:rsidR="005C2FA5" w:rsidRPr="005C2FA5" w14:paraId="4ED330F8" w14:textId="77777777" w:rsidTr="005C2FA5">
        <w:tc>
          <w:tcPr>
            <w:cnfStyle w:val="001000000000" w:firstRow="0" w:lastRow="0" w:firstColumn="1" w:lastColumn="0" w:oddVBand="0" w:evenVBand="0" w:oddHBand="0" w:evenHBand="0" w:firstRowFirstColumn="0" w:firstRowLastColumn="0" w:lastRowFirstColumn="0" w:lastRowLastColumn="0"/>
            <w:tcW w:w="3005" w:type="dxa"/>
          </w:tcPr>
          <w:p w14:paraId="5C4D67B6" w14:textId="77777777" w:rsidR="005C2FA5" w:rsidRPr="005C2FA5" w:rsidRDefault="005C2FA5" w:rsidP="005C2FA5">
            <w:r w:rsidRPr="005C2FA5">
              <w:t>X₄</w:t>
            </w:r>
          </w:p>
        </w:tc>
        <w:tc>
          <w:tcPr>
            <w:tcW w:w="3005" w:type="dxa"/>
          </w:tcPr>
          <w:p w14:paraId="20908916"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Market Value of Equity ÷ Total Liabilities (book value proxy used)</w:t>
            </w:r>
          </w:p>
        </w:tc>
        <w:tc>
          <w:tcPr>
            <w:tcW w:w="3006" w:type="dxa"/>
          </w:tcPr>
          <w:p w14:paraId="63E7CDE8"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Solvency and creditor protection</w:t>
            </w:r>
          </w:p>
        </w:tc>
      </w:tr>
      <w:tr w:rsidR="005C2FA5" w:rsidRPr="005C2FA5" w14:paraId="3319E650"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70A8552" w14:textId="77777777" w:rsidR="005C2FA5" w:rsidRPr="005C2FA5" w:rsidRDefault="005C2FA5" w:rsidP="005C2FA5">
            <w:r w:rsidRPr="005C2FA5">
              <w:t>X₅</w:t>
            </w:r>
          </w:p>
        </w:tc>
        <w:tc>
          <w:tcPr>
            <w:tcW w:w="3005" w:type="dxa"/>
          </w:tcPr>
          <w:p w14:paraId="09A94B7F"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Sales ÷ Total Assets</w:t>
            </w:r>
          </w:p>
        </w:tc>
        <w:tc>
          <w:tcPr>
            <w:tcW w:w="3006" w:type="dxa"/>
          </w:tcPr>
          <w:p w14:paraId="3EC1FD29"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Asset turnover and revenue-generating efficiency</w:t>
            </w:r>
          </w:p>
        </w:tc>
      </w:tr>
    </w:tbl>
    <w:p w14:paraId="03A54B6E" w14:textId="77777777" w:rsidR="005C2FA5" w:rsidRDefault="005C2FA5" w:rsidP="00802D0C"/>
    <w:p w14:paraId="774B6F8F" w14:textId="77777777" w:rsidR="00802D0C" w:rsidRDefault="00802D0C" w:rsidP="00802D0C">
      <w:r>
        <w:t>Step-by-Step Z-Score Calculations (Latest Year: 2024)</w:t>
      </w:r>
    </w:p>
    <w:p w14:paraId="2403AE6C" w14:textId="77777777" w:rsidR="00802D0C" w:rsidRDefault="00802D0C" w:rsidP="00802D0C">
      <w:r>
        <w:t>All figures are derived from the consolidated financial statements provided in the assessment brief.</w:t>
      </w:r>
    </w:p>
    <w:p w14:paraId="3C47273F" w14:textId="77777777" w:rsidR="00802D0C" w:rsidRPr="005C2FA5" w:rsidRDefault="00802D0C" w:rsidP="00802D0C">
      <w:pPr>
        <w:rPr>
          <w:b/>
        </w:rPr>
      </w:pPr>
      <w:r w:rsidRPr="005C2FA5">
        <w:rPr>
          <w:b/>
        </w:rPr>
        <w:t>Table B1: Component Ratio Calculations (2024)</w:t>
      </w:r>
    </w:p>
    <w:tbl>
      <w:tblPr>
        <w:tblStyle w:val="GridTable4-Accent5"/>
        <w:tblW w:w="0" w:type="auto"/>
        <w:tblLook w:val="04A0" w:firstRow="1" w:lastRow="0" w:firstColumn="1" w:lastColumn="0" w:noHBand="0" w:noVBand="1"/>
      </w:tblPr>
      <w:tblGrid>
        <w:gridCol w:w="3005"/>
        <w:gridCol w:w="3005"/>
        <w:gridCol w:w="3006"/>
      </w:tblGrid>
      <w:tr w:rsidR="005C2FA5" w:rsidRPr="005C2FA5" w14:paraId="78F3EADE" w14:textId="77777777" w:rsidTr="005C2F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0B976B4" w14:textId="77777777" w:rsidR="005C2FA5" w:rsidRPr="005C2FA5" w:rsidRDefault="005C2FA5" w:rsidP="005C2FA5">
            <w:r w:rsidRPr="005C2FA5">
              <w:t>Component</w:t>
            </w:r>
          </w:p>
        </w:tc>
        <w:tc>
          <w:tcPr>
            <w:tcW w:w="3005" w:type="dxa"/>
          </w:tcPr>
          <w:p w14:paraId="360B9090"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pPr>
            <w:r w:rsidRPr="005C2FA5">
              <w:t>Calculation</w:t>
            </w:r>
          </w:p>
        </w:tc>
        <w:tc>
          <w:tcPr>
            <w:tcW w:w="3006" w:type="dxa"/>
          </w:tcPr>
          <w:p w14:paraId="74B5AE7D"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pPr>
            <w:r w:rsidRPr="005C2FA5">
              <w:t>Result</w:t>
            </w:r>
          </w:p>
        </w:tc>
      </w:tr>
      <w:tr w:rsidR="005C2FA5" w:rsidRPr="005C2FA5" w14:paraId="5CD9BDC2"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086316C" w14:textId="77777777" w:rsidR="005C2FA5" w:rsidRPr="005C2FA5" w:rsidRDefault="005C2FA5" w:rsidP="005C2FA5">
            <w:r w:rsidRPr="005C2FA5">
              <w:t>X₁</w:t>
            </w:r>
          </w:p>
        </w:tc>
        <w:tc>
          <w:tcPr>
            <w:tcW w:w="3005" w:type="dxa"/>
          </w:tcPr>
          <w:p w14:paraId="7722CFED"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(242,494 − 158,291) ÷ 323,354</w:t>
            </w:r>
          </w:p>
        </w:tc>
        <w:tc>
          <w:tcPr>
            <w:tcW w:w="3006" w:type="dxa"/>
          </w:tcPr>
          <w:p w14:paraId="0D8FB32F"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0.26</w:t>
            </w:r>
          </w:p>
        </w:tc>
      </w:tr>
      <w:tr w:rsidR="005C2FA5" w:rsidRPr="005C2FA5" w14:paraId="0B62D370" w14:textId="77777777" w:rsidTr="005C2FA5">
        <w:tc>
          <w:tcPr>
            <w:cnfStyle w:val="001000000000" w:firstRow="0" w:lastRow="0" w:firstColumn="1" w:lastColumn="0" w:oddVBand="0" w:evenVBand="0" w:oddHBand="0" w:evenHBand="0" w:firstRowFirstColumn="0" w:firstRowLastColumn="0" w:lastRowFirstColumn="0" w:lastRowLastColumn="0"/>
            <w:tcW w:w="3005" w:type="dxa"/>
          </w:tcPr>
          <w:p w14:paraId="28519159" w14:textId="77777777" w:rsidR="005C2FA5" w:rsidRPr="005C2FA5" w:rsidRDefault="005C2FA5" w:rsidP="005C2FA5">
            <w:r w:rsidRPr="005C2FA5">
              <w:lastRenderedPageBreak/>
              <w:t>X₂</w:t>
            </w:r>
          </w:p>
        </w:tc>
        <w:tc>
          <w:tcPr>
            <w:tcW w:w="3005" w:type="dxa"/>
          </w:tcPr>
          <w:p w14:paraId="5C41BCF3"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208,431 ÷ 323,354</w:t>
            </w:r>
          </w:p>
        </w:tc>
        <w:tc>
          <w:tcPr>
            <w:tcW w:w="3006" w:type="dxa"/>
          </w:tcPr>
          <w:p w14:paraId="60FAAA44"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0.64</w:t>
            </w:r>
          </w:p>
        </w:tc>
      </w:tr>
      <w:tr w:rsidR="005C2FA5" w:rsidRPr="005C2FA5" w14:paraId="6CF69F20"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9563645" w14:textId="77777777" w:rsidR="005C2FA5" w:rsidRPr="005C2FA5" w:rsidRDefault="005C2FA5" w:rsidP="005C2FA5">
            <w:r w:rsidRPr="005C2FA5">
              <w:t>X₃</w:t>
            </w:r>
          </w:p>
        </w:tc>
        <w:tc>
          <w:tcPr>
            <w:tcW w:w="3005" w:type="dxa"/>
          </w:tcPr>
          <w:p w14:paraId="2B6CD2F4"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−15,297 ÷ 323,354</w:t>
            </w:r>
          </w:p>
        </w:tc>
        <w:tc>
          <w:tcPr>
            <w:tcW w:w="3006" w:type="dxa"/>
          </w:tcPr>
          <w:p w14:paraId="08E5A4F9"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−0.05</w:t>
            </w:r>
          </w:p>
        </w:tc>
      </w:tr>
      <w:tr w:rsidR="005C2FA5" w:rsidRPr="005C2FA5" w14:paraId="03051907" w14:textId="77777777" w:rsidTr="005C2FA5">
        <w:tc>
          <w:tcPr>
            <w:cnfStyle w:val="001000000000" w:firstRow="0" w:lastRow="0" w:firstColumn="1" w:lastColumn="0" w:oddVBand="0" w:evenVBand="0" w:oddHBand="0" w:evenHBand="0" w:firstRowFirstColumn="0" w:firstRowLastColumn="0" w:lastRowFirstColumn="0" w:lastRowLastColumn="0"/>
            <w:tcW w:w="3005" w:type="dxa"/>
          </w:tcPr>
          <w:p w14:paraId="4C437115" w14:textId="77777777" w:rsidR="005C2FA5" w:rsidRPr="005C2FA5" w:rsidRDefault="005C2FA5" w:rsidP="005C2FA5">
            <w:r w:rsidRPr="005C2FA5">
              <w:t>X₄</w:t>
            </w:r>
          </w:p>
        </w:tc>
        <w:tc>
          <w:tcPr>
            <w:tcW w:w="3005" w:type="dxa"/>
          </w:tcPr>
          <w:p w14:paraId="5256002E"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153,105 ÷ 170,249</w:t>
            </w:r>
          </w:p>
        </w:tc>
        <w:tc>
          <w:tcPr>
            <w:tcW w:w="3006" w:type="dxa"/>
          </w:tcPr>
          <w:p w14:paraId="4851BE7A"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0.90</w:t>
            </w:r>
          </w:p>
        </w:tc>
      </w:tr>
      <w:tr w:rsidR="005C2FA5" w:rsidRPr="005C2FA5" w14:paraId="64DB1EEE"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59DD8B0" w14:textId="77777777" w:rsidR="005C2FA5" w:rsidRPr="005C2FA5" w:rsidRDefault="005C2FA5" w:rsidP="005C2FA5">
            <w:r w:rsidRPr="005C2FA5">
              <w:t>X₅</w:t>
            </w:r>
          </w:p>
        </w:tc>
        <w:tc>
          <w:tcPr>
            <w:tcW w:w="3005" w:type="dxa"/>
          </w:tcPr>
          <w:p w14:paraId="438ECC27"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394,879 ÷ 323,354</w:t>
            </w:r>
          </w:p>
        </w:tc>
        <w:tc>
          <w:tcPr>
            <w:tcW w:w="3006" w:type="dxa"/>
          </w:tcPr>
          <w:p w14:paraId="583ADA72"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1.22</w:t>
            </w:r>
          </w:p>
        </w:tc>
      </w:tr>
    </w:tbl>
    <w:p w14:paraId="453E704B" w14:textId="77777777" w:rsidR="005C2FA5" w:rsidRDefault="005C2FA5" w:rsidP="00802D0C"/>
    <w:p w14:paraId="0766D34D" w14:textId="77777777" w:rsidR="00802D0C" w:rsidRPr="005C2FA5" w:rsidRDefault="00802D0C" w:rsidP="00802D0C">
      <w:pPr>
        <w:rPr>
          <w:b/>
        </w:rPr>
      </w:pPr>
      <w:r w:rsidRPr="005C2FA5">
        <w:rPr>
          <w:b/>
        </w:rPr>
        <w:t>Table B2: Weighted Z-Score Computation</w:t>
      </w:r>
    </w:p>
    <w:tbl>
      <w:tblPr>
        <w:tblStyle w:val="GridTable4-Accent5"/>
        <w:tblW w:w="0" w:type="auto"/>
        <w:tblLook w:val="04A0" w:firstRow="1" w:lastRow="0" w:firstColumn="1" w:lastColumn="0" w:noHBand="0" w:noVBand="1"/>
      </w:tblPr>
      <w:tblGrid>
        <w:gridCol w:w="2254"/>
        <w:gridCol w:w="2254"/>
        <w:gridCol w:w="2254"/>
        <w:gridCol w:w="2254"/>
      </w:tblGrid>
      <w:tr w:rsidR="005C2FA5" w:rsidRPr="005C2FA5" w14:paraId="31C70646" w14:textId="77777777" w:rsidTr="005C2F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EC4F396" w14:textId="77777777" w:rsidR="005C2FA5" w:rsidRPr="005C2FA5" w:rsidRDefault="005C2FA5" w:rsidP="005C2FA5">
            <w:r w:rsidRPr="005C2FA5">
              <w:t>Component</w:t>
            </w:r>
          </w:p>
        </w:tc>
        <w:tc>
          <w:tcPr>
            <w:tcW w:w="2254" w:type="dxa"/>
          </w:tcPr>
          <w:p w14:paraId="34C18754"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pPr>
            <w:r w:rsidRPr="005C2FA5">
              <w:t>Weight</w:t>
            </w:r>
          </w:p>
        </w:tc>
        <w:tc>
          <w:tcPr>
            <w:tcW w:w="2254" w:type="dxa"/>
          </w:tcPr>
          <w:p w14:paraId="7F716014"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pPr>
            <w:r w:rsidRPr="005C2FA5">
              <w:t>Value</w:t>
            </w:r>
          </w:p>
        </w:tc>
        <w:tc>
          <w:tcPr>
            <w:tcW w:w="2254" w:type="dxa"/>
          </w:tcPr>
          <w:p w14:paraId="3B7FD2CE"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pPr>
            <w:r w:rsidRPr="005C2FA5">
              <w:t>Weighted Score</w:t>
            </w:r>
          </w:p>
        </w:tc>
      </w:tr>
      <w:tr w:rsidR="005C2FA5" w:rsidRPr="005C2FA5" w14:paraId="6A5306AC"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B487250" w14:textId="77777777" w:rsidR="005C2FA5" w:rsidRPr="005C2FA5" w:rsidRDefault="005C2FA5" w:rsidP="005C2FA5">
            <w:r w:rsidRPr="005C2FA5">
              <w:t>1.2 × X₁</w:t>
            </w:r>
          </w:p>
        </w:tc>
        <w:tc>
          <w:tcPr>
            <w:tcW w:w="2254" w:type="dxa"/>
          </w:tcPr>
          <w:p w14:paraId="65563A75"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1.2</w:t>
            </w:r>
          </w:p>
        </w:tc>
        <w:tc>
          <w:tcPr>
            <w:tcW w:w="2254" w:type="dxa"/>
          </w:tcPr>
          <w:p w14:paraId="380D7AB6"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0.26</w:t>
            </w:r>
          </w:p>
        </w:tc>
        <w:tc>
          <w:tcPr>
            <w:tcW w:w="2254" w:type="dxa"/>
          </w:tcPr>
          <w:p w14:paraId="78297AA5"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0.31</w:t>
            </w:r>
          </w:p>
        </w:tc>
      </w:tr>
      <w:tr w:rsidR="005C2FA5" w:rsidRPr="005C2FA5" w14:paraId="576AD9C5" w14:textId="77777777" w:rsidTr="005C2FA5">
        <w:tc>
          <w:tcPr>
            <w:cnfStyle w:val="001000000000" w:firstRow="0" w:lastRow="0" w:firstColumn="1" w:lastColumn="0" w:oddVBand="0" w:evenVBand="0" w:oddHBand="0" w:evenHBand="0" w:firstRowFirstColumn="0" w:firstRowLastColumn="0" w:lastRowFirstColumn="0" w:lastRowLastColumn="0"/>
            <w:tcW w:w="2254" w:type="dxa"/>
          </w:tcPr>
          <w:p w14:paraId="0E33E2B5" w14:textId="77777777" w:rsidR="005C2FA5" w:rsidRPr="005C2FA5" w:rsidRDefault="005C2FA5" w:rsidP="005C2FA5">
            <w:r w:rsidRPr="005C2FA5">
              <w:t>1.4 × X₂</w:t>
            </w:r>
          </w:p>
        </w:tc>
        <w:tc>
          <w:tcPr>
            <w:tcW w:w="2254" w:type="dxa"/>
          </w:tcPr>
          <w:p w14:paraId="778CF4A5"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1.4</w:t>
            </w:r>
          </w:p>
        </w:tc>
        <w:tc>
          <w:tcPr>
            <w:tcW w:w="2254" w:type="dxa"/>
          </w:tcPr>
          <w:p w14:paraId="7592554D"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0.64</w:t>
            </w:r>
          </w:p>
        </w:tc>
        <w:tc>
          <w:tcPr>
            <w:tcW w:w="2254" w:type="dxa"/>
          </w:tcPr>
          <w:p w14:paraId="09DF5274"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0.90</w:t>
            </w:r>
          </w:p>
        </w:tc>
      </w:tr>
      <w:tr w:rsidR="005C2FA5" w:rsidRPr="005C2FA5" w14:paraId="53C09F93"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9314C29" w14:textId="77777777" w:rsidR="005C2FA5" w:rsidRPr="005C2FA5" w:rsidRDefault="005C2FA5" w:rsidP="005C2FA5">
            <w:r w:rsidRPr="005C2FA5">
              <w:t>3.3 × X₃</w:t>
            </w:r>
          </w:p>
        </w:tc>
        <w:tc>
          <w:tcPr>
            <w:tcW w:w="2254" w:type="dxa"/>
          </w:tcPr>
          <w:p w14:paraId="33438275"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3.3</w:t>
            </w:r>
          </w:p>
        </w:tc>
        <w:tc>
          <w:tcPr>
            <w:tcW w:w="2254" w:type="dxa"/>
          </w:tcPr>
          <w:p w14:paraId="3FF099DF"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−0.05</w:t>
            </w:r>
          </w:p>
        </w:tc>
        <w:tc>
          <w:tcPr>
            <w:tcW w:w="2254" w:type="dxa"/>
          </w:tcPr>
          <w:p w14:paraId="0C4BD1E9"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−0.17</w:t>
            </w:r>
          </w:p>
        </w:tc>
      </w:tr>
      <w:tr w:rsidR="005C2FA5" w:rsidRPr="005C2FA5" w14:paraId="6FE6DE29" w14:textId="77777777" w:rsidTr="005C2FA5">
        <w:tc>
          <w:tcPr>
            <w:cnfStyle w:val="001000000000" w:firstRow="0" w:lastRow="0" w:firstColumn="1" w:lastColumn="0" w:oddVBand="0" w:evenVBand="0" w:oddHBand="0" w:evenHBand="0" w:firstRowFirstColumn="0" w:firstRowLastColumn="0" w:lastRowFirstColumn="0" w:lastRowLastColumn="0"/>
            <w:tcW w:w="2254" w:type="dxa"/>
          </w:tcPr>
          <w:p w14:paraId="1FB6B2A1" w14:textId="77777777" w:rsidR="005C2FA5" w:rsidRPr="005C2FA5" w:rsidRDefault="005C2FA5" w:rsidP="005C2FA5">
            <w:r w:rsidRPr="005C2FA5">
              <w:t>0.6 × X₄</w:t>
            </w:r>
          </w:p>
        </w:tc>
        <w:tc>
          <w:tcPr>
            <w:tcW w:w="2254" w:type="dxa"/>
          </w:tcPr>
          <w:p w14:paraId="3EEF975D"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0.6</w:t>
            </w:r>
          </w:p>
        </w:tc>
        <w:tc>
          <w:tcPr>
            <w:tcW w:w="2254" w:type="dxa"/>
          </w:tcPr>
          <w:p w14:paraId="088EB291"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0.90</w:t>
            </w:r>
          </w:p>
        </w:tc>
        <w:tc>
          <w:tcPr>
            <w:tcW w:w="2254" w:type="dxa"/>
          </w:tcPr>
          <w:p w14:paraId="656507BE"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0.54</w:t>
            </w:r>
          </w:p>
        </w:tc>
      </w:tr>
      <w:tr w:rsidR="005C2FA5" w:rsidRPr="005C2FA5" w14:paraId="126D52A3"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6E5B872" w14:textId="77777777" w:rsidR="005C2FA5" w:rsidRPr="005C2FA5" w:rsidRDefault="005C2FA5" w:rsidP="005C2FA5">
            <w:r w:rsidRPr="005C2FA5">
              <w:t>1.0 × X₅</w:t>
            </w:r>
          </w:p>
        </w:tc>
        <w:tc>
          <w:tcPr>
            <w:tcW w:w="2254" w:type="dxa"/>
          </w:tcPr>
          <w:p w14:paraId="35E1901B"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1.0</w:t>
            </w:r>
          </w:p>
        </w:tc>
        <w:tc>
          <w:tcPr>
            <w:tcW w:w="2254" w:type="dxa"/>
          </w:tcPr>
          <w:p w14:paraId="29623978"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1.22</w:t>
            </w:r>
          </w:p>
        </w:tc>
        <w:tc>
          <w:tcPr>
            <w:tcW w:w="2254" w:type="dxa"/>
          </w:tcPr>
          <w:p w14:paraId="38438C62"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1.22</w:t>
            </w:r>
          </w:p>
        </w:tc>
      </w:tr>
      <w:tr w:rsidR="005C2FA5" w:rsidRPr="005C2FA5" w14:paraId="6AAC4119" w14:textId="77777777" w:rsidTr="005C2FA5">
        <w:tc>
          <w:tcPr>
            <w:cnfStyle w:val="001000000000" w:firstRow="0" w:lastRow="0" w:firstColumn="1" w:lastColumn="0" w:oddVBand="0" w:evenVBand="0" w:oddHBand="0" w:evenHBand="0" w:firstRowFirstColumn="0" w:firstRowLastColumn="0" w:lastRowFirstColumn="0" w:lastRowLastColumn="0"/>
            <w:tcW w:w="2254" w:type="dxa"/>
          </w:tcPr>
          <w:p w14:paraId="0707F230" w14:textId="77777777" w:rsidR="005C2FA5" w:rsidRPr="005C2FA5" w:rsidRDefault="005C2FA5" w:rsidP="005C2FA5">
            <w:r w:rsidRPr="005C2FA5">
              <w:t>Total Z-Score</w:t>
            </w:r>
          </w:p>
        </w:tc>
        <w:tc>
          <w:tcPr>
            <w:tcW w:w="2254" w:type="dxa"/>
          </w:tcPr>
          <w:p w14:paraId="56E2CD0A"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p>
        </w:tc>
        <w:tc>
          <w:tcPr>
            <w:tcW w:w="2254" w:type="dxa"/>
          </w:tcPr>
          <w:p w14:paraId="55E0DBE9"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p>
        </w:tc>
        <w:tc>
          <w:tcPr>
            <w:tcW w:w="2254" w:type="dxa"/>
          </w:tcPr>
          <w:p w14:paraId="2E616D56"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2.80</w:t>
            </w:r>
          </w:p>
        </w:tc>
      </w:tr>
    </w:tbl>
    <w:p w14:paraId="6D4A5982" w14:textId="77777777" w:rsidR="005C2FA5" w:rsidRDefault="005C2FA5" w:rsidP="00802D0C"/>
    <w:p w14:paraId="5858D2FA" w14:textId="77777777" w:rsidR="00802D0C" w:rsidRDefault="00802D0C" w:rsidP="00802D0C">
      <w:r>
        <w:t>B5. Z-Score Classification Criteria</w:t>
      </w:r>
    </w:p>
    <w:tbl>
      <w:tblPr>
        <w:tblStyle w:val="GridTable4-Accent5"/>
        <w:tblW w:w="0" w:type="auto"/>
        <w:tblLook w:val="04A0" w:firstRow="1" w:lastRow="0" w:firstColumn="1" w:lastColumn="0" w:noHBand="0" w:noVBand="1"/>
      </w:tblPr>
      <w:tblGrid>
        <w:gridCol w:w="3005"/>
        <w:gridCol w:w="3005"/>
        <w:gridCol w:w="3006"/>
      </w:tblGrid>
      <w:tr w:rsidR="005C2FA5" w:rsidRPr="005C2FA5" w14:paraId="761BA540" w14:textId="77777777" w:rsidTr="005C2F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2A2994F" w14:textId="77777777" w:rsidR="005C2FA5" w:rsidRPr="005C2FA5" w:rsidRDefault="005C2FA5" w:rsidP="005C2FA5">
            <w:r w:rsidRPr="005C2FA5">
              <w:t>Z-Score Range</w:t>
            </w:r>
          </w:p>
        </w:tc>
        <w:tc>
          <w:tcPr>
            <w:tcW w:w="3005" w:type="dxa"/>
          </w:tcPr>
          <w:p w14:paraId="12E05966"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pPr>
            <w:r w:rsidRPr="005C2FA5">
              <w:t>Classification</w:t>
            </w:r>
          </w:p>
        </w:tc>
        <w:tc>
          <w:tcPr>
            <w:tcW w:w="3006" w:type="dxa"/>
          </w:tcPr>
          <w:p w14:paraId="43D24E89"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pPr>
            <w:r w:rsidRPr="005C2FA5">
              <w:t>Interpretation</w:t>
            </w:r>
          </w:p>
        </w:tc>
      </w:tr>
      <w:tr w:rsidR="005C2FA5" w:rsidRPr="005C2FA5" w14:paraId="2BAD458C"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D9F6D08" w14:textId="77777777" w:rsidR="005C2FA5" w:rsidRPr="005C2FA5" w:rsidRDefault="005C2FA5" w:rsidP="005C2FA5">
            <w:r w:rsidRPr="005C2FA5">
              <w:t>Z &gt; 2.99</w:t>
            </w:r>
          </w:p>
        </w:tc>
        <w:tc>
          <w:tcPr>
            <w:tcW w:w="3005" w:type="dxa"/>
          </w:tcPr>
          <w:p w14:paraId="08268B39"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Safe Zone</w:t>
            </w:r>
          </w:p>
        </w:tc>
        <w:tc>
          <w:tcPr>
            <w:tcW w:w="3006" w:type="dxa"/>
          </w:tcPr>
          <w:p w14:paraId="49B7CFD7"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Low probability of financial distress</w:t>
            </w:r>
          </w:p>
        </w:tc>
      </w:tr>
      <w:tr w:rsidR="005C2FA5" w:rsidRPr="005C2FA5" w14:paraId="7BCDB137" w14:textId="77777777" w:rsidTr="005C2FA5">
        <w:tc>
          <w:tcPr>
            <w:cnfStyle w:val="001000000000" w:firstRow="0" w:lastRow="0" w:firstColumn="1" w:lastColumn="0" w:oddVBand="0" w:evenVBand="0" w:oddHBand="0" w:evenHBand="0" w:firstRowFirstColumn="0" w:firstRowLastColumn="0" w:lastRowFirstColumn="0" w:lastRowLastColumn="0"/>
            <w:tcW w:w="3005" w:type="dxa"/>
          </w:tcPr>
          <w:p w14:paraId="3151C88D" w14:textId="77777777" w:rsidR="005C2FA5" w:rsidRPr="005C2FA5" w:rsidRDefault="005C2FA5" w:rsidP="005C2FA5">
            <w:r w:rsidRPr="005C2FA5">
              <w:t>1.81 &lt; Z &lt; 2.99</w:t>
            </w:r>
          </w:p>
        </w:tc>
        <w:tc>
          <w:tcPr>
            <w:tcW w:w="3005" w:type="dxa"/>
          </w:tcPr>
          <w:p w14:paraId="2987A802"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Grey Zone</w:t>
            </w:r>
          </w:p>
        </w:tc>
        <w:tc>
          <w:tcPr>
            <w:tcW w:w="3006" w:type="dxa"/>
          </w:tcPr>
          <w:p w14:paraId="544525F3"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Moderate financial distress risk</w:t>
            </w:r>
          </w:p>
        </w:tc>
      </w:tr>
      <w:tr w:rsidR="005C2FA5" w:rsidRPr="005C2FA5" w14:paraId="7DC552C8"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D14984C" w14:textId="77777777" w:rsidR="005C2FA5" w:rsidRPr="005C2FA5" w:rsidRDefault="005C2FA5" w:rsidP="005C2FA5">
            <w:r w:rsidRPr="005C2FA5">
              <w:t>Z &lt; 1.81</w:t>
            </w:r>
          </w:p>
        </w:tc>
        <w:tc>
          <w:tcPr>
            <w:tcW w:w="3005" w:type="dxa"/>
          </w:tcPr>
          <w:p w14:paraId="3A236544"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Distress Zone</w:t>
            </w:r>
          </w:p>
        </w:tc>
        <w:tc>
          <w:tcPr>
            <w:tcW w:w="3006" w:type="dxa"/>
          </w:tcPr>
          <w:p w14:paraId="7AF0AA61"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High bankruptcy risk</w:t>
            </w:r>
          </w:p>
        </w:tc>
      </w:tr>
    </w:tbl>
    <w:p w14:paraId="1605B320" w14:textId="77777777" w:rsidR="005C2FA5" w:rsidRDefault="005C2FA5" w:rsidP="00802D0C"/>
    <w:p w14:paraId="73B59ED3" w14:textId="77777777" w:rsidR="00802D0C" w:rsidRDefault="00802D0C" w:rsidP="00802D0C">
      <w:r>
        <w:t>B6. Final Z-Score Result and Interpretation</w:t>
      </w:r>
    </w:p>
    <w:p w14:paraId="199AFA71" w14:textId="77777777" w:rsidR="00802D0C" w:rsidRDefault="00802D0C" w:rsidP="00802D0C">
      <w:r>
        <w:t>Z-Score (2024) = 2.80</w:t>
      </w:r>
    </w:p>
    <w:p w14:paraId="69868934" w14:textId="77777777" w:rsidR="00502498" w:rsidRDefault="00502498" w:rsidP="005C2FA5">
      <w:pPr>
        <w:pStyle w:val="Heading1"/>
      </w:pPr>
      <w:bookmarkStart w:id="52" w:name="_Toc217264731"/>
      <w:r>
        <w:t>Appendix C — Cash Flow Reconciliation Tables</w:t>
      </w:r>
      <w:bookmarkEnd w:id="52"/>
    </w:p>
    <w:p w14:paraId="694A8D05" w14:textId="77777777" w:rsidR="00502498" w:rsidRPr="005C2FA5" w:rsidRDefault="00502498" w:rsidP="00502498">
      <w:pPr>
        <w:rPr>
          <w:b/>
        </w:rPr>
      </w:pPr>
      <w:r w:rsidRPr="005C2FA5">
        <w:rPr>
          <w:b/>
        </w:rPr>
        <w:t>Table C1: Profit–Cash Flow Comparison</w:t>
      </w:r>
    </w:p>
    <w:tbl>
      <w:tblPr>
        <w:tblStyle w:val="GridTable4-Accent5"/>
        <w:tblW w:w="0" w:type="auto"/>
        <w:tblLook w:val="04A0" w:firstRow="1" w:lastRow="0" w:firstColumn="1" w:lastColumn="0" w:noHBand="0" w:noVBand="1"/>
      </w:tblPr>
      <w:tblGrid>
        <w:gridCol w:w="2254"/>
        <w:gridCol w:w="2254"/>
        <w:gridCol w:w="2254"/>
        <w:gridCol w:w="2254"/>
      </w:tblGrid>
      <w:tr w:rsidR="005C2FA5" w:rsidRPr="005C2FA5" w14:paraId="09244411" w14:textId="77777777" w:rsidTr="005C2F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C10DFB1" w14:textId="77777777" w:rsidR="005C2FA5" w:rsidRPr="005C2FA5" w:rsidRDefault="005C2FA5" w:rsidP="005C2FA5">
            <w:r w:rsidRPr="005C2FA5">
              <w:t>Year</w:t>
            </w:r>
          </w:p>
        </w:tc>
        <w:tc>
          <w:tcPr>
            <w:tcW w:w="2254" w:type="dxa"/>
          </w:tcPr>
          <w:p w14:paraId="5E627233"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pPr>
            <w:r w:rsidRPr="005C2FA5">
              <w:t>Net Profit (£m)</w:t>
            </w:r>
          </w:p>
        </w:tc>
        <w:tc>
          <w:tcPr>
            <w:tcW w:w="2254" w:type="dxa"/>
          </w:tcPr>
          <w:p w14:paraId="01C3F3C2"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pPr>
            <w:r w:rsidRPr="005C2FA5">
              <w:t>Operating Cash Flow (£m)</w:t>
            </w:r>
          </w:p>
        </w:tc>
        <w:tc>
          <w:tcPr>
            <w:tcW w:w="2254" w:type="dxa"/>
          </w:tcPr>
          <w:p w14:paraId="556B1C29"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pPr>
            <w:r w:rsidRPr="005C2FA5">
              <w:t>Difference (£m)</w:t>
            </w:r>
          </w:p>
        </w:tc>
      </w:tr>
      <w:tr w:rsidR="005C2FA5" w:rsidRPr="005C2FA5" w14:paraId="34E831B6"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F53EB42" w14:textId="77777777" w:rsidR="005C2FA5" w:rsidRPr="005C2FA5" w:rsidRDefault="005C2FA5" w:rsidP="005C2FA5">
            <w:r w:rsidRPr="005C2FA5">
              <w:t>2020</w:t>
            </w:r>
          </w:p>
        </w:tc>
        <w:tc>
          <w:tcPr>
            <w:tcW w:w="2254" w:type="dxa"/>
          </w:tcPr>
          <w:p w14:paraId="61752DD3"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38,572</w:t>
            </w:r>
          </w:p>
        </w:tc>
        <w:tc>
          <w:tcPr>
            <w:tcW w:w="2254" w:type="dxa"/>
          </w:tcPr>
          <w:p w14:paraId="676BD23D"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73,392</w:t>
            </w:r>
          </w:p>
        </w:tc>
        <w:tc>
          <w:tcPr>
            <w:tcW w:w="2254" w:type="dxa"/>
          </w:tcPr>
          <w:p w14:paraId="2E6D5F27"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+34,820</w:t>
            </w:r>
          </w:p>
        </w:tc>
      </w:tr>
      <w:tr w:rsidR="005C2FA5" w:rsidRPr="005C2FA5" w14:paraId="770B000B" w14:textId="77777777" w:rsidTr="005C2FA5">
        <w:tc>
          <w:tcPr>
            <w:cnfStyle w:val="001000000000" w:firstRow="0" w:lastRow="0" w:firstColumn="1" w:lastColumn="0" w:oddVBand="0" w:evenVBand="0" w:oddHBand="0" w:evenHBand="0" w:firstRowFirstColumn="0" w:firstRowLastColumn="0" w:lastRowFirstColumn="0" w:lastRowLastColumn="0"/>
            <w:tcW w:w="2254" w:type="dxa"/>
          </w:tcPr>
          <w:p w14:paraId="4AC7E517" w14:textId="77777777" w:rsidR="005C2FA5" w:rsidRPr="005C2FA5" w:rsidRDefault="005C2FA5" w:rsidP="005C2FA5">
            <w:r w:rsidRPr="005C2FA5">
              <w:lastRenderedPageBreak/>
              <w:t>2021</w:t>
            </w:r>
          </w:p>
        </w:tc>
        <w:tc>
          <w:tcPr>
            <w:tcW w:w="2254" w:type="dxa"/>
          </w:tcPr>
          <w:p w14:paraId="71AC7241"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5,301</w:t>
            </w:r>
          </w:p>
        </w:tc>
        <w:tc>
          <w:tcPr>
            <w:tcW w:w="2254" w:type="dxa"/>
          </w:tcPr>
          <w:p w14:paraId="7FA80BB7"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40,283</w:t>
            </w:r>
          </w:p>
        </w:tc>
        <w:tc>
          <w:tcPr>
            <w:tcW w:w="2254" w:type="dxa"/>
          </w:tcPr>
          <w:p w14:paraId="6CD65F18"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+34,982</w:t>
            </w:r>
          </w:p>
        </w:tc>
      </w:tr>
      <w:tr w:rsidR="005C2FA5" w:rsidRPr="005C2FA5" w14:paraId="652876C1"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C0DAE96" w14:textId="77777777" w:rsidR="005C2FA5" w:rsidRPr="005C2FA5" w:rsidRDefault="005C2FA5" w:rsidP="005C2FA5">
            <w:r w:rsidRPr="005C2FA5">
              <w:t>2022</w:t>
            </w:r>
          </w:p>
        </w:tc>
        <w:tc>
          <w:tcPr>
            <w:tcW w:w="2254" w:type="dxa"/>
          </w:tcPr>
          <w:p w14:paraId="33EFB5CA"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407</w:t>
            </w:r>
          </w:p>
        </w:tc>
        <w:tc>
          <w:tcPr>
            <w:tcW w:w="2254" w:type="dxa"/>
          </w:tcPr>
          <w:p w14:paraId="0E1DE59F"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10,926</w:t>
            </w:r>
          </w:p>
        </w:tc>
        <w:tc>
          <w:tcPr>
            <w:tcW w:w="2254" w:type="dxa"/>
          </w:tcPr>
          <w:p w14:paraId="2BFEB312"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+10,519</w:t>
            </w:r>
          </w:p>
        </w:tc>
      </w:tr>
      <w:tr w:rsidR="005C2FA5" w:rsidRPr="005C2FA5" w14:paraId="147DCB8C" w14:textId="77777777" w:rsidTr="005C2FA5">
        <w:tc>
          <w:tcPr>
            <w:cnfStyle w:val="001000000000" w:firstRow="0" w:lastRow="0" w:firstColumn="1" w:lastColumn="0" w:oddVBand="0" w:evenVBand="0" w:oddHBand="0" w:evenHBand="0" w:firstRowFirstColumn="0" w:firstRowLastColumn="0" w:lastRowFirstColumn="0" w:lastRowLastColumn="0"/>
            <w:tcW w:w="2254" w:type="dxa"/>
          </w:tcPr>
          <w:p w14:paraId="5C60B350" w14:textId="77777777" w:rsidR="005C2FA5" w:rsidRPr="005C2FA5" w:rsidRDefault="005C2FA5" w:rsidP="005C2FA5">
            <w:r w:rsidRPr="005C2FA5">
              <w:t>2023</w:t>
            </w:r>
          </w:p>
        </w:tc>
        <w:tc>
          <w:tcPr>
            <w:tcW w:w="2254" w:type="dxa"/>
          </w:tcPr>
          <w:p w14:paraId="04CBDECE"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−98,238</w:t>
            </w:r>
          </w:p>
        </w:tc>
        <w:tc>
          <w:tcPr>
            <w:tcW w:w="2254" w:type="dxa"/>
          </w:tcPr>
          <w:p w14:paraId="1C2F370A"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25,190</w:t>
            </w:r>
          </w:p>
        </w:tc>
        <w:tc>
          <w:tcPr>
            <w:tcW w:w="2254" w:type="dxa"/>
          </w:tcPr>
          <w:p w14:paraId="5A5F48EE"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+123,428</w:t>
            </w:r>
          </w:p>
        </w:tc>
      </w:tr>
      <w:tr w:rsidR="005C2FA5" w:rsidRPr="005C2FA5" w14:paraId="38260047"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8F681B7" w14:textId="77777777" w:rsidR="005C2FA5" w:rsidRPr="005C2FA5" w:rsidRDefault="005C2FA5" w:rsidP="005C2FA5">
            <w:r w:rsidRPr="005C2FA5">
              <w:t>2024</w:t>
            </w:r>
          </w:p>
        </w:tc>
        <w:tc>
          <w:tcPr>
            <w:tcW w:w="2254" w:type="dxa"/>
          </w:tcPr>
          <w:p w14:paraId="63DB2ABC"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−24,029</w:t>
            </w:r>
          </w:p>
        </w:tc>
        <w:tc>
          <w:tcPr>
            <w:tcW w:w="2254" w:type="dxa"/>
          </w:tcPr>
          <w:p w14:paraId="6A0365A8"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14,822</w:t>
            </w:r>
          </w:p>
        </w:tc>
        <w:tc>
          <w:tcPr>
            <w:tcW w:w="2254" w:type="dxa"/>
          </w:tcPr>
          <w:p w14:paraId="1F5FC56F"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+38,851</w:t>
            </w:r>
          </w:p>
        </w:tc>
      </w:tr>
    </w:tbl>
    <w:p w14:paraId="24E56C2D" w14:textId="77777777" w:rsidR="005C2FA5" w:rsidRDefault="005C2FA5" w:rsidP="00502498">
      <w:pPr>
        <w:rPr>
          <w:b/>
        </w:rPr>
      </w:pPr>
    </w:p>
    <w:p w14:paraId="1073BFA9" w14:textId="77777777" w:rsidR="00502498" w:rsidRPr="005C2FA5" w:rsidRDefault="00502498" w:rsidP="00502498">
      <w:pPr>
        <w:rPr>
          <w:b/>
        </w:rPr>
      </w:pPr>
      <w:r w:rsidRPr="005C2FA5">
        <w:rPr>
          <w:b/>
        </w:rPr>
        <w:t>C3. Breakdown of Key Non-Cash Adjustments</w:t>
      </w:r>
    </w:p>
    <w:p w14:paraId="438C6A8B" w14:textId="77777777" w:rsidR="00502498" w:rsidRPr="005C2FA5" w:rsidRDefault="00502498" w:rsidP="00502498">
      <w:pPr>
        <w:rPr>
          <w:b/>
        </w:rPr>
      </w:pPr>
      <w:r w:rsidRPr="005C2FA5">
        <w:rPr>
          <w:b/>
        </w:rPr>
        <w:t>Table C2: Major Non-Cash Adjustments (Selected Years)</w:t>
      </w:r>
    </w:p>
    <w:tbl>
      <w:tblPr>
        <w:tblStyle w:val="GridTable4-Accent5"/>
        <w:tblW w:w="0" w:type="auto"/>
        <w:tblLook w:val="04A0" w:firstRow="1" w:lastRow="0" w:firstColumn="1" w:lastColumn="0" w:noHBand="0" w:noVBand="1"/>
      </w:tblPr>
      <w:tblGrid>
        <w:gridCol w:w="3005"/>
        <w:gridCol w:w="3005"/>
        <w:gridCol w:w="3006"/>
      </w:tblGrid>
      <w:tr w:rsidR="005C2FA5" w:rsidRPr="005C2FA5" w14:paraId="139CC8D2" w14:textId="77777777" w:rsidTr="005C2F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CE04084" w14:textId="77777777" w:rsidR="005C2FA5" w:rsidRPr="005C2FA5" w:rsidRDefault="005C2FA5" w:rsidP="005C2FA5">
            <w:r w:rsidRPr="005C2FA5">
              <w:t>Adjustment (£m)</w:t>
            </w:r>
          </w:p>
        </w:tc>
        <w:tc>
          <w:tcPr>
            <w:tcW w:w="3005" w:type="dxa"/>
          </w:tcPr>
          <w:p w14:paraId="421808FB"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pPr>
            <w:r w:rsidRPr="005C2FA5">
              <w:t>2024</w:t>
            </w:r>
          </w:p>
        </w:tc>
        <w:tc>
          <w:tcPr>
            <w:tcW w:w="3006" w:type="dxa"/>
          </w:tcPr>
          <w:p w14:paraId="2F1D56EF"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pPr>
            <w:r w:rsidRPr="005C2FA5">
              <w:t>2023</w:t>
            </w:r>
          </w:p>
        </w:tc>
      </w:tr>
      <w:tr w:rsidR="005C2FA5" w:rsidRPr="005C2FA5" w14:paraId="1E452721"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0D0EA66" w14:textId="77777777" w:rsidR="005C2FA5" w:rsidRPr="005C2FA5" w:rsidRDefault="005C2FA5" w:rsidP="005C2FA5">
            <w:r w:rsidRPr="005C2FA5">
              <w:t>Depreciation &amp; amortisation</w:t>
            </w:r>
          </w:p>
        </w:tc>
        <w:tc>
          <w:tcPr>
            <w:tcW w:w="3005" w:type="dxa"/>
          </w:tcPr>
          <w:p w14:paraId="69BCF0D1"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18,058</w:t>
            </w:r>
          </w:p>
        </w:tc>
        <w:tc>
          <w:tcPr>
            <w:tcW w:w="3006" w:type="dxa"/>
          </w:tcPr>
          <w:p w14:paraId="106F70C0"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22,927</w:t>
            </w:r>
          </w:p>
        </w:tc>
      </w:tr>
      <w:tr w:rsidR="005C2FA5" w:rsidRPr="005C2FA5" w14:paraId="2509BEB8" w14:textId="77777777" w:rsidTr="005C2FA5">
        <w:tc>
          <w:tcPr>
            <w:cnfStyle w:val="001000000000" w:firstRow="0" w:lastRow="0" w:firstColumn="1" w:lastColumn="0" w:oddVBand="0" w:evenVBand="0" w:oddHBand="0" w:evenHBand="0" w:firstRowFirstColumn="0" w:firstRowLastColumn="0" w:lastRowFirstColumn="0" w:lastRowLastColumn="0"/>
            <w:tcW w:w="3005" w:type="dxa"/>
          </w:tcPr>
          <w:p w14:paraId="5DFAEB5D" w14:textId="77777777" w:rsidR="005C2FA5" w:rsidRPr="005C2FA5" w:rsidRDefault="005C2FA5" w:rsidP="005C2FA5">
            <w:r w:rsidRPr="005C2FA5">
              <w:t>Impairment charges</w:t>
            </w:r>
          </w:p>
        </w:tc>
        <w:tc>
          <w:tcPr>
            <w:tcW w:w="3005" w:type="dxa"/>
          </w:tcPr>
          <w:p w14:paraId="7E242879"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333</w:t>
            </w:r>
          </w:p>
        </w:tc>
        <w:tc>
          <w:tcPr>
            <w:tcW w:w="3006" w:type="dxa"/>
          </w:tcPr>
          <w:p w14:paraId="4C31940E"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57,038</w:t>
            </w:r>
          </w:p>
        </w:tc>
      </w:tr>
      <w:tr w:rsidR="005C2FA5" w:rsidRPr="005C2FA5" w14:paraId="035396A5"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1E66653" w14:textId="77777777" w:rsidR="005C2FA5" w:rsidRPr="005C2FA5" w:rsidRDefault="005C2FA5" w:rsidP="005C2FA5">
            <w:r w:rsidRPr="005C2FA5">
              <w:t>Stock-based compensation</w:t>
            </w:r>
          </w:p>
        </w:tc>
        <w:tc>
          <w:tcPr>
            <w:tcW w:w="3005" w:type="dxa"/>
          </w:tcPr>
          <w:p w14:paraId="7EF02A95"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6,700</w:t>
            </w:r>
          </w:p>
        </w:tc>
        <w:tc>
          <w:tcPr>
            <w:tcW w:w="3006" w:type="dxa"/>
          </w:tcPr>
          <w:p w14:paraId="5E9E8B51"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8,809</w:t>
            </w:r>
          </w:p>
        </w:tc>
      </w:tr>
      <w:tr w:rsidR="005C2FA5" w:rsidRPr="005C2FA5" w14:paraId="1996B866" w14:textId="77777777" w:rsidTr="005C2FA5">
        <w:tc>
          <w:tcPr>
            <w:cnfStyle w:val="001000000000" w:firstRow="0" w:lastRow="0" w:firstColumn="1" w:lastColumn="0" w:oddVBand="0" w:evenVBand="0" w:oddHBand="0" w:evenHBand="0" w:firstRowFirstColumn="0" w:firstRowLastColumn="0" w:lastRowFirstColumn="0" w:lastRowLastColumn="0"/>
            <w:tcW w:w="3005" w:type="dxa"/>
          </w:tcPr>
          <w:p w14:paraId="38C6E0DA" w14:textId="77777777" w:rsidR="005C2FA5" w:rsidRPr="005C2FA5" w:rsidRDefault="005C2FA5" w:rsidP="005C2FA5">
            <w:r w:rsidRPr="005C2FA5">
              <w:t>Deferred tax adjustments</w:t>
            </w:r>
          </w:p>
        </w:tc>
        <w:tc>
          <w:tcPr>
            <w:tcW w:w="3005" w:type="dxa"/>
          </w:tcPr>
          <w:p w14:paraId="40ACEBC8"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−256</w:t>
            </w:r>
          </w:p>
        </w:tc>
        <w:tc>
          <w:tcPr>
            <w:tcW w:w="3006" w:type="dxa"/>
          </w:tcPr>
          <w:p w14:paraId="44DE274E"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−1,149</w:t>
            </w:r>
          </w:p>
        </w:tc>
      </w:tr>
    </w:tbl>
    <w:p w14:paraId="462CEB75" w14:textId="77777777" w:rsidR="005C2FA5" w:rsidRDefault="005C2FA5" w:rsidP="00502498"/>
    <w:p w14:paraId="4451CF81" w14:textId="77777777" w:rsidR="00502498" w:rsidRPr="005C2FA5" w:rsidRDefault="00502498" w:rsidP="00502498">
      <w:pPr>
        <w:rPr>
          <w:b/>
        </w:rPr>
      </w:pPr>
      <w:r w:rsidRPr="005C2FA5">
        <w:rPr>
          <w:b/>
        </w:rPr>
        <w:t>C4. Working Capital Movement Impact (2024)</w:t>
      </w:r>
    </w:p>
    <w:p w14:paraId="11926633" w14:textId="77777777" w:rsidR="00502498" w:rsidRPr="005C2FA5" w:rsidRDefault="00502498" w:rsidP="00502498">
      <w:pPr>
        <w:rPr>
          <w:b/>
        </w:rPr>
      </w:pPr>
      <w:r w:rsidRPr="005C2FA5">
        <w:rPr>
          <w:b/>
        </w:rPr>
        <w:t>Table C3: Working Capital Cash Effects</w:t>
      </w:r>
    </w:p>
    <w:tbl>
      <w:tblPr>
        <w:tblStyle w:val="GridTable4-Accent5"/>
        <w:tblW w:w="0" w:type="auto"/>
        <w:tblLook w:val="04A0" w:firstRow="1" w:lastRow="0" w:firstColumn="1" w:lastColumn="0" w:noHBand="0" w:noVBand="1"/>
      </w:tblPr>
      <w:tblGrid>
        <w:gridCol w:w="3005"/>
        <w:gridCol w:w="3005"/>
        <w:gridCol w:w="3006"/>
      </w:tblGrid>
      <w:tr w:rsidR="005C2FA5" w:rsidRPr="005C2FA5" w14:paraId="5C57F8CA" w14:textId="77777777" w:rsidTr="005C2F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867804E" w14:textId="77777777" w:rsidR="005C2FA5" w:rsidRPr="005C2FA5" w:rsidRDefault="005C2FA5" w:rsidP="005C2FA5">
            <w:r w:rsidRPr="005C2FA5">
              <w:t>Component</w:t>
            </w:r>
          </w:p>
        </w:tc>
        <w:tc>
          <w:tcPr>
            <w:tcW w:w="3005" w:type="dxa"/>
          </w:tcPr>
          <w:p w14:paraId="75B1F8A4"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pPr>
            <w:r w:rsidRPr="005C2FA5">
              <w:t>Cash Impact (£m)</w:t>
            </w:r>
          </w:p>
        </w:tc>
        <w:tc>
          <w:tcPr>
            <w:tcW w:w="3006" w:type="dxa"/>
          </w:tcPr>
          <w:p w14:paraId="479C9048"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pPr>
            <w:r w:rsidRPr="005C2FA5">
              <w:t>Effect</w:t>
            </w:r>
          </w:p>
        </w:tc>
      </w:tr>
      <w:tr w:rsidR="005C2FA5" w:rsidRPr="005C2FA5" w14:paraId="76E3F27E"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5F04708" w14:textId="77777777" w:rsidR="005C2FA5" w:rsidRPr="005C2FA5" w:rsidRDefault="005C2FA5" w:rsidP="005C2FA5">
            <w:r w:rsidRPr="005C2FA5">
              <w:t>Accounts receivable</w:t>
            </w:r>
          </w:p>
        </w:tc>
        <w:tc>
          <w:tcPr>
            <w:tcW w:w="3005" w:type="dxa"/>
          </w:tcPr>
          <w:p w14:paraId="5DE1DC17"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−12,174</w:t>
            </w:r>
          </w:p>
        </w:tc>
        <w:tc>
          <w:tcPr>
            <w:tcW w:w="3006" w:type="dxa"/>
          </w:tcPr>
          <w:p w14:paraId="3CC5448F"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Cash outflow</w:t>
            </w:r>
          </w:p>
        </w:tc>
      </w:tr>
      <w:tr w:rsidR="005C2FA5" w:rsidRPr="005C2FA5" w14:paraId="5FA7A6A3" w14:textId="77777777" w:rsidTr="005C2FA5">
        <w:tc>
          <w:tcPr>
            <w:cnfStyle w:val="001000000000" w:firstRow="0" w:lastRow="0" w:firstColumn="1" w:lastColumn="0" w:oddVBand="0" w:evenVBand="0" w:oddHBand="0" w:evenHBand="0" w:firstRowFirstColumn="0" w:firstRowLastColumn="0" w:lastRowFirstColumn="0" w:lastRowLastColumn="0"/>
            <w:tcW w:w="3005" w:type="dxa"/>
          </w:tcPr>
          <w:p w14:paraId="21DAD618" w14:textId="77777777" w:rsidR="005C2FA5" w:rsidRPr="005C2FA5" w:rsidRDefault="005C2FA5" w:rsidP="005C2FA5">
            <w:r w:rsidRPr="005C2FA5">
              <w:t>Inventories</w:t>
            </w:r>
          </w:p>
        </w:tc>
        <w:tc>
          <w:tcPr>
            <w:tcW w:w="3005" w:type="dxa"/>
          </w:tcPr>
          <w:p w14:paraId="6354162E"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+6,239</w:t>
            </w:r>
          </w:p>
        </w:tc>
        <w:tc>
          <w:tcPr>
            <w:tcW w:w="3006" w:type="dxa"/>
          </w:tcPr>
          <w:p w14:paraId="2BE3DD25"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Cash inflow</w:t>
            </w:r>
          </w:p>
        </w:tc>
      </w:tr>
      <w:tr w:rsidR="005C2FA5" w:rsidRPr="005C2FA5" w14:paraId="3842BFD8"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DB09F05" w14:textId="77777777" w:rsidR="005C2FA5" w:rsidRPr="005C2FA5" w:rsidRDefault="005C2FA5" w:rsidP="005C2FA5">
            <w:r w:rsidRPr="005C2FA5">
              <w:t>Payables &amp; accruals</w:t>
            </w:r>
          </w:p>
        </w:tc>
        <w:tc>
          <w:tcPr>
            <w:tcW w:w="3005" w:type="dxa"/>
          </w:tcPr>
          <w:p w14:paraId="3BD15A8F"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+15,733</w:t>
            </w:r>
          </w:p>
        </w:tc>
        <w:tc>
          <w:tcPr>
            <w:tcW w:w="3006" w:type="dxa"/>
          </w:tcPr>
          <w:p w14:paraId="698BEE52"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Cash inflow</w:t>
            </w:r>
          </w:p>
        </w:tc>
      </w:tr>
      <w:tr w:rsidR="005C2FA5" w:rsidRPr="005C2FA5" w14:paraId="2B937033" w14:textId="77777777" w:rsidTr="005C2FA5">
        <w:tc>
          <w:tcPr>
            <w:cnfStyle w:val="001000000000" w:firstRow="0" w:lastRow="0" w:firstColumn="1" w:lastColumn="0" w:oddVBand="0" w:evenVBand="0" w:oddHBand="0" w:evenHBand="0" w:firstRowFirstColumn="0" w:firstRowLastColumn="0" w:lastRowFirstColumn="0" w:lastRowLastColumn="0"/>
            <w:tcW w:w="3005" w:type="dxa"/>
          </w:tcPr>
          <w:p w14:paraId="73C68533" w14:textId="77777777" w:rsidR="005C2FA5" w:rsidRPr="005C2FA5" w:rsidRDefault="005C2FA5" w:rsidP="005C2FA5">
            <w:r w:rsidRPr="005C2FA5">
              <w:t>Accrued income taxes</w:t>
            </w:r>
          </w:p>
        </w:tc>
        <w:tc>
          <w:tcPr>
            <w:tcW w:w="3005" w:type="dxa"/>
          </w:tcPr>
          <w:p w14:paraId="21F0FD86"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+1,310</w:t>
            </w:r>
          </w:p>
        </w:tc>
        <w:tc>
          <w:tcPr>
            <w:tcW w:w="3006" w:type="dxa"/>
          </w:tcPr>
          <w:p w14:paraId="353ACB3B"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Cash inflow</w:t>
            </w:r>
          </w:p>
        </w:tc>
      </w:tr>
    </w:tbl>
    <w:p w14:paraId="52441F3B" w14:textId="77777777" w:rsidR="005C2FA5" w:rsidRDefault="005C2FA5" w:rsidP="00F5441F"/>
    <w:p w14:paraId="1A6EF7F2" w14:textId="77777777" w:rsidR="00F5441F" w:rsidRDefault="00F5441F" w:rsidP="005C2FA5">
      <w:pPr>
        <w:pStyle w:val="Heading1"/>
      </w:pPr>
      <w:bookmarkStart w:id="53" w:name="_Toc217264732"/>
      <w:r>
        <w:t>Appendix D — Cash Operating Cycle Calculations</w:t>
      </w:r>
      <w:bookmarkEnd w:id="53"/>
    </w:p>
    <w:p w14:paraId="2E2ACCC4" w14:textId="77777777" w:rsidR="00F5441F" w:rsidRPr="005C2FA5" w:rsidRDefault="00F5441F" w:rsidP="00F5441F">
      <w:pPr>
        <w:rPr>
          <w:b/>
        </w:rPr>
      </w:pPr>
      <w:r w:rsidRPr="005C2FA5">
        <w:rPr>
          <w:b/>
        </w:rPr>
        <w:t>Component Formulae</w:t>
      </w:r>
    </w:p>
    <w:p w14:paraId="3AFE4A7A" w14:textId="77777777" w:rsidR="00F5441F" w:rsidRDefault="00F5441F" w:rsidP="00F5441F">
      <w:r>
        <w:t>Inventory Days = (Inventory ÷ Cost of Sales) × 365</w:t>
      </w:r>
    </w:p>
    <w:p w14:paraId="487C0AE7" w14:textId="77777777" w:rsidR="00F5441F" w:rsidRDefault="00F5441F" w:rsidP="00F5441F">
      <w:r>
        <w:t>Receivables Days = (Receivables ÷ Net Sales) × 365</w:t>
      </w:r>
    </w:p>
    <w:p w14:paraId="59BB1EED" w14:textId="77777777" w:rsidR="00F5441F" w:rsidRDefault="00F5441F" w:rsidP="00F5441F">
      <w:r>
        <w:t>Payables Days = (Payables ÷ Cost of Sales) × 365</w:t>
      </w:r>
    </w:p>
    <w:p w14:paraId="7A9E5039" w14:textId="77777777" w:rsidR="00F5441F" w:rsidRDefault="00F5441F" w:rsidP="00F5441F">
      <w:r>
        <w:t>Cash Operating Cycle = Inventory Days + Receivables Days − Payables Days</w:t>
      </w:r>
    </w:p>
    <w:p w14:paraId="26788AA7" w14:textId="77777777" w:rsidR="00F5441F" w:rsidRPr="005C2FA5" w:rsidRDefault="00F5441F" w:rsidP="00F5441F">
      <w:pPr>
        <w:rPr>
          <w:b/>
        </w:rPr>
      </w:pPr>
      <w:r w:rsidRPr="005C2FA5">
        <w:rPr>
          <w:b/>
        </w:rPr>
        <w:lastRenderedPageBreak/>
        <w:t>D3. Cash Operating Cycle Calculations (2020–2024)</w:t>
      </w:r>
    </w:p>
    <w:p w14:paraId="796BEA87" w14:textId="77777777" w:rsidR="00F5441F" w:rsidRPr="005C2FA5" w:rsidRDefault="00F5441F" w:rsidP="00F5441F">
      <w:pPr>
        <w:rPr>
          <w:b/>
        </w:rPr>
      </w:pPr>
      <w:r w:rsidRPr="005C2FA5">
        <w:rPr>
          <w:b/>
        </w:rPr>
        <w:t>Table D1: Cash Operating Cycle Components</w:t>
      </w:r>
    </w:p>
    <w:tbl>
      <w:tblPr>
        <w:tblStyle w:val="GridTable4-Accent5"/>
        <w:tblW w:w="0" w:type="auto"/>
        <w:tblLook w:val="04A0" w:firstRow="1" w:lastRow="0" w:firstColumn="1" w:lastColumn="0" w:noHBand="0" w:noVBand="1"/>
      </w:tblPr>
      <w:tblGrid>
        <w:gridCol w:w="1803"/>
        <w:gridCol w:w="1803"/>
        <w:gridCol w:w="1803"/>
        <w:gridCol w:w="1803"/>
        <w:gridCol w:w="1804"/>
      </w:tblGrid>
      <w:tr w:rsidR="005C2FA5" w:rsidRPr="005C2FA5" w14:paraId="3ED13809" w14:textId="77777777" w:rsidTr="005C2F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3C113049" w14:textId="77777777" w:rsidR="005C2FA5" w:rsidRPr="005C2FA5" w:rsidRDefault="005C2FA5" w:rsidP="005C2FA5">
            <w:r w:rsidRPr="005C2FA5">
              <w:t>Year</w:t>
            </w:r>
          </w:p>
        </w:tc>
        <w:tc>
          <w:tcPr>
            <w:tcW w:w="1803" w:type="dxa"/>
          </w:tcPr>
          <w:p w14:paraId="7A762214"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pPr>
            <w:r w:rsidRPr="005C2FA5">
              <w:t>Inventory Days</w:t>
            </w:r>
          </w:p>
        </w:tc>
        <w:tc>
          <w:tcPr>
            <w:tcW w:w="1803" w:type="dxa"/>
          </w:tcPr>
          <w:p w14:paraId="210656FF"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pPr>
            <w:r w:rsidRPr="005C2FA5">
              <w:t>Receivables Days</w:t>
            </w:r>
          </w:p>
        </w:tc>
        <w:tc>
          <w:tcPr>
            <w:tcW w:w="1803" w:type="dxa"/>
          </w:tcPr>
          <w:p w14:paraId="0B4446B0"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pPr>
            <w:r w:rsidRPr="005C2FA5">
              <w:t>Payables Days</w:t>
            </w:r>
          </w:p>
        </w:tc>
        <w:tc>
          <w:tcPr>
            <w:tcW w:w="1804" w:type="dxa"/>
          </w:tcPr>
          <w:p w14:paraId="55587D71"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pPr>
            <w:r w:rsidRPr="005C2FA5">
              <w:t>Net Cash Cycle (Days)</w:t>
            </w:r>
          </w:p>
        </w:tc>
      </w:tr>
      <w:tr w:rsidR="005C2FA5" w:rsidRPr="005C2FA5" w14:paraId="52300461"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B5F7EE4" w14:textId="77777777" w:rsidR="005C2FA5" w:rsidRPr="005C2FA5" w:rsidRDefault="005C2FA5" w:rsidP="005C2FA5">
            <w:r w:rsidRPr="005C2FA5">
              <w:t>2020</w:t>
            </w:r>
          </w:p>
        </w:tc>
        <w:tc>
          <w:tcPr>
            <w:tcW w:w="1803" w:type="dxa"/>
          </w:tcPr>
          <w:p w14:paraId="1993F7ED"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100</w:t>
            </w:r>
          </w:p>
        </w:tc>
        <w:tc>
          <w:tcPr>
            <w:tcW w:w="1803" w:type="dxa"/>
          </w:tcPr>
          <w:p w14:paraId="5C9B05C1"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77</w:t>
            </w:r>
          </w:p>
        </w:tc>
        <w:tc>
          <w:tcPr>
            <w:tcW w:w="1803" w:type="dxa"/>
          </w:tcPr>
          <w:p w14:paraId="4238A1F8"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69</w:t>
            </w:r>
          </w:p>
        </w:tc>
        <w:tc>
          <w:tcPr>
            <w:tcW w:w="1804" w:type="dxa"/>
          </w:tcPr>
          <w:p w14:paraId="11AA6D4E"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108</w:t>
            </w:r>
          </w:p>
        </w:tc>
      </w:tr>
      <w:tr w:rsidR="005C2FA5" w:rsidRPr="005C2FA5" w14:paraId="4571F20D" w14:textId="77777777" w:rsidTr="005C2FA5">
        <w:tc>
          <w:tcPr>
            <w:cnfStyle w:val="001000000000" w:firstRow="0" w:lastRow="0" w:firstColumn="1" w:lastColumn="0" w:oddVBand="0" w:evenVBand="0" w:oddHBand="0" w:evenHBand="0" w:firstRowFirstColumn="0" w:firstRowLastColumn="0" w:lastRowFirstColumn="0" w:lastRowLastColumn="0"/>
            <w:tcW w:w="1803" w:type="dxa"/>
          </w:tcPr>
          <w:p w14:paraId="1724DC2D" w14:textId="77777777" w:rsidR="005C2FA5" w:rsidRPr="005C2FA5" w:rsidRDefault="005C2FA5" w:rsidP="005C2FA5">
            <w:r w:rsidRPr="005C2FA5">
              <w:t>2021</w:t>
            </w:r>
          </w:p>
        </w:tc>
        <w:tc>
          <w:tcPr>
            <w:tcW w:w="1803" w:type="dxa"/>
          </w:tcPr>
          <w:p w14:paraId="7C1F6324"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114</w:t>
            </w:r>
          </w:p>
        </w:tc>
        <w:tc>
          <w:tcPr>
            <w:tcW w:w="1803" w:type="dxa"/>
          </w:tcPr>
          <w:p w14:paraId="5B2B5024"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78</w:t>
            </w:r>
          </w:p>
        </w:tc>
        <w:tc>
          <w:tcPr>
            <w:tcW w:w="1803" w:type="dxa"/>
          </w:tcPr>
          <w:p w14:paraId="27AE5CDB"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79</w:t>
            </w:r>
          </w:p>
        </w:tc>
        <w:tc>
          <w:tcPr>
            <w:tcW w:w="1804" w:type="dxa"/>
          </w:tcPr>
          <w:p w14:paraId="672D06FC"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113</w:t>
            </w:r>
          </w:p>
        </w:tc>
      </w:tr>
      <w:tr w:rsidR="005C2FA5" w:rsidRPr="005C2FA5" w14:paraId="0D72A49E"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3F5FA3E8" w14:textId="77777777" w:rsidR="005C2FA5" w:rsidRPr="005C2FA5" w:rsidRDefault="005C2FA5" w:rsidP="005C2FA5">
            <w:r w:rsidRPr="005C2FA5">
              <w:t>2022</w:t>
            </w:r>
          </w:p>
        </w:tc>
        <w:tc>
          <w:tcPr>
            <w:tcW w:w="1803" w:type="dxa"/>
          </w:tcPr>
          <w:p w14:paraId="531FC430"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131</w:t>
            </w:r>
          </w:p>
        </w:tc>
        <w:tc>
          <w:tcPr>
            <w:tcW w:w="1803" w:type="dxa"/>
          </w:tcPr>
          <w:p w14:paraId="04B6352A"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76</w:t>
            </w:r>
          </w:p>
        </w:tc>
        <w:tc>
          <w:tcPr>
            <w:tcW w:w="1803" w:type="dxa"/>
          </w:tcPr>
          <w:p w14:paraId="5D2249EC"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67</w:t>
            </w:r>
          </w:p>
        </w:tc>
        <w:tc>
          <w:tcPr>
            <w:tcW w:w="1804" w:type="dxa"/>
          </w:tcPr>
          <w:p w14:paraId="077ACF62"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140</w:t>
            </w:r>
          </w:p>
        </w:tc>
      </w:tr>
      <w:tr w:rsidR="005C2FA5" w:rsidRPr="005C2FA5" w14:paraId="70C8F47C" w14:textId="77777777" w:rsidTr="005C2FA5">
        <w:tc>
          <w:tcPr>
            <w:cnfStyle w:val="001000000000" w:firstRow="0" w:lastRow="0" w:firstColumn="1" w:lastColumn="0" w:oddVBand="0" w:evenVBand="0" w:oddHBand="0" w:evenHBand="0" w:firstRowFirstColumn="0" w:firstRowLastColumn="0" w:lastRowFirstColumn="0" w:lastRowLastColumn="0"/>
            <w:tcW w:w="1803" w:type="dxa"/>
          </w:tcPr>
          <w:p w14:paraId="0221F5DA" w14:textId="77777777" w:rsidR="005C2FA5" w:rsidRPr="005C2FA5" w:rsidRDefault="005C2FA5" w:rsidP="005C2FA5">
            <w:r w:rsidRPr="005C2FA5">
              <w:t>2023</w:t>
            </w:r>
          </w:p>
        </w:tc>
        <w:tc>
          <w:tcPr>
            <w:tcW w:w="1803" w:type="dxa"/>
          </w:tcPr>
          <w:p w14:paraId="6BE1655D"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100</w:t>
            </w:r>
          </w:p>
        </w:tc>
        <w:tc>
          <w:tcPr>
            <w:tcW w:w="1803" w:type="dxa"/>
          </w:tcPr>
          <w:p w14:paraId="40FA9154"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98</w:t>
            </w:r>
          </w:p>
        </w:tc>
        <w:tc>
          <w:tcPr>
            <w:tcW w:w="1803" w:type="dxa"/>
          </w:tcPr>
          <w:p w14:paraId="67A62DB0"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65</w:t>
            </w:r>
          </w:p>
        </w:tc>
        <w:tc>
          <w:tcPr>
            <w:tcW w:w="1804" w:type="dxa"/>
          </w:tcPr>
          <w:p w14:paraId="6D33A189"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133</w:t>
            </w:r>
          </w:p>
        </w:tc>
      </w:tr>
      <w:tr w:rsidR="005C2FA5" w:rsidRPr="005C2FA5" w14:paraId="0E10ACBB"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685832A7" w14:textId="77777777" w:rsidR="005C2FA5" w:rsidRPr="005C2FA5" w:rsidRDefault="005C2FA5" w:rsidP="005C2FA5">
            <w:r w:rsidRPr="005C2FA5">
              <w:t>2024</w:t>
            </w:r>
          </w:p>
        </w:tc>
        <w:tc>
          <w:tcPr>
            <w:tcW w:w="1803" w:type="dxa"/>
          </w:tcPr>
          <w:p w14:paraId="1A9C2961"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103</w:t>
            </w:r>
          </w:p>
        </w:tc>
        <w:tc>
          <w:tcPr>
            <w:tcW w:w="1803" w:type="dxa"/>
          </w:tcPr>
          <w:p w14:paraId="73EC399D"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105</w:t>
            </w:r>
          </w:p>
        </w:tc>
        <w:tc>
          <w:tcPr>
            <w:tcW w:w="1803" w:type="dxa"/>
          </w:tcPr>
          <w:p w14:paraId="486B31E6"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94</w:t>
            </w:r>
          </w:p>
        </w:tc>
        <w:tc>
          <w:tcPr>
            <w:tcW w:w="1804" w:type="dxa"/>
          </w:tcPr>
          <w:p w14:paraId="536613C1"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114</w:t>
            </w:r>
          </w:p>
        </w:tc>
      </w:tr>
    </w:tbl>
    <w:p w14:paraId="30BF3EB4" w14:textId="77777777" w:rsidR="005C2FA5" w:rsidRDefault="005C2FA5" w:rsidP="00ED536A"/>
    <w:p w14:paraId="33D53EC8" w14:textId="77777777" w:rsidR="00ED536A" w:rsidRDefault="00ED536A" w:rsidP="005C2FA5">
      <w:pPr>
        <w:pStyle w:val="Heading1"/>
      </w:pPr>
      <w:bookmarkStart w:id="54" w:name="_Toc217264733"/>
      <w:r>
        <w:t>Appendix E — Financial Restructuring Options Comparison</w:t>
      </w:r>
      <w:bookmarkEnd w:id="54"/>
    </w:p>
    <w:p w14:paraId="16D64BC3" w14:textId="77777777" w:rsidR="00ED536A" w:rsidRPr="005C2FA5" w:rsidRDefault="00ED536A" w:rsidP="00ED536A">
      <w:pPr>
        <w:rPr>
          <w:b/>
        </w:rPr>
      </w:pPr>
      <w:r w:rsidRPr="005C2FA5">
        <w:rPr>
          <w:b/>
        </w:rPr>
        <w:t>Comparative Evaluation of Restructuring Options</w:t>
      </w:r>
    </w:p>
    <w:p w14:paraId="362527CB" w14:textId="77777777" w:rsidR="00ED536A" w:rsidRPr="005C2FA5" w:rsidRDefault="00ED536A" w:rsidP="00ED536A">
      <w:pPr>
        <w:rPr>
          <w:b/>
        </w:rPr>
      </w:pPr>
      <w:r w:rsidRPr="005C2FA5">
        <w:rPr>
          <w:b/>
        </w:rPr>
        <w:t>Table E1: Financial Restructuring Options Impact Assessment</w:t>
      </w:r>
    </w:p>
    <w:tbl>
      <w:tblPr>
        <w:tblStyle w:val="GridTable4-Accent5"/>
        <w:tblW w:w="0" w:type="auto"/>
        <w:tblLook w:val="04A0" w:firstRow="1" w:lastRow="0" w:firstColumn="1" w:lastColumn="0" w:noHBand="0" w:noVBand="1"/>
      </w:tblPr>
      <w:tblGrid>
        <w:gridCol w:w="2254"/>
        <w:gridCol w:w="2254"/>
        <w:gridCol w:w="2254"/>
        <w:gridCol w:w="2254"/>
      </w:tblGrid>
      <w:tr w:rsidR="005C2FA5" w:rsidRPr="005C2FA5" w14:paraId="00DF2244" w14:textId="77777777" w:rsidTr="005C2F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A747A2D" w14:textId="77777777" w:rsidR="005C2FA5" w:rsidRPr="005C2FA5" w:rsidRDefault="005C2FA5" w:rsidP="005C2FA5">
            <w:r w:rsidRPr="005C2FA5">
              <w:t>Option</w:t>
            </w:r>
          </w:p>
        </w:tc>
        <w:tc>
          <w:tcPr>
            <w:tcW w:w="2254" w:type="dxa"/>
          </w:tcPr>
          <w:p w14:paraId="717FEB9C"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pPr>
            <w:r w:rsidRPr="005C2FA5">
              <w:t>Impact on Shareholder Value</w:t>
            </w:r>
          </w:p>
        </w:tc>
        <w:tc>
          <w:tcPr>
            <w:tcW w:w="2254" w:type="dxa"/>
          </w:tcPr>
          <w:p w14:paraId="537EA2A7"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pPr>
            <w:r w:rsidRPr="005C2FA5">
              <w:t>Impact on Capital Structure</w:t>
            </w:r>
          </w:p>
        </w:tc>
        <w:tc>
          <w:tcPr>
            <w:tcW w:w="2254" w:type="dxa"/>
          </w:tcPr>
          <w:p w14:paraId="3C32B88F"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pPr>
            <w:r w:rsidRPr="005C2FA5">
              <w:t>Impact on Operational Flexibility</w:t>
            </w:r>
          </w:p>
        </w:tc>
      </w:tr>
      <w:tr w:rsidR="005C2FA5" w:rsidRPr="005C2FA5" w14:paraId="60F7D91A"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B3235CA" w14:textId="77777777" w:rsidR="005C2FA5" w:rsidRPr="005C2FA5" w:rsidRDefault="005C2FA5" w:rsidP="005C2FA5">
            <w:r w:rsidRPr="005C2FA5">
              <w:t>Asset divestment</w:t>
            </w:r>
          </w:p>
        </w:tc>
        <w:tc>
          <w:tcPr>
            <w:tcW w:w="2254" w:type="dxa"/>
          </w:tcPr>
          <w:p w14:paraId="20464ADF"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Medium</w:t>
            </w:r>
          </w:p>
        </w:tc>
        <w:tc>
          <w:tcPr>
            <w:tcW w:w="2254" w:type="dxa"/>
          </w:tcPr>
          <w:p w14:paraId="43B30CBD"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Medium</w:t>
            </w:r>
          </w:p>
        </w:tc>
        <w:tc>
          <w:tcPr>
            <w:tcW w:w="2254" w:type="dxa"/>
          </w:tcPr>
          <w:p w14:paraId="46FC87F0"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Low</w:t>
            </w:r>
          </w:p>
        </w:tc>
      </w:tr>
      <w:tr w:rsidR="005C2FA5" w:rsidRPr="005C2FA5" w14:paraId="74987A00" w14:textId="77777777" w:rsidTr="005C2FA5">
        <w:tc>
          <w:tcPr>
            <w:cnfStyle w:val="001000000000" w:firstRow="0" w:lastRow="0" w:firstColumn="1" w:lastColumn="0" w:oddVBand="0" w:evenVBand="0" w:oddHBand="0" w:evenHBand="0" w:firstRowFirstColumn="0" w:firstRowLastColumn="0" w:lastRowFirstColumn="0" w:lastRowLastColumn="0"/>
            <w:tcW w:w="2254" w:type="dxa"/>
          </w:tcPr>
          <w:p w14:paraId="1F50AF43" w14:textId="77777777" w:rsidR="005C2FA5" w:rsidRPr="005C2FA5" w:rsidRDefault="005C2FA5" w:rsidP="005C2FA5">
            <w:r w:rsidRPr="005C2FA5">
              <w:t>Equity injection</w:t>
            </w:r>
          </w:p>
        </w:tc>
        <w:tc>
          <w:tcPr>
            <w:tcW w:w="2254" w:type="dxa"/>
          </w:tcPr>
          <w:p w14:paraId="756057A2"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High</w:t>
            </w:r>
          </w:p>
        </w:tc>
        <w:tc>
          <w:tcPr>
            <w:tcW w:w="2254" w:type="dxa"/>
          </w:tcPr>
          <w:p w14:paraId="0C0EC7D5"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High</w:t>
            </w:r>
          </w:p>
        </w:tc>
        <w:tc>
          <w:tcPr>
            <w:tcW w:w="2254" w:type="dxa"/>
          </w:tcPr>
          <w:p w14:paraId="2E14F219"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High</w:t>
            </w:r>
          </w:p>
        </w:tc>
      </w:tr>
      <w:tr w:rsidR="005C2FA5" w:rsidRPr="005C2FA5" w14:paraId="12DDBB54"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88D58CC" w14:textId="77777777" w:rsidR="005C2FA5" w:rsidRPr="005C2FA5" w:rsidRDefault="005C2FA5" w:rsidP="005C2FA5">
            <w:r w:rsidRPr="005C2FA5">
              <w:t>Debt restructuring</w:t>
            </w:r>
          </w:p>
        </w:tc>
        <w:tc>
          <w:tcPr>
            <w:tcW w:w="2254" w:type="dxa"/>
          </w:tcPr>
          <w:p w14:paraId="01945B43"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Medium</w:t>
            </w:r>
          </w:p>
        </w:tc>
        <w:tc>
          <w:tcPr>
            <w:tcW w:w="2254" w:type="dxa"/>
          </w:tcPr>
          <w:p w14:paraId="337DC1F4"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Medium</w:t>
            </w:r>
          </w:p>
        </w:tc>
        <w:tc>
          <w:tcPr>
            <w:tcW w:w="2254" w:type="dxa"/>
          </w:tcPr>
          <w:p w14:paraId="7A867259"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Medium</w:t>
            </w:r>
          </w:p>
        </w:tc>
      </w:tr>
      <w:tr w:rsidR="005C2FA5" w:rsidRPr="005C2FA5" w14:paraId="2FB71186" w14:textId="77777777" w:rsidTr="005C2FA5">
        <w:tc>
          <w:tcPr>
            <w:cnfStyle w:val="001000000000" w:firstRow="0" w:lastRow="0" w:firstColumn="1" w:lastColumn="0" w:oddVBand="0" w:evenVBand="0" w:oddHBand="0" w:evenHBand="0" w:firstRowFirstColumn="0" w:firstRowLastColumn="0" w:lastRowFirstColumn="0" w:lastRowLastColumn="0"/>
            <w:tcW w:w="2254" w:type="dxa"/>
          </w:tcPr>
          <w:p w14:paraId="5F685277" w14:textId="77777777" w:rsidR="005C2FA5" w:rsidRPr="005C2FA5" w:rsidRDefault="005C2FA5" w:rsidP="005C2FA5">
            <w:r w:rsidRPr="005C2FA5">
              <w:t>Strategic alliance / merger</w:t>
            </w:r>
          </w:p>
        </w:tc>
        <w:tc>
          <w:tcPr>
            <w:tcW w:w="2254" w:type="dxa"/>
          </w:tcPr>
          <w:p w14:paraId="40308DFA"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High</w:t>
            </w:r>
          </w:p>
        </w:tc>
        <w:tc>
          <w:tcPr>
            <w:tcW w:w="2254" w:type="dxa"/>
          </w:tcPr>
          <w:p w14:paraId="21C37522"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Medium</w:t>
            </w:r>
          </w:p>
        </w:tc>
        <w:tc>
          <w:tcPr>
            <w:tcW w:w="2254" w:type="dxa"/>
          </w:tcPr>
          <w:p w14:paraId="62714D80"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High</w:t>
            </w:r>
          </w:p>
        </w:tc>
      </w:tr>
    </w:tbl>
    <w:p w14:paraId="1D281C58" w14:textId="77777777" w:rsidR="005C2FA5" w:rsidRDefault="005C2FA5" w:rsidP="00ED536A"/>
    <w:p w14:paraId="26D42D91" w14:textId="77777777" w:rsidR="0090560D" w:rsidRPr="0090560D" w:rsidRDefault="0090560D" w:rsidP="005C2FA5">
      <w:pPr>
        <w:pStyle w:val="Heading1"/>
      </w:pPr>
      <w:bookmarkStart w:id="55" w:name="_Toc217264734"/>
      <w:r w:rsidRPr="0090560D">
        <w:t>Appendix F — Investment Appraisal Calculations</w:t>
      </w:r>
      <w:bookmarkEnd w:id="55"/>
    </w:p>
    <w:p w14:paraId="34E4E619" w14:textId="77777777" w:rsidR="0090560D" w:rsidRPr="0090560D" w:rsidRDefault="0090560D" w:rsidP="0090560D">
      <w:pPr>
        <w:rPr>
          <w:b/>
          <w:bCs/>
        </w:rPr>
      </w:pPr>
      <w:r w:rsidRPr="0090560D">
        <w:rPr>
          <w:b/>
          <w:bCs/>
        </w:rPr>
        <w:t>Payback Period (PBP) Calculations</w:t>
      </w:r>
    </w:p>
    <w:p w14:paraId="4C5C1F6E" w14:textId="77777777" w:rsidR="0090560D" w:rsidRDefault="0090560D" w:rsidP="0090560D">
      <w:pPr>
        <w:rPr>
          <w:b/>
          <w:bCs/>
        </w:rPr>
      </w:pPr>
      <w:r w:rsidRPr="0090560D">
        <w:rPr>
          <w:b/>
          <w:bCs/>
        </w:rPr>
        <w:t>Table F1: Payback Period Calculations</w:t>
      </w:r>
    </w:p>
    <w:tbl>
      <w:tblPr>
        <w:tblStyle w:val="GridTable4-Accent5"/>
        <w:tblW w:w="0" w:type="auto"/>
        <w:tblLook w:val="04A0" w:firstRow="1" w:lastRow="0" w:firstColumn="1" w:lastColumn="0" w:noHBand="0" w:noVBand="1"/>
      </w:tblPr>
      <w:tblGrid>
        <w:gridCol w:w="1246"/>
        <w:gridCol w:w="1254"/>
        <w:gridCol w:w="1336"/>
        <w:gridCol w:w="1254"/>
        <w:gridCol w:w="1336"/>
        <w:gridCol w:w="1254"/>
        <w:gridCol w:w="1336"/>
      </w:tblGrid>
      <w:tr w:rsidR="005C2FA5" w:rsidRPr="005C2FA5" w14:paraId="4C989B10" w14:textId="77777777" w:rsidTr="005C2F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052E8A58" w14:textId="77777777" w:rsidR="005C2FA5" w:rsidRPr="005C2FA5" w:rsidRDefault="005C2FA5" w:rsidP="005C2FA5">
            <w:pPr>
              <w:rPr>
                <w:b w:val="0"/>
                <w:bCs w:val="0"/>
              </w:rPr>
            </w:pPr>
            <w:r w:rsidRPr="005C2FA5">
              <w:rPr>
                <w:b w:val="0"/>
              </w:rPr>
              <w:t>Year</w:t>
            </w:r>
          </w:p>
        </w:tc>
        <w:tc>
          <w:tcPr>
            <w:tcW w:w="1288" w:type="dxa"/>
          </w:tcPr>
          <w:p w14:paraId="657DFB1A"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rPr>
                <w:b w:val="0"/>
                <w:bCs w:val="0"/>
              </w:rPr>
            </w:pPr>
            <w:r w:rsidRPr="005C2FA5">
              <w:rPr>
                <w:b w:val="0"/>
              </w:rPr>
              <w:t>Project A (£m)</w:t>
            </w:r>
          </w:p>
        </w:tc>
        <w:tc>
          <w:tcPr>
            <w:tcW w:w="1288" w:type="dxa"/>
          </w:tcPr>
          <w:p w14:paraId="2D1709EF"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rPr>
                <w:b w:val="0"/>
                <w:bCs w:val="0"/>
              </w:rPr>
            </w:pPr>
            <w:r w:rsidRPr="005C2FA5">
              <w:rPr>
                <w:b w:val="0"/>
              </w:rPr>
              <w:t>Cumulative</w:t>
            </w:r>
          </w:p>
        </w:tc>
        <w:tc>
          <w:tcPr>
            <w:tcW w:w="1288" w:type="dxa"/>
          </w:tcPr>
          <w:p w14:paraId="67E4E878"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rPr>
                <w:b w:val="0"/>
                <w:bCs w:val="0"/>
              </w:rPr>
            </w:pPr>
            <w:r w:rsidRPr="005C2FA5">
              <w:rPr>
                <w:b w:val="0"/>
              </w:rPr>
              <w:t>Project B (£m)</w:t>
            </w:r>
          </w:p>
        </w:tc>
        <w:tc>
          <w:tcPr>
            <w:tcW w:w="1288" w:type="dxa"/>
          </w:tcPr>
          <w:p w14:paraId="53B72AD8"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rPr>
                <w:b w:val="0"/>
                <w:bCs w:val="0"/>
              </w:rPr>
            </w:pPr>
            <w:r w:rsidRPr="005C2FA5">
              <w:rPr>
                <w:b w:val="0"/>
              </w:rPr>
              <w:t>Cumulative</w:t>
            </w:r>
          </w:p>
        </w:tc>
        <w:tc>
          <w:tcPr>
            <w:tcW w:w="1288" w:type="dxa"/>
          </w:tcPr>
          <w:p w14:paraId="34F385D9"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rPr>
                <w:b w:val="0"/>
                <w:bCs w:val="0"/>
              </w:rPr>
            </w:pPr>
            <w:r w:rsidRPr="005C2FA5">
              <w:rPr>
                <w:b w:val="0"/>
              </w:rPr>
              <w:t>Project C (£m)</w:t>
            </w:r>
          </w:p>
        </w:tc>
        <w:tc>
          <w:tcPr>
            <w:tcW w:w="1288" w:type="dxa"/>
          </w:tcPr>
          <w:p w14:paraId="7D62A674"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rPr>
                <w:b w:val="0"/>
                <w:bCs w:val="0"/>
              </w:rPr>
            </w:pPr>
            <w:r w:rsidRPr="005C2FA5">
              <w:rPr>
                <w:b w:val="0"/>
              </w:rPr>
              <w:t>Cumulative</w:t>
            </w:r>
          </w:p>
        </w:tc>
      </w:tr>
      <w:tr w:rsidR="005C2FA5" w:rsidRPr="005C2FA5" w14:paraId="2974AA1C"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15819672" w14:textId="77777777" w:rsidR="005C2FA5" w:rsidRPr="005C2FA5" w:rsidRDefault="005C2FA5" w:rsidP="005C2FA5">
            <w:pPr>
              <w:rPr>
                <w:b w:val="0"/>
                <w:bCs w:val="0"/>
              </w:rPr>
            </w:pPr>
            <w:r w:rsidRPr="005C2FA5">
              <w:rPr>
                <w:b w:val="0"/>
              </w:rPr>
              <w:t>Initial</w:t>
            </w:r>
          </w:p>
        </w:tc>
        <w:tc>
          <w:tcPr>
            <w:tcW w:w="1288" w:type="dxa"/>
          </w:tcPr>
          <w:p w14:paraId="277560E4"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Cs/>
              </w:rPr>
            </w:pPr>
            <w:r w:rsidRPr="005C2FA5">
              <w:rPr>
                <w:bCs/>
              </w:rPr>
              <w:t>−40</w:t>
            </w:r>
          </w:p>
        </w:tc>
        <w:tc>
          <w:tcPr>
            <w:tcW w:w="1288" w:type="dxa"/>
          </w:tcPr>
          <w:p w14:paraId="5D12DD9F"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Cs/>
              </w:rPr>
            </w:pPr>
            <w:r w:rsidRPr="005C2FA5">
              <w:rPr>
                <w:bCs/>
              </w:rPr>
              <w:t>−40</w:t>
            </w:r>
          </w:p>
        </w:tc>
        <w:tc>
          <w:tcPr>
            <w:tcW w:w="1288" w:type="dxa"/>
          </w:tcPr>
          <w:p w14:paraId="37CD11F3"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Cs/>
              </w:rPr>
            </w:pPr>
            <w:r w:rsidRPr="005C2FA5">
              <w:rPr>
                <w:bCs/>
              </w:rPr>
              <w:t>−30</w:t>
            </w:r>
          </w:p>
        </w:tc>
        <w:tc>
          <w:tcPr>
            <w:tcW w:w="1288" w:type="dxa"/>
          </w:tcPr>
          <w:p w14:paraId="5136746A"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Cs/>
              </w:rPr>
            </w:pPr>
            <w:r w:rsidRPr="005C2FA5">
              <w:rPr>
                <w:bCs/>
              </w:rPr>
              <w:t>−30</w:t>
            </w:r>
          </w:p>
        </w:tc>
        <w:tc>
          <w:tcPr>
            <w:tcW w:w="1288" w:type="dxa"/>
          </w:tcPr>
          <w:p w14:paraId="311CD7E2"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Cs/>
              </w:rPr>
            </w:pPr>
            <w:r w:rsidRPr="005C2FA5">
              <w:rPr>
                <w:bCs/>
              </w:rPr>
              <w:t>−50</w:t>
            </w:r>
          </w:p>
        </w:tc>
        <w:tc>
          <w:tcPr>
            <w:tcW w:w="1288" w:type="dxa"/>
          </w:tcPr>
          <w:p w14:paraId="3A92B69E"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Cs/>
              </w:rPr>
            </w:pPr>
            <w:r w:rsidRPr="005C2FA5">
              <w:rPr>
                <w:bCs/>
              </w:rPr>
              <w:t>−50</w:t>
            </w:r>
          </w:p>
        </w:tc>
      </w:tr>
      <w:tr w:rsidR="005C2FA5" w:rsidRPr="005C2FA5" w14:paraId="080DBDB4" w14:textId="77777777" w:rsidTr="005C2FA5">
        <w:tc>
          <w:tcPr>
            <w:cnfStyle w:val="001000000000" w:firstRow="0" w:lastRow="0" w:firstColumn="1" w:lastColumn="0" w:oddVBand="0" w:evenVBand="0" w:oddHBand="0" w:evenHBand="0" w:firstRowFirstColumn="0" w:firstRowLastColumn="0" w:lastRowFirstColumn="0" w:lastRowLastColumn="0"/>
            <w:tcW w:w="1288" w:type="dxa"/>
          </w:tcPr>
          <w:p w14:paraId="7BAEBE6C" w14:textId="77777777" w:rsidR="005C2FA5" w:rsidRPr="005C2FA5" w:rsidRDefault="005C2FA5" w:rsidP="005C2FA5">
            <w:pPr>
              <w:rPr>
                <w:b w:val="0"/>
                <w:bCs w:val="0"/>
              </w:rPr>
            </w:pPr>
            <w:r w:rsidRPr="005C2FA5">
              <w:rPr>
                <w:b w:val="0"/>
              </w:rPr>
              <w:t>1</w:t>
            </w:r>
          </w:p>
        </w:tc>
        <w:tc>
          <w:tcPr>
            <w:tcW w:w="1288" w:type="dxa"/>
          </w:tcPr>
          <w:p w14:paraId="79CC35A9"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Cs/>
              </w:rPr>
            </w:pPr>
            <w:r w:rsidRPr="005C2FA5">
              <w:rPr>
                <w:bCs/>
              </w:rPr>
              <w:t>10</w:t>
            </w:r>
          </w:p>
        </w:tc>
        <w:tc>
          <w:tcPr>
            <w:tcW w:w="1288" w:type="dxa"/>
          </w:tcPr>
          <w:p w14:paraId="2A337B1F"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Cs/>
              </w:rPr>
            </w:pPr>
            <w:r w:rsidRPr="005C2FA5">
              <w:rPr>
                <w:bCs/>
              </w:rPr>
              <w:t>−30</w:t>
            </w:r>
          </w:p>
        </w:tc>
        <w:tc>
          <w:tcPr>
            <w:tcW w:w="1288" w:type="dxa"/>
          </w:tcPr>
          <w:p w14:paraId="14072F4D"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Cs/>
              </w:rPr>
            </w:pPr>
            <w:r w:rsidRPr="005C2FA5">
              <w:rPr>
                <w:bCs/>
              </w:rPr>
              <w:t>6</w:t>
            </w:r>
          </w:p>
        </w:tc>
        <w:tc>
          <w:tcPr>
            <w:tcW w:w="1288" w:type="dxa"/>
          </w:tcPr>
          <w:p w14:paraId="72AE6B0C"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Cs/>
              </w:rPr>
            </w:pPr>
            <w:r w:rsidRPr="005C2FA5">
              <w:rPr>
                <w:bCs/>
              </w:rPr>
              <w:t>−24</w:t>
            </w:r>
          </w:p>
        </w:tc>
        <w:tc>
          <w:tcPr>
            <w:tcW w:w="1288" w:type="dxa"/>
          </w:tcPr>
          <w:p w14:paraId="284D8F8A"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Cs/>
              </w:rPr>
            </w:pPr>
            <w:r w:rsidRPr="005C2FA5">
              <w:rPr>
                <w:bCs/>
              </w:rPr>
              <w:t>5</w:t>
            </w:r>
          </w:p>
        </w:tc>
        <w:tc>
          <w:tcPr>
            <w:tcW w:w="1288" w:type="dxa"/>
          </w:tcPr>
          <w:p w14:paraId="4288756D"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Cs/>
              </w:rPr>
            </w:pPr>
            <w:r w:rsidRPr="005C2FA5">
              <w:rPr>
                <w:bCs/>
              </w:rPr>
              <w:t>−45</w:t>
            </w:r>
          </w:p>
        </w:tc>
      </w:tr>
      <w:tr w:rsidR="005C2FA5" w:rsidRPr="005C2FA5" w14:paraId="4AB01D14"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12335379" w14:textId="77777777" w:rsidR="005C2FA5" w:rsidRPr="005C2FA5" w:rsidRDefault="005C2FA5" w:rsidP="005C2FA5">
            <w:pPr>
              <w:rPr>
                <w:b w:val="0"/>
                <w:bCs w:val="0"/>
              </w:rPr>
            </w:pPr>
            <w:r w:rsidRPr="005C2FA5">
              <w:rPr>
                <w:b w:val="0"/>
              </w:rPr>
              <w:lastRenderedPageBreak/>
              <w:t>2</w:t>
            </w:r>
          </w:p>
        </w:tc>
        <w:tc>
          <w:tcPr>
            <w:tcW w:w="1288" w:type="dxa"/>
          </w:tcPr>
          <w:p w14:paraId="5615FB75"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Cs/>
              </w:rPr>
            </w:pPr>
            <w:r w:rsidRPr="005C2FA5">
              <w:rPr>
                <w:bCs/>
              </w:rPr>
              <w:t>12</w:t>
            </w:r>
          </w:p>
        </w:tc>
        <w:tc>
          <w:tcPr>
            <w:tcW w:w="1288" w:type="dxa"/>
          </w:tcPr>
          <w:p w14:paraId="245CA1AE"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Cs/>
              </w:rPr>
            </w:pPr>
            <w:r w:rsidRPr="005C2FA5">
              <w:rPr>
                <w:bCs/>
              </w:rPr>
              <w:t>−18</w:t>
            </w:r>
          </w:p>
        </w:tc>
        <w:tc>
          <w:tcPr>
            <w:tcW w:w="1288" w:type="dxa"/>
          </w:tcPr>
          <w:p w14:paraId="10B35273"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Cs/>
              </w:rPr>
            </w:pPr>
            <w:r w:rsidRPr="005C2FA5">
              <w:rPr>
                <w:bCs/>
              </w:rPr>
              <w:t>6</w:t>
            </w:r>
          </w:p>
        </w:tc>
        <w:tc>
          <w:tcPr>
            <w:tcW w:w="1288" w:type="dxa"/>
          </w:tcPr>
          <w:p w14:paraId="4A6ECF22"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Cs/>
              </w:rPr>
            </w:pPr>
            <w:r w:rsidRPr="005C2FA5">
              <w:rPr>
                <w:bCs/>
              </w:rPr>
              <w:t>−18</w:t>
            </w:r>
          </w:p>
        </w:tc>
        <w:tc>
          <w:tcPr>
            <w:tcW w:w="1288" w:type="dxa"/>
          </w:tcPr>
          <w:p w14:paraId="180D1E86"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Cs/>
              </w:rPr>
            </w:pPr>
            <w:r w:rsidRPr="005C2FA5">
              <w:rPr>
                <w:bCs/>
              </w:rPr>
              <w:t>10</w:t>
            </w:r>
          </w:p>
        </w:tc>
        <w:tc>
          <w:tcPr>
            <w:tcW w:w="1288" w:type="dxa"/>
          </w:tcPr>
          <w:p w14:paraId="4A58C5FB"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Cs/>
              </w:rPr>
            </w:pPr>
            <w:r w:rsidRPr="005C2FA5">
              <w:rPr>
                <w:bCs/>
              </w:rPr>
              <w:t>−35</w:t>
            </w:r>
          </w:p>
        </w:tc>
      </w:tr>
      <w:tr w:rsidR="005C2FA5" w:rsidRPr="005C2FA5" w14:paraId="2F931D64" w14:textId="77777777" w:rsidTr="005C2FA5">
        <w:tc>
          <w:tcPr>
            <w:cnfStyle w:val="001000000000" w:firstRow="0" w:lastRow="0" w:firstColumn="1" w:lastColumn="0" w:oddVBand="0" w:evenVBand="0" w:oddHBand="0" w:evenHBand="0" w:firstRowFirstColumn="0" w:firstRowLastColumn="0" w:lastRowFirstColumn="0" w:lastRowLastColumn="0"/>
            <w:tcW w:w="1288" w:type="dxa"/>
          </w:tcPr>
          <w:p w14:paraId="61585B82" w14:textId="77777777" w:rsidR="005C2FA5" w:rsidRPr="005C2FA5" w:rsidRDefault="005C2FA5" w:rsidP="005C2FA5">
            <w:pPr>
              <w:rPr>
                <w:b w:val="0"/>
                <w:bCs w:val="0"/>
              </w:rPr>
            </w:pPr>
            <w:r w:rsidRPr="005C2FA5">
              <w:rPr>
                <w:b w:val="0"/>
              </w:rPr>
              <w:t>3</w:t>
            </w:r>
          </w:p>
        </w:tc>
        <w:tc>
          <w:tcPr>
            <w:tcW w:w="1288" w:type="dxa"/>
          </w:tcPr>
          <w:p w14:paraId="15BB82DD"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Cs/>
              </w:rPr>
            </w:pPr>
            <w:r w:rsidRPr="005C2FA5">
              <w:rPr>
                <w:bCs/>
              </w:rPr>
              <w:t>14</w:t>
            </w:r>
          </w:p>
        </w:tc>
        <w:tc>
          <w:tcPr>
            <w:tcW w:w="1288" w:type="dxa"/>
          </w:tcPr>
          <w:p w14:paraId="55981CB2"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Cs/>
              </w:rPr>
            </w:pPr>
            <w:r w:rsidRPr="005C2FA5">
              <w:rPr>
                <w:bCs/>
              </w:rPr>
              <w:t>−4</w:t>
            </w:r>
          </w:p>
        </w:tc>
        <w:tc>
          <w:tcPr>
            <w:tcW w:w="1288" w:type="dxa"/>
          </w:tcPr>
          <w:p w14:paraId="4791AC49"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Cs/>
              </w:rPr>
            </w:pPr>
            <w:r w:rsidRPr="005C2FA5">
              <w:rPr>
                <w:bCs/>
              </w:rPr>
              <w:t>6</w:t>
            </w:r>
          </w:p>
        </w:tc>
        <w:tc>
          <w:tcPr>
            <w:tcW w:w="1288" w:type="dxa"/>
          </w:tcPr>
          <w:p w14:paraId="3A8B3B45"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Cs/>
              </w:rPr>
            </w:pPr>
            <w:r w:rsidRPr="005C2FA5">
              <w:rPr>
                <w:bCs/>
              </w:rPr>
              <w:t>−12</w:t>
            </w:r>
          </w:p>
        </w:tc>
        <w:tc>
          <w:tcPr>
            <w:tcW w:w="1288" w:type="dxa"/>
          </w:tcPr>
          <w:p w14:paraId="0A6D9C3D"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Cs/>
              </w:rPr>
            </w:pPr>
            <w:r w:rsidRPr="005C2FA5">
              <w:rPr>
                <w:bCs/>
              </w:rPr>
              <w:t>20</w:t>
            </w:r>
          </w:p>
        </w:tc>
        <w:tc>
          <w:tcPr>
            <w:tcW w:w="1288" w:type="dxa"/>
          </w:tcPr>
          <w:p w14:paraId="2A0F7F4B"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Cs/>
              </w:rPr>
            </w:pPr>
            <w:r w:rsidRPr="005C2FA5">
              <w:rPr>
                <w:bCs/>
              </w:rPr>
              <w:t>−15</w:t>
            </w:r>
          </w:p>
        </w:tc>
      </w:tr>
      <w:tr w:rsidR="005C2FA5" w:rsidRPr="005C2FA5" w14:paraId="7B4F0FB1"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39DB4132" w14:textId="77777777" w:rsidR="005C2FA5" w:rsidRPr="005C2FA5" w:rsidRDefault="005C2FA5" w:rsidP="005C2FA5">
            <w:pPr>
              <w:rPr>
                <w:b w:val="0"/>
                <w:bCs w:val="0"/>
              </w:rPr>
            </w:pPr>
            <w:r w:rsidRPr="005C2FA5">
              <w:rPr>
                <w:b w:val="0"/>
              </w:rPr>
              <w:t>4</w:t>
            </w:r>
          </w:p>
        </w:tc>
        <w:tc>
          <w:tcPr>
            <w:tcW w:w="1288" w:type="dxa"/>
          </w:tcPr>
          <w:p w14:paraId="2B60FA06"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Cs/>
              </w:rPr>
            </w:pPr>
            <w:r w:rsidRPr="005C2FA5">
              <w:rPr>
                <w:bCs/>
              </w:rPr>
              <w:t>10</w:t>
            </w:r>
          </w:p>
        </w:tc>
        <w:tc>
          <w:tcPr>
            <w:tcW w:w="1288" w:type="dxa"/>
          </w:tcPr>
          <w:p w14:paraId="4264905F"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Cs/>
              </w:rPr>
            </w:pPr>
            <w:r w:rsidRPr="005C2FA5">
              <w:rPr>
                <w:bCs/>
              </w:rPr>
              <w:t>+6</w:t>
            </w:r>
          </w:p>
        </w:tc>
        <w:tc>
          <w:tcPr>
            <w:tcW w:w="1288" w:type="dxa"/>
          </w:tcPr>
          <w:p w14:paraId="27035E56"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Cs/>
              </w:rPr>
            </w:pPr>
            <w:r w:rsidRPr="005C2FA5">
              <w:rPr>
                <w:bCs/>
              </w:rPr>
              <w:t>6</w:t>
            </w:r>
          </w:p>
        </w:tc>
        <w:tc>
          <w:tcPr>
            <w:tcW w:w="1288" w:type="dxa"/>
          </w:tcPr>
          <w:p w14:paraId="4746CA34"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Cs/>
              </w:rPr>
            </w:pPr>
            <w:r w:rsidRPr="005C2FA5">
              <w:rPr>
                <w:bCs/>
              </w:rPr>
              <w:t>−6</w:t>
            </w:r>
          </w:p>
        </w:tc>
        <w:tc>
          <w:tcPr>
            <w:tcW w:w="1288" w:type="dxa"/>
          </w:tcPr>
          <w:p w14:paraId="01C8193E"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Cs/>
              </w:rPr>
            </w:pPr>
            <w:r w:rsidRPr="005C2FA5">
              <w:rPr>
                <w:bCs/>
              </w:rPr>
              <w:t>25</w:t>
            </w:r>
          </w:p>
        </w:tc>
        <w:tc>
          <w:tcPr>
            <w:tcW w:w="1288" w:type="dxa"/>
          </w:tcPr>
          <w:p w14:paraId="747D05A9"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Cs/>
              </w:rPr>
            </w:pPr>
            <w:r w:rsidRPr="005C2FA5">
              <w:rPr>
                <w:bCs/>
              </w:rPr>
              <w:t>+10</w:t>
            </w:r>
          </w:p>
        </w:tc>
      </w:tr>
      <w:tr w:rsidR="005C2FA5" w:rsidRPr="005C2FA5" w14:paraId="41E18BCD" w14:textId="77777777" w:rsidTr="005C2FA5">
        <w:tc>
          <w:tcPr>
            <w:cnfStyle w:val="001000000000" w:firstRow="0" w:lastRow="0" w:firstColumn="1" w:lastColumn="0" w:oddVBand="0" w:evenVBand="0" w:oddHBand="0" w:evenHBand="0" w:firstRowFirstColumn="0" w:firstRowLastColumn="0" w:lastRowFirstColumn="0" w:lastRowLastColumn="0"/>
            <w:tcW w:w="1288" w:type="dxa"/>
          </w:tcPr>
          <w:p w14:paraId="2319EE6A" w14:textId="77777777" w:rsidR="005C2FA5" w:rsidRPr="005C2FA5" w:rsidRDefault="005C2FA5" w:rsidP="005C2FA5">
            <w:pPr>
              <w:rPr>
                <w:b w:val="0"/>
                <w:bCs w:val="0"/>
              </w:rPr>
            </w:pPr>
            <w:r w:rsidRPr="005C2FA5">
              <w:rPr>
                <w:b w:val="0"/>
              </w:rPr>
              <w:t>5</w:t>
            </w:r>
          </w:p>
        </w:tc>
        <w:tc>
          <w:tcPr>
            <w:tcW w:w="1288" w:type="dxa"/>
          </w:tcPr>
          <w:p w14:paraId="34DC2EC0"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Cs/>
              </w:rPr>
            </w:pPr>
            <w:r w:rsidRPr="005C2FA5">
              <w:rPr>
                <w:bCs/>
              </w:rPr>
              <w:t>8</w:t>
            </w:r>
          </w:p>
        </w:tc>
        <w:tc>
          <w:tcPr>
            <w:tcW w:w="1288" w:type="dxa"/>
          </w:tcPr>
          <w:p w14:paraId="7DFA5835"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Cs/>
              </w:rPr>
            </w:pPr>
            <w:r w:rsidRPr="005C2FA5">
              <w:rPr>
                <w:bCs/>
              </w:rPr>
              <w:t>+14</w:t>
            </w:r>
          </w:p>
        </w:tc>
        <w:tc>
          <w:tcPr>
            <w:tcW w:w="1288" w:type="dxa"/>
          </w:tcPr>
          <w:p w14:paraId="0816EF01"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Cs/>
              </w:rPr>
            </w:pPr>
            <w:r w:rsidRPr="005C2FA5">
              <w:rPr>
                <w:bCs/>
              </w:rPr>
              <w:t>6</w:t>
            </w:r>
          </w:p>
        </w:tc>
        <w:tc>
          <w:tcPr>
            <w:tcW w:w="1288" w:type="dxa"/>
          </w:tcPr>
          <w:p w14:paraId="72DBB5AE"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Cs/>
              </w:rPr>
            </w:pPr>
            <w:r w:rsidRPr="005C2FA5">
              <w:rPr>
                <w:bCs/>
              </w:rPr>
              <w:t>0</w:t>
            </w:r>
          </w:p>
        </w:tc>
        <w:tc>
          <w:tcPr>
            <w:tcW w:w="1288" w:type="dxa"/>
          </w:tcPr>
          <w:p w14:paraId="71D5B684"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Cs/>
              </w:rPr>
            </w:pPr>
            <w:r w:rsidRPr="005C2FA5">
              <w:rPr>
                <w:bCs/>
              </w:rPr>
              <w:t>15</w:t>
            </w:r>
          </w:p>
        </w:tc>
        <w:tc>
          <w:tcPr>
            <w:tcW w:w="1288" w:type="dxa"/>
          </w:tcPr>
          <w:p w14:paraId="2EC7CBC8"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Cs/>
              </w:rPr>
            </w:pPr>
            <w:r w:rsidRPr="005C2FA5">
              <w:rPr>
                <w:bCs/>
              </w:rPr>
              <w:t>+25</w:t>
            </w:r>
          </w:p>
        </w:tc>
      </w:tr>
    </w:tbl>
    <w:p w14:paraId="04BD10A4" w14:textId="77777777" w:rsidR="0090560D" w:rsidRPr="0090560D" w:rsidRDefault="0090560D" w:rsidP="0090560D">
      <w:r w:rsidRPr="0090560D">
        <w:rPr>
          <w:b/>
          <w:bCs/>
        </w:rPr>
        <w:t>Payback Periods:</w:t>
      </w:r>
    </w:p>
    <w:p w14:paraId="64341CE5" w14:textId="77777777" w:rsidR="0090560D" w:rsidRPr="0090560D" w:rsidRDefault="0090560D" w:rsidP="0090560D">
      <w:pPr>
        <w:numPr>
          <w:ilvl w:val="0"/>
          <w:numId w:val="6"/>
        </w:numPr>
      </w:pPr>
      <w:r w:rsidRPr="0090560D">
        <w:rPr>
          <w:b/>
          <w:bCs/>
        </w:rPr>
        <w:t>Project A:</w:t>
      </w:r>
      <w:r w:rsidRPr="0090560D">
        <w:t xml:space="preserve"> 3 + (4 ÷ 10) = </w:t>
      </w:r>
      <w:r w:rsidRPr="0090560D">
        <w:rPr>
          <w:b/>
          <w:bCs/>
        </w:rPr>
        <w:t>3.6 years</w:t>
      </w:r>
    </w:p>
    <w:p w14:paraId="3E457BAC" w14:textId="77777777" w:rsidR="0090560D" w:rsidRPr="0090560D" w:rsidRDefault="0090560D" w:rsidP="0090560D">
      <w:pPr>
        <w:numPr>
          <w:ilvl w:val="0"/>
          <w:numId w:val="6"/>
        </w:numPr>
      </w:pPr>
      <w:r w:rsidRPr="0090560D">
        <w:rPr>
          <w:b/>
          <w:bCs/>
        </w:rPr>
        <w:t>Project B:</w:t>
      </w:r>
      <w:r w:rsidRPr="0090560D">
        <w:t xml:space="preserve"> </w:t>
      </w:r>
      <w:r w:rsidRPr="0090560D">
        <w:rPr>
          <w:b/>
          <w:bCs/>
        </w:rPr>
        <w:t>5.0 years</w:t>
      </w:r>
    </w:p>
    <w:p w14:paraId="0AA64057" w14:textId="77777777" w:rsidR="0090560D" w:rsidRPr="0090560D" w:rsidRDefault="0090560D" w:rsidP="0090560D">
      <w:pPr>
        <w:numPr>
          <w:ilvl w:val="0"/>
          <w:numId w:val="6"/>
        </w:numPr>
      </w:pPr>
      <w:r w:rsidRPr="0090560D">
        <w:rPr>
          <w:b/>
          <w:bCs/>
        </w:rPr>
        <w:t>Project C:</w:t>
      </w:r>
      <w:r w:rsidRPr="0090560D">
        <w:t xml:space="preserve"> 3 + (15 ÷ 25) = </w:t>
      </w:r>
      <w:r w:rsidRPr="0090560D">
        <w:rPr>
          <w:b/>
          <w:bCs/>
        </w:rPr>
        <w:t>3.3 years</w:t>
      </w:r>
    </w:p>
    <w:p w14:paraId="26FF0EB1" w14:textId="77777777" w:rsidR="0090560D" w:rsidRPr="0090560D" w:rsidRDefault="0090560D" w:rsidP="0090560D">
      <w:pPr>
        <w:rPr>
          <w:b/>
          <w:bCs/>
        </w:rPr>
      </w:pPr>
      <w:r w:rsidRPr="0090560D">
        <w:rPr>
          <w:b/>
          <w:bCs/>
        </w:rPr>
        <w:t>F3. Accounting Rate of Return (ARR) Calculations</w:t>
      </w:r>
    </w:p>
    <w:p w14:paraId="21E361E9" w14:textId="77777777" w:rsidR="0090560D" w:rsidRDefault="0090560D" w:rsidP="0090560D">
      <w:pPr>
        <w:rPr>
          <w:b/>
          <w:bCs/>
        </w:rPr>
      </w:pPr>
      <w:r w:rsidRPr="0090560D">
        <w:rPr>
          <w:b/>
          <w:bCs/>
        </w:rPr>
        <w:t>Table F2: ARR Calculations</w:t>
      </w:r>
    </w:p>
    <w:tbl>
      <w:tblPr>
        <w:tblStyle w:val="GridTable4-Accent5"/>
        <w:tblW w:w="0" w:type="auto"/>
        <w:tblLook w:val="04A0" w:firstRow="1" w:lastRow="0" w:firstColumn="1" w:lastColumn="0" w:noHBand="0" w:noVBand="1"/>
      </w:tblPr>
      <w:tblGrid>
        <w:gridCol w:w="1803"/>
        <w:gridCol w:w="1803"/>
        <w:gridCol w:w="1803"/>
        <w:gridCol w:w="1803"/>
        <w:gridCol w:w="1804"/>
      </w:tblGrid>
      <w:tr w:rsidR="005C2FA5" w:rsidRPr="005C2FA5" w14:paraId="0BD82810" w14:textId="77777777" w:rsidTr="005C2F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B2FF7AB" w14:textId="77777777" w:rsidR="005C2FA5" w:rsidRPr="005C2FA5" w:rsidRDefault="005C2FA5" w:rsidP="005C2FA5">
            <w:pPr>
              <w:rPr>
                <w:b w:val="0"/>
                <w:bCs w:val="0"/>
              </w:rPr>
            </w:pPr>
            <w:r w:rsidRPr="005C2FA5">
              <w:t>Project</w:t>
            </w:r>
          </w:p>
        </w:tc>
        <w:tc>
          <w:tcPr>
            <w:tcW w:w="1803" w:type="dxa"/>
          </w:tcPr>
          <w:p w14:paraId="6A3D34A8"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rPr>
                <w:b w:val="0"/>
                <w:bCs w:val="0"/>
              </w:rPr>
            </w:pPr>
            <w:r w:rsidRPr="005C2FA5">
              <w:t>Average Annual Cash Inflow (£m)</w:t>
            </w:r>
          </w:p>
        </w:tc>
        <w:tc>
          <w:tcPr>
            <w:tcW w:w="1803" w:type="dxa"/>
          </w:tcPr>
          <w:p w14:paraId="491A138E"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rPr>
                <w:b w:val="0"/>
                <w:bCs w:val="0"/>
              </w:rPr>
            </w:pPr>
            <w:r w:rsidRPr="005C2FA5">
              <w:t>Annual Depreciation (£m)</w:t>
            </w:r>
          </w:p>
        </w:tc>
        <w:tc>
          <w:tcPr>
            <w:tcW w:w="1803" w:type="dxa"/>
          </w:tcPr>
          <w:p w14:paraId="086D1877"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rPr>
                <w:b w:val="0"/>
                <w:bCs w:val="0"/>
              </w:rPr>
            </w:pPr>
            <w:r w:rsidRPr="005C2FA5">
              <w:t>Average Profit (£m)</w:t>
            </w:r>
          </w:p>
        </w:tc>
        <w:tc>
          <w:tcPr>
            <w:tcW w:w="1804" w:type="dxa"/>
          </w:tcPr>
          <w:p w14:paraId="5C503398"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rPr>
                <w:b w:val="0"/>
                <w:bCs w:val="0"/>
              </w:rPr>
            </w:pPr>
            <w:r w:rsidRPr="005C2FA5">
              <w:t>ARR</w:t>
            </w:r>
          </w:p>
        </w:tc>
      </w:tr>
      <w:tr w:rsidR="005C2FA5" w:rsidRPr="005C2FA5" w14:paraId="3B9271EA"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E85991E" w14:textId="77777777" w:rsidR="005C2FA5" w:rsidRPr="005C2FA5" w:rsidRDefault="005C2FA5" w:rsidP="005C2FA5">
            <w:pPr>
              <w:rPr>
                <w:b w:val="0"/>
                <w:bCs w:val="0"/>
              </w:rPr>
            </w:pPr>
            <w:r w:rsidRPr="005C2FA5">
              <w:t>A</w:t>
            </w:r>
          </w:p>
        </w:tc>
        <w:tc>
          <w:tcPr>
            <w:tcW w:w="1803" w:type="dxa"/>
          </w:tcPr>
          <w:p w14:paraId="665013A6"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
                <w:bCs/>
              </w:rPr>
            </w:pPr>
            <w:r w:rsidRPr="005C2FA5">
              <w:rPr>
                <w:b/>
                <w:bCs/>
              </w:rPr>
              <w:t>10.8</w:t>
            </w:r>
          </w:p>
        </w:tc>
        <w:tc>
          <w:tcPr>
            <w:tcW w:w="1803" w:type="dxa"/>
          </w:tcPr>
          <w:p w14:paraId="290EBBF8"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
                <w:bCs/>
              </w:rPr>
            </w:pPr>
            <w:r w:rsidRPr="005C2FA5">
              <w:rPr>
                <w:b/>
                <w:bCs/>
              </w:rPr>
              <w:t>8.0</w:t>
            </w:r>
          </w:p>
        </w:tc>
        <w:tc>
          <w:tcPr>
            <w:tcW w:w="1803" w:type="dxa"/>
          </w:tcPr>
          <w:p w14:paraId="354DEBD1"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
                <w:bCs/>
              </w:rPr>
            </w:pPr>
            <w:r w:rsidRPr="005C2FA5">
              <w:rPr>
                <w:b/>
                <w:bCs/>
              </w:rPr>
              <w:t>2.8</w:t>
            </w:r>
          </w:p>
        </w:tc>
        <w:tc>
          <w:tcPr>
            <w:tcW w:w="1804" w:type="dxa"/>
          </w:tcPr>
          <w:p w14:paraId="095C78C9"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
                <w:bCs/>
              </w:rPr>
            </w:pPr>
            <w:r w:rsidRPr="005C2FA5">
              <w:rPr>
                <w:b/>
                <w:bCs/>
              </w:rPr>
              <w:t>7.0%</w:t>
            </w:r>
          </w:p>
        </w:tc>
      </w:tr>
      <w:tr w:rsidR="005C2FA5" w:rsidRPr="005C2FA5" w14:paraId="14A7EDF1" w14:textId="77777777" w:rsidTr="005C2FA5">
        <w:tc>
          <w:tcPr>
            <w:cnfStyle w:val="001000000000" w:firstRow="0" w:lastRow="0" w:firstColumn="1" w:lastColumn="0" w:oddVBand="0" w:evenVBand="0" w:oddHBand="0" w:evenHBand="0" w:firstRowFirstColumn="0" w:firstRowLastColumn="0" w:lastRowFirstColumn="0" w:lastRowLastColumn="0"/>
            <w:tcW w:w="1803" w:type="dxa"/>
          </w:tcPr>
          <w:p w14:paraId="7C28EF00" w14:textId="77777777" w:rsidR="005C2FA5" w:rsidRPr="005C2FA5" w:rsidRDefault="005C2FA5" w:rsidP="005C2FA5">
            <w:pPr>
              <w:rPr>
                <w:b w:val="0"/>
                <w:bCs w:val="0"/>
              </w:rPr>
            </w:pPr>
            <w:r w:rsidRPr="005C2FA5">
              <w:t>B</w:t>
            </w:r>
          </w:p>
        </w:tc>
        <w:tc>
          <w:tcPr>
            <w:tcW w:w="1803" w:type="dxa"/>
          </w:tcPr>
          <w:p w14:paraId="4965E0C4"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
                <w:bCs/>
              </w:rPr>
            </w:pPr>
            <w:r w:rsidRPr="005C2FA5">
              <w:rPr>
                <w:b/>
                <w:bCs/>
              </w:rPr>
              <w:t>6.0</w:t>
            </w:r>
          </w:p>
        </w:tc>
        <w:tc>
          <w:tcPr>
            <w:tcW w:w="1803" w:type="dxa"/>
          </w:tcPr>
          <w:p w14:paraId="646C8C27"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
                <w:bCs/>
              </w:rPr>
            </w:pPr>
            <w:r w:rsidRPr="005C2FA5">
              <w:rPr>
                <w:b/>
                <w:bCs/>
              </w:rPr>
              <w:t>6.0</w:t>
            </w:r>
          </w:p>
        </w:tc>
        <w:tc>
          <w:tcPr>
            <w:tcW w:w="1803" w:type="dxa"/>
          </w:tcPr>
          <w:p w14:paraId="3349A2EA"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
                <w:bCs/>
              </w:rPr>
            </w:pPr>
            <w:r w:rsidRPr="005C2FA5">
              <w:rPr>
                <w:b/>
                <w:bCs/>
              </w:rPr>
              <w:t>0.0</w:t>
            </w:r>
          </w:p>
        </w:tc>
        <w:tc>
          <w:tcPr>
            <w:tcW w:w="1804" w:type="dxa"/>
          </w:tcPr>
          <w:p w14:paraId="2AFBB051"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
                <w:bCs/>
              </w:rPr>
            </w:pPr>
            <w:r w:rsidRPr="005C2FA5">
              <w:rPr>
                <w:b/>
                <w:bCs/>
              </w:rPr>
              <w:t>0.0%</w:t>
            </w:r>
          </w:p>
        </w:tc>
      </w:tr>
      <w:tr w:rsidR="005C2FA5" w:rsidRPr="005C2FA5" w14:paraId="690F3559"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95FFA37" w14:textId="77777777" w:rsidR="005C2FA5" w:rsidRPr="005C2FA5" w:rsidRDefault="005C2FA5" w:rsidP="005C2FA5">
            <w:pPr>
              <w:rPr>
                <w:b w:val="0"/>
                <w:bCs w:val="0"/>
              </w:rPr>
            </w:pPr>
            <w:r w:rsidRPr="005C2FA5">
              <w:t>C</w:t>
            </w:r>
          </w:p>
        </w:tc>
        <w:tc>
          <w:tcPr>
            <w:tcW w:w="1803" w:type="dxa"/>
          </w:tcPr>
          <w:p w14:paraId="420EC448"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
                <w:bCs/>
              </w:rPr>
            </w:pPr>
            <w:r w:rsidRPr="005C2FA5">
              <w:rPr>
                <w:b/>
                <w:bCs/>
              </w:rPr>
              <w:t>15.0</w:t>
            </w:r>
          </w:p>
        </w:tc>
        <w:tc>
          <w:tcPr>
            <w:tcW w:w="1803" w:type="dxa"/>
          </w:tcPr>
          <w:p w14:paraId="4B8CCFC1"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
                <w:bCs/>
              </w:rPr>
            </w:pPr>
            <w:r w:rsidRPr="005C2FA5">
              <w:rPr>
                <w:b/>
                <w:bCs/>
              </w:rPr>
              <w:t>10.0</w:t>
            </w:r>
          </w:p>
        </w:tc>
        <w:tc>
          <w:tcPr>
            <w:tcW w:w="1803" w:type="dxa"/>
          </w:tcPr>
          <w:p w14:paraId="740AF188"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
                <w:bCs/>
              </w:rPr>
            </w:pPr>
            <w:r w:rsidRPr="005C2FA5">
              <w:rPr>
                <w:b/>
                <w:bCs/>
              </w:rPr>
              <w:t>5.0</w:t>
            </w:r>
          </w:p>
        </w:tc>
        <w:tc>
          <w:tcPr>
            <w:tcW w:w="1804" w:type="dxa"/>
          </w:tcPr>
          <w:p w14:paraId="62E0E71D"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
                <w:bCs/>
              </w:rPr>
            </w:pPr>
            <w:r w:rsidRPr="005C2FA5">
              <w:rPr>
                <w:b/>
                <w:bCs/>
              </w:rPr>
              <w:t>10.0%</w:t>
            </w:r>
          </w:p>
        </w:tc>
      </w:tr>
    </w:tbl>
    <w:p w14:paraId="077E942B" w14:textId="77777777" w:rsidR="005C2FA5" w:rsidRDefault="005C2FA5" w:rsidP="0090560D">
      <w:pPr>
        <w:rPr>
          <w:b/>
          <w:bCs/>
        </w:rPr>
      </w:pPr>
    </w:p>
    <w:p w14:paraId="1E06DA43" w14:textId="77777777" w:rsidR="0090560D" w:rsidRPr="0090560D" w:rsidRDefault="0090560D" w:rsidP="0090560D">
      <w:pPr>
        <w:rPr>
          <w:b/>
          <w:bCs/>
        </w:rPr>
      </w:pPr>
      <w:r w:rsidRPr="0090560D">
        <w:rPr>
          <w:b/>
          <w:bCs/>
        </w:rPr>
        <w:t>F4. Net Present Value (NPV) Calculations (10%)</w:t>
      </w:r>
    </w:p>
    <w:p w14:paraId="07F00F5D" w14:textId="77777777" w:rsidR="0090560D" w:rsidRPr="0090560D" w:rsidRDefault="0090560D" w:rsidP="0090560D">
      <w:pPr>
        <w:rPr>
          <w:b/>
          <w:bCs/>
        </w:rPr>
      </w:pPr>
      <w:r w:rsidRPr="0090560D">
        <w:rPr>
          <w:b/>
          <w:bCs/>
        </w:rPr>
        <w:t>Table F3: Discount Factors (10%)</w:t>
      </w:r>
    </w:p>
    <w:tbl>
      <w:tblPr>
        <w:tblStyle w:val="GridTable4-Accent5"/>
        <w:tblW w:w="0" w:type="auto"/>
        <w:tblLook w:val="04A0" w:firstRow="1" w:lastRow="0" w:firstColumn="1" w:lastColumn="0" w:noHBand="0" w:noVBand="1"/>
      </w:tblPr>
      <w:tblGrid>
        <w:gridCol w:w="4508"/>
        <w:gridCol w:w="4508"/>
      </w:tblGrid>
      <w:tr w:rsidR="005C2FA5" w:rsidRPr="005C2FA5" w14:paraId="52FB180C" w14:textId="77777777" w:rsidTr="005C2F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F8A2027" w14:textId="77777777" w:rsidR="005C2FA5" w:rsidRPr="005C2FA5" w:rsidRDefault="005C2FA5" w:rsidP="005C2FA5">
            <w:r w:rsidRPr="005C2FA5">
              <w:t>Year</w:t>
            </w:r>
          </w:p>
        </w:tc>
        <w:tc>
          <w:tcPr>
            <w:tcW w:w="4508" w:type="dxa"/>
          </w:tcPr>
          <w:p w14:paraId="110048F2"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pPr>
            <w:r w:rsidRPr="005C2FA5">
              <w:t>DF</w:t>
            </w:r>
          </w:p>
        </w:tc>
      </w:tr>
      <w:tr w:rsidR="005C2FA5" w:rsidRPr="005C2FA5" w14:paraId="71D044AE"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5D65DAE" w14:textId="77777777" w:rsidR="005C2FA5" w:rsidRPr="005C2FA5" w:rsidRDefault="005C2FA5" w:rsidP="005C2FA5">
            <w:r w:rsidRPr="005C2FA5">
              <w:t>1</w:t>
            </w:r>
          </w:p>
        </w:tc>
        <w:tc>
          <w:tcPr>
            <w:tcW w:w="4508" w:type="dxa"/>
          </w:tcPr>
          <w:p w14:paraId="0BD47D1C"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0.909</w:t>
            </w:r>
          </w:p>
        </w:tc>
      </w:tr>
      <w:tr w:rsidR="005C2FA5" w:rsidRPr="005C2FA5" w14:paraId="30DFA9BF" w14:textId="77777777" w:rsidTr="005C2FA5">
        <w:tc>
          <w:tcPr>
            <w:cnfStyle w:val="001000000000" w:firstRow="0" w:lastRow="0" w:firstColumn="1" w:lastColumn="0" w:oddVBand="0" w:evenVBand="0" w:oddHBand="0" w:evenHBand="0" w:firstRowFirstColumn="0" w:firstRowLastColumn="0" w:lastRowFirstColumn="0" w:lastRowLastColumn="0"/>
            <w:tcW w:w="4508" w:type="dxa"/>
          </w:tcPr>
          <w:p w14:paraId="5DE7B92D" w14:textId="77777777" w:rsidR="005C2FA5" w:rsidRPr="005C2FA5" w:rsidRDefault="005C2FA5" w:rsidP="005C2FA5">
            <w:r w:rsidRPr="005C2FA5">
              <w:t>2</w:t>
            </w:r>
          </w:p>
        </w:tc>
        <w:tc>
          <w:tcPr>
            <w:tcW w:w="4508" w:type="dxa"/>
          </w:tcPr>
          <w:p w14:paraId="1DB7D7D4"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0.826</w:t>
            </w:r>
          </w:p>
        </w:tc>
      </w:tr>
      <w:tr w:rsidR="005C2FA5" w:rsidRPr="005C2FA5" w14:paraId="42289948"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F7FD40A" w14:textId="77777777" w:rsidR="005C2FA5" w:rsidRPr="005C2FA5" w:rsidRDefault="005C2FA5" w:rsidP="005C2FA5">
            <w:r w:rsidRPr="005C2FA5">
              <w:t>3</w:t>
            </w:r>
          </w:p>
        </w:tc>
        <w:tc>
          <w:tcPr>
            <w:tcW w:w="4508" w:type="dxa"/>
          </w:tcPr>
          <w:p w14:paraId="35F63A55"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pPr>
            <w:r w:rsidRPr="005C2FA5">
              <w:t>0.751</w:t>
            </w:r>
          </w:p>
        </w:tc>
      </w:tr>
      <w:tr w:rsidR="005C2FA5" w:rsidRPr="005C2FA5" w14:paraId="6D07BD6C" w14:textId="77777777" w:rsidTr="005C2FA5">
        <w:tc>
          <w:tcPr>
            <w:cnfStyle w:val="001000000000" w:firstRow="0" w:lastRow="0" w:firstColumn="1" w:lastColumn="0" w:oddVBand="0" w:evenVBand="0" w:oddHBand="0" w:evenHBand="0" w:firstRowFirstColumn="0" w:firstRowLastColumn="0" w:lastRowFirstColumn="0" w:lastRowLastColumn="0"/>
            <w:tcW w:w="4508" w:type="dxa"/>
          </w:tcPr>
          <w:p w14:paraId="2A8D4729" w14:textId="77777777" w:rsidR="005C2FA5" w:rsidRPr="005C2FA5" w:rsidRDefault="005C2FA5" w:rsidP="005C2FA5">
            <w:r w:rsidRPr="005C2FA5">
              <w:t>4</w:t>
            </w:r>
          </w:p>
        </w:tc>
        <w:tc>
          <w:tcPr>
            <w:tcW w:w="4508" w:type="dxa"/>
          </w:tcPr>
          <w:p w14:paraId="08EFA7DF"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pPr>
            <w:r w:rsidRPr="005C2FA5">
              <w:t>0.683</w:t>
            </w:r>
          </w:p>
        </w:tc>
      </w:tr>
      <w:tr w:rsidR="005C2FA5" w:rsidRPr="0090560D" w14:paraId="67C94244"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CFAC6E7" w14:textId="77777777" w:rsidR="005C2FA5" w:rsidRPr="005C2FA5" w:rsidRDefault="005C2FA5" w:rsidP="005C2FA5">
            <w:r w:rsidRPr="005C2FA5">
              <w:t>5</w:t>
            </w:r>
          </w:p>
        </w:tc>
        <w:tc>
          <w:tcPr>
            <w:tcW w:w="4508" w:type="dxa"/>
          </w:tcPr>
          <w:p w14:paraId="1BAD70B3" w14:textId="77777777" w:rsidR="005C2FA5" w:rsidRPr="0090560D" w:rsidRDefault="005C2FA5" w:rsidP="005C2FA5">
            <w:pPr>
              <w:cnfStyle w:val="000000100000" w:firstRow="0" w:lastRow="0" w:firstColumn="0" w:lastColumn="0" w:oddVBand="0" w:evenVBand="0" w:oddHBand="1" w:evenHBand="0" w:firstRowFirstColumn="0" w:firstRowLastColumn="0" w:lastRowFirstColumn="0" w:lastRowLastColumn="0"/>
            </w:pPr>
            <w:r w:rsidRPr="005C2FA5">
              <w:t>0.621</w:t>
            </w:r>
          </w:p>
        </w:tc>
      </w:tr>
    </w:tbl>
    <w:p w14:paraId="2F00103B" w14:textId="77777777" w:rsidR="0090560D" w:rsidRPr="0090560D" w:rsidRDefault="001C1424" w:rsidP="005C2FA5">
      <w:r>
        <w:pict w14:anchorId="4120B3E5">
          <v:rect id="_x0000_i1025" style="width:0;height:1.5pt" o:hralign="center" o:hrstd="t" o:hr="t" fillcolor="#a0a0a0" stroked="f"/>
        </w:pict>
      </w:r>
    </w:p>
    <w:p w14:paraId="307B85FF" w14:textId="77777777" w:rsidR="0090560D" w:rsidRPr="0090560D" w:rsidRDefault="0090560D" w:rsidP="0090560D">
      <w:pPr>
        <w:rPr>
          <w:b/>
          <w:bCs/>
        </w:rPr>
      </w:pPr>
      <w:r w:rsidRPr="0090560D">
        <w:rPr>
          <w:b/>
          <w:bCs/>
        </w:rPr>
        <w:t>Table F4: NPV Calculations</w:t>
      </w:r>
    </w:p>
    <w:p w14:paraId="0DD043F5" w14:textId="77777777" w:rsidR="0090560D" w:rsidRDefault="0090560D" w:rsidP="0090560D">
      <w:pPr>
        <w:rPr>
          <w:b/>
          <w:bCs/>
        </w:rPr>
      </w:pPr>
      <w:r w:rsidRPr="0090560D">
        <w:rPr>
          <w:b/>
          <w:bCs/>
        </w:rPr>
        <w:t>Project A</w:t>
      </w:r>
    </w:p>
    <w:p w14:paraId="09CBC9F3" w14:textId="77777777" w:rsidR="005C2FA5" w:rsidRPr="005C2FA5" w:rsidRDefault="005C2FA5" w:rsidP="005C2FA5">
      <w:pPr>
        <w:rPr>
          <w:b/>
          <w:bCs/>
        </w:rPr>
      </w:pPr>
      <w:r w:rsidRPr="005C2FA5">
        <w:rPr>
          <w:b/>
          <w:bCs/>
        </w:rPr>
        <w:t>Year</w:t>
      </w:r>
      <w:r w:rsidRPr="005C2FA5">
        <w:rPr>
          <w:b/>
          <w:bCs/>
        </w:rPr>
        <w:tab/>
        <w:t>Cash Flow</w:t>
      </w:r>
      <w:r w:rsidRPr="005C2FA5">
        <w:rPr>
          <w:b/>
          <w:bCs/>
        </w:rPr>
        <w:tab/>
        <w:t>DF</w:t>
      </w:r>
      <w:r w:rsidRPr="005C2FA5">
        <w:rPr>
          <w:b/>
          <w:bCs/>
        </w:rPr>
        <w:tab/>
        <w:t>Present Value</w:t>
      </w:r>
    </w:p>
    <w:tbl>
      <w:tblPr>
        <w:tblStyle w:val="GridTable4-Accent5"/>
        <w:tblW w:w="0" w:type="auto"/>
        <w:tblLook w:val="04A0" w:firstRow="1" w:lastRow="0" w:firstColumn="1" w:lastColumn="0" w:noHBand="0" w:noVBand="1"/>
      </w:tblPr>
      <w:tblGrid>
        <w:gridCol w:w="2254"/>
        <w:gridCol w:w="2254"/>
        <w:gridCol w:w="2254"/>
        <w:gridCol w:w="2254"/>
      </w:tblGrid>
      <w:tr w:rsidR="005C2FA5" w:rsidRPr="005C2FA5" w14:paraId="42D1F04E" w14:textId="77777777" w:rsidTr="005C2F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A0F2EBD" w14:textId="77777777" w:rsidR="005C2FA5" w:rsidRPr="005C2FA5" w:rsidRDefault="005C2FA5" w:rsidP="005C2FA5">
            <w:pPr>
              <w:rPr>
                <w:b w:val="0"/>
                <w:bCs w:val="0"/>
              </w:rPr>
            </w:pPr>
            <w:r w:rsidRPr="005C2FA5">
              <w:lastRenderedPageBreak/>
              <w:t>1</w:t>
            </w:r>
          </w:p>
        </w:tc>
        <w:tc>
          <w:tcPr>
            <w:tcW w:w="2254" w:type="dxa"/>
          </w:tcPr>
          <w:p w14:paraId="63810317"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rPr>
                <w:b w:val="0"/>
                <w:bCs w:val="0"/>
              </w:rPr>
            </w:pPr>
            <w:r w:rsidRPr="005C2FA5">
              <w:t>10</w:t>
            </w:r>
          </w:p>
        </w:tc>
        <w:tc>
          <w:tcPr>
            <w:tcW w:w="2254" w:type="dxa"/>
          </w:tcPr>
          <w:p w14:paraId="676081EA"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rPr>
                <w:b w:val="0"/>
                <w:bCs w:val="0"/>
              </w:rPr>
            </w:pPr>
            <w:r w:rsidRPr="005C2FA5">
              <w:t>0.909</w:t>
            </w:r>
          </w:p>
        </w:tc>
        <w:tc>
          <w:tcPr>
            <w:tcW w:w="2254" w:type="dxa"/>
          </w:tcPr>
          <w:p w14:paraId="7C64D1CF" w14:textId="77777777" w:rsidR="005C2FA5" w:rsidRPr="005C2FA5" w:rsidRDefault="005C2FA5" w:rsidP="005C2FA5">
            <w:pPr>
              <w:cnfStyle w:val="100000000000" w:firstRow="1" w:lastRow="0" w:firstColumn="0" w:lastColumn="0" w:oddVBand="0" w:evenVBand="0" w:oddHBand="0" w:evenHBand="0" w:firstRowFirstColumn="0" w:firstRowLastColumn="0" w:lastRowFirstColumn="0" w:lastRowLastColumn="0"/>
              <w:rPr>
                <w:b w:val="0"/>
                <w:bCs w:val="0"/>
              </w:rPr>
            </w:pPr>
            <w:r w:rsidRPr="005C2FA5">
              <w:t>9.09</w:t>
            </w:r>
          </w:p>
        </w:tc>
      </w:tr>
      <w:tr w:rsidR="005C2FA5" w:rsidRPr="005C2FA5" w14:paraId="6C308859"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AFCAECA" w14:textId="77777777" w:rsidR="005C2FA5" w:rsidRPr="005C2FA5" w:rsidRDefault="005C2FA5" w:rsidP="005C2FA5">
            <w:pPr>
              <w:rPr>
                <w:b w:val="0"/>
                <w:bCs w:val="0"/>
              </w:rPr>
            </w:pPr>
            <w:r w:rsidRPr="005C2FA5">
              <w:t>2</w:t>
            </w:r>
          </w:p>
        </w:tc>
        <w:tc>
          <w:tcPr>
            <w:tcW w:w="2254" w:type="dxa"/>
          </w:tcPr>
          <w:p w14:paraId="1ACA35AE"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
                <w:bCs/>
              </w:rPr>
            </w:pPr>
            <w:r w:rsidRPr="005C2FA5">
              <w:rPr>
                <w:b/>
                <w:bCs/>
              </w:rPr>
              <w:t>12</w:t>
            </w:r>
          </w:p>
        </w:tc>
        <w:tc>
          <w:tcPr>
            <w:tcW w:w="2254" w:type="dxa"/>
          </w:tcPr>
          <w:p w14:paraId="5A7A13D3"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
                <w:bCs/>
              </w:rPr>
            </w:pPr>
            <w:r w:rsidRPr="005C2FA5">
              <w:rPr>
                <w:b/>
                <w:bCs/>
              </w:rPr>
              <w:t>0.826</w:t>
            </w:r>
          </w:p>
        </w:tc>
        <w:tc>
          <w:tcPr>
            <w:tcW w:w="2254" w:type="dxa"/>
          </w:tcPr>
          <w:p w14:paraId="185767A9"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
                <w:bCs/>
              </w:rPr>
            </w:pPr>
            <w:r w:rsidRPr="005C2FA5">
              <w:rPr>
                <w:b/>
                <w:bCs/>
              </w:rPr>
              <w:t>9.91</w:t>
            </w:r>
          </w:p>
        </w:tc>
      </w:tr>
      <w:tr w:rsidR="005C2FA5" w:rsidRPr="005C2FA5" w14:paraId="7CD62CDD" w14:textId="77777777" w:rsidTr="005C2FA5">
        <w:tc>
          <w:tcPr>
            <w:cnfStyle w:val="001000000000" w:firstRow="0" w:lastRow="0" w:firstColumn="1" w:lastColumn="0" w:oddVBand="0" w:evenVBand="0" w:oddHBand="0" w:evenHBand="0" w:firstRowFirstColumn="0" w:firstRowLastColumn="0" w:lastRowFirstColumn="0" w:lastRowLastColumn="0"/>
            <w:tcW w:w="2254" w:type="dxa"/>
          </w:tcPr>
          <w:p w14:paraId="1CEBA2E3" w14:textId="77777777" w:rsidR="005C2FA5" w:rsidRPr="005C2FA5" w:rsidRDefault="005C2FA5" w:rsidP="005C2FA5">
            <w:pPr>
              <w:rPr>
                <w:b w:val="0"/>
                <w:bCs w:val="0"/>
              </w:rPr>
            </w:pPr>
            <w:r w:rsidRPr="005C2FA5">
              <w:t>3</w:t>
            </w:r>
          </w:p>
        </w:tc>
        <w:tc>
          <w:tcPr>
            <w:tcW w:w="2254" w:type="dxa"/>
          </w:tcPr>
          <w:p w14:paraId="16D4AF51"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
                <w:bCs/>
              </w:rPr>
            </w:pPr>
            <w:r w:rsidRPr="005C2FA5">
              <w:rPr>
                <w:b/>
                <w:bCs/>
              </w:rPr>
              <w:t>14</w:t>
            </w:r>
          </w:p>
        </w:tc>
        <w:tc>
          <w:tcPr>
            <w:tcW w:w="2254" w:type="dxa"/>
          </w:tcPr>
          <w:p w14:paraId="78566986"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
                <w:bCs/>
              </w:rPr>
            </w:pPr>
            <w:r w:rsidRPr="005C2FA5">
              <w:rPr>
                <w:b/>
                <w:bCs/>
              </w:rPr>
              <w:t>0.751</w:t>
            </w:r>
          </w:p>
        </w:tc>
        <w:tc>
          <w:tcPr>
            <w:tcW w:w="2254" w:type="dxa"/>
          </w:tcPr>
          <w:p w14:paraId="261B353D"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
                <w:bCs/>
              </w:rPr>
            </w:pPr>
            <w:r w:rsidRPr="005C2FA5">
              <w:rPr>
                <w:b/>
                <w:bCs/>
              </w:rPr>
              <w:t>10.51</w:t>
            </w:r>
          </w:p>
        </w:tc>
      </w:tr>
      <w:tr w:rsidR="005C2FA5" w:rsidRPr="005C2FA5" w14:paraId="274D08B9"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F8413F8" w14:textId="77777777" w:rsidR="005C2FA5" w:rsidRPr="005C2FA5" w:rsidRDefault="005C2FA5" w:rsidP="005C2FA5">
            <w:pPr>
              <w:rPr>
                <w:b w:val="0"/>
                <w:bCs w:val="0"/>
              </w:rPr>
            </w:pPr>
            <w:r w:rsidRPr="005C2FA5">
              <w:t>4</w:t>
            </w:r>
          </w:p>
        </w:tc>
        <w:tc>
          <w:tcPr>
            <w:tcW w:w="2254" w:type="dxa"/>
          </w:tcPr>
          <w:p w14:paraId="48FEEA55"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
                <w:bCs/>
              </w:rPr>
            </w:pPr>
            <w:r w:rsidRPr="005C2FA5">
              <w:rPr>
                <w:b/>
                <w:bCs/>
              </w:rPr>
              <w:t>10</w:t>
            </w:r>
          </w:p>
        </w:tc>
        <w:tc>
          <w:tcPr>
            <w:tcW w:w="2254" w:type="dxa"/>
          </w:tcPr>
          <w:p w14:paraId="7670A587"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
                <w:bCs/>
              </w:rPr>
            </w:pPr>
            <w:r w:rsidRPr="005C2FA5">
              <w:rPr>
                <w:b/>
                <w:bCs/>
              </w:rPr>
              <w:t>0.683</w:t>
            </w:r>
          </w:p>
        </w:tc>
        <w:tc>
          <w:tcPr>
            <w:tcW w:w="2254" w:type="dxa"/>
          </w:tcPr>
          <w:p w14:paraId="5A8B2666"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
                <w:bCs/>
              </w:rPr>
            </w:pPr>
            <w:r w:rsidRPr="005C2FA5">
              <w:rPr>
                <w:b/>
                <w:bCs/>
              </w:rPr>
              <w:t>6.83</w:t>
            </w:r>
          </w:p>
        </w:tc>
      </w:tr>
      <w:tr w:rsidR="005C2FA5" w:rsidRPr="005C2FA5" w14:paraId="102C4143" w14:textId="77777777" w:rsidTr="005C2FA5">
        <w:tc>
          <w:tcPr>
            <w:cnfStyle w:val="001000000000" w:firstRow="0" w:lastRow="0" w:firstColumn="1" w:lastColumn="0" w:oddVBand="0" w:evenVBand="0" w:oddHBand="0" w:evenHBand="0" w:firstRowFirstColumn="0" w:firstRowLastColumn="0" w:lastRowFirstColumn="0" w:lastRowLastColumn="0"/>
            <w:tcW w:w="2254" w:type="dxa"/>
          </w:tcPr>
          <w:p w14:paraId="515469BD" w14:textId="77777777" w:rsidR="005C2FA5" w:rsidRPr="005C2FA5" w:rsidRDefault="005C2FA5" w:rsidP="005C2FA5">
            <w:pPr>
              <w:rPr>
                <w:b w:val="0"/>
                <w:bCs w:val="0"/>
              </w:rPr>
            </w:pPr>
            <w:r w:rsidRPr="005C2FA5">
              <w:t>5</w:t>
            </w:r>
          </w:p>
        </w:tc>
        <w:tc>
          <w:tcPr>
            <w:tcW w:w="2254" w:type="dxa"/>
          </w:tcPr>
          <w:p w14:paraId="2E694AE8"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
                <w:bCs/>
              </w:rPr>
            </w:pPr>
            <w:r w:rsidRPr="005C2FA5">
              <w:rPr>
                <w:b/>
                <w:bCs/>
              </w:rPr>
              <w:t>8</w:t>
            </w:r>
          </w:p>
        </w:tc>
        <w:tc>
          <w:tcPr>
            <w:tcW w:w="2254" w:type="dxa"/>
          </w:tcPr>
          <w:p w14:paraId="186B788E"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
                <w:bCs/>
              </w:rPr>
            </w:pPr>
            <w:r w:rsidRPr="005C2FA5">
              <w:rPr>
                <w:b/>
                <w:bCs/>
              </w:rPr>
              <w:t>0.621</w:t>
            </w:r>
          </w:p>
        </w:tc>
        <w:tc>
          <w:tcPr>
            <w:tcW w:w="2254" w:type="dxa"/>
          </w:tcPr>
          <w:p w14:paraId="6DFCA3FE"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
                <w:bCs/>
              </w:rPr>
            </w:pPr>
            <w:r w:rsidRPr="005C2FA5">
              <w:rPr>
                <w:b/>
                <w:bCs/>
              </w:rPr>
              <w:t>4.97</w:t>
            </w:r>
          </w:p>
        </w:tc>
      </w:tr>
      <w:tr w:rsidR="005C2FA5" w:rsidRPr="005C2FA5" w14:paraId="709C07B6" w14:textId="77777777" w:rsidTr="005C2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CD04FBB" w14:textId="77777777" w:rsidR="005C2FA5" w:rsidRPr="005C2FA5" w:rsidRDefault="005C2FA5" w:rsidP="005C2FA5">
            <w:pPr>
              <w:rPr>
                <w:b w:val="0"/>
                <w:bCs w:val="0"/>
              </w:rPr>
            </w:pPr>
            <w:r w:rsidRPr="005C2FA5">
              <w:t>Total PV</w:t>
            </w:r>
          </w:p>
        </w:tc>
        <w:tc>
          <w:tcPr>
            <w:tcW w:w="2254" w:type="dxa"/>
          </w:tcPr>
          <w:p w14:paraId="2E8F68BD"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
                <w:bCs/>
              </w:rPr>
            </w:pPr>
          </w:p>
        </w:tc>
        <w:tc>
          <w:tcPr>
            <w:tcW w:w="2254" w:type="dxa"/>
          </w:tcPr>
          <w:p w14:paraId="4EB1F027"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
                <w:bCs/>
              </w:rPr>
            </w:pPr>
          </w:p>
        </w:tc>
        <w:tc>
          <w:tcPr>
            <w:tcW w:w="2254" w:type="dxa"/>
          </w:tcPr>
          <w:p w14:paraId="1B56EBAD" w14:textId="77777777" w:rsidR="005C2FA5" w:rsidRPr="005C2FA5" w:rsidRDefault="005C2FA5" w:rsidP="005C2FA5">
            <w:pPr>
              <w:cnfStyle w:val="000000100000" w:firstRow="0" w:lastRow="0" w:firstColumn="0" w:lastColumn="0" w:oddVBand="0" w:evenVBand="0" w:oddHBand="1" w:evenHBand="0" w:firstRowFirstColumn="0" w:firstRowLastColumn="0" w:lastRowFirstColumn="0" w:lastRowLastColumn="0"/>
              <w:rPr>
                <w:b/>
                <w:bCs/>
              </w:rPr>
            </w:pPr>
            <w:r w:rsidRPr="005C2FA5">
              <w:rPr>
                <w:b/>
                <w:bCs/>
              </w:rPr>
              <w:t>41.31</w:t>
            </w:r>
          </w:p>
        </w:tc>
      </w:tr>
      <w:tr w:rsidR="005C2FA5" w:rsidRPr="005C2FA5" w14:paraId="7E082EC5" w14:textId="77777777" w:rsidTr="005C2FA5">
        <w:tc>
          <w:tcPr>
            <w:cnfStyle w:val="001000000000" w:firstRow="0" w:lastRow="0" w:firstColumn="1" w:lastColumn="0" w:oddVBand="0" w:evenVBand="0" w:oddHBand="0" w:evenHBand="0" w:firstRowFirstColumn="0" w:firstRowLastColumn="0" w:lastRowFirstColumn="0" w:lastRowLastColumn="0"/>
            <w:tcW w:w="2254" w:type="dxa"/>
          </w:tcPr>
          <w:p w14:paraId="2CE0D657" w14:textId="77777777" w:rsidR="005C2FA5" w:rsidRPr="005C2FA5" w:rsidRDefault="005C2FA5" w:rsidP="005C2FA5">
            <w:pPr>
              <w:rPr>
                <w:b w:val="0"/>
                <w:bCs w:val="0"/>
              </w:rPr>
            </w:pPr>
            <w:r w:rsidRPr="005C2FA5">
              <w:t>NPV</w:t>
            </w:r>
          </w:p>
        </w:tc>
        <w:tc>
          <w:tcPr>
            <w:tcW w:w="2254" w:type="dxa"/>
          </w:tcPr>
          <w:p w14:paraId="488B9FF2"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
                <w:bCs/>
              </w:rPr>
            </w:pPr>
          </w:p>
        </w:tc>
        <w:tc>
          <w:tcPr>
            <w:tcW w:w="2254" w:type="dxa"/>
          </w:tcPr>
          <w:p w14:paraId="2F83E6AC"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
                <w:bCs/>
              </w:rPr>
            </w:pPr>
          </w:p>
        </w:tc>
        <w:tc>
          <w:tcPr>
            <w:tcW w:w="2254" w:type="dxa"/>
          </w:tcPr>
          <w:p w14:paraId="72353391" w14:textId="77777777" w:rsidR="005C2FA5" w:rsidRPr="005C2FA5" w:rsidRDefault="005C2FA5" w:rsidP="005C2FA5">
            <w:pPr>
              <w:cnfStyle w:val="000000000000" w:firstRow="0" w:lastRow="0" w:firstColumn="0" w:lastColumn="0" w:oddVBand="0" w:evenVBand="0" w:oddHBand="0" w:evenHBand="0" w:firstRowFirstColumn="0" w:firstRowLastColumn="0" w:lastRowFirstColumn="0" w:lastRowLastColumn="0"/>
              <w:rPr>
                <w:b/>
                <w:bCs/>
              </w:rPr>
            </w:pPr>
            <w:r w:rsidRPr="005C2FA5">
              <w:rPr>
                <w:b/>
                <w:bCs/>
              </w:rPr>
              <w:t>+1.31</w:t>
            </w:r>
          </w:p>
        </w:tc>
      </w:tr>
    </w:tbl>
    <w:p w14:paraId="1AF72764" w14:textId="77777777" w:rsidR="0090560D" w:rsidRDefault="0090560D" w:rsidP="0090560D">
      <w:pPr>
        <w:rPr>
          <w:b/>
          <w:bCs/>
        </w:rPr>
      </w:pPr>
      <w:r w:rsidRPr="0090560D">
        <w:rPr>
          <w:b/>
          <w:bCs/>
        </w:rPr>
        <w:t>Project B</w:t>
      </w:r>
    </w:p>
    <w:tbl>
      <w:tblPr>
        <w:tblStyle w:val="GridTable4-Accent5"/>
        <w:tblW w:w="0" w:type="auto"/>
        <w:tblLook w:val="04A0" w:firstRow="1" w:lastRow="0" w:firstColumn="1" w:lastColumn="0" w:noHBand="0" w:noVBand="1"/>
      </w:tblPr>
      <w:tblGrid>
        <w:gridCol w:w="2254"/>
        <w:gridCol w:w="2254"/>
        <w:gridCol w:w="2254"/>
        <w:gridCol w:w="2254"/>
      </w:tblGrid>
      <w:tr w:rsidR="00EB05FA" w:rsidRPr="00EB05FA" w14:paraId="2302B734" w14:textId="77777777" w:rsidTr="00EB05F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6AEE97E" w14:textId="77777777" w:rsidR="00EB05FA" w:rsidRPr="00EB05FA" w:rsidRDefault="00EB05FA" w:rsidP="00B44D8F">
            <w:pPr>
              <w:rPr>
                <w:b w:val="0"/>
                <w:bCs w:val="0"/>
              </w:rPr>
            </w:pPr>
            <w:r w:rsidRPr="00EB05FA">
              <w:t>Year</w:t>
            </w:r>
          </w:p>
        </w:tc>
        <w:tc>
          <w:tcPr>
            <w:tcW w:w="2254" w:type="dxa"/>
          </w:tcPr>
          <w:p w14:paraId="4F404929" w14:textId="77777777" w:rsidR="00EB05FA" w:rsidRPr="00EB05FA" w:rsidRDefault="00EB05FA" w:rsidP="00B44D8F">
            <w:pPr>
              <w:cnfStyle w:val="100000000000" w:firstRow="1" w:lastRow="0" w:firstColumn="0" w:lastColumn="0" w:oddVBand="0" w:evenVBand="0" w:oddHBand="0" w:evenHBand="0" w:firstRowFirstColumn="0" w:firstRowLastColumn="0" w:lastRowFirstColumn="0" w:lastRowLastColumn="0"/>
              <w:rPr>
                <w:b w:val="0"/>
                <w:bCs w:val="0"/>
              </w:rPr>
            </w:pPr>
            <w:r w:rsidRPr="00EB05FA">
              <w:t>Cash Flow</w:t>
            </w:r>
          </w:p>
        </w:tc>
        <w:tc>
          <w:tcPr>
            <w:tcW w:w="2254" w:type="dxa"/>
          </w:tcPr>
          <w:p w14:paraId="7043812F" w14:textId="77777777" w:rsidR="00EB05FA" w:rsidRPr="00EB05FA" w:rsidRDefault="00EB05FA" w:rsidP="00B44D8F">
            <w:pPr>
              <w:cnfStyle w:val="100000000000" w:firstRow="1" w:lastRow="0" w:firstColumn="0" w:lastColumn="0" w:oddVBand="0" w:evenVBand="0" w:oddHBand="0" w:evenHBand="0" w:firstRowFirstColumn="0" w:firstRowLastColumn="0" w:lastRowFirstColumn="0" w:lastRowLastColumn="0"/>
              <w:rPr>
                <w:b w:val="0"/>
                <w:bCs w:val="0"/>
              </w:rPr>
            </w:pPr>
            <w:r w:rsidRPr="00EB05FA">
              <w:t>DF</w:t>
            </w:r>
          </w:p>
        </w:tc>
        <w:tc>
          <w:tcPr>
            <w:tcW w:w="2254" w:type="dxa"/>
          </w:tcPr>
          <w:p w14:paraId="68BFD95D" w14:textId="77777777" w:rsidR="00EB05FA" w:rsidRPr="00EB05FA" w:rsidRDefault="00EB05FA" w:rsidP="00B44D8F">
            <w:pPr>
              <w:cnfStyle w:val="100000000000" w:firstRow="1" w:lastRow="0" w:firstColumn="0" w:lastColumn="0" w:oddVBand="0" w:evenVBand="0" w:oddHBand="0" w:evenHBand="0" w:firstRowFirstColumn="0" w:firstRowLastColumn="0" w:lastRowFirstColumn="0" w:lastRowLastColumn="0"/>
              <w:rPr>
                <w:b w:val="0"/>
                <w:bCs w:val="0"/>
              </w:rPr>
            </w:pPr>
            <w:r w:rsidRPr="00EB05FA">
              <w:t>Present Value</w:t>
            </w:r>
          </w:p>
        </w:tc>
      </w:tr>
      <w:tr w:rsidR="00EB05FA" w:rsidRPr="00EB05FA" w14:paraId="670C0871" w14:textId="77777777" w:rsidTr="00EB05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A3B0761" w14:textId="77777777" w:rsidR="00EB05FA" w:rsidRPr="00EB05FA" w:rsidRDefault="00EB05FA" w:rsidP="00B44D8F">
            <w:pPr>
              <w:rPr>
                <w:b w:val="0"/>
                <w:bCs w:val="0"/>
              </w:rPr>
            </w:pPr>
            <w:r w:rsidRPr="00EB05FA">
              <w:t>1–5</w:t>
            </w:r>
          </w:p>
        </w:tc>
        <w:tc>
          <w:tcPr>
            <w:tcW w:w="2254" w:type="dxa"/>
          </w:tcPr>
          <w:p w14:paraId="0596E4A4" w14:textId="77777777" w:rsidR="00EB05FA" w:rsidRPr="00EB05FA" w:rsidRDefault="00EB05FA" w:rsidP="00B44D8F">
            <w:pPr>
              <w:cnfStyle w:val="000000100000" w:firstRow="0" w:lastRow="0" w:firstColumn="0" w:lastColumn="0" w:oddVBand="0" w:evenVBand="0" w:oddHBand="1" w:evenHBand="0" w:firstRowFirstColumn="0" w:firstRowLastColumn="0" w:lastRowFirstColumn="0" w:lastRowLastColumn="0"/>
              <w:rPr>
                <w:b/>
                <w:bCs/>
              </w:rPr>
            </w:pPr>
            <w:r w:rsidRPr="00EB05FA">
              <w:rPr>
                <w:b/>
                <w:bCs/>
              </w:rPr>
              <w:t>6 each year</w:t>
            </w:r>
          </w:p>
        </w:tc>
        <w:tc>
          <w:tcPr>
            <w:tcW w:w="2254" w:type="dxa"/>
          </w:tcPr>
          <w:p w14:paraId="08CE173C" w14:textId="77777777" w:rsidR="00EB05FA" w:rsidRPr="00EB05FA" w:rsidRDefault="00EB05FA" w:rsidP="00B44D8F">
            <w:pPr>
              <w:cnfStyle w:val="000000100000" w:firstRow="0" w:lastRow="0" w:firstColumn="0" w:lastColumn="0" w:oddVBand="0" w:evenVBand="0" w:oddHBand="1" w:evenHBand="0" w:firstRowFirstColumn="0" w:firstRowLastColumn="0" w:lastRowFirstColumn="0" w:lastRowLastColumn="0"/>
              <w:rPr>
                <w:b/>
                <w:bCs/>
              </w:rPr>
            </w:pPr>
            <w:r w:rsidRPr="00EB05FA">
              <w:rPr>
                <w:b/>
                <w:bCs/>
              </w:rPr>
              <w:t>—</w:t>
            </w:r>
          </w:p>
        </w:tc>
        <w:tc>
          <w:tcPr>
            <w:tcW w:w="2254" w:type="dxa"/>
          </w:tcPr>
          <w:p w14:paraId="655E205A" w14:textId="77777777" w:rsidR="00EB05FA" w:rsidRPr="00EB05FA" w:rsidRDefault="00EB05FA" w:rsidP="00B44D8F">
            <w:pPr>
              <w:cnfStyle w:val="000000100000" w:firstRow="0" w:lastRow="0" w:firstColumn="0" w:lastColumn="0" w:oddVBand="0" w:evenVBand="0" w:oddHBand="1" w:evenHBand="0" w:firstRowFirstColumn="0" w:firstRowLastColumn="0" w:lastRowFirstColumn="0" w:lastRowLastColumn="0"/>
              <w:rPr>
                <w:b/>
                <w:bCs/>
              </w:rPr>
            </w:pPr>
            <w:r w:rsidRPr="00EB05FA">
              <w:rPr>
                <w:b/>
                <w:bCs/>
              </w:rPr>
              <w:t>22.74</w:t>
            </w:r>
          </w:p>
        </w:tc>
      </w:tr>
      <w:tr w:rsidR="00EB05FA" w:rsidRPr="00EB05FA" w14:paraId="7E124479" w14:textId="77777777" w:rsidTr="00EB05FA">
        <w:tc>
          <w:tcPr>
            <w:cnfStyle w:val="001000000000" w:firstRow="0" w:lastRow="0" w:firstColumn="1" w:lastColumn="0" w:oddVBand="0" w:evenVBand="0" w:oddHBand="0" w:evenHBand="0" w:firstRowFirstColumn="0" w:firstRowLastColumn="0" w:lastRowFirstColumn="0" w:lastRowLastColumn="0"/>
            <w:tcW w:w="2254" w:type="dxa"/>
          </w:tcPr>
          <w:p w14:paraId="53ACB888" w14:textId="77777777" w:rsidR="00EB05FA" w:rsidRPr="00EB05FA" w:rsidRDefault="00EB05FA" w:rsidP="00B44D8F">
            <w:pPr>
              <w:rPr>
                <w:b w:val="0"/>
                <w:bCs w:val="0"/>
              </w:rPr>
            </w:pPr>
            <w:r w:rsidRPr="00EB05FA">
              <w:t>NPV</w:t>
            </w:r>
          </w:p>
        </w:tc>
        <w:tc>
          <w:tcPr>
            <w:tcW w:w="2254" w:type="dxa"/>
          </w:tcPr>
          <w:p w14:paraId="24301F50" w14:textId="77777777" w:rsidR="00EB05FA" w:rsidRPr="00EB05FA" w:rsidRDefault="00EB05FA" w:rsidP="00B44D8F">
            <w:pPr>
              <w:cnfStyle w:val="000000000000" w:firstRow="0" w:lastRow="0" w:firstColumn="0" w:lastColumn="0" w:oddVBand="0" w:evenVBand="0" w:oddHBand="0" w:evenHBand="0" w:firstRowFirstColumn="0" w:firstRowLastColumn="0" w:lastRowFirstColumn="0" w:lastRowLastColumn="0"/>
              <w:rPr>
                <w:b/>
                <w:bCs/>
              </w:rPr>
            </w:pPr>
          </w:p>
        </w:tc>
        <w:tc>
          <w:tcPr>
            <w:tcW w:w="2254" w:type="dxa"/>
          </w:tcPr>
          <w:p w14:paraId="652DF4BC" w14:textId="77777777" w:rsidR="00EB05FA" w:rsidRPr="00EB05FA" w:rsidRDefault="00EB05FA" w:rsidP="00B44D8F">
            <w:pPr>
              <w:cnfStyle w:val="000000000000" w:firstRow="0" w:lastRow="0" w:firstColumn="0" w:lastColumn="0" w:oddVBand="0" w:evenVBand="0" w:oddHBand="0" w:evenHBand="0" w:firstRowFirstColumn="0" w:firstRowLastColumn="0" w:lastRowFirstColumn="0" w:lastRowLastColumn="0"/>
              <w:rPr>
                <w:b/>
                <w:bCs/>
              </w:rPr>
            </w:pPr>
          </w:p>
        </w:tc>
        <w:tc>
          <w:tcPr>
            <w:tcW w:w="2254" w:type="dxa"/>
          </w:tcPr>
          <w:p w14:paraId="2F12C4BD" w14:textId="77777777" w:rsidR="00EB05FA" w:rsidRPr="00EB05FA" w:rsidRDefault="00EB05FA" w:rsidP="00B44D8F">
            <w:pPr>
              <w:cnfStyle w:val="000000000000" w:firstRow="0" w:lastRow="0" w:firstColumn="0" w:lastColumn="0" w:oddVBand="0" w:evenVBand="0" w:oddHBand="0" w:evenHBand="0" w:firstRowFirstColumn="0" w:firstRowLastColumn="0" w:lastRowFirstColumn="0" w:lastRowLastColumn="0"/>
              <w:rPr>
                <w:b/>
                <w:bCs/>
              </w:rPr>
            </w:pPr>
            <w:r w:rsidRPr="00EB05FA">
              <w:rPr>
                <w:b/>
                <w:bCs/>
              </w:rPr>
              <w:t>−7.26</w:t>
            </w:r>
          </w:p>
        </w:tc>
      </w:tr>
    </w:tbl>
    <w:p w14:paraId="1DD9D08B" w14:textId="77777777" w:rsidR="0090560D" w:rsidRPr="0090560D" w:rsidRDefault="0090560D" w:rsidP="0090560D"/>
    <w:p w14:paraId="48221E44" w14:textId="77777777" w:rsidR="0090560D" w:rsidRDefault="0090560D" w:rsidP="0090560D">
      <w:pPr>
        <w:rPr>
          <w:b/>
          <w:bCs/>
        </w:rPr>
      </w:pPr>
      <w:r w:rsidRPr="0090560D">
        <w:rPr>
          <w:b/>
          <w:bCs/>
        </w:rPr>
        <w:t>Project C</w:t>
      </w:r>
    </w:p>
    <w:tbl>
      <w:tblPr>
        <w:tblStyle w:val="GridTable4-Accent5"/>
        <w:tblW w:w="0" w:type="auto"/>
        <w:tblLook w:val="04A0" w:firstRow="1" w:lastRow="0" w:firstColumn="1" w:lastColumn="0" w:noHBand="0" w:noVBand="1"/>
      </w:tblPr>
      <w:tblGrid>
        <w:gridCol w:w="2254"/>
        <w:gridCol w:w="2254"/>
        <w:gridCol w:w="2254"/>
        <w:gridCol w:w="2254"/>
      </w:tblGrid>
      <w:tr w:rsidR="00EB05FA" w:rsidRPr="00EB05FA" w14:paraId="7452F6AA" w14:textId="77777777" w:rsidTr="00EB05F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FEFF244" w14:textId="77777777" w:rsidR="00EB05FA" w:rsidRPr="00EB05FA" w:rsidRDefault="00EB05FA" w:rsidP="00B44D8F">
            <w:pPr>
              <w:rPr>
                <w:b w:val="0"/>
                <w:bCs w:val="0"/>
              </w:rPr>
            </w:pPr>
            <w:r w:rsidRPr="00EB05FA">
              <w:t>Year</w:t>
            </w:r>
          </w:p>
        </w:tc>
        <w:tc>
          <w:tcPr>
            <w:tcW w:w="2254" w:type="dxa"/>
          </w:tcPr>
          <w:p w14:paraId="132DF332" w14:textId="77777777" w:rsidR="00EB05FA" w:rsidRPr="00EB05FA" w:rsidRDefault="00EB05FA" w:rsidP="00B44D8F">
            <w:pPr>
              <w:cnfStyle w:val="100000000000" w:firstRow="1" w:lastRow="0" w:firstColumn="0" w:lastColumn="0" w:oddVBand="0" w:evenVBand="0" w:oddHBand="0" w:evenHBand="0" w:firstRowFirstColumn="0" w:firstRowLastColumn="0" w:lastRowFirstColumn="0" w:lastRowLastColumn="0"/>
              <w:rPr>
                <w:b w:val="0"/>
                <w:bCs w:val="0"/>
              </w:rPr>
            </w:pPr>
            <w:r w:rsidRPr="00EB05FA">
              <w:t>Cash Flow</w:t>
            </w:r>
          </w:p>
        </w:tc>
        <w:tc>
          <w:tcPr>
            <w:tcW w:w="2254" w:type="dxa"/>
          </w:tcPr>
          <w:p w14:paraId="64D78C7E" w14:textId="77777777" w:rsidR="00EB05FA" w:rsidRPr="00EB05FA" w:rsidRDefault="00EB05FA" w:rsidP="00B44D8F">
            <w:pPr>
              <w:cnfStyle w:val="100000000000" w:firstRow="1" w:lastRow="0" w:firstColumn="0" w:lastColumn="0" w:oddVBand="0" w:evenVBand="0" w:oddHBand="0" w:evenHBand="0" w:firstRowFirstColumn="0" w:firstRowLastColumn="0" w:lastRowFirstColumn="0" w:lastRowLastColumn="0"/>
              <w:rPr>
                <w:b w:val="0"/>
                <w:bCs w:val="0"/>
              </w:rPr>
            </w:pPr>
            <w:r w:rsidRPr="00EB05FA">
              <w:t>DF</w:t>
            </w:r>
          </w:p>
        </w:tc>
        <w:tc>
          <w:tcPr>
            <w:tcW w:w="2254" w:type="dxa"/>
          </w:tcPr>
          <w:p w14:paraId="3C35BAFB" w14:textId="77777777" w:rsidR="00EB05FA" w:rsidRPr="00EB05FA" w:rsidRDefault="00EB05FA" w:rsidP="00B44D8F">
            <w:pPr>
              <w:cnfStyle w:val="100000000000" w:firstRow="1" w:lastRow="0" w:firstColumn="0" w:lastColumn="0" w:oddVBand="0" w:evenVBand="0" w:oddHBand="0" w:evenHBand="0" w:firstRowFirstColumn="0" w:firstRowLastColumn="0" w:lastRowFirstColumn="0" w:lastRowLastColumn="0"/>
              <w:rPr>
                <w:b w:val="0"/>
                <w:bCs w:val="0"/>
              </w:rPr>
            </w:pPr>
            <w:r w:rsidRPr="00EB05FA">
              <w:t>Present Value</w:t>
            </w:r>
          </w:p>
        </w:tc>
      </w:tr>
      <w:tr w:rsidR="00EB05FA" w:rsidRPr="00EB05FA" w14:paraId="6A5DFFAF" w14:textId="77777777" w:rsidTr="00EB05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DCDBC8A" w14:textId="77777777" w:rsidR="00EB05FA" w:rsidRPr="00EB05FA" w:rsidRDefault="00EB05FA" w:rsidP="00B44D8F">
            <w:pPr>
              <w:rPr>
                <w:b w:val="0"/>
                <w:bCs w:val="0"/>
              </w:rPr>
            </w:pPr>
            <w:r w:rsidRPr="00EB05FA">
              <w:t>1</w:t>
            </w:r>
          </w:p>
        </w:tc>
        <w:tc>
          <w:tcPr>
            <w:tcW w:w="2254" w:type="dxa"/>
          </w:tcPr>
          <w:p w14:paraId="48C6B972" w14:textId="77777777" w:rsidR="00EB05FA" w:rsidRPr="00EB05FA" w:rsidRDefault="00EB05FA" w:rsidP="00B44D8F">
            <w:pPr>
              <w:cnfStyle w:val="000000100000" w:firstRow="0" w:lastRow="0" w:firstColumn="0" w:lastColumn="0" w:oddVBand="0" w:evenVBand="0" w:oddHBand="1" w:evenHBand="0" w:firstRowFirstColumn="0" w:firstRowLastColumn="0" w:lastRowFirstColumn="0" w:lastRowLastColumn="0"/>
              <w:rPr>
                <w:b/>
                <w:bCs/>
              </w:rPr>
            </w:pPr>
            <w:r w:rsidRPr="00EB05FA">
              <w:rPr>
                <w:b/>
                <w:bCs/>
              </w:rPr>
              <w:t>5</w:t>
            </w:r>
          </w:p>
        </w:tc>
        <w:tc>
          <w:tcPr>
            <w:tcW w:w="2254" w:type="dxa"/>
          </w:tcPr>
          <w:p w14:paraId="0AC536EA" w14:textId="77777777" w:rsidR="00EB05FA" w:rsidRPr="00EB05FA" w:rsidRDefault="00EB05FA" w:rsidP="00B44D8F">
            <w:pPr>
              <w:cnfStyle w:val="000000100000" w:firstRow="0" w:lastRow="0" w:firstColumn="0" w:lastColumn="0" w:oddVBand="0" w:evenVBand="0" w:oddHBand="1" w:evenHBand="0" w:firstRowFirstColumn="0" w:firstRowLastColumn="0" w:lastRowFirstColumn="0" w:lastRowLastColumn="0"/>
              <w:rPr>
                <w:b/>
                <w:bCs/>
              </w:rPr>
            </w:pPr>
            <w:r w:rsidRPr="00EB05FA">
              <w:rPr>
                <w:b/>
                <w:bCs/>
              </w:rPr>
              <w:t>0.909</w:t>
            </w:r>
          </w:p>
        </w:tc>
        <w:tc>
          <w:tcPr>
            <w:tcW w:w="2254" w:type="dxa"/>
          </w:tcPr>
          <w:p w14:paraId="4AD86315" w14:textId="77777777" w:rsidR="00EB05FA" w:rsidRPr="00EB05FA" w:rsidRDefault="00EB05FA" w:rsidP="00B44D8F">
            <w:pPr>
              <w:cnfStyle w:val="000000100000" w:firstRow="0" w:lastRow="0" w:firstColumn="0" w:lastColumn="0" w:oddVBand="0" w:evenVBand="0" w:oddHBand="1" w:evenHBand="0" w:firstRowFirstColumn="0" w:firstRowLastColumn="0" w:lastRowFirstColumn="0" w:lastRowLastColumn="0"/>
              <w:rPr>
                <w:b/>
                <w:bCs/>
              </w:rPr>
            </w:pPr>
            <w:r w:rsidRPr="00EB05FA">
              <w:rPr>
                <w:b/>
                <w:bCs/>
              </w:rPr>
              <w:t>4.55</w:t>
            </w:r>
          </w:p>
        </w:tc>
      </w:tr>
      <w:tr w:rsidR="00EB05FA" w:rsidRPr="00EB05FA" w14:paraId="1E0E4777" w14:textId="77777777" w:rsidTr="00EB05FA">
        <w:tc>
          <w:tcPr>
            <w:cnfStyle w:val="001000000000" w:firstRow="0" w:lastRow="0" w:firstColumn="1" w:lastColumn="0" w:oddVBand="0" w:evenVBand="0" w:oddHBand="0" w:evenHBand="0" w:firstRowFirstColumn="0" w:firstRowLastColumn="0" w:lastRowFirstColumn="0" w:lastRowLastColumn="0"/>
            <w:tcW w:w="2254" w:type="dxa"/>
          </w:tcPr>
          <w:p w14:paraId="3326BB5C" w14:textId="77777777" w:rsidR="00EB05FA" w:rsidRPr="00EB05FA" w:rsidRDefault="00EB05FA" w:rsidP="00B44D8F">
            <w:pPr>
              <w:rPr>
                <w:b w:val="0"/>
                <w:bCs w:val="0"/>
              </w:rPr>
            </w:pPr>
            <w:r w:rsidRPr="00EB05FA">
              <w:t>2</w:t>
            </w:r>
          </w:p>
        </w:tc>
        <w:tc>
          <w:tcPr>
            <w:tcW w:w="2254" w:type="dxa"/>
          </w:tcPr>
          <w:p w14:paraId="6FEE89A4" w14:textId="77777777" w:rsidR="00EB05FA" w:rsidRPr="00EB05FA" w:rsidRDefault="00EB05FA" w:rsidP="00B44D8F">
            <w:pPr>
              <w:cnfStyle w:val="000000000000" w:firstRow="0" w:lastRow="0" w:firstColumn="0" w:lastColumn="0" w:oddVBand="0" w:evenVBand="0" w:oddHBand="0" w:evenHBand="0" w:firstRowFirstColumn="0" w:firstRowLastColumn="0" w:lastRowFirstColumn="0" w:lastRowLastColumn="0"/>
              <w:rPr>
                <w:b/>
                <w:bCs/>
              </w:rPr>
            </w:pPr>
            <w:r w:rsidRPr="00EB05FA">
              <w:rPr>
                <w:b/>
                <w:bCs/>
              </w:rPr>
              <w:t>10</w:t>
            </w:r>
          </w:p>
        </w:tc>
        <w:tc>
          <w:tcPr>
            <w:tcW w:w="2254" w:type="dxa"/>
          </w:tcPr>
          <w:p w14:paraId="2D2354E3" w14:textId="77777777" w:rsidR="00EB05FA" w:rsidRPr="00EB05FA" w:rsidRDefault="00EB05FA" w:rsidP="00B44D8F">
            <w:pPr>
              <w:cnfStyle w:val="000000000000" w:firstRow="0" w:lastRow="0" w:firstColumn="0" w:lastColumn="0" w:oddVBand="0" w:evenVBand="0" w:oddHBand="0" w:evenHBand="0" w:firstRowFirstColumn="0" w:firstRowLastColumn="0" w:lastRowFirstColumn="0" w:lastRowLastColumn="0"/>
              <w:rPr>
                <w:b/>
                <w:bCs/>
              </w:rPr>
            </w:pPr>
            <w:r w:rsidRPr="00EB05FA">
              <w:rPr>
                <w:b/>
                <w:bCs/>
              </w:rPr>
              <w:t>0.826</w:t>
            </w:r>
          </w:p>
        </w:tc>
        <w:tc>
          <w:tcPr>
            <w:tcW w:w="2254" w:type="dxa"/>
          </w:tcPr>
          <w:p w14:paraId="3F7C4921" w14:textId="77777777" w:rsidR="00EB05FA" w:rsidRPr="00EB05FA" w:rsidRDefault="00EB05FA" w:rsidP="00B44D8F">
            <w:pPr>
              <w:cnfStyle w:val="000000000000" w:firstRow="0" w:lastRow="0" w:firstColumn="0" w:lastColumn="0" w:oddVBand="0" w:evenVBand="0" w:oddHBand="0" w:evenHBand="0" w:firstRowFirstColumn="0" w:firstRowLastColumn="0" w:lastRowFirstColumn="0" w:lastRowLastColumn="0"/>
              <w:rPr>
                <w:b/>
                <w:bCs/>
              </w:rPr>
            </w:pPr>
            <w:r w:rsidRPr="00EB05FA">
              <w:rPr>
                <w:b/>
                <w:bCs/>
              </w:rPr>
              <w:t>8.26</w:t>
            </w:r>
          </w:p>
        </w:tc>
      </w:tr>
      <w:tr w:rsidR="00EB05FA" w:rsidRPr="00EB05FA" w14:paraId="1E21CDF8" w14:textId="77777777" w:rsidTr="00EB05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4D856DB" w14:textId="77777777" w:rsidR="00EB05FA" w:rsidRPr="00EB05FA" w:rsidRDefault="00EB05FA" w:rsidP="00B44D8F">
            <w:pPr>
              <w:rPr>
                <w:b w:val="0"/>
                <w:bCs w:val="0"/>
              </w:rPr>
            </w:pPr>
            <w:r w:rsidRPr="00EB05FA">
              <w:t>3</w:t>
            </w:r>
          </w:p>
        </w:tc>
        <w:tc>
          <w:tcPr>
            <w:tcW w:w="2254" w:type="dxa"/>
          </w:tcPr>
          <w:p w14:paraId="1A88D2FF" w14:textId="77777777" w:rsidR="00EB05FA" w:rsidRPr="00EB05FA" w:rsidRDefault="00EB05FA" w:rsidP="00B44D8F">
            <w:pPr>
              <w:cnfStyle w:val="000000100000" w:firstRow="0" w:lastRow="0" w:firstColumn="0" w:lastColumn="0" w:oddVBand="0" w:evenVBand="0" w:oddHBand="1" w:evenHBand="0" w:firstRowFirstColumn="0" w:firstRowLastColumn="0" w:lastRowFirstColumn="0" w:lastRowLastColumn="0"/>
              <w:rPr>
                <w:b/>
                <w:bCs/>
              </w:rPr>
            </w:pPr>
            <w:r w:rsidRPr="00EB05FA">
              <w:rPr>
                <w:b/>
                <w:bCs/>
              </w:rPr>
              <w:t>20</w:t>
            </w:r>
          </w:p>
        </w:tc>
        <w:tc>
          <w:tcPr>
            <w:tcW w:w="2254" w:type="dxa"/>
          </w:tcPr>
          <w:p w14:paraId="0E134666" w14:textId="77777777" w:rsidR="00EB05FA" w:rsidRPr="00EB05FA" w:rsidRDefault="00EB05FA" w:rsidP="00B44D8F">
            <w:pPr>
              <w:cnfStyle w:val="000000100000" w:firstRow="0" w:lastRow="0" w:firstColumn="0" w:lastColumn="0" w:oddVBand="0" w:evenVBand="0" w:oddHBand="1" w:evenHBand="0" w:firstRowFirstColumn="0" w:firstRowLastColumn="0" w:lastRowFirstColumn="0" w:lastRowLastColumn="0"/>
              <w:rPr>
                <w:b/>
                <w:bCs/>
              </w:rPr>
            </w:pPr>
            <w:r w:rsidRPr="00EB05FA">
              <w:rPr>
                <w:b/>
                <w:bCs/>
              </w:rPr>
              <w:t>0.751</w:t>
            </w:r>
          </w:p>
        </w:tc>
        <w:tc>
          <w:tcPr>
            <w:tcW w:w="2254" w:type="dxa"/>
          </w:tcPr>
          <w:p w14:paraId="14806EA8" w14:textId="77777777" w:rsidR="00EB05FA" w:rsidRPr="00EB05FA" w:rsidRDefault="00EB05FA" w:rsidP="00B44D8F">
            <w:pPr>
              <w:cnfStyle w:val="000000100000" w:firstRow="0" w:lastRow="0" w:firstColumn="0" w:lastColumn="0" w:oddVBand="0" w:evenVBand="0" w:oddHBand="1" w:evenHBand="0" w:firstRowFirstColumn="0" w:firstRowLastColumn="0" w:lastRowFirstColumn="0" w:lastRowLastColumn="0"/>
              <w:rPr>
                <w:b/>
                <w:bCs/>
              </w:rPr>
            </w:pPr>
            <w:r w:rsidRPr="00EB05FA">
              <w:rPr>
                <w:b/>
                <w:bCs/>
              </w:rPr>
              <w:t>15.02</w:t>
            </w:r>
          </w:p>
        </w:tc>
      </w:tr>
      <w:tr w:rsidR="00EB05FA" w:rsidRPr="00EB05FA" w14:paraId="2D0EF7C4" w14:textId="77777777" w:rsidTr="00EB05FA">
        <w:tc>
          <w:tcPr>
            <w:cnfStyle w:val="001000000000" w:firstRow="0" w:lastRow="0" w:firstColumn="1" w:lastColumn="0" w:oddVBand="0" w:evenVBand="0" w:oddHBand="0" w:evenHBand="0" w:firstRowFirstColumn="0" w:firstRowLastColumn="0" w:lastRowFirstColumn="0" w:lastRowLastColumn="0"/>
            <w:tcW w:w="2254" w:type="dxa"/>
          </w:tcPr>
          <w:p w14:paraId="11E759A5" w14:textId="77777777" w:rsidR="00EB05FA" w:rsidRPr="00EB05FA" w:rsidRDefault="00EB05FA" w:rsidP="00B44D8F">
            <w:pPr>
              <w:rPr>
                <w:b w:val="0"/>
                <w:bCs w:val="0"/>
              </w:rPr>
            </w:pPr>
            <w:r w:rsidRPr="00EB05FA">
              <w:t>4</w:t>
            </w:r>
          </w:p>
        </w:tc>
        <w:tc>
          <w:tcPr>
            <w:tcW w:w="2254" w:type="dxa"/>
          </w:tcPr>
          <w:p w14:paraId="7366CB68" w14:textId="77777777" w:rsidR="00EB05FA" w:rsidRPr="00EB05FA" w:rsidRDefault="00EB05FA" w:rsidP="00B44D8F">
            <w:pPr>
              <w:cnfStyle w:val="000000000000" w:firstRow="0" w:lastRow="0" w:firstColumn="0" w:lastColumn="0" w:oddVBand="0" w:evenVBand="0" w:oddHBand="0" w:evenHBand="0" w:firstRowFirstColumn="0" w:firstRowLastColumn="0" w:lastRowFirstColumn="0" w:lastRowLastColumn="0"/>
              <w:rPr>
                <w:b/>
                <w:bCs/>
              </w:rPr>
            </w:pPr>
            <w:r w:rsidRPr="00EB05FA">
              <w:rPr>
                <w:b/>
                <w:bCs/>
              </w:rPr>
              <w:t>25</w:t>
            </w:r>
          </w:p>
        </w:tc>
        <w:tc>
          <w:tcPr>
            <w:tcW w:w="2254" w:type="dxa"/>
          </w:tcPr>
          <w:p w14:paraId="49964506" w14:textId="77777777" w:rsidR="00EB05FA" w:rsidRPr="00EB05FA" w:rsidRDefault="00EB05FA" w:rsidP="00B44D8F">
            <w:pPr>
              <w:cnfStyle w:val="000000000000" w:firstRow="0" w:lastRow="0" w:firstColumn="0" w:lastColumn="0" w:oddVBand="0" w:evenVBand="0" w:oddHBand="0" w:evenHBand="0" w:firstRowFirstColumn="0" w:firstRowLastColumn="0" w:lastRowFirstColumn="0" w:lastRowLastColumn="0"/>
              <w:rPr>
                <w:b/>
                <w:bCs/>
              </w:rPr>
            </w:pPr>
            <w:r w:rsidRPr="00EB05FA">
              <w:rPr>
                <w:b/>
                <w:bCs/>
              </w:rPr>
              <w:t>0.683</w:t>
            </w:r>
          </w:p>
        </w:tc>
        <w:tc>
          <w:tcPr>
            <w:tcW w:w="2254" w:type="dxa"/>
          </w:tcPr>
          <w:p w14:paraId="24E2D4EB" w14:textId="77777777" w:rsidR="00EB05FA" w:rsidRPr="00EB05FA" w:rsidRDefault="00EB05FA" w:rsidP="00B44D8F">
            <w:pPr>
              <w:cnfStyle w:val="000000000000" w:firstRow="0" w:lastRow="0" w:firstColumn="0" w:lastColumn="0" w:oddVBand="0" w:evenVBand="0" w:oddHBand="0" w:evenHBand="0" w:firstRowFirstColumn="0" w:firstRowLastColumn="0" w:lastRowFirstColumn="0" w:lastRowLastColumn="0"/>
              <w:rPr>
                <w:b/>
                <w:bCs/>
              </w:rPr>
            </w:pPr>
            <w:r w:rsidRPr="00EB05FA">
              <w:rPr>
                <w:b/>
                <w:bCs/>
              </w:rPr>
              <w:t>17.08</w:t>
            </w:r>
          </w:p>
        </w:tc>
      </w:tr>
      <w:tr w:rsidR="00EB05FA" w:rsidRPr="00EB05FA" w14:paraId="23A069B7" w14:textId="77777777" w:rsidTr="00EB05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243DD1E" w14:textId="77777777" w:rsidR="00EB05FA" w:rsidRPr="00EB05FA" w:rsidRDefault="00EB05FA" w:rsidP="00B44D8F">
            <w:pPr>
              <w:rPr>
                <w:b w:val="0"/>
                <w:bCs w:val="0"/>
              </w:rPr>
            </w:pPr>
            <w:r w:rsidRPr="00EB05FA">
              <w:t>5</w:t>
            </w:r>
          </w:p>
        </w:tc>
        <w:tc>
          <w:tcPr>
            <w:tcW w:w="2254" w:type="dxa"/>
          </w:tcPr>
          <w:p w14:paraId="7086833D" w14:textId="77777777" w:rsidR="00EB05FA" w:rsidRPr="00EB05FA" w:rsidRDefault="00EB05FA" w:rsidP="00B44D8F">
            <w:pPr>
              <w:cnfStyle w:val="000000100000" w:firstRow="0" w:lastRow="0" w:firstColumn="0" w:lastColumn="0" w:oddVBand="0" w:evenVBand="0" w:oddHBand="1" w:evenHBand="0" w:firstRowFirstColumn="0" w:firstRowLastColumn="0" w:lastRowFirstColumn="0" w:lastRowLastColumn="0"/>
              <w:rPr>
                <w:b/>
                <w:bCs/>
              </w:rPr>
            </w:pPr>
            <w:r w:rsidRPr="00EB05FA">
              <w:rPr>
                <w:b/>
                <w:bCs/>
              </w:rPr>
              <w:t>15</w:t>
            </w:r>
          </w:p>
        </w:tc>
        <w:tc>
          <w:tcPr>
            <w:tcW w:w="2254" w:type="dxa"/>
          </w:tcPr>
          <w:p w14:paraId="7365B5F7" w14:textId="77777777" w:rsidR="00EB05FA" w:rsidRPr="00EB05FA" w:rsidRDefault="00EB05FA" w:rsidP="00B44D8F">
            <w:pPr>
              <w:cnfStyle w:val="000000100000" w:firstRow="0" w:lastRow="0" w:firstColumn="0" w:lastColumn="0" w:oddVBand="0" w:evenVBand="0" w:oddHBand="1" w:evenHBand="0" w:firstRowFirstColumn="0" w:firstRowLastColumn="0" w:lastRowFirstColumn="0" w:lastRowLastColumn="0"/>
              <w:rPr>
                <w:b/>
                <w:bCs/>
              </w:rPr>
            </w:pPr>
            <w:r w:rsidRPr="00EB05FA">
              <w:rPr>
                <w:b/>
                <w:bCs/>
              </w:rPr>
              <w:t>0.621</w:t>
            </w:r>
          </w:p>
        </w:tc>
        <w:tc>
          <w:tcPr>
            <w:tcW w:w="2254" w:type="dxa"/>
          </w:tcPr>
          <w:p w14:paraId="2002B9D8" w14:textId="77777777" w:rsidR="00EB05FA" w:rsidRPr="00EB05FA" w:rsidRDefault="00EB05FA" w:rsidP="00B44D8F">
            <w:pPr>
              <w:cnfStyle w:val="000000100000" w:firstRow="0" w:lastRow="0" w:firstColumn="0" w:lastColumn="0" w:oddVBand="0" w:evenVBand="0" w:oddHBand="1" w:evenHBand="0" w:firstRowFirstColumn="0" w:firstRowLastColumn="0" w:lastRowFirstColumn="0" w:lastRowLastColumn="0"/>
              <w:rPr>
                <w:b/>
                <w:bCs/>
              </w:rPr>
            </w:pPr>
            <w:r w:rsidRPr="00EB05FA">
              <w:rPr>
                <w:b/>
                <w:bCs/>
              </w:rPr>
              <w:t>9.32</w:t>
            </w:r>
          </w:p>
        </w:tc>
      </w:tr>
      <w:tr w:rsidR="00EB05FA" w:rsidRPr="00EB05FA" w14:paraId="70AC9FA1" w14:textId="77777777" w:rsidTr="00EB05FA">
        <w:tc>
          <w:tcPr>
            <w:cnfStyle w:val="001000000000" w:firstRow="0" w:lastRow="0" w:firstColumn="1" w:lastColumn="0" w:oddVBand="0" w:evenVBand="0" w:oddHBand="0" w:evenHBand="0" w:firstRowFirstColumn="0" w:firstRowLastColumn="0" w:lastRowFirstColumn="0" w:lastRowLastColumn="0"/>
            <w:tcW w:w="2254" w:type="dxa"/>
          </w:tcPr>
          <w:p w14:paraId="5C044794" w14:textId="77777777" w:rsidR="00EB05FA" w:rsidRPr="00EB05FA" w:rsidRDefault="00EB05FA" w:rsidP="00B44D8F">
            <w:pPr>
              <w:rPr>
                <w:b w:val="0"/>
                <w:bCs w:val="0"/>
              </w:rPr>
            </w:pPr>
            <w:r w:rsidRPr="00EB05FA">
              <w:t>Total PV</w:t>
            </w:r>
          </w:p>
        </w:tc>
        <w:tc>
          <w:tcPr>
            <w:tcW w:w="2254" w:type="dxa"/>
          </w:tcPr>
          <w:p w14:paraId="2B3AD827" w14:textId="77777777" w:rsidR="00EB05FA" w:rsidRPr="00EB05FA" w:rsidRDefault="00EB05FA" w:rsidP="00B44D8F">
            <w:pPr>
              <w:cnfStyle w:val="000000000000" w:firstRow="0" w:lastRow="0" w:firstColumn="0" w:lastColumn="0" w:oddVBand="0" w:evenVBand="0" w:oddHBand="0" w:evenHBand="0" w:firstRowFirstColumn="0" w:firstRowLastColumn="0" w:lastRowFirstColumn="0" w:lastRowLastColumn="0"/>
              <w:rPr>
                <w:b/>
                <w:bCs/>
              </w:rPr>
            </w:pPr>
          </w:p>
        </w:tc>
        <w:tc>
          <w:tcPr>
            <w:tcW w:w="2254" w:type="dxa"/>
          </w:tcPr>
          <w:p w14:paraId="0B830C6A" w14:textId="77777777" w:rsidR="00EB05FA" w:rsidRPr="00EB05FA" w:rsidRDefault="00EB05FA" w:rsidP="00B44D8F">
            <w:pPr>
              <w:cnfStyle w:val="000000000000" w:firstRow="0" w:lastRow="0" w:firstColumn="0" w:lastColumn="0" w:oddVBand="0" w:evenVBand="0" w:oddHBand="0" w:evenHBand="0" w:firstRowFirstColumn="0" w:firstRowLastColumn="0" w:lastRowFirstColumn="0" w:lastRowLastColumn="0"/>
              <w:rPr>
                <w:b/>
                <w:bCs/>
              </w:rPr>
            </w:pPr>
          </w:p>
        </w:tc>
        <w:tc>
          <w:tcPr>
            <w:tcW w:w="2254" w:type="dxa"/>
          </w:tcPr>
          <w:p w14:paraId="3D7FF37C" w14:textId="77777777" w:rsidR="00EB05FA" w:rsidRPr="00EB05FA" w:rsidRDefault="00EB05FA" w:rsidP="00B44D8F">
            <w:pPr>
              <w:cnfStyle w:val="000000000000" w:firstRow="0" w:lastRow="0" w:firstColumn="0" w:lastColumn="0" w:oddVBand="0" w:evenVBand="0" w:oddHBand="0" w:evenHBand="0" w:firstRowFirstColumn="0" w:firstRowLastColumn="0" w:lastRowFirstColumn="0" w:lastRowLastColumn="0"/>
              <w:rPr>
                <w:b/>
                <w:bCs/>
              </w:rPr>
            </w:pPr>
            <w:r w:rsidRPr="00EB05FA">
              <w:rPr>
                <w:b/>
                <w:bCs/>
              </w:rPr>
              <w:t>54.23</w:t>
            </w:r>
          </w:p>
        </w:tc>
      </w:tr>
      <w:tr w:rsidR="00EB05FA" w:rsidRPr="00EB05FA" w14:paraId="4AC5BD26" w14:textId="77777777" w:rsidTr="00EB05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974DD8C" w14:textId="77777777" w:rsidR="00EB05FA" w:rsidRPr="00EB05FA" w:rsidRDefault="00EB05FA" w:rsidP="00B44D8F">
            <w:pPr>
              <w:rPr>
                <w:b w:val="0"/>
                <w:bCs w:val="0"/>
              </w:rPr>
            </w:pPr>
            <w:r w:rsidRPr="00EB05FA">
              <w:t>NPV</w:t>
            </w:r>
          </w:p>
        </w:tc>
        <w:tc>
          <w:tcPr>
            <w:tcW w:w="2254" w:type="dxa"/>
          </w:tcPr>
          <w:p w14:paraId="036419A8" w14:textId="77777777" w:rsidR="00EB05FA" w:rsidRPr="00EB05FA" w:rsidRDefault="00EB05FA" w:rsidP="00B44D8F">
            <w:pPr>
              <w:cnfStyle w:val="000000100000" w:firstRow="0" w:lastRow="0" w:firstColumn="0" w:lastColumn="0" w:oddVBand="0" w:evenVBand="0" w:oddHBand="1" w:evenHBand="0" w:firstRowFirstColumn="0" w:firstRowLastColumn="0" w:lastRowFirstColumn="0" w:lastRowLastColumn="0"/>
              <w:rPr>
                <w:b/>
                <w:bCs/>
              </w:rPr>
            </w:pPr>
          </w:p>
        </w:tc>
        <w:tc>
          <w:tcPr>
            <w:tcW w:w="2254" w:type="dxa"/>
          </w:tcPr>
          <w:p w14:paraId="3238F4AF" w14:textId="77777777" w:rsidR="00EB05FA" w:rsidRPr="00EB05FA" w:rsidRDefault="00EB05FA" w:rsidP="00B44D8F">
            <w:pPr>
              <w:cnfStyle w:val="000000100000" w:firstRow="0" w:lastRow="0" w:firstColumn="0" w:lastColumn="0" w:oddVBand="0" w:evenVBand="0" w:oddHBand="1" w:evenHBand="0" w:firstRowFirstColumn="0" w:firstRowLastColumn="0" w:lastRowFirstColumn="0" w:lastRowLastColumn="0"/>
              <w:rPr>
                <w:b/>
                <w:bCs/>
              </w:rPr>
            </w:pPr>
          </w:p>
        </w:tc>
        <w:tc>
          <w:tcPr>
            <w:tcW w:w="2254" w:type="dxa"/>
          </w:tcPr>
          <w:p w14:paraId="4E0FAF52" w14:textId="77777777" w:rsidR="00EB05FA" w:rsidRPr="00EB05FA" w:rsidRDefault="00EB05FA" w:rsidP="00B44D8F">
            <w:pPr>
              <w:cnfStyle w:val="000000100000" w:firstRow="0" w:lastRow="0" w:firstColumn="0" w:lastColumn="0" w:oddVBand="0" w:evenVBand="0" w:oddHBand="1" w:evenHBand="0" w:firstRowFirstColumn="0" w:firstRowLastColumn="0" w:lastRowFirstColumn="0" w:lastRowLastColumn="0"/>
              <w:rPr>
                <w:b/>
                <w:bCs/>
              </w:rPr>
            </w:pPr>
            <w:r w:rsidRPr="00EB05FA">
              <w:rPr>
                <w:b/>
                <w:bCs/>
              </w:rPr>
              <w:t>+4.23</w:t>
            </w:r>
          </w:p>
        </w:tc>
      </w:tr>
    </w:tbl>
    <w:p w14:paraId="1EF624E9" w14:textId="77777777" w:rsidR="0090560D" w:rsidRPr="0090560D" w:rsidRDefault="0090560D" w:rsidP="0090560D"/>
    <w:p w14:paraId="63F2CAC5" w14:textId="77777777" w:rsidR="0090560D" w:rsidRPr="0090560D" w:rsidRDefault="0090560D" w:rsidP="0090560D">
      <w:pPr>
        <w:rPr>
          <w:b/>
          <w:bCs/>
        </w:rPr>
      </w:pPr>
      <w:r w:rsidRPr="0090560D">
        <w:rPr>
          <w:b/>
          <w:bCs/>
        </w:rPr>
        <w:t>F5. Internal Rate of Return (IRR) Calculations</w:t>
      </w:r>
    </w:p>
    <w:p w14:paraId="7459D662" w14:textId="77777777" w:rsidR="0090560D" w:rsidRPr="0090560D" w:rsidRDefault="0090560D" w:rsidP="0090560D">
      <w:r w:rsidRPr="0090560D">
        <w:t>IRR calculated using interpolation between discount rates.</w:t>
      </w:r>
    </w:p>
    <w:p w14:paraId="3582603E" w14:textId="77777777" w:rsidR="00EB05FA" w:rsidRPr="00EB05FA" w:rsidRDefault="00EB05FA" w:rsidP="00EB05FA">
      <w:pPr>
        <w:rPr>
          <w:b/>
        </w:rPr>
      </w:pPr>
      <w:r w:rsidRPr="00EB05FA">
        <w:rPr>
          <w:b/>
        </w:rPr>
        <w:t>Table F5: IRR Results</w:t>
      </w:r>
    </w:p>
    <w:tbl>
      <w:tblPr>
        <w:tblStyle w:val="GridTable4-Accent5"/>
        <w:tblW w:w="0" w:type="auto"/>
        <w:tblLook w:val="04A0" w:firstRow="1" w:lastRow="0" w:firstColumn="1" w:lastColumn="0" w:noHBand="0" w:noVBand="1"/>
      </w:tblPr>
      <w:tblGrid>
        <w:gridCol w:w="4508"/>
        <w:gridCol w:w="4508"/>
      </w:tblGrid>
      <w:tr w:rsidR="00EB05FA" w:rsidRPr="00EB05FA" w14:paraId="77E46FB3" w14:textId="77777777" w:rsidTr="00EB05F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5B30110" w14:textId="77777777" w:rsidR="00EB05FA" w:rsidRPr="00EB05FA" w:rsidRDefault="00EB05FA" w:rsidP="00B44D8F">
            <w:r w:rsidRPr="00EB05FA">
              <w:t>Project</w:t>
            </w:r>
          </w:p>
        </w:tc>
        <w:tc>
          <w:tcPr>
            <w:tcW w:w="4508" w:type="dxa"/>
          </w:tcPr>
          <w:p w14:paraId="1F3CBB26" w14:textId="77777777" w:rsidR="00EB05FA" w:rsidRPr="00EB05FA" w:rsidRDefault="00EB05FA" w:rsidP="00B44D8F">
            <w:pPr>
              <w:cnfStyle w:val="100000000000" w:firstRow="1" w:lastRow="0" w:firstColumn="0" w:lastColumn="0" w:oddVBand="0" w:evenVBand="0" w:oddHBand="0" w:evenHBand="0" w:firstRowFirstColumn="0" w:firstRowLastColumn="0" w:lastRowFirstColumn="0" w:lastRowLastColumn="0"/>
            </w:pPr>
            <w:r w:rsidRPr="00EB05FA">
              <w:t>IRR</w:t>
            </w:r>
          </w:p>
        </w:tc>
      </w:tr>
      <w:tr w:rsidR="00EB05FA" w:rsidRPr="00EB05FA" w14:paraId="1DEDCB39" w14:textId="77777777" w:rsidTr="00EB05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19E307F" w14:textId="77777777" w:rsidR="00EB05FA" w:rsidRPr="00EB05FA" w:rsidRDefault="00EB05FA" w:rsidP="00B44D8F">
            <w:r w:rsidRPr="00EB05FA">
              <w:t>A</w:t>
            </w:r>
          </w:p>
        </w:tc>
        <w:tc>
          <w:tcPr>
            <w:tcW w:w="4508" w:type="dxa"/>
          </w:tcPr>
          <w:p w14:paraId="7CB74562" w14:textId="77777777" w:rsidR="00EB05FA" w:rsidRPr="00EB05FA" w:rsidRDefault="00EB05FA" w:rsidP="00B44D8F">
            <w:pPr>
              <w:cnfStyle w:val="000000100000" w:firstRow="0" w:lastRow="0" w:firstColumn="0" w:lastColumn="0" w:oddVBand="0" w:evenVBand="0" w:oddHBand="1" w:evenHBand="0" w:firstRowFirstColumn="0" w:firstRowLastColumn="0" w:lastRowFirstColumn="0" w:lastRowLastColumn="0"/>
            </w:pPr>
            <w:r w:rsidRPr="00EB05FA">
              <w:t>≈11%</w:t>
            </w:r>
          </w:p>
        </w:tc>
      </w:tr>
      <w:tr w:rsidR="00EB05FA" w:rsidRPr="00EB05FA" w14:paraId="63394F96" w14:textId="77777777" w:rsidTr="00EB05FA">
        <w:tc>
          <w:tcPr>
            <w:cnfStyle w:val="001000000000" w:firstRow="0" w:lastRow="0" w:firstColumn="1" w:lastColumn="0" w:oddVBand="0" w:evenVBand="0" w:oddHBand="0" w:evenHBand="0" w:firstRowFirstColumn="0" w:firstRowLastColumn="0" w:lastRowFirstColumn="0" w:lastRowLastColumn="0"/>
            <w:tcW w:w="4508" w:type="dxa"/>
          </w:tcPr>
          <w:p w14:paraId="4699FEAE" w14:textId="77777777" w:rsidR="00EB05FA" w:rsidRPr="00EB05FA" w:rsidRDefault="00EB05FA" w:rsidP="00B44D8F">
            <w:r w:rsidRPr="00EB05FA">
              <w:t>B</w:t>
            </w:r>
          </w:p>
        </w:tc>
        <w:tc>
          <w:tcPr>
            <w:tcW w:w="4508" w:type="dxa"/>
          </w:tcPr>
          <w:p w14:paraId="1CCC4329" w14:textId="77777777" w:rsidR="00EB05FA" w:rsidRPr="00EB05FA" w:rsidRDefault="00EB05FA" w:rsidP="00B44D8F">
            <w:pPr>
              <w:cnfStyle w:val="000000000000" w:firstRow="0" w:lastRow="0" w:firstColumn="0" w:lastColumn="0" w:oddVBand="0" w:evenVBand="0" w:oddHBand="0" w:evenHBand="0" w:firstRowFirstColumn="0" w:firstRowLastColumn="0" w:lastRowFirstColumn="0" w:lastRowLastColumn="0"/>
            </w:pPr>
            <w:r w:rsidRPr="00EB05FA">
              <w:t>≈6%</w:t>
            </w:r>
          </w:p>
        </w:tc>
      </w:tr>
      <w:tr w:rsidR="00EB05FA" w:rsidRPr="00EB05FA" w14:paraId="7CC917A4" w14:textId="77777777" w:rsidTr="00EB05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8AF2993" w14:textId="77777777" w:rsidR="00EB05FA" w:rsidRPr="00EB05FA" w:rsidRDefault="00EB05FA" w:rsidP="00B44D8F">
            <w:r w:rsidRPr="00EB05FA">
              <w:t>C</w:t>
            </w:r>
          </w:p>
        </w:tc>
        <w:tc>
          <w:tcPr>
            <w:tcW w:w="4508" w:type="dxa"/>
          </w:tcPr>
          <w:p w14:paraId="62DABE72" w14:textId="77777777" w:rsidR="00EB05FA" w:rsidRPr="00EB05FA" w:rsidRDefault="00EB05FA" w:rsidP="00B44D8F">
            <w:pPr>
              <w:cnfStyle w:val="000000100000" w:firstRow="0" w:lastRow="0" w:firstColumn="0" w:lastColumn="0" w:oddVBand="0" w:evenVBand="0" w:oddHBand="1" w:evenHBand="0" w:firstRowFirstColumn="0" w:firstRowLastColumn="0" w:lastRowFirstColumn="0" w:lastRowLastColumn="0"/>
            </w:pPr>
            <w:r w:rsidRPr="00EB05FA">
              <w:t>≈13%</w:t>
            </w:r>
          </w:p>
        </w:tc>
      </w:tr>
    </w:tbl>
    <w:p w14:paraId="499CF4ED" w14:textId="77777777" w:rsidR="0090560D" w:rsidRPr="0090560D" w:rsidRDefault="0090560D" w:rsidP="0090560D">
      <w:pPr>
        <w:rPr>
          <w:b/>
          <w:bCs/>
        </w:rPr>
      </w:pPr>
      <w:r w:rsidRPr="0090560D">
        <w:rPr>
          <w:b/>
          <w:bCs/>
        </w:rPr>
        <w:t>F6. Profitability Index (PI) Calculations</w:t>
      </w:r>
    </w:p>
    <w:p w14:paraId="256CF5CD" w14:textId="77777777" w:rsidR="0090560D" w:rsidRPr="0090560D" w:rsidRDefault="0090560D" w:rsidP="0090560D">
      <w:pPr>
        <w:rPr>
          <w:b/>
          <w:bCs/>
        </w:rPr>
      </w:pPr>
      <w:r w:rsidRPr="0090560D">
        <w:rPr>
          <w:b/>
          <w:bCs/>
        </w:rPr>
        <w:lastRenderedPageBreak/>
        <w:t>Table F6: Profitability Index</w:t>
      </w:r>
    </w:p>
    <w:tbl>
      <w:tblPr>
        <w:tblStyle w:val="GridTable4-Accent5"/>
        <w:tblW w:w="0" w:type="auto"/>
        <w:tblLook w:val="04A0" w:firstRow="1" w:lastRow="0" w:firstColumn="1" w:lastColumn="0" w:noHBand="0" w:noVBand="1"/>
      </w:tblPr>
      <w:tblGrid>
        <w:gridCol w:w="2254"/>
        <w:gridCol w:w="2254"/>
        <w:gridCol w:w="2254"/>
        <w:gridCol w:w="2254"/>
      </w:tblGrid>
      <w:tr w:rsidR="00EB05FA" w:rsidRPr="00EB05FA" w14:paraId="011CA96E" w14:textId="77777777" w:rsidTr="00EB05F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01E7ACF" w14:textId="77777777" w:rsidR="00EB05FA" w:rsidRPr="00EB05FA" w:rsidRDefault="00EB05FA" w:rsidP="00B44D8F">
            <w:r w:rsidRPr="00EB05FA">
              <w:t>Project</w:t>
            </w:r>
          </w:p>
        </w:tc>
        <w:tc>
          <w:tcPr>
            <w:tcW w:w="2254" w:type="dxa"/>
          </w:tcPr>
          <w:p w14:paraId="0C5A4007" w14:textId="77777777" w:rsidR="00EB05FA" w:rsidRPr="00EB05FA" w:rsidRDefault="00EB05FA" w:rsidP="00B44D8F">
            <w:pPr>
              <w:cnfStyle w:val="100000000000" w:firstRow="1" w:lastRow="0" w:firstColumn="0" w:lastColumn="0" w:oddVBand="0" w:evenVBand="0" w:oddHBand="0" w:evenHBand="0" w:firstRowFirstColumn="0" w:firstRowLastColumn="0" w:lastRowFirstColumn="0" w:lastRowLastColumn="0"/>
            </w:pPr>
            <w:r w:rsidRPr="00EB05FA">
              <w:t>PV of Inflows (£m)</w:t>
            </w:r>
          </w:p>
        </w:tc>
        <w:tc>
          <w:tcPr>
            <w:tcW w:w="2254" w:type="dxa"/>
          </w:tcPr>
          <w:p w14:paraId="7D570470" w14:textId="77777777" w:rsidR="00EB05FA" w:rsidRPr="00EB05FA" w:rsidRDefault="00EB05FA" w:rsidP="00B44D8F">
            <w:pPr>
              <w:cnfStyle w:val="100000000000" w:firstRow="1" w:lastRow="0" w:firstColumn="0" w:lastColumn="0" w:oddVBand="0" w:evenVBand="0" w:oddHBand="0" w:evenHBand="0" w:firstRowFirstColumn="0" w:firstRowLastColumn="0" w:lastRowFirstColumn="0" w:lastRowLastColumn="0"/>
            </w:pPr>
            <w:r w:rsidRPr="00EB05FA">
              <w:t>Initial Investment (£m)</w:t>
            </w:r>
          </w:p>
        </w:tc>
        <w:tc>
          <w:tcPr>
            <w:tcW w:w="2254" w:type="dxa"/>
          </w:tcPr>
          <w:p w14:paraId="0E5229DD" w14:textId="77777777" w:rsidR="00EB05FA" w:rsidRPr="00EB05FA" w:rsidRDefault="00EB05FA" w:rsidP="00B44D8F">
            <w:pPr>
              <w:cnfStyle w:val="100000000000" w:firstRow="1" w:lastRow="0" w:firstColumn="0" w:lastColumn="0" w:oddVBand="0" w:evenVBand="0" w:oddHBand="0" w:evenHBand="0" w:firstRowFirstColumn="0" w:firstRowLastColumn="0" w:lastRowFirstColumn="0" w:lastRowLastColumn="0"/>
            </w:pPr>
            <w:r w:rsidRPr="00EB05FA">
              <w:t>PI</w:t>
            </w:r>
          </w:p>
        </w:tc>
      </w:tr>
      <w:tr w:rsidR="00EB05FA" w:rsidRPr="00EB05FA" w14:paraId="47AD1F75" w14:textId="77777777" w:rsidTr="00EB05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39C7F88" w14:textId="77777777" w:rsidR="00EB05FA" w:rsidRPr="00EB05FA" w:rsidRDefault="00EB05FA" w:rsidP="00B44D8F">
            <w:r w:rsidRPr="00EB05FA">
              <w:t>A</w:t>
            </w:r>
          </w:p>
        </w:tc>
        <w:tc>
          <w:tcPr>
            <w:tcW w:w="2254" w:type="dxa"/>
          </w:tcPr>
          <w:p w14:paraId="65D56271" w14:textId="77777777" w:rsidR="00EB05FA" w:rsidRPr="00EB05FA" w:rsidRDefault="00EB05FA" w:rsidP="00B44D8F">
            <w:pPr>
              <w:cnfStyle w:val="000000100000" w:firstRow="0" w:lastRow="0" w:firstColumn="0" w:lastColumn="0" w:oddVBand="0" w:evenVBand="0" w:oddHBand="1" w:evenHBand="0" w:firstRowFirstColumn="0" w:firstRowLastColumn="0" w:lastRowFirstColumn="0" w:lastRowLastColumn="0"/>
            </w:pPr>
            <w:r w:rsidRPr="00EB05FA">
              <w:t>41.31</w:t>
            </w:r>
          </w:p>
        </w:tc>
        <w:tc>
          <w:tcPr>
            <w:tcW w:w="2254" w:type="dxa"/>
          </w:tcPr>
          <w:p w14:paraId="462E6CC8" w14:textId="77777777" w:rsidR="00EB05FA" w:rsidRPr="00EB05FA" w:rsidRDefault="00EB05FA" w:rsidP="00B44D8F">
            <w:pPr>
              <w:cnfStyle w:val="000000100000" w:firstRow="0" w:lastRow="0" w:firstColumn="0" w:lastColumn="0" w:oddVBand="0" w:evenVBand="0" w:oddHBand="1" w:evenHBand="0" w:firstRowFirstColumn="0" w:firstRowLastColumn="0" w:lastRowFirstColumn="0" w:lastRowLastColumn="0"/>
            </w:pPr>
            <w:r w:rsidRPr="00EB05FA">
              <w:t>40</w:t>
            </w:r>
          </w:p>
        </w:tc>
        <w:tc>
          <w:tcPr>
            <w:tcW w:w="2254" w:type="dxa"/>
          </w:tcPr>
          <w:p w14:paraId="7E10056D" w14:textId="77777777" w:rsidR="00EB05FA" w:rsidRPr="00EB05FA" w:rsidRDefault="00EB05FA" w:rsidP="00B44D8F">
            <w:pPr>
              <w:cnfStyle w:val="000000100000" w:firstRow="0" w:lastRow="0" w:firstColumn="0" w:lastColumn="0" w:oddVBand="0" w:evenVBand="0" w:oddHBand="1" w:evenHBand="0" w:firstRowFirstColumn="0" w:firstRowLastColumn="0" w:lastRowFirstColumn="0" w:lastRowLastColumn="0"/>
            </w:pPr>
            <w:r w:rsidRPr="00EB05FA">
              <w:t>1.03</w:t>
            </w:r>
          </w:p>
        </w:tc>
      </w:tr>
      <w:tr w:rsidR="00EB05FA" w:rsidRPr="00EB05FA" w14:paraId="1CF8A754" w14:textId="77777777" w:rsidTr="00EB05FA">
        <w:tc>
          <w:tcPr>
            <w:cnfStyle w:val="001000000000" w:firstRow="0" w:lastRow="0" w:firstColumn="1" w:lastColumn="0" w:oddVBand="0" w:evenVBand="0" w:oddHBand="0" w:evenHBand="0" w:firstRowFirstColumn="0" w:firstRowLastColumn="0" w:lastRowFirstColumn="0" w:lastRowLastColumn="0"/>
            <w:tcW w:w="2254" w:type="dxa"/>
          </w:tcPr>
          <w:p w14:paraId="579CA4E4" w14:textId="77777777" w:rsidR="00EB05FA" w:rsidRPr="00EB05FA" w:rsidRDefault="00EB05FA" w:rsidP="00B44D8F">
            <w:r w:rsidRPr="00EB05FA">
              <w:t>B</w:t>
            </w:r>
          </w:p>
        </w:tc>
        <w:tc>
          <w:tcPr>
            <w:tcW w:w="2254" w:type="dxa"/>
          </w:tcPr>
          <w:p w14:paraId="2F6EB36B" w14:textId="77777777" w:rsidR="00EB05FA" w:rsidRPr="00EB05FA" w:rsidRDefault="00EB05FA" w:rsidP="00B44D8F">
            <w:pPr>
              <w:cnfStyle w:val="000000000000" w:firstRow="0" w:lastRow="0" w:firstColumn="0" w:lastColumn="0" w:oddVBand="0" w:evenVBand="0" w:oddHBand="0" w:evenHBand="0" w:firstRowFirstColumn="0" w:firstRowLastColumn="0" w:lastRowFirstColumn="0" w:lastRowLastColumn="0"/>
            </w:pPr>
            <w:r w:rsidRPr="00EB05FA">
              <w:t>22.74</w:t>
            </w:r>
          </w:p>
        </w:tc>
        <w:tc>
          <w:tcPr>
            <w:tcW w:w="2254" w:type="dxa"/>
          </w:tcPr>
          <w:p w14:paraId="44E5DBA0" w14:textId="77777777" w:rsidR="00EB05FA" w:rsidRPr="00EB05FA" w:rsidRDefault="00EB05FA" w:rsidP="00B44D8F">
            <w:pPr>
              <w:cnfStyle w:val="000000000000" w:firstRow="0" w:lastRow="0" w:firstColumn="0" w:lastColumn="0" w:oddVBand="0" w:evenVBand="0" w:oddHBand="0" w:evenHBand="0" w:firstRowFirstColumn="0" w:firstRowLastColumn="0" w:lastRowFirstColumn="0" w:lastRowLastColumn="0"/>
            </w:pPr>
            <w:r w:rsidRPr="00EB05FA">
              <w:t>30</w:t>
            </w:r>
          </w:p>
        </w:tc>
        <w:tc>
          <w:tcPr>
            <w:tcW w:w="2254" w:type="dxa"/>
          </w:tcPr>
          <w:p w14:paraId="4127551A" w14:textId="77777777" w:rsidR="00EB05FA" w:rsidRPr="00EB05FA" w:rsidRDefault="00EB05FA" w:rsidP="00B44D8F">
            <w:pPr>
              <w:cnfStyle w:val="000000000000" w:firstRow="0" w:lastRow="0" w:firstColumn="0" w:lastColumn="0" w:oddVBand="0" w:evenVBand="0" w:oddHBand="0" w:evenHBand="0" w:firstRowFirstColumn="0" w:firstRowLastColumn="0" w:lastRowFirstColumn="0" w:lastRowLastColumn="0"/>
            </w:pPr>
            <w:r w:rsidRPr="00EB05FA">
              <w:t>0.76</w:t>
            </w:r>
          </w:p>
        </w:tc>
      </w:tr>
      <w:tr w:rsidR="00EB05FA" w:rsidRPr="00EB05FA" w14:paraId="556885CB" w14:textId="77777777" w:rsidTr="00EB05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A38160A" w14:textId="77777777" w:rsidR="00EB05FA" w:rsidRPr="00EB05FA" w:rsidRDefault="00EB05FA" w:rsidP="00B44D8F">
            <w:r w:rsidRPr="00EB05FA">
              <w:t>C</w:t>
            </w:r>
          </w:p>
        </w:tc>
        <w:tc>
          <w:tcPr>
            <w:tcW w:w="2254" w:type="dxa"/>
          </w:tcPr>
          <w:p w14:paraId="24B22CEA" w14:textId="77777777" w:rsidR="00EB05FA" w:rsidRPr="00EB05FA" w:rsidRDefault="00EB05FA" w:rsidP="00B44D8F">
            <w:pPr>
              <w:cnfStyle w:val="000000100000" w:firstRow="0" w:lastRow="0" w:firstColumn="0" w:lastColumn="0" w:oddVBand="0" w:evenVBand="0" w:oddHBand="1" w:evenHBand="0" w:firstRowFirstColumn="0" w:firstRowLastColumn="0" w:lastRowFirstColumn="0" w:lastRowLastColumn="0"/>
            </w:pPr>
            <w:r w:rsidRPr="00EB05FA">
              <w:t>54.23</w:t>
            </w:r>
          </w:p>
        </w:tc>
        <w:tc>
          <w:tcPr>
            <w:tcW w:w="2254" w:type="dxa"/>
          </w:tcPr>
          <w:p w14:paraId="6271D816" w14:textId="77777777" w:rsidR="00EB05FA" w:rsidRPr="00EB05FA" w:rsidRDefault="00EB05FA" w:rsidP="00B44D8F">
            <w:pPr>
              <w:cnfStyle w:val="000000100000" w:firstRow="0" w:lastRow="0" w:firstColumn="0" w:lastColumn="0" w:oddVBand="0" w:evenVBand="0" w:oddHBand="1" w:evenHBand="0" w:firstRowFirstColumn="0" w:firstRowLastColumn="0" w:lastRowFirstColumn="0" w:lastRowLastColumn="0"/>
            </w:pPr>
            <w:r w:rsidRPr="00EB05FA">
              <w:t>50</w:t>
            </w:r>
          </w:p>
        </w:tc>
        <w:tc>
          <w:tcPr>
            <w:tcW w:w="2254" w:type="dxa"/>
          </w:tcPr>
          <w:p w14:paraId="447B9DFB" w14:textId="77777777" w:rsidR="00EB05FA" w:rsidRPr="00EB05FA" w:rsidRDefault="00EB05FA" w:rsidP="00B44D8F">
            <w:pPr>
              <w:cnfStyle w:val="000000100000" w:firstRow="0" w:lastRow="0" w:firstColumn="0" w:lastColumn="0" w:oddVBand="0" w:evenVBand="0" w:oddHBand="1" w:evenHBand="0" w:firstRowFirstColumn="0" w:firstRowLastColumn="0" w:lastRowFirstColumn="0" w:lastRowLastColumn="0"/>
            </w:pPr>
            <w:r w:rsidRPr="00EB05FA">
              <w:t>1.08</w:t>
            </w:r>
          </w:p>
        </w:tc>
      </w:tr>
    </w:tbl>
    <w:p w14:paraId="25E18DE5" w14:textId="77777777" w:rsidR="00EB05FA" w:rsidRDefault="00EB05FA" w:rsidP="0090560D">
      <w:pPr>
        <w:rPr>
          <w:b/>
          <w:bCs/>
        </w:rPr>
      </w:pPr>
    </w:p>
    <w:p w14:paraId="590D592A" w14:textId="77777777" w:rsidR="0090560D" w:rsidRPr="0090560D" w:rsidRDefault="0090560D" w:rsidP="0090560D">
      <w:pPr>
        <w:rPr>
          <w:b/>
          <w:bCs/>
        </w:rPr>
      </w:pPr>
      <w:r w:rsidRPr="0090560D">
        <w:rPr>
          <w:b/>
          <w:bCs/>
        </w:rPr>
        <w:t>F7. Capital Rationing Comparison Table (£60m Limit)</w:t>
      </w:r>
    </w:p>
    <w:p w14:paraId="70228B54" w14:textId="77777777" w:rsidR="0090560D" w:rsidRPr="0090560D" w:rsidRDefault="0090560D" w:rsidP="0090560D">
      <w:pPr>
        <w:rPr>
          <w:b/>
          <w:bCs/>
        </w:rPr>
      </w:pPr>
      <w:r w:rsidRPr="0090560D">
        <w:rPr>
          <w:b/>
          <w:bCs/>
        </w:rPr>
        <w:t>Table F7: Capital Rationing Decision Matrix</w:t>
      </w:r>
    </w:p>
    <w:p w14:paraId="78480501" w14:textId="77777777" w:rsidR="0090560D" w:rsidRPr="0090560D" w:rsidRDefault="0090560D" w:rsidP="0090560D"/>
    <w:tbl>
      <w:tblPr>
        <w:tblStyle w:val="GridTable4-Accent5"/>
        <w:tblW w:w="0" w:type="auto"/>
        <w:tblLook w:val="04A0" w:firstRow="1" w:lastRow="0" w:firstColumn="1" w:lastColumn="0" w:noHBand="0" w:noVBand="1"/>
      </w:tblPr>
      <w:tblGrid>
        <w:gridCol w:w="1803"/>
        <w:gridCol w:w="1803"/>
        <w:gridCol w:w="1803"/>
        <w:gridCol w:w="1803"/>
        <w:gridCol w:w="1804"/>
      </w:tblGrid>
      <w:tr w:rsidR="00516418" w:rsidRPr="00516418" w14:paraId="37F46C58" w14:textId="77777777" w:rsidTr="005164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DF5025A" w14:textId="77777777" w:rsidR="00516418" w:rsidRPr="00516418" w:rsidRDefault="00516418" w:rsidP="00B44D8F">
            <w:r w:rsidRPr="00516418">
              <w:t>Project</w:t>
            </w:r>
          </w:p>
        </w:tc>
        <w:tc>
          <w:tcPr>
            <w:tcW w:w="1803" w:type="dxa"/>
          </w:tcPr>
          <w:p w14:paraId="3B6834CD" w14:textId="77777777" w:rsidR="00516418" w:rsidRPr="00516418" w:rsidRDefault="00516418" w:rsidP="00B44D8F">
            <w:pPr>
              <w:cnfStyle w:val="100000000000" w:firstRow="1" w:lastRow="0" w:firstColumn="0" w:lastColumn="0" w:oddVBand="0" w:evenVBand="0" w:oddHBand="0" w:evenHBand="0" w:firstRowFirstColumn="0" w:firstRowLastColumn="0" w:lastRowFirstColumn="0" w:lastRowLastColumn="0"/>
            </w:pPr>
            <w:r w:rsidRPr="00516418">
              <w:t>Investment (£m)</w:t>
            </w:r>
          </w:p>
        </w:tc>
        <w:tc>
          <w:tcPr>
            <w:tcW w:w="1803" w:type="dxa"/>
          </w:tcPr>
          <w:p w14:paraId="27BE6AED" w14:textId="77777777" w:rsidR="00516418" w:rsidRPr="00516418" w:rsidRDefault="00516418" w:rsidP="00B44D8F">
            <w:pPr>
              <w:cnfStyle w:val="100000000000" w:firstRow="1" w:lastRow="0" w:firstColumn="0" w:lastColumn="0" w:oddVBand="0" w:evenVBand="0" w:oddHBand="0" w:evenHBand="0" w:firstRowFirstColumn="0" w:firstRowLastColumn="0" w:lastRowFirstColumn="0" w:lastRowLastColumn="0"/>
            </w:pPr>
            <w:r w:rsidRPr="00516418">
              <w:t>NPV (£m)</w:t>
            </w:r>
          </w:p>
        </w:tc>
        <w:tc>
          <w:tcPr>
            <w:tcW w:w="1803" w:type="dxa"/>
          </w:tcPr>
          <w:p w14:paraId="4F18C064" w14:textId="77777777" w:rsidR="00516418" w:rsidRPr="00516418" w:rsidRDefault="00516418" w:rsidP="00B44D8F">
            <w:pPr>
              <w:cnfStyle w:val="100000000000" w:firstRow="1" w:lastRow="0" w:firstColumn="0" w:lastColumn="0" w:oddVBand="0" w:evenVBand="0" w:oddHBand="0" w:evenHBand="0" w:firstRowFirstColumn="0" w:firstRowLastColumn="0" w:lastRowFirstColumn="0" w:lastRowLastColumn="0"/>
            </w:pPr>
            <w:r w:rsidRPr="00516418">
              <w:t>PI</w:t>
            </w:r>
          </w:p>
        </w:tc>
        <w:tc>
          <w:tcPr>
            <w:tcW w:w="1804" w:type="dxa"/>
          </w:tcPr>
          <w:p w14:paraId="0399A24F" w14:textId="77777777" w:rsidR="00516418" w:rsidRPr="00516418" w:rsidRDefault="00516418" w:rsidP="00B44D8F">
            <w:pPr>
              <w:cnfStyle w:val="100000000000" w:firstRow="1" w:lastRow="0" w:firstColumn="0" w:lastColumn="0" w:oddVBand="0" w:evenVBand="0" w:oddHBand="0" w:evenHBand="0" w:firstRowFirstColumn="0" w:firstRowLastColumn="0" w:lastRowFirstColumn="0" w:lastRowLastColumn="0"/>
            </w:pPr>
            <w:r w:rsidRPr="00516418">
              <w:t>Feasible</w:t>
            </w:r>
          </w:p>
        </w:tc>
      </w:tr>
      <w:tr w:rsidR="00516418" w:rsidRPr="00516418" w14:paraId="034C317B" w14:textId="77777777" w:rsidTr="005164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36ED35ED" w14:textId="77777777" w:rsidR="00516418" w:rsidRPr="00516418" w:rsidRDefault="00516418" w:rsidP="00B44D8F">
            <w:r w:rsidRPr="00516418">
              <w:t>A</w:t>
            </w:r>
          </w:p>
        </w:tc>
        <w:tc>
          <w:tcPr>
            <w:tcW w:w="1803" w:type="dxa"/>
          </w:tcPr>
          <w:p w14:paraId="453A834A" w14:textId="77777777" w:rsidR="00516418" w:rsidRPr="00516418" w:rsidRDefault="00516418" w:rsidP="00B44D8F">
            <w:pPr>
              <w:cnfStyle w:val="000000100000" w:firstRow="0" w:lastRow="0" w:firstColumn="0" w:lastColumn="0" w:oddVBand="0" w:evenVBand="0" w:oddHBand="1" w:evenHBand="0" w:firstRowFirstColumn="0" w:firstRowLastColumn="0" w:lastRowFirstColumn="0" w:lastRowLastColumn="0"/>
            </w:pPr>
            <w:r w:rsidRPr="00516418">
              <w:t>40</w:t>
            </w:r>
          </w:p>
        </w:tc>
        <w:tc>
          <w:tcPr>
            <w:tcW w:w="1803" w:type="dxa"/>
          </w:tcPr>
          <w:p w14:paraId="70CB7E94" w14:textId="77777777" w:rsidR="00516418" w:rsidRPr="00516418" w:rsidRDefault="00516418" w:rsidP="00B44D8F">
            <w:pPr>
              <w:cnfStyle w:val="000000100000" w:firstRow="0" w:lastRow="0" w:firstColumn="0" w:lastColumn="0" w:oddVBand="0" w:evenVBand="0" w:oddHBand="1" w:evenHBand="0" w:firstRowFirstColumn="0" w:firstRowLastColumn="0" w:lastRowFirstColumn="0" w:lastRowLastColumn="0"/>
            </w:pPr>
            <w:r w:rsidRPr="00516418">
              <w:t>+1.31</w:t>
            </w:r>
          </w:p>
        </w:tc>
        <w:tc>
          <w:tcPr>
            <w:tcW w:w="1803" w:type="dxa"/>
          </w:tcPr>
          <w:p w14:paraId="49C3E5A8" w14:textId="77777777" w:rsidR="00516418" w:rsidRPr="00516418" w:rsidRDefault="00516418" w:rsidP="00B44D8F">
            <w:pPr>
              <w:cnfStyle w:val="000000100000" w:firstRow="0" w:lastRow="0" w:firstColumn="0" w:lastColumn="0" w:oddVBand="0" w:evenVBand="0" w:oddHBand="1" w:evenHBand="0" w:firstRowFirstColumn="0" w:firstRowLastColumn="0" w:lastRowFirstColumn="0" w:lastRowLastColumn="0"/>
            </w:pPr>
            <w:r w:rsidRPr="00516418">
              <w:t>1.03</w:t>
            </w:r>
          </w:p>
        </w:tc>
        <w:tc>
          <w:tcPr>
            <w:tcW w:w="1804" w:type="dxa"/>
          </w:tcPr>
          <w:p w14:paraId="7B4E3B77" w14:textId="77777777" w:rsidR="00516418" w:rsidRPr="00516418" w:rsidRDefault="00516418" w:rsidP="00B44D8F">
            <w:pPr>
              <w:cnfStyle w:val="000000100000" w:firstRow="0" w:lastRow="0" w:firstColumn="0" w:lastColumn="0" w:oddVBand="0" w:evenVBand="0" w:oddHBand="1" w:evenHBand="0" w:firstRowFirstColumn="0" w:firstRowLastColumn="0" w:lastRowFirstColumn="0" w:lastRowLastColumn="0"/>
            </w:pPr>
            <w:r w:rsidRPr="00516418">
              <w:rPr>
                <w:rFonts w:ascii="Segoe UI Symbol" w:hAnsi="Segoe UI Symbol" w:cs="Segoe UI Symbol"/>
              </w:rPr>
              <w:t>✔</w:t>
            </w:r>
          </w:p>
        </w:tc>
      </w:tr>
      <w:tr w:rsidR="00516418" w:rsidRPr="00516418" w14:paraId="5959B412" w14:textId="77777777" w:rsidTr="00516418">
        <w:tc>
          <w:tcPr>
            <w:cnfStyle w:val="001000000000" w:firstRow="0" w:lastRow="0" w:firstColumn="1" w:lastColumn="0" w:oddVBand="0" w:evenVBand="0" w:oddHBand="0" w:evenHBand="0" w:firstRowFirstColumn="0" w:firstRowLastColumn="0" w:lastRowFirstColumn="0" w:lastRowLastColumn="0"/>
            <w:tcW w:w="1803" w:type="dxa"/>
          </w:tcPr>
          <w:p w14:paraId="1D12E8DE" w14:textId="77777777" w:rsidR="00516418" w:rsidRPr="00516418" w:rsidRDefault="00516418" w:rsidP="00B44D8F">
            <w:r w:rsidRPr="00516418">
              <w:t>B</w:t>
            </w:r>
          </w:p>
        </w:tc>
        <w:tc>
          <w:tcPr>
            <w:tcW w:w="1803" w:type="dxa"/>
          </w:tcPr>
          <w:p w14:paraId="797C546E" w14:textId="77777777" w:rsidR="00516418" w:rsidRPr="00516418" w:rsidRDefault="00516418" w:rsidP="00B44D8F">
            <w:pPr>
              <w:cnfStyle w:val="000000000000" w:firstRow="0" w:lastRow="0" w:firstColumn="0" w:lastColumn="0" w:oddVBand="0" w:evenVBand="0" w:oddHBand="0" w:evenHBand="0" w:firstRowFirstColumn="0" w:firstRowLastColumn="0" w:lastRowFirstColumn="0" w:lastRowLastColumn="0"/>
            </w:pPr>
            <w:r w:rsidRPr="00516418">
              <w:t>30</w:t>
            </w:r>
          </w:p>
        </w:tc>
        <w:tc>
          <w:tcPr>
            <w:tcW w:w="1803" w:type="dxa"/>
          </w:tcPr>
          <w:p w14:paraId="31BFF141" w14:textId="77777777" w:rsidR="00516418" w:rsidRPr="00516418" w:rsidRDefault="00516418" w:rsidP="00B44D8F">
            <w:pPr>
              <w:cnfStyle w:val="000000000000" w:firstRow="0" w:lastRow="0" w:firstColumn="0" w:lastColumn="0" w:oddVBand="0" w:evenVBand="0" w:oddHBand="0" w:evenHBand="0" w:firstRowFirstColumn="0" w:firstRowLastColumn="0" w:lastRowFirstColumn="0" w:lastRowLastColumn="0"/>
            </w:pPr>
            <w:r w:rsidRPr="00516418">
              <w:t>−7.26</w:t>
            </w:r>
          </w:p>
        </w:tc>
        <w:tc>
          <w:tcPr>
            <w:tcW w:w="1803" w:type="dxa"/>
          </w:tcPr>
          <w:p w14:paraId="2B9716AB" w14:textId="77777777" w:rsidR="00516418" w:rsidRPr="00516418" w:rsidRDefault="00516418" w:rsidP="00B44D8F">
            <w:pPr>
              <w:cnfStyle w:val="000000000000" w:firstRow="0" w:lastRow="0" w:firstColumn="0" w:lastColumn="0" w:oddVBand="0" w:evenVBand="0" w:oddHBand="0" w:evenHBand="0" w:firstRowFirstColumn="0" w:firstRowLastColumn="0" w:lastRowFirstColumn="0" w:lastRowLastColumn="0"/>
            </w:pPr>
            <w:r w:rsidRPr="00516418">
              <w:t>0.76</w:t>
            </w:r>
          </w:p>
        </w:tc>
        <w:tc>
          <w:tcPr>
            <w:tcW w:w="1804" w:type="dxa"/>
          </w:tcPr>
          <w:p w14:paraId="5E4D5F9B" w14:textId="77777777" w:rsidR="00516418" w:rsidRPr="00516418" w:rsidRDefault="00516418" w:rsidP="00B44D8F">
            <w:pPr>
              <w:cnfStyle w:val="000000000000" w:firstRow="0" w:lastRow="0" w:firstColumn="0" w:lastColumn="0" w:oddVBand="0" w:evenVBand="0" w:oddHBand="0" w:evenHBand="0" w:firstRowFirstColumn="0" w:firstRowLastColumn="0" w:lastRowFirstColumn="0" w:lastRowLastColumn="0"/>
            </w:pPr>
            <w:r w:rsidRPr="00516418">
              <w:rPr>
                <w:rFonts w:ascii="Segoe UI Symbol" w:hAnsi="Segoe UI Symbol" w:cs="Segoe UI Symbol"/>
              </w:rPr>
              <w:t>✔</w:t>
            </w:r>
          </w:p>
        </w:tc>
      </w:tr>
      <w:tr w:rsidR="00516418" w:rsidRPr="00516418" w14:paraId="70F63A5B" w14:textId="77777777" w:rsidTr="005164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615DEC8E" w14:textId="77777777" w:rsidR="00516418" w:rsidRPr="00516418" w:rsidRDefault="00516418" w:rsidP="00B44D8F">
            <w:r w:rsidRPr="00516418">
              <w:t>C</w:t>
            </w:r>
          </w:p>
        </w:tc>
        <w:tc>
          <w:tcPr>
            <w:tcW w:w="1803" w:type="dxa"/>
          </w:tcPr>
          <w:p w14:paraId="6B48F181" w14:textId="77777777" w:rsidR="00516418" w:rsidRPr="00516418" w:rsidRDefault="00516418" w:rsidP="00B44D8F">
            <w:pPr>
              <w:cnfStyle w:val="000000100000" w:firstRow="0" w:lastRow="0" w:firstColumn="0" w:lastColumn="0" w:oddVBand="0" w:evenVBand="0" w:oddHBand="1" w:evenHBand="0" w:firstRowFirstColumn="0" w:firstRowLastColumn="0" w:lastRowFirstColumn="0" w:lastRowLastColumn="0"/>
            </w:pPr>
            <w:r w:rsidRPr="00516418">
              <w:t>50</w:t>
            </w:r>
          </w:p>
        </w:tc>
        <w:tc>
          <w:tcPr>
            <w:tcW w:w="1803" w:type="dxa"/>
          </w:tcPr>
          <w:p w14:paraId="6865CD9C" w14:textId="77777777" w:rsidR="00516418" w:rsidRPr="00516418" w:rsidRDefault="00516418" w:rsidP="00B44D8F">
            <w:pPr>
              <w:cnfStyle w:val="000000100000" w:firstRow="0" w:lastRow="0" w:firstColumn="0" w:lastColumn="0" w:oddVBand="0" w:evenVBand="0" w:oddHBand="1" w:evenHBand="0" w:firstRowFirstColumn="0" w:firstRowLastColumn="0" w:lastRowFirstColumn="0" w:lastRowLastColumn="0"/>
            </w:pPr>
            <w:r w:rsidRPr="00516418">
              <w:t>+4.23</w:t>
            </w:r>
          </w:p>
        </w:tc>
        <w:tc>
          <w:tcPr>
            <w:tcW w:w="1803" w:type="dxa"/>
          </w:tcPr>
          <w:p w14:paraId="248DBB4E" w14:textId="77777777" w:rsidR="00516418" w:rsidRPr="00516418" w:rsidRDefault="00516418" w:rsidP="00B44D8F">
            <w:pPr>
              <w:cnfStyle w:val="000000100000" w:firstRow="0" w:lastRow="0" w:firstColumn="0" w:lastColumn="0" w:oddVBand="0" w:evenVBand="0" w:oddHBand="1" w:evenHBand="0" w:firstRowFirstColumn="0" w:firstRowLastColumn="0" w:lastRowFirstColumn="0" w:lastRowLastColumn="0"/>
            </w:pPr>
            <w:r w:rsidRPr="00516418">
              <w:t>1.08</w:t>
            </w:r>
          </w:p>
        </w:tc>
        <w:tc>
          <w:tcPr>
            <w:tcW w:w="1804" w:type="dxa"/>
          </w:tcPr>
          <w:p w14:paraId="6C576CCF" w14:textId="77777777" w:rsidR="00516418" w:rsidRPr="00516418" w:rsidRDefault="00516418" w:rsidP="00B44D8F">
            <w:pPr>
              <w:cnfStyle w:val="000000100000" w:firstRow="0" w:lastRow="0" w:firstColumn="0" w:lastColumn="0" w:oddVBand="0" w:evenVBand="0" w:oddHBand="1" w:evenHBand="0" w:firstRowFirstColumn="0" w:firstRowLastColumn="0" w:lastRowFirstColumn="0" w:lastRowLastColumn="0"/>
            </w:pPr>
            <w:r w:rsidRPr="00516418">
              <w:rPr>
                <w:rFonts w:ascii="Segoe UI Symbol" w:hAnsi="Segoe UI Symbol" w:cs="Segoe UI Symbol"/>
              </w:rPr>
              <w:t>✔</w:t>
            </w:r>
          </w:p>
        </w:tc>
      </w:tr>
      <w:tr w:rsidR="00516418" w:rsidRPr="00516418" w14:paraId="74EEA735" w14:textId="77777777" w:rsidTr="00516418">
        <w:tc>
          <w:tcPr>
            <w:cnfStyle w:val="001000000000" w:firstRow="0" w:lastRow="0" w:firstColumn="1" w:lastColumn="0" w:oddVBand="0" w:evenVBand="0" w:oddHBand="0" w:evenHBand="0" w:firstRowFirstColumn="0" w:firstRowLastColumn="0" w:lastRowFirstColumn="0" w:lastRowLastColumn="0"/>
            <w:tcW w:w="1803" w:type="dxa"/>
          </w:tcPr>
          <w:p w14:paraId="3129AA53" w14:textId="77777777" w:rsidR="00516418" w:rsidRPr="00516418" w:rsidRDefault="00516418" w:rsidP="00B44D8F">
            <w:r w:rsidRPr="00516418">
              <w:t>A + B</w:t>
            </w:r>
          </w:p>
        </w:tc>
        <w:tc>
          <w:tcPr>
            <w:tcW w:w="1803" w:type="dxa"/>
          </w:tcPr>
          <w:p w14:paraId="2677EFF8" w14:textId="77777777" w:rsidR="00516418" w:rsidRPr="00516418" w:rsidRDefault="00516418" w:rsidP="00B44D8F">
            <w:pPr>
              <w:cnfStyle w:val="000000000000" w:firstRow="0" w:lastRow="0" w:firstColumn="0" w:lastColumn="0" w:oddVBand="0" w:evenVBand="0" w:oddHBand="0" w:evenHBand="0" w:firstRowFirstColumn="0" w:firstRowLastColumn="0" w:lastRowFirstColumn="0" w:lastRowLastColumn="0"/>
            </w:pPr>
            <w:r w:rsidRPr="00516418">
              <w:t>70</w:t>
            </w:r>
          </w:p>
        </w:tc>
        <w:tc>
          <w:tcPr>
            <w:tcW w:w="1803" w:type="dxa"/>
          </w:tcPr>
          <w:p w14:paraId="623DD150" w14:textId="77777777" w:rsidR="00516418" w:rsidRPr="00516418" w:rsidRDefault="00516418" w:rsidP="00B44D8F">
            <w:pPr>
              <w:cnfStyle w:val="000000000000" w:firstRow="0" w:lastRow="0" w:firstColumn="0" w:lastColumn="0" w:oddVBand="0" w:evenVBand="0" w:oddHBand="0" w:evenHBand="0" w:firstRowFirstColumn="0" w:firstRowLastColumn="0" w:lastRowFirstColumn="0" w:lastRowLastColumn="0"/>
            </w:pPr>
            <w:r w:rsidRPr="00516418">
              <w:t>—</w:t>
            </w:r>
          </w:p>
        </w:tc>
        <w:tc>
          <w:tcPr>
            <w:tcW w:w="1803" w:type="dxa"/>
          </w:tcPr>
          <w:p w14:paraId="7893CA31" w14:textId="77777777" w:rsidR="00516418" w:rsidRPr="00516418" w:rsidRDefault="00516418" w:rsidP="00B44D8F">
            <w:pPr>
              <w:cnfStyle w:val="000000000000" w:firstRow="0" w:lastRow="0" w:firstColumn="0" w:lastColumn="0" w:oddVBand="0" w:evenVBand="0" w:oddHBand="0" w:evenHBand="0" w:firstRowFirstColumn="0" w:firstRowLastColumn="0" w:lastRowFirstColumn="0" w:lastRowLastColumn="0"/>
            </w:pPr>
            <w:r w:rsidRPr="00516418">
              <w:t>—</w:t>
            </w:r>
          </w:p>
        </w:tc>
        <w:tc>
          <w:tcPr>
            <w:tcW w:w="1804" w:type="dxa"/>
          </w:tcPr>
          <w:p w14:paraId="58C0BBBA" w14:textId="77777777" w:rsidR="00516418" w:rsidRPr="00516418" w:rsidRDefault="00516418" w:rsidP="00B44D8F">
            <w:pPr>
              <w:cnfStyle w:val="000000000000" w:firstRow="0" w:lastRow="0" w:firstColumn="0" w:lastColumn="0" w:oddVBand="0" w:evenVBand="0" w:oddHBand="0" w:evenHBand="0" w:firstRowFirstColumn="0" w:firstRowLastColumn="0" w:lastRowFirstColumn="0" w:lastRowLastColumn="0"/>
            </w:pPr>
            <w:r w:rsidRPr="00516418">
              <w:rPr>
                <w:rFonts w:ascii="Segoe UI Symbol" w:hAnsi="Segoe UI Symbol" w:cs="Segoe UI Symbol"/>
              </w:rPr>
              <w:t>✖</w:t>
            </w:r>
          </w:p>
        </w:tc>
      </w:tr>
      <w:tr w:rsidR="00516418" w:rsidRPr="009A0143" w14:paraId="44EA7333" w14:textId="77777777" w:rsidTr="005164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29197E4" w14:textId="77777777" w:rsidR="00516418" w:rsidRPr="00516418" w:rsidRDefault="00516418" w:rsidP="00B44D8F">
            <w:r w:rsidRPr="00516418">
              <w:t>A + C</w:t>
            </w:r>
          </w:p>
        </w:tc>
        <w:tc>
          <w:tcPr>
            <w:tcW w:w="1803" w:type="dxa"/>
          </w:tcPr>
          <w:p w14:paraId="267CAE37" w14:textId="77777777" w:rsidR="00516418" w:rsidRPr="00516418" w:rsidRDefault="00516418" w:rsidP="00B44D8F">
            <w:pPr>
              <w:cnfStyle w:val="000000100000" w:firstRow="0" w:lastRow="0" w:firstColumn="0" w:lastColumn="0" w:oddVBand="0" w:evenVBand="0" w:oddHBand="1" w:evenHBand="0" w:firstRowFirstColumn="0" w:firstRowLastColumn="0" w:lastRowFirstColumn="0" w:lastRowLastColumn="0"/>
            </w:pPr>
            <w:r w:rsidRPr="00516418">
              <w:t>90</w:t>
            </w:r>
          </w:p>
        </w:tc>
        <w:tc>
          <w:tcPr>
            <w:tcW w:w="1803" w:type="dxa"/>
          </w:tcPr>
          <w:p w14:paraId="18344A27" w14:textId="77777777" w:rsidR="00516418" w:rsidRPr="00516418" w:rsidRDefault="00516418" w:rsidP="00B44D8F">
            <w:pPr>
              <w:cnfStyle w:val="000000100000" w:firstRow="0" w:lastRow="0" w:firstColumn="0" w:lastColumn="0" w:oddVBand="0" w:evenVBand="0" w:oddHBand="1" w:evenHBand="0" w:firstRowFirstColumn="0" w:firstRowLastColumn="0" w:lastRowFirstColumn="0" w:lastRowLastColumn="0"/>
            </w:pPr>
            <w:r w:rsidRPr="00516418">
              <w:t>—</w:t>
            </w:r>
          </w:p>
        </w:tc>
        <w:tc>
          <w:tcPr>
            <w:tcW w:w="1803" w:type="dxa"/>
          </w:tcPr>
          <w:p w14:paraId="290D804D" w14:textId="77777777" w:rsidR="00516418" w:rsidRPr="00516418" w:rsidRDefault="00516418" w:rsidP="00B44D8F">
            <w:pPr>
              <w:cnfStyle w:val="000000100000" w:firstRow="0" w:lastRow="0" w:firstColumn="0" w:lastColumn="0" w:oddVBand="0" w:evenVBand="0" w:oddHBand="1" w:evenHBand="0" w:firstRowFirstColumn="0" w:firstRowLastColumn="0" w:lastRowFirstColumn="0" w:lastRowLastColumn="0"/>
            </w:pPr>
            <w:r w:rsidRPr="00516418">
              <w:t>—</w:t>
            </w:r>
          </w:p>
        </w:tc>
        <w:tc>
          <w:tcPr>
            <w:tcW w:w="1804" w:type="dxa"/>
          </w:tcPr>
          <w:p w14:paraId="05FFE46A" w14:textId="77777777" w:rsidR="00516418" w:rsidRPr="009A0143" w:rsidRDefault="00516418" w:rsidP="00B44D8F">
            <w:pPr>
              <w:cnfStyle w:val="000000100000" w:firstRow="0" w:lastRow="0" w:firstColumn="0" w:lastColumn="0" w:oddVBand="0" w:evenVBand="0" w:oddHBand="1" w:evenHBand="0" w:firstRowFirstColumn="0" w:firstRowLastColumn="0" w:lastRowFirstColumn="0" w:lastRowLastColumn="0"/>
            </w:pPr>
            <w:r w:rsidRPr="00516418">
              <w:rPr>
                <w:rFonts w:ascii="Segoe UI Symbol" w:hAnsi="Segoe UI Symbol" w:cs="Segoe UI Symbol"/>
              </w:rPr>
              <w:t>✖</w:t>
            </w:r>
          </w:p>
        </w:tc>
      </w:tr>
    </w:tbl>
    <w:p w14:paraId="71524A4F" w14:textId="77777777" w:rsidR="0024432D" w:rsidRPr="009A0143" w:rsidRDefault="0024432D" w:rsidP="00516418"/>
    <w:sectPr w:rsidR="0024432D" w:rsidRPr="009A0143" w:rsidSect="009E50AB">
      <w:footerReference w:type="default" r:id="rId7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6366D8F" w14:textId="77777777" w:rsidR="001C1424" w:rsidRDefault="001C1424" w:rsidP="009E50AB">
      <w:pPr>
        <w:spacing w:after="0" w:line="240" w:lineRule="auto"/>
      </w:pPr>
      <w:r>
        <w:separator/>
      </w:r>
    </w:p>
  </w:endnote>
  <w:endnote w:type="continuationSeparator" w:id="0">
    <w:p w14:paraId="541D6059" w14:textId="77777777" w:rsidR="001C1424" w:rsidRDefault="001C1424" w:rsidP="009E50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93789556"/>
      <w:docPartObj>
        <w:docPartGallery w:val="Page Numbers (Bottom of Page)"/>
        <w:docPartUnique/>
      </w:docPartObj>
    </w:sdtPr>
    <w:sdtEndPr>
      <w:rPr>
        <w:noProof/>
      </w:rPr>
    </w:sdtEndPr>
    <w:sdtContent>
      <w:p w14:paraId="630AAB27" w14:textId="76DFBDCD" w:rsidR="00B44D8F" w:rsidRDefault="00B44D8F">
        <w:pPr>
          <w:pStyle w:val="Footer"/>
          <w:jc w:val="center"/>
        </w:pPr>
        <w:r>
          <w:fldChar w:fldCharType="begin"/>
        </w:r>
        <w:r>
          <w:instrText xml:space="preserve"> PAGE   \* MERGEFORMAT </w:instrText>
        </w:r>
        <w:r>
          <w:fldChar w:fldCharType="separate"/>
        </w:r>
        <w:r w:rsidR="008C00D5">
          <w:rPr>
            <w:noProof/>
          </w:rPr>
          <w:t>3</w:t>
        </w:r>
        <w:r>
          <w:rPr>
            <w:noProof/>
          </w:rPr>
          <w:fldChar w:fldCharType="end"/>
        </w:r>
      </w:p>
    </w:sdtContent>
  </w:sdt>
  <w:p w14:paraId="2B54F25A" w14:textId="77777777" w:rsidR="00B44D8F" w:rsidRDefault="00B44D8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5D37486" w14:textId="77777777" w:rsidR="001C1424" w:rsidRDefault="001C1424" w:rsidP="009E50AB">
      <w:pPr>
        <w:spacing w:after="0" w:line="240" w:lineRule="auto"/>
      </w:pPr>
      <w:r>
        <w:separator/>
      </w:r>
    </w:p>
  </w:footnote>
  <w:footnote w:type="continuationSeparator" w:id="0">
    <w:p w14:paraId="64EFEBAB" w14:textId="77777777" w:rsidR="001C1424" w:rsidRDefault="001C1424" w:rsidP="009E50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606F62"/>
    <w:multiLevelType w:val="multilevel"/>
    <w:tmpl w:val="850A5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1769C6"/>
    <w:multiLevelType w:val="multilevel"/>
    <w:tmpl w:val="5D7E12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26518BC"/>
    <w:multiLevelType w:val="multilevel"/>
    <w:tmpl w:val="401CDE96"/>
    <w:lvl w:ilvl="0">
      <w:start w:val="1"/>
      <w:numFmt w:val="decimal"/>
      <w:lvlText w:val="%1."/>
      <w:lvlJc w:val="left"/>
      <w:pPr>
        <w:ind w:left="567" w:hanging="567"/>
      </w:pPr>
      <w:rPr>
        <w:rFonts w:ascii="Arial" w:hAnsi="Arial"/>
        <w:b/>
        <w:i w:val="0"/>
        <w:color w:val="302683"/>
        <w:sz w:val="44"/>
        <w:u w:val="none" w:color="00B3E1"/>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3" w15:restartNumberingAfterBreak="0">
    <w:nsid w:val="4B6D69AC"/>
    <w:multiLevelType w:val="hybridMultilevel"/>
    <w:tmpl w:val="72D82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156DFA"/>
    <w:multiLevelType w:val="multilevel"/>
    <w:tmpl w:val="D2545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3177CC5"/>
    <w:multiLevelType w:val="multilevel"/>
    <w:tmpl w:val="DD92B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4"/>
  </w:num>
  <w:num w:numId="4">
    <w:abstractNumId w:val="5"/>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1EF5"/>
    <w:rsid w:val="00004E53"/>
    <w:rsid w:val="00026912"/>
    <w:rsid w:val="0005517D"/>
    <w:rsid w:val="00084646"/>
    <w:rsid w:val="00085174"/>
    <w:rsid w:val="000A7217"/>
    <w:rsid w:val="00163D5B"/>
    <w:rsid w:val="001C1424"/>
    <w:rsid w:val="001C76B1"/>
    <w:rsid w:val="001D202E"/>
    <w:rsid w:val="002417A6"/>
    <w:rsid w:val="0024432D"/>
    <w:rsid w:val="002808AA"/>
    <w:rsid w:val="002957EE"/>
    <w:rsid w:val="002A61E5"/>
    <w:rsid w:val="002C1B28"/>
    <w:rsid w:val="00304A58"/>
    <w:rsid w:val="0031493A"/>
    <w:rsid w:val="00385AD2"/>
    <w:rsid w:val="003908A7"/>
    <w:rsid w:val="00403FDD"/>
    <w:rsid w:val="00502498"/>
    <w:rsid w:val="00516418"/>
    <w:rsid w:val="00551EF5"/>
    <w:rsid w:val="00580162"/>
    <w:rsid w:val="005A7656"/>
    <w:rsid w:val="005B68E2"/>
    <w:rsid w:val="005C0C0F"/>
    <w:rsid w:val="005C2FA5"/>
    <w:rsid w:val="005D5F93"/>
    <w:rsid w:val="005E4863"/>
    <w:rsid w:val="00645C04"/>
    <w:rsid w:val="006B1FAE"/>
    <w:rsid w:val="006C2AF4"/>
    <w:rsid w:val="006F0A20"/>
    <w:rsid w:val="00702C67"/>
    <w:rsid w:val="00723CA0"/>
    <w:rsid w:val="007C7C1E"/>
    <w:rsid w:val="00802D0C"/>
    <w:rsid w:val="00852B0A"/>
    <w:rsid w:val="00871D5D"/>
    <w:rsid w:val="00887CBD"/>
    <w:rsid w:val="00895EC8"/>
    <w:rsid w:val="008B281F"/>
    <w:rsid w:val="008C00D5"/>
    <w:rsid w:val="008D35F1"/>
    <w:rsid w:val="0090560D"/>
    <w:rsid w:val="009A0143"/>
    <w:rsid w:val="009A2DD9"/>
    <w:rsid w:val="009A7ECC"/>
    <w:rsid w:val="009C4898"/>
    <w:rsid w:val="009E50AB"/>
    <w:rsid w:val="009F04D2"/>
    <w:rsid w:val="009F32A7"/>
    <w:rsid w:val="00A3763A"/>
    <w:rsid w:val="00A63416"/>
    <w:rsid w:val="00B133C7"/>
    <w:rsid w:val="00B142EE"/>
    <w:rsid w:val="00B3228A"/>
    <w:rsid w:val="00B44D8F"/>
    <w:rsid w:val="00B82A41"/>
    <w:rsid w:val="00B86DBF"/>
    <w:rsid w:val="00BB4636"/>
    <w:rsid w:val="00BE37EE"/>
    <w:rsid w:val="00BF0FA2"/>
    <w:rsid w:val="00BF3F8A"/>
    <w:rsid w:val="00BF7324"/>
    <w:rsid w:val="00C616E8"/>
    <w:rsid w:val="00CD007B"/>
    <w:rsid w:val="00D62324"/>
    <w:rsid w:val="00D635D1"/>
    <w:rsid w:val="00D7778C"/>
    <w:rsid w:val="00DC128E"/>
    <w:rsid w:val="00DF2A5F"/>
    <w:rsid w:val="00DF601A"/>
    <w:rsid w:val="00E27281"/>
    <w:rsid w:val="00E3088F"/>
    <w:rsid w:val="00E52E53"/>
    <w:rsid w:val="00E64E9A"/>
    <w:rsid w:val="00E77FA7"/>
    <w:rsid w:val="00EB05FA"/>
    <w:rsid w:val="00EB4CCD"/>
    <w:rsid w:val="00EB5A10"/>
    <w:rsid w:val="00ED536A"/>
    <w:rsid w:val="00F11009"/>
    <w:rsid w:val="00F16CFC"/>
    <w:rsid w:val="00F21F18"/>
    <w:rsid w:val="00F5441F"/>
    <w:rsid w:val="00F54E0A"/>
    <w:rsid w:val="00F5545F"/>
    <w:rsid w:val="00F62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6DE46"/>
  <w15:chartTrackingRefBased/>
  <w15:docId w15:val="{EA64F7F4-909C-4A23-AD09-80D48F531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C4898"/>
    <w:pPr>
      <w:spacing w:line="360" w:lineRule="auto"/>
      <w:jc w:val="both"/>
    </w:pPr>
    <w:rPr>
      <w:rFonts w:ascii="Times New Roman" w:hAnsi="Times New Roman"/>
      <w:kern w:val="2"/>
      <w:sz w:val="24"/>
      <w:szCs w:val="24"/>
      <w14:ligatures w14:val="standardContextual"/>
    </w:rPr>
  </w:style>
  <w:style w:type="paragraph" w:styleId="Heading1">
    <w:name w:val="heading 1"/>
    <w:basedOn w:val="Normal"/>
    <w:next w:val="Normal"/>
    <w:link w:val="Heading1Char"/>
    <w:uiPriority w:val="9"/>
    <w:qFormat/>
    <w:rsid w:val="002957EE"/>
    <w:pPr>
      <w:keepNext/>
      <w:keepLines/>
      <w:spacing w:before="240" w:after="0"/>
      <w:outlineLvl w:val="0"/>
    </w:pPr>
    <w:rPr>
      <w:rFonts w:eastAsiaTheme="majorEastAsia" w:cstheme="majorBidi"/>
      <w:b/>
      <w:color w:val="2E74B5" w:themeColor="accent1" w:themeShade="BF"/>
      <w:sz w:val="32"/>
      <w:szCs w:val="32"/>
      <w:u w:val="single"/>
    </w:rPr>
  </w:style>
  <w:style w:type="paragraph" w:styleId="Heading2">
    <w:name w:val="heading 2"/>
    <w:basedOn w:val="Normal"/>
    <w:next w:val="Normal"/>
    <w:link w:val="Heading2Char"/>
    <w:uiPriority w:val="9"/>
    <w:unhideWhenUsed/>
    <w:qFormat/>
    <w:rsid w:val="009A2DD9"/>
    <w:pPr>
      <w:keepNext/>
      <w:keepLines/>
      <w:spacing w:before="40" w:after="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A63416"/>
    <w:pPr>
      <w:keepNext/>
      <w:keepLines/>
      <w:spacing w:before="40" w:after="0"/>
      <w:outlineLvl w:val="2"/>
    </w:pPr>
    <w:rPr>
      <w:rFonts w:eastAsiaTheme="majorEastAsia" w:cstheme="majorBidi"/>
      <w:i/>
      <w:color w:val="44546A" w:themeColor="text2"/>
    </w:rPr>
  </w:style>
  <w:style w:type="paragraph" w:styleId="Heading4">
    <w:name w:val="heading 4"/>
    <w:basedOn w:val="Normal"/>
    <w:next w:val="Normal"/>
    <w:link w:val="Heading4Char"/>
    <w:uiPriority w:val="9"/>
    <w:semiHidden/>
    <w:unhideWhenUsed/>
    <w:qFormat/>
    <w:rsid w:val="0090560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57EE"/>
    <w:rPr>
      <w:rFonts w:ascii="Times New Roman" w:eastAsiaTheme="majorEastAsia" w:hAnsi="Times New Roman" w:cstheme="majorBidi"/>
      <w:b/>
      <w:color w:val="2E74B5" w:themeColor="accent1" w:themeShade="BF"/>
      <w:sz w:val="32"/>
      <w:szCs w:val="32"/>
      <w:u w:val="single"/>
    </w:rPr>
  </w:style>
  <w:style w:type="character" w:customStyle="1" w:styleId="Heading2Char">
    <w:name w:val="Heading 2 Char"/>
    <w:basedOn w:val="DefaultParagraphFont"/>
    <w:link w:val="Heading2"/>
    <w:uiPriority w:val="9"/>
    <w:rsid w:val="009A2DD9"/>
    <w:rPr>
      <w:rFonts w:ascii="Times New Roman" w:eastAsiaTheme="majorEastAsia" w:hAnsi="Times New Roman" w:cstheme="majorBidi"/>
      <w:b/>
      <w:color w:val="2E74B5" w:themeColor="accent1" w:themeShade="BF"/>
      <w:sz w:val="26"/>
      <w:szCs w:val="26"/>
    </w:rPr>
  </w:style>
  <w:style w:type="paragraph" w:styleId="Header">
    <w:name w:val="header"/>
    <w:basedOn w:val="Normal"/>
    <w:link w:val="HeaderChar"/>
    <w:uiPriority w:val="99"/>
    <w:unhideWhenUsed/>
    <w:rsid w:val="009E50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50AB"/>
    <w:rPr>
      <w:rFonts w:ascii="Times New Roman" w:hAnsi="Times New Roman"/>
      <w:kern w:val="2"/>
      <w:sz w:val="24"/>
      <w:szCs w:val="24"/>
      <w14:ligatures w14:val="standardContextual"/>
    </w:rPr>
  </w:style>
  <w:style w:type="paragraph" w:styleId="Footer">
    <w:name w:val="footer"/>
    <w:basedOn w:val="Normal"/>
    <w:link w:val="FooterChar"/>
    <w:uiPriority w:val="99"/>
    <w:unhideWhenUsed/>
    <w:rsid w:val="009E50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50AB"/>
    <w:rPr>
      <w:rFonts w:ascii="Times New Roman" w:hAnsi="Times New Roman"/>
      <w:kern w:val="2"/>
      <w:sz w:val="24"/>
      <w:szCs w:val="24"/>
      <w14:ligatures w14:val="standardContextual"/>
    </w:rPr>
  </w:style>
  <w:style w:type="character" w:styleId="Strong">
    <w:name w:val="Strong"/>
    <w:basedOn w:val="DefaultParagraphFont"/>
    <w:uiPriority w:val="22"/>
    <w:qFormat/>
    <w:rsid w:val="009E50AB"/>
    <w:rPr>
      <w:b/>
      <w:bCs/>
    </w:rPr>
  </w:style>
  <w:style w:type="character" w:styleId="Emphasis">
    <w:name w:val="Emphasis"/>
    <w:basedOn w:val="DefaultParagraphFont"/>
    <w:uiPriority w:val="20"/>
    <w:qFormat/>
    <w:rsid w:val="009E50AB"/>
    <w:rPr>
      <w:i/>
      <w:iCs/>
    </w:rPr>
  </w:style>
  <w:style w:type="character" w:customStyle="1" w:styleId="Heading3Char">
    <w:name w:val="Heading 3 Char"/>
    <w:basedOn w:val="DefaultParagraphFont"/>
    <w:link w:val="Heading3"/>
    <w:uiPriority w:val="9"/>
    <w:rsid w:val="00A63416"/>
    <w:rPr>
      <w:rFonts w:ascii="Times New Roman" w:eastAsiaTheme="majorEastAsia" w:hAnsi="Times New Roman" w:cstheme="majorBidi"/>
      <w:i/>
      <w:color w:val="44546A" w:themeColor="text2"/>
      <w:kern w:val="2"/>
      <w:sz w:val="24"/>
      <w:szCs w:val="24"/>
      <w14:ligatures w14:val="standardContextual"/>
    </w:rPr>
  </w:style>
  <w:style w:type="table" w:styleId="TableGrid">
    <w:name w:val="Table Grid"/>
    <w:basedOn w:val="TableNormal"/>
    <w:uiPriority w:val="39"/>
    <w:rsid w:val="00403F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403FDD"/>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Hyperlink">
    <w:name w:val="Hyperlink"/>
    <w:basedOn w:val="DefaultParagraphFont"/>
    <w:uiPriority w:val="99"/>
    <w:unhideWhenUsed/>
    <w:rsid w:val="009A0143"/>
    <w:rPr>
      <w:color w:val="0563C1" w:themeColor="hyperlink"/>
      <w:u w:val="single"/>
    </w:rPr>
  </w:style>
  <w:style w:type="paragraph" w:styleId="ListParagraph">
    <w:name w:val="List Paragraph"/>
    <w:basedOn w:val="Normal"/>
    <w:uiPriority w:val="34"/>
    <w:qFormat/>
    <w:rsid w:val="001D202E"/>
    <w:pPr>
      <w:ind w:left="720"/>
      <w:contextualSpacing/>
    </w:pPr>
  </w:style>
  <w:style w:type="character" w:customStyle="1" w:styleId="Heading4Char">
    <w:name w:val="Heading 4 Char"/>
    <w:basedOn w:val="DefaultParagraphFont"/>
    <w:link w:val="Heading4"/>
    <w:uiPriority w:val="9"/>
    <w:semiHidden/>
    <w:rsid w:val="0090560D"/>
    <w:rPr>
      <w:rFonts w:asciiTheme="majorHAnsi" w:eastAsiaTheme="majorEastAsia" w:hAnsiTheme="majorHAnsi" w:cstheme="majorBidi"/>
      <w:i/>
      <w:iCs/>
      <w:color w:val="2E74B5" w:themeColor="accent1" w:themeShade="BF"/>
      <w:kern w:val="2"/>
      <w:sz w:val="24"/>
      <w:szCs w:val="24"/>
      <w14:ligatures w14:val="standardContextual"/>
    </w:rPr>
  </w:style>
  <w:style w:type="paragraph" w:styleId="NormalWeb">
    <w:name w:val="Normal (Web)"/>
    <w:basedOn w:val="Normal"/>
    <w:uiPriority w:val="99"/>
    <w:semiHidden/>
    <w:unhideWhenUsed/>
    <w:rsid w:val="0024432D"/>
    <w:pPr>
      <w:spacing w:before="100" w:beforeAutospacing="1" w:after="100" w:afterAutospacing="1" w:line="240" w:lineRule="auto"/>
      <w:jc w:val="left"/>
    </w:pPr>
    <w:rPr>
      <w:rFonts w:eastAsia="Times New Roman" w:cs="Times New Roman"/>
      <w:kern w:val="0"/>
      <w:lang w:eastAsia="en-GB"/>
      <w14:ligatures w14:val="none"/>
    </w:rPr>
  </w:style>
  <w:style w:type="table" w:styleId="PlainTable5">
    <w:name w:val="Plain Table 5"/>
    <w:basedOn w:val="TableNormal"/>
    <w:uiPriority w:val="45"/>
    <w:rsid w:val="0051641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Heading">
    <w:name w:val="TOC Heading"/>
    <w:basedOn w:val="Heading1"/>
    <w:next w:val="Normal"/>
    <w:uiPriority w:val="39"/>
    <w:unhideWhenUsed/>
    <w:qFormat/>
    <w:rsid w:val="00BF3F8A"/>
    <w:pPr>
      <w:spacing w:line="259" w:lineRule="auto"/>
      <w:jc w:val="left"/>
      <w:outlineLvl w:val="9"/>
    </w:pPr>
    <w:rPr>
      <w:rFonts w:asciiTheme="majorHAnsi" w:hAnsiTheme="majorHAnsi"/>
      <w:b w:val="0"/>
      <w:kern w:val="0"/>
      <w:u w:val="none"/>
      <w:lang w:val="en-US"/>
      <w14:ligatures w14:val="none"/>
    </w:rPr>
  </w:style>
  <w:style w:type="paragraph" w:styleId="TOC1">
    <w:name w:val="toc 1"/>
    <w:basedOn w:val="Normal"/>
    <w:next w:val="Normal"/>
    <w:autoRedefine/>
    <w:uiPriority w:val="39"/>
    <w:unhideWhenUsed/>
    <w:rsid w:val="00BF3F8A"/>
    <w:pPr>
      <w:spacing w:after="100"/>
    </w:pPr>
  </w:style>
  <w:style w:type="paragraph" w:styleId="TOC2">
    <w:name w:val="toc 2"/>
    <w:basedOn w:val="Normal"/>
    <w:next w:val="Normal"/>
    <w:autoRedefine/>
    <w:uiPriority w:val="39"/>
    <w:unhideWhenUsed/>
    <w:rsid w:val="00BF3F8A"/>
    <w:pPr>
      <w:spacing w:after="100"/>
      <w:ind w:left="240"/>
    </w:pPr>
  </w:style>
  <w:style w:type="paragraph" w:styleId="TOC3">
    <w:name w:val="toc 3"/>
    <w:basedOn w:val="Normal"/>
    <w:next w:val="Normal"/>
    <w:autoRedefine/>
    <w:uiPriority w:val="39"/>
    <w:unhideWhenUsed/>
    <w:rsid w:val="00BF3F8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444984">
      <w:bodyDiv w:val="1"/>
      <w:marLeft w:val="0"/>
      <w:marRight w:val="0"/>
      <w:marTop w:val="0"/>
      <w:marBottom w:val="0"/>
      <w:divBdr>
        <w:top w:val="none" w:sz="0" w:space="0" w:color="auto"/>
        <w:left w:val="none" w:sz="0" w:space="0" w:color="auto"/>
        <w:bottom w:val="none" w:sz="0" w:space="0" w:color="auto"/>
        <w:right w:val="none" w:sz="0" w:space="0" w:color="auto"/>
      </w:divBdr>
    </w:div>
    <w:div w:id="68188748">
      <w:bodyDiv w:val="1"/>
      <w:marLeft w:val="0"/>
      <w:marRight w:val="0"/>
      <w:marTop w:val="0"/>
      <w:marBottom w:val="0"/>
      <w:divBdr>
        <w:top w:val="none" w:sz="0" w:space="0" w:color="auto"/>
        <w:left w:val="none" w:sz="0" w:space="0" w:color="auto"/>
        <w:bottom w:val="none" w:sz="0" w:space="0" w:color="auto"/>
        <w:right w:val="none" w:sz="0" w:space="0" w:color="auto"/>
      </w:divBdr>
      <w:divsChild>
        <w:div w:id="641546771">
          <w:marLeft w:val="0"/>
          <w:marRight w:val="0"/>
          <w:marTop w:val="0"/>
          <w:marBottom w:val="0"/>
          <w:divBdr>
            <w:top w:val="none" w:sz="0" w:space="0" w:color="auto"/>
            <w:left w:val="none" w:sz="0" w:space="0" w:color="auto"/>
            <w:bottom w:val="none" w:sz="0" w:space="0" w:color="auto"/>
            <w:right w:val="none" w:sz="0" w:space="0" w:color="auto"/>
          </w:divBdr>
          <w:divsChild>
            <w:div w:id="1479687840">
              <w:marLeft w:val="0"/>
              <w:marRight w:val="0"/>
              <w:marTop w:val="0"/>
              <w:marBottom w:val="0"/>
              <w:divBdr>
                <w:top w:val="none" w:sz="0" w:space="0" w:color="auto"/>
                <w:left w:val="none" w:sz="0" w:space="0" w:color="auto"/>
                <w:bottom w:val="none" w:sz="0" w:space="0" w:color="auto"/>
                <w:right w:val="none" w:sz="0" w:space="0" w:color="auto"/>
              </w:divBdr>
              <w:divsChild>
                <w:div w:id="991562555">
                  <w:marLeft w:val="0"/>
                  <w:marRight w:val="0"/>
                  <w:marTop w:val="0"/>
                  <w:marBottom w:val="0"/>
                  <w:divBdr>
                    <w:top w:val="none" w:sz="0" w:space="0" w:color="auto"/>
                    <w:left w:val="none" w:sz="0" w:space="0" w:color="auto"/>
                    <w:bottom w:val="none" w:sz="0" w:space="0" w:color="auto"/>
                    <w:right w:val="none" w:sz="0" w:space="0" w:color="auto"/>
                  </w:divBdr>
                  <w:divsChild>
                    <w:div w:id="1201435574">
                      <w:marLeft w:val="0"/>
                      <w:marRight w:val="0"/>
                      <w:marTop w:val="0"/>
                      <w:marBottom w:val="0"/>
                      <w:divBdr>
                        <w:top w:val="none" w:sz="0" w:space="0" w:color="auto"/>
                        <w:left w:val="none" w:sz="0" w:space="0" w:color="auto"/>
                        <w:bottom w:val="none" w:sz="0" w:space="0" w:color="auto"/>
                        <w:right w:val="none" w:sz="0" w:space="0" w:color="auto"/>
                      </w:divBdr>
                      <w:divsChild>
                        <w:div w:id="795634757">
                          <w:marLeft w:val="0"/>
                          <w:marRight w:val="0"/>
                          <w:marTop w:val="0"/>
                          <w:marBottom w:val="0"/>
                          <w:divBdr>
                            <w:top w:val="none" w:sz="0" w:space="0" w:color="auto"/>
                            <w:left w:val="none" w:sz="0" w:space="0" w:color="auto"/>
                            <w:bottom w:val="none" w:sz="0" w:space="0" w:color="auto"/>
                            <w:right w:val="none" w:sz="0" w:space="0" w:color="auto"/>
                          </w:divBdr>
                          <w:divsChild>
                            <w:div w:id="1572932710">
                              <w:marLeft w:val="0"/>
                              <w:marRight w:val="0"/>
                              <w:marTop w:val="0"/>
                              <w:marBottom w:val="0"/>
                              <w:divBdr>
                                <w:top w:val="none" w:sz="0" w:space="0" w:color="auto"/>
                                <w:left w:val="none" w:sz="0" w:space="0" w:color="auto"/>
                                <w:bottom w:val="none" w:sz="0" w:space="0" w:color="auto"/>
                                <w:right w:val="none" w:sz="0" w:space="0" w:color="auto"/>
                              </w:divBdr>
                              <w:divsChild>
                                <w:div w:id="2042318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319911">
      <w:bodyDiv w:val="1"/>
      <w:marLeft w:val="0"/>
      <w:marRight w:val="0"/>
      <w:marTop w:val="0"/>
      <w:marBottom w:val="0"/>
      <w:divBdr>
        <w:top w:val="none" w:sz="0" w:space="0" w:color="auto"/>
        <w:left w:val="none" w:sz="0" w:space="0" w:color="auto"/>
        <w:bottom w:val="none" w:sz="0" w:space="0" w:color="auto"/>
        <w:right w:val="none" w:sz="0" w:space="0" w:color="auto"/>
      </w:divBdr>
      <w:divsChild>
        <w:div w:id="946931523">
          <w:marLeft w:val="0"/>
          <w:marRight w:val="0"/>
          <w:marTop w:val="0"/>
          <w:marBottom w:val="0"/>
          <w:divBdr>
            <w:top w:val="none" w:sz="0" w:space="0" w:color="auto"/>
            <w:left w:val="none" w:sz="0" w:space="0" w:color="auto"/>
            <w:bottom w:val="none" w:sz="0" w:space="0" w:color="auto"/>
            <w:right w:val="none" w:sz="0" w:space="0" w:color="auto"/>
          </w:divBdr>
          <w:divsChild>
            <w:div w:id="1790587859">
              <w:marLeft w:val="0"/>
              <w:marRight w:val="0"/>
              <w:marTop w:val="0"/>
              <w:marBottom w:val="0"/>
              <w:divBdr>
                <w:top w:val="none" w:sz="0" w:space="0" w:color="auto"/>
                <w:left w:val="none" w:sz="0" w:space="0" w:color="auto"/>
                <w:bottom w:val="none" w:sz="0" w:space="0" w:color="auto"/>
                <w:right w:val="none" w:sz="0" w:space="0" w:color="auto"/>
              </w:divBdr>
            </w:div>
          </w:divsChild>
        </w:div>
        <w:div w:id="896013426">
          <w:marLeft w:val="0"/>
          <w:marRight w:val="0"/>
          <w:marTop w:val="0"/>
          <w:marBottom w:val="0"/>
          <w:divBdr>
            <w:top w:val="none" w:sz="0" w:space="0" w:color="auto"/>
            <w:left w:val="none" w:sz="0" w:space="0" w:color="auto"/>
            <w:bottom w:val="none" w:sz="0" w:space="0" w:color="auto"/>
            <w:right w:val="none" w:sz="0" w:space="0" w:color="auto"/>
          </w:divBdr>
          <w:divsChild>
            <w:div w:id="289750952">
              <w:marLeft w:val="0"/>
              <w:marRight w:val="0"/>
              <w:marTop w:val="0"/>
              <w:marBottom w:val="0"/>
              <w:divBdr>
                <w:top w:val="none" w:sz="0" w:space="0" w:color="auto"/>
                <w:left w:val="none" w:sz="0" w:space="0" w:color="auto"/>
                <w:bottom w:val="none" w:sz="0" w:space="0" w:color="auto"/>
                <w:right w:val="none" w:sz="0" w:space="0" w:color="auto"/>
              </w:divBdr>
            </w:div>
          </w:divsChild>
        </w:div>
        <w:div w:id="332340243">
          <w:marLeft w:val="0"/>
          <w:marRight w:val="0"/>
          <w:marTop w:val="0"/>
          <w:marBottom w:val="0"/>
          <w:divBdr>
            <w:top w:val="none" w:sz="0" w:space="0" w:color="auto"/>
            <w:left w:val="none" w:sz="0" w:space="0" w:color="auto"/>
            <w:bottom w:val="none" w:sz="0" w:space="0" w:color="auto"/>
            <w:right w:val="none" w:sz="0" w:space="0" w:color="auto"/>
          </w:divBdr>
          <w:divsChild>
            <w:div w:id="2131438926">
              <w:marLeft w:val="0"/>
              <w:marRight w:val="0"/>
              <w:marTop w:val="0"/>
              <w:marBottom w:val="0"/>
              <w:divBdr>
                <w:top w:val="none" w:sz="0" w:space="0" w:color="auto"/>
                <w:left w:val="none" w:sz="0" w:space="0" w:color="auto"/>
                <w:bottom w:val="none" w:sz="0" w:space="0" w:color="auto"/>
                <w:right w:val="none" w:sz="0" w:space="0" w:color="auto"/>
              </w:divBdr>
            </w:div>
          </w:divsChild>
        </w:div>
        <w:div w:id="171997795">
          <w:marLeft w:val="0"/>
          <w:marRight w:val="0"/>
          <w:marTop w:val="0"/>
          <w:marBottom w:val="0"/>
          <w:divBdr>
            <w:top w:val="none" w:sz="0" w:space="0" w:color="auto"/>
            <w:left w:val="none" w:sz="0" w:space="0" w:color="auto"/>
            <w:bottom w:val="none" w:sz="0" w:space="0" w:color="auto"/>
            <w:right w:val="none" w:sz="0" w:space="0" w:color="auto"/>
          </w:divBdr>
          <w:divsChild>
            <w:div w:id="250239486">
              <w:marLeft w:val="0"/>
              <w:marRight w:val="0"/>
              <w:marTop w:val="0"/>
              <w:marBottom w:val="0"/>
              <w:divBdr>
                <w:top w:val="none" w:sz="0" w:space="0" w:color="auto"/>
                <w:left w:val="none" w:sz="0" w:space="0" w:color="auto"/>
                <w:bottom w:val="none" w:sz="0" w:space="0" w:color="auto"/>
                <w:right w:val="none" w:sz="0" w:space="0" w:color="auto"/>
              </w:divBdr>
            </w:div>
          </w:divsChild>
        </w:div>
        <w:div w:id="981734877">
          <w:marLeft w:val="0"/>
          <w:marRight w:val="0"/>
          <w:marTop w:val="0"/>
          <w:marBottom w:val="0"/>
          <w:divBdr>
            <w:top w:val="none" w:sz="0" w:space="0" w:color="auto"/>
            <w:left w:val="none" w:sz="0" w:space="0" w:color="auto"/>
            <w:bottom w:val="none" w:sz="0" w:space="0" w:color="auto"/>
            <w:right w:val="none" w:sz="0" w:space="0" w:color="auto"/>
          </w:divBdr>
          <w:divsChild>
            <w:div w:id="1919435318">
              <w:marLeft w:val="0"/>
              <w:marRight w:val="0"/>
              <w:marTop w:val="0"/>
              <w:marBottom w:val="0"/>
              <w:divBdr>
                <w:top w:val="none" w:sz="0" w:space="0" w:color="auto"/>
                <w:left w:val="none" w:sz="0" w:space="0" w:color="auto"/>
                <w:bottom w:val="none" w:sz="0" w:space="0" w:color="auto"/>
                <w:right w:val="none" w:sz="0" w:space="0" w:color="auto"/>
              </w:divBdr>
            </w:div>
          </w:divsChild>
        </w:div>
        <w:div w:id="599215107">
          <w:marLeft w:val="0"/>
          <w:marRight w:val="0"/>
          <w:marTop w:val="0"/>
          <w:marBottom w:val="0"/>
          <w:divBdr>
            <w:top w:val="none" w:sz="0" w:space="0" w:color="auto"/>
            <w:left w:val="none" w:sz="0" w:space="0" w:color="auto"/>
            <w:bottom w:val="none" w:sz="0" w:space="0" w:color="auto"/>
            <w:right w:val="none" w:sz="0" w:space="0" w:color="auto"/>
          </w:divBdr>
          <w:divsChild>
            <w:div w:id="1615752808">
              <w:marLeft w:val="0"/>
              <w:marRight w:val="0"/>
              <w:marTop w:val="0"/>
              <w:marBottom w:val="0"/>
              <w:divBdr>
                <w:top w:val="none" w:sz="0" w:space="0" w:color="auto"/>
                <w:left w:val="none" w:sz="0" w:space="0" w:color="auto"/>
                <w:bottom w:val="none" w:sz="0" w:space="0" w:color="auto"/>
                <w:right w:val="none" w:sz="0" w:space="0" w:color="auto"/>
              </w:divBdr>
            </w:div>
          </w:divsChild>
        </w:div>
        <w:div w:id="1612204785">
          <w:marLeft w:val="0"/>
          <w:marRight w:val="0"/>
          <w:marTop w:val="0"/>
          <w:marBottom w:val="0"/>
          <w:divBdr>
            <w:top w:val="none" w:sz="0" w:space="0" w:color="auto"/>
            <w:left w:val="none" w:sz="0" w:space="0" w:color="auto"/>
            <w:bottom w:val="none" w:sz="0" w:space="0" w:color="auto"/>
            <w:right w:val="none" w:sz="0" w:space="0" w:color="auto"/>
          </w:divBdr>
          <w:divsChild>
            <w:div w:id="1123615807">
              <w:marLeft w:val="0"/>
              <w:marRight w:val="0"/>
              <w:marTop w:val="0"/>
              <w:marBottom w:val="0"/>
              <w:divBdr>
                <w:top w:val="none" w:sz="0" w:space="0" w:color="auto"/>
                <w:left w:val="none" w:sz="0" w:space="0" w:color="auto"/>
                <w:bottom w:val="none" w:sz="0" w:space="0" w:color="auto"/>
                <w:right w:val="none" w:sz="0" w:space="0" w:color="auto"/>
              </w:divBdr>
            </w:div>
          </w:divsChild>
        </w:div>
        <w:div w:id="1154956245">
          <w:marLeft w:val="0"/>
          <w:marRight w:val="0"/>
          <w:marTop w:val="0"/>
          <w:marBottom w:val="0"/>
          <w:divBdr>
            <w:top w:val="none" w:sz="0" w:space="0" w:color="auto"/>
            <w:left w:val="none" w:sz="0" w:space="0" w:color="auto"/>
            <w:bottom w:val="none" w:sz="0" w:space="0" w:color="auto"/>
            <w:right w:val="none" w:sz="0" w:space="0" w:color="auto"/>
          </w:divBdr>
          <w:divsChild>
            <w:div w:id="1669288794">
              <w:marLeft w:val="0"/>
              <w:marRight w:val="0"/>
              <w:marTop w:val="0"/>
              <w:marBottom w:val="0"/>
              <w:divBdr>
                <w:top w:val="none" w:sz="0" w:space="0" w:color="auto"/>
                <w:left w:val="none" w:sz="0" w:space="0" w:color="auto"/>
                <w:bottom w:val="none" w:sz="0" w:space="0" w:color="auto"/>
                <w:right w:val="none" w:sz="0" w:space="0" w:color="auto"/>
              </w:divBdr>
            </w:div>
          </w:divsChild>
        </w:div>
        <w:div w:id="211239220">
          <w:marLeft w:val="0"/>
          <w:marRight w:val="0"/>
          <w:marTop w:val="0"/>
          <w:marBottom w:val="0"/>
          <w:divBdr>
            <w:top w:val="none" w:sz="0" w:space="0" w:color="auto"/>
            <w:left w:val="none" w:sz="0" w:space="0" w:color="auto"/>
            <w:bottom w:val="none" w:sz="0" w:space="0" w:color="auto"/>
            <w:right w:val="none" w:sz="0" w:space="0" w:color="auto"/>
          </w:divBdr>
          <w:divsChild>
            <w:div w:id="273103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444521">
      <w:bodyDiv w:val="1"/>
      <w:marLeft w:val="0"/>
      <w:marRight w:val="0"/>
      <w:marTop w:val="0"/>
      <w:marBottom w:val="0"/>
      <w:divBdr>
        <w:top w:val="none" w:sz="0" w:space="0" w:color="auto"/>
        <w:left w:val="none" w:sz="0" w:space="0" w:color="auto"/>
        <w:bottom w:val="none" w:sz="0" w:space="0" w:color="auto"/>
        <w:right w:val="none" w:sz="0" w:space="0" w:color="auto"/>
      </w:divBdr>
    </w:div>
    <w:div w:id="136847369">
      <w:bodyDiv w:val="1"/>
      <w:marLeft w:val="0"/>
      <w:marRight w:val="0"/>
      <w:marTop w:val="0"/>
      <w:marBottom w:val="0"/>
      <w:divBdr>
        <w:top w:val="none" w:sz="0" w:space="0" w:color="auto"/>
        <w:left w:val="none" w:sz="0" w:space="0" w:color="auto"/>
        <w:bottom w:val="none" w:sz="0" w:space="0" w:color="auto"/>
        <w:right w:val="none" w:sz="0" w:space="0" w:color="auto"/>
      </w:divBdr>
      <w:divsChild>
        <w:div w:id="1397162992">
          <w:marLeft w:val="0"/>
          <w:marRight w:val="0"/>
          <w:marTop w:val="0"/>
          <w:marBottom w:val="0"/>
          <w:divBdr>
            <w:top w:val="none" w:sz="0" w:space="0" w:color="auto"/>
            <w:left w:val="none" w:sz="0" w:space="0" w:color="auto"/>
            <w:bottom w:val="none" w:sz="0" w:space="0" w:color="auto"/>
            <w:right w:val="none" w:sz="0" w:space="0" w:color="auto"/>
          </w:divBdr>
          <w:divsChild>
            <w:div w:id="438910615">
              <w:marLeft w:val="0"/>
              <w:marRight w:val="0"/>
              <w:marTop w:val="0"/>
              <w:marBottom w:val="0"/>
              <w:divBdr>
                <w:top w:val="none" w:sz="0" w:space="0" w:color="auto"/>
                <w:left w:val="none" w:sz="0" w:space="0" w:color="auto"/>
                <w:bottom w:val="none" w:sz="0" w:space="0" w:color="auto"/>
                <w:right w:val="none" w:sz="0" w:space="0" w:color="auto"/>
              </w:divBdr>
            </w:div>
          </w:divsChild>
        </w:div>
        <w:div w:id="1974095441">
          <w:marLeft w:val="0"/>
          <w:marRight w:val="0"/>
          <w:marTop w:val="0"/>
          <w:marBottom w:val="0"/>
          <w:divBdr>
            <w:top w:val="none" w:sz="0" w:space="0" w:color="auto"/>
            <w:left w:val="none" w:sz="0" w:space="0" w:color="auto"/>
            <w:bottom w:val="none" w:sz="0" w:space="0" w:color="auto"/>
            <w:right w:val="none" w:sz="0" w:space="0" w:color="auto"/>
          </w:divBdr>
          <w:divsChild>
            <w:div w:id="1279797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47449">
      <w:bodyDiv w:val="1"/>
      <w:marLeft w:val="0"/>
      <w:marRight w:val="0"/>
      <w:marTop w:val="0"/>
      <w:marBottom w:val="0"/>
      <w:divBdr>
        <w:top w:val="none" w:sz="0" w:space="0" w:color="auto"/>
        <w:left w:val="none" w:sz="0" w:space="0" w:color="auto"/>
        <w:bottom w:val="none" w:sz="0" w:space="0" w:color="auto"/>
        <w:right w:val="none" w:sz="0" w:space="0" w:color="auto"/>
      </w:divBdr>
    </w:div>
    <w:div w:id="244608347">
      <w:bodyDiv w:val="1"/>
      <w:marLeft w:val="0"/>
      <w:marRight w:val="0"/>
      <w:marTop w:val="0"/>
      <w:marBottom w:val="0"/>
      <w:divBdr>
        <w:top w:val="none" w:sz="0" w:space="0" w:color="auto"/>
        <w:left w:val="none" w:sz="0" w:space="0" w:color="auto"/>
        <w:bottom w:val="none" w:sz="0" w:space="0" w:color="auto"/>
        <w:right w:val="none" w:sz="0" w:space="0" w:color="auto"/>
      </w:divBdr>
    </w:div>
    <w:div w:id="254559575">
      <w:bodyDiv w:val="1"/>
      <w:marLeft w:val="0"/>
      <w:marRight w:val="0"/>
      <w:marTop w:val="0"/>
      <w:marBottom w:val="0"/>
      <w:divBdr>
        <w:top w:val="none" w:sz="0" w:space="0" w:color="auto"/>
        <w:left w:val="none" w:sz="0" w:space="0" w:color="auto"/>
        <w:bottom w:val="none" w:sz="0" w:space="0" w:color="auto"/>
        <w:right w:val="none" w:sz="0" w:space="0" w:color="auto"/>
      </w:divBdr>
    </w:div>
    <w:div w:id="263464065">
      <w:bodyDiv w:val="1"/>
      <w:marLeft w:val="0"/>
      <w:marRight w:val="0"/>
      <w:marTop w:val="0"/>
      <w:marBottom w:val="0"/>
      <w:divBdr>
        <w:top w:val="none" w:sz="0" w:space="0" w:color="auto"/>
        <w:left w:val="none" w:sz="0" w:space="0" w:color="auto"/>
        <w:bottom w:val="none" w:sz="0" w:space="0" w:color="auto"/>
        <w:right w:val="none" w:sz="0" w:space="0" w:color="auto"/>
      </w:divBdr>
    </w:div>
    <w:div w:id="314653290">
      <w:bodyDiv w:val="1"/>
      <w:marLeft w:val="0"/>
      <w:marRight w:val="0"/>
      <w:marTop w:val="0"/>
      <w:marBottom w:val="0"/>
      <w:divBdr>
        <w:top w:val="none" w:sz="0" w:space="0" w:color="auto"/>
        <w:left w:val="none" w:sz="0" w:space="0" w:color="auto"/>
        <w:bottom w:val="none" w:sz="0" w:space="0" w:color="auto"/>
        <w:right w:val="none" w:sz="0" w:space="0" w:color="auto"/>
      </w:divBdr>
    </w:div>
    <w:div w:id="406806690">
      <w:bodyDiv w:val="1"/>
      <w:marLeft w:val="0"/>
      <w:marRight w:val="0"/>
      <w:marTop w:val="0"/>
      <w:marBottom w:val="0"/>
      <w:divBdr>
        <w:top w:val="none" w:sz="0" w:space="0" w:color="auto"/>
        <w:left w:val="none" w:sz="0" w:space="0" w:color="auto"/>
        <w:bottom w:val="none" w:sz="0" w:space="0" w:color="auto"/>
        <w:right w:val="none" w:sz="0" w:space="0" w:color="auto"/>
      </w:divBdr>
    </w:div>
    <w:div w:id="450441636">
      <w:bodyDiv w:val="1"/>
      <w:marLeft w:val="0"/>
      <w:marRight w:val="0"/>
      <w:marTop w:val="0"/>
      <w:marBottom w:val="0"/>
      <w:divBdr>
        <w:top w:val="none" w:sz="0" w:space="0" w:color="auto"/>
        <w:left w:val="none" w:sz="0" w:space="0" w:color="auto"/>
        <w:bottom w:val="none" w:sz="0" w:space="0" w:color="auto"/>
        <w:right w:val="none" w:sz="0" w:space="0" w:color="auto"/>
      </w:divBdr>
    </w:div>
    <w:div w:id="482967249">
      <w:bodyDiv w:val="1"/>
      <w:marLeft w:val="0"/>
      <w:marRight w:val="0"/>
      <w:marTop w:val="0"/>
      <w:marBottom w:val="0"/>
      <w:divBdr>
        <w:top w:val="none" w:sz="0" w:space="0" w:color="auto"/>
        <w:left w:val="none" w:sz="0" w:space="0" w:color="auto"/>
        <w:bottom w:val="none" w:sz="0" w:space="0" w:color="auto"/>
        <w:right w:val="none" w:sz="0" w:space="0" w:color="auto"/>
      </w:divBdr>
    </w:div>
    <w:div w:id="512572117">
      <w:bodyDiv w:val="1"/>
      <w:marLeft w:val="0"/>
      <w:marRight w:val="0"/>
      <w:marTop w:val="0"/>
      <w:marBottom w:val="0"/>
      <w:divBdr>
        <w:top w:val="none" w:sz="0" w:space="0" w:color="auto"/>
        <w:left w:val="none" w:sz="0" w:space="0" w:color="auto"/>
        <w:bottom w:val="none" w:sz="0" w:space="0" w:color="auto"/>
        <w:right w:val="none" w:sz="0" w:space="0" w:color="auto"/>
      </w:divBdr>
    </w:div>
    <w:div w:id="518743957">
      <w:bodyDiv w:val="1"/>
      <w:marLeft w:val="0"/>
      <w:marRight w:val="0"/>
      <w:marTop w:val="0"/>
      <w:marBottom w:val="0"/>
      <w:divBdr>
        <w:top w:val="none" w:sz="0" w:space="0" w:color="auto"/>
        <w:left w:val="none" w:sz="0" w:space="0" w:color="auto"/>
        <w:bottom w:val="none" w:sz="0" w:space="0" w:color="auto"/>
        <w:right w:val="none" w:sz="0" w:space="0" w:color="auto"/>
      </w:divBdr>
    </w:div>
    <w:div w:id="521940427">
      <w:bodyDiv w:val="1"/>
      <w:marLeft w:val="0"/>
      <w:marRight w:val="0"/>
      <w:marTop w:val="0"/>
      <w:marBottom w:val="0"/>
      <w:divBdr>
        <w:top w:val="none" w:sz="0" w:space="0" w:color="auto"/>
        <w:left w:val="none" w:sz="0" w:space="0" w:color="auto"/>
        <w:bottom w:val="none" w:sz="0" w:space="0" w:color="auto"/>
        <w:right w:val="none" w:sz="0" w:space="0" w:color="auto"/>
      </w:divBdr>
    </w:div>
    <w:div w:id="524901421">
      <w:bodyDiv w:val="1"/>
      <w:marLeft w:val="0"/>
      <w:marRight w:val="0"/>
      <w:marTop w:val="0"/>
      <w:marBottom w:val="0"/>
      <w:divBdr>
        <w:top w:val="none" w:sz="0" w:space="0" w:color="auto"/>
        <w:left w:val="none" w:sz="0" w:space="0" w:color="auto"/>
        <w:bottom w:val="none" w:sz="0" w:space="0" w:color="auto"/>
        <w:right w:val="none" w:sz="0" w:space="0" w:color="auto"/>
      </w:divBdr>
    </w:div>
    <w:div w:id="527915914">
      <w:bodyDiv w:val="1"/>
      <w:marLeft w:val="0"/>
      <w:marRight w:val="0"/>
      <w:marTop w:val="0"/>
      <w:marBottom w:val="0"/>
      <w:divBdr>
        <w:top w:val="none" w:sz="0" w:space="0" w:color="auto"/>
        <w:left w:val="none" w:sz="0" w:space="0" w:color="auto"/>
        <w:bottom w:val="none" w:sz="0" w:space="0" w:color="auto"/>
        <w:right w:val="none" w:sz="0" w:space="0" w:color="auto"/>
      </w:divBdr>
    </w:div>
    <w:div w:id="611673039">
      <w:bodyDiv w:val="1"/>
      <w:marLeft w:val="0"/>
      <w:marRight w:val="0"/>
      <w:marTop w:val="0"/>
      <w:marBottom w:val="0"/>
      <w:divBdr>
        <w:top w:val="none" w:sz="0" w:space="0" w:color="auto"/>
        <w:left w:val="none" w:sz="0" w:space="0" w:color="auto"/>
        <w:bottom w:val="none" w:sz="0" w:space="0" w:color="auto"/>
        <w:right w:val="none" w:sz="0" w:space="0" w:color="auto"/>
      </w:divBdr>
      <w:divsChild>
        <w:div w:id="449399236">
          <w:marLeft w:val="0"/>
          <w:marRight w:val="0"/>
          <w:marTop w:val="0"/>
          <w:marBottom w:val="0"/>
          <w:divBdr>
            <w:top w:val="none" w:sz="0" w:space="0" w:color="auto"/>
            <w:left w:val="none" w:sz="0" w:space="0" w:color="auto"/>
            <w:bottom w:val="none" w:sz="0" w:space="0" w:color="auto"/>
            <w:right w:val="none" w:sz="0" w:space="0" w:color="auto"/>
          </w:divBdr>
          <w:divsChild>
            <w:div w:id="1094596132">
              <w:marLeft w:val="0"/>
              <w:marRight w:val="0"/>
              <w:marTop w:val="0"/>
              <w:marBottom w:val="0"/>
              <w:divBdr>
                <w:top w:val="none" w:sz="0" w:space="0" w:color="auto"/>
                <w:left w:val="none" w:sz="0" w:space="0" w:color="auto"/>
                <w:bottom w:val="none" w:sz="0" w:space="0" w:color="auto"/>
                <w:right w:val="none" w:sz="0" w:space="0" w:color="auto"/>
              </w:divBdr>
            </w:div>
          </w:divsChild>
        </w:div>
        <w:div w:id="1994479770">
          <w:marLeft w:val="0"/>
          <w:marRight w:val="0"/>
          <w:marTop w:val="0"/>
          <w:marBottom w:val="0"/>
          <w:divBdr>
            <w:top w:val="none" w:sz="0" w:space="0" w:color="auto"/>
            <w:left w:val="none" w:sz="0" w:space="0" w:color="auto"/>
            <w:bottom w:val="none" w:sz="0" w:space="0" w:color="auto"/>
            <w:right w:val="none" w:sz="0" w:space="0" w:color="auto"/>
          </w:divBdr>
          <w:divsChild>
            <w:div w:id="952053533">
              <w:marLeft w:val="0"/>
              <w:marRight w:val="0"/>
              <w:marTop w:val="0"/>
              <w:marBottom w:val="0"/>
              <w:divBdr>
                <w:top w:val="none" w:sz="0" w:space="0" w:color="auto"/>
                <w:left w:val="none" w:sz="0" w:space="0" w:color="auto"/>
                <w:bottom w:val="none" w:sz="0" w:space="0" w:color="auto"/>
                <w:right w:val="none" w:sz="0" w:space="0" w:color="auto"/>
              </w:divBdr>
            </w:div>
          </w:divsChild>
        </w:div>
        <w:div w:id="593048404">
          <w:marLeft w:val="0"/>
          <w:marRight w:val="0"/>
          <w:marTop w:val="0"/>
          <w:marBottom w:val="0"/>
          <w:divBdr>
            <w:top w:val="none" w:sz="0" w:space="0" w:color="auto"/>
            <w:left w:val="none" w:sz="0" w:space="0" w:color="auto"/>
            <w:bottom w:val="none" w:sz="0" w:space="0" w:color="auto"/>
            <w:right w:val="none" w:sz="0" w:space="0" w:color="auto"/>
          </w:divBdr>
          <w:divsChild>
            <w:div w:id="360395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997119">
      <w:bodyDiv w:val="1"/>
      <w:marLeft w:val="0"/>
      <w:marRight w:val="0"/>
      <w:marTop w:val="0"/>
      <w:marBottom w:val="0"/>
      <w:divBdr>
        <w:top w:val="none" w:sz="0" w:space="0" w:color="auto"/>
        <w:left w:val="none" w:sz="0" w:space="0" w:color="auto"/>
        <w:bottom w:val="none" w:sz="0" w:space="0" w:color="auto"/>
        <w:right w:val="none" w:sz="0" w:space="0" w:color="auto"/>
      </w:divBdr>
    </w:div>
    <w:div w:id="691761290">
      <w:bodyDiv w:val="1"/>
      <w:marLeft w:val="0"/>
      <w:marRight w:val="0"/>
      <w:marTop w:val="0"/>
      <w:marBottom w:val="0"/>
      <w:divBdr>
        <w:top w:val="none" w:sz="0" w:space="0" w:color="auto"/>
        <w:left w:val="none" w:sz="0" w:space="0" w:color="auto"/>
        <w:bottom w:val="none" w:sz="0" w:space="0" w:color="auto"/>
        <w:right w:val="none" w:sz="0" w:space="0" w:color="auto"/>
      </w:divBdr>
    </w:div>
    <w:div w:id="708990290">
      <w:bodyDiv w:val="1"/>
      <w:marLeft w:val="0"/>
      <w:marRight w:val="0"/>
      <w:marTop w:val="0"/>
      <w:marBottom w:val="0"/>
      <w:divBdr>
        <w:top w:val="none" w:sz="0" w:space="0" w:color="auto"/>
        <w:left w:val="none" w:sz="0" w:space="0" w:color="auto"/>
        <w:bottom w:val="none" w:sz="0" w:space="0" w:color="auto"/>
        <w:right w:val="none" w:sz="0" w:space="0" w:color="auto"/>
      </w:divBdr>
    </w:div>
    <w:div w:id="819156444">
      <w:bodyDiv w:val="1"/>
      <w:marLeft w:val="0"/>
      <w:marRight w:val="0"/>
      <w:marTop w:val="0"/>
      <w:marBottom w:val="0"/>
      <w:divBdr>
        <w:top w:val="none" w:sz="0" w:space="0" w:color="auto"/>
        <w:left w:val="none" w:sz="0" w:space="0" w:color="auto"/>
        <w:bottom w:val="none" w:sz="0" w:space="0" w:color="auto"/>
        <w:right w:val="none" w:sz="0" w:space="0" w:color="auto"/>
      </w:divBdr>
    </w:div>
    <w:div w:id="833881674">
      <w:bodyDiv w:val="1"/>
      <w:marLeft w:val="0"/>
      <w:marRight w:val="0"/>
      <w:marTop w:val="0"/>
      <w:marBottom w:val="0"/>
      <w:divBdr>
        <w:top w:val="none" w:sz="0" w:space="0" w:color="auto"/>
        <w:left w:val="none" w:sz="0" w:space="0" w:color="auto"/>
        <w:bottom w:val="none" w:sz="0" w:space="0" w:color="auto"/>
        <w:right w:val="none" w:sz="0" w:space="0" w:color="auto"/>
      </w:divBdr>
      <w:divsChild>
        <w:div w:id="49884750">
          <w:marLeft w:val="0"/>
          <w:marRight w:val="0"/>
          <w:marTop w:val="0"/>
          <w:marBottom w:val="0"/>
          <w:divBdr>
            <w:top w:val="none" w:sz="0" w:space="0" w:color="auto"/>
            <w:left w:val="none" w:sz="0" w:space="0" w:color="auto"/>
            <w:bottom w:val="none" w:sz="0" w:space="0" w:color="auto"/>
            <w:right w:val="none" w:sz="0" w:space="0" w:color="auto"/>
          </w:divBdr>
          <w:divsChild>
            <w:div w:id="50230420">
              <w:marLeft w:val="0"/>
              <w:marRight w:val="0"/>
              <w:marTop w:val="0"/>
              <w:marBottom w:val="0"/>
              <w:divBdr>
                <w:top w:val="none" w:sz="0" w:space="0" w:color="auto"/>
                <w:left w:val="none" w:sz="0" w:space="0" w:color="auto"/>
                <w:bottom w:val="none" w:sz="0" w:space="0" w:color="auto"/>
                <w:right w:val="none" w:sz="0" w:space="0" w:color="auto"/>
              </w:divBdr>
            </w:div>
          </w:divsChild>
        </w:div>
        <w:div w:id="1028947648">
          <w:marLeft w:val="0"/>
          <w:marRight w:val="0"/>
          <w:marTop w:val="0"/>
          <w:marBottom w:val="0"/>
          <w:divBdr>
            <w:top w:val="none" w:sz="0" w:space="0" w:color="auto"/>
            <w:left w:val="none" w:sz="0" w:space="0" w:color="auto"/>
            <w:bottom w:val="none" w:sz="0" w:space="0" w:color="auto"/>
            <w:right w:val="none" w:sz="0" w:space="0" w:color="auto"/>
          </w:divBdr>
          <w:divsChild>
            <w:div w:id="483936706">
              <w:marLeft w:val="0"/>
              <w:marRight w:val="0"/>
              <w:marTop w:val="0"/>
              <w:marBottom w:val="0"/>
              <w:divBdr>
                <w:top w:val="none" w:sz="0" w:space="0" w:color="auto"/>
                <w:left w:val="none" w:sz="0" w:space="0" w:color="auto"/>
                <w:bottom w:val="none" w:sz="0" w:space="0" w:color="auto"/>
                <w:right w:val="none" w:sz="0" w:space="0" w:color="auto"/>
              </w:divBdr>
            </w:div>
          </w:divsChild>
        </w:div>
        <w:div w:id="966933679">
          <w:marLeft w:val="0"/>
          <w:marRight w:val="0"/>
          <w:marTop w:val="0"/>
          <w:marBottom w:val="0"/>
          <w:divBdr>
            <w:top w:val="none" w:sz="0" w:space="0" w:color="auto"/>
            <w:left w:val="none" w:sz="0" w:space="0" w:color="auto"/>
            <w:bottom w:val="none" w:sz="0" w:space="0" w:color="auto"/>
            <w:right w:val="none" w:sz="0" w:space="0" w:color="auto"/>
          </w:divBdr>
          <w:divsChild>
            <w:div w:id="1371151543">
              <w:marLeft w:val="0"/>
              <w:marRight w:val="0"/>
              <w:marTop w:val="0"/>
              <w:marBottom w:val="0"/>
              <w:divBdr>
                <w:top w:val="none" w:sz="0" w:space="0" w:color="auto"/>
                <w:left w:val="none" w:sz="0" w:space="0" w:color="auto"/>
                <w:bottom w:val="none" w:sz="0" w:space="0" w:color="auto"/>
                <w:right w:val="none" w:sz="0" w:space="0" w:color="auto"/>
              </w:divBdr>
            </w:div>
          </w:divsChild>
        </w:div>
        <w:div w:id="1485123861">
          <w:marLeft w:val="0"/>
          <w:marRight w:val="0"/>
          <w:marTop w:val="0"/>
          <w:marBottom w:val="0"/>
          <w:divBdr>
            <w:top w:val="none" w:sz="0" w:space="0" w:color="auto"/>
            <w:left w:val="none" w:sz="0" w:space="0" w:color="auto"/>
            <w:bottom w:val="none" w:sz="0" w:space="0" w:color="auto"/>
            <w:right w:val="none" w:sz="0" w:space="0" w:color="auto"/>
          </w:divBdr>
          <w:divsChild>
            <w:div w:id="1114400604">
              <w:marLeft w:val="0"/>
              <w:marRight w:val="0"/>
              <w:marTop w:val="0"/>
              <w:marBottom w:val="0"/>
              <w:divBdr>
                <w:top w:val="none" w:sz="0" w:space="0" w:color="auto"/>
                <w:left w:val="none" w:sz="0" w:space="0" w:color="auto"/>
                <w:bottom w:val="none" w:sz="0" w:space="0" w:color="auto"/>
                <w:right w:val="none" w:sz="0" w:space="0" w:color="auto"/>
              </w:divBdr>
            </w:div>
          </w:divsChild>
        </w:div>
        <w:div w:id="773981012">
          <w:marLeft w:val="0"/>
          <w:marRight w:val="0"/>
          <w:marTop w:val="0"/>
          <w:marBottom w:val="0"/>
          <w:divBdr>
            <w:top w:val="none" w:sz="0" w:space="0" w:color="auto"/>
            <w:left w:val="none" w:sz="0" w:space="0" w:color="auto"/>
            <w:bottom w:val="none" w:sz="0" w:space="0" w:color="auto"/>
            <w:right w:val="none" w:sz="0" w:space="0" w:color="auto"/>
          </w:divBdr>
          <w:divsChild>
            <w:div w:id="1095059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490288">
      <w:bodyDiv w:val="1"/>
      <w:marLeft w:val="0"/>
      <w:marRight w:val="0"/>
      <w:marTop w:val="0"/>
      <w:marBottom w:val="0"/>
      <w:divBdr>
        <w:top w:val="none" w:sz="0" w:space="0" w:color="auto"/>
        <w:left w:val="none" w:sz="0" w:space="0" w:color="auto"/>
        <w:bottom w:val="none" w:sz="0" w:space="0" w:color="auto"/>
        <w:right w:val="none" w:sz="0" w:space="0" w:color="auto"/>
      </w:divBdr>
      <w:divsChild>
        <w:div w:id="809060038">
          <w:blockQuote w:val="1"/>
          <w:marLeft w:val="720"/>
          <w:marRight w:val="720"/>
          <w:marTop w:val="100"/>
          <w:marBottom w:val="100"/>
          <w:divBdr>
            <w:top w:val="none" w:sz="0" w:space="0" w:color="auto"/>
            <w:left w:val="none" w:sz="0" w:space="0" w:color="auto"/>
            <w:bottom w:val="none" w:sz="0" w:space="0" w:color="auto"/>
            <w:right w:val="none" w:sz="0" w:space="0" w:color="auto"/>
          </w:divBdr>
        </w:div>
        <w:div w:id="1887330281">
          <w:marLeft w:val="0"/>
          <w:marRight w:val="0"/>
          <w:marTop w:val="0"/>
          <w:marBottom w:val="0"/>
          <w:divBdr>
            <w:top w:val="none" w:sz="0" w:space="0" w:color="auto"/>
            <w:left w:val="none" w:sz="0" w:space="0" w:color="auto"/>
            <w:bottom w:val="none" w:sz="0" w:space="0" w:color="auto"/>
            <w:right w:val="none" w:sz="0" w:space="0" w:color="auto"/>
          </w:divBdr>
          <w:divsChild>
            <w:div w:id="1958219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4312624">
      <w:bodyDiv w:val="1"/>
      <w:marLeft w:val="0"/>
      <w:marRight w:val="0"/>
      <w:marTop w:val="0"/>
      <w:marBottom w:val="0"/>
      <w:divBdr>
        <w:top w:val="none" w:sz="0" w:space="0" w:color="auto"/>
        <w:left w:val="none" w:sz="0" w:space="0" w:color="auto"/>
        <w:bottom w:val="none" w:sz="0" w:space="0" w:color="auto"/>
        <w:right w:val="none" w:sz="0" w:space="0" w:color="auto"/>
      </w:divBdr>
    </w:div>
    <w:div w:id="1016421194">
      <w:bodyDiv w:val="1"/>
      <w:marLeft w:val="0"/>
      <w:marRight w:val="0"/>
      <w:marTop w:val="0"/>
      <w:marBottom w:val="0"/>
      <w:divBdr>
        <w:top w:val="none" w:sz="0" w:space="0" w:color="auto"/>
        <w:left w:val="none" w:sz="0" w:space="0" w:color="auto"/>
        <w:bottom w:val="none" w:sz="0" w:space="0" w:color="auto"/>
        <w:right w:val="none" w:sz="0" w:space="0" w:color="auto"/>
      </w:divBdr>
    </w:div>
    <w:div w:id="1026950216">
      <w:bodyDiv w:val="1"/>
      <w:marLeft w:val="0"/>
      <w:marRight w:val="0"/>
      <w:marTop w:val="0"/>
      <w:marBottom w:val="0"/>
      <w:divBdr>
        <w:top w:val="none" w:sz="0" w:space="0" w:color="auto"/>
        <w:left w:val="none" w:sz="0" w:space="0" w:color="auto"/>
        <w:bottom w:val="none" w:sz="0" w:space="0" w:color="auto"/>
        <w:right w:val="none" w:sz="0" w:space="0" w:color="auto"/>
      </w:divBdr>
    </w:div>
    <w:div w:id="1051733467">
      <w:bodyDiv w:val="1"/>
      <w:marLeft w:val="0"/>
      <w:marRight w:val="0"/>
      <w:marTop w:val="0"/>
      <w:marBottom w:val="0"/>
      <w:divBdr>
        <w:top w:val="none" w:sz="0" w:space="0" w:color="auto"/>
        <w:left w:val="none" w:sz="0" w:space="0" w:color="auto"/>
        <w:bottom w:val="none" w:sz="0" w:space="0" w:color="auto"/>
        <w:right w:val="none" w:sz="0" w:space="0" w:color="auto"/>
      </w:divBdr>
      <w:divsChild>
        <w:div w:id="949315302">
          <w:marLeft w:val="0"/>
          <w:marRight w:val="0"/>
          <w:marTop w:val="0"/>
          <w:marBottom w:val="0"/>
          <w:divBdr>
            <w:top w:val="none" w:sz="0" w:space="0" w:color="auto"/>
            <w:left w:val="none" w:sz="0" w:space="0" w:color="auto"/>
            <w:bottom w:val="none" w:sz="0" w:space="0" w:color="auto"/>
            <w:right w:val="none" w:sz="0" w:space="0" w:color="auto"/>
          </w:divBdr>
          <w:divsChild>
            <w:div w:id="1325622017">
              <w:marLeft w:val="0"/>
              <w:marRight w:val="0"/>
              <w:marTop w:val="0"/>
              <w:marBottom w:val="0"/>
              <w:divBdr>
                <w:top w:val="none" w:sz="0" w:space="0" w:color="auto"/>
                <w:left w:val="none" w:sz="0" w:space="0" w:color="auto"/>
                <w:bottom w:val="none" w:sz="0" w:space="0" w:color="auto"/>
                <w:right w:val="none" w:sz="0" w:space="0" w:color="auto"/>
              </w:divBdr>
            </w:div>
          </w:divsChild>
        </w:div>
        <w:div w:id="605232008">
          <w:marLeft w:val="0"/>
          <w:marRight w:val="0"/>
          <w:marTop w:val="0"/>
          <w:marBottom w:val="0"/>
          <w:divBdr>
            <w:top w:val="none" w:sz="0" w:space="0" w:color="auto"/>
            <w:left w:val="none" w:sz="0" w:space="0" w:color="auto"/>
            <w:bottom w:val="none" w:sz="0" w:space="0" w:color="auto"/>
            <w:right w:val="none" w:sz="0" w:space="0" w:color="auto"/>
          </w:divBdr>
          <w:divsChild>
            <w:div w:id="1529370711">
              <w:marLeft w:val="0"/>
              <w:marRight w:val="0"/>
              <w:marTop w:val="0"/>
              <w:marBottom w:val="0"/>
              <w:divBdr>
                <w:top w:val="none" w:sz="0" w:space="0" w:color="auto"/>
                <w:left w:val="none" w:sz="0" w:space="0" w:color="auto"/>
                <w:bottom w:val="none" w:sz="0" w:space="0" w:color="auto"/>
                <w:right w:val="none" w:sz="0" w:space="0" w:color="auto"/>
              </w:divBdr>
            </w:div>
          </w:divsChild>
        </w:div>
        <w:div w:id="343244055">
          <w:marLeft w:val="0"/>
          <w:marRight w:val="0"/>
          <w:marTop w:val="0"/>
          <w:marBottom w:val="0"/>
          <w:divBdr>
            <w:top w:val="none" w:sz="0" w:space="0" w:color="auto"/>
            <w:left w:val="none" w:sz="0" w:space="0" w:color="auto"/>
            <w:bottom w:val="none" w:sz="0" w:space="0" w:color="auto"/>
            <w:right w:val="none" w:sz="0" w:space="0" w:color="auto"/>
          </w:divBdr>
          <w:divsChild>
            <w:div w:id="1434059236">
              <w:marLeft w:val="0"/>
              <w:marRight w:val="0"/>
              <w:marTop w:val="0"/>
              <w:marBottom w:val="0"/>
              <w:divBdr>
                <w:top w:val="none" w:sz="0" w:space="0" w:color="auto"/>
                <w:left w:val="none" w:sz="0" w:space="0" w:color="auto"/>
                <w:bottom w:val="none" w:sz="0" w:space="0" w:color="auto"/>
                <w:right w:val="none" w:sz="0" w:space="0" w:color="auto"/>
              </w:divBdr>
            </w:div>
          </w:divsChild>
        </w:div>
        <w:div w:id="940912675">
          <w:marLeft w:val="0"/>
          <w:marRight w:val="0"/>
          <w:marTop w:val="0"/>
          <w:marBottom w:val="0"/>
          <w:divBdr>
            <w:top w:val="none" w:sz="0" w:space="0" w:color="auto"/>
            <w:left w:val="none" w:sz="0" w:space="0" w:color="auto"/>
            <w:bottom w:val="none" w:sz="0" w:space="0" w:color="auto"/>
            <w:right w:val="none" w:sz="0" w:space="0" w:color="auto"/>
          </w:divBdr>
          <w:divsChild>
            <w:div w:id="573705175">
              <w:marLeft w:val="0"/>
              <w:marRight w:val="0"/>
              <w:marTop w:val="0"/>
              <w:marBottom w:val="0"/>
              <w:divBdr>
                <w:top w:val="none" w:sz="0" w:space="0" w:color="auto"/>
                <w:left w:val="none" w:sz="0" w:space="0" w:color="auto"/>
                <w:bottom w:val="none" w:sz="0" w:space="0" w:color="auto"/>
                <w:right w:val="none" w:sz="0" w:space="0" w:color="auto"/>
              </w:divBdr>
            </w:div>
          </w:divsChild>
        </w:div>
        <w:div w:id="829980418">
          <w:marLeft w:val="0"/>
          <w:marRight w:val="0"/>
          <w:marTop w:val="0"/>
          <w:marBottom w:val="0"/>
          <w:divBdr>
            <w:top w:val="none" w:sz="0" w:space="0" w:color="auto"/>
            <w:left w:val="none" w:sz="0" w:space="0" w:color="auto"/>
            <w:bottom w:val="none" w:sz="0" w:space="0" w:color="auto"/>
            <w:right w:val="none" w:sz="0" w:space="0" w:color="auto"/>
          </w:divBdr>
          <w:divsChild>
            <w:div w:id="163059638">
              <w:marLeft w:val="0"/>
              <w:marRight w:val="0"/>
              <w:marTop w:val="0"/>
              <w:marBottom w:val="0"/>
              <w:divBdr>
                <w:top w:val="none" w:sz="0" w:space="0" w:color="auto"/>
                <w:left w:val="none" w:sz="0" w:space="0" w:color="auto"/>
                <w:bottom w:val="none" w:sz="0" w:space="0" w:color="auto"/>
                <w:right w:val="none" w:sz="0" w:space="0" w:color="auto"/>
              </w:divBdr>
            </w:div>
          </w:divsChild>
        </w:div>
        <w:div w:id="36779216">
          <w:marLeft w:val="0"/>
          <w:marRight w:val="0"/>
          <w:marTop w:val="0"/>
          <w:marBottom w:val="0"/>
          <w:divBdr>
            <w:top w:val="none" w:sz="0" w:space="0" w:color="auto"/>
            <w:left w:val="none" w:sz="0" w:space="0" w:color="auto"/>
            <w:bottom w:val="none" w:sz="0" w:space="0" w:color="auto"/>
            <w:right w:val="none" w:sz="0" w:space="0" w:color="auto"/>
          </w:divBdr>
          <w:divsChild>
            <w:div w:id="1766264583">
              <w:marLeft w:val="0"/>
              <w:marRight w:val="0"/>
              <w:marTop w:val="0"/>
              <w:marBottom w:val="0"/>
              <w:divBdr>
                <w:top w:val="none" w:sz="0" w:space="0" w:color="auto"/>
                <w:left w:val="none" w:sz="0" w:space="0" w:color="auto"/>
                <w:bottom w:val="none" w:sz="0" w:space="0" w:color="auto"/>
                <w:right w:val="none" w:sz="0" w:space="0" w:color="auto"/>
              </w:divBdr>
            </w:div>
          </w:divsChild>
        </w:div>
        <w:div w:id="1879707656">
          <w:marLeft w:val="0"/>
          <w:marRight w:val="0"/>
          <w:marTop w:val="0"/>
          <w:marBottom w:val="0"/>
          <w:divBdr>
            <w:top w:val="none" w:sz="0" w:space="0" w:color="auto"/>
            <w:left w:val="none" w:sz="0" w:space="0" w:color="auto"/>
            <w:bottom w:val="none" w:sz="0" w:space="0" w:color="auto"/>
            <w:right w:val="none" w:sz="0" w:space="0" w:color="auto"/>
          </w:divBdr>
          <w:divsChild>
            <w:div w:id="6756316">
              <w:marLeft w:val="0"/>
              <w:marRight w:val="0"/>
              <w:marTop w:val="0"/>
              <w:marBottom w:val="0"/>
              <w:divBdr>
                <w:top w:val="none" w:sz="0" w:space="0" w:color="auto"/>
                <w:left w:val="none" w:sz="0" w:space="0" w:color="auto"/>
                <w:bottom w:val="none" w:sz="0" w:space="0" w:color="auto"/>
                <w:right w:val="none" w:sz="0" w:space="0" w:color="auto"/>
              </w:divBdr>
            </w:div>
          </w:divsChild>
        </w:div>
        <w:div w:id="119032681">
          <w:marLeft w:val="0"/>
          <w:marRight w:val="0"/>
          <w:marTop w:val="0"/>
          <w:marBottom w:val="0"/>
          <w:divBdr>
            <w:top w:val="none" w:sz="0" w:space="0" w:color="auto"/>
            <w:left w:val="none" w:sz="0" w:space="0" w:color="auto"/>
            <w:bottom w:val="none" w:sz="0" w:space="0" w:color="auto"/>
            <w:right w:val="none" w:sz="0" w:space="0" w:color="auto"/>
          </w:divBdr>
          <w:divsChild>
            <w:div w:id="989552780">
              <w:marLeft w:val="0"/>
              <w:marRight w:val="0"/>
              <w:marTop w:val="0"/>
              <w:marBottom w:val="0"/>
              <w:divBdr>
                <w:top w:val="none" w:sz="0" w:space="0" w:color="auto"/>
                <w:left w:val="none" w:sz="0" w:space="0" w:color="auto"/>
                <w:bottom w:val="none" w:sz="0" w:space="0" w:color="auto"/>
                <w:right w:val="none" w:sz="0" w:space="0" w:color="auto"/>
              </w:divBdr>
            </w:div>
          </w:divsChild>
        </w:div>
        <w:div w:id="1472357164">
          <w:marLeft w:val="0"/>
          <w:marRight w:val="0"/>
          <w:marTop w:val="0"/>
          <w:marBottom w:val="0"/>
          <w:divBdr>
            <w:top w:val="none" w:sz="0" w:space="0" w:color="auto"/>
            <w:left w:val="none" w:sz="0" w:space="0" w:color="auto"/>
            <w:bottom w:val="none" w:sz="0" w:space="0" w:color="auto"/>
            <w:right w:val="none" w:sz="0" w:space="0" w:color="auto"/>
          </w:divBdr>
          <w:divsChild>
            <w:div w:id="1463843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2591518">
      <w:bodyDiv w:val="1"/>
      <w:marLeft w:val="0"/>
      <w:marRight w:val="0"/>
      <w:marTop w:val="0"/>
      <w:marBottom w:val="0"/>
      <w:divBdr>
        <w:top w:val="none" w:sz="0" w:space="0" w:color="auto"/>
        <w:left w:val="none" w:sz="0" w:space="0" w:color="auto"/>
        <w:bottom w:val="none" w:sz="0" w:space="0" w:color="auto"/>
        <w:right w:val="none" w:sz="0" w:space="0" w:color="auto"/>
      </w:divBdr>
      <w:divsChild>
        <w:div w:id="589315769">
          <w:marLeft w:val="0"/>
          <w:marRight w:val="0"/>
          <w:marTop w:val="0"/>
          <w:marBottom w:val="0"/>
          <w:divBdr>
            <w:top w:val="none" w:sz="0" w:space="0" w:color="auto"/>
            <w:left w:val="none" w:sz="0" w:space="0" w:color="auto"/>
            <w:bottom w:val="none" w:sz="0" w:space="0" w:color="auto"/>
            <w:right w:val="none" w:sz="0" w:space="0" w:color="auto"/>
          </w:divBdr>
          <w:divsChild>
            <w:div w:id="1457262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414919">
      <w:bodyDiv w:val="1"/>
      <w:marLeft w:val="0"/>
      <w:marRight w:val="0"/>
      <w:marTop w:val="0"/>
      <w:marBottom w:val="0"/>
      <w:divBdr>
        <w:top w:val="none" w:sz="0" w:space="0" w:color="auto"/>
        <w:left w:val="none" w:sz="0" w:space="0" w:color="auto"/>
        <w:bottom w:val="none" w:sz="0" w:space="0" w:color="auto"/>
        <w:right w:val="none" w:sz="0" w:space="0" w:color="auto"/>
      </w:divBdr>
    </w:div>
    <w:div w:id="1238586754">
      <w:bodyDiv w:val="1"/>
      <w:marLeft w:val="0"/>
      <w:marRight w:val="0"/>
      <w:marTop w:val="0"/>
      <w:marBottom w:val="0"/>
      <w:divBdr>
        <w:top w:val="none" w:sz="0" w:space="0" w:color="auto"/>
        <w:left w:val="none" w:sz="0" w:space="0" w:color="auto"/>
        <w:bottom w:val="none" w:sz="0" w:space="0" w:color="auto"/>
        <w:right w:val="none" w:sz="0" w:space="0" w:color="auto"/>
      </w:divBdr>
    </w:div>
    <w:div w:id="1242251417">
      <w:bodyDiv w:val="1"/>
      <w:marLeft w:val="0"/>
      <w:marRight w:val="0"/>
      <w:marTop w:val="0"/>
      <w:marBottom w:val="0"/>
      <w:divBdr>
        <w:top w:val="none" w:sz="0" w:space="0" w:color="auto"/>
        <w:left w:val="none" w:sz="0" w:space="0" w:color="auto"/>
        <w:bottom w:val="none" w:sz="0" w:space="0" w:color="auto"/>
        <w:right w:val="none" w:sz="0" w:space="0" w:color="auto"/>
      </w:divBdr>
    </w:div>
    <w:div w:id="1300040681">
      <w:bodyDiv w:val="1"/>
      <w:marLeft w:val="0"/>
      <w:marRight w:val="0"/>
      <w:marTop w:val="0"/>
      <w:marBottom w:val="0"/>
      <w:divBdr>
        <w:top w:val="none" w:sz="0" w:space="0" w:color="auto"/>
        <w:left w:val="none" w:sz="0" w:space="0" w:color="auto"/>
        <w:bottom w:val="none" w:sz="0" w:space="0" w:color="auto"/>
        <w:right w:val="none" w:sz="0" w:space="0" w:color="auto"/>
      </w:divBdr>
    </w:div>
    <w:div w:id="1390225162">
      <w:bodyDiv w:val="1"/>
      <w:marLeft w:val="0"/>
      <w:marRight w:val="0"/>
      <w:marTop w:val="0"/>
      <w:marBottom w:val="0"/>
      <w:divBdr>
        <w:top w:val="none" w:sz="0" w:space="0" w:color="auto"/>
        <w:left w:val="none" w:sz="0" w:space="0" w:color="auto"/>
        <w:bottom w:val="none" w:sz="0" w:space="0" w:color="auto"/>
        <w:right w:val="none" w:sz="0" w:space="0" w:color="auto"/>
      </w:divBdr>
    </w:div>
    <w:div w:id="1398433324">
      <w:bodyDiv w:val="1"/>
      <w:marLeft w:val="0"/>
      <w:marRight w:val="0"/>
      <w:marTop w:val="0"/>
      <w:marBottom w:val="0"/>
      <w:divBdr>
        <w:top w:val="none" w:sz="0" w:space="0" w:color="auto"/>
        <w:left w:val="none" w:sz="0" w:space="0" w:color="auto"/>
        <w:bottom w:val="none" w:sz="0" w:space="0" w:color="auto"/>
        <w:right w:val="none" w:sz="0" w:space="0" w:color="auto"/>
      </w:divBdr>
    </w:div>
    <w:div w:id="1398938252">
      <w:bodyDiv w:val="1"/>
      <w:marLeft w:val="0"/>
      <w:marRight w:val="0"/>
      <w:marTop w:val="0"/>
      <w:marBottom w:val="0"/>
      <w:divBdr>
        <w:top w:val="none" w:sz="0" w:space="0" w:color="auto"/>
        <w:left w:val="none" w:sz="0" w:space="0" w:color="auto"/>
        <w:bottom w:val="none" w:sz="0" w:space="0" w:color="auto"/>
        <w:right w:val="none" w:sz="0" w:space="0" w:color="auto"/>
      </w:divBdr>
    </w:div>
    <w:div w:id="1453863406">
      <w:bodyDiv w:val="1"/>
      <w:marLeft w:val="0"/>
      <w:marRight w:val="0"/>
      <w:marTop w:val="0"/>
      <w:marBottom w:val="0"/>
      <w:divBdr>
        <w:top w:val="none" w:sz="0" w:space="0" w:color="auto"/>
        <w:left w:val="none" w:sz="0" w:space="0" w:color="auto"/>
        <w:bottom w:val="none" w:sz="0" w:space="0" w:color="auto"/>
        <w:right w:val="none" w:sz="0" w:space="0" w:color="auto"/>
      </w:divBdr>
    </w:div>
    <w:div w:id="1477456999">
      <w:bodyDiv w:val="1"/>
      <w:marLeft w:val="0"/>
      <w:marRight w:val="0"/>
      <w:marTop w:val="0"/>
      <w:marBottom w:val="0"/>
      <w:divBdr>
        <w:top w:val="none" w:sz="0" w:space="0" w:color="auto"/>
        <w:left w:val="none" w:sz="0" w:space="0" w:color="auto"/>
        <w:bottom w:val="none" w:sz="0" w:space="0" w:color="auto"/>
        <w:right w:val="none" w:sz="0" w:space="0" w:color="auto"/>
      </w:divBdr>
    </w:div>
    <w:div w:id="1501969054">
      <w:bodyDiv w:val="1"/>
      <w:marLeft w:val="0"/>
      <w:marRight w:val="0"/>
      <w:marTop w:val="0"/>
      <w:marBottom w:val="0"/>
      <w:divBdr>
        <w:top w:val="none" w:sz="0" w:space="0" w:color="auto"/>
        <w:left w:val="none" w:sz="0" w:space="0" w:color="auto"/>
        <w:bottom w:val="none" w:sz="0" w:space="0" w:color="auto"/>
        <w:right w:val="none" w:sz="0" w:space="0" w:color="auto"/>
      </w:divBdr>
      <w:divsChild>
        <w:div w:id="1631016515">
          <w:marLeft w:val="0"/>
          <w:marRight w:val="0"/>
          <w:marTop w:val="0"/>
          <w:marBottom w:val="0"/>
          <w:divBdr>
            <w:top w:val="none" w:sz="0" w:space="0" w:color="auto"/>
            <w:left w:val="none" w:sz="0" w:space="0" w:color="auto"/>
            <w:bottom w:val="none" w:sz="0" w:space="0" w:color="auto"/>
            <w:right w:val="none" w:sz="0" w:space="0" w:color="auto"/>
          </w:divBdr>
          <w:divsChild>
            <w:div w:id="147290380">
              <w:marLeft w:val="0"/>
              <w:marRight w:val="0"/>
              <w:marTop w:val="0"/>
              <w:marBottom w:val="0"/>
              <w:divBdr>
                <w:top w:val="none" w:sz="0" w:space="0" w:color="auto"/>
                <w:left w:val="none" w:sz="0" w:space="0" w:color="auto"/>
                <w:bottom w:val="none" w:sz="0" w:space="0" w:color="auto"/>
                <w:right w:val="none" w:sz="0" w:space="0" w:color="auto"/>
              </w:divBdr>
            </w:div>
          </w:divsChild>
        </w:div>
        <w:div w:id="855580200">
          <w:marLeft w:val="0"/>
          <w:marRight w:val="0"/>
          <w:marTop w:val="0"/>
          <w:marBottom w:val="0"/>
          <w:divBdr>
            <w:top w:val="none" w:sz="0" w:space="0" w:color="auto"/>
            <w:left w:val="none" w:sz="0" w:space="0" w:color="auto"/>
            <w:bottom w:val="none" w:sz="0" w:space="0" w:color="auto"/>
            <w:right w:val="none" w:sz="0" w:space="0" w:color="auto"/>
          </w:divBdr>
          <w:divsChild>
            <w:div w:id="467169813">
              <w:marLeft w:val="0"/>
              <w:marRight w:val="0"/>
              <w:marTop w:val="0"/>
              <w:marBottom w:val="0"/>
              <w:divBdr>
                <w:top w:val="none" w:sz="0" w:space="0" w:color="auto"/>
                <w:left w:val="none" w:sz="0" w:space="0" w:color="auto"/>
                <w:bottom w:val="none" w:sz="0" w:space="0" w:color="auto"/>
                <w:right w:val="none" w:sz="0" w:space="0" w:color="auto"/>
              </w:divBdr>
            </w:div>
          </w:divsChild>
        </w:div>
        <w:div w:id="1986354589">
          <w:marLeft w:val="0"/>
          <w:marRight w:val="0"/>
          <w:marTop w:val="0"/>
          <w:marBottom w:val="0"/>
          <w:divBdr>
            <w:top w:val="none" w:sz="0" w:space="0" w:color="auto"/>
            <w:left w:val="none" w:sz="0" w:space="0" w:color="auto"/>
            <w:bottom w:val="none" w:sz="0" w:space="0" w:color="auto"/>
            <w:right w:val="none" w:sz="0" w:space="0" w:color="auto"/>
          </w:divBdr>
          <w:divsChild>
            <w:div w:id="1059209327">
              <w:marLeft w:val="0"/>
              <w:marRight w:val="0"/>
              <w:marTop w:val="0"/>
              <w:marBottom w:val="0"/>
              <w:divBdr>
                <w:top w:val="none" w:sz="0" w:space="0" w:color="auto"/>
                <w:left w:val="none" w:sz="0" w:space="0" w:color="auto"/>
                <w:bottom w:val="none" w:sz="0" w:space="0" w:color="auto"/>
                <w:right w:val="none" w:sz="0" w:space="0" w:color="auto"/>
              </w:divBdr>
            </w:div>
          </w:divsChild>
        </w:div>
        <w:div w:id="1355113043">
          <w:marLeft w:val="0"/>
          <w:marRight w:val="0"/>
          <w:marTop w:val="0"/>
          <w:marBottom w:val="0"/>
          <w:divBdr>
            <w:top w:val="none" w:sz="0" w:space="0" w:color="auto"/>
            <w:left w:val="none" w:sz="0" w:space="0" w:color="auto"/>
            <w:bottom w:val="none" w:sz="0" w:space="0" w:color="auto"/>
            <w:right w:val="none" w:sz="0" w:space="0" w:color="auto"/>
          </w:divBdr>
          <w:divsChild>
            <w:div w:id="23136612">
              <w:marLeft w:val="0"/>
              <w:marRight w:val="0"/>
              <w:marTop w:val="0"/>
              <w:marBottom w:val="0"/>
              <w:divBdr>
                <w:top w:val="none" w:sz="0" w:space="0" w:color="auto"/>
                <w:left w:val="none" w:sz="0" w:space="0" w:color="auto"/>
                <w:bottom w:val="none" w:sz="0" w:space="0" w:color="auto"/>
                <w:right w:val="none" w:sz="0" w:space="0" w:color="auto"/>
              </w:divBdr>
            </w:div>
          </w:divsChild>
        </w:div>
        <w:div w:id="6753088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54737314">
      <w:bodyDiv w:val="1"/>
      <w:marLeft w:val="0"/>
      <w:marRight w:val="0"/>
      <w:marTop w:val="0"/>
      <w:marBottom w:val="0"/>
      <w:divBdr>
        <w:top w:val="none" w:sz="0" w:space="0" w:color="auto"/>
        <w:left w:val="none" w:sz="0" w:space="0" w:color="auto"/>
        <w:bottom w:val="none" w:sz="0" w:space="0" w:color="auto"/>
        <w:right w:val="none" w:sz="0" w:space="0" w:color="auto"/>
      </w:divBdr>
    </w:div>
    <w:div w:id="1633056573">
      <w:bodyDiv w:val="1"/>
      <w:marLeft w:val="0"/>
      <w:marRight w:val="0"/>
      <w:marTop w:val="0"/>
      <w:marBottom w:val="0"/>
      <w:divBdr>
        <w:top w:val="none" w:sz="0" w:space="0" w:color="auto"/>
        <w:left w:val="none" w:sz="0" w:space="0" w:color="auto"/>
        <w:bottom w:val="none" w:sz="0" w:space="0" w:color="auto"/>
        <w:right w:val="none" w:sz="0" w:space="0" w:color="auto"/>
      </w:divBdr>
    </w:div>
    <w:div w:id="1662268953">
      <w:bodyDiv w:val="1"/>
      <w:marLeft w:val="0"/>
      <w:marRight w:val="0"/>
      <w:marTop w:val="0"/>
      <w:marBottom w:val="0"/>
      <w:divBdr>
        <w:top w:val="none" w:sz="0" w:space="0" w:color="auto"/>
        <w:left w:val="none" w:sz="0" w:space="0" w:color="auto"/>
        <w:bottom w:val="none" w:sz="0" w:space="0" w:color="auto"/>
        <w:right w:val="none" w:sz="0" w:space="0" w:color="auto"/>
      </w:divBdr>
    </w:div>
    <w:div w:id="1668708776">
      <w:bodyDiv w:val="1"/>
      <w:marLeft w:val="0"/>
      <w:marRight w:val="0"/>
      <w:marTop w:val="0"/>
      <w:marBottom w:val="0"/>
      <w:divBdr>
        <w:top w:val="none" w:sz="0" w:space="0" w:color="auto"/>
        <w:left w:val="none" w:sz="0" w:space="0" w:color="auto"/>
        <w:bottom w:val="none" w:sz="0" w:space="0" w:color="auto"/>
        <w:right w:val="none" w:sz="0" w:space="0" w:color="auto"/>
      </w:divBdr>
    </w:div>
    <w:div w:id="1691835133">
      <w:bodyDiv w:val="1"/>
      <w:marLeft w:val="0"/>
      <w:marRight w:val="0"/>
      <w:marTop w:val="0"/>
      <w:marBottom w:val="0"/>
      <w:divBdr>
        <w:top w:val="none" w:sz="0" w:space="0" w:color="auto"/>
        <w:left w:val="none" w:sz="0" w:space="0" w:color="auto"/>
        <w:bottom w:val="none" w:sz="0" w:space="0" w:color="auto"/>
        <w:right w:val="none" w:sz="0" w:space="0" w:color="auto"/>
      </w:divBdr>
      <w:divsChild>
        <w:div w:id="197282243">
          <w:marLeft w:val="0"/>
          <w:marRight w:val="0"/>
          <w:marTop w:val="0"/>
          <w:marBottom w:val="0"/>
          <w:divBdr>
            <w:top w:val="none" w:sz="0" w:space="0" w:color="auto"/>
            <w:left w:val="none" w:sz="0" w:space="0" w:color="auto"/>
            <w:bottom w:val="none" w:sz="0" w:space="0" w:color="auto"/>
            <w:right w:val="none" w:sz="0" w:space="0" w:color="auto"/>
          </w:divBdr>
          <w:divsChild>
            <w:div w:id="1305500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5856033">
      <w:bodyDiv w:val="1"/>
      <w:marLeft w:val="0"/>
      <w:marRight w:val="0"/>
      <w:marTop w:val="0"/>
      <w:marBottom w:val="0"/>
      <w:divBdr>
        <w:top w:val="none" w:sz="0" w:space="0" w:color="auto"/>
        <w:left w:val="none" w:sz="0" w:space="0" w:color="auto"/>
        <w:bottom w:val="none" w:sz="0" w:space="0" w:color="auto"/>
        <w:right w:val="none" w:sz="0" w:space="0" w:color="auto"/>
      </w:divBdr>
    </w:div>
    <w:div w:id="1746683217">
      <w:bodyDiv w:val="1"/>
      <w:marLeft w:val="0"/>
      <w:marRight w:val="0"/>
      <w:marTop w:val="0"/>
      <w:marBottom w:val="0"/>
      <w:divBdr>
        <w:top w:val="none" w:sz="0" w:space="0" w:color="auto"/>
        <w:left w:val="none" w:sz="0" w:space="0" w:color="auto"/>
        <w:bottom w:val="none" w:sz="0" w:space="0" w:color="auto"/>
        <w:right w:val="none" w:sz="0" w:space="0" w:color="auto"/>
      </w:divBdr>
    </w:div>
    <w:div w:id="1767725331">
      <w:bodyDiv w:val="1"/>
      <w:marLeft w:val="0"/>
      <w:marRight w:val="0"/>
      <w:marTop w:val="0"/>
      <w:marBottom w:val="0"/>
      <w:divBdr>
        <w:top w:val="none" w:sz="0" w:space="0" w:color="auto"/>
        <w:left w:val="none" w:sz="0" w:space="0" w:color="auto"/>
        <w:bottom w:val="none" w:sz="0" w:space="0" w:color="auto"/>
        <w:right w:val="none" w:sz="0" w:space="0" w:color="auto"/>
      </w:divBdr>
    </w:div>
    <w:div w:id="1798989275">
      <w:bodyDiv w:val="1"/>
      <w:marLeft w:val="0"/>
      <w:marRight w:val="0"/>
      <w:marTop w:val="0"/>
      <w:marBottom w:val="0"/>
      <w:divBdr>
        <w:top w:val="none" w:sz="0" w:space="0" w:color="auto"/>
        <w:left w:val="none" w:sz="0" w:space="0" w:color="auto"/>
        <w:bottom w:val="none" w:sz="0" w:space="0" w:color="auto"/>
        <w:right w:val="none" w:sz="0" w:space="0" w:color="auto"/>
      </w:divBdr>
    </w:div>
    <w:div w:id="1805418098">
      <w:bodyDiv w:val="1"/>
      <w:marLeft w:val="0"/>
      <w:marRight w:val="0"/>
      <w:marTop w:val="0"/>
      <w:marBottom w:val="0"/>
      <w:divBdr>
        <w:top w:val="none" w:sz="0" w:space="0" w:color="auto"/>
        <w:left w:val="none" w:sz="0" w:space="0" w:color="auto"/>
        <w:bottom w:val="none" w:sz="0" w:space="0" w:color="auto"/>
        <w:right w:val="none" w:sz="0" w:space="0" w:color="auto"/>
      </w:divBdr>
    </w:div>
    <w:div w:id="1834297930">
      <w:bodyDiv w:val="1"/>
      <w:marLeft w:val="0"/>
      <w:marRight w:val="0"/>
      <w:marTop w:val="0"/>
      <w:marBottom w:val="0"/>
      <w:divBdr>
        <w:top w:val="none" w:sz="0" w:space="0" w:color="auto"/>
        <w:left w:val="none" w:sz="0" w:space="0" w:color="auto"/>
        <w:bottom w:val="none" w:sz="0" w:space="0" w:color="auto"/>
        <w:right w:val="none" w:sz="0" w:space="0" w:color="auto"/>
      </w:divBdr>
    </w:div>
    <w:div w:id="1923105123">
      <w:bodyDiv w:val="1"/>
      <w:marLeft w:val="0"/>
      <w:marRight w:val="0"/>
      <w:marTop w:val="0"/>
      <w:marBottom w:val="0"/>
      <w:divBdr>
        <w:top w:val="none" w:sz="0" w:space="0" w:color="auto"/>
        <w:left w:val="none" w:sz="0" w:space="0" w:color="auto"/>
        <w:bottom w:val="none" w:sz="0" w:space="0" w:color="auto"/>
        <w:right w:val="none" w:sz="0" w:space="0" w:color="auto"/>
      </w:divBdr>
    </w:div>
    <w:div w:id="1938708268">
      <w:bodyDiv w:val="1"/>
      <w:marLeft w:val="0"/>
      <w:marRight w:val="0"/>
      <w:marTop w:val="0"/>
      <w:marBottom w:val="0"/>
      <w:divBdr>
        <w:top w:val="none" w:sz="0" w:space="0" w:color="auto"/>
        <w:left w:val="none" w:sz="0" w:space="0" w:color="auto"/>
        <w:bottom w:val="none" w:sz="0" w:space="0" w:color="auto"/>
        <w:right w:val="none" w:sz="0" w:space="0" w:color="auto"/>
      </w:divBdr>
    </w:div>
    <w:div w:id="1980108906">
      <w:bodyDiv w:val="1"/>
      <w:marLeft w:val="0"/>
      <w:marRight w:val="0"/>
      <w:marTop w:val="0"/>
      <w:marBottom w:val="0"/>
      <w:divBdr>
        <w:top w:val="none" w:sz="0" w:space="0" w:color="auto"/>
        <w:left w:val="none" w:sz="0" w:space="0" w:color="auto"/>
        <w:bottom w:val="none" w:sz="0" w:space="0" w:color="auto"/>
        <w:right w:val="none" w:sz="0" w:space="0" w:color="auto"/>
      </w:divBdr>
    </w:div>
    <w:div w:id="1993754389">
      <w:bodyDiv w:val="1"/>
      <w:marLeft w:val="0"/>
      <w:marRight w:val="0"/>
      <w:marTop w:val="0"/>
      <w:marBottom w:val="0"/>
      <w:divBdr>
        <w:top w:val="none" w:sz="0" w:space="0" w:color="auto"/>
        <w:left w:val="none" w:sz="0" w:space="0" w:color="auto"/>
        <w:bottom w:val="none" w:sz="0" w:space="0" w:color="auto"/>
        <w:right w:val="none" w:sz="0" w:space="0" w:color="auto"/>
      </w:divBdr>
      <w:divsChild>
        <w:div w:id="487944434">
          <w:marLeft w:val="0"/>
          <w:marRight w:val="0"/>
          <w:marTop w:val="0"/>
          <w:marBottom w:val="0"/>
          <w:divBdr>
            <w:top w:val="none" w:sz="0" w:space="0" w:color="auto"/>
            <w:left w:val="none" w:sz="0" w:space="0" w:color="auto"/>
            <w:bottom w:val="none" w:sz="0" w:space="0" w:color="auto"/>
            <w:right w:val="none" w:sz="0" w:space="0" w:color="auto"/>
          </w:divBdr>
          <w:divsChild>
            <w:div w:id="782187578">
              <w:marLeft w:val="0"/>
              <w:marRight w:val="0"/>
              <w:marTop w:val="0"/>
              <w:marBottom w:val="0"/>
              <w:divBdr>
                <w:top w:val="none" w:sz="0" w:space="0" w:color="auto"/>
                <w:left w:val="none" w:sz="0" w:space="0" w:color="auto"/>
                <w:bottom w:val="none" w:sz="0" w:space="0" w:color="auto"/>
                <w:right w:val="none" w:sz="0" w:space="0" w:color="auto"/>
              </w:divBdr>
            </w:div>
          </w:divsChild>
        </w:div>
        <w:div w:id="5931330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00183233">
      <w:bodyDiv w:val="1"/>
      <w:marLeft w:val="0"/>
      <w:marRight w:val="0"/>
      <w:marTop w:val="0"/>
      <w:marBottom w:val="0"/>
      <w:divBdr>
        <w:top w:val="none" w:sz="0" w:space="0" w:color="auto"/>
        <w:left w:val="none" w:sz="0" w:space="0" w:color="auto"/>
        <w:bottom w:val="none" w:sz="0" w:space="0" w:color="auto"/>
        <w:right w:val="none" w:sz="0" w:space="0" w:color="auto"/>
      </w:divBdr>
    </w:div>
    <w:div w:id="2000619577">
      <w:bodyDiv w:val="1"/>
      <w:marLeft w:val="0"/>
      <w:marRight w:val="0"/>
      <w:marTop w:val="0"/>
      <w:marBottom w:val="0"/>
      <w:divBdr>
        <w:top w:val="none" w:sz="0" w:space="0" w:color="auto"/>
        <w:left w:val="none" w:sz="0" w:space="0" w:color="auto"/>
        <w:bottom w:val="none" w:sz="0" w:space="0" w:color="auto"/>
        <w:right w:val="none" w:sz="0" w:space="0" w:color="auto"/>
      </w:divBdr>
    </w:div>
    <w:div w:id="2043674673">
      <w:bodyDiv w:val="1"/>
      <w:marLeft w:val="0"/>
      <w:marRight w:val="0"/>
      <w:marTop w:val="0"/>
      <w:marBottom w:val="0"/>
      <w:divBdr>
        <w:top w:val="none" w:sz="0" w:space="0" w:color="auto"/>
        <w:left w:val="none" w:sz="0" w:space="0" w:color="auto"/>
        <w:bottom w:val="none" w:sz="0" w:space="0" w:color="auto"/>
        <w:right w:val="none" w:sz="0" w:space="0" w:color="auto"/>
      </w:divBdr>
    </w:div>
    <w:div w:id="2046057705">
      <w:bodyDiv w:val="1"/>
      <w:marLeft w:val="0"/>
      <w:marRight w:val="0"/>
      <w:marTop w:val="0"/>
      <w:marBottom w:val="0"/>
      <w:divBdr>
        <w:top w:val="none" w:sz="0" w:space="0" w:color="auto"/>
        <w:left w:val="none" w:sz="0" w:space="0" w:color="auto"/>
        <w:bottom w:val="none" w:sz="0" w:space="0" w:color="auto"/>
        <w:right w:val="none" w:sz="0" w:space="0" w:color="auto"/>
      </w:divBdr>
    </w:div>
    <w:div w:id="2050566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9040/ijebar.v5i4.3830" TargetMode="External"/><Relationship Id="rId18" Type="http://schemas.openxmlformats.org/officeDocument/2006/relationships/hyperlink" Target="https://doi.org/10.21203/rs.3.rs-7142269/v1" TargetMode="External"/><Relationship Id="rId26" Type="http://schemas.openxmlformats.org/officeDocument/2006/relationships/hyperlink" Target="https://doi.org/10.35808/ijeba/811" TargetMode="External"/><Relationship Id="rId39" Type="http://schemas.openxmlformats.org/officeDocument/2006/relationships/hyperlink" Target="https://doi.org/10.13107/jcorth.2024.v09i01.618" TargetMode="External"/><Relationship Id="rId21" Type="http://schemas.openxmlformats.org/officeDocument/2006/relationships/hyperlink" Target="https://doi.org/10.1787/2f4a4c20-en" TargetMode="External"/><Relationship Id="rId34" Type="http://schemas.openxmlformats.org/officeDocument/2006/relationships/hyperlink" Target="https://doi.org/10.20525/ijrbs.v10i3.1116" TargetMode="External"/><Relationship Id="rId42" Type="http://schemas.openxmlformats.org/officeDocument/2006/relationships/hyperlink" Target="https://doi.org/10.1111/eufm.12341" TargetMode="External"/><Relationship Id="rId47" Type="http://schemas.openxmlformats.org/officeDocument/2006/relationships/hyperlink" Target="https://doi.org/10.38035/rrj.v5i4.787" TargetMode="External"/><Relationship Id="rId50" Type="http://schemas.openxmlformats.org/officeDocument/2006/relationships/hyperlink" Target="https://doi.org/10.1108/mf-01-2021-0040" TargetMode="External"/><Relationship Id="rId55" Type="http://schemas.openxmlformats.org/officeDocument/2006/relationships/hyperlink" Target="https://doi.org/10.52970/grmilf.v4i2.397" TargetMode="External"/><Relationship Id="rId63" Type="http://schemas.openxmlformats.org/officeDocument/2006/relationships/hyperlink" Target="https://doi.org/10.32996/jbms.2025.7.1.1" TargetMode="External"/><Relationship Id="rId68" Type="http://schemas.openxmlformats.org/officeDocument/2006/relationships/hyperlink" Target="https://doi.org/10.33223/epj/163506" TargetMode="External"/><Relationship Id="rId76" Type="http://schemas.openxmlformats.org/officeDocument/2006/relationships/hyperlink" Target="https://doi.org/10.69930/jsi.v2i2.334" TargetMode="External"/><Relationship Id="rId7" Type="http://schemas.openxmlformats.org/officeDocument/2006/relationships/endnotes" Target="endnotes.xml"/><Relationship Id="rId71" Type="http://schemas.openxmlformats.org/officeDocument/2006/relationships/hyperlink" Target="https://doi.org/10.25124/jmi.v20i2.3198" TargetMode="External"/><Relationship Id="rId2" Type="http://schemas.openxmlformats.org/officeDocument/2006/relationships/numbering" Target="numbering.xml"/><Relationship Id="rId16" Type="http://schemas.openxmlformats.org/officeDocument/2006/relationships/hyperlink" Target="https://doi.org/10.35609/jfbr.2024.9.2(1)" TargetMode="External"/><Relationship Id="rId29" Type="http://schemas.openxmlformats.org/officeDocument/2006/relationships/hyperlink" Target="https://doi.org/10.1007/s11156-024-01290-4" TargetMode="External"/><Relationship Id="rId11" Type="http://schemas.openxmlformats.org/officeDocument/2006/relationships/hyperlink" Target="https://doi.org/10.33558/maslahah.v13i1.4456" TargetMode="External"/><Relationship Id="rId24" Type="http://schemas.openxmlformats.org/officeDocument/2006/relationships/hyperlink" Target="https://doi.org/10.54660/.ijfmr.2020.1.2.121-130" TargetMode="External"/><Relationship Id="rId32" Type="http://schemas.openxmlformats.org/officeDocument/2006/relationships/hyperlink" Target="https://doi.org/10.9744/jak.22.1.30-36" TargetMode="External"/><Relationship Id="rId37" Type="http://schemas.openxmlformats.org/officeDocument/2006/relationships/hyperlink" Target="https://doi.org/10.59841/excellence.v3i1.2378" TargetMode="External"/><Relationship Id="rId40" Type="http://schemas.openxmlformats.org/officeDocument/2006/relationships/hyperlink" Target="https://doi.org/10.1111/jifm.12135" TargetMode="External"/><Relationship Id="rId45" Type="http://schemas.openxmlformats.org/officeDocument/2006/relationships/hyperlink" Target="https://doi.org/10.3390/su152215693" TargetMode="External"/><Relationship Id="rId53" Type="http://schemas.openxmlformats.org/officeDocument/2006/relationships/hyperlink" Target="https://doi.org/10.54099/ijmba.v2i1.520" TargetMode="External"/><Relationship Id="rId58" Type="http://schemas.openxmlformats.org/officeDocument/2006/relationships/hyperlink" Target="https://doi.org/10.21834/ebpj.v6i17.2878" TargetMode="External"/><Relationship Id="rId66" Type="http://schemas.openxmlformats.org/officeDocument/2006/relationships/hyperlink" Target="https://doi.org/10.1111/jfir.12411" TargetMode="External"/><Relationship Id="rId74" Type="http://schemas.openxmlformats.org/officeDocument/2006/relationships/hyperlink" Target="https://doi.org/10.3390/su14148737" TargetMode="External"/><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doi.org/10.12821/ijispm040301" TargetMode="External"/><Relationship Id="rId10" Type="http://schemas.openxmlformats.org/officeDocument/2006/relationships/hyperlink" Target="https://doi.org/10.1108/jmb-08-2021-0032" TargetMode="External"/><Relationship Id="rId19" Type="http://schemas.openxmlformats.org/officeDocument/2006/relationships/hyperlink" Target="https://doi.org/10.53819/81018102t2046" TargetMode="External"/><Relationship Id="rId31" Type="http://schemas.openxmlformats.org/officeDocument/2006/relationships/hyperlink" Target="https://doi.org/10.1108/jfep-06-2019-0113" TargetMode="External"/><Relationship Id="rId44" Type="http://schemas.openxmlformats.org/officeDocument/2006/relationships/hyperlink" Target="https://doi.org/10.52644/joeb.v13i1.1493" TargetMode="External"/><Relationship Id="rId52" Type="http://schemas.openxmlformats.org/officeDocument/2006/relationships/hyperlink" Target="https://doi.org/10.59188/eduvest.v3i7.847" TargetMode="External"/><Relationship Id="rId60" Type="http://schemas.openxmlformats.org/officeDocument/2006/relationships/hyperlink" Target="https://doi.org/10.31538/mjifm.v5i1.369" TargetMode="External"/><Relationship Id="rId65" Type="http://schemas.openxmlformats.org/officeDocument/2006/relationships/hyperlink" Target="https://doi.org/10.14416/j.bid.2024.08.007" TargetMode="External"/><Relationship Id="rId73" Type="http://schemas.openxmlformats.org/officeDocument/2006/relationships/hyperlink" Target="https://doi.org/10.3390/su15129418" TargetMode="External"/><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51594/gjabr.v3i1.71" TargetMode="External"/><Relationship Id="rId14" Type="http://schemas.openxmlformats.org/officeDocument/2006/relationships/hyperlink" Target="https://doi.org/10.70072/rangkiang.v2i2.35" TargetMode="External"/><Relationship Id="rId22" Type="http://schemas.openxmlformats.org/officeDocument/2006/relationships/hyperlink" Target="https://doi.org/10.29040/ijebar.v8i4.15377" TargetMode="External"/><Relationship Id="rId27" Type="http://schemas.openxmlformats.org/officeDocument/2006/relationships/hyperlink" Target="https://doi.org/10.53486/sstc2025.v1.56" TargetMode="External"/><Relationship Id="rId30" Type="http://schemas.openxmlformats.org/officeDocument/2006/relationships/hyperlink" Target="https://doi.org/10.47747/ijfr.v5i1.1621" TargetMode="External"/><Relationship Id="rId35" Type="http://schemas.openxmlformats.org/officeDocument/2006/relationships/hyperlink" Target="https://doi.org/10.52644/joeb.v9i1.40" TargetMode="External"/><Relationship Id="rId43" Type="http://schemas.openxmlformats.org/officeDocument/2006/relationships/hyperlink" Target="https://doi.org/10.1142/s1094406024500100" TargetMode="External"/><Relationship Id="rId48" Type="http://schemas.openxmlformats.org/officeDocument/2006/relationships/hyperlink" Target="https://doi.org/10.9734/ajeba/2024/v24i111575" TargetMode="External"/><Relationship Id="rId56" Type="http://schemas.openxmlformats.org/officeDocument/2006/relationships/hyperlink" Target="https://doi.org/10.56238/levv15n40-024" TargetMode="External"/><Relationship Id="rId64" Type="http://schemas.openxmlformats.org/officeDocument/2006/relationships/hyperlink" Target="https://doi.org/10.2991/978-2-494069-31-2_117" TargetMode="External"/><Relationship Id="rId69" Type="http://schemas.openxmlformats.org/officeDocument/2006/relationships/hyperlink" Target="https://doi.org/10.1108/mf-12-2022-0606" TargetMode="External"/><Relationship Id="rId77"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doi.org/10.52783/jier.v5i2.3039" TargetMode="External"/><Relationship Id="rId72" Type="http://schemas.openxmlformats.org/officeDocument/2006/relationships/hyperlink" Target="https://doi.org/10.24018/ejbmr.2024.9.4.2386" TargetMode="External"/><Relationship Id="rId3" Type="http://schemas.openxmlformats.org/officeDocument/2006/relationships/styles" Target="styles.xml"/><Relationship Id="rId12" Type="http://schemas.openxmlformats.org/officeDocument/2006/relationships/hyperlink" Target="https://doi.org/10.37745/ijbmr.2013/vol12n22844" TargetMode="External"/><Relationship Id="rId17" Type="http://schemas.openxmlformats.org/officeDocument/2006/relationships/hyperlink" Target="https://doi.org/10.51244/ijrsi.2025.120500106" TargetMode="External"/><Relationship Id="rId25" Type="http://schemas.openxmlformats.org/officeDocument/2006/relationships/hyperlink" Target="https://doi.org/10.47191/jefms/v7-i5-61" TargetMode="External"/><Relationship Id="rId33" Type="http://schemas.openxmlformats.org/officeDocument/2006/relationships/hyperlink" Target="https://doi.org/10.1002/sd.3198" TargetMode="External"/><Relationship Id="rId38" Type="http://schemas.openxmlformats.org/officeDocument/2006/relationships/hyperlink" Target="https://doi.org/10.1111/beer.12481" TargetMode="External"/><Relationship Id="rId46" Type="http://schemas.openxmlformats.org/officeDocument/2006/relationships/hyperlink" Target="https://doi.org/10.1108/jiabr-09-2021-0268" TargetMode="External"/><Relationship Id="rId59" Type="http://schemas.openxmlformats.org/officeDocument/2006/relationships/hyperlink" Target="https://doi.org/10.1177/09763996211018538" TargetMode="External"/><Relationship Id="rId67" Type="http://schemas.openxmlformats.org/officeDocument/2006/relationships/hyperlink" Target="https://doi.org/10.58229/jims.v2i1.178" TargetMode="External"/><Relationship Id="rId20" Type="http://schemas.openxmlformats.org/officeDocument/2006/relationships/hyperlink" Target="https://doi.org/10.53819/81018102t5196" TargetMode="External"/><Relationship Id="rId41" Type="http://schemas.openxmlformats.org/officeDocument/2006/relationships/hyperlink" Target="https://doi.org/10.1002/jid.3746" TargetMode="External"/><Relationship Id="rId54" Type="http://schemas.openxmlformats.org/officeDocument/2006/relationships/hyperlink" Target="https://doi.org/10.1108/ijmf-12-2023-0617" TargetMode="External"/><Relationship Id="rId62" Type="http://schemas.openxmlformats.org/officeDocument/2006/relationships/hyperlink" Target="https://doi.org/10.56127/jekma.v4i2.2102" TargetMode="External"/><Relationship Id="rId70" Type="http://schemas.openxmlformats.org/officeDocument/2006/relationships/hyperlink" Target="https://doi.org/10.70864/joae.2025.v13.i7(1).pp399-406" TargetMode="External"/><Relationship Id="rId75" Type="http://schemas.openxmlformats.org/officeDocument/2006/relationships/hyperlink" Target="https://doi.org/10.1108/mf-09-2023-0582"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31107/2075-1990-2021-1-107-124" TargetMode="External"/><Relationship Id="rId23" Type="http://schemas.openxmlformats.org/officeDocument/2006/relationships/hyperlink" Target="https://doi.org/10.18196/jesp.v23i2.15562" TargetMode="External"/><Relationship Id="rId28" Type="http://schemas.openxmlformats.org/officeDocument/2006/relationships/hyperlink" Target="https://doi.org/10.36962/pahtei49022025-476" TargetMode="External"/><Relationship Id="rId36" Type="http://schemas.openxmlformats.org/officeDocument/2006/relationships/hyperlink" Target="https://doi.org/10.1111/1467-8551.12428" TargetMode="External"/><Relationship Id="rId49" Type="http://schemas.openxmlformats.org/officeDocument/2006/relationships/hyperlink" Target="https://doi.org/10.5296/iss.v8i2.18034" TargetMode="External"/><Relationship Id="rId57" Type="http://schemas.openxmlformats.org/officeDocument/2006/relationships/hyperlink" Target="https://doi.org/10.31000/dmj.v8i4.127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9E97EE-7222-4CAF-8870-09344BB315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39</Pages>
  <Words>11150</Words>
  <Characters>63557</Characters>
  <Application>Microsoft Office Word</Application>
  <DocSecurity>0</DocSecurity>
  <Lines>529</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2</cp:revision>
  <cp:lastPrinted>2025-12-21T19:16:00Z</cp:lastPrinted>
  <dcterms:created xsi:type="dcterms:W3CDTF">2025-12-21T22:05:00Z</dcterms:created>
  <dcterms:modified xsi:type="dcterms:W3CDTF">2025-12-21T22:05:00Z</dcterms:modified>
</cp:coreProperties>
</file>