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F5CCC" w14:textId="09A09505" w:rsidR="00B40F78" w:rsidRPr="00B42029" w:rsidRDefault="00B40F78" w:rsidP="00B40F78">
      <w:pPr>
        <w:spacing w:line="360" w:lineRule="auto"/>
        <w:jc w:val="center"/>
        <w:rPr>
          <w:b/>
          <w:bCs/>
          <w:sz w:val="32"/>
          <w:szCs w:val="32"/>
        </w:rPr>
      </w:pPr>
      <w:r w:rsidRPr="00B42029">
        <w:rPr>
          <w:b/>
          <w:bCs/>
          <w:noProof/>
          <w:sz w:val="32"/>
          <w:szCs w:val="32"/>
        </w:rPr>
        <w:drawing>
          <wp:inline distT="0" distB="0" distL="0" distR="0" wp14:anchorId="708197D0" wp14:editId="36A9ECD7">
            <wp:extent cx="2987299" cy="1104996"/>
            <wp:effectExtent l="0" t="0" r="3810" b="0"/>
            <wp:docPr id="1971913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13468" name=""/>
                    <pic:cNvPicPr/>
                  </pic:nvPicPr>
                  <pic:blipFill>
                    <a:blip r:embed="rId7"/>
                    <a:stretch>
                      <a:fillRect/>
                    </a:stretch>
                  </pic:blipFill>
                  <pic:spPr>
                    <a:xfrm>
                      <a:off x="0" y="0"/>
                      <a:ext cx="2987299" cy="1104996"/>
                    </a:xfrm>
                    <a:prstGeom prst="rect">
                      <a:avLst/>
                    </a:prstGeom>
                  </pic:spPr>
                </pic:pic>
              </a:graphicData>
            </a:graphic>
          </wp:inline>
        </w:drawing>
      </w:r>
    </w:p>
    <w:p w14:paraId="22F4B420" w14:textId="77777777" w:rsidR="00B40F78" w:rsidRPr="00B42029" w:rsidRDefault="00B40F78" w:rsidP="00B40F78">
      <w:pPr>
        <w:spacing w:line="360" w:lineRule="auto"/>
        <w:jc w:val="center"/>
        <w:rPr>
          <w:b/>
          <w:bCs/>
          <w:sz w:val="32"/>
          <w:szCs w:val="32"/>
        </w:rPr>
      </w:pPr>
    </w:p>
    <w:p w14:paraId="729593BB" w14:textId="77777777" w:rsidR="00B40F78" w:rsidRPr="00B42029" w:rsidRDefault="00B40F78" w:rsidP="00B40F78">
      <w:pPr>
        <w:spacing w:line="360" w:lineRule="auto"/>
        <w:jc w:val="center"/>
        <w:rPr>
          <w:b/>
          <w:bCs/>
          <w:sz w:val="32"/>
          <w:szCs w:val="32"/>
        </w:rPr>
      </w:pPr>
    </w:p>
    <w:p w14:paraId="2241E48D" w14:textId="77777777" w:rsidR="00B40F78" w:rsidRPr="00B42029" w:rsidRDefault="00B40F78" w:rsidP="00B40F78">
      <w:pPr>
        <w:spacing w:line="360" w:lineRule="auto"/>
        <w:jc w:val="center"/>
        <w:rPr>
          <w:b/>
          <w:bCs/>
          <w:sz w:val="32"/>
          <w:szCs w:val="32"/>
        </w:rPr>
      </w:pPr>
    </w:p>
    <w:p w14:paraId="237DE6C1" w14:textId="77777777" w:rsidR="00B40F78" w:rsidRPr="00B42029" w:rsidRDefault="00B40F78" w:rsidP="00B40F78">
      <w:pPr>
        <w:spacing w:line="360" w:lineRule="auto"/>
        <w:jc w:val="center"/>
        <w:rPr>
          <w:b/>
          <w:bCs/>
          <w:sz w:val="32"/>
          <w:szCs w:val="32"/>
        </w:rPr>
      </w:pPr>
    </w:p>
    <w:p w14:paraId="309A9C6B" w14:textId="77777777" w:rsidR="00B40F78" w:rsidRPr="00B42029" w:rsidRDefault="00B40F78" w:rsidP="00B40F78">
      <w:pPr>
        <w:spacing w:line="360" w:lineRule="auto"/>
        <w:jc w:val="center"/>
        <w:rPr>
          <w:b/>
          <w:bCs/>
          <w:sz w:val="32"/>
          <w:szCs w:val="32"/>
        </w:rPr>
      </w:pPr>
    </w:p>
    <w:p w14:paraId="05FE9D3C" w14:textId="5EBDC0CF" w:rsidR="00B40F78" w:rsidRDefault="00B40F78" w:rsidP="00B40F78">
      <w:pPr>
        <w:spacing w:line="360" w:lineRule="auto"/>
        <w:jc w:val="center"/>
        <w:rPr>
          <w:b/>
          <w:bCs/>
          <w:sz w:val="32"/>
          <w:szCs w:val="32"/>
        </w:rPr>
      </w:pPr>
      <w:r w:rsidRPr="00B42029">
        <w:rPr>
          <w:b/>
          <w:bCs/>
          <w:sz w:val="32"/>
          <w:szCs w:val="32"/>
        </w:rPr>
        <w:t>Programme: Master of Business Administration</w:t>
      </w:r>
    </w:p>
    <w:p w14:paraId="0A94F303" w14:textId="77777777" w:rsidR="005D38A7" w:rsidRPr="00B42029" w:rsidRDefault="005D38A7" w:rsidP="00B40F78">
      <w:pPr>
        <w:spacing w:line="360" w:lineRule="auto"/>
        <w:jc w:val="center"/>
        <w:rPr>
          <w:b/>
          <w:bCs/>
          <w:sz w:val="32"/>
          <w:szCs w:val="32"/>
        </w:rPr>
      </w:pPr>
    </w:p>
    <w:p w14:paraId="13E2B388" w14:textId="77777777" w:rsidR="00B40F78" w:rsidRDefault="00B40F78" w:rsidP="00B40F78">
      <w:pPr>
        <w:spacing w:line="360" w:lineRule="auto"/>
        <w:jc w:val="center"/>
        <w:rPr>
          <w:b/>
          <w:bCs/>
          <w:sz w:val="32"/>
          <w:szCs w:val="32"/>
        </w:rPr>
      </w:pPr>
      <w:r w:rsidRPr="00B42029">
        <w:rPr>
          <w:b/>
          <w:bCs/>
          <w:sz w:val="32"/>
          <w:szCs w:val="32"/>
        </w:rPr>
        <w:t>Module: Financial Management</w:t>
      </w:r>
    </w:p>
    <w:p w14:paraId="7579EA42" w14:textId="77777777" w:rsidR="005D38A7" w:rsidRPr="00B42029" w:rsidRDefault="005D38A7" w:rsidP="00B40F78">
      <w:pPr>
        <w:spacing w:line="360" w:lineRule="auto"/>
        <w:jc w:val="center"/>
        <w:rPr>
          <w:b/>
          <w:bCs/>
          <w:sz w:val="32"/>
          <w:szCs w:val="32"/>
        </w:rPr>
      </w:pPr>
    </w:p>
    <w:p w14:paraId="2543F783" w14:textId="77777777" w:rsidR="00B40F78" w:rsidRDefault="00B40F78" w:rsidP="00B40F78">
      <w:pPr>
        <w:spacing w:line="360" w:lineRule="auto"/>
        <w:jc w:val="center"/>
        <w:rPr>
          <w:b/>
          <w:bCs/>
          <w:sz w:val="32"/>
          <w:szCs w:val="32"/>
        </w:rPr>
      </w:pPr>
      <w:r w:rsidRPr="00B42029">
        <w:rPr>
          <w:b/>
          <w:bCs/>
          <w:sz w:val="32"/>
          <w:szCs w:val="32"/>
        </w:rPr>
        <w:t xml:space="preserve">Module code: LCMB7002 </w:t>
      </w:r>
    </w:p>
    <w:p w14:paraId="2D1EBFCE" w14:textId="77777777" w:rsidR="005D38A7" w:rsidRPr="00B42029" w:rsidRDefault="005D38A7" w:rsidP="00B40F78">
      <w:pPr>
        <w:spacing w:line="360" w:lineRule="auto"/>
        <w:jc w:val="center"/>
        <w:rPr>
          <w:b/>
          <w:bCs/>
          <w:sz w:val="32"/>
          <w:szCs w:val="32"/>
        </w:rPr>
      </w:pPr>
    </w:p>
    <w:p w14:paraId="12697E02" w14:textId="3E810552" w:rsidR="00284315" w:rsidRDefault="00B40F78" w:rsidP="00284315">
      <w:pPr>
        <w:spacing w:line="360" w:lineRule="auto"/>
        <w:jc w:val="center"/>
        <w:rPr>
          <w:b/>
          <w:bCs/>
          <w:sz w:val="32"/>
          <w:szCs w:val="32"/>
        </w:rPr>
      </w:pPr>
      <w:r w:rsidRPr="00B42029">
        <w:rPr>
          <w:b/>
          <w:bCs/>
          <w:sz w:val="32"/>
          <w:szCs w:val="32"/>
        </w:rPr>
        <w:t xml:space="preserve">Assignment </w:t>
      </w:r>
      <w:r w:rsidR="00FB487C">
        <w:rPr>
          <w:b/>
          <w:bCs/>
          <w:sz w:val="32"/>
          <w:szCs w:val="32"/>
        </w:rPr>
        <w:t>Component</w:t>
      </w:r>
      <w:r w:rsidRPr="00B42029">
        <w:rPr>
          <w:b/>
          <w:bCs/>
          <w:sz w:val="32"/>
          <w:szCs w:val="32"/>
        </w:rPr>
        <w:t xml:space="preserve">: Financial </w:t>
      </w:r>
      <w:r w:rsidR="00C71DAD" w:rsidRPr="00B42029">
        <w:rPr>
          <w:b/>
          <w:bCs/>
          <w:sz w:val="32"/>
          <w:szCs w:val="32"/>
        </w:rPr>
        <w:t xml:space="preserve">Performance </w:t>
      </w:r>
      <w:r w:rsidRPr="00B42029">
        <w:rPr>
          <w:b/>
          <w:bCs/>
          <w:sz w:val="32"/>
          <w:szCs w:val="32"/>
        </w:rPr>
        <w:t xml:space="preserve">and </w:t>
      </w:r>
      <w:r w:rsidR="00C71DAD" w:rsidRPr="00B42029">
        <w:rPr>
          <w:b/>
          <w:bCs/>
          <w:sz w:val="32"/>
          <w:szCs w:val="32"/>
        </w:rPr>
        <w:t>Managemen</w:t>
      </w:r>
      <w:r w:rsidR="00284315">
        <w:rPr>
          <w:b/>
          <w:bCs/>
          <w:sz w:val="32"/>
          <w:szCs w:val="32"/>
        </w:rPr>
        <w:t>t</w:t>
      </w:r>
    </w:p>
    <w:p w14:paraId="0BE96AE3" w14:textId="77777777" w:rsidR="00284315" w:rsidRDefault="00284315" w:rsidP="00284315">
      <w:pPr>
        <w:spacing w:line="360" w:lineRule="auto"/>
        <w:rPr>
          <w:b/>
          <w:bCs/>
          <w:sz w:val="32"/>
          <w:szCs w:val="32"/>
        </w:rPr>
      </w:pPr>
      <w:r>
        <w:rPr>
          <w:b/>
          <w:bCs/>
          <w:sz w:val="32"/>
          <w:szCs w:val="32"/>
        </w:rPr>
        <w:t xml:space="preserve">             NAME = </w:t>
      </w:r>
      <w:proofErr w:type="spellStart"/>
      <w:r>
        <w:rPr>
          <w:b/>
          <w:bCs/>
          <w:sz w:val="32"/>
          <w:szCs w:val="32"/>
        </w:rPr>
        <w:t>Gorasiya</w:t>
      </w:r>
      <w:proofErr w:type="spellEnd"/>
      <w:r>
        <w:rPr>
          <w:b/>
          <w:bCs/>
          <w:sz w:val="32"/>
          <w:szCs w:val="32"/>
        </w:rPr>
        <w:t xml:space="preserve"> </w:t>
      </w:r>
      <w:proofErr w:type="spellStart"/>
      <w:r>
        <w:rPr>
          <w:b/>
          <w:bCs/>
          <w:sz w:val="32"/>
          <w:szCs w:val="32"/>
        </w:rPr>
        <w:t>vivekkumar</w:t>
      </w:r>
      <w:proofErr w:type="spellEnd"/>
      <w:r>
        <w:rPr>
          <w:b/>
          <w:bCs/>
          <w:sz w:val="32"/>
          <w:szCs w:val="32"/>
        </w:rPr>
        <w:t xml:space="preserve"> </w:t>
      </w:r>
      <w:proofErr w:type="spellStart"/>
      <w:r>
        <w:rPr>
          <w:b/>
          <w:bCs/>
          <w:sz w:val="32"/>
          <w:szCs w:val="32"/>
        </w:rPr>
        <w:t>kishorbhai</w:t>
      </w:r>
      <w:proofErr w:type="spellEnd"/>
    </w:p>
    <w:p w14:paraId="14B64722" w14:textId="77777777" w:rsidR="00284315" w:rsidRDefault="00284315" w:rsidP="00284315">
      <w:pPr>
        <w:spacing w:line="360" w:lineRule="auto"/>
        <w:rPr>
          <w:b/>
          <w:bCs/>
          <w:sz w:val="32"/>
          <w:szCs w:val="32"/>
        </w:rPr>
      </w:pPr>
      <w:r>
        <w:rPr>
          <w:b/>
          <w:bCs/>
          <w:sz w:val="32"/>
          <w:szCs w:val="32"/>
        </w:rPr>
        <w:t xml:space="preserve">                             Student id = 2542076</w:t>
      </w:r>
    </w:p>
    <w:p w14:paraId="2FD38D76" w14:textId="77777777" w:rsidR="00284315" w:rsidRDefault="00284315" w:rsidP="00284315">
      <w:pPr>
        <w:spacing w:line="360" w:lineRule="auto"/>
        <w:rPr>
          <w:b/>
          <w:bCs/>
          <w:sz w:val="32"/>
          <w:szCs w:val="32"/>
        </w:rPr>
      </w:pPr>
      <w:r>
        <w:rPr>
          <w:b/>
          <w:bCs/>
          <w:sz w:val="32"/>
          <w:szCs w:val="32"/>
        </w:rPr>
        <w:t xml:space="preserve">                    Submission date = 12 Aug 2026</w:t>
      </w:r>
    </w:p>
    <w:p w14:paraId="46582265" w14:textId="0544BD30" w:rsidR="00284315" w:rsidRDefault="00284315" w:rsidP="00284315">
      <w:pPr>
        <w:spacing w:line="360" w:lineRule="auto"/>
        <w:rPr>
          <w:b/>
          <w:bCs/>
          <w:sz w:val="32"/>
          <w:szCs w:val="32"/>
        </w:rPr>
      </w:pPr>
      <w:r>
        <w:rPr>
          <w:b/>
          <w:bCs/>
          <w:sz w:val="32"/>
          <w:szCs w:val="32"/>
        </w:rPr>
        <w:t xml:space="preserve">                               Word count =  4769</w:t>
      </w:r>
    </w:p>
    <w:p w14:paraId="7A7F97A4" w14:textId="77777777" w:rsidR="00284315" w:rsidRPr="00B42029" w:rsidRDefault="00284315" w:rsidP="00284315">
      <w:pPr>
        <w:spacing w:line="360" w:lineRule="auto"/>
        <w:jc w:val="center"/>
        <w:rPr>
          <w:b/>
          <w:bCs/>
          <w:sz w:val="32"/>
          <w:szCs w:val="32"/>
        </w:rPr>
      </w:pPr>
    </w:p>
    <w:p w14:paraId="5A5ABD8A" w14:textId="366F78D5" w:rsidR="00497211" w:rsidRPr="00B42029" w:rsidRDefault="00ED5807" w:rsidP="00B40F78">
      <w:pPr>
        <w:spacing w:line="360" w:lineRule="auto"/>
        <w:jc w:val="center"/>
        <w:rPr>
          <w:b/>
          <w:bCs/>
          <w:sz w:val="24"/>
          <w:szCs w:val="24"/>
        </w:rPr>
      </w:pPr>
      <w:r w:rsidRPr="00B42029">
        <w:br w:type="page"/>
      </w:r>
    </w:p>
    <w:p w14:paraId="7C3F55F2" w14:textId="036D858C" w:rsidR="00C5715E" w:rsidRPr="00B42029" w:rsidRDefault="00C5715E" w:rsidP="00C5715E">
      <w:pPr>
        <w:spacing w:before="240" w:after="240" w:line="360" w:lineRule="auto"/>
        <w:jc w:val="center"/>
        <w:rPr>
          <w:b/>
          <w:bCs/>
          <w:sz w:val="28"/>
          <w:szCs w:val="28"/>
        </w:rPr>
      </w:pPr>
      <w:bookmarkStart w:id="0" w:name="_4o0j0oe3c5dm" w:colFirst="0" w:colLast="0"/>
      <w:bookmarkEnd w:id="0"/>
      <w:r w:rsidRPr="00B42029">
        <w:rPr>
          <w:b/>
          <w:bCs/>
          <w:sz w:val="28"/>
          <w:szCs w:val="28"/>
        </w:rPr>
        <w:lastRenderedPageBreak/>
        <w:t>Executive Summary</w:t>
      </w:r>
    </w:p>
    <w:p w14:paraId="209AB71A" w14:textId="1199701D" w:rsidR="00497211" w:rsidRPr="00B42029" w:rsidRDefault="00C5715E" w:rsidP="00C5715E">
      <w:pPr>
        <w:spacing w:before="240" w:after="240" w:line="360" w:lineRule="auto"/>
        <w:jc w:val="both"/>
        <w:rPr>
          <w:sz w:val="24"/>
          <w:szCs w:val="24"/>
        </w:rPr>
      </w:pPr>
      <w:r w:rsidRPr="00B42029">
        <w:rPr>
          <w:sz w:val="24"/>
          <w:szCs w:val="24"/>
        </w:rPr>
        <w:t xml:space="preserve">This report </w:t>
      </w:r>
      <w:proofErr w:type="spellStart"/>
      <w:r w:rsidRPr="00B42029">
        <w:rPr>
          <w:sz w:val="24"/>
          <w:szCs w:val="24"/>
        </w:rPr>
        <w:t>analyzes</w:t>
      </w:r>
      <w:proofErr w:type="spellEnd"/>
      <w:r w:rsidRPr="00B42029">
        <w:rPr>
          <w:sz w:val="24"/>
          <w:szCs w:val="24"/>
        </w:rPr>
        <w:t xml:space="preserve"> the financial performance, working-capital management, financing structure and investment decisions of Scandic Hotels to determine its financial strength and strategic location. The five years analysis reveals the main trends in profitability, liquidity, efficiency and gearing, pointing at the pressures on cash generation and financial flexibility. Working-capital analysis recognises excessive funds held up in operations, predicts weaknesses and liquidity pressures, justifies reforms including cash-flow forecasting, receivables management, inventory optimisation and supplier-term negotiation. It is suggested to implement a selective divestiture, refinancing and disciplined working-capital management plan as a means to enhance liquidity without damaging shareholder value. Investment appraisal finds Project C most attractive, generating a positive NPV of £0.83m, PI of 1.02 and approximately 8.9% IRR. Projects B+C offer the greatest increase in NPV, albeit negative on the whole, within the constraint of less than £100m. Project C must thus be given the first priority by the Board, with strict risk, ESG and ethical monitoring.</w:t>
      </w:r>
    </w:p>
    <w:p w14:paraId="6A6F2B85" w14:textId="77777777" w:rsidR="00497211" w:rsidRPr="00B42029" w:rsidRDefault="00ED5807">
      <w:pPr>
        <w:spacing w:before="240" w:after="240" w:line="360" w:lineRule="auto"/>
        <w:jc w:val="both"/>
        <w:rPr>
          <w:sz w:val="24"/>
          <w:szCs w:val="24"/>
        </w:rPr>
      </w:pPr>
      <w:r w:rsidRPr="00B42029">
        <w:br w:type="page"/>
      </w:r>
    </w:p>
    <w:sdt>
      <w:sdtPr>
        <w:rPr>
          <w:rFonts w:ascii="Arial" w:eastAsia="Arial" w:hAnsi="Arial" w:cs="Arial"/>
          <w:b/>
          <w:bCs/>
          <w:color w:val="auto"/>
          <w:sz w:val="36"/>
          <w:szCs w:val="36"/>
          <w:lang w:val="en-GB" w:eastAsia="en-IN"/>
        </w:rPr>
        <w:id w:val="-86227323"/>
        <w:docPartObj>
          <w:docPartGallery w:val="Table of Contents"/>
          <w:docPartUnique/>
        </w:docPartObj>
      </w:sdtPr>
      <w:sdtEndPr>
        <w:rPr>
          <w:noProof/>
          <w:sz w:val="22"/>
          <w:szCs w:val="22"/>
        </w:rPr>
      </w:sdtEndPr>
      <w:sdtContent>
        <w:p w14:paraId="2477590B" w14:textId="05C1F8B5" w:rsidR="00330EE5" w:rsidRPr="00330EE5" w:rsidRDefault="00330EE5" w:rsidP="00330EE5">
          <w:pPr>
            <w:pStyle w:val="TOCHeading"/>
            <w:spacing w:line="360" w:lineRule="auto"/>
            <w:jc w:val="center"/>
            <w:rPr>
              <w:rFonts w:ascii="Arial" w:hAnsi="Arial" w:cs="Arial"/>
              <w:b/>
              <w:bCs/>
              <w:color w:val="auto"/>
              <w:sz w:val="28"/>
              <w:szCs w:val="28"/>
            </w:rPr>
          </w:pPr>
          <w:r w:rsidRPr="00330EE5">
            <w:rPr>
              <w:rFonts w:ascii="Arial" w:hAnsi="Arial" w:cs="Arial"/>
              <w:b/>
              <w:bCs/>
              <w:color w:val="auto"/>
              <w:sz w:val="28"/>
              <w:szCs w:val="28"/>
            </w:rPr>
            <w:t>Table of Contents</w:t>
          </w:r>
        </w:p>
        <w:p w14:paraId="0C4BE435" w14:textId="7D196CC8" w:rsidR="00330EE5" w:rsidRPr="00330EE5" w:rsidRDefault="00330EE5" w:rsidP="00330EE5">
          <w:pPr>
            <w:pStyle w:val="TOC1"/>
            <w:tabs>
              <w:tab w:val="right" w:leader="dot" w:pos="9019"/>
            </w:tabs>
            <w:spacing w:line="360" w:lineRule="auto"/>
            <w:jc w:val="both"/>
            <w:rPr>
              <w:noProof/>
              <w:sz w:val="24"/>
              <w:szCs w:val="24"/>
            </w:rPr>
          </w:pPr>
          <w:r w:rsidRPr="00330EE5">
            <w:rPr>
              <w:sz w:val="24"/>
              <w:szCs w:val="24"/>
            </w:rPr>
            <w:fldChar w:fldCharType="begin"/>
          </w:r>
          <w:r w:rsidRPr="00330EE5">
            <w:rPr>
              <w:sz w:val="24"/>
              <w:szCs w:val="24"/>
            </w:rPr>
            <w:instrText xml:space="preserve"> TOC \o "1-3" \h \z \u </w:instrText>
          </w:r>
          <w:r w:rsidRPr="00330EE5">
            <w:rPr>
              <w:sz w:val="24"/>
              <w:szCs w:val="24"/>
            </w:rPr>
            <w:fldChar w:fldCharType="separate"/>
          </w:r>
          <w:hyperlink w:anchor="_Toc237451709" w:history="1">
            <w:r w:rsidRPr="00330EE5">
              <w:rPr>
                <w:rStyle w:val="Hyperlink"/>
                <w:noProof/>
                <w:sz w:val="24"/>
                <w:szCs w:val="24"/>
              </w:rPr>
              <w:t>1. Introduction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_Toc237451709 \h </w:instrText>
            </w:r>
            <w:r w:rsidRPr="00330EE5">
              <w:rPr>
                <w:noProof/>
                <w:webHidden/>
                <w:sz w:val="24"/>
                <w:szCs w:val="24"/>
              </w:rPr>
            </w:r>
            <w:r w:rsidRPr="00330EE5">
              <w:rPr>
                <w:noProof/>
                <w:webHidden/>
                <w:sz w:val="24"/>
                <w:szCs w:val="24"/>
              </w:rPr>
              <w:fldChar w:fldCharType="separate"/>
            </w:r>
            <w:r w:rsidRPr="00330EE5">
              <w:rPr>
                <w:noProof/>
                <w:webHidden/>
                <w:sz w:val="24"/>
                <w:szCs w:val="24"/>
              </w:rPr>
              <w:t>4</w:t>
            </w:r>
            <w:r w:rsidRPr="00330EE5">
              <w:rPr>
                <w:noProof/>
                <w:webHidden/>
                <w:sz w:val="24"/>
                <w:szCs w:val="24"/>
              </w:rPr>
              <w:fldChar w:fldCharType="end"/>
            </w:r>
          </w:hyperlink>
        </w:p>
        <w:p w14:paraId="567E7296" w14:textId="6C00F107" w:rsidR="00330EE5" w:rsidRPr="00330EE5" w:rsidRDefault="00330EE5" w:rsidP="00330EE5">
          <w:pPr>
            <w:pStyle w:val="TOC1"/>
            <w:tabs>
              <w:tab w:val="right" w:leader="dot" w:pos="9019"/>
            </w:tabs>
            <w:spacing w:line="360" w:lineRule="auto"/>
            <w:jc w:val="both"/>
            <w:rPr>
              <w:noProof/>
              <w:sz w:val="24"/>
              <w:szCs w:val="24"/>
            </w:rPr>
          </w:pPr>
          <w:hyperlink w:anchor="_Toc237451710" w:history="1">
            <w:r w:rsidRPr="00330EE5">
              <w:rPr>
                <w:rStyle w:val="Hyperlink"/>
                <w:noProof/>
                <w:sz w:val="24"/>
                <w:szCs w:val="24"/>
              </w:rPr>
              <w:t>2. Financial Health Check</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_Toc237451710 \h </w:instrText>
            </w:r>
            <w:r w:rsidRPr="00330EE5">
              <w:rPr>
                <w:noProof/>
                <w:webHidden/>
                <w:sz w:val="24"/>
                <w:szCs w:val="24"/>
              </w:rPr>
            </w:r>
            <w:r w:rsidRPr="00330EE5">
              <w:rPr>
                <w:noProof/>
                <w:webHidden/>
                <w:sz w:val="24"/>
                <w:szCs w:val="24"/>
              </w:rPr>
              <w:fldChar w:fldCharType="separate"/>
            </w:r>
            <w:r w:rsidRPr="00330EE5">
              <w:rPr>
                <w:noProof/>
                <w:webHidden/>
                <w:sz w:val="24"/>
                <w:szCs w:val="24"/>
              </w:rPr>
              <w:t>4</w:t>
            </w:r>
            <w:r w:rsidRPr="00330EE5">
              <w:rPr>
                <w:noProof/>
                <w:webHidden/>
                <w:sz w:val="24"/>
                <w:szCs w:val="24"/>
              </w:rPr>
              <w:fldChar w:fldCharType="end"/>
            </w:r>
          </w:hyperlink>
        </w:p>
        <w:p w14:paraId="4BFEBA36" w14:textId="527F6884" w:rsidR="00330EE5" w:rsidRPr="00330EE5" w:rsidRDefault="00330EE5" w:rsidP="00330EE5">
          <w:pPr>
            <w:pStyle w:val="TOC2"/>
            <w:tabs>
              <w:tab w:val="right" w:leader="dot" w:pos="9019"/>
            </w:tabs>
            <w:spacing w:line="360" w:lineRule="auto"/>
            <w:jc w:val="both"/>
            <w:rPr>
              <w:noProof/>
              <w:sz w:val="24"/>
              <w:szCs w:val="24"/>
            </w:rPr>
          </w:pPr>
          <w:hyperlink w:anchor="_Toc237451711" w:history="1">
            <w:r w:rsidRPr="00330EE5">
              <w:rPr>
                <w:rStyle w:val="Hyperlink"/>
                <w:noProof/>
                <w:sz w:val="24"/>
                <w:szCs w:val="24"/>
              </w:rPr>
              <w:t>2.1 Five-Year Financial Performance</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_Toc237451711 \h </w:instrText>
            </w:r>
            <w:r w:rsidRPr="00330EE5">
              <w:rPr>
                <w:noProof/>
                <w:webHidden/>
                <w:sz w:val="24"/>
                <w:szCs w:val="24"/>
              </w:rPr>
            </w:r>
            <w:r w:rsidRPr="00330EE5">
              <w:rPr>
                <w:noProof/>
                <w:webHidden/>
                <w:sz w:val="24"/>
                <w:szCs w:val="24"/>
              </w:rPr>
              <w:fldChar w:fldCharType="separate"/>
            </w:r>
            <w:r w:rsidRPr="00330EE5">
              <w:rPr>
                <w:noProof/>
                <w:webHidden/>
                <w:sz w:val="24"/>
                <w:szCs w:val="24"/>
              </w:rPr>
              <w:t>4</w:t>
            </w:r>
            <w:r w:rsidRPr="00330EE5">
              <w:rPr>
                <w:noProof/>
                <w:webHidden/>
                <w:sz w:val="24"/>
                <w:szCs w:val="24"/>
              </w:rPr>
              <w:fldChar w:fldCharType="end"/>
            </w:r>
          </w:hyperlink>
        </w:p>
        <w:p w14:paraId="063A7BAB" w14:textId="3BEA6059" w:rsidR="00330EE5" w:rsidRPr="00330EE5" w:rsidRDefault="00330EE5" w:rsidP="00330EE5">
          <w:pPr>
            <w:pStyle w:val="TOC2"/>
            <w:tabs>
              <w:tab w:val="right" w:leader="dot" w:pos="9019"/>
            </w:tabs>
            <w:spacing w:line="360" w:lineRule="auto"/>
            <w:jc w:val="both"/>
            <w:rPr>
              <w:noProof/>
              <w:sz w:val="24"/>
              <w:szCs w:val="24"/>
            </w:rPr>
          </w:pPr>
          <w:hyperlink w:anchor="_Toc237451712" w:history="1">
            <w:r w:rsidRPr="00330EE5">
              <w:rPr>
                <w:rStyle w:val="Hyperlink"/>
                <w:noProof/>
                <w:sz w:val="24"/>
                <w:szCs w:val="24"/>
              </w:rPr>
              <w:t>2.2 Profitability Analysis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_Toc237451712 \h </w:instrText>
            </w:r>
            <w:r w:rsidRPr="00330EE5">
              <w:rPr>
                <w:noProof/>
                <w:webHidden/>
                <w:sz w:val="24"/>
                <w:szCs w:val="24"/>
              </w:rPr>
            </w:r>
            <w:r w:rsidRPr="00330EE5">
              <w:rPr>
                <w:noProof/>
                <w:webHidden/>
                <w:sz w:val="24"/>
                <w:szCs w:val="24"/>
              </w:rPr>
              <w:fldChar w:fldCharType="separate"/>
            </w:r>
            <w:r w:rsidRPr="00330EE5">
              <w:rPr>
                <w:noProof/>
                <w:webHidden/>
                <w:sz w:val="24"/>
                <w:szCs w:val="24"/>
              </w:rPr>
              <w:t>6</w:t>
            </w:r>
            <w:r w:rsidRPr="00330EE5">
              <w:rPr>
                <w:noProof/>
                <w:webHidden/>
                <w:sz w:val="24"/>
                <w:szCs w:val="24"/>
              </w:rPr>
              <w:fldChar w:fldCharType="end"/>
            </w:r>
          </w:hyperlink>
        </w:p>
        <w:p w14:paraId="0CA6FEA1" w14:textId="0C2EA78E" w:rsidR="00330EE5" w:rsidRPr="00330EE5" w:rsidRDefault="00330EE5" w:rsidP="00330EE5">
          <w:pPr>
            <w:pStyle w:val="TOC2"/>
            <w:tabs>
              <w:tab w:val="right" w:leader="dot" w:pos="9019"/>
            </w:tabs>
            <w:spacing w:line="360" w:lineRule="auto"/>
            <w:jc w:val="both"/>
            <w:rPr>
              <w:noProof/>
              <w:sz w:val="24"/>
              <w:szCs w:val="24"/>
            </w:rPr>
          </w:pPr>
          <w:hyperlink w:anchor="_Toc237451713" w:history="1">
            <w:r w:rsidRPr="00330EE5">
              <w:rPr>
                <w:rStyle w:val="Hyperlink"/>
                <w:noProof/>
                <w:sz w:val="24"/>
                <w:szCs w:val="24"/>
              </w:rPr>
              <w:t>2.3 Liquidity Analysis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_Toc237451713 \h </w:instrText>
            </w:r>
            <w:r w:rsidRPr="00330EE5">
              <w:rPr>
                <w:noProof/>
                <w:webHidden/>
                <w:sz w:val="24"/>
                <w:szCs w:val="24"/>
              </w:rPr>
            </w:r>
            <w:r w:rsidRPr="00330EE5">
              <w:rPr>
                <w:noProof/>
                <w:webHidden/>
                <w:sz w:val="24"/>
                <w:szCs w:val="24"/>
              </w:rPr>
              <w:fldChar w:fldCharType="separate"/>
            </w:r>
            <w:r w:rsidRPr="00330EE5">
              <w:rPr>
                <w:noProof/>
                <w:webHidden/>
                <w:sz w:val="24"/>
                <w:szCs w:val="24"/>
              </w:rPr>
              <w:t>8</w:t>
            </w:r>
            <w:r w:rsidRPr="00330EE5">
              <w:rPr>
                <w:noProof/>
                <w:webHidden/>
                <w:sz w:val="24"/>
                <w:szCs w:val="24"/>
              </w:rPr>
              <w:fldChar w:fldCharType="end"/>
            </w:r>
          </w:hyperlink>
        </w:p>
        <w:p w14:paraId="7D83201B" w14:textId="1C4AC8D9" w:rsidR="00330EE5" w:rsidRPr="00330EE5" w:rsidRDefault="00330EE5" w:rsidP="00330EE5">
          <w:pPr>
            <w:pStyle w:val="TOC2"/>
            <w:tabs>
              <w:tab w:val="right" w:leader="dot" w:pos="9019"/>
            </w:tabs>
            <w:spacing w:line="360" w:lineRule="auto"/>
            <w:jc w:val="both"/>
            <w:rPr>
              <w:noProof/>
              <w:sz w:val="24"/>
              <w:szCs w:val="24"/>
            </w:rPr>
          </w:pPr>
          <w:hyperlink w:anchor="_Toc237451714" w:history="1">
            <w:r w:rsidRPr="00330EE5">
              <w:rPr>
                <w:rStyle w:val="Hyperlink"/>
                <w:noProof/>
                <w:sz w:val="24"/>
                <w:szCs w:val="24"/>
              </w:rPr>
              <w:t>2.4 Efficiency Analysis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_Toc237451714 \h </w:instrText>
            </w:r>
            <w:r w:rsidRPr="00330EE5">
              <w:rPr>
                <w:noProof/>
                <w:webHidden/>
                <w:sz w:val="24"/>
                <w:szCs w:val="24"/>
              </w:rPr>
            </w:r>
            <w:r w:rsidRPr="00330EE5">
              <w:rPr>
                <w:noProof/>
                <w:webHidden/>
                <w:sz w:val="24"/>
                <w:szCs w:val="24"/>
              </w:rPr>
              <w:fldChar w:fldCharType="separate"/>
            </w:r>
            <w:r w:rsidRPr="00330EE5">
              <w:rPr>
                <w:noProof/>
                <w:webHidden/>
                <w:sz w:val="24"/>
                <w:szCs w:val="24"/>
              </w:rPr>
              <w:t>9</w:t>
            </w:r>
            <w:r w:rsidRPr="00330EE5">
              <w:rPr>
                <w:noProof/>
                <w:webHidden/>
                <w:sz w:val="24"/>
                <w:szCs w:val="24"/>
              </w:rPr>
              <w:fldChar w:fldCharType="end"/>
            </w:r>
          </w:hyperlink>
        </w:p>
        <w:p w14:paraId="2A739FCD" w14:textId="59B2D4A4" w:rsidR="00330EE5" w:rsidRPr="00330EE5" w:rsidRDefault="00330EE5" w:rsidP="00330EE5">
          <w:pPr>
            <w:pStyle w:val="TOC2"/>
            <w:tabs>
              <w:tab w:val="right" w:leader="dot" w:pos="9019"/>
            </w:tabs>
            <w:spacing w:line="360" w:lineRule="auto"/>
            <w:jc w:val="both"/>
            <w:rPr>
              <w:noProof/>
              <w:sz w:val="24"/>
              <w:szCs w:val="24"/>
            </w:rPr>
          </w:pPr>
          <w:hyperlink w:anchor="_Toc237451715" w:history="1">
            <w:r w:rsidRPr="00330EE5">
              <w:rPr>
                <w:rStyle w:val="Hyperlink"/>
                <w:noProof/>
                <w:sz w:val="24"/>
                <w:szCs w:val="24"/>
              </w:rPr>
              <w:t>2.5 Returns Ratio</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_Toc237451715 \h </w:instrText>
            </w:r>
            <w:r w:rsidRPr="00330EE5">
              <w:rPr>
                <w:noProof/>
                <w:webHidden/>
                <w:sz w:val="24"/>
                <w:szCs w:val="24"/>
              </w:rPr>
            </w:r>
            <w:r w:rsidRPr="00330EE5">
              <w:rPr>
                <w:noProof/>
                <w:webHidden/>
                <w:sz w:val="24"/>
                <w:szCs w:val="24"/>
              </w:rPr>
              <w:fldChar w:fldCharType="separate"/>
            </w:r>
            <w:r w:rsidRPr="00330EE5">
              <w:rPr>
                <w:noProof/>
                <w:webHidden/>
                <w:sz w:val="24"/>
                <w:szCs w:val="24"/>
              </w:rPr>
              <w:t>11</w:t>
            </w:r>
            <w:r w:rsidRPr="00330EE5">
              <w:rPr>
                <w:noProof/>
                <w:webHidden/>
                <w:sz w:val="24"/>
                <w:szCs w:val="24"/>
              </w:rPr>
              <w:fldChar w:fldCharType="end"/>
            </w:r>
          </w:hyperlink>
        </w:p>
        <w:p w14:paraId="30C635D8" w14:textId="25F265FE" w:rsidR="00330EE5" w:rsidRPr="00330EE5" w:rsidRDefault="00330EE5" w:rsidP="00330EE5">
          <w:pPr>
            <w:pStyle w:val="TOC2"/>
            <w:tabs>
              <w:tab w:val="right" w:leader="dot" w:pos="9019"/>
            </w:tabs>
            <w:spacing w:line="360" w:lineRule="auto"/>
            <w:jc w:val="both"/>
            <w:rPr>
              <w:noProof/>
              <w:sz w:val="24"/>
              <w:szCs w:val="24"/>
            </w:rPr>
          </w:pPr>
          <w:hyperlink w:anchor="_Toc237451716" w:history="1">
            <w:r w:rsidRPr="00330EE5">
              <w:rPr>
                <w:rStyle w:val="Hyperlink"/>
                <w:noProof/>
                <w:sz w:val="24"/>
                <w:szCs w:val="24"/>
              </w:rPr>
              <w:t>2.6 Cash Flow</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_Toc237451716 \h </w:instrText>
            </w:r>
            <w:r w:rsidRPr="00330EE5">
              <w:rPr>
                <w:noProof/>
                <w:webHidden/>
                <w:sz w:val="24"/>
                <w:szCs w:val="24"/>
              </w:rPr>
            </w:r>
            <w:r w:rsidRPr="00330EE5">
              <w:rPr>
                <w:noProof/>
                <w:webHidden/>
                <w:sz w:val="24"/>
                <w:szCs w:val="24"/>
              </w:rPr>
              <w:fldChar w:fldCharType="separate"/>
            </w:r>
            <w:r w:rsidRPr="00330EE5">
              <w:rPr>
                <w:noProof/>
                <w:webHidden/>
                <w:sz w:val="24"/>
                <w:szCs w:val="24"/>
              </w:rPr>
              <w:t>12</w:t>
            </w:r>
            <w:r w:rsidRPr="00330EE5">
              <w:rPr>
                <w:noProof/>
                <w:webHidden/>
                <w:sz w:val="24"/>
                <w:szCs w:val="24"/>
              </w:rPr>
              <w:fldChar w:fldCharType="end"/>
            </w:r>
          </w:hyperlink>
        </w:p>
        <w:p w14:paraId="3F0C660D" w14:textId="2473CD20" w:rsidR="00330EE5" w:rsidRPr="00330EE5" w:rsidRDefault="00330EE5" w:rsidP="00330EE5">
          <w:pPr>
            <w:pStyle w:val="TOC2"/>
            <w:tabs>
              <w:tab w:val="right" w:leader="dot" w:pos="9019"/>
            </w:tabs>
            <w:spacing w:line="360" w:lineRule="auto"/>
            <w:jc w:val="both"/>
            <w:rPr>
              <w:noProof/>
              <w:sz w:val="24"/>
              <w:szCs w:val="24"/>
            </w:rPr>
          </w:pPr>
          <w:hyperlink w:anchor="_Toc237451717" w:history="1">
            <w:r w:rsidRPr="00330EE5">
              <w:rPr>
                <w:rStyle w:val="Hyperlink"/>
                <w:noProof/>
                <w:sz w:val="24"/>
                <w:szCs w:val="24"/>
              </w:rPr>
              <w:t>2.7 Overall Financial Diagnosis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_Toc237451717 \h </w:instrText>
            </w:r>
            <w:r w:rsidRPr="00330EE5">
              <w:rPr>
                <w:noProof/>
                <w:webHidden/>
                <w:sz w:val="24"/>
                <w:szCs w:val="24"/>
              </w:rPr>
            </w:r>
            <w:r w:rsidRPr="00330EE5">
              <w:rPr>
                <w:noProof/>
                <w:webHidden/>
                <w:sz w:val="24"/>
                <w:szCs w:val="24"/>
              </w:rPr>
              <w:fldChar w:fldCharType="separate"/>
            </w:r>
            <w:r w:rsidRPr="00330EE5">
              <w:rPr>
                <w:noProof/>
                <w:webHidden/>
                <w:sz w:val="24"/>
                <w:szCs w:val="24"/>
              </w:rPr>
              <w:t>14</w:t>
            </w:r>
            <w:r w:rsidRPr="00330EE5">
              <w:rPr>
                <w:noProof/>
                <w:webHidden/>
                <w:sz w:val="24"/>
                <w:szCs w:val="24"/>
              </w:rPr>
              <w:fldChar w:fldCharType="end"/>
            </w:r>
          </w:hyperlink>
        </w:p>
        <w:p w14:paraId="59B3DE9B" w14:textId="1C98ABF1" w:rsidR="00330EE5" w:rsidRPr="00330EE5" w:rsidRDefault="00330EE5" w:rsidP="00330EE5">
          <w:pPr>
            <w:pStyle w:val="TOC1"/>
            <w:tabs>
              <w:tab w:val="right" w:leader="dot" w:pos="9019"/>
            </w:tabs>
            <w:spacing w:line="360" w:lineRule="auto"/>
            <w:jc w:val="both"/>
            <w:rPr>
              <w:noProof/>
              <w:sz w:val="24"/>
              <w:szCs w:val="24"/>
            </w:rPr>
          </w:pPr>
          <w:hyperlink w:anchor="_Toc237451718" w:history="1">
            <w:r w:rsidRPr="00330EE5">
              <w:rPr>
                <w:rStyle w:val="Hyperlink"/>
                <w:noProof/>
                <w:sz w:val="24"/>
                <w:szCs w:val="24"/>
              </w:rPr>
              <w:t>3. Working Capital Management Analysis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_Toc237451718 \h </w:instrText>
            </w:r>
            <w:r w:rsidRPr="00330EE5">
              <w:rPr>
                <w:noProof/>
                <w:webHidden/>
                <w:sz w:val="24"/>
                <w:szCs w:val="24"/>
              </w:rPr>
            </w:r>
            <w:r w:rsidRPr="00330EE5">
              <w:rPr>
                <w:noProof/>
                <w:webHidden/>
                <w:sz w:val="24"/>
                <w:szCs w:val="24"/>
              </w:rPr>
              <w:fldChar w:fldCharType="separate"/>
            </w:r>
            <w:r w:rsidRPr="00330EE5">
              <w:rPr>
                <w:noProof/>
                <w:webHidden/>
                <w:sz w:val="24"/>
                <w:szCs w:val="24"/>
              </w:rPr>
              <w:t>14</w:t>
            </w:r>
            <w:r w:rsidRPr="00330EE5">
              <w:rPr>
                <w:noProof/>
                <w:webHidden/>
                <w:sz w:val="24"/>
                <w:szCs w:val="24"/>
              </w:rPr>
              <w:fldChar w:fldCharType="end"/>
            </w:r>
          </w:hyperlink>
        </w:p>
        <w:p w14:paraId="646FD100" w14:textId="7E599B42" w:rsidR="00330EE5" w:rsidRPr="00330EE5" w:rsidRDefault="00330EE5" w:rsidP="00330EE5">
          <w:pPr>
            <w:pStyle w:val="TOC2"/>
            <w:tabs>
              <w:tab w:val="right" w:leader="dot" w:pos="9019"/>
            </w:tabs>
            <w:spacing w:line="360" w:lineRule="auto"/>
            <w:jc w:val="both"/>
            <w:rPr>
              <w:noProof/>
              <w:sz w:val="24"/>
              <w:szCs w:val="24"/>
            </w:rPr>
          </w:pPr>
          <w:hyperlink w:anchor="_Toc237451719" w:history="1">
            <w:r w:rsidRPr="00330EE5">
              <w:rPr>
                <w:rStyle w:val="Hyperlink"/>
                <w:noProof/>
                <w:sz w:val="24"/>
                <w:szCs w:val="24"/>
              </w:rPr>
              <w:t>3.1 Working Capital Position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_Toc237451719 \h </w:instrText>
            </w:r>
            <w:r w:rsidRPr="00330EE5">
              <w:rPr>
                <w:noProof/>
                <w:webHidden/>
                <w:sz w:val="24"/>
                <w:szCs w:val="24"/>
              </w:rPr>
            </w:r>
            <w:r w:rsidRPr="00330EE5">
              <w:rPr>
                <w:noProof/>
                <w:webHidden/>
                <w:sz w:val="24"/>
                <w:szCs w:val="24"/>
              </w:rPr>
              <w:fldChar w:fldCharType="separate"/>
            </w:r>
            <w:r w:rsidRPr="00330EE5">
              <w:rPr>
                <w:noProof/>
                <w:webHidden/>
                <w:sz w:val="24"/>
                <w:szCs w:val="24"/>
              </w:rPr>
              <w:t>14</w:t>
            </w:r>
            <w:r w:rsidRPr="00330EE5">
              <w:rPr>
                <w:noProof/>
                <w:webHidden/>
                <w:sz w:val="24"/>
                <w:szCs w:val="24"/>
              </w:rPr>
              <w:fldChar w:fldCharType="end"/>
            </w:r>
          </w:hyperlink>
        </w:p>
        <w:p w14:paraId="30B1CE09" w14:textId="5717D3B3" w:rsidR="00330EE5" w:rsidRPr="00330EE5" w:rsidRDefault="00330EE5" w:rsidP="00330EE5">
          <w:pPr>
            <w:pStyle w:val="TOC2"/>
            <w:tabs>
              <w:tab w:val="right" w:leader="dot" w:pos="9019"/>
            </w:tabs>
            <w:spacing w:line="360" w:lineRule="auto"/>
            <w:jc w:val="both"/>
            <w:rPr>
              <w:noProof/>
              <w:sz w:val="24"/>
              <w:szCs w:val="24"/>
            </w:rPr>
          </w:pPr>
          <w:hyperlink w:anchor="_Toc237451720" w:history="1">
            <w:r w:rsidRPr="00330EE5">
              <w:rPr>
                <w:rStyle w:val="Hyperlink"/>
                <w:noProof/>
                <w:sz w:val="24"/>
                <w:szCs w:val="24"/>
              </w:rPr>
              <w:t>3.2 Cash Operating Cycle</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_Toc237451720 \h </w:instrText>
            </w:r>
            <w:r w:rsidRPr="00330EE5">
              <w:rPr>
                <w:noProof/>
                <w:webHidden/>
                <w:sz w:val="24"/>
                <w:szCs w:val="24"/>
              </w:rPr>
            </w:r>
            <w:r w:rsidRPr="00330EE5">
              <w:rPr>
                <w:noProof/>
                <w:webHidden/>
                <w:sz w:val="24"/>
                <w:szCs w:val="24"/>
              </w:rPr>
              <w:fldChar w:fldCharType="separate"/>
            </w:r>
            <w:r w:rsidRPr="00330EE5">
              <w:rPr>
                <w:noProof/>
                <w:webHidden/>
                <w:sz w:val="24"/>
                <w:szCs w:val="24"/>
              </w:rPr>
              <w:t>14</w:t>
            </w:r>
            <w:r w:rsidRPr="00330EE5">
              <w:rPr>
                <w:noProof/>
                <w:webHidden/>
                <w:sz w:val="24"/>
                <w:szCs w:val="24"/>
              </w:rPr>
              <w:fldChar w:fldCharType="end"/>
            </w:r>
          </w:hyperlink>
        </w:p>
        <w:p w14:paraId="3039EB5D" w14:textId="4552B283" w:rsidR="00330EE5" w:rsidRPr="00330EE5" w:rsidRDefault="00330EE5" w:rsidP="00330EE5">
          <w:pPr>
            <w:pStyle w:val="TOC2"/>
            <w:tabs>
              <w:tab w:val="right" w:leader="dot" w:pos="9019"/>
            </w:tabs>
            <w:spacing w:line="360" w:lineRule="auto"/>
            <w:jc w:val="both"/>
            <w:rPr>
              <w:noProof/>
              <w:sz w:val="24"/>
              <w:szCs w:val="24"/>
            </w:rPr>
          </w:pPr>
          <w:hyperlink w:anchor="_Toc237451721" w:history="1">
            <w:r w:rsidRPr="00330EE5">
              <w:rPr>
                <w:rStyle w:val="Hyperlink"/>
                <w:noProof/>
                <w:sz w:val="24"/>
                <w:szCs w:val="24"/>
              </w:rPr>
              <w:t>3.3 Working Capital Problems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_Toc237451721 \h </w:instrText>
            </w:r>
            <w:r w:rsidRPr="00330EE5">
              <w:rPr>
                <w:noProof/>
                <w:webHidden/>
                <w:sz w:val="24"/>
                <w:szCs w:val="24"/>
              </w:rPr>
            </w:r>
            <w:r w:rsidRPr="00330EE5">
              <w:rPr>
                <w:noProof/>
                <w:webHidden/>
                <w:sz w:val="24"/>
                <w:szCs w:val="24"/>
              </w:rPr>
              <w:fldChar w:fldCharType="separate"/>
            </w:r>
            <w:r w:rsidRPr="00330EE5">
              <w:rPr>
                <w:noProof/>
                <w:webHidden/>
                <w:sz w:val="24"/>
                <w:szCs w:val="24"/>
              </w:rPr>
              <w:t>15</w:t>
            </w:r>
            <w:r w:rsidRPr="00330EE5">
              <w:rPr>
                <w:noProof/>
                <w:webHidden/>
                <w:sz w:val="24"/>
                <w:szCs w:val="24"/>
              </w:rPr>
              <w:fldChar w:fldCharType="end"/>
            </w:r>
          </w:hyperlink>
        </w:p>
        <w:p w14:paraId="39071C30" w14:textId="13FF020E" w:rsidR="00330EE5" w:rsidRPr="00330EE5" w:rsidRDefault="00330EE5" w:rsidP="00330EE5">
          <w:pPr>
            <w:pStyle w:val="TOC2"/>
            <w:tabs>
              <w:tab w:val="right" w:leader="dot" w:pos="9019"/>
            </w:tabs>
            <w:spacing w:line="360" w:lineRule="auto"/>
            <w:jc w:val="both"/>
            <w:rPr>
              <w:noProof/>
              <w:sz w:val="24"/>
              <w:szCs w:val="24"/>
            </w:rPr>
          </w:pPr>
          <w:hyperlink w:anchor="_Toc237451722" w:history="1">
            <w:r w:rsidRPr="00330EE5">
              <w:rPr>
                <w:rStyle w:val="Hyperlink"/>
                <w:noProof/>
                <w:sz w:val="24"/>
                <w:szCs w:val="24"/>
              </w:rPr>
              <w:t>3.4 Working Capital Reform Strategy</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_Toc237451722 \h </w:instrText>
            </w:r>
            <w:r w:rsidRPr="00330EE5">
              <w:rPr>
                <w:noProof/>
                <w:webHidden/>
                <w:sz w:val="24"/>
                <w:szCs w:val="24"/>
              </w:rPr>
            </w:r>
            <w:r w:rsidRPr="00330EE5">
              <w:rPr>
                <w:noProof/>
                <w:webHidden/>
                <w:sz w:val="24"/>
                <w:szCs w:val="24"/>
              </w:rPr>
              <w:fldChar w:fldCharType="separate"/>
            </w:r>
            <w:r w:rsidRPr="00330EE5">
              <w:rPr>
                <w:noProof/>
                <w:webHidden/>
                <w:sz w:val="24"/>
                <w:szCs w:val="24"/>
              </w:rPr>
              <w:t>15</w:t>
            </w:r>
            <w:r w:rsidRPr="00330EE5">
              <w:rPr>
                <w:noProof/>
                <w:webHidden/>
                <w:sz w:val="24"/>
                <w:szCs w:val="24"/>
              </w:rPr>
              <w:fldChar w:fldCharType="end"/>
            </w:r>
          </w:hyperlink>
        </w:p>
        <w:p w14:paraId="60D12943" w14:textId="18EA2390" w:rsidR="00330EE5" w:rsidRPr="00330EE5" w:rsidRDefault="00330EE5" w:rsidP="00330EE5">
          <w:pPr>
            <w:pStyle w:val="TOC2"/>
            <w:tabs>
              <w:tab w:val="right" w:leader="dot" w:pos="9019"/>
            </w:tabs>
            <w:spacing w:line="360" w:lineRule="auto"/>
            <w:jc w:val="both"/>
            <w:rPr>
              <w:noProof/>
              <w:sz w:val="24"/>
              <w:szCs w:val="24"/>
            </w:rPr>
          </w:pPr>
          <w:hyperlink w:anchor="_Toc237451723" w:history="1">
            <w:r w:rsidRPr="00330EE5">
              <w:rPr>
                <w:rStyle w:val="Hyperlink"/>
                <w:noProof/>
                <w:sz w:val="24"/>
                <w:szCs w:val="24"/>
              </w:rPr>
              <w:t>3.5 Short-Term vs Long-Term Financing</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_Toc237451723 \h </w:instrText>
            </w:r>
            <w:r w:rsidRPr="00330EE5">
              <w:rPr>
                <w:noProof/>
                <w:webHidden/>
                <w:sz w:val="24"/>
                <w:szCs w:val="24"/>
              </w:rPr>
            </w:r>
            <w:r w:rsidRPr="00330EE5">
              <w:rPr>
                <w:noProof/>
                <w:webHidden/>
                <w:sz w:val="24"/>
                <w:szCs w:val="24"/>
              </w:rPr>
              <w:fldChar w:fldCharType="separate"/>
            </w:r>
            <w:r w:rsidRPr="00330EE5">
              <w:rPr>
                <w:noProof/>
                <w:webHidden/>
                <w:sz w:val="24"/>
                <w:szCs w:val="24"/>
              </w:rPr>
              <w:t>16</w:t>
            </w:r>
            <w:r w:rsidRPr="00330EE5">
              <w:rPr>
                <w:noProof/>
                <w:webHidden/>
                <w:sz w:val="24"/>
                <w:szCs w:val="24"/>
              </w:rPr>
              <w:fldChar w:fldCharType="end"/>
            </w:r>
          </w:hyperlink>
        </w:p>
        <w:p w14:paraId="5328E8A6" w14:textId="17D2262B" w:rsidR="00330EE5" w:rsidRPr="00330EE5" w:rsidRDefault="00330EE5" w:rsidP="00330EE5">
          <w:pPr>
            <w:pStyle w:val="TOC1"/>
            <w:tabs>
              <w:tab w:val="right" w:leader="dot" w:pos="9019"/>
            </w:tabs>
            <w:spacing w:line="360" w:lineRule="auto"/>
            <w:jc w:val="both"/>
            <w:rPr>
              <w:noProof/>
              <w:sz w:val="24"/>
              <w:szCs w:val="24"/>
            </w:rPr>
          </w:pPr>
          <w:hyperlink w:anchor="_Toc237451724" w:history="1">
            <w:r w:rsidRPr="00330EE5">
              <w:rPr>
                <w:rStyle w:val="Hyperlink"/>
                <w:noProof/>
                <w:sz w:val="24"/>
                <w:szCs w:val="24"/>
              </w:rPr>
              <w:t>4. Strategic Financial Restructuring Plan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_Toc237451724 \h </w:instrText>
            </w:r>
            <w:r w:rsidRPr="00330EE5">
              <w:rPr>
                <w:noProof/>
                <w:webHidden/>
                <w:sz w:val="24"/>
                <w:szCs w:val="24"/>
              </w:rPr>
            </w:r>
            <w:r w:rsidRPr="00330EE5">
              <w:rPr>
                <w:noProof/>
                <w:webHidden/>
                <w:sz w:val="24"/>
                <w:szCs w:val="24"/>
              </w:rPr>
              <w:fldChar w:fldCharType="separate"/>
            </w:r>
            <w:r w:rsidRPr="00330EE5">
              <w:rPr>
                <w:noProof/>
                <w:webHidden/>
                <w:sz w:val="24"/>
                <w:szCs w:val="24"/>
              </w:rPr>
              <w:t>16</w:t>
            </w:r>
            <w:r w:rsidRPr="00330EE5">
              <w:rPr>
                <w:noProof/>
                <w:webHidden/>
                <w:sz w:val="24"/>
                <w:szCs w:val="24"/>
              </w:rPr>
              <w:fldChar w:fldCharType="end"/>
            </w:r>
          </w:hyperlink>
        </w:p>
        <w:p w14:paraId="63720510" w14:textId="7C6B796F" w:rsidR="00330EE5" w:rsidRPr="00330EE5" w:rsidRDefault="00330EE5" w:rsidP="00330EE5">
          <w:pPr>
            <w:pStyle w:val="TOC2"/>
            <w:tabs>
              <w:tab w:val="right" w:leader="dot" w:pos="9019"/>
            </w:tabs>
            <w:spacing w:line="360" w:lineRule="auto"/>
            <w:jc w:val="both"/>
            <w:rPr>
              <w:noProof/>
              <w:sz w:val="24"/>
              <w:szCs w:val="24"/>
            </w:rPr>
          </w:pPr>
          <w:hyperlink w:anchor="_Toc237451725" w:history="1">
            <w:r w:rsidRPr="00330EE5">
              <w:rPr>
                <w:rStyle w:val="Hyperlink"/>
                <w:noProof/>
                <w:sz w:val="24"/>
                <w:szCs w:val="24"/>
              </w:rPr>
              <w:t>4.1 Rationale for Restructuring</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_Toc237451725 \h </w:instrText>
            </w:r>
            <w:r w:rsidRPr="00330EE5">
              <w:rPr>
                <w:noProof/>
                <w:webHidden/>
                <w:sz w:val="24"/>
                <w:szCs w:val="24"/>
              </w:rPr>
            </w:r>
            <w:r w:rsidRPr="00330EE5">
              <w:rPr>
                <w:noProof/>
                <w:webHidden/>
                <w:sz w:val="24"/>
                <w:szCs w:val="24"/>
              </w:rPr>
              <w:fldChar w:fldCharType="separate"/>
            </w:r>
            <w:r w:rsidRPr="00330EE5">
              <w:rPr>
                <w:noProof/>
                <w:webHidden/>
                <w:sz w:val="24"/>
                <w:szCs w:val="24"/>
              </w:rPr>
              <w:t>16</w:t>
            </w:r>
            <w:r w:rsidRPr="00330EE5">
              <w:rPr>
                <w:noProof/>
                <w:webHidden/>
                <w:sz w:val="24"/>
                <w:szCs w:val="24"/>
              </w:rPr>
              <w:fldChar w:fldCharType="end"/>
            </w:r>
          </w:hyperlink>
        </w:p>
        <w:p w14:paraId="28393212" w14:textId="27215066" w:rsidR="00330EE5" w:rsidRPr="00330EE5" w:rsidRDefault="00330EE5" w:rsidP="00330EE5">
          <w:pPr>
            <w:pStyle w:val="TOC2"/>
            <w:tabs>
              <w:tab w:val="right" w:leader="dot" w:pos="9019"/>
            </w:tabs>
            <w:spacing w:line="360" w:lineRule="auto"/>
            <w:jc w:val="both"/>
            <w:rPr>
              <w:noProof/>
              <w:sz w:val="24"/>
              <w:szCs w:val="24"/>
            </w:rPr>
          </w:pPr>
          <w:hyperlink w:anchor="_Toc237451726" w:history="1">
            <w:r w:rsidRPr="00330EE5">
              <w:rPr>
                <w:rStyle w:val="Hyperlink"/>
                <w:noProof/>
                <w:sz w:val="24"/>
                <w:szCs w:val="24"/>
              </w:rPr>
              <w:t>4.2 Restructuring Option 1: Divestiture</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_Toc237451726 \h </w:instrText>
            </w:r>
            <w:r w:rsidRPr="00330EE5">
              <w:rPr>
                <w:noProof/>
                <w:webHidden/>
                <w:sz w:val="24"/>
                <w:szCs w:val="24"/>
              </w:rPr>
            </w:r>
            <w:r w:rsidRPr="00330EE5">
              <w:rPr>
                <w:noProof/>
                <w:webHidden/>
                <w:sz w:val="24"/>
                <w:szCs w:val="24"/>
              </w:rPr>
              <w:fldChar w:fldCharType="separate"/>
            </w:r>
            <w:r w:rsidRPr="00330EE5">
              <w:rPr>
                <w:noProof/>
                <w:webHidden/>
                <w:sz w:val="24"/>
                <w:szCs w:val="24"/>
              </w:rPr>
              <w:t>17</w:t>
            </w:r>
            <w:r w:rsidRPr="00330EE5">
              <w:rPr>
                <w:noProof/>
                <w:webHidden/>
                <w:sz w:val="24"/>
                <w:szCs w:val="24"/>
              </w:rPr>
              <w:fldChar w:fldCharType="end"/>
            </w:r>
          </w:hyperlink>
        </w:p>
        <w:p w14:paraId="3542AEA9" w14:textId="2218B376" w:rsidR="00330EE5" w:rsidRPr="00330EE5" w:rsidRDefault="00330EE5" w:rsidP="00330EE5">
          <w:pPr>
            <w:pStyle w:val="TOC2"/>
            <w:tabs>
              <w:tab w:val="right" w:leader="dot" w:pos="9019"/>
            </w:tabs>
            <w:spacing w:line="360" w:lineRule="auto"/>
            <w:jc w:val="both"/>
            <w:rPr>
              <w:noProof/>
              <w:sz w:val="24"/>
              <w:szCs w:val="24"/>
            </w:rPr>
          </w:pPr>
          <w:hyperlink w:anchor="_Toc237451727" w:history="1">
            <w:r w:rsidRPr="00330EE5">
              <w:rPr>
                <w:rStyle w:val="Hyperlink"/>
                <w:noProof/>
                <w:sz w:val="24"/>
                <w:szCs w:val="24"/>
              </w:rPr>
              <w:t>4.3 Restructuring Option 2: Equity Injection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_Toc237451727 \h </w:instrText>
            </w:r>
            <w:r w:rsidRPr="00330EE5">
              <w:rPr>
                <w:noProof/>
                <w:webHidden/>
                <w:sz w:val="24"/>
                <w:szCs w:val="24"/>
              </w:rPr>
            </w:r>
            <w:r w:rsidRPr="00330EE5">
              <w:rPr>
                <w:noProof/>
                <w:webHidden/>
                <w:sz w:val="24"/>
                <w:szCs w:val="24"/>
              </w:rPr>
              <w:fldChar w:fldCharType="separate"/>
            </w:r>
            <w:r w:rsidRPr="00330EE5">
              <w:rPr>
                <w:noProof/>
                <w:webHidden/>
                <w:sz w:val="24"/>
                <w:szCs w:val="24"/>
              </w:rPr>
              <w:t>17</w:t>
            </w:r>
            <w:r w:rsidRPr="00330EE5">
              <w:rPr>
                <w:noProof/>
                <w:webHidden/>
                <w:sz w:val="24"/>
                <w:szCs w:val="24"/>
              </w:rPr>
              <w:fldChar w:fldCharType="end"/>
            </w:r>
          </w:hyperlink>
        </w:p>
        <w:p w14:paraId="5A33663B" w14:textId="08EA27BC" w:rsidR="00330EE5" w:rsidRPr="00330EE5" w:rsidRDefault="00330EE5" w:rsidP="00330EE5">
          <w:pPr>
            <w:pStyle w:val="TOC2"/>
            <w:tabs>
              <w:tab w:val="right" w:leader="dot" w:pos="9019"/>
            </w:tabs>
            <w:spacing w:line="360" w:lineRule="auto"/>
            <w:jc w:val="both"/>
            <w:rPr>
              <w:noProof/>
              <w:sz w:val="24"/>
              <w:szCs w:val="24"/>
            </w:rPr>
          </w:pPr>
          <w:hyperlink w:anchor="_Toc237451728" w:history="1">
            <w:r w:rsidRPr="00330EE5">
              <w:rPr>
                <w:rStyle w:val="Hyperlink"/>
                <w:noProof/>
                <w:sz w:val="24"/>
                <w:szCs w:val="24"/>
              </w:rPr>
              <w:t>4.4 Restructuring Option 3: Refinancing / Debt Restructuring</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_Toc237451728 \h </w:instrText>
            </w:r>
            <w:r w:rsidRPr="00330EE5">
              <w:rPr>
                <w:noProof/>
                <w:webHidden/>
                <w:sz w:val="24"/>
                <w:szCs w:val="24"/>
              </w:rPr>
            </w:r>
            <w:r w:rsidRPr="00330EE5">
              <w:rPr>
                <w:noProof/>
                <w:webHidden/>
                <w:sz w:val="24"/>
                <w:szCs w:val="24"/>
              </w:rPr>
              <w:fldChar w:fldCharType="separate"/>
            </w:r>
            <w:r w:rsidRPr="00330EE5">
              <w:rPr>
                <w:noProof/>
                <w:webHidden/>
                <w:sz w:val="24"/>
                <w:szCs w:val="24"/>
              </w:rPr>
              <w:t>17</w:t>
            </w:r>
            <w:r w:rsidRPr="00330EE5">
              <w:rPr>
                <w:noProof/>
                <w:webHidden/>
                <w:sz w:val="24"/>
                <w:szCs w:val="24"/>
              </w:rPr>
              <w:fldChar w:fldCharType="end"/>
            </w:r>
          </w:hyperlink>
        </w:p>
        <w:p w14:paraId="00E5C14D" w14:textId="038FEAC9" w:rsidR="00330EE5" w:rsidRPr="00330EE5" w:rsidRDefault="00330EE5" w:rsidP="00330EE5">
          <w:pPr>
            <w:pStyle w:val="TOC2"/>
            <w:tabs>
              <w:tab w:val="right" w:leader="dot" w:pos="9019"/>
            </w:tabs>
            <w:spacing w:line="360" w:lineRule="auto"/>
            <w:jc w:val="both"/>
            <w:rPr>
              <w:noProof/>
              <w:sz w:val="24"/>
              <w:szCs w:val="24"/>
            </w:rPr>
          </w:pPr>
          <w:hyperlink w:anchor="_Toc237451729" w:history="1">
            <w:r w:rsidRPr="00330EE5">
              <w:rPr>
                <w:rStyle w:val="Hyperlink"/>
                <w:noProof/>
                <w:sz w:val="24"/>
                <w:szCs w:val="24"/>
              </w:rPr>
              <w:t>4.5 International Financial and Ethical Considerations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_Toc237451729 \h </w:instrText>
            </w:r>
            <w:r w:rsidRPr="00330EE5">
              <w:rPr>
                <w:noProof/>
                <w:webHidden/>
                <w:sz w:val="24"/>
                <w:szCs w:val="24"/>
              </w:rPr>
            </w:r>
            <w:r w:rsidRPr="00330EE5">
              <w:rPr>
                <w:noProof/>
                <w:webHidden/>
                <w:sz w:val="24"/>
                <w:szCs w:val="24"/>
              </w:rPr>
              <w:fldChar w:fldCharType="separate"/>
            </w:r>
            <w:r w:rsidRPr="00330EE5">
              <w:rPr>
                <w:noProof/>
                <w:webHidden/>
                <w:sz w:val="24"/>
                <w:szCs w:val="24"/>
              </w:rPr>
              <w:t>18</w:t>
            </w:r>
            <w:r w:rsidRPr="00330EE5">
              <w:rPr>
                <w:noProof/>
                <w:webHidden/>
                <w:sz w:val="24"/>
                <w:szCs w:val="24"/>
              </w:rPr>
              <w:fldChar w:fldCharType="end"/>
            </w:r>
          </w:hyperlink>
        </w:p>
        <w:p w14:paraId="09354E9D" w14:textId="74D7921C" w:rsidR="00330EE5" w:rsidRPr="00330EE5" w:rsidRDefault="00330EE5" w:rsidP="00330EE5">
          <w:pPr>
            <w:pStyle w:val="TOC2"/>
            <w:tabs>
              <w:tab w:val="right" w:leader="dot" w:pos="9019"/>
            </w:tabs>
            <w:spacing w:line="360" w:lineRule="auto"/>
            <w:jc w:val="both"/>
            <w:rPr>
              <w:noProof/>
              <w:sz w:val="24"/>
              <w:szCs w:val="24"/>
            </w:rPr>
          </w:pPr>
          <w:hyperlink w:anchor="_Toc237451730" w:history="1">
            <w:r w:rsidRPr="00330EE5">
              <w:rPr>
                <w:rStyle w:val="Hyperlink"/>
                <w:noProof/>
                <w:sz w:val="24"/>
                <w:szCs w:val="24"/>
              </w:rPr>
              <w:t>4.6 Recommended Restructuring Strategy</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_Toc237451730 \h </w:instrText>
            </w:r>
            <w:r w:rsidRPr="00330EE5">
              <w:rPr>
                <w:noProof/>
                <w:webHidden/>
                <w:sz w:val="24"/>
                <w:szCs w:val="24"/>
              </w:rPr>
            </w:r>
            <w:r w:rsidRPr="00330EE5">
              <w:rPr>
                <w:noProof/>
                <w:webHidden/>
                <w:sz w:val="24"/>
                <w:szCs w:val="24"/>
              </w:rPr>
              <w:fldChar w:fldCharType="separate"/>
            </w:r>
            <w:r w:rsidRPr="00330EE5">
              <w:rPr>
                <w:noProof/>
                <w:webHidden/>
                <w:sz w:val="24"/>
                <w:szCs w:val="24"/>
              </w:rPr>
              <w:t>18</w:t>
            </w:r>
            <w:r w:rsidRPr="00330EE5">
              <w:rPr>
                <w:noProof/>
                <w:webHidden/>
                <w:sz w:val="24"/>
                <w:szCs w:val="24"/>
              </w:rPr>
              <w:fldChar w:fldCharType="end"/>
            </w:r>
          </w:hyperlink>
        </w:p>
        <w:p w14:paraId="5D1593E2" w14:textId="4EFA6A3F" w:rsidR="00330EE5" w:rsidRPr="00330EE5" w:rsidRDefault="00330EE5" w:rsidP="00330EE5">
          <w:pPr>
            <w:pStyle w:val="TOC1"/>
            <w:tabs>
              <w:tab w:val="right" w:leader="dot" w:pos="9019"/>
            </w:tabs>
            <w:spacing w:line="360" w:lineRule="auto"/>
            <w:jc w:val="both"/>
            <w:rPr>
              <w:noProof/>
              <w:sz w:val="24"/>
              <w:szCs w:val="24"/>
            </w:rPr>
          </w:pPr>
          <w:hyperlink w:anchor="_Toc237451731" w:history="1">
            <w:r w:rsidRPr="00330EE5">
              <w:rPr>
                <w:rStyle w:val="Hyperlink"/>
                <w:noProof/>
                <w:sz w:val="24"/>
                <w:szCs w:val="24"/>
              </w:rPr>
              <w:t>5. Investment Appraisal and Capital Budgeting</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_Toc237451731 \h </w:instrText>
            </w:r>
            <w:r w:rsidRPr="00330EE5">
              <w:rPr>
                <w:noProof/>
                <w:webHidden/>
                <w:sz w:val="24"/>
                <w:szCs w:val="24"/>
              </w:rPr>
            </w:r>
            <w:r w:rsidRPr="00330EE5">
              <w:rPr>
                <w:noProof/>
                <w:webHidden/>
                <w:sz w:val="24"/>
                <w:szCs w:val="24"/>
              </w:rPr>
              <w:fldChar w:fldCharType="separate"/>
            </w:r>
            <w:r w:rsidRPr="00330EE5">
              <w:rPr>
                <w:noProof/>
                <w:webHidden/>
                <w:sz w:val="24"/>
                <w:szCs w:val="24"/>
              </w:rPr>
              <w:t>19</w:t>
            </w:r>
            <w:r w:rsidRPr="00330EE5">
              <w:rPr>
                <w:noProof/>
                <w:webHidden/>
                <w:sz w:val="24"/>
                <w:szCs w:val="24"/>
              </w:rPr>
              <w:fldChar w:fldCharType="end"/>
            </w:r>
          </w:hyperlink>
        </w:p>
        <w:p w14:paraId="1FD728F2" w14:textId="3A5EEA45" w:rsidR="00330EE5" w:rsidRPr="00330EE5" w:rsidRDefault="00330EE5" w:rsidP="00330EE5">
          <w:pPr>
            <w:pStyle w:val="TOC2"/>
            <w:tabs>
              <w:tab w:val="right" w:leader="dot" w:pos="9019"/>
            </w:tabs>
            <w:spacing w:line="360" w:lineRule="auto"/>
            <w:jc w:val="both"/>
            <w:rPr>
              <w:noProof/>
              <w:sz w:val="24"/>
              <w:szCs w:val="24"/>
            </w:rPr>
          </w:pPr>
          <w:hyperlink w:anchor="_Toc237451732" w:history="1">
            <w:r w:rsidRPr="00330EE5">
              <w:rPr>
                <w:rStyle w:val="Hyperlink"/>
                <w:noProof/>
                <w:sz w:val="24"/>
                <w:szCs w:val="24"/>
              </w:rPr>
              <w:t>5.1 Investment Decision Context</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_Toc237451732 \h </w:instrText>
            </w:r>
            <w:r w:rsidRPr="00330EE5">
              <w:rPr>
                <w:noProof/>
                <w:webHidden/>
                <w:sz w:val="24"/>
                <w:szCs w:val="24"/>
              </w:rPr>
            </w:r>
            <w:r w:rsidRPr="00330EE5">
              <w:rPr>
                <w:noProof/>
                <w:webHidden/>
                <w:sz w:val="24"/>
                <w:szCs w:val="24"/>
              </w:rPr>
              <w:fldChar w:fldCharType="separate"/>
            </w:r>
            <w:r w:rsidRPr="00330EE5">
              <w:rPr>
                <w:noProof/>
                <w:webHidden/>
                <w:sz w:val="24"/>
                <w:szCs w:val="24"/>
              </w:rPr>
              <w:t>19</w:t>
            </w:r>
            <w:r w:rsidRPr="00330EE5">
              <w:rPr>
                <w:noProof/>
                <w:webHidden/>
                <w:sz w:val="24"/>
                <w:szCs w:val="24"/>
              </w:rPr>
              <w:fldChar w:fldCharType="end"/>
            </w:r>
          </w:hyperlink>
        </w:p>
        <w:p w14:paraId="1C4A93FF" w14:textId="5E409FC4" w:rsidR="00330EE5" w:rsidRPr="00330EE5" w:rsidRDefault="00330EE5" w:rsidP="00330EE5">
          <w:pPr>
            <w:pStyle w:val="TOC2"/>
            <w:tabs>
              <w:tab w:val="right" w:leader="dot" w:pos="9019"/>
            </w:tabs>
            <w:spacing w:line="360" w:lineRule="auto"/>
            <w:jc w:val="both"/>
            <w:rPr>
              <w:noProof/>
              <w:sz w:val="24"/>
              <w:szCs w:val="24"/>
            </w:rPr>
          </w:pPr>
          <w:hyperlink w:anchor="_Toc237451733" w:history="1">
            <w:r w:rsidRPr="00330EE5">
              <w:rPr>
                <w:rStyle w:val="Hyperlink"/>
                <w:noProof/>
                <w:sz w:val="24"/>
                <w:szCs w:val="24"/>
              </w:rPr>
              <w:t>5.2 Project Data and Assumptions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_Toc237451733 \h </w:instrText>
            </w:r>
            <w:r w:rsidRPr="00330EE5">
              <w:rPr>
                <w:noProof/>
                <w:webHidden/>
                <w:sz w:val="24"/>
                <w:szCs w:val="24"/>
              </w:rPr>
            </w:r>
            <w:r w:rsidRPr="00330EE5">
              <w:rPr>
                <w:noProof/>
                <w:webHidden/>
                <w:sz w:val="24"/>
                <w:szCs w:val="24"/>
              </w:rPr>
              <w:fldChar w:fldCharType="separate"/>
            </w:r>
            <w:r w:rsidRPr="00330EE5">
              <w:rPr>
                <w:noProof/>
                <w:webHidden/>
                <w:sz w:val="24"/>
                <w:szCs w:val="24"/>
              </w:rPr>
              <w:t>19</w:t>
            </w:r>
            <w:r w:rsidRPr="00330EE5">
              <w:rPr>
                <w:noProof/>
                <w:webHidden/>
                <w:sz w:val="24"/>
                <w:szCs w:val="24"/>
              </w:rPr>
              <w:fldChar w:fldCharType="end"/>
            </w:r>
          </w:hyperlink>
        </w:p>
        <w:p w14:paraId="741C6D6F" w14:textId="175C6841" w:rsidR="00330EE5" w:rsidRPr="00330EE5" w:rsidRDefault="00330EE5" w:rsidP="00330EE5">
          <w:pPr>
            <w:pStyle w:val="TOC2"/>
            <w:tabs>
              <w:tab w:val="right" w:leader="dot" w:pos="9019"/>
            </w:tabs>
            <w:spacing w:line="360" w:lineRule="auto"/>
            <w:jc w:val="both"/>
            <w:rPr>
              <w:noProof/>
              <w:sz w:val="24"/>
              <w:szCs w:val="24"/>
            </w:rPr>
          </w:pPr>
          <w:hyperlink w:anchor="_Toc237451734" w:history="1">
            <w:r w:rsidRPr="00330EE5">
              <w:rPr>
                <w:rStyle w:val="Hyperlink"/>
                <w:noProof/>
                <w:sz w:val="24"/>
                <w:szCs w:val="24"/>
              </w:rPr>
              <w:t>5.3 Payback Period</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_Toc237451734 \h </w:instrText>
            </w:r>
            <w:r w:rsidRPr="00330EE5">
              <w:rPr>
                <w:noProof/>
                <w:webHidden/>
                <w:sz w:val="24"/>
                <w:szCs w:val="24"/>
              </w:rPr>
            </w:r>
            <w:r w:rsidRPr="00330EE5">
              <w:rPr>
                <w:noProof/>
                <w:webHidden/>
                <w:sz w:val="24"/>
                <w:szCs w:val="24"/>
              </w:rPr>
              <w:fldChar w:fldCharType="separate"/>
            </w:r>
            <w:r w:rsidRPr="00330EE5">
              <w:rPr>
                <w:noProof/>
                <w:webHidden/>
                <w:sz w:val="24"/>
                <w:szCs w:val="24"/>
              </w:rPr>
              <w:t>19</w:t>
            </w:r>
            <w:r w:rsidRPr="00330EE5">
              <w:rPr>
                <w:noProof/>
                <w:webHidden/>
                <w:sz w:val="24"/>
                <w:szCs w:val="24"/>
              </w:rPr>
              <w:fldChar w:fldCharType="end"/>
            </w:r>
          </w:hyperlink>
        </w:p>
        <w:p w14:paraId="019F2653" w14:textId="7094EA8A" w:rsidR="00330EE5" w:rsidRPr="00330EE5" w:rsidRDefault="00330EE5" w:rsidP="00330EE5">
          <w:pPr>
            <w:pStyle w:val="TOC2"/>
            <w:tabs>
              <w:tab w:val="right" w:leader="dot" w:pos="9019"/>
            </w:tabs>
            <w:spacing w:line="360" w:lineRule="auto"/>
            <w:jc w:val="both"/>
            <w:rPr>
              <w:noProof/>
              <w:sz w:val="24"/>
              <w:szCs w:val="24"/>
            </w:rPr>
          </w:pPr>
          <w:hyperlink w:anchor="_Toc237451735" w:history="1">
            <w:r w:rsidRPr="00330EE5">
              <w:rPr>
                <w:rStyle w:val="Hyperlink"/>
                <w:noProof/>
                <w:sz w:val="24"/>
                <w:szCs w:val="24"/>
              </w:rPr>
              <w:t>5.4 Accounting Rate of Return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_Toc237451735 \h </w:instrText>
            </w:r>
            <w:r w:rsidRPr="00330EE5">
              <w:rPr>
                <w:noProof/>
                <w:webHidden/>
                <w:sz w:val="24"/>
                <w:szCs w:val="24"/>
              </w:rPr>
            </w:r>
            <w:r w:rsidRPr="00330EE5">
              <w:rPr>
                <w:noProof/>
                <w:webHidden/>
                <w:sz w:val="24"/>
                <w:szCs w:val="24"/>
              </w:rPr>
              <w:fldChar w:fldCharType="separate"/>
            </w:r>
            <w:r w:rsidRPr="00330EE5">
              <w:rPr>
                <w:noProof/>
                <w:webHidden/>
                <w:sz w:val="24"/>
                <w:szCs w:val="24"/>
              </w:rPr>
              <w:t>20</w:t>
            </w:r>
            <w:r w:rsidRPr="00330EE5">
              <w:rPr>
                <w:noProof/>
                <w:webHidden/>
                <w:sz w:val="24"/>
                <w:szCs w:val="24"/>
              </w:rPr>
              <w:fldChar w:fldCharType="end"/>
            </w:r>
          </w:hyperlink>
        </w:p>
        <w:p w14:paraId="518E0050" w14:textId="619867D5" w:rsidR="00330EE5" w:rsidRPr="00330EE5" w:rsidRDefault="00330EE5" w:rsidP="00330EE5">
          <w:pPr>
            <w:pStyle w:val="TOC2"/>
            <w:tabs>
              <w:tab w:val="right" w:leader="dot" w:pos="9019"/>
            </w:tabs>
            <w:spacing w:line="360" w:lineRule="auto"/>
            <w:jc w:val="both"/>
            <w:rPr>
              <w:noProof/>
              <w:sz w:val="24"/>
              <w:szCs w:val="24"/>
            </w:rPr>
          </w:pPr>
          <w:hyperlink w:anchor="_Toc237451736" w:history="1">
            <w:r w:rsidRPr="00330EE5">
              <w:rPr>
                <w:rStyle w:val="Hyperlink"/>
                <w:noProof/>
                <w:sz w:val="24"/>
                <w:szCs w:val="24"/>
              </w:rPr>
              <w:t>5.5 Net Present Value</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_Toc237451736 \h </w:instrText>
            </w:r>
            <w:r w:rsidRPr="00330EE5">
              <w:rPr>
                <w:noProof/>
                <w:webHidden/>
                <w:sz w:val="24"/>
                <w:szCs w:val="24"/>
              </w:rPr>
            </w:r>
            <w:r w:rsidRPr="00330EE5">
              <w:rPr>
                <w:noProof/>
                <w:webHidden/>
                <w:sz w:val="24"/>
                <w:szCs w:val="24"/>
              </w:rPr>
              <w:fldChar w:fldCharType="separate"/>
            </w:r>
            <w:r w:rsidRPr="00330EE5">
              <w:rPr>
                <w:noProof/>
                <w:webHidden/>
                <w:sz w:val="24"/>
                <w:szCs w:val="24"/>
              </w:rPr>
              <w:t>20</w:t>
            </w:r>
            <w:r w:rsidRPr="00330EE5">
              <w:rPr>
                <w:noProof/>
                <w:webHidden/>
                <w:sz w:val="24"/>
                <w:szCs w:val="24"/>
              </w:rPr>
              <w:fldChar w:fldCharType="end"/>
            </w:r>
          </w:hyperlink>
        </w:p>
        <w:p w14:paraId="4FAEE5D0" w14:textId="205B62B6" w:rsidR="00330EE5" w:rsidRPr="00330EE5" w:rsidRDefault="00330EE5" w:rsidP="00330EE5">
          <w:pPr>
            <w:pStyle w:val="TOC2"/>
            <w:tabs>
              <w:tab w:val="right" w:leader="dot" w:pos="9019"/>
            </w:tabs>
            <w:spacing w:line="360" w:lineRule="auto"/>
            <w:jc w:val="both"/>
            <w:rPr>
              <w:noProof/>
              <w:sz w:val="24"/>
              <w:szCs w:val="24"/>
            </w:rPr>
          </w:pPr>
          <w:hyperlink w:anchor="_Toc237451737" w:history="1">
            <w:r w:rsidRPr="00330EE5">
              <w:rPr>
                <w:rStyle w:val="Hyperlink"/>
                <w:noProof/>
                <w:sz w:val="24"/>
                <w:szCs w:val="24"/>
              </w:rPr>
              <w:t>5.6 Profitability Index</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_Toc237451737 \h </w:instrText>
            </w:r>
            <w:r w:rsidRPr="00330EE5">
              <w:rPr>
                <w:noProof/>
                <w:webHidden/>
                <w:sz w:val="24"/>
                <w:szCs w:val="24"/>
              </w:rPr>
            </w:r>
            <w:r w:rsidRPr="00330EE5">
              <w:rPr>
                <w:noProof/>
                <w:webHidden/>
                <w:sz w:val="24"/>
                <w:szCs w:val="24"/>
              </w:rPr>
              <w:fldChar w:fldCharType="separate"/>
            </w:r>
            <w:r w:rsidRPr="00330EE5">
              <w:rPr>
                <w:noProof/>
                <w:webHidden/>
                <w:sz w:val="24"/>
                <w:szCs w:val="24"/>
              </w:rPr>
              <w:t>20</w:t>
            </w:r>
            <w:r w:rsidRPr="00330EE5">
              <w:rPr>
                <w:noProof/>
                <w:webHidden/>
                <w:sz w:val="24"/>
                <w:szCs w:val="24"/>
              </w:rPr>
              <w:fldChar w:fldCharType="end"/>
            </w:r>
          </w:hyperlink>
        </w:p>
        <w:p w14:paraId="03B33F52" w14:textId="6887740C" w:rsidR="00330EE5" w:rsidRPr="00330EE5" w:rsidRDefault="00330EE5" w:rsidP="00330EE5">
          <w:pPr>
            <w:pStyle w:val="TOC2"/>
            <w:tabs>
              <w:tab w:val="right" w:leader="dot" w:pos="9019"/>
            </w:tabs>
            <w:spacing w:line="360" w:lineRule="auto"/>
            <w:jc w:val="both"/>
            <w:rPr>
              <w:noProof/>
              <w:sz w:val="24"/>
              <w:szCs w:val="24"/>
            </w:rPr>
          </w:pPr>
          <w:hyperlink w:anchor="_Toc237451738" w:history="1">
            <w:r w:rsidRPr="00330EE5">
              <w:rPr>
                <w:rStyle w:val="Hyperlink"/>
                <w:noProof/>
                <w:sz w:val="24"/>
                <w:szCs w:val="24"/>
              </w:rPr>
              <w:t>5.7 Internal Rate of Return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_Toc237451738 \h </w:instrText>
            </w:r>
            <w:r w:rsidRPr="00330EE5">
              <w:rPr>
                <w:noProof/>
                <w:webHidden/>
                <w:sz w:val="24"/>
                <w:szCs w:val="24"/>
              </w:rPr>
            </w:r>
            <w:r w:rsidRPr="00330EE5">
              <w:rPr>
                <w:noProof/>
                <w:webHidden/>
                <w:sz w:val="24"/>
                <w:szCs w:val="24"/>
              </w:rPr>
              <w:fldChar w:fldCharType="separate"/>
            </w:r>
            <w:r w:rsidRPr="00330EE5">
              <w:rPr>
                <w:noProof/>
                <w:webHidden/>
                <w:sz w:val="24"/>
                <w:szCs w:val="24"/>
              </w:rPr>
              <w:t>21</w:t>
            </w:r>
            <w:r w:rsidRPr="00330EE5">
              <w:rPr>
                <w:noProof/>
                <w:webHidden/>
                <w:sz w:val="24"/>
                <w:szCs w:val="24"/>
              </w:rPr>
              <w:fldChar w:fldCharType="end"/>
            </w:r>
          </w:hyperlink>
        </w:p>
        <w:p w14:paraId="0E90EFB4" w14:textId="3E55F22E" w:rsidR="00330EE5" w:rsidRPr="00330EE5" w:rsidRDefault="00330EE5" w:rsidP="00330EE5">
          <w:pPr>
            <w:pStyle w:val="TOC2"/>
            <w:tabs>
              <w:tab w:val="right" w:leader="dot" w:pos="9019"/>
            </w:tabs>
            <w:spacing w:line="360" w:lineRule="auto"/>
            <w:jc w:val="both"/>
            <w:rPr>
              <w:noProof/>
              <w:sz w:val="24"/>
              <w:szCs w:val="24"/>
            </w:rPr>
          </w:pPr>
          <w:hyperlink w:anchor="_Toc237451739" w:history="1">
            <w:r w:rsidRPr="00330EE5">
              <w:rPr>
                <w:rStyle w:val="Hyperlink"/>
                <w:noProof/>
                <w:sz w:val="24"/>
                <w:szCs w:val="24"/>
              </w:rPr>
              <w:t>5.8 Overall Project Comparison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_Toc237451739 \h </w:instrText>
            </w:r>
            <w:r w:rsidRPr="00330EE5">
              <w:rPr>
                <w:noProof/>
                <w:webHidden/>
                <w:sz w:val="24"/>
                <w:szCs w:val="24"/>
              </w:rPr>
            </w:r>
            <w:r w:rsidRPr="00330EE5">
              <w:rPr>
                <w:noProof/>
                <w:webHidden/>
                <w:sz w:val="24"/>
                <w:szCs w:val="24"/>
              </w:rPr>
              <w:fldChar w:fldCharType="separate"/>
            </w:r>
            <w:r w:rsidRPr="00330EE5">
              <w:rPr>
                <w:noProof/>
                <w:webHidden/>
                <w:sz w:val="24"/>
                <w:szCs w:val="24"/>
              </w:rPr>
              <w:t>21</w:t>
            </w:r>
            <w:r w:rsidRPr="00330EE5">
              <w:rPr>
                <w:noProof/>
                <w:webHidden/>
                <w:sz w:val="24"/>
                <w:szCs w:val="24"/>
              </w:rPr>
              <w:fldChar w:fldCharType="end"/>
            </w:r>
          </w:hyperlink>
        </w:p>
        <w:p w14:paraId="694887BB" w14:textId="4F3D2235" w:rsidR="00330EE5" w:rsidRPr="00330EE5" w:rsidRDefault="00330EE5" w:rsidP="00330EE5">
          <w:pPr>
            <w:pStyle w:val="TOC2"/>
            <w:tabs>
              <w:tab w:val="right" w:leader="dot" w:pos="9019"/>
            </w:tabs>
            <w:spacing w:line="360" w:lineRule="auto"/>
            <w:jc w:val="both"/>
            <w:rPr>
              <w:noProof/>
              <w:sz w:val="24"/>
              <w:szCs w:val="24"/>
            </w:rPr>
          </w:pPr>
          <w:hyperlink w:anchor="_Toc237451740" w:history="1">
            <w:r w:rsidRPr="00330EE5">
              <w:rPr>
                <w:rStyle w:val="Hyperlink"/>
                <w:noProof/>
                <w:sz w:val="24"/>
                <w:szCs w:val="24"/>
              </w:rPr>
              <w:t>5.9 Recommended Project</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_Toc237451740 \h </w:instrText>
            </w:r>
            <w:r w:rsidRPr="00330EE5">
              <w:rPr>
                <w:noProof/>
                <w:webHidden/>
                <w:sz w:val="24"/>
                <w:szCs w:val="24"/>
              </w:rPr>
            </w:r>
            <w:r w:rsidRPr="00330EE5">
              <w:rPr>
                <w:noProof/>
                <w:webHidden/>
                <w:sz w:val="24"/>
                <w:szCs w:val="24"/>
              </w:rPr>
              <w:fldChar w:fldCharType="separate"/>
            </w:r>
            <w:r w:rsidRPr="00330EE5">
              <w:rPr>
                <w:noProof/>
                <w:webHidden/>
                <w:sz w:val="24"/>
                <w:szCs w:val="24"/>
              </w:rPr>
              <w:t>22</w:t>
            </w:r>
            <w:r w:rsidRPr="00330EE5">
              <w:rPr>
                <w:noProof/>
                <w:webHidden/>
                <w:sz w:val="24"/>
                <w:szCs w:val="24"/>
              </w:rPr>
              <w:fldChar w:fldCharType="end"/>
            </w:r>
          </w:hyperlink>
        </w:p>
        <w:p w14:paraId="1E8C0BBE" w14:textId="428E87B7" w:rsidR="00330EE5" w:rsidRPr="00330EE5" w:rsidRDefault="00330EE5" w:rsidP="00330EE5">
          <w:pPr>
            <w:pStyle w:val="TOC2"/>
            <w:tabs>
              <w:tab w:val="right" w:leader="dot" w:pos="9019"/>
            </w:tabs>
            <w:spacing w:line="360" w:lineRule="auto"/>
            <w:jc w:val="both"/>
            <w:rPr>
              <w:noProof/>
              <w:sz w:val="24"/>
              <w:szCs w:val="24"/>
            </w:rPr>
          </w:pPr>
          <w:hyperlink w:anchor="_Toc237451741" w:history="1">
            <w:r w:rsidRPr="00330EE5">
              <w:rPr>
                <w:rStyle w:val="Hyperlink"/>
                <w:noProof/>
                <w:sz w:val="24"/>
                <w:szCs w:val="24"/>
              </w:rPr>
              <w:t>5.10 Capital Rationing: £100m Budget</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_Toc237451741 \h </w:instrText>
            </w:r>
            <w:r w:rsidRPr="00330EE5">
              <w:rPr>
                <w:noProof/>
                <w:webHidden/>
                <w:sz w:val="24"/>
                <w:szCs w:val="24"/>
              </w:rPr>
            </w:r>
            <w:r w:rsidRPr="00330EE5">
              <w:rPr>
                <w:noProof/>
                <w:webHidden/>
                <w:sz w:val="24"/>
                <w:szCs w:val="24"/>
              </w:rPr>
              <w:fldChar w:fldCharType="separate"/>
            </w:r>
            <w:r w:rsidRPr="00330EE5">
              <w:rPr>
                <w:noProof/>
                <w:webHidden/>
                <w:sz w:val="24"/>
                <w:szCs w:val="24"/>
              </w:rPr>
              <w:t>22</w:t>
            </w:r>
            <w:r w:rsidRPr="00330EE5">
              <w:rPr>
                <w:noProof/>
                <w:webHidden/>
                <w:sz w:val="24"/>
                <w:szCs w:val="24"/>
              </w:rPr>
              <w:fldChar w:fldCharType="end"/>
            </w:r>
          </w:hyperlink>
        </w:p>
        <w:p w14:paraId="7DAB46B2" w14:textId="2971F44A" w:rsidR="00330EE5" w:rsidRPr="00330EE5" w:rsidRDefault="00330EE5" w:rsidP="00330EE5">
          <w:pPr>
            <w:pStyle w:val="TOC2"/>
            <w:tabs>
              <w:tab w:val="right" w:leader="dot" w:pos="9019"/>
            </w:tabs>
            <w:spacing w:line="360" w:lineRule="auto"/>
            <w:jc w:val="both"/>
            <w:rPr>
              <w:noProof/>
              <w:sz w:val="24"/>
              <w:szCs w:val="24"/>
            </w:rPr>
          </w:pPr>
          <w:hyperlink w:anchor="_Toc237451742" w:history="1">
            <w:r w:rsidRPr="00330EE5">
              <w:rPr>
                <w:rStyle w:val="Hyperlink"/>
                <w:noProof/>
                <w:sz w:val="24"/>
                <w:szCs w:val="24"/>
              </w:rPr>
              <w:t>5.11 Investment Risks and Sensitivity</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_Toc237451742 \h </w:instrText>
            </w:r>
            <w:r w:rsidRPr="00330EE5">
              <w:rPr>
                <w:noProof/>
                <w:webHidden/>
                <w:sz w:val="24"/>
                <w:szCs w:val="24"/>
              </w:rPr>
            </w:r>
            <w:r w:rsidRPr="00330EE5">
              <w:rPr>
                <w:noProof/>
                <w:webHidden/>
                <w:sz w:val="24"/>
                <w:szCs w:val="24"/>
              </w:rPr>
              <w:fldChar w:fldCharType="separate"/>
            </w:r>
            <w:r w:rsidRPr="00330EE5">
              <w:rPr>
                <w:noProof/>
                <w:webHidden/>
                <w:sz w:val="24"/>
                <w:szCs w:val="24"/>
              </w:rPr>
              <w:t>23</w:t>
            </w:r>
            <w:r w:rsidRPr="00330EE5">
              <w:rPr>
                <w:noProof/>
                <w:webHidden/>
                <w:sz w:val="24"/>
                <w:szCs w:val="24"/>
              </w:rPr>
              <w:fldChar w:fldCharType="end"/>
            </w:r>
          </w:hyperlink>
        </w:p>
        <w:p w14:paraId="2EC4103A" w14:textId="33B08193" w:rsidR="00330EE5" w:rsidRPr="00330EE5" w:rsidRDefault="00330EE5" w:rsidP="00330EE5">
          <w:pPr>
            <w:pStyle w:val="TOC1"/>
            <w:tabs>
              <w:tab w:val="right" w:leader="dot" w:pos="9019"/>
            </w:tabs>
            <w:spacing w:line="360" w:lineRule="auto"/>
            <w:jc w:val="both"/>
            <w:rPr>
              <w:noProof/>
              <w:sz w:val="24"/>
              <w:szCs w:val="24"/>
            </w:rPr>
          </w:pPr>
          <w:hyperlink w:anchor="_Toc237451743" w:history="1">
            <w:r w:rsidRPr="00330EE5">
              <w:rPr>
                <w:rStyle w:val="Hyperlink"/>
                <w:noProof/>
                <w:sz w:val="24"/>
                <w:szCs w:val="24"/>
              </w:rPr>
              <w:t>6. Critical Reflection on AI Usage</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_Toc237451743 \h </w:instrText>
            </w:r>
            <w:r w:rsidRPr="00330EE5">
              <w:rPr>
                <w:noProof/>
                <w:webHidden/>
                <w:sz w:val="24"/>
                <w:szCs w:val="24"/>
              </w:rPr>
            </w:r>
            <w:r w:rsidRPr="00330EE5">
              <w:rPr>
                <w:noProof/>
                <w:webHidden/>
                <w:sz w:val="24"/>
                <w:szCs w:val="24"/>
              </w:rPr>
              <w:fldChar w:fldCharType="separate"/>
            </w:r>
            <w:r w:rsidRPr="00330EE5">
              <w:rPr>
                <w:noProof/>
                <w:webHidden/>
                <w:sz w:val="24"/>
                <w:szCs w:val="24"/>
              </w:rPr>
              <w:t>23</w:t>
            </w:r>
            <w:r w:rsidRPr="00330EE5">
              <w:rPr>
                <w:noProof/>
                <w:webHidden/>
                <w:sz w:val="24"/>
                <w:szCs w:val="24"/>
              </w:rPr>
              <w:fldChar w:fldCharType="end"/>
            </w:r>
          </w:hyperlink>
        </w:p>
        <w:p w14:paraId="32AF5AC3" w14:textId="4889DBBB" w:rsidR="00330EE5" w:rsidRPr="00330EE5" w:rsidRDefault="00330EE5" w:rsidP="00330EE5">
          <w:pPr>
            <w:pStyle w:val="TOC2"/>
            <w:tabs>
              <w:tab w:val="right" w:leader="dot" w:pos="9019"/>
            </w:tabs>
            <w:spacing w:line="360" w:lineRule="auto"/>
            <w:jc w:val="both"/>
            <w:rPr>
              <w:noProof/>
              <w:sz w:val="24"/>
              <w:szCs w:val="24"/>
            </w:rPr>
          </w:pPr>
          <w:hyperlink w:anchor="_Toc237451744" w:history="1">
            <w:r w:rsidRPr="00330EE5">
              <w:rPr>
                <w:rStyle w:val="Hyperlink"/>
                <w:noProof/>
                <w:sz w:val="24"/>
                <w:szCs w:val="24"/>
              </w:rPr>
              <w:t>6.1 AI Tool Disclosure</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_Toc237451744 \h </w:instrText>
            </w:r>
            <w:r w:rsidRPr="00330EE5">
              <w:rPr>
                <w:noProof/>
                <w:webHidden/>
                <w:sz w:val="24"/>
                <w:szCs w:val="24"/>
              </w:rPr>
            </w:r>
            <w:r w:rsidRPr="00330EE5">
              <w:rPr>
                <w:noProof/>
                <w:webHidden/>
                <w:sz w:val="24"/>
                <w:szCs w:val="24"/>
              </w:rPr>
              <w:fldChar w:fldCharType="separate"/>
            </w:r>
            <w:r w:rsidRPr="00330EE5">
              <w:rPr>
                <w:noProof/>
                <w:webHidden/>
                <w:sz w:val="24"/>
                <w:szCs w:val="24"/>
              </w:rPr>
              <w:t>23</w:t>
            </w:r>
            <w:r w:rsidRPr="00330EE5">
              <w:rPr>
                <w:noProof/>
                <w:webHidden/>
                <w:sz w:val="24"/>
                <w:szCs w:val="24"/>
              </w:rPr>
              <w:fldChar w:fldCharType="end"/>
            </w:r>
          </w:hyperlink>
        </w:p>
        <w:p w14:paraId="0C39AE94" w14:textId="27D60CF4" w:rsidR="00330EE5" w:rsidRPr="00330EE5" w:rsidRDefault="00330EE5" w:rsidP="00330EE5">
          <w:pPr>
            <w:pStyle w:val="TOC2"/>
            <w:tabs>
              <w:tab w:val="right" w:leader="dot" w:pos="9019"/>
            </w:tabs>
            <w:spacing w:line="360" w:lineRule="auto"/>
            <w:jc w:val="both"/>
            <w:rPr>
              <w:noProof/>
              <w:sz w:val="24"/>
              <w:szCs w:val="24"/>
            </w:rPr>
          </w:pPr>
          <w:hyperlink w:anchor="_Toc237451745" w:history="1">
            <w:r w:rsidRPr="00330EE5">
              <w:rPr>
                <w:rStyle w:val="Hyperlink"/>
                <w:noProof/>
                <w:sz w:val="24"/>
                <w:szCs w:val="24"/>
              </w:rPr>
              <w:t>6.2 Critical Evaluation and Verification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_Toc237451745 \h </w:instrText>
            </w:r>
            <w:r w:rsidRPr="00330EE5">
              <w:rPr>
                <w:noProof/>
                <w:webHidden/>
                <w:sz w:val="24"/>
                <w:szCs w:val="24"/>
              </w:rPr>
            </w:r>
            <w:r w:rsidRPr="00330EE5">
              <w:rPr>
                <w:noProof/>
                <w:webHidden/>
                <w:sz w:val="24"/>
                <w:szCs w:val="24"/>
              </w:rPr>
              <w:fldChar w:fldCharType="separate"/>
            </w:r>
            <w:r w:rsidRPr="00330EE5">
              <w:rPr>
                <w:noProof/>
                <w:webHidden/>
                <w:sz w:val="24"/>
                <w:szCs w:val="24"/>
              </w:rPr>
              <w:t>23</w:t>
            </w:r>
            <w:r w:rsidRPr="00330EE5">
              <w:rPr>
                <w:noProof/>
                <w:webHidden/>
                <w:sz w:val="24"/>
                <w:szCs w:val="24"/>
              </w:rPr>
              <w:fldChar w:fldCharType="end"/>
            </w:r>
          </w:hyperlink>
        </w:p>
        <w:p w14:paraId="1BEB1F09" w14:textId="0E3F6D78" w:rsidR="00330EE5" w:rsidRPr="00330EE5" w:rsidRDefault="00330EE5" w:rsidP="00330EE5">
          <w:pPr>
            <w:pStyle w:val="TOC2"/>
            <w:tabs>
              <w:tab w:val="right" w:leader="dot" w:pos="9019"/>
            </w:tabs>
            <w:spacing w:line="360" w:lineRule="auto"/>
            <w:jc w:val="both"/>
            <w:rPr>
              <w:noProof/>
              <w:sz w:val="24"/>
              <w:szCs w:val="24"/>
            </w:rPr>
          </w:pPr>
          <w:hyperlink w:anchor="_Toc237451746" w:history="1">
            <w:r w:rsidRPr="00330EE5">
              <w:rPr>
                <w:rStyle w:val="Hyperlink"/>
                <w:noProof/>
                <w:sz w:val="24"/>
                <w:szCs w:val="24"/>
              </w:rPr>
              <w:t>6.3 Contribution of AI vs Original Analysis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_Toc237451746 \h </w:instrText>
            </w:r>
            <w:r w:rsidRPr="00330EE5">
              <w:rPr>
                <w:noProof/>
                <w:webHidden/>
                <w:sz w:val="24"/>
                <w:szCs w:val="24"/>
              </w:rPr>
            </w:r>
            <w:r w:rsidRPr="00330EE5">
              <w:rPr>
                <w:noProof/>
                <w:webHidden/>
                <w:sz w:val="24"/>
                <w:szCs w:val="24"/>
              </w:rPr>
              <w:fldChar w:fldCharType="separate"/>
            </w:r>
            <w:r w:rsidRPr="00330EE5">
              <w:rPr>
                <w:noProof/>
                <w:webHidden/>
                <w:sz w:val="24"/>
                <w:szCs w:val="24"/>
              </w:rPr>
              <w:t>24</w:t>
            </w:r>
            <w:r w:rsidRPr="00330EE5">
              <w:rPr>
                <w:noProof/>
                <w:webHidden/>
                <w:sz w:val="24"/>
                <w:szCs w:val="24"/>
              </w:rPr>
              <w:fldChar w:fldCharType="end"/>
            </w:r>
          </w:hyperlink>
        </w:p>
        <w:p w14:paraId="261269BF" w14:textId="5BD0510D" w:rsidR="00330EE5" w:rsidRPr="00330EE5" w:rsidRDefault="00330EE5" w:rsidP="00330EE5">
          <w:pPr>
            <w:pStyle w:val="TOC2"/>
            <w:tabs>
              <w:tab w:val="right" w:leader="dot" w:pos="9019"/>
            </w:tabs>
            <w:spacing w:line="360" w:lineRule="auto"/>
            <w:jc w:val="both"/>
            <w:rPr>
              <w:noProof/>
              <w:sz w:val="24"/>
              <w:szCs w:val="24"/>
            </w:rPr>
          </w:pPr>
          <w:hyperlink w:anchor="_Toc237451747" w:history="1">
            <w:r w:rsidRPr="00330EE5">
              <w:rPr>
                <w:rStyle w:val="Hyperlink"/>
                <w:noProof/>
                <w:sz w:val="24"/>
                <w:szCs w:val="24"/>
              </w:rPr>
              <w:t>6.4 Profession and Ethical Reflection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_Toc237451747 \h </w:instrText>
            </w:r>
            <w:r w:rsidRPr="00330EE5">
              <w:rPr>
                <w:noProof/>
                <w:webHidden/>
                <w:sz w:val="24"/>
                <w:szCs w:val="24"/>
              </w:rPr>
            </w:r>
            <w:r w:rsidRPr="00330EE5">
              <w:rPr>
                <w:noProof/>
                <w:webHidden/>
                <w:sz w:val="24"/>
                <w:szCs w:val="24"/>
              </w:rPr>
              <w:fldChar w:fldCharType="separate"/>
            </w:r>
            <w:r w:rsidRPr="00330EE5">
              <w:rPr>
                <w:noProof/>
                <w:webHidden/>
                <w:sz w:val="24"/>
                <w:szCs w:val="24"/>
              </w:rPr>
              <w:t>24</w:t>
            </w:r>
            <w:r w:rsidRPr="00330EE5">
              <w:rPr>
                <w:noProof/>
                <w:webHidden/>
                <w:sz w:val="24"/>
                <w:szCs w:val="24"/>
              </w:rPr>
              <w:fldChar w:fldCharType="end"/>
            </w:r>
          </w:hyperlink>
        </w:p>
        <w:p w14:paraId="2B6F972F" w14:textId="759F7E88" w:rsidR="00330EE5" w:rsidRPr="00330EE5" w:rsidRDefault="00330EE5" w:rsidP="00330EE5">
          <w:pPr>
            <w:pStyle w:val="TOC1"/>
            <w:tabs>
              <w:tab w:val="right" w:leader="dot" w:pos="9019"/>
            </w:tabs>
            <w:spacing w:line="360" w:lineRule="auto"/>
            <w:jc w:val="both"/>
            <w:rPr>
              <w:noProof/>
              <w:sz w:val="24"/>
              <w:szCs w:val="24"/>
            </w:rPr>
          </w:pPr>
          <w:hyperlink w:anchor="_Toc237451748" w:history="1">
            <w:r w:rsidRPr="00330EE5">
              <w:rPr>
                <w:rStyle w:val="Hyperlink"/>
                <w:noProof/>
                <w:sz w:val="24"/>
                <w:szCs w:val="24"/>
              </w:rPr>
              <w:t>7. Conclusion and Recommendations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_Toc237451748 \h </w:instrText>
            </w:r>
            <w:r w:rsidRPr="00330EE5">
              <w:rPr>
                <w:noProof/>
                <w:webHidden/>
                <w:sz w:val="24"/>
                <w:szCs w:val="24"/>
              </w:rPr>
            </w:r>
            <w:r w:rsidRPr="00330EE5">
              <w:rPr>
                <w:noProof/>
                <w:webHidden/>
                <w:sz w:val="24"/>
                <w:szCs w:val="24"/>
              </w:rPr>
              <w:fldChar w:fldCharType="separate"/>
            </w:r>
            <w:r w:rsidRPr="00330EE5">
              <w:rPr>
                <w:noProof/>
                <w:webHidden/>
                <w:sz w:val="24"/>
                <w:szCs w:val="24"/>
              </w:rPr>
              <w:t>24</w:t>
            </w:r>
            <w:r w:rsidRPr="00330EE5">
              <w:rPr>
                <w:noProof/>
                <w:webHidden/>
                <w:sz w:val="24"/>
                <w:szCs w:val="24"/>
              </w:rPr>
              <w:fldChar w:fldCharType="end"/>
            </w:r>
          </w:hyperlink>
        </w:p>
        <w:p w14:paraId="7307B4E5" w14:textId="0335C81A" w:rsidR="00330EE5" w:rsidRPr="00330EE5" w:rsidRDefault="00330EE5" w:rsidP="00330EE5">
          <w:pPr>
            <w:pStyle w:val="TOC2"/>
            <w:tabs>
              <w:tab w:val="right" w:leader="dot" w:pos="9019"/>
            </w:tabs>
            <w:spacing w:line="360" w:lineRule="auto"/>
            <w:jc w:val="both"/>
            <w:rPr>
              <w:noProof/>
              <w:sz w:val="24"/>
              <w:szCs w:val="24"/>
            </w:rPr>
          </w:pPr>
          <w:hyperlink w:anchor="_Toc237451749" w:history="1">
            <w:r w:rsidRPr="00330EE5">
              <w:rPr>
                <w:rStyle w:val="Hyperlink"/>
                <w:noProof/>
                <w:sz w:val="24"/>
                <w:szCs w:val="24"/>
              </w:rPr>
              <w:t>7.1 Conclusion</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_Toc237451749 \h </w:instrText>
            </w:r>
            <w:r w:rsidRPr="00330EE5">
              <w:rPr>
                <w:noProof/>
                <w:webHidden/>
                <w:sz w:val="24"/>
                <w:szCs w:val="24"/>
              </w:rPr>
            </w:r>
            <w:r w:rsidRPr="00330EE5">
              <w:rPr>
                <w:noProof/>
                <w:webHidden/>
                <w:sz w:val="24"/>
                <w:szCs w:val="24"/>
              </w:rPr>
              <w:fldChar w:fldCharType="separate"/>
            </w:r>
            <w:r w:rsidRPr="00330EE5">
              <w:rPr>
                <w:noProof/>
                <w:webHidden/>
                <w:sz w:val="24"/>
                <w:szCs w:val="24"/>
              </w:rPr>
              <w:t>25</w:t>
            </w:r>
            <w:r w:rsidRPr="00330EE5">
              <w:rPr>
                <w:noProof/>
                <w:webHidden/>
                <w:sz w:val="24"/>
                <w:szCs w:val="24"/>
              </w:rPr>
              <w:fldChar w:fldCharType="end"/>
            </w:r>
          </w:hyperlink>
        </w:p>
        <w:p w14:paraId="09B3B8B2" w14:textId="5678FF9F" w:rsidR="00330EE5" w:rsidRPr="00330EE5" w:rsidRDefault="00330EE5" w:rsidP="00330EE5">
          <w:pPr>
            <w:pStyle w:val="TOC2"/>
            <w:tabs>
              <w:tab w:val="right" w:leader="dot" w:pos="9019"/>
            </w:tabs>
            <w:spacing w:line="360" w:lineRule="auto"/>
            <w:jc w:val="both"/>
            <w:rPr>
              <w:noProof/>
              <w:sz w:val="24"/>
              <w:szCs w:val="24"/>
            </w:rPr>
          </w:pPr>
          <w:hyperlink w:anchor="_Toc237451750" w:history="1">
            <w:r w:rsidRPr="00330EE5">
              <w:rPr>
                <w:rStyle w:val="Hyperlink"/>
                <w:noProof/>
                <w:sz w:val="24"/>
                <w:szCs w:val="24"/>
              </w:rPr>
              <w:t>7.2 Recommendations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_Toc237451750 \h </w:instrText>
            </w:r>
            <w:r w:rsidRPr="00330EE5">
              <w:rPr>
                <w:noProof/>
                <w:webHidden/>
                <w:sz w:val="24"/>
                <w:szCs w:val="24"/>
              </w:rPr>
            </w:r>
            <w:r w:rsidRPr="00330EE5">
              <w:rPr>
                <w:noProof/>
                <w:webHidden/>
                <w:sz w:val="24"/>
                <w:szCs w:val="24"/>
              </w:rPr>
              <w:fldChar w:fldCharType="separate"/>
            </w:r>
            <w:r w:rsidRPr="00330EE5">
              <w:rPr>
                <w:noProof/>
                <w:webHidden/>
                <w:sz w:val="24"/>
                <w:szCs w:val="24"/>
              </w:rPr>
              <w:t>25</w:t>
            </w:r>
            <w:r w:rsidRPr="00330EE5">
              <w:rPr>
                <w:noProof/>
                <w:webHidden/>
                <w:sz w:val="24"/>
                <w:szCs w:val="24"/>
              </w:rPr>
              <w:fldChar w:fldCharType="end"/>
            </w:r>
          </w:hyperlink>
        </w:p>
        <w:p w14:paraId="4EC12FBF" w14:textId="6647D482" w:rsidR="00330EE5" w:rsidRPr="00330EE5" w:rsidRDefault="00330EE5" w:rsidP="00330EE5">
          <w:pPr>
            <w:pStyle w:val="TOC1"/>
            <w:tabs>
              <w:tab w:val="right" w:leader="dot" w:pos="9019"/>
            </w:tabs>
            <w:spacing w:line="360" w:lineRule="auto"/>
            <w:jc w:val="both"/>
            <w:rPr>
              <w:noProof/>
              <w:sz w:val="24"/>
              <w:szCs w:val="24"/>
            </w:rPr>
          </w:pPr>
          <w:hyperlink w:anchor="_Toc237451751" w:history="1">
            <w:r w:rsidRPr="00330EE5">
              <w:rPr>
                <w:rStyle w:val="Hyperlink"/>
                <w:noProof/>
                <w:sz w:val="24"/>
                <w:szCs w:val="24"/>
              </w:rPr>
              <w:t>References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_Toc237451751 \h </w:instrText>
            </w:r>
            <w:r w:rsidRPr="00330EE5">
              <w:rPr>
                <w:noProof/>
                <w:webHidden/>
                <w:sz w:val="24"/>
                <w:szCs w:val="24"/>
              </w:rPr>
            </w:r>
            <w:r w:rsidRPr="00330EE5">
              <w:rPr>
                <w:noProof/>
                <w:webHidden/>
                <w:sz w:val="24"/>
                <w:szCs w:val="24"/>
              </w:rPr>
              <w:fldChar w:fldCharType="separate"/>
            </w:r>
            <w:r w:rsidRPr="00330EE5">
              <w:rPr>
                <w:noProof/>
                <w:webHidden/>
                <w:sz w:val="24"/>
                <w:szCs w:val="24"/>
              </w:rPr>
              <w:t>26</w:t>
            </w:r>
            <w:r w:rsidRPr="00330EE5">
              <w:rPr>
                <w:noProof/>
                <w:webHidden/>
                <w:sz w:val="24"/>
                <w:szCs w:val="24"/>
              </w:rPr>
              <w:fldChar w:fldCharType="end"/>
            </w:r>
          </w:hyperlink>
        </w:p>
        <w:p w14:paraId="64519D3C" w14:textId="472A1242" w:rsidR="00330EE5" w:rsidRPr="00330EE5" w:rsidRDefault="00330EE5" w:rsidP="00330EE5">
          <w:pPr>
            <w:pStyle w:val="TOC1"/>
            <w:tabs>
              <w:tab w:val="right" w:leader="dot" w:pos="9019"/>
            </w:tabs>
            <w:spacing w:line="360" w:lineRule="auto"/>
            <w:jc w:val="both"/>
            <w:rPr>
              <w:noProof/>
              <w:sz w:val="24"/>
              <w:szCs w:val="24"/>
            </w:rPr>
          </w:pPr>
          <w:hyperlink w:anchor="_Toc237451752" w:history="1">
            <w:r w:rsidRPr="00330EE5">
              <w:rPr>
                <w:rStyle w:val="Hyperlink"/>
                <w:noProof/>
                <w:sz w:val="24"/>
                <w:szCs w:val="24"/>
                <w:lang w:val="en-IN"/>
              </w:rPr>
              <w:t>Appendices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_Toc237451752 \h </w:instrText>
            </w:r>
            <w:r w:rsidRPr="00330EE5">
              <w:rPr>
                <w:noProof/>
                <w:webHidden/>
                <w:sz w:val="24"/>
                <w:szCs w:val="24"/>
              </w:rPr>
            </w:r>
            <w:r w:rsidRPr="00330EE5">
              <w:rPr>
                <w:noProof/>
                <w:webHidden/>
                <w:sz w:val="24"/>
                <w:szCs w:val="24"/>
              </w:rPr>
              <w:fldChar w:fldCharType="separate"/>
            </w:r>
            <w:r w:rsidRPr="00330EE5">
              <w:rPr>
                <w:noProof/>
                <w:webHidden/>
                <w:sz w:val="24"/>
                <w:szCs w:val="24"/>
              </w:rPr>
              <w:t>30</w:t>
            </w:r>
            <w:r w:rsidRPr="00330EE5">
              <w:rPr>
                <w:noProof/>
                <w:webHidden/>
                <w:sz w:val="24"/>
                <w:szCs w:val="24"/>
              </w:rPr>
              <w:fldChar w:fldCharType="end"/>
            </w:r>
          </w:hyperlink>
        </w:p>
        <w:p w14:paraId="2A09E163" w14:textId="2F5BF3C6" w:rsidR="00330EE5" w:rsidRPr="00330EE5" w:rsidRDefault="00330EE5" w:rsidP="00330EE5">
          <w:pPr>
            <w:pStyle w:val="TOC2"/>
            <w:tabs>
              <w:tab w:val="right" w:leader="dot" w:pos="9019"/>
            </w:tabs>
            <w:spacing w:line="360" w:lineRule="auto"/>
            <w:jc w:val="both"/>
            <w:rPr>
              <w:noProof/>
              <w:sz w:val="24"/>
              <w:szCs w:val="24"/>
            </w:rPr>
          </w:pPr>
          <w:hyperlink w:anchor="_Toc237451753" w:history="1">
            <w:r w:rsidRPr="00330EE5">
              <w:rPr>
                <w:rStyle w:val="Hyperlink"/>
                <w:noProof/>
                <w:sz w:val="24"/>
                <w:szCs w:val="24"/>
                <w:lang w:val="en-IN"/>
              </w:rPr>
              <w:t>Appendix A: Detailed ratio calculations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_Toc237451753 \h </w:instrText>
            </w:r>
            <w:r w:rsidRPr="00330EE5">
              <w:rPr>
                <w:noProof/>
                <w:webHidden/>
                <w:sz w:val="24"/>
                <w:szCs w:val="24"/>
              </w:rPr>
            </w:r>
            <w:r w:rsidRPr="00330EE5">
              <w:rPr>
                <w:noProof/>
                <w:webHidden/>
                <w:sz w:val="24"/>
                <w:szCs w:val="24"/>
              </w:rPr>
              <w:fldChar w:fldCharType="separate"/>
            </w:r>
            <w:r w:rsidRPr="00330EE5">
              <w:rPr>
                <w:noProof/>
                <w:webHidden/>
                <w:sz w:val="24"/>
                <w:szCs w:val="24"/>
              </w:rPr>
              <w:t>30</w:t>
            </w:r>
            <w:r w:rsidRPr="00330EE5">
              <w:rPr>
                <w:noProof/>
                <w:webHidden/>
                <w:sz w:val="24"/>
                <w:szCs w:val="24"/>
              </w:rPr>
              <w:fldChar w:fldCharType="end"/>
            </w:r>
          </w:hyperlink>
        </w:p>
        <w:p w14:paraId="58185D98" w14:textId="23D76293" w:rsidR="00330EE5" w:rsidRPr="00330EE5" w:rsidRDefault="00330EE5" w:rsidP="00330EE5">
          <w:pPr>
            <w:pStyle w:val="TOC2"/>
            <w:tabs>
              <w:tab w:val="right" w:leader="dot" w:pos="9019"/>
            </w:tabs>
            <w:spacing w:line="360" w:lineRule="auto"/>
            <w:jc w:val="both"/>
            <w:rPr>
              <w:noProof/>
              <w:sz w:val="24"/>
              <w:szCs w:val="24"/>
            </w:rPr>
          </w:pPr>
          <w:hyperlink w:anchor="_Toc237451754" w:history="1">
            <w:r w:rsidRPr="00330EE5">
              <w:rPr>
                <w:rStyle w:val="Hyperlink"/>
                <w:noProof/>
                <w:sz w:val="24"/>
                <w:szCs w:val="24"/>
                <w:lang w:val="en-IN"/>
              </w:rPr>
              <w:t>Appendix B: PBP calculations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_Toc237451754 \h </w:instrText>
            </w:r>
            <w:r w:rsidRPr="00330EE5">
              <w:rPr>
                <w:noProof/>
                <w:webHidden/>
                <w:sz w:val="24"/>
                <w:szCs w:val="24"/>
              </w:rPr>
            </w:r>
            <w:r w:rsidRPr="00330EE5">
              <w:rPr>
                <w:noProof/>
                <w:webHidden/>
                <w:sz w:val="24"/>
                <w:szCs w:val="24"/>
              </w:rPr>
              <w:fldChar w:fldCharType="separate"/>
            </w:r>
            <w:r w:rsidRPr="00330EE5">
              <w:rPr>
                <w:noProof/>
                <w:webHidden/>
                <w:sz w:val="24"/>
                <w:szCs w:val="24"/>
              </w:rPr>
              <w:t>34</w:t>
            </w:r>
            <w:r w:rsidRPr="00330EE5">
              <w:rPr>
                <w:noProof/>
                <w:webHidden/>
                <w:sz w:val="24"/>
                <w:szCs w:val="24"/>
              </w:rPr>
              <w:fldChar w:fldCharType="end"/>
            </w:r>
          </w:hyperlink>
        </w:p>
        <w:p w14:paraId="39CB66C3" w14:textId="659E793C" w:rsidR="00330EE5" w:rsidRPr="00330EE5" w:rsidRDefault="00330EE5" w:rsidP="00330EE5">
          <w:pPr>
            <w:pStyle w:val="TOC2"/>
            <w:tabs>
              <w:tab w:val="right" w:leader="dot" w:pos="9019"/>
            </w:tabs>
            <w:spacing w:line="360" w:lineRule="auto"/>
            <w:jc w:val="both"/>
            <w:rPr>
              <w:noProof/>
              <w:sz w:val="24"/>
              <w:szCs w:val="24"/>
            </w:rPr>
          </w:pPr>
          <w:hyperlink w:anchor="_Toc237451755" w:history="1">
            <w:r w:rsidRPr="00330EE5">
              <w:rPr>
                <w:rStyle w:val="Hyperlink"/>
                <w:noProof/>
                <w:sz w:val="24"/>
                <w:szCs w:val="24"/>
                <w:lang w:val="en-IN"/>
              </w:rPr>
              <w:t>Appendix C: ARR calculations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_Toc237451755 \h </w:instrText>
            </w:r>
            <w:r w:rsidRPr="00330EE5">
              <w:rPr>
                <w:noProof/>
                <w:webHidden/>
                <w:sz w:val="24"/>
                <w:szCs w:val="24"/>
              </w:rPr>
            </w:r>
            <w:r w:rsidRPr="00330EE5">
              <w:rPr>
                <w:noProof/>
                <w:webHidden/>
                <w:sz w:val="24"/>
                <w:szCs w:val="24"/>
              </w:rPr>
              <w:fldChar w:fldCharType="separate"/>
            </w:r>
            <w:r w:rsidRPr="00330EE5">
              <w:rPr>
                <w:noProof/>
                <w:webHidden/>
                <w:sz w:val="24"/>
                <w:szCs w:val="24"/>
              </w:rPr>
              <w:t>36</w:t>
            </w:r>
            <w:r w:rsidRPr="00330EE5">
              <w:rPr>
                <w:noProof/>
                <w:webHidden/>
                <w:sz w:val="24"/>
                <w:szCs w:val="24"/>
              </w:rPr>
              <w:fldChar w:fldCharType="end"/>
            </w:r>
          </w:hyperlink>
        </w:p>
        <w:p w14:paraId="4B3218D0" w14:textId="41138BA0" w:rsidR="00330EE5" w:rsidRPr="00330EE5" w:rsidRDefault="00330EE5" w:rsidP="00330EE5">
          <w:pPr>
            <w:pStyle w:val="TOC2"/>
            <w:tabs>
              <w:tab w:val="right" w:leader="dot" w:pos="9019"/>
            </w:tabs>
            <w:spacing w:line="360" w:lineRule="auto"/>
            <w:jc w:val="both"/>
            <w:rPr>
              <w:noProof/>
              <w:sz w:val="24"/>
              <w:szCs w:val="24"/>
            </w:rPr>
          </w:pPr>
          <w:hyperlink w:anchor="_Toc237451756" w:history="1">
            <w:r w:rsidRPr="00330EE5">
              <w:rPr>
                <w:rStyle w:val="Hyperlink"/>
                <w:noProof/>
                <w:sz w:val="24"/>
                <w:szCs w:val="24"/>
                <w:lang w:val="en-IN"/>
              </w:rPr>
              <w:t>Appendix D: NPV calculations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_Toc237451756 \h </w:instrText>
            </w:r>
            <w:r w:rsidRPr="00330EE5">
              <w:rPr>
                <w:noProof/>
                <w:webHidden/>
                <w:sz w:val="24"/>
                <w:szCs w:val="24"/>
              </w:rPr>
            </w:r>
            <w:r w:rsidRPr="00330EE5">
              <w:rPr>
                <w:noProof/>
                <w:webHidden/>
                <w:sz w:val="24"/>
                <w:szCs w:val="24"/>
              </w:rPr>
              <w:fldChar w:fldCharType="separate"/>
            </w:r>
            <w:r w:rsidRPr="00330EE5">
              <w:rPr>
                <w:noProof/>
                <w:webHidden/>
                <w:sz w:val="24"/>
                <w:szCs w:val="24"/>
              </w:rPr>
              <w:t>39</w:t>
            </w:r>
            <w:r w:rsidRPr="00330EE5">
              <w:rPr>
                <w:noProof/>
                <w:webHidden/>
                <w:sz w:val="24"/>
                <w:szCs w:val="24"/>
              </w:rPr>
              <w:fldChar w:fldCharType="end"/>
            </w:r>
          </w:hyperlink>
        </w:p>
        <w:p w14:paraId="5BEEB276" w14:textId="2BA78AB6" w:rsidR="00330EE5" w:rsidRPr="00330EE5" w:rsidRDefault="00330EE5" w:rsidP="00330EE5">
          <w:pPr>
            <w:pStyle w:val="TOC2"/>
            <w:tabs>
              <w:tab w:val="right" w:leader="dot" w:pos="9019"/>
            </w:tabs>
            <w:spacing w:line="360" w:lineRule="auto"/>
            <w:jc w:val="both"/>
            <w:rPr>
              <w:noProof/>
              <w:sz w:val="24"/>
              <w:szCs w:val="24"/>
            </w:rPr>
          </w:pPr>
          <w:hyperlink w:anchor="_Toc237451757" w:history="1">
            <w:r w:rsidRPr="00330EE5">
              <w:rPr>
                <w:rStyle w:val="Hyperlink"/>
                <w:noProof/>
                <w:sz w:val="24"/>
                <w:szCs w:val="24"/>
                <w:lang w:val="en-IN"/>
              </w:rPr>
              <w:t>Appendix E: PI calculations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_Toc237451757 \h </w:instrText>
            </w:r>
            <w:r w:rsidRPr="00330EE5">
              <w:rPr>
                <w:noProof/>
                <w:webHidden/>
                <w:sz w:val="24"/>
                <w:szCs w:val="24"/>
              </w:rPr>
            </w:r>
            <w:r w:rsidRPr="00330EE5">
              <w:rPr>
                <w:noProof/>
                <w:webHidden/>
                <w:sz w:val="24"/>
                <w:szCs w:val="24"/>
              </w:rPr>
              <w:fldChar w:fldCharType="separate"/>
            </w:r>
            <w:r w:rsidRPr="00330EE5">
              <w:rPr>
                <w:noProof/>
                <w:webHidden/>
                <w:sz w:val="24"/>
                <w:szCs w:val="24"/>
              </w:rPr>
              <w:t>41</w:t>
            </w:r>
            <w:r w:rsidRPr="00330EE5">
              <w:rPr>
                <w:noProof/>
                <w:webHidden/>
                <w:sz w:val="24"/>
                <w:szCs w:val="24"/>
              </w:rPr>
              <w:fldChar w:fldCharType="end"/>
            </w:r>
          </w:hyperlink>
        </w:p>
        <w:p w14:paraId="6F413CF8" w14:textId="59A6F2DE" w:rsidR="00330EE5" w:rsidRPr="00330EE5" w:rsidRDefault="00330EE5" w:rsidP="00330EE5">
          <w:pPr>
            <w:pStyle w:val="TOC2"/>
            <w:tabs>
              <w:tab w:val="right" w:leader="dot" w:pos="9019"/>
            </w:tabs>
            <w:spacing w:line="360" w:lineRule="auto"/>
            <w:jc w:val="both"/>
            <w:rPr>
              <w:noProof/>
              <w:sz w:val="24"/>
              <w:szCs w:val="24"/>
            </w:rPr>
          </w:pPr>
          <w:hyperlink w:anchor="_Toc237451758" w:history="1">
            <w:r w:rsidRPr="00330EE5">
              <w:rPr>
                <w:rStyle w:val="Hyperlink"/>
                <w:noProof/>
                <w:sz w:val="24"/>
                <w:szCs w:val="24"/>
                <w:lang w:val="en-IN"/>
              </w:rPr>
              <w:t>Appendix F: IRR calculations</w:t>
            </w:r>
            <w:r w:rsidRPr="00330EE5">
              <w:rPr>
                <w:noProof/>
                <w:webHidden/>
                <w:sz w:val="24"/>
                <w:szCs w:val="24"/>
              </w:rPr>
              <w:tab/>
            </w:r>
            <w:r w:rsidRPr="00330EE5">
              <w:rPr>
                <w:noProof/>
                <w:webHidden/>
                <w:sz w:val="24"/>
                <w:szCs w:val="24"/>
              </w:rPr>
              <w:fldChar w:fldCharType="begin"/>
            </w:r>
            <w:r w:rsidRPr="00330EE5">
              <w:rPr>
                <w:noProof/>
                <w:webHidden/>
                <w:sz w:val="24"/>
                <w:szCs w:val="24"/>
              </w:rPr>
              <w:instrText xml:space="preserve"> PAGEREF _Toc237451758 \h </w:instrText>
            </w:r>
            <w:r w:rsidRPr="00330EE5">
              <w:rPr>
                <w:noProof/>
                <w:webHidden/>
                <w:sz w:val="24"/>
                <w:szCs w:val="24"/>
              </w:rPr>
            </w:r>
            <w:r w:rsidRPr="00330EE5">
              <w:rPr>
                <w:noProof/>
                <w:webHidden/>
                <w:sz w:val="24"/>
                <w:szCs w:val="24"/>
              </w:rPr>
              <w:fldChar w:fldCharType="separate"/>
            </w:r>
            <w:r w:rsidRPr="00330EE5">
              <w:rPr>
                <w:noProof/>
                <w:webHidden/>
                <w:sz w:val="24"/>
                <w:szCs w:val="24"/>
              </w:rPr>
              <w:t>43</w:t>
            </w:r>
            <w:r w:rsidRPr="00330EE5">
              <w:rPr>
                <w:noProof/>
                <w:webHidden/>
                <w:sz w:val="24"/>
                <w:szCs w:val="24"/>
              </w:rPr>
              <w:fldChar w:fldCharType="end"/>
            </w:r>
          </w:hyperlink>
        </w:p>
        <w:p w14:paraId="119FCEFE" w14:textId="74C00663" w:rsidR="00330EE5" w:rsidRDefault="00330EE5" w:rsidP="00330EE5">
          <w:pPr>
            <w:spacing w:line="360" w:lineRule="auto"/>
            <w:jc w:val="both"/>
          </w:pPr>
          <w:r w:rsidRPr="00330EE5">
            <w:rPr>
              <w:b/>
              <w:bCs/>
              <w:noProof/>
              <w:sz w:val="24"/>
              <w:szCs w:val="24"/>
            </w:rPr>
            <w:fldChar w:fldCharType="end"/>
          </w:r>
        </w:p>
      </w:sdtContent>
    </w:sdt>
    <w:p w14:paraId="07231E8D" w14:textId="77777777" w:rsidR="00330EE5" w:rsidRDefault="00330EE5">
      <w:pPr>
        <w:rPr>
          <w:b/>
          <w:bCs/>
          <w:sz w:val="28"/>
          <w:szCs w:val="28"/>
        </w:rPr>
      </w:pPr>
      <w:r>
        <w:br w:type="page"/>
      </w:r>
    </w:p>
    <w:p w14:paraId="45E58DAB" w14:textId="0B5997D9" w:rsidR="00497211" w:rsidRPr="00B42029" w:rsidRDefault="00ED5807" w:rsidP="00C5715E">
      <w:pPr>
        <w:pStyle w:val="Heading1"/>
      </w:pPr>
      <w:bookmarkStart w:id="1" w:name="_Toc237451709"/>
      <w:r w:rsidRPr="00B42029">
        <w:lastRenderedPageBreak/>
        <w:t>1. Introduction</w:t>
      </w:r>
      <w:bookmarkEnd w:id="1"/>
    </w:p>
    <w:p w14:paraId="1278B8BC" w14:textId="77777777" w:rsidR="00497211" w:rsidRPr="00B42029" w:rsidRDefault="00ED5807">
      <w:pPr>
        <w:spacing w:before="240" w:after="240" w:line="360" w:lineRule="auto"/>
        <w:jc w:val="both"/>
        <w:rPr>
          <w:sz w:val="24"/>
          <w:szCs w:val="24"/>
        </w:rPr>
      </w:pPr>
      <w:r w:rsidRPr="00B42029">
        <w:rPr>
          <w:sz w:val="24"/>
          <w:szCs w:val="24"/>
        </w:rPr>
        <w:t>Scandic Hotels Group AB is the major hotel group in Nordic countries, which has the biggest and most extensive chain of hotels in the area. It focuses its business model on the delivery of accommodation and other hospitality services, backed by an estimated number of 19,000 employees and an orientation towards sustainability with 96% of its hotels being Nordic Swan Ecolabel certified (Scandic Hotels, 2025). Financial management is required since the hospitality industry is vulnerable to variations in demand</w:t>
      </w:r>
      <w:r w:rsidRPr="00B42029">
        <w:rPr>
          <w:sz w:val="24"/>
          <w:szCs w:val="24"/>
        </w:rPr>
        <w:t>, inflation, labour and financing forces. This report assesses the five-year financial performance and working-capital management and as well as the restructuring alternatives and proposed investments at Scandic, including capital-rationing decisions. It also takes into account international, ethical and ESG factors and critically reflects on how AI can be responsibly used in financial decision-making.</w:t>
      </w:r>
    </w:p>
    <w:p w14:paraId="7170879A" w14:textId="77777777" w:rsidR="00497211" w:rsidRPr="00B42029" w:rsidRDefault="00497211">
      <w:pPr>
        <w:spacing w:line="360" w:lineRule="auto"/>
        <w:jc w:val="both"/>
        <w:rPr>
          <w:sz w:val="24"/>
          <w:szCs w:val="24"/>
        </w:rPr>
      </w:pPr>
    </w:p>
    <w:p w14:paraId="050F0A06" w14:textId="77777777" w:rsidR="00497211" w:rsidRPr="00B42029" w:rsidRDefault="00ED5807" w:rsidP="00C5715E">
      <w:pPr>
        <w:pStyle w:val="Heading1"/>
      </w:pPr>
      <w:bookmarkStart w:id="2" w:name="_vd0b2zf6o0qt" w:colFirst="0" w:colLast="0"/>
      <w:bookmarkStart w:id="3" w:name="_Toc237451710"/>
      <w:bookmarkEnd w:id="2"/>
      <w:r w:rsidRPr="00B42029">
        <w:t>2. Financial Health Check</w:t>
      </w:r>
      <w:bookmarkEnd w:id="3"/>
      <w:r w:rsidRPr="00B42029">
        <w:t xml:space="preserve"> </w:t>
      </w:r>
    </w:p>
    <w:p w14:paraId="2D002B06" w14:textId="77777777" w:rsidR="00497211" w:rsidRPr="00B42029" w:rsidRDefault="00ED5807" w:rsidP="00C5715E">
      <w:pPr>
        <w:pStyle w:val="Heading2"/>
      </w:pPr>
      <w:bookmarkStart w:id="4" w:name="_rgf1dymed6t" w:colFirst="0" w:colLast="0"/>
      <w:bookmarkStart w:id="5" w:name="_Toc237451711"/>
      <w:bookmarkEnd w:id="4"/>
      <w:r w:rsidRPr="00B42029">
        <w:t>2.1 Five-Year Financial Performance</w:t>
      </w:r>
      <w:bookmarkEnd w:id="5"/>
    </w:p>
    <w:p w14:paraId="7A7F4A69" w14:textId="77777777" w:rsidR="00497211" w:rsidRPr="00B42029" w:rsidRDefault="00ED5807">
      <w:pPr>
        <w:spacing w:before="240" w:after="240" w:line="360" w:lineRule="auto"/>
        <w:jc w:val="both"/>
        <w:rPr>
          <w:sz w:val="24"/>
          <w:szCs w:val="24"/>
        </w:rPr>
      </w:pPr>
      <w:r w:rsidRPr="00B42029">
        <w:rPr>
          <w:sz w:val="24"/>
          <w:szCs w:val="24"/>
        </w:rPr>
        <w:t>Scandic Hotels Group AB demonstrates a substantial post-pandemic financial recovery, although the improvement has not eliminated important structural financial pressures. Revenue increased from 10,086 MSEK in 2021 to 19,230 MSEK in 2022, followed by further growth to 21,940 MSEK in 2023, 21,960 MSEK in 2024 and 22,290 MSEK in 2025. This significant increase reflects the recovery in travel demand and stronger hotel activity following the pandemic. Operating income also improved substantially, increasing from</w:t>
      </w:r>
      <w:r w:rsidRPr="00B42029">
        <w:rPr>
          <w:sz w:val="24"/>
          <w:szCs w:val="24"/>
        </w:rPr>
        <w:t xml:space="preserve"> a 440 MSEK loss in 2021 to 2,600 MSEK in 2022, 2,800 MSEK in 2023, 3,000 MSEK in 2024 and 2,880 MSEK in 2025 (Yahoo Finance, 2026). However, the decline in operating income in 2025 despite higher revenue suggests increasing operating-cost pressures.</w:t>
      </w:r>
    </w:p>
    <w:p w14:paraId="0056980F" w14:textId="77777777" w:rsidR="00497211" w:rsidRPr="00B42029" w:rsidRDefault="00ED5807">
      <w:pPr>
        <w:spacing w:before="240" w:after="240" w:line="360" w:lineRule="auto"/>
        <w:jc w:val="center"/>
        <w:rPr>
          <w:sz w:val="24"/>
          <w:szCs w:val="24"/>
        </w:rPr>
      </w:pPr>
      <w:r w:rsidRPr="00B42029">
        <w:rPr>
          <w:noProof/>
          <w:sz w:val="24"/>
          <w:szCs w:val="24"/>
        </w:rPr>
        <w:lastRenderedPageBreak/>
        <w:drawing>
          <wp:inline distT="114300" distB="114300" distL="114300" distR="114300" wp14:anchorId="61FC2A75" wp14:editId="21F5A58B">
            <wp:extent cx="5731200" cy="302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022600"/>
                    </a:xfrm>
                    <a:prstGeom prst="rect">
                      <a:avLst/>
                    </a:prstGeom>
                    <a:ln/>
                  </pic:spPr>
                </pic:pic>
              </a:graphicData>
            </a:graphic>
          </wp:inline>
        </w:drawing>
      </w:r>
    </w:p>
    <w:p w14:paraId="4DB880B7" w14:textId="3FF1691D" w:rsidR="00C5715E" w:rsidRPr="00B42029" w:rsidRDefault="00C5715E">
      <w:pPr>
        <w:spacing w:before="240" w:after="240" w:line="360" w:lineRule="auto"/>
        <w:jc w:val="center"/>
        <w:rPr>
          <w:b/>
          <w:bCs/>
          <w:sz w:val="24"/>
          <w:szCs w:val="24"/>
        </w:rPr>
      </w:pPr>
      <w:r w:rsidRPr="00B42029">
        <w:rPr>
          <w:b/>
          <w:bCs/>
          <w:sz w:val="24"/>
          <w:szCs w:val="24"/>
        </w:rPr>
        <w:t>Figure 1: Income statement</w:t>
      </w:r>
    </w:p>
    <w:p w14:paraId="151418F2" w14:textId="27C1B7E4" w:rsidR="00497211" w:rsidRPr="00B42029" w:rsidRDefault="00ED5807">
      <w:pPr>
        <w:spacing w:before="240" w:after="240" w:line="360" w:lineRule="auto"/>
        <w:jc w:val="center"/>
        <w:rPr>
          <w:sz w:val="24"/>
          <w:szCs w:val="24"/>
        </w:rPr>
      </w:pPr>
      <w:r w:rsidRPr="00B42029">
        <w:rPr>
          <w:sz w:val="24"/>
          <w:szCs w:val="24"/>
        </w:rPr>
        <w:t>(Yahoo Finance, 2026)</w:t>
      </w:r>
    </w:p>
    <w:p w14:paraId="3F0DB6CF" w14:textId="77777777" w:rsidR="00497211" w:rsidRPr="00B42029" w:rsidRDefault="00ED5807">
      <w:pPr>
        <w:spacing w:before="240" w:after="240" w:line="360" w:lineRule="auto"/>
        <w:jc w:val="both"/>
        <w:rPr>
          <w:sz w:val="24"/>
          <w:szCs w:val="24"/>
        </w:rPr>
      </w:pPr>
      <w:r w:rsidRPr="00B42029">
        <w:rPr>
          <w:sz w:val="24"/>
          <w:szCs w:val="24"/>
        </w:rPr>
        <w:t>Net income similarly recovered from a 1,679 MSEK loss in 2021 to 394 MSEK in 2022, 532 MSEK in 2023, 643 MSEK in 2024 and 625 MSEK in 2025. Although profitability has therefore been sustained, the slight decline in 2025 indicates that revenue growth has not translated proportionately into bottom-line earnings. Total assets increased from 44,755 MSEK in 2021 to 52,590 MSEK in 2025, while total liabilities reached 49,620 MSEK. Total debt decreased from 45,570 MSEK in 2023 to 44,680 MSEK in 2025, while net deb</w:t>
      </w:r>
      <w:r w:rsidRPr="00B42029">
        <w:rPr>
          <w:sz w:val="24"/>
          <w:szCs w:val="24"/>
        </w:rPr>
        <w:t>t fell sharply to only 35 MSEK, indicating significant improvement in cash coverage. Nevertheless, negative working capital of 4,450 MSEK in 2025 and substantial capital lease obligations of 43,690 MSEK demonstrate continuing financial constraints (Yahoo Finance, 2026). Overall, Scandic has achieved strong post-pandemic recovery, but its high lease commitments and negative working-capital position remain significant risks.</w:t>
      </w:r>
    </w:p>
    <w:p w14:paraId="0C2B0291" w14:textId="77777777" w:rsidR="00497211" w:rsidRPr="00B42029" w:rsidRDefault="00ED5807">
      <w:pPr>
        <w:spacing w:line="360" w:lineRule="auto"/>
        <w:jc w:val="center"/>
        <w:rPr>
          <w:sz w:val="24"/>
          <w:szCs w:val="24"/>
        </w:rPr>
      </w:pPr>
      <w:r w:rsidRPr="00B42029">
        <w:rPr>
          <w:noProof/>
          <w:sz w:val="24"/>
          <w:szCs w:val="24"/>
        </w:rPr>
        <w:lastRenderedPageBreak/>
        <w:drawing>
          <wp:inline distT="114300" distB="114300" distL="114300" distR="114300" wp14:anchorId="67DC9392" wp14:editId="14162C39">
            <wp:extent cx="5731200" cy="2984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984500"/>
                    </a:xfrm>
                    <a:prstGeom prst="rect">
                      <a:avLst/>
                    </a:prstGeom>
                    <a:ln/>
                  </pic:spPr>
                </pic:pic>
              </a:graphicData>
            </a:graphic>
          </wp:inline>
        </w:drawing>
      </w:r>
    </w:p>
    <w:p w14:paraId="4338B6A9" w14:textId="18E13850" w:rsidR="00C5715E" w:rsidRPr="00B42029" w:rsidRDefault="00C5715E">
      <w:pPr>
        <w:spacing w:before="240" w:after="240" w:line="360" w:lineRule="auto"/>
        <w:jc w:val="center"/>
        <w:rPr>
          <w:b/>
          <w:bCs/>
          <w:sz w:val="24"/>
          <w:szCs w:val="24"/>
        </w:rPr>
      </w:pPr>
      <w:r w:rsidRPr="00B42029">
        <w:rPr>
          <w:b/>
          <w:bCs/>
          <w:sz w:val="24"/>
          <w:szCs w:val="24"/>
        </w:rPr>
        <w:t>Figure 2: Balance sheet</w:t>
      </w:r>
    </w:p>
    <w:p w14:paraId="690E38C9" w14:textId="2B5A5341" w:rsidR="00497211" w:rsidRPr="00B42029" w:rsidRDefault="00ED5807">
      <w:pPr>
        <w:spacing w:before="240" w:after="240" w:line="360" w:lineRule="auto"/>
        <w:jc w:val="center"/>
        <w:rPr>
          <w:sz w:val="24"/>
          <w:szCs w:val="24"/>
        </w:rPr>
      </w:pPr>
      <w:r w:rsidRPr="00B42029">
        <w:rPr>
          <w:sz w:val="24"/>
          <w:szCs w:val="24"/>
        </w:rPr>
        <w:t>(Yahoo Finance, 2026)</w:t>
      </w:r>
    </w:p>
    <w:p w14:paraId="61A55521" w14:textId="77777777" w:rsidR="00497211" w:rsidRPr="00B42029" w:rsidRDefault="00ED5807" w:rsidP="00C5715E">
      <w:pPr>
        <w:pStyle w:val="Heading2"/>
      </w:pPr>
      <w:bookmarkStart w:id="6" w:name="_co1h8jzbsksd" w:colFirst="0" w:colLast="0"/>
      <w:bookmarkStart w:id="7" w:name="_Toc237451712"/>
      <w:bookmarkEnd w:id="6"/>
      <w:r w:rsidRPr="00B42029">
        <w:t>2.2 Profitability Analysis</w:t>
      </w:r>
      <w:bookmarkEnd w:id="7"/>
    </w:p>
    <w:p w14:paraId="4DF5BE36" w14:textId="38550352" w:rsidR="00B8765D" w:rsidRPr="003A11DB" w:rsidRDefault="00ED5807">
      <w:pPr>
        <w:spacing w:after="160" w:line="360" w:lineRule="auto"/>
        <w:jc w:val="both"/>
        <w:rPr>
          <w:b/>
          <w:bCs/>
          <w:i/>
          <w:iCs/>
          <w:sz w:val="24"/>
          <w:szCs w:val="24"/>
        </w:rPr>
      </w:pPr>
      <w:r w:rsidRPr="00B42029">
        <w:rPr>
          <w:sz w:val="24"/>
          <w:szCs w:val="24"/>
        </w:rPr>
        <w:t>Profitability ratios are significant parameters of financial strength and efficiency in operations (</w:t>
      </w:r>
      <w:proofErr w:type="spellStart"/>
      <w:r w:rsidRPr="00B42029">
        <w:rPr>
          <w:sz w:val="24"/>
          <w:szCs w:val="24"/>
        </w:rPr>
        <w:t>Hasidi</w:t>
      </w:r>
      <w:proofErr w:type="spellEnd"/>
      <w:r w:rsidRPr="00B42029">
        <w:rPr>
          <w:sz w:val="24"/>
          <w:szCs w:val="24"/>
        </w:rPr>
        <w:t xml:space="preserve"> </w:t>
      </w:r>
      <w:r w:rsidR="00B42029" w:rsidRPr="00B42029">
        <w:rPr>
          <w:i/>
          <w:iCs/>
          <w:sz w:val="24"/>
          <w:szCs w:val="24"/>
        </w:rPr>
        <w:t>et al.</w:t>
      </w:r>
      <w:r w:rsidRPr="00B42029">
        <w:rPr>
          <w:sz w:val="24"/>
          <w:szCs w:val="24"/>
        </w:rPr>
        <w:t xml:space="preserve">, 2024). The net profit margin of Scandic decreased considerably between 15.85% in 2021 and 2.80% in 2025. Despite a significant rise in revenue in the post-pandemic recovery period, the growth of profits was limited to the increase in operating costs, wage inflation, energy costs and financing costs.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742DC45C" w14:textId="3B4098F3" w:rsidR="00B8765D" w:rsidRPr="00B42029" w:rsidRDefault="00B8765D" w:rsidP="00B8765D">
      <w:pPr>
        <w:spacing w:after="160" w:line="360" w:lineRule="auto"/>
        <w:jc w:val="center"/>
        <w:rPr>
          <w:sz w:val="24"/>
          <w:szCs w:val="24"/>
        </w:rPr>
      </w:pPr>
      <w:r w:rsidRPr="00B42029">
        <w:rPr>
          <w:noProof/>
        </w:rPr>
        <w:lastRenderedPageBreak/>
        <w:drawing>
          <wp:inline distT="0" distB="0" distL="0" distR="0" wp14:anchorId="38387A9E" wp14:editId="69C4DF28">
            <wp:extent cx="4686300" cy="2716530"/>
            <wp:effectExtent l="152400" t="152400" r="209550" b="217170"/>
            <wp:docPr id="149168707"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8EEFFF" w14:textId="532A9F84" w:rsidR="00B8765D" w:rsidRPr="00B42029" w:rsidRDefault="00B8765D" w:rsidP="00B8765D">
      <w:pPr>
        <w:spacing w:after="160" w:line="360" w:lineRule="auto"/>
        <w:jc w:val="center"/>
        <w:rPr>
          <w:b/>
          <w:bCs/>
          <w:sz w:val="24"/>
          <w:szCs w:val="24"/>
        </w:rPr>
      </w:pPr>
      <w:r w:rsidRPr="00B42029">
        <w:rPr>
          <w:b/>
          <w:bCs/>
          <w:sz w:val="24"/>
          <w:szCs w:val="24"/>
        </w:rPr>
        <w:t>Figure 3: Net profit margin</w:t>
      </w:r>
    </w:p>
    <w:p w14:paraId="3266B5B0" w14:textId="750D1D47" w:rsidR="00B8765D" w:rsidRPr="00B42029" w:rsidRDefault="00B8765D" w:rsidP="00B8765D">
      <w:pPr>
        <w:spacing w:after="160" w:line="360" w:lineRule="auto"/>
        <w:jc w:val="center"/>
        <w:rPr>
          <w:sz w:val="24"/>
          <w:szCs w:val="24"/>
        </w:rPr>
      </w:pPr>
      <w:r w:rsidRPr="00B42029">
        <w:rPr>
          <w:sz w:val="24"/>
          <w:szCs w:val="24"/>
        </w:rPr>
        <w:t>(Self-developed)</w:t>
      </w:r>
    </w:p>
    <w:p w14:paraId="6C86F410" w14:textId="306D31DD" w:rsidR="00B8765D" w:rsidRPr="00B42029" w:rsidRDefault="00ED5807">
      <w:pPr>
        <w:spacing w:after="160" w:line="360" w:lineRule="auto"/>
        <w:jc w:val="both"/>
        <w:rPr>
          <w:sz w:val="24"/>
          <w:szCs w:val="24"/>
        </w:rPr>
      </w:pPr>
      <w:r w:rsidRPr="00B42029">
        <w:rPr>
          <w:sz w:val="24"/>
          <w:szCs w:val="24"/>
        </w:rPr>
        <w:t xml:space="preserve">The </w:t>
      </w:r>
      <w:r w:rsidR="00B8765D" w:rsidRPr="00B42029">
        <w:rPr>
          <w:sz w:val="24"/>
          <w:szCs w:val="24"/>
        </w:rPr>
        <w:t>operating profit</w:t>
      </w:r>
      <w:r w:rsidRPr="00B42029">
        <w:rPr>
          <w:sz w:val="24"/>
          <w:szCs w:val="24"/>
        </w:rPr>
        <w:t xml:space="preserve"> margin dropped to 11.94% in the year 2025 as compared to 26.64% in the year 2021, which shows that the expenses have risen faster than the revenues.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1B47FF9F" w14:textId="3C021FB1" w:rsidR="00B8765D" w:rsidRPr="00B42029" w:rsidRDefault="00B8765D" w:rsidP="00B8765D">
      <w:pPr>
        <w:spacing w:after="160" w:line="360" w:lineRule="auto"/>
        <w:jc w:val="center"/>
        <w:rPr>
          <w:sz w:val="24"/>
          <w:szCs w:val="24"/>
        </w:rPr>
      </w:pPr>
      <w:r w:rsidRPr="00B42029">
        <w:rPr>
          <w:noProof/>
        </w:rPr>
        <w:drawing>
          <wp:inline distT="0" distB="0" distL="0" distR="0" wp14:anchorId="388693C8" wp14:editId="1DE02844">
            <wp:extent cx="4686300" cy="2716530"/>
            <wp:effectExtent l="152400" t="152400" r="152400" b="140970"/>
            <wp:docPr id="953696371"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A20227" w14:textId="552CF06B" w:rsidR="00B8765D" w:rsidRPr="00B42029" w:rsidRDefault="00B8765D" w:rsidP="00B8765D">
      <w:pPr>
        <w:spacing w:after="160" w:line="360" w:lineRule="auto"/>
        <w:jc w:val="center"/>
        <w:rPr>
          <w:b/>
          <w:bCs/>
          <w:sz w:val="24"/>
          <w:szCs w:val="24"/>
        </w:rPr>
      </w:pPr>
      <w:r w:rsidRPr="00B42029">
        <w:rPr>
          <w:b/>
          <w:bCs/>
          <w:sz w:val="24"/>
          <w:szCs w:val="24"/>
        </w:rPr>
        <w:t>Figure 4: Operating profit margin</w:t>
      </w:r>
    </w:p>
    <w:p w14:paraId="1D398E1A" w14:textId="77777777" w:rsidR="00B8765D" w:rsidRPr="00B42029" w:rsidRDefault="00B8765D" w:rsidP="00B8765D">
      <w:pPr>
        <w:spacing w:after="160" w:line="360" w:lineRule="auto"/>
        <w:jc w:val="center"/>
        <w:rPr>
          <w:sz w:val="24"/>
          <w:szCs w:val="24"/>
        </w:rPr>
      </w:pPr>
      <w:r w:rsidRPr="00B42029">
        <w:rPr>
          <w:sz w:val="24"/>
          <w:szCs w:val="24"/>
        </w:rPr>
        <w:t>(Self-developed)</w:t>
      </w:r>
    </w:p>
    <w:p w14:paraId="1EBFB239" w14:textId="104DFF4E" w:rsidR="00497211" w:rsidRPr="00B42029" w:rsidRDefault="00ED5807">
      <w:pPr>
        <w:spacing w:after="160" w:line="360" w:lineRule="auto"/>
        <w:jc w:val="both"/>
        <w:rPr>
          <w:sz w:val="24"/>
          <w:szCs w:val="24"/>
        </w:rPr>
      </w:pPr>
      <w:r w:rsidRPr="00B42029">
        <w:rPr>
          <w:sz w:val="24"/>
          <w:szCs w:val="24"/>
        </w:rPr>
        <w:lastRenderedPageBreak/>
        <w:t xml:space="preserve">Although the level of occupancy and the RevPAR enhanced with the recovery in the travel demand, the gains were partly countered by the threat of inflation and increased lease-related costs. However, the company recorded positive profitability past 2022, which indicates resilience in its operations. The fact that Scandic is able to maintain a positive net income relative to that of many hospitality companies that saw their earnings volatility skyrocket after the pandemic points to a comparatively successful </w:t>
      </w:r>
      <w:r w:rsidRPr="00B42029">
        <w:rPr>
          <w:sz w:val="24"/>
          <w:szCs w:val="24"/>
        </w:rPr>
        <w:t>recovery, albeit with lower profitability than that of efficiency levels before the pandemic.</w:t>
      </w:r>
    </w:p>
    <w:p w14:paraId="3B250960" w14:textId="77777777" w:rsidR="00497211" w:rsidRPr="00B42029" w:rsidRDefault="00ED5807" w:rsidP="00C5715E">
      <w:pPr>
        <w:pStyle w:val="Heading2"/>
      </w:pPr>
      <w:bookmarkStart w:id="8" w:name="_Toc237451713"/>
      <w:r w:rsidRPr="00B42029">
        <w:t>2.3 Liquidity Analysis</w:t>
      </w:r>
      <w:bookmarkEnd w:id="8"/>
    </w:p>
    <w:p w14:paraId="2CCA0EBB" w14:textId="681EB34A" w:rsidR="00B8765D" w:rsidRPr="00B42029" w:rsidRDefault="00ED5807">
      <w:pPr>
        <w:spacing w:after="160" w:line="360" w:lineRule="auto"/>
        <w:jc w:val="both"/>
        <w:rPr>
          <w:sz w:val="24"/>
          <w:szCs w:val="24"/>
        </w:rPr>
      </w:pPr>
      <w:r w:rsidRPr="00B42029">
        <w:rPr>
          <w:sz w:val="24"/>
          <w:szCs w:val="24"/>
        </w:rPr>
        <w:t xml:space="preserve">Liquidity ratios determine the capability of a company to </w:t>
      </w:r>
      <w:proofErr w:type="spellStart"/>
      <w:r w:rsidRPr="00B42029">
        <w:rPr>
          <w:sz w:val="24"/>
          <w:szCs w:val="24"/>
        </w:rPr>
        <w:t>fulfill</w:t>
      </w:r>
      <w:proofErr w:type="spellEnd"/>
      <w:r w:rsidRPr="00B42029">
        <w:rPr>
          <w:sz w:val="24"/>
          <w:szCs w:val="24"/>
        </w:rPr>
        <w:t xml:space="preserve"> its short-term liabilities (</w:t>
      </w:r>
      <w:proofErr w:type="spellStart"/>
      <w:r w:rsidRPr="00B42029">
        <w:rPr>
          <w:sz w:val="24"/>
          <w:szCs w:val="24"/>
        </w:rPr>
        <w:t>Hasidi</w:t>
      </w:r>
      <w:proofErr w:type="spellEnd"/>
      <w:r w:rsidRPr="00B42029">
        <w:rPr>
          <w:sz w:val="24"/>
          <w:szCs w:val="24"/>
        </w:rPr>
        <w:t xml:space="preserve"> </w:t>
      </w:r>
      <w:r w:rsidR="00B42029" w:rsidRPr="00B42029">
        <w:rPr>
          <w:i/>
          <w:iCs/>
          <w:sz w:val="24"/>
          <w:szCs w:val="24"/>
        </w:rPr>
        <w:t>et al.</w:t>
      </w:r>
      <w:r w:rsidRPr="00B42029">
        <w:rPr>
          <w:sz w:val="24"/>
          <w:szCs w:val="24"/>
        </w:rPr>
        <w:t xml:space="preserve">, 2024). The current ratio of Scandic also increased slightly in 2025 to 0.32 compared with 0.24 in 2021, though it was still significantly lower than the industry standard of around 1.0-1.5 in the hospitality industry.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51BCAE40" w14:textId="220A05FF" w:rsidR="00B8765D" w:rsidRPr="00B42029" w:rsidRDefault="00B8765D" w:rsidP="00B8765D">
      <w:pPr>
        <w:spacing w:after="160" w:line="360" w:lineRule="auto"/>
        <w:jc w:val="center"/>
        <w:rPr>
          <w:sz w:val="24"/>
          <w:szCs w:val="24"/>
        </w:rPr>
      </w:pPr>
      <w:r w:rsidRPr="00B42029">
        <w:rPr>
          <w:noProof/>
        </w:rPr>
        <w:drawing>
          <wp:inline distT="0" distB="0" distL="0" distR="0" wp14:anchorId="7594CFDD" wp14:editId="68F75562">
            <wp:extent cx="4686300" cy="2716530"/>
            <wp:effectExtent l="171450" t="152400" r="171450" b="140970"/>
            <wp:docPr id="1180700471"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22596A" w14:textId="5E32AB17" w:rsidR="00B8765D" w:rsidRPr="00B42029" w:rsidRDefault="00B8765D" w:rsidP="00B8765D">
      <w:pPr>
        <w:spacing w:after="160" w:line="360" w:lineRule="auto"/>
        <w:jc w:val="center"/>
        <w:rPr>
          <w:b/>
          <w:bCs/>
          <w:sz w:val="24"/>
          <w:szCs w:val="24"/>
        </w:rPr>
      </w:pPr>
      <w:r w:rsidRPr="00B42029">
        <w:rPr>
          <w:b/>
          <w:bCs/>
          <w:sz w:val="24"/>
          <w:szCs w:val="24"/>
        </w:rPr>
        <w:t>Figure 5: Current ratio</w:t>
      </w:r>
    </w:p>
    <w:p w14:paraId="65CD3011" w14:textId="77777777" w:rsidR="00B8765D" w:rsidRPr="00B42029" w:rsidRDefault="00B8765D" w:rsidP="00B8765D">
      <w:pPr>
        <w:spacing w:after="160" w:line="360" w:lineRule="auto"/>
        <w:jc w:val="center"/>
        <w:rPr>
          <w:sz w:val="24"/>
          <w:szCs w:val="24"/>
        </w:rPr>
      </w:pPr>
      <w:r w:rsidRPr="00B42029">
        <w:rPr>
          <w:sz w:val="24"/>
          <w:szCs w:val="24"/>
        </w:rPr>
        <w:t>(Self-developed)</w:t>
      </w:r>
    </w:p>
    <w:p w14:paraId="6B2733A1" w14:textId="7CD10D13" w:rsidR="00B8765D" w:rsidRPr="00B42029" w:rsidRDefault="00ED5807">
      <w:pPr>
        <w:spacing w:after="160" w:line="360" w:lineRule="auto"/>
        <w:jc w:val="both"/>
        <w:rPr>
          <w:sz w:val="24"/>
          <w:szCs w:val="24"/>
        </w:rPr>
      </w:pPr>
      <w:r w:rsidRPr="00B42029">
        <w:rPr>
          <w:sz w:val="24"/>
          <w:szCs w:val="24"/>
        </w:rPr>
        <w:t xml:space="preserve">Likewise, there was also an increment in the cash ratio of 0.04 to 0.14, which shows a </w:t>
      </w:r>
      <w:r w:rsidR="00C5715E" w:rsidRPr="00B42029">
        <w:rPr>
          <w:sz w:val="24"/>
          <w:szCs w:val="24"/>
        </w:rPr>
        <w:t>higher cash reserve</w:t>
      </w:r>
      <w:r w:rsidRPr="00B42029">
        <w:rPr>
          <w:sz w:val="24"/>
          <w:szCs w:val="24"/>
        </w:rPr>
        <w:t xml:space="preserve"> however still the limited liquidity. The upswing is an indication of the better operating performance and lower net debt after the recovery period.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1523590E" w14:textId="69CC6619" w:rsidR="00B8765D" w:rsidRPr="00B42029" w:rsidRDefault="00B8765D" w:rsidP="00B8765D">
      <w:pPr>
        <w:spacing w:after="160" w:line="360" w:lineRule="auto"/>
        <w:jc w:val="center"/>
        <w:rPr>
          <w:sz w:val="24"/>
          <w:szCs w:val="24"/>
        </w:rPr>
      </w:pPr>
      <w:r w:rsidRPr="00B42029">
        <w:rPr>
          <w:noProof/>
        </w:rPr>
        <w:lastRenderedPageBreak/>
        <w:drawing>
          <wp:inline distT="0" distB="0" distL="0" distR="0" wp14:anchorId="6175AAE4" wp14:editId="7A29D68C">
            <wp:extent cx="4686300" cy="2716530"/>
            <wp:effectExtent l="171450" t="152400" r="171450" b="140970"/>
            <wp:docPr id="166742799"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C8FE25" w14:textId="75A21762" w:rsidR="00B8765D" w:rsidRPr="00B42029" w:rsidRDefault="00B8765D" w:rsidP="00B8765D">
      <w:pPr>
        <w:spacing w:after="160" w:line="360" w:lineRule="auto"/>
        <w:jc w:val="center"/>
        <w:rPr>
          <w:b/>
          <w:bCs/>
          <w:sz w:val="24"/>
          <w:szCs w:val="24"/>
        </w:rPr>
      </w:pPr>
      <w:r w:rsidRPr="00B42029">
        <w:rPr>
          <w:b/>
          <w:bCs/>
          <w:sz w:val="24"/>
          <w:szCs w:val="24"/>
        </w:rPr>
        <w:t>Figure 6: Cash ratio</w:t>
      </w:r>
    </w:p>
    <w:p w14:paraId="07CAA477" w14:textId="77777777" w:rsidR="00B8765D" w:rsidRPr="00B42029" w:rsidRDefault="00B8765D" w:rsidP="00B8765D">
      <w:pPr>
        <w:spacing w:after="160" w:line="360" w:lineRule="auto"/>
        <w:jc w:val="center"/>
        <w:rPr>
          <w:sz w:val="24"/>
          <w:szCs w:val="24"/>
        </w:rPr>
      </w:pPr>
      <w:r w:rsidRPr="00B42029">
        <w:rPr>
          <w:sz w:val="24"/>
          <w:szCs w:val="24"/>
        </w:rPr>
        <w:t>(Self-developed)</w:t>
      </w:r>
    </w:p>
    <w:p w14:paraId="16E58B75" w14:textId="59F48872" w:rsidR="00497211" w:rsidRPr="00B42029" w:rsidRDefault="00ED5807">
      <w:pPr>
        <w:spacing w:after="160" w:line="360" w:lineRule="auto"/>
        <w:jc w:val="both"/>
        <w:rPr>
          <w:sz w:val="24"/>
          <w:szCs w:val="24"/>
        </w:rPr>
      </w:pPr>
      <w:r w:rsidRPr="00B42029">
        <w:rPr>
          <w:sz w:val="24"/>
          <w:szCs w:val="24"/>
        </w:rPr>
        <w:t>Nevertheless, the current liabilities remained greater than the current assets, and working capital remained negative. The low levels of liquidity ratios indicate that Scandic continues to rely on stable cash flows and effective working-capital management to cover short-term obligations. Although a relatively high level of advance customer payments and speedy cash collections are typical of the hotel industry, the liquidity position of the company is relatively weak and may lower the resiliency to demand sh</w:t>
      </w:r>
      <w:r w:rsidRPr="00B42029">
        <w:rPr>
          <w:sz w:val="24"/>
          <w:szCs w:val="24"/>
        </w:rPr>
        <w:t>ocks or economic recessions.</w:t>
      </w:r>
    </w:p>
    <w:p w14:paraId="7F23CA56" w14:textId="77777777" w:rsidR="00497211" w:rsidRPr="00B42029" w:rsidRDefault="00ED5807" w:rsidP="00C5715E">
      <w:pPr>
        <w:pStyle w:val="Heading2"/>
      </w:pPr>
      <w:bookmarkStart w:id="9" w:name="_Toc237451714"/>
      <w:r w:rsidRPr="00B42029">
        <w:t>2.4 Efficiency Analysis</w:t>
      </w:r>
      <w:bookmarkEnd w:id="9"/>
    </w:p>
    <w:p w14:paraId="78BD7A27" w14:textId="7AEF8105" w:rsidR="00B8765D" w:rsidRPr="00B42029" w:rsidRDefault="00ED5807">
      <w:pPr>
        <w:spacing w:after="160" w:line="360" w:lineRule="auto"/>
        <w:jc w:val="both"/>
        <w:rPr>
          <w:sz w:val="24"/>
          <w:szCs w:val="24"/>
        </w:rPr>
      </w:pPr>
      <w:r w:rsidRPr="00B42029">
        <w:rPr>
          <w:sz w:val="24"/>
          <w:szCs w:val="24"/>
        </w:rPr>
        <w:t xml:space="preserve">Efficiency ratios are used to assess the efficiency with which management uses its assets to generate revenue (Olayinka, 2022). In 2021, Scandic experienced an accounts receivable turnover of 30 times, which rose to 44 times in 2025, reflecting a better collection of customer payments and better receivables management. This growth is a result of more digital payments and improved business and leisure traveller demand.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6F4B1954" w14:textId="77038F0C" w:rsidR="00B8765D" w:rsidRPr="00B42029" w:rsidRDefault="00B8765D" w:rsidP="00B8765D">
      <w:pPr>
        <w:spacing w:after="160" w:line="360" w:lineRule="auto"/>
        <w:jc w:val="center"/>
        <w:rPr>
          <w:sz w:val="24"/>
          <w:szCs w:val="24"/>
        </w:rPr>
      </w:pPr>
      <w:r w:rsidRPr="00B42029">
        <w:rPr>
          <w:noProof/>
        </w:rPr>
        <w:lastRenderedPageBreak/>
        <w:drawing>
          <wp:inline distT="0" distB="0" distL="0" distR="0" wp14:anchorId="5E93AE07" wp14:editId="62882752">
            <wp:extent cx="4686300" cy="2718435"/>
            <wp:effectExtent l="247650" t="247650" r="228600" b="253365"/>
            <wp:docPr id="179809701"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F85F1F" w14:textId="14279ECE" w:rsidR="00B8765D" w:rsidRPr="00B42029" w:rsidRDefault="00B8765D" w:rsidP="00B8765D">
      <w:pPr>
        <w:spacing w:after="160" w:line="360" w:lineRule="auto"/>
        <w:jc w:val="center"/>
        <w:rPr>
          <w:b/>
          <w:bCs/>
          <w:sz w:val="24"/>
          <w:szCs w:val="24"/>
        </w:rPr>
      </w:pPr>
      <w:r w:rsidRPr="00B42029">
        <w:rPr>
          <w:b/>
          <w:bCs/>
          <w:sz w:val="24"/>
          <w:szCs w:val="24"/>
        </w:rPr>
        <w:t>Figure 7: Accounts receivable turnover</w:t>
      </w:r>
    </w:p>
    <w:p w14:paraId="2CBAF291" w14:textId="4565F5D0" w:rsidR="00B8765D" w:rsidRPr="00B42029" w:rsidRDefault="00B8765D" w:rsidP="00B8765D">
      <w:pPr>
        <w:spacing w:after="160" w:line="360" w:lineRule="auto"/>
        <w:jc w:val="center"/>
        <w:rPr>
          <w:sz w:val="24"/>
          <w:szCs w:val="24"/>
        </w:rPr>
      </w:pPr>
      <w:r w:rsidRPr="00B42029">
        <w:rPr>
          <w:sz w:val="24"/>
          <w:szCs w:val="24"/>
        </w:rPr>
        <w:t>(Self-developed)</w:t>
      </w:r>
    </w:p>
    <w:p w14:paraId="61F0B85B" w14:textId="5135850A" w:rsidR="00B8765D" w:rsidRPr="00B42029" w:rsidRDefault="00ED5807">
      <w:pPr>
        <w:spacing w:after="160" w:line="360" w:lineRule="auto"/>
        <w:jc w:val="both"/>
        <w:rPr>
          <w:sz w:val="24"/>
          <w:szCs w:val="24"/>
        </w:rPr>
      </w:pPr>
      <w:r w:rsidRPr="00B42029">
        <w:rPr>
          <w:sz w:val="24"/>
          <w:szCs w:val="24"/>
        </w:rPr>
        <w:t xml:space="preserve">The total asset turnover also increased by 0.24 to 0.42 which is an indication that assets yielded more revenue after the hotel occupancy had been restored.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49E917E3" w14:textId="12663EA8" w:rsidR="00B8765D" w:rsidRPr="00B42029" w:rsidRDefault="00B8765D" w:rsidP="00B8765D">
      <w:pPr>
        <w:spacing w:after="160" w:line="360" w:lineRule="auto"/>
        <w:jc w:val="center"/>
        <w:rPr>
          <w:sz w:val="24"/>
          <w:szCs w:val="24"/>
        </w:rPr>
      </w:pPr>
      <w:r w:rsidRPr="00B42029">
        <w:rPr>
          <w:noProof/>
        </w:rPr>
        <w:drawing>
          <wp:inline distT="0" distB="0" distL="0" distR="0" wp14:anchorId="777E7557" wp14:editId="4968814B">
            <wp:extent cx="4686300" cy="2716530"/>
            <wp:effectExtent l="171450" t="152400" r="171450" b="140970"/>
            <wp:docPr id="65754695"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FDCB97B" w14:textId="2A0A0FEC" w:rsidR="00B8765D" w:rsidRPr="00B42029" w:rsidRDefault="00B8765D" w:rsidP="00B8765D">
      <w:pPr>
        <w:spacing w:after="160" w:line="360" w:lineRule="auto"/>
        <w:jc w:val="center"/>
        <w:rPr>
          <w:b/>
          <w:bCs/>
          <w:sz w:val="24"/>
          <w:szCs w:val="24"/>
        </w:rPr>
      </w:pPr>
      <w:r w:rsidRPr="00B42029">
        <w:rPr>
          <w:b/>
          <w:bCs/>
          <w:sz w:val="24"/>
          <w:szCs w:val="24"/>
        </w:rPr>
        <w:t>Figure 8: Total asset turnover</w:t>
      </w:r>
    </w:p>
    <w:p w14:paraId="4B986162" w14:textId="41C46519" w:rsidR="00B8765D" w:rsidRPr="00B42029" w:rsidRDefault="00B8765D" w:rsidP="00B8765D">
      <w:pPr>
        <w:spacing w:after="160" w:line="360" w:lineRule="auto"/>
        <w:jc w:val="center"/>
        <w:rPr>
          <w:sz w:val="24"/>
          <w:szCs w:val="24"/>
        </w:rPr>
      </w:pPr>
      <w:r w:rsidRPr="00B42029">
        <w:rPr>
          <w:sz w:val="24"/>
          <w:szCs w:val="24"/>
        </w:rPr>
        <w:t>(Self-developed)</w:t>
      </w:r>
    </w:p>
    <w:p w14:paraId="1B164659" w14:textId="6ADD6142" w:rsidR="00497211" w:rsidRPr="00B42029" w:rsidRDefault="00ED5807">
      <w:pPr>
        <w:spacing w:after="160" w:line="360" w:lineRule="auto"/>
        <w:jc w:val="both"/>
        <w:rPr>
          <w:sz w:val="24"/>
          <w:szCs w:val="24"/>
        </w:rPr>
      </w:pPr>
      <w:r w:rsidRPr="00B42029">
        <w:rPr>
          <w:sz w:val="24"/>
          <w:szCs w:val="24"/>
        </w:rPr>
        <w:lastRenderedPageBreak/>
        <w:t>Hotel companies normally have unique working-capital features due to the high percentage of guests who pay using cards or in online platforms, low inventories, suppliers usually offer trade credit, and the advance bookings create cash before services are rendered. The impact of seasonal changes in demand, however, may also influence operational efficiency and stability in cash-flows.</w:t>
      </w:r>
    </w:p>
    <w:p w14:paraId="4095769C" w14:textId="77777777" w:rsidR="00497211" w:rsidRPr="00B42029" w:rsidRDefault="00ED5807" w:rsidP="00C5715E">
      <w:pPr>
        <w:pStyle w:val="Heading2"/>
      </w:pPr>
      <w:bookmarkStart w:id="10" w:name="_Toc237451715"/>
      <w:r w:rsidRPr="00B42029">
        <w:t>2.5 Returns Ratio</w:t>
      </w:r>
      <w:bookmarkEnd w:id="10"/>
    </w:p>
    <w:p w14:paraId="7910222C" w14:textId="0D3DC3F3" w:rsidR="00B8765D" w:rsidRPr="00B42029" w:rsidRDefault="00ED5807">
      <w:pPr>
        <w:spacing w:after="160" w:line="360" w:lineRule="auto"/>
        <w:jc w:val="both"/>
        <w:rPr>
          <w:sz w:val="24"/>
          <w:szCs w:val="24"/>
        </w:rPr>
      </w:pPr>
      <w:r w:rsidRPr="00B42029">
        <w:rPr>
          <w:sz w:val="24"/>
          <w:szCs w:val="24"/>
        </w:rPr>
        <w:t xml:space="preserve">One of the indicators of creating shareholder value is earnings per share (Ali </w:t>
      </w:r>
      <w:r w:rsidR="00B42029" w:rsidRPr="00B42029">
        <w:rPr>
          <w:i/>
          <w:iCs/>
          <w:sz w:val="24"/>
          <w:szCs w:val="24"/>
        </w:rPr>
        <w:t>et al.</w:t>
      </w:r>
      <w:r w:rsidRPr="00B42029">
        <w:rPr>
          <w:sz w:val="24"/>
          <w:szCs w:val="24"/>
        </w:rPr>
        <w:t xml:space="preserve">, 2022). Scandic EPS grew to 2.97 in 2023 and then rose by a very slight margin to 2.89 in 2025 due to the less </w:t>
      </w:r>
      <w:proofErr w:type="spellStart"/>
      <w:r w:rsidRPr="00B42029">
        <w:rPr>
          <w:sz w:val="24"/>
          <w:szCs w:val="24"/>
        </w:rPr>
        <w:t>favorable</w:t>
      </w:r>
      <w:proofErr w:type="spellEnd"/>
      <w:r w:rsidRPr="00B42029">
        <w:rPr>
          <w:sz w:val="24"/>
          <w:szCs w:val="24"/>
        </w:rPr>
        <w:t xml:space="preserve"> growth in earnings despite rising revenue.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2C594646" w14:textId="1BB730F3" w:rsidR="00B8765D" w:rsidRPr="00B42029" w:rsidRDefault="00B8765D" w:rsidP="00B8765D">
      <w:pPr>
        <w:spacing w:after="160" w:line="360" w:lineRule="auto"/>
        <w:jc w:val="center"/>
        <w:rPr>
          <w:sz w:val="24"/>
          <w:szCs w:val="24"/>
        </w:rPr>
      </w:pPr>
      <w:r w:rsidRPr="00B42029">
        <w:rPr>
          <w:noProof/>
        </w:rPr>
        <w:drawing>
          <wp:inline distT="0" distB="0" distL="0" distR="0" wp14:anchorId="5DDDA474" wp14:editId="1AFAEF9A">
            <wp:extent cx="4714875" cy="2716530"/>
            <wp:effectExtent l="171450" t="152400" r="161925" b="140970"/>
            <wp:docPr id="1710521280" name="Chart 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B72E42F" w14:textId="7BF173CD" w:rsidR="00B8765D" w:rsidRPr="00B42029" w:rsidRDefault="00B8765D" w:rsidP="00B8765D">
      <w:pPr>
        <w:spacing w:after="160" w:line="360" w:lineRule="auto"/>
        <w:jc w:val="center"/>
        <w:rPr>
          <w:b/>
          <w:bCs/>
          <w:sz w:val="24"/>
          <w:szCs w:val="24"/>
        </w:rPr>
      </w:pPr>
      <w:r w:rsidRPr="00B42029">
        <w:rPr>
          <w:b/>
          <w:bCs/>
          <w:sz w:val="24"/>
          <w:szCs w:val="24"/>
        </w:rPr>
        <w:t>Figure 9: EPS</w:t>
      </w:r>
    </w:p>
    <w:p w14:paraId="434840E5" w14:textId="31A8C1E8" w:rsidR="00B8765D" w:rsidRPr="00B42029" w:rsidRDefault="00B8765D" w:rsidP="00B8765D">
      <w:pPr>
        <w:spacing w:after="160" w:line="360" w:lineRule="auto"/>
        <w:jc w:val="center"/>
        <w:rPr>
          <w:sz w:val="24"/>
          <w:szCs w:val="24"/>
        </w:rPr>
      </w:pPr>
      <w:r w:rsidRPr="00B42029">
        <w:rPr>
          <w:sz w:val="24"/>
          <w:szCs w:val="24"/>
        </w:rPr>
        <w:t>(Self-developed)</w:t>
      </w:r>
    </w:p>
    <w:p w14:paraId="5E52F8F6" w14:textId="159309A9" w:rsidR="00B8765D" w:rsidRPr="00B42029" w:rsidRDefault="00ED5807">
      <w:pPr>
        <w:spacing w:after="160" w:line="360" w:lineRule="auto"/>
        <w:jc w:val="both"/>
        <w:rPr>
          <w:sz w:val="24"/>
          <w:szCs w:val="24"/>
        </w:rPr>
      </w:pPr>
      <w:r w:rsidRPr="00B42029">
        <w:rPr>
          <w:sz w:val="24"/>
          <w:szCs w:val="24"/>
        </w:rPr>
        <w:t xml:space="preserve">Conversely, the P/E ratio rose significantly as well, as compared to 15.61 in 2023, 33.62 in 2025, showing that investors expect higher earnings in future and more growth potential in the long-term.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3784DF2A" w14:textId="5D7327FD" w:rsidR="00B8765D" w:rsidRPr="00B42029" w:rsidRDefault="00B8765D" w:rsidP="00B8765D">
      <w:pPr>
        <w:spacing w:after="160" w:line="360" w:lineRule="auto"/>
        <w:jc w:val="center"/>
        <w:rPr>
          <w:sz w:val="24"/>
          <w:szCs w:val="24"/>
        </w:rPr>
      </w:pPr>
      <w:r w:rsidRPr="00B42029">
        <w:rPr>
          <w:noProof/>
        </w:rPr>
        <w:lastRenderedPageBreak/>
        <w:drawing>
          <wp:inline distT="0" distB="0" distL="0" distR="0" wp14:anchorId="25D1FE1D" wp14:editId="040E614D">
            <wp:extent cx="4714875" cy="2718435"/>
            <wp:effectExtent l="171450" t="152400" r="161925" b="158115"/>
            <wp:docPr id="1469903458" name="Chart 1">
              <a:extLst xmlns:a="http://schemas.openxmlformats.org/drawingml/2006/main">
                <a:ext uri="{FF2B5EF4-FFF2-40B4-BE49-F238E27FC236}">
                  <a16:creationId xmlns:a16="http://schemas.microsoft.com/office/drawing/2014/main" id="{00000000-0008-0000-01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7F5DAEB" w14:textId="446B2C2A" w:rsidR="00B8765D" w:rsidRPr="00B42029" w:rsidRDefault="00B8765D" w:rsidP="00B8765D">
      <w:pPr>
        <w:spacing w:after="160" w:line="360" w:lineRule="auto"/>
        <w:jc w:val="center"/>
        <w:rPr>
          <w:b/>
          <w:bCs/>
          <w:sz w:val="24"/>
          <w:szCs w:val="24"/>
        </w:rPr>
      </w:pPr>
      <w:r w:rsidRPr="00B42029">
        <w:rPr>
          <w:b/>
          <w:bCs/>
          <w:sz w:val="24"/>
          <w:szCs w:val="24"/>
        </w:rPr>
        <w:t>Figure 10: P/E ratio</w:t>
      </w:r>
    </w:p>
    <w:p w14:paraId="7E3BD20B" w14:textId="0DDC4B02" w:rsidR="00B8765D" w:rsidRPr="00B42029" w:rsidRDefault="00B8765D" w:rsidP="00B8765D">
      <w:pPr>
        <w:spacing w:after="160" w:line="360" w:lineRule="auto"/>
        <w:jc w:val="center"/>
        <w:rPr>
          <w:sz w:val="24"/>
          <w:szCs w:val="24"/>
        </w:rPr>
      </w:pPr>
      <w:r w:rsidRPr="00B42029">
        <w:rPr>
          <w:sz w:val="24"/>
          <w:szCs w:val="24"/>
        </w:rPr>
        <w:t>(Self-developed)</w:t>
      </w:r>
    </w:p>
    <w:p w14:paraId="40F413F1" w14:textId="3025DC65" w:rsidR="00497211" w:rsidRPr="00B42029" w:rsidRDefault="00ED5807">
      <w:pPr>
        <w:spacing w:after="160" w:line="360" w:lineRule="auto"/>
        <w:jc w:val="both"/>
        <w:rPr>
          <w:sz w:val="24"/>
          <w:szCs w:val="24"/>
        </w:rPr>
      </w:pPr>
      <w:r w:rsidRPr="00B42029">
        <w:rPr>
          <w:sz w:val="24"/>
          <w:szCs w:val="24"/>
        </w:rPr>
        <w:t>Nonetheless, the company is still exposed to financial leverage due to high lease liability and debt. High interest costs keep on lowering net profitability and making them sensitive to interest-rate changes. In addition, refinancing risk will always be significant considering the magnitude of the long-term commitments. These can limit investment potential in the future in case of high borrowing rates or worse economic performance.</w:t>
      </w:r>
    </w:p>
    <w:p w14:paraId="6EADD326" w14:textId="77777777" w:rsidR="00497211" w:rsidRPr="00B42029" w:rsidRDefault="00ED5807" w:rsidP="00C5715E">
      <w:pPr>
        <w:pStyle w:val="Heading2"/>
      </w:pPr>
      <w:bookmarkStart w:id="11" w:name="_Toc237451716"/>
      <w:r w:rsidRPr="00B42029">
        <w:t>2.6 Cash Flow</w:t>
      </w:r>
      <w:bookmarkEnd w:id="11"/>
    </w:p>
    <w:p w14:paraId="5D9D4F45" w14:textId="44E65DB4" w:rsidR="00B8765D" w:rsidRPr="00B42029" w:rsidRDefault="00ED5807">
      <w:pPr>
        <w:spacing w:after="160" w:line="360" w:lineRule="auto"/>
        <w:jc w:val="both"/>
        <w:rPr>
          <w:sz w:val="24"/>
          <w:szCs w:val="24"/>
        </w:rPr>
      </w:pPr>
      <w:r w:rsidRPr="00B42029">
        <w:rPr>
          <w:sz w:val="24"/>
          <w:szCs w:val="24"/>
        </w:rPr>
        <w:t>Cash-flow ratios can give dynamic information about liquidity and financial stability (</w:t>
      </w:r>
      <w:proofErr w:type="spellStart"/>
      <w:r w:rsidRPr="00B42029">
        <w:rPr>
          <w:sz w:val="24"/>
          <w:szCs w:val="24"/>
        </w:rPr>
        <w:t>Seretidou</w:t>
      </w:r>
      <w:proofErr w:type="spellEnd"/>
      <w:r w:rsidRPr="00B42029">
        <w:rPr>
          <w:sz w:val="24"/>
          <w:szCs w:val="24"/>
        </w:rPr>
        <w:t xml:space="preserve"> </w:t>
      </w:r>
      <w:r w:rsidR="00B42029" w:rsidRPr="00B42029">
        <w:rPr>
          <w:i/>
          <w:iCs/>
          <w:sz w:val="24"/>
          <w:szCs w:val="24"/>
        </w:rPr>
        <w:t>et al.</w:t>
      </w:r>
      <w:r w:rsidRPr="00B42029">
        <w:rPr>
          <w:sz w:val="24"/>
          <w:szCs w:val="24"/>
        </w:rPr>
        <w:t xml:space="preserve">, 2025). The operating cash flow ratio of Scandic increased to 0.98 in the year 2025 as compared to 0.66 in the year 2021, meaning that operating cash inflows were nearly equal to the current liabilities. This increase is indicative of better trading performance and more efficient cash generation after the revival of the travel demand.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7A74F739" w14:textId="3E15A1C2" w:rsidR="00B8765D" w:rsidRPr="00B42029" w:rsidRDefault="00B8765D" w:rsidP="00B8765D">
      <w:pPr>
        <w:spacing w:after="160" w:line="360" w:lineRule="auto"/>
        <w:jc w:val="center"/>
        <w:rPr>
          <w:sz w:val="24"/>
          <w:szCs w:val="24"/>
        </w:rPr>
      </w:pPr>
      <w:r w:rsidRPr="00B42029">
        <w:rPr>
          <w:noProof/>
        </w:rPr>
        <w:lastRenderedPageBreak/>
        <w:drawing>
          <wp:inline distT="0" distB="0" distL="0" distR="0" wp14:anchorId="5EEB5E26" wp14:editId="0687CD5F">
            <wp:extent cx="4714875" cy="2716530"/>
            <wp:effectExtent l="171450" t="152400" r="161925" b="140970"/>
            <wp:docPr id="2056276225" name="Chart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28760F" w14:textId="59AC5F4D" w:rsidR="00B8765D" w:rsidRPr="00B42029" w:rsidRDefault="00B8765D" w:rsidP="00B8765D">
      <w:pPr>
        <w:spacing w:after="160" w:line="360" w:lineRule="auto"/>
        <w:jc w:val="center"/>
        <w:rPr>
          <w:b/>
          <w:bCs/>
          <w:sz w:val="24"/>
          <w:szCs w:val="24"/>
        </w:rPr>
      </w:pPr>
      <w:r w:rsidRPr="00B42029">
        <w:rPr>
          <w:b/>
          <w:bCs/>
          <w:sz w:val="24"/>
          <w:szCs w:val="24"/>
        </w:rPr>
        <w:t>Figure 11: Operating cash flow ratio</w:t>
      </w:r>
    </w:p>
    <w:p w14:paraId="6B45F2B7" w14:textId="77777777" w:rsidR="00B8765D" w:rsidRPr="00B42029" w:rsidRDefault="00B8765D" w:rsidP="00B8765D">
      <w:pPr>
        <w:spacing w:after="160" w:line="360" w:lineRule="auto"/>
        <w:jc w:val="center"/>
        <w:rPr>
          <w:sz w:val="24"/>
          <w:szCs w:val="24"/>
        </w:rPr>
      </w:pPr>
      <w:r w:rsidRPr="00B42029">
        <w:rPr>
          <w:sz w:val="24"/>
          <w:szCs w:val="24"/>
        </w:rPr>
        <w:t>(Self-developed)</w:t>
      </w:r>
    </w:p>
    <w:p w14:paraId="7AE5D663" w14:textId="54A59CE7" w:rsidR="00B8765D" w:rsidRPr="00B42029" w:rsidRDefault="00ED5807">
      <w:pPr>
        <w:spacing w:after="160" w:line="360" w:lineRule="auto"/>
        <w:jc w:val="both"/>
        <w:rPr>
          <w:sz w:val="24"/>
          <w:szCs w:val="24"/>
        </w:rPr>
      </w:pPr>
      <w:r w:rsidRPr="00B42029">
        <w:rPr>
          <w:sz w:val="24"/>
          <w:szCs w:val="24"/>
        </w:rPr>
        <w:t xml:space="preserve">Nevertheless, the free cash flow ratio was quite low, rising in 2021 to 0.02 but only to 0.04 in 2025. This indicates that a good percentage of operating cash is consumed by capital expenditure, lease commitments and financing obligations. </w:t>
      </w:r>
      <w:r w:rsidR="003A11DB">
        <w:rPr>
          <w:b/>
          <w:bCs/>
          <w:i/>
          <w:iCs/>
          <w:sz w:val="24"/>
          <w:szCs w:val="24"/>
        </w:rPr>
        <w:t xml:space="preserve">[Refer to </w:t>
      </w:r>
      <w:r w:rsidR="003A11DB" w:rsidRPr="003A11DB">
        <w:rPr>
          <w:b/>
          <w:bCs/>
          <w:i/>
          <w:iCs/>
          <w:sz w:val="24"/>
          <w:szCs w:val="24"/>
        </w:rPr>
        <w:t>Appendix A</w:t>
      </w:r>
      <w:r w:rsidR="003A11DB">
        <w:rPr>
          <w:b/>
          <w:bCs/>
          <w:i/>
          <w:iCs/>
          <w:sz w:val="24"/>
          <w:szCs w:val="24"/>
        </w:rPr>
        <w:t>]</w:t>
      </w:r>
    </w:p>
    <w:p w14:paraId="6D1C4ABA" w14:textId="3DC975AF" w:rsidR="00B8765D" w:rsidRPr="00B42029" w:rsidRDefault="00B8765D" w:rsidP="00B8765D">
      <w:pPr>
        <w:spacing w:after="160" w:line="360" w:lineRule="auto"/>
        <w:jc w:val="center"/>
        <w:rPr>
          <w:sz w:val="24"/>
          <w:szCs w:val="24"/>
        </w:rPr>
      </w:pPr>
      <w:r w:rsidRPr="00B42029">
        <w:rPr>
          <w:noProof/>
        </w:rPr>
        <w:drawing>
          <wp:inline distT="0" distB="0" distL="0" distR="0" wp14:anchorId="74B48DBE" wp14:editId="4DAEA3B0">
            <wp:extent cx="4714875" cy="2718435"/>
            <wp:effectExtent l="171450" t="152400" r="161925" b="158115"/>
            <wp:docPr id="1222265066" name="Chart 1">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CAF0BA2" w14:textId="1AD5906E" w:rsidR="00B8765D" w:rsidRPr="00B42029" w:rsidRDefault="00B8765D" w:rsidP="00B8765D">
      <w:pPr>
        <w:spacing w:after="160" w:line="360" w:lineRule="auto"/>
        <w:jc w:val="center"/>
        <w:rPr>
          <w:b/>
          <w:bCs/>
          <w:sz w:val="24"/>
          <w:szCs w:val="24"/>
        </w:rPr>
      </w:pPr>
      <w:r w:rsidRPr="00B42029">
        <w:rPr>
          <w:b/>
          <w:bCs/>
          <w:sz w:val="24"/>
          <w:szCs w:val="24"/>
        </w:rPr>
        <w:t>Figure 12: Free cash flow ratio</w:t>
      </w:r>
    </w:p>
    <w:p w14:paraId="725E1D5D" w14:textId="77777777" w:rsidR="00B8765D" w:rsidRPr="00B42029" w:rsidRDefault="00B8765D" w:rsidP="00B8765D">
      <w:pPr>
        <w:spacing w:after="160" w:line="360" w:lineRule="auto"/>
        <w:jc w:val="center"/>
        <w:rPr>
          <w:sz w:val="24"/>
          <w:szCs w:val="24"/>
        </w:rPr>
      </w:pPr>
      <w:r w:rsidRPr="00B42029">
        <w:rPr>
          <w:sz w:val="24"/>
          <w:szCs w:val="24"/>
        </w:rPr>
        <w:t>(Self-developed)</w:t>
      </w:r>
    </w:p>
    <w:p w14:paraId="1D8A4767" w14:textId="5E5E9238" w:rsidR="00497211" w:rsidRPr="00B42029" w:rsidRDefault="00ED5807">
      <w:pPr>
        <w:spacing w:after="160" w:line="360" w:lineRule="auto"/>
        <w:jc w:val="both"/>
        <w:rPr>
          <w:sz w:val="24"/>
          <w:szCs w:val="24"/>
        </w:rPr>
      </w:pPr>
      <w:r w:rsidRPr="00B42029">
        <w:rPr>
          <w:sz w:val="24"/>
          <w:szCs w:val="24"/>
        </w:rPr>
        <w:lastRenderedPageBreak/>
        <w:t>Though Scandic is able to produce enough cash to cover its daily operations as well as debt repayment, the lack of free cash flow can limit dividend growth and also limit the ability to cover key expansion initiatives using internally generated funds.</w:t>
      </w:r>
    </w:p>
    <w:p w14:paraId="5CE1F1CA" w14:textId="77777777" w:rsidR="00497211" w:rsidRPr="00B42029" w:rsidRDefault="00ED5807" w:rsidP="00C5715E">
      <w:pPr>
        <w:pStyle w:val="Heading2"/>
      </w:pPr>
      <w:bookmarkStart w:id="12" w:name="_Toc237451717"/>
      <w:r w:rsidRPr="00B42029">
        <w:t>2.7 Overall Financial Diagnosis</w:t>
      </w:r>
      <w:bookmarkEnd w:id="12"/>
    </w:p>
    <w:p w14:paraId="6305B523" w14:textId="77777777" w:rsidR="00497211" w:rsidRPr="00B42029" w:rsidRDefault="00ED5807">
      <w:pPr>
        <w:spacing w:after="160" w:line="360" w:lineRule="auto"/>
        <w:jc w:val="both"/>
        <w:rPr>
          <w:sz w:val="24"/>
          <w:szCs w:val="24"/>
        </w:rPr>
      </w:pPr>
      <w:r w:rsidRPr="00B42029">
        <w:rPr>
          <w:sz w:val="24"/>
          <w:szCs w:val="24"/>
        </w:rPr>
        <w:t>Scandic has achieved strong revenue recovery, improved operating cash generation and sustained profitability since the pandemic. But the ongoing liquidity stress, large leverage on leases, escalating operating expense and high interest coverage all weigh on financial flexibility. The growth of tourism, digitalisation and sustainable development of hotels creates opportunities whereas inflation, economic uncertainty and emerging trends in travelling are some of the major threats. Therefore, the company is fa</w:t>
      </w:r>
      <w:r w:rsidRPr="00B42029">
        <w:rPr>
          <w:sz w:val="24"/>
          <w:szCs w:val="24"/>
        </w:rPr>
        <w:t>ced with poor liquidity, excessive leverage, cost control and free cash flow.</w:t>
      </w:r>
    </w:p>
    <w:p w14:paraId="7AEF5513" w14:textId="77777777" w:rsidR="00C5715E" w:rsidRPr="00B42029" w:rsidRDefault="00C5715E">
      <w:pPr>
        <w:spacing w:after="160" w:line="360" w:lineRule="auto"/>
        <w:jc w:val="both"/>
        <w:rPr>
          <w:sz w:val="24"/>
          <w:szCs w:val="24"/>
        </w:rPr>
      </w:pPr>
    </w:p>
    <w:p w14:paraId="23B1139E" w14:textId="4202A7E2" w:rsidR="00497211" w:rsidRPr="00B42029" w:rsidRDefault="00ED5807" w:rsidP="00C5715E">
      <w:pPr>
        <w:pStyle w:val="Heading1"/>
      </w:pPr>
      <w:bookmarkStart w:id="13" w:name="_Toc237451718"/>
      <w:r w:rsidRPr="00B42029">
        <w:t>3. Working Capital Management Analysis</w:t>
      </w:r>
      <w:bookmarkEnd w:id="13"/>
    </w:p>
    <w:p w14:paraId="5B4A68D7" w14:textId="77777777" w:rsidR="00497211" w:rsidRPr="00B42029" w:rsidRDefault="00ED5807" w:rsidP="00C5715E">
      <w:pPr>
        <w:pStyle w:val="Heading2"/>
      </w:pPr>
      <w:bookmarkStart w:id="14" w:name="_Toc237451719"/>
      <w:r w:rsidRPr="00B42029">
        <w:t>3.1 Working Capital Position</w:t>
      </w:r>
      <w:bookmarkEnd w:id="14"/>
    </w:p>
    <w:p w14:paraId="50A4F525" w14:textId="239D282C" w:rsidR="00497211" w:rsidRPr="00B42029" w:rsidRDefault="00ED5807">
      <w:pPr>
        <w:spacing w:after="160" w:line="360" w:lineRule="auto"/>
        <w:jc w:val="both"/>
        <w:rPr>
          <w:sz w:val="24"/>
          <w:szCs w:val="24"/>
        </w:rPr>
      </w:pPr>
      <w:r w:rsidRPr="00B42029">
        <w:rPr>
          <w:sz w:val="24"/>
          <w:szCs w:val="24"/>
        </w:rPr>
        <w:t xml:space="preserve">Although the operating performance has improved, Scandic has a structurally weak working-capital position. In current assets, the increase was 1,325 MSEK in 2021 to 2,120 MSEK in 2025 and in current liabilities, 5,612 MSEK to 6,560 MSEK. Therefore, the working capital was negative, as it changed to 4,287 MSEK in 2021 and to about 4,440 MSEK in 2025. Cash however rose to 216 MSEK to an estimated 1,000 MSEK contributing to better liquidity. Deb </w:t>
      </w:r>
      <w:r w:rsidR="00B42029" w:rsidRPr="00B42029">
        <w:rPr>
          <w:i/>
          <w:iCs/>
          <w:sz w:val="24"/>
          <w:szCs w:val="24"/>
        </w:rPr>
        <w:t>et al.</w:t>
      </w:r>
      <w:r w:rsidRPr="00B42029">
        <w:rPr>
          <w:sz w:val="24"/>
          <w:szCs w:val="24"/>
        </w:rPr>
        <w:t xml:space="preserve"> (2023) stress that technology has the potential to enhance the working-capital performance through enhancing speed and precision of transactional operations. In the case of Scandic, the negative working-capital structure is partly due to low inventory requirement and large immediate or advance payments by customers. Nevertheless, the ongoing deficit shows that it relies on ongoing operating cash streams and efficient management of suppliers-credit.</w:t>
      </w:r>
    </w:p>
    <w:p w14:paraId="635D5BA4" w14:textId="77777777" w:rsidR="00497211" w:rsidRPr="00B42029" w:rsidRDefault="00ED5807" w:rsidP="00C5715E">
      <w:pPr>
        <w:pStyle w:val="Heading2"/>
      </w:pPr>
      <w:bookmarkStart w:id="15" w:name="_Toc237451720"/>
      <w:r w:rsidRPr="00B42029">
        <w:t>3.2 Cash Operating Cycle</w:t>
      </w:r>
      <w:bookmarkEnd w:id="15"/>
    </w:p>
    <w:p w14:paraId="0F917C32" w14:textId="708133F0" w:rsidR="00497211" w:rsidRPr="00B42029" w:rsidRDefault="00ED5807">
      <w:pPr>
        <w:spacing w:after="160" w:line="360" w:lineRule="auto"/>
        <w:jc w:val="both"/>
        <w:rPr>
          <w:sz w:val="24"/>
          <w:szCs w:val="24"/>
        </w:rPr>
      </w:pPr>
      <w:r w:rsidRPr="00B42029">
        <w:rPr>
          <w:sz w:val="24"/>
          <w:szCs w:val="24"/>
        </w:rPr>
        <w:t xml:space="preserve">The cash conversion cycle (CCC) is used to determine how long it takes to spend money on operations and then to recover the money by receiving payment by </w:t>
      </w:r>
      <w:r w:rsidRPr="00B42029">
        <w:rPr>
          <w:sz w:val="24"/>
          <w:szCs w:val="24"/>
        </w:rPr>
        <w:lastRenderedPageBreak/>
        <w:t xml:space="preserve">customers. Karim </w:t>
      </w:r>
      <w:r w:rsidR="00B42029" w:rsidRPr="00B42029">
        <w:rPr>
          <w:i/>
          <w:iCs/>
          <w:sz w:val="24"/>
          <w:szCs w:val="24"/>
        </w:rPr>
        <w:t>et al.</w:t>
      </w:r>
      <w:r w:rsidRPr="00B42029">
        <w:rPr>
          <w:sz w:val="24"/>
          <w:szCs w:val="24"/>
        </w:rPr>
        <w:t xml:space="preserve"> (2023) discover that inventory and receivable levels and maximised creditor payments can be optimised by reducing the CCC and enhancing profitability. The accounts receivable turnover of Scandic is 30 times in 2021, but in 2025, the turnover is 44 times, which means more rapid collection and consequently a shorter receivable period. The inventory-conversion period is also constrained by its fairly low inventory requirement. Nonetheless, the precise five-year CCC cannot be determined accurately based on the</w:t>
      </w:r>
      <w:r w:rsidRPr="00B42029">
        <w:rPr>
          <w:sz w:val="24"/>
          <w:szCs w:val="24"/>
        </w:rPr>
        <w:t xml:space="preserve"> data provided since not all years have complete annual inventory, receivables and payables data. In comparison to manufacturing businesses, Scandic obtains significant instant card and online payments and advance booking receipts, shortening the time gap between service delivery and cash receipts. However, working-capital requirements may be temporary due to seasonal occupancy and food-and-beverage inventories.</w:t>
      </w:r>
      <w:r w:rsidR="003A11DB">
        <w:rPr>
          <w:sz w:val="24"/>
          <w:szCs w:val="24"/>
        </w:rPr>
        <w:t xml:space="preserve"> </w:t>
      </w:r>
    </w:p>
    <w:p w14:paraId="5B5646EE" w14:textId="77777777" w:rsidR="00497211" w:rsidRPr="00B42029" w:rsidRDefault="00ED5807" w:rsidP="00C5715E">
      <w:pPr>
        <w:pStyle w:val="Heading2"/>
      </w:pPr>
      <w:bookmarkStart w:id="16" w:name="_Toc237451721"/>
      <w:r w:rsidRPr="00B42029">
        <w:t>3.3 Working Capital Problems</w:t>
      </w:r>
      <w:bookmarkEnd w:id="16"/>
    </w:p>
    <w:p w14:paraId="17EBFE37" w14:textId="77777777" w:rsidR="00497211" w:rsidRPr="00B42029" w:rsidRDefault="00ED5807">
      <w:pPr>
        <w:spacing w:after="160" w:line="360" w:lineRule="auto"/>
        <w:jc w:val="both"/>
        <w:rPr>
          <w:sz w:val="24"/>
          <w:szCs w:val="24"/>
        </w:rPr>
      </w:pPr>
      <w:r w:rsidRPr="00B42029">
        <w:rPr>
          <w:sz w:val="24"/>
          <w:szCs w:val="24"/>
        </w:rPr>
        <w:t xml:space="preserve">The major working-capital issue facing Scandic is continuous negative working capital which hit a point of around 4,450 MSEK in 2025. Although the cash ratio improved to 0.14 and the operating cash-flow ratio reached 0.98, current assets remain insufficient to cover current liabilities. </w:t>
      </w:r>
      <w:proofErr w:type="spellStart"/>
      <w:r w:rsidRPr="00B42029">
        <w:rPr>
          <w:sz w:val="24"/>
          <w:szCs w:val="24"/>
        </w:rPr>
        <w:t>Mandipa</w:t>
      </w:r>
      <w:proofErr w:type="spellEnd"/>
      <w:r w:rsidRPr="00B42029">
        <w:rPr>
          <w:sz w:val="24"/>
          <w:szCs w:val="24"/>
        </w:rPr>
        <w:t xml:space="preserve"> and Sibindi (2022) show that ineffective collection, inventory control and cash-conversion practices can negatively impact financial performance. In the case of Scandic, seasonal hotel demand can lead to periods of cash demands, while the large lease and supplier commitments put them under short-term pressure. Poor forecasting might thus undermine resilience when there is a demand shock. The company must therefore not be overly dependent on short-term borrowing and implement technology-based forecas</w:t>
      </w:r>
      <w:r w:rsidRPr="00B42029">
        <w:rPr>
          <w:sz w:val="24"/>
          <w:szCs w:val="24"/>
        </w:rPr>
        <w:t>ting to ensure cash is readily available as per seasonal operating needs.</w:t>
      </w:r>
    </w:p>
    <w:p w14:paraId="53845115" w14:textId="77777777" w:rsidR="00497211" w:rsidRPr="00B42029" w:rsidRDefault="00ED5807" w:rsidP="00C5715E">
      <w:pPr>
        <w:pStyle w:val="Heading2"/>
      </w:pPr>
      <w:bookmarkStart w:id="17" w:name="_Toc237451722"/>
      <w:r w:rsidRPr="00B42029">
        <w:t>3.4 Working Capital Reform Strategy</w:t>
      </w:r>
      <w:bookmarkEnd w:id="17"/>
    </w:p>
    <w:p w14:paraId="162768F3" w14:textId="0EFA37FA" w:rsidR="00497211" w:rsidRPr="00B42029" w:rsidRDefault="00ED5807">
      <w:pPr>
        <w:spacing w:after="160" w:line="360" w:lineRule="auto"/>
        <w:jc w:val="both"/>
        <w:rPr>
          <w:sz w:val="24"/>
          <w:szCs w:val="24"/>
        </w:rPr>
      </w:pPr>
      <w:r w:rsidRPr="00B42029">
        <w:rPr>
          <w:sz w:val="24"/>
          <w:szCs w:val="24"/>
        </w:rPr>
        <w:t xml:space="preserve">To predict seasonal shortages and cushion the continuity of operations, Scandic needs to roll cash-flow projections and have a centrally controlled liquidity buffer. According to </w:t>
      </w:r>
      <w:proofErr w:type="spellStart"/>
      <w:r w:rsidRPr="00B42029">
        <w:rPr>
          <w:sz w:val="24"/>
          <w:szCs w:val="24"/>
        </w:rPr>
        <w:t>Medupe</w:t>
      </w:r>
      <w:proofErr w:type="spellEnd"/>
      <w:r w:rsidRPr="00B42029">
        <w:rPr>
          <w:sz w:val="24"/>
          <w:szCs w:val="24"/>
        </w:rPr>
        <w:t xml:space="preserve"> and </w:t>
      </w:r>
      <w:proofErr w:type="spellStart"/>
      <w:r w:rsidRPr="00B42029">
        <w:rPr>
          <w:sz w:val="24"/>
          <w:szCs w:val="24"/>
        </w:rPr>
        <w:t>Lethiwe</w:t>
      </w:r>
      <w:proofErr w:type="spellEnd"/>
      <w:r w:rsidRPr="00B42029">
        <w:rPr>
          <w:sz w:val="24"/>
          <w:szCs w:val="24"/>
        </w:rPr>
        <w:t xml:space="preserve"> (2026), the cash-flow strategies need sufficient financial systems and working discipline. In the case of receivables, automated payment systems and stricter corporate-account terms would ensure timely payment and advance deposits on selected bookings would enhance liquidity. In the case of </w:t>
      </w:r>
      <w:r w:rsidRPr="00B42029">
        <w:rPr>
          <w:sz w:val="24"/>
          <w:szCs w:val="24"/>
        </w:rPr>
        <w:lastRenderedPageBreak/>
        <w:t xml:space="preserve">inventories, demand forecasting and dynamic procurement ought to minimize food and beverage waste without affecting guest service. Deb </w:t>
      </w:r>
      <w:r w:rsidR="00B42029" w:rsidRPr="00B42029">
        <w:rPr>
          <w:i/>
          <w:iCs/>
          <w:sz w:val="24"/>
          <w:szCs w:val="24"/>
        </w:rPr>
        <w:t>et al.</w:t>
      </w:r>
      <w:r w:rsidRPr="00B42029">
        <w:rPr>
          <w:sz w:val="24"/>
          <w:szCs w:val="24"/>
        </w:rPr>
        <w:t xml:space="preserve"> (2023) endorse technology investment since IT has the ability to enhance the efficiency of receivable, inventory and payable processes. Scandic also ought to negotiate longer supplier-payment terms and centralise procurement, and selectively apply supply-chain finance. Wu </w:t>
      </w:r>
      <w:r w:rsidR="00B42029" w:rsidRPr="00B42029">
        <w:rPr>
          <w:i/>
          <w:iCs/>
          <w:sz w:val="24"/>
          <w:szCs w:val="24"/>
        </w:rPr>
        <w:t>et al.</w:t>
      </w:r>
      <w:r w:rsidRPr="00B42029">
        <w:rPr>
          <w:sz w:val="24"/>
          <w:szCs w:val="24"/>
        </w:rPr>
        <w:t xml:space="preserve"> (2025) demonstrate that the access to credit can be better, which will facilitate the increase in the rate of inventory turnover and the utilization of trade credit. Together, these actions may help alleviate liquidity pressure and enhance free cash flow and shareholder value by lowering the financing needs.</w:t>
      </w:r>
    </w:p>
    <w:p w14:paraId="00F1EF59" w14:textId="77777777" w:rsidR="00497211" w:rsidRPr="00B42029" w:rsidRDefault="00ED5807" w:rsidP="00C5715E">
      <w:pPr>
        <w:pStyle w:val="Heading2"/>
      </w:pPr>
      <w:bookmarkStart w:id="18" w:name="_Toc237451723"/>
      <w:r w:rsidRPr="00B42029">
        <w:t>3.5 Short-Term vs Long-Term Financing</w:t>
      </w:r>
      <w:bookmarkEnd w:id="18"/>
    </w:p>
    <w:p w14:paraId="5C77DE3B" w14:textId="77777777" w:rsidR="00497211" w:rsidRPr="00B42029" w:rsidRDefault="00ED5807">
      <w:pPr>
        <w:spacing w:after="160" w:line="360" w:lineRule="auto"/>
        <w:jc w:val="both"/>
        <w:rPr>
          <w:sz w:val="24"/>
          <w:szCs w:val="24"/>
        </w:rPr>
      </w:pPr>
      <w:r w:rsidRPr="00B42029">
        <w:rPr>
          <w:sz w:val="24"/>
          <w:szCs w:val="24"/>
        </w:rPr>
        <w:t>The short term means like overdrafts, revolving credit, and trade credit are flexible to the seasonal liquidity needs of Scandic but subject the company to refinancing and interest-rate risk. Bank lending, bonds and green finance is more stable in the maturity, whereas equity lowers financial leverage but dilutes the existing shareholders. Green finance can also assist Scandic in achieving its sustainability goals, though the availability might be connected to eligibility criteria and reporting (Hu and Gan,</w:t>
      </w:r>
      <w:r w:rsidRPr="00B42029">
        <w:rPr>
          <w:sz w:val="24"/>
          <w:szCs w:val="24"/>
        </w:rPr>
        <w:t xml:space="preserve"> 2025). Hence, a balanced financing mix is desirable: short-term facilities must meet temporary working-capital changes, and longer-term and perhaps green financing should finance structural investment. This strategy minimizes the refinancing risk and maintains flexibility in operations.</w:t>
      </w:r>
    </w:p>
    <w:p w14:paraId="7D956069" w14:textId="77777777" w:rsidR="00497211" w:rsidRPr="00B42029" w:rsidRDefault="00497211">
      <w:pPr>
        <w:spacing w:after="160" w:line="360" w:lineRule="auto"/>
        <w:jc w:val="both"/>
        <w:rPr>
          <w:sz w:val="24"/>
          <w:szCs w:val="24"/>
        </w:rPr>
      </w:pPr>
    </w:p>
    <w:p w14:paraId="66A0A5C9" w14:textId="77777777" w:rsidR="00497211" w:rsidRPr="00B42029" w:rsidRDefault="00ED5807" w:rsidP="00C5715E">
      <w:pPr>
        <w:pStyle w:val="Heading1"/>
      </w:pPr>
      <w:bookmarkStart w:id="19" w:name="_Toc237451724"/>
      <w:r w:rsidRPr="00B42029">
        <w:t>4. Strategic Financial Restructuring Plan</w:t>
      </w:r>
      <w:bookmarkEnd w:id="19"/>
    </w:p>
    <w:p w14:paraId="3C0503C9" w14:textId="77777777" w:rsidR="00497211" w:rsidRPr="00B42029" w:rsidRDefault="00ED5807" w:rsidP="00C5715E">
      <w:pPr>
        <w:pStyle w:val="Heading2"/>
      </w:pPr>
      <w:bookmarkStart w:id="20" w:name="_Toc237451725"/>
      <w:r w:rsidRPr="00B42029">
        <w:t>4.1 Rationale for Restructuring</w:t>
      </w:r>
      <w:bookmarkEnd w:id="20"/>
    </w:p>
    <w:p w14:paraId="276F01D9" w14:textId="77777777" w:rsidR="00497211" w:rsidRPr="00B42029" w:rsidRDefault="00ED5807">
      <w:pPr>
        <w:spacing w:after="160" w:line="360" w:lineRule="auto"/>
        <w:jc w:val="both"/>
        <w:rPr>
          <w:sz w:val="24"/>
          <w:szCs w:val="24"/>
        </w:rPr>
      </w:pPr>
      <w:r w:rsidRPr="00B42029">
        <w:rPr>
          <w:sz w:val="24"/>
          <w:szCs w:val="24"/>
        </w:rPr>
        <w:t>The financial rescue of Scandic justifies restructuring in order to become more resilient instead of acting in reaction to the insolvency. Although revenue reached 22,290 MSEK in 2025 and net debt fell to 35 MSEK, the company continued to report negative working capital of approximately 4,450 MSEK, substantial lease liabilities of 43,690 MSEK, and a relatively low current ratio of 0.32. Additionally, the decreasing EBITDA margin of 11.94% shows that there is a persistent pressure on costs. Liquidity and cap</w:t>
      </w:r>
      <w:r w:rsidRPr="00B42029">
        <w:rPr>
          <w:sz w:val="24"/>
          <w:szCs w:val="24"/>
        </w:rPr>
        <w:t xml:space="preserve">ital flexibility and capacity to finance future investments can thus be enhanced by </w:t>
      </w:r>
      <w:r w:rsidRPr="00B42029">
        <w:rPr>
          <w:sz w:val="24"/>
          <w:szCs w:val="24"/>
        </w:rPr>
        <w:lastRenderedPageBreak/>
        <w:t xml:space="preserve">financial restructuring. According to </w:t>
      </w:r>
      <w:proofErr w:type="spellStart"/>
      <w:r w:rsidRPr="00B42029">
        <w:rPr>
          <w:sz w:val="24"/>
          <w:szCs w:val="24"/>
        </w:rPr>
        <w:t>Colliard</w:t>
      </w:r>
      <w:proofErr w:type="spellEnd"/>
      <w:r w:rsidRPr="00B42029">
        <w:rPr>
          <w:sz w:val="24"/>
          <w:szCs w:val="24"/>
        </w:rPr>
        <w:t xml:space="preserve"> and </w:t>
      </w:r>
      <w:proofErr w:type="spellStart"/>
      <w:r w:rsidRPr="00B42029">
        <w:rPr>
          <w:sz w:val="24"/>
          <w:szCs w:val="24"/>
        </w:rPr>
        <w:t>Gromb</w:t>
      </w:r>
      <w:proofErr w:type="spellEnd"/>
      <w:r w:rsidRPr="00B42029">
        <w:rPr>
          <w:sz w:val="24"/>
          <w:szCs w:val="24"/>
        </w:rPr>
        <w:t xml:space="preserve"> (2025), creditor interests, capital structure and negotiation incentives must be considered in restructuring decisions. In the case of Scandic, restructuring must therefore be </w:t>
      </w:r>
      <w:proofErr w:type="spellStart"/>
      <w:r w:rsidRPr="00B42029">
        <w:rPr>
          <w:sz w:val="24"/>
          <w:szCs w:val="24"/>
        </w:rPr>
        <w:t>centered</w:t>
      </w:r>
      <w:proofErr w:type="spellEnd"/>
      <w:r w:rsidRPr="00B42029">
        <w:rPr>
          <w:sz w:val="24"/>
          <w:szCs w:val="24"/>
        </w:rPr>
        <w:t xml:space="preserve"> on the financial vulnerability reduction and maintenance of investment capacity.</w:t>
      </w:r>
    </w:p>
    <w:p w14:paraId="68A6B4C7" w14:textId="77777777" w:rsidR="00497211" w:rsidRPr="00B42029" w:rsidRDefault="00ED5807" w:rsidP="00C5715E">
      <w:pPr>
        <w:pStyle w:val="Heading2"/>
      </w:pPr>
      <w:bookmarkStart w:id="21" w:name="_Toc237451726"/>
      <w:r w:rsidRPr="00B42029">
        <w:t>4.2 Restructuring Option 1: Divestiture</w:t>
      </w:r>
      <w:bookmarkEnd w:id="21"/>
    </w:p>
    <w:p w14:paraId="5E72130D" w14:textId="7602163E" w:rsidR="00497211" w:rsidRPr="00B42029" w:rsidRDefault="00ED5807">
      <w:pPr>
        <w:spacing w:after="160" w:line="360" w:lineRule="auto"/>
        <w:jc w:val="both"/>
        <w:rPr>
          <w:sz w:val="24"/>
          <w:szCs w:val="24"/>
        </w:rPr>
      </w:pPr>
      <w:r w:rsidRPr="00B42029">
        <w:rPr>
          <w:sz w:val="24"/>
          <w:szCs w:val="24"/>
        </w:rPr>
        <w:t xml:space="preserve">Scandic may choose to dispose selectively of non-core or non-performing properties and reinvest the proceeds to improve liquidity or lower the financial burden. According to Erl </w:t>
      </w:r>
      <w:r w:rsidR="00B42029" w:rsidRPr="00B42029">
        <w:rPr>
          <w:i/>
          <w:iCs/>
          <w:sz w:val="24"/>
          <w:szCs w:val="24"/>
        </w:rPr>
        <w:t>et al.</w:t>
      </w:r>
      <w:r w:rsidRPr="00B42029">
        <w:rPr>
          <w:sz w:val="24"/>
          <w:szCs w:val="24"/>
        </w:rPr>
        <w:t xml:space="preserve"> (2024), the market responses to divestiture announcements can be more favourable when they are part of financially-oriented restructuring programmes with well-articulated goals. In the case of Scandic, selling assets may free up capital and decrease future operating obligations and enhance financial flexibility. Nevertheless, blind disposals may decrease the potential capacity of rooms in future, earnings and market placement. Divestiture must thus focus on the assets that have poor returns or have less st</w:t>
      </w:r>
      <w:r w:rsidRPr="00B42029">
        <w:rPr>
          <w:sz w:val="24"/>
          <w:szCs w:val="24"/>
        </w:rPr>
        <w:t>rategic value as opposed to profitable core hotels. The proceeds are supposed to first of all enhance liquidity and help in value-enhancing investments.</w:t>
      </w:r>
    </w:p>
    <w:p w14:paraId="5951D4FA" w14:textId="77777777" w:rsidR="00497211" w:rsidRPr="00B42029" w:rsidRDefault="00ED5807" w:rsidP="00C5715E">
      <w:pPr>
        <w:pStyle w:val="Heading2"/>
      </w:pPr>
      <w:bookmarkStart w:id="22" w:name="_Toc237451727"/>
      <w:r w:rsidRPr="00B42029">
        <w:t>4.3 Restructuring Option 2: Equity Injection</w:t>
      </w:r>
      <w:bookmarkEnd w:id="22"/>
    </w:p>
    <w:p w14:paraId="3364734E" w14:textId="77777777" w:rsidR="00497211" w:rsidRPr="00B42029" w:rsidRDefault="00ED5807">
      <w:pPr>
        <w:spacing w:after="160" w:line="360" w:lineRule="auto"/>
        <w:jc w:val="both"/>
        <w:rPr>
          <w:sz w:val="24"/>
          <w:szCs w:val="24"/>
        </w:rPr>
      </w:pPr>
      <w:r w:rsidRPr="00B42029">
        <w:rPr>
          <w:sz w:val="24"/>
          <w:szCs w:val="24"/>
        </w:rPr>
        <w:t>The additional capital base through a new equity issue or a rights issue would enable Scandic to remove reliance on debt financing. Even though the net debt position of the company is currently low the large lease commitments and negative working capital warrants the additional equity capacity. Equity financing would enhance borrowing ability and offer a better cushion to demand shock in the future. Nevertheless, the issue of new shares may dilute the current shareholders, and might not be quite appealing i</w:t>
      </w:r>
      <w:r w:rsidRPr="00B42029">
        <w:rPr>
          <w:sz w:val="24"/>
          <w:szCs w:val="24"/>
        </w:rPr>
        <w:t xml:space="preserve">n a market with uncertain valuations. Betzer and </w:t>
      </w:r>
      <w:proofErr w:type="spellStart"/>
      <w:r w:rsidRPr="00B42029">
        <w:rPr>
          <w:sz w:val="24"/>
          <w:szCs w:val="24"/>
        </w:rPr>
        <w:t>Oenschlaeger</w:t>
      </w:r>
      <w:proofErr w:type="spellEnd"/>
      <w:r w:rsidRPr="00B42029">
        <w:rPr>
          <w:sz w:val="24"/>
          <w:szCs w:val="24"/>
        </w:rPr>
        <w:t xml:space="preserve"> (2026) show that information and market conditions can have an impact on equity-offering discounts. An equity injection, therefore, ought to be viewed as a backup and not the main restructuring tool of Scandic.</w:t>
      </w:r>
    </w:p>
    <w:p w14:paraId="2FA8542C" w14:textId="77777777" w:rsidR="00497211" w:rsidRPr="00B42029" w:rsidRDefault="00ED5807" w:rsidP="00C5715E">
      <w:pPr>
        <w:pStyle w:val="Heading2"/>
      </w:pPr>
      <w:bookmarkStart w:id="23" w:name="_Toc237451728"/>
      <w:r w:rsidRPr="00B42029">
        <w:t>4.4 Restructuring Option 3: Refinancing / Debt Restructuring</w:t>
      </w:r>
      <w:bookmarkEnd w:id="23"/>
    </w:p>
    <w:p w14:paraId="67B1F7D8" w14:textId="5B362F4D" w:rsidR="00497211" w:rsidRPr="00B42029" w:rsidRDefault="00ED5807">
      <w:pPr>
        <w:spacing w:after="160" w:line="360" w:lineRule="auto"/>
        <w:jc w:val="both"/>
        <w:rPr>
          <w:sz w:val="24"/>
          <w:szCs w:val="24"/>
        </w:rPr>
      </w:pPr>
      <w:r w:rsidRPr="00B42029">
        <w:rPr>
          <w:sz w:val="24"/>
          <w:szCs w:val="24"/>
        </w:rPr>
        <w:t xml:space="preserve">The priority should be to refinance to enhance matching maturity, financing and protection against interest-rate volatility. Scandic might renegotiate debt maturities, refinance costly facilities and selectively augment the ratio of fixed-rate borrow. </w:t>
      </w:r>
      <w:r w:rsidRPr="00B42029">
        <w:rPr>
          <w:sz w:val="24"/>
          <w:szCs w:val="24"/>
        </w:rPr>
        <w:lastRenderedPageBreak/>
        <w:t xml:space="preserve">According to Cowling </w:t>
      </w:r>
      <w:r w:rsidR="00B42029" w:rsidRPr="00B42029">
        <w:rPr>
          <w:i/>
          <w:iCs/>
          <w:sz w:val="24"/>
          <w:szCs w:val="24"/>
        </w:rPr>
        <w:t>et al.</w:t>
      </w:r>
      <w:r w:rsidRPr="00B42029">
        <w:rPr>
          <w:sz w:val="24"/>
          <w:szCs w:val="24"/>
        </w:rPr>
        <w:t xml:space="preserve"> (2025), refinancing can make firms resilient to significant economic shocks especially where current commitments limit their future developments. Scandic might also take into account green financing or sustainability-related financing of qualifying investments. Refinancing however needs to consider interest-rate and currency exposure, covenant requirements and debt-service capacity. The longer maturities may lower the short-term liquidity pressure, but excess refinancing might raise overall interest paymen</w:t>
      </w:r>
      <w:r w:rsidRPr="00B42029">
        <w:rPr>
          <w:sz w:val="24"/>
          <w:szCs w:val="24"/>
        </w:rPr>
        <w:t>ts. Thus, refinancing ought to be geared towards a compromise between reducing short-term pressure with acceptable long-term financing costs.</w:t>
      </w:r>
    </w:p>
    <w:p w14:paraId="317E0DD5" w14:textId="77777777" w:rsidR="00497211" w:rsidRPr="00B42029" w:rsidRDefault="00ED5807" w:rsidP="00C5715E">
      <w:pPr>
        <w:pStyle w:val="Heading2"/>
      </w:pPr>
      <w:bookmarkStart w:id="24" w:name="_Toc237451729"/>
      <w:r w:rsidRPr="00B42029">
        <w:t>4.5 International Financial and Ethical Considerations</w:t>
      </w:r>
      <w:bookmarkEnd w:id="24"/>
    </w:p>
    <w:p w14:paraId="4BE58197" w14:textId="77777777" w:rsidR="00497211" w:rsidRPr="00B42029" w:rsidRDefault="00ED5807">
      <w:pPr>
        <w:spacing w:after="160" w:line="360" w:lineRule="auto"/>
        <w:jc w:val="both"/>
        <w:rPr>
          <w:sz w:val="24"/>
          <w:szCs w:val="24"/>
        </w:rPr>
      </w:pPr>
      <w:r w:rsidRPr="00B42029">
        <w:rPr>
          <w:sz w:val="24"/>
          <w:szCs w:val="24"/>
        </w:rPr>
        <w:t>The activities of Scandic in a number of markets in Europe put the group at risk of currency fluctuations especially where revenues and costs are in various currencies. Hedging should be appropriate to minimize the exchange-rate volatility and safeguard cash flows (Chen &amp; Zhou, 2025). Inflation is also important as increased food, labour, energy and construction expenses may squeeze hotel margins; global food-price shocks may produce enduring domestic inflationary impacts (Anderl &amp; Caporale, 2025). The issu</w:t>
      </w:r>
      <w:r w:rsidRPr="00B42029">
        <w:rPr>
          <w:sz w:val="24"/>
          <w:szCs w:val="24"/>
        </w:rPr>
        <w:t xml:space="preserve">e of international taxation should be handled in a transparent manner and there should be proper compliance in terms of cross-border deals and transfer pricing. ESG wise, restructuring must facilitate energy efficiency, waste minimization, responsible sourcing and employee welfare. </w:t>
      </w:r>
      <w:proofErr w:type="spellStart"/>
      <w:r w:rsidRPr="00B42029">
        <w:rPr>
          <w:sz w:val="24"/>
          <w:szCs w:val="24"/>
        </w:rPr>
        <w:t>Menegaki</w:t>
      </w:r>
      <w:proofErr w:type="spellEnd"/>
      <w:r w:rsidRPr="00B42029">
        <w:rPr>
          <w:sz w:val="24"/>
          <w:szCs w:val="24"/>
        </w:rPr>
        <w:t xml:space="preserve"> (2025) emphasizes the need to balance the hospitality between the control of pollution and economic viability. Sustainability-linked investment and green financing can thus make financial restructuring work in harmony wi</w:t>
      </w:r>
      <w:r w:rsidRPr="00B42029">
        <w:rPr>
          <w:sz w:val="24"/>
          <w:szCs w:val="24"/>
        </w:rPr>
        <w:t>th environmental and stakeholder goals.</w:t>
      </w:r>
    </w:p>
    <w:p w14:paraId="3EA95632" w14:textId="77777777" w:rsidR="00497211" w:rsidRPr="00B42029" w:rsidRDefault="00ED5807" w:rsidP="00C5715E">
      <w:pPr>
        <w:pStyle w:val="Heading2"/>
      </w:pPr>
      <w:bookmarkStart w:id="25" w:name="_Toc237451730"/>
      <w:r w:rsidRPr="00B42029">
        <w:t>4.6 Recommended Restructuring Strategy</w:t>
      </w:r>
      <w:bookmarkEnd w:id="25"/>
    </w:p>
    <w:p w14:paraId="015C9BED" w14:textId="77777777" w:rsidR="00497211" w:rsidRPr="00B42029" w:rsidRDefault="00ED5807">
      <w:pPr>
        <w:spacing w:after="160" w:line="360" w:lineRule="auto"/>
        <w:jc w:val="both"/>
        <w:rPr>
          <w:sz w:val="24"/>
          <w:szCs w:val="24"/>
        </w:rPr>
      </w:pPr>
      <w:r w:rsidRPr="00B42029">
        <w:rPr>
          <w:sz w:val="24"/>
          <w:szCs w:val="24"/>
        </w:rPr>
        <w:t>Scandic must use selective divestiture, focused refinancing, and focused working-capital management as opposed to issuing equity as the main source of funds. Such a combination may unlock capital, alleviate the liquidity strain and enhance financial flexibility, as well as limit dilution of shareholders. Refinancing must be more about extending maturity and managing interests whereas divestiture must be about non-core assets. The plan must also accommodate the ESG investment and maintain adequate growth pot</w:t>
      </w:r>
      <w:r w:rsidRPr="00B42029">
        <w:rPr>
          <w:sz w:val="24"/>
          <w:szCs w:val="24"/>
        </w:rPr>
        <w:t>ential.</w:t>
      </w:r>
    </w:p>
    <w:p w14:paraId="58D68BD1" w14:textId="77777777" w:rsidR="00497211" w:rsidRPr="00B42029" w:rsidRDefault="00497211">
      <w:pPr>
        <w:spacing w:after="160" w:line="360" w:lineRule="auto"/>
        <w:jc w:val="both"/>
        <w:rPr>
          <w:sz w:val="24"/>
          <w:szCs w:val="24"/>
        </w:rPr>
      </w:pPr>
    </w:p>
    <w:p w14:paraId="39BEBE06" w14:textId="77777777" w:rsidR="00497211" w:rsidRPr="00B42029" w:rsidRDefault="00ED5807" w:rsidP="00C5715E">
      <w:pPr>
        <w:pStyle w:val="Heading1"/>
      </w:pPr>
      <w:bookmarkStart w:id="26" w:name="_Toc237451731"/>
      <w:r w:rsidRPr="00B42029">
        <w:t>5. Investment Appraisal and Capital Budgeting</w:t>
      </w:r>
      <w:bookmarkEnd w:id="26"/>
    </w:p>
    <w:p w14:paraId="658CBD1A" w14:textId="77777777" w:rsidR="00497211" w:rsidRPr="00B42029" w:rsidRDefault="00ED5807" w:rsidP="00C5715E">
      <w:pPr>
        <w:pStyle w:val="Heading2"/>
      </w:pPr>
      <w:bookmarkStart w:id="27" w:name="_Toc237451732"/>
      <w:r w:rsidRPr="00B42029">
        <w:t>5.1 Investment Decision Context</w:t>
      </w:r>
      <w:bookmarkEnd w:id="27"/>
    </w:p>
    <w:p w14:paraId="633F6EE0" w14:textId="43731EA7" w:rsidR="00497211" w:rsidRPr="00B42029" w:rsidRDefault="00ED5807">
      <w:pPr>
        <w:spacing w:after="160" w:line="360" w:lineRule="auto"/>
        <w:jc w:val="both"/>
        <w:rPr>
          <w:sz w:val="24"/>
          <w:szCs w:val="24"/>
        </w:rPr>
      </w:pPr>
      <w:r w:rsidRPr="00B42029">
        <w:rPr>
          <w:sz w:val="24"/>
          <w:szCs w:val="24"/>
        </w:rPr>
        <w:t xml:space="preserve">Strategically, investment appraisal is critical to Scandic since the hotel needs a lot of capital to grow, renovate, upgrade to digital, and sustainability. The strategy of Scandic focuses on profitable growth, operational excellence and sustainable business and so, it is necessary to be disciplined in capital allocation. Digitalisation has the potential to enhance the booking process, customer service and operation decisions, and long-term competitiveness (Jagodič </w:t>
      </w:r>
      <w:r w:rsidR="00B42029" w:rsidRPr="00B42029">
        <w:rPr>
          <w:i/>
          <w:iCs/>
          <w:sz w:val="24"/>
          <w:szCs w:val="24"/>
        </w:rPr>
        <w:t>et al.</w:t>
      </w:r>
      <w:r w:rsidRPr="00B42029">
        <w:rPr>
          <w:sz w:val="24"/>
          <w:szCs w:val="24"/>
        </w:rPr>
        <w:t>, 2025). These five appraisal techniques are PBP, ARR, NPV, PI and IRR.</w:t>
      </w:r>
    </w:p>
    <w:p w14:paraId="138D7ED0" w14:textId="77777777" w:rsidR="00497211" w:rsidRPr="00B42029" w:rsidRDefault="00ED5807" w:rsidP="00C5715E">
      <w:pPr>
        <w:pStyle w:val="Heading2"/>
      </w:pPr>
      <w:bookmarkStart w:id="28" w:name="_Toc237451733"/>
      <w:r w:rsidRPr="00B42029">
        <w:t>5.2 Project Data and Assumptions</w:t>
      </w:r>
      <w:bookmarkEnd w:id="28"/>
    </w:p>
    <w:p w14:paraId="3646B992" w14:textId="77777777" w:rsidR="00497211" w:rsidRPr="00B42029" w:rsidRDefault="00ED5807">
      <w:pPr>
        <w:spacing w:after="160" w:line="360" w:lineRule="auto"/>
        <w:jc w:val="both"/>
        <w:rPr>
          <w:sz w:val="24"/>
          <w:szCs w:val="24"/>
        </w:rPr>
      </w:pPr>
      <w:r w:rsidRPr="00B42029">
        <w:rPr>
          <w:sz w:val="24"/>
          <w:szCs w:val="24"/>
        </w:rPr>
        <w:t>Three similarly comparable projects of £50m are evaluated over a period of five years with an annual cash inflow and a discount rate of 8. Project A generates £10m, £12m, £14m, £10m and £8m; Project B generates £11m annually; while Project C generates £5m, £10m, £20m, £25m and £5m. Straight-line depreciation amortises each investment to zero within five years and the value remaining at zero. These assumptions give a stable foundation in making a comparison of recovery, accounting profitability and discounte</w:t>
      </w:r>
      <w:r w:rsidRPr="00B42029">
        <w:rPr>
          <w:sz w:val="24"/>
          <w:szCs w:val="24"/>
        </w:rPr>
        <w:t>d shareholder value.</w:t>
      </w:r>
    </w:p>
    <w:p w14:paraId="5249DEDE" w14:textId="77777777" w:rsidR="00497211" w:rsidRPr="00B42029" w:rsidRDefault="00ED5807" w:rsidP="00C5715E">
      <w:pPr>
        <w:pStyle w:val="Heading2"/>
      </w:pPr>
      <w:bookmarkStart w:id="29" w:name="_Toc237451734"/>
      <w:r w:rsidRPr="00B42029">
        <w:t>5.3 Payback Period</w:t>
      </w:r>
      <w:bookmarkEnd w:id="29"/>
    </w:p>
    <w:p w14:paraId="76F7D9C4" w14:textId="75694F20" w:rsidR="00497211" w:rsidRPr="00B42029" w:rsidRDefault="00ED5807">
      <w:pPr>
        <w:spacing w:after="160" w:line="360" w:lineRule="auto"/>
        <w:jc w:val="both"/>
        <w:rPr>
          <w:sz w:val="24"/>
          <w:szCs w:val="24"/>
        </w:rPr>
      </w:pPr>
      <w:r w:rsidRPr="00B42029">
        <w:rPr>
          <w:sz w:val="24"/>
          <w:szCs w:val="24"/>
        </w:rPr>
        <w:t>Payback Period (PBP) is the period of time it takes to break even the initial investment by accumulation of the cash inflows. Project A recovers £50m during Year 5: £4m remains unrecovered after Year 4, giving 4 + (£4m/£8m) = 4.5 years, or approximately 4 years 6 months. Project B has £6m outstanding after Year 4, producing 4 + (£6m/£11m) = 4.55 years, approximately 4 years 6.5 months. Project C recovers £50m during Year 4, with £15m outstanding after Year 3; therefore, 3 + (£15m/£25m) = 3.6 years, or appro</w:t>
      </w:r>
      <w:r w:rsidRPr="00B42029">
        <w:rPr>
          <w:sz w:val="24"/>
          <w:szCs w:val="24"/>
        </w:rPr>
        <w:t>ximately 3 years 7 months. Therefore, C offers the quickest recovery and, possibly, the more robust liquidity protection. PBP however does not consider the time value of money and the cash flows after recovery and therefore may favour projects that have a high-earning potential in the short run, but with lesser overall value (Sam, 2025).</w:t>
      </w:r>
      <w:r w:rsidR="003A11DB">
        <w:rPr>
          <w:sz w:val="24"/>
          <w:szCs w:val="24"/>
        </w:rPr>
        <w:t xml:space="preserve"> </w:t>
      </w:r>
      <w:r w:rsidR="003A11DB">
        <w:rPr>
          <w:b/>
          <w:bCs/>
          <w:i/>
          <w:iCs/>
          <w:sz w:val="24"/>
          <w:szCs w:val="24"/>
        </w:rPr>
        <w:t xml:space="preserve">[Refer to </w:t>
      </w:r>
      <w:r w:rsidR="003A11DB" w:rsidRPr="003A11DB">
        <w:rPr>
          <w:b/>
          <w:bCs/>
          <w:i/>
          <w:iCs/>
          <w:sz w:val="24"/>
          <w:szCs w:val="24"/>
        </w:rPr>
        <w:t xml:space="preserve">Appendix </w:t>
      </w:r>
      <w:r w:rsidR="003A11DB">
        <w:rPr>
          <w:b/>
          <w:bCs/>
          <w:i/>
          <w:iCs/>
          <w:sz w:val="24"/>
          <w:szCs w:val="24"/>
        </w:rPr>
        <w:t>B]</w:t>
      </w:r>
    </w:p>
    <w:p w14:paraId="1D6A1C5B" w14:textId="77777777" w:rsidR="00497211" w:rsidRPr="00B42029" w:rsidRDefault="00ED5807" w:rsidP="00C5715E">
      <w:pPr>
        <w:pStyle w:val="Heading2"/>
      </w:pPr>
      <w:bookmarkStart w:id="30" w:name="_Toc237451735"/>
      <w:r w:rsidRPr="00B42029">
        <w:lastRenderedPageBreak/>
        <w:t>5.4 Accounting Rate of Return</w:t>
      </w:r>
      <w:bookmarkEnd w:id="30"/>
    </w:p>
    <w:p w14:paraId="0ACE951F" w14:textId="447A77D1" w:rsidR="00497211" w:rsidRPr="00B42029" w:rsidRDefault="00ED5807">
      <w:pPr>
        <w:spacing w:after="160" w:line="360" w:lineRule="auto"/>
        <w:jc w:val="both"/>
        <w:rPr>
          <w:sz w:val="24"/>
          <w:szCs w:val="24"/>
        </w:rPr>
      </w:pPr>
      <w:r w:rsidRPr="00B42029">
        <w:rPr>
          <w:sz w:val="24"/>
          <w:szCs w:val="24"/>
        </w:rPr>
        <w:t>ARR assesses accounting profit as opposed to cash generation, which is fundamentally different to discounted cash-flow methods (ACCA, 2025). With £50m depreciated straight-line over five years, annual depreciation is £10m and average investment is £25m. Project A produces average cash flow of £10.8m and average accounting profit of £0.8m, giving ARR = 3.2%. Project B generates £11m average cash flow and £1m profit, giving ARR = 4.0%. Project C generates £13m average cash flow and £3m profit, producing ARR =</w:t>
      </w:r>
      <w:r w:rsidRPr="00B42029">
        <w:rPr>
          <w:sz w:val="24"/>
          <w:szCs w:val="24"/>
        </w:rPr>
        <w:t xml:space="preserve"> 12.0%. Thus, C is obviously better than A and B in the accounting profitability. However, ARR does not include the timing of cash flows, inflation or the cost of capital. Therefore, despite the fact that C has a high ARR that is </w:t>
      </w:r>
      <w:proofErr w:type="spellStart"/>
      <w:r w:rsidRPr="00B42029">
        <w:rPr>
          <w:sz w:val="24"/>
          <w:szCs w:val="24"/>
        </w:rPr>
        <w:t>favorable</w:t>
      </w:r>
      <w:proofErr w:type="spellEnd"/>
      <w:r w:rsidRPr="00B42029">
        <w:rPr>
          <w:sz w:val="24"/>
          <w:szCs w:val="24"/>
        </w:rPr>
        <w:t xml:space="preserve"> to be selected, NPV is more suitable in determining whether an investment generates shareholder value.</w:t>
      </w:r>
      <w:r w:rsidR="003A11DB">
        <w:rPr>
          <w:sz w:val="24"/>
          <w:szCs w:val="24"/>
        </w:rPr>
        <w:t xml:space="preserve"> </w:t>
      </w:r>
      <w:r w:rsidR="003A11DB">
        <w:rPr>
          <w:b/>
          <w:bCs/>
          <w:i/>
          <w:iCs/>
          <w:sz w:val="24"/>
          <w:szCs w:val="24"/>
        </w:rPr>
        <w:t xml:space="preserve">[Refer to </w:t>
      </w:r>
      <w:r w:rsidR="003A11DB" w:rsidRPr="003A11DB">
        <w:rPr>
          <w:b/>
          <w:bCs/>
          <w:i/>
          <w:iCs/>
          <w:sz w:val="24"/>
          <w:szCs w:val="24"/>
        </w:rPr>
        <w:t xml:space="preserve">Appendix </w:t>
      </w:r>
      <w:r w:rsidR="003A11DB">
        <w:rPr>
          <w:b/>
          <w:bCs/>
          <w:i/>
          <w:iCs/>
          <w:sz w:val="24"/>
          <w:szCs w:val="24"/>
        </w:rPr>
        <w:t>C]</w:t>
      </w:r>
    </w:p>
    <w:p w14:paraId="323B735F" w14:textId="77777777" w:rsidR="00497211" w:rsidRPr="00B42029" w:rsidRDefault="00ED5807" w:rsidP="00C5715E">
      <w:pPr>
        <w:pStyle w:val="Heading2"/>
      </w:pPr>
      <w:bookmarkStart w:id="31" w:name="_Toc237451736"/>
      <w:r w:rsidRPr="00B42029">
        <w:t>5.5 Net Present Value</w:t>
      </w:r>
      <w:bookmarkEnd w:id="31"/>
    </w:p>
    <w:p w14:paraId="2DC5C453" w14:textId="77777777" w:rsidR="00497211" w:rsidRPr="00B42029" w:rsidRDefault="00ED5807">
      <w:pPr>
        <w:spacing w:after="160" w:line="360" w:lineRule="auto"/>
        <w:jc w:val="both"/>
        <w:rPr>
          <w:sz w:val="24"/>
          <w:szCs w:val="24"/>
        </w:rPr>
      </w:pPr>
      <w:r w:rsidRPr="00B42029">
        <w:rPr>
          <w:sz w:val="24"/>
          <w:szCs w:val="24"/>
        </w:rPr>
        <w:t>NPV discounts future cash flows at the 8% required return and subtracts the £50m initial investment. It thus includes both the time value of money and opportunity cost of capital rendering it especially pertinent to the shareholder-value goal of Scandic.</w:t>
      </w:r>
    </w:p>
    <w:tbl>
      <w:tblPr>
        <w:tblStyle w:val="a"/>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70"/>
        <w:gridCol w:w="3240"/>
        <w:gridCol w:w="2400"/>
        <w:gridCol w:w="2145"/>
      </w:tblGrid>
      <w:tr w:rsidR="00497211" w:rsidRPr="00B42029" w14:paraId="63D8AE92" w14:textId="77777777">
        <w:trPr>
          <w:trHeight w:val="405"/>
        </w:trPr>
        <w:tc>
          <w:tcPr>
            <w:tcW w:w="1170"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17098291" w14:textId="77777777" w:rsidR="00497211" w:rsidRPr="00B42029" w:rsidRDefault="00ED5807">
            <w:pPr>
              <w:spacing w:after="160" w:line="256" w:lineRule="auto"/>
              <w:jc w:val="both"/>
              <w:rPr>
                <w:b/>
                <w:bCs/>
                <w:sz w:val="24"/>
                <w:szCs w:val="24"/>
              </w:rPr>
            </w:pPr>
            <w:r w:rsidRPr="00B42029">
              <w:rPr>
                <w:b/>
                <w:bCs/>
                <w:sz w:val="24"/>
                <w:szCs w:val="24"/>
              </w:rPr>
              <w:t>Project</w:t>
            </w:r>
          </w:p>
        </w:tc>
        <w:tc>
          <w:tcPr>
            <w:tcW w:w="324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62E2A30E" w14:textId="77777777" w:rsidR="00497211" w:rsidRPr="00B42029" w:rsidRDefault="00ED5807">
            <w:pPr>
              <w:spacing w:after="160" w:line="256" w:lineRule="auto"/>
              <w:jc w:val="both"/>
              <w:rPr>
                <w:b/>
                <w:bCs/>
                <w:sz w:val="24"/>
                <w:szCs w:val="24"/>
              </w:rPr>
            </w:pPr>
            <w:r w:rsidRPr="00B42029">
              <w:rPr>
                <w:b/>
                <w:bCs/>
                <w:sz w:val="24"/>
                <w:szCs w:val="24"/>
              </w:rPr>
              <w:t>PV of Future Cash Inflows</w:t>
            </w:r>
          </w:p>
        </w:tc>
        <w:tc>
          <w:tcPr>
            <w:tcW w:w="240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2B963AA3" w14:textId="77777777" w:rsidR="00497211" w:rsidRPr="00B42029" w:rsidRDefault="00ED5807">
            <w:pPr>
              <w:spacing w:after="160" w:line="256" w:lineRule="auto"/>
              <w:jc w:val="both"/>
              <w:rPr>
                <w:b/>
                <w:bCs/>
                <w:sz w:val="24"/>
                <w:szCs w:val="24"/>
              </w:rPr>
            </w:pPr>
            <w:r w:rsidRPr="00B42029">
              <w:rPr>
                <w:b/>
                <w:bCs/>
                <w:sz w:val="24"/>
                <w:szCs w:val="24"/>
              </w:rPr>
              <w:t>Initial Investment</w:t>
            </w:r>
          </w:p>
        </w:tc>
        <w:tc>
          <w:tcPr>
            <w:tcW w:w="214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3D543DEE" w14:textId="77777777" w:rsidR="00497211" w:rsidRPr="00B42029" w:rsidRDefault="00ED5807">
            <w:pPr>
              <w:spacing w:after="160" w:line="256" w:lineRule="auto"/>
              <w:jc w:val="both"/>
              <w:rPr>
                <w:b/>
                <w:bCs/>
                <w:sz w:val="24"/>
                <w:szCs w:val="24"/>
              </w:rPr>
            </w:pPr>
            <w:r w:rsidRPr="00B42029">
              <w:rPr>
                <w:b/>
                <w:bCs/>
                <w:sz w:val="24"/>
                <w:szCs w:val="24"/>
              </w:rPr>
              <w:t>NPV</w:t>
            </w:r>
          </w:p>
        </w:tc>
      </w:tr>
      <w:tr w:rsidR="00497211" w:rsidRPr="00B42029" w14:paraId="125962B4" w14:textId="77777777">
        <w:trPr>
          <w:trHeight w:val="405"/>
        </w:trPr>
        <w:tc>
          <w:tcPr>
            <w:tcW w:w="1170"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0AAE1273" w14:textId="77777777" w:rsidR="00497211" w:rsidRPr="00B42029" w:rsidRDefault="00ED5807">
            <w:pPr>
              <w:spacing w:after="160" w:line="256" w:lineRule="auto"/>
              <w:jc w:val="both"/>
              <w:rPr>
                <w:b/>
                <w:bCs/>
                <w:sz w:val="24"/>
                <w:szCs w:val="24"/>
              </w:rPr>
            </w:pPr>
            <w:r w:rsidRPr="00B42029">
              <w:rPr>
                <w:b/>
                <w:bCs/>
                <w:sz w:val="24"/>
                <w:szCs w:val="24"/>
              </w:rPr>
              <w:t>A</w:t>
            </w:r>
          </w:p>
        </w:tc>
        <w:tc>
          <w:tcPr>
            <w:tcW w:w="3240" w:type="dxa"/>
            <w:tcBorders>
              <w:top w:val="nil"/>
              <w:left w:val="nil"/>
              <w:bottom w:val="single" w:sz="6" w:space="0" w:color="999999"/>
              <w:right w:val="single" w:sz="6" w:space="0" w:color="999999"/>
            </w:tcBorders>
            <w:tcMar>
              <w:top w:w="0" w:type="dxa"/>
              <w:left w:w="100" w:type="dxa"/>
              <w:bottom w:w="0" w:type="dxa"/>
              <w:right w:w="100" w:type="dxa"/>
            </w:tcMar>
          </w:tcPr>
          <w:p w14:paraId="53067F79" w14:textId="77777777" w:rsidR="00497211" w:rsidRPr="00B42029" w:rsidRDefault="00ED5807">
            <w:pPr>
              <w:spacing w:after="160" w:line="256" w:lineRule="auto"/>
              <w:jc w:val="both"/>
              <w:rPr>
                <w:sz w:val="24"/>
                <w:szCs w:val="24"/>
              </w:rPr>
            </w:pPr>
            <w:r w:rsidRPr="00B42029">
              <w:rPr>
                <w:sz w:val="24"/>
                <w:szCs w:val="24"/>
              </w:rPr>
              <w:t>£43.43m</w:t>
            </w:r>
          </w:p>
        </w:tc>
        <w:tc>
          <w:tcPr>
            <w:tcW w:w="2400" w:type="dxa"/>
            <w:tcBorders>
              <w:top w:val="nil"/>
              <w:left w:val="nil"/>
              <w:bottom w:val="single" w:sz="6" w:space="0" w:color="999999"/>
              <w:right w:val="single" w:sz="6" w:space="0" w:color="999999"/>
            </w:tcBorders>
            <w:tcMar>
              <w:top w:w="0" w:type="dxa"/>
              <w:left w:w="100" w:type="dxa"/>
              <w:bottom w:w="0" w:type="dxa"/>
              <w:right w:w="100" w:type="dxa"/>
            </w:tcMar>
          </w:tcPr>
          <w:p w14:paraId="3B55198D" w14:textId="77777777" w:rsidR="00497211" w:rsidRPr="00B42029" w:rsidRDefault="00ED5807">
            <w:pPr>
              <w:spacing w:after="160" w:line="256" w:lineRule="auto"/>
              <w:jc w:val="both"/>
              <w:rPr>
                <w:sz w:val="24"/>
                <w:szCs w:val="24"/>
              </w:rPr>
            </w:pPr>
            <w:r w:rsidRPr="00B42029">
              <w:rPr>
                <w:sz w:val="24"/>
                <w:szCs w:val="24"/>
              </w:rPr>
              <w:t>£50.00m</w:t>
            </w:r>
          </w:p>
        </w:tc>
        <w:tc>
          <w:tcPr>
            <w:tcW w:w="2145" w:type="dxa"/>
            <w:tcBorders>
              <w:top w:val="nil"/>
              <w:left w:val="nil"/>
              <w:bottom w:val="single" w:sz="6" w:space="0" w:color="999999"/>
              <w:right w:val="single" w:sz="6" w:space="0" w:color="999999"/>
            </w:tcBorders>
            <w:tcMar>
              <w:top w:w="0" w:type="dxa"/>
              <w:left w:w="100" w:type="dxa"/>
              <w:bottom w:w="0" w:type="dxa"/>
              <w:right w:w="100" w:type="dxa"/>
            </w:tcMar>
          </w:tcPr>
          <w:p w14:paraId="4AC212D5" w14:textId="77777777" w:rsidR="00497211" w:rsidRPr="00B42029" w:rsidRDefault="00ED5807">
            <w:pPr>
              <w:spacing w:after="160" w:line="256" w:lineRule="auto"/>
              <w:jc w:val="both"/>
              <w:rPr>
                <w:b/>
                <w:bCs/>
                <w:sz w:val="24"/>
                <w:szCs w:val="24"/>
              </w:rPr>
            </w:pPr>
            <w:r w:rsidRPr="00B42029">
              <w:rPr>
                <w:rFonts w:eastAsia="Arial Unicode MS"/>
                <w:b/>
                <w:bCs/>
                <w:sz w:val="24"/>
                <w:szCs w:val="24"/>
              </w:rPr>
              <w:t>−</w:t>
            </w:r>
            <w:r w:rsidRPr="00B42029">
              <w:rPr>
                <w:rFonts w:eastAsia="Arial Unicode MS"/>
                <w:b/>
                <w:bCs/>
                <w:sz w:val="24"/>
                <w:szCs w:val="24"/>
              </w:rPr>
              <w:t>£6.57m</w:t>
            </w:r>
          </w:p>
        </w:tc>
      </w:tr>
      <w:tr w:rsidR="00497211" w:rsidRPr="00B42029" w14:paraId="08235F87" w14:textId="77777777">
        <w:trPr>
          <w:trHeight w:val="405"/>
        </w:trPr>
        <w:tc>
          <w:tcPr>
            <w:tcW w:w="1170"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0A2C4765" w14:textId="77777777" w:rsidR="00497211" w:rsidRPr="00B42029" w:rsidRDefault="00ED5807">
            <w:pPr>
              <w:spacing w:after="160" w:line="256" w:lineRule="auto"/>
              <w:jc w:val="both"/>
              <w:rPr>
                <w:b/>
                <w:bCs/>
                <w:sz w:val="24"/>
                <w:szCs w:val="24"/>
              </w:rPr>
            </w:pPr>
            <w:r w:rsidRPr="00B42029">
              <w:rPr>
                <w:b/>
                <w:bCs/>
                <w:sz w:val="24"/>
                <w:szCs w:val="24"/>
              </w:rPr>
              <w:t>B</w:t>
            </w:r>
          </w:p>
        </w:tc>
        <w:tc>
          <w:tcPr>
            <w:tcW w:w="3240" w:type="dxa"/>
            <w:tcBorders>
              <w:top w:val="nil"/>
              <w:left w:val="nil"/>
              <w:bottom w:val="single" w:sz="6" w:space="0" w:color="999999"/>
              <w:right w:val="single" w:sz="6" w:space="0" w:color="999999"/>
            </w:tcBorders>
            <w:tcMar>
              <w:top w:w="0" w:type="dxa"/>
              <w:left w:w="100" w:type="dxa"/>
              <w:bottom w:w="0" w:type="dxa"/>
              <w:right w:w="100" w:type="dxa"/>
            </w:tcMar>
          </w:tcPr>
          <w:p w14:paraId="5FBBA36A" w14:textId="77777777" w:rsidR="00497211" w:rsidRPr="00B42029" w:rsidRDefault="00ED5807">
            <w:pPr>
              <w:spacing w:after="160" w:line="256" w:lineRule="auto"/>
              <w:jc w:val="both"/>
              <w:rPr>
                <w:sz w:val="24"/>
                <w:szCs w:val="24"/>
              </w:rPr>
            </w:pPr>
            <w:r w:rsidRPr="00B42029">
              <w:rPr>
                <w:sz w:val="24"/>
                <w:szCs w:val="24"/>
              </w:rPr>
              <w:t>£43.89m</w:t>
            </w:r>
          </w:p>
        </w:tc>
        <w:tc>
          <w:tcPr>
            <w:tcW w:w="2400" w:type="dxa"/>
            <w:tcBorders>
              <w:top w:val="nil"/>
              <w:left w:val="nil"/>
              <w:bottom w:val="single" w:sz="6" w:space="0" w:color="999999"/>
              <w:right w:val="single" w:sz="6" w:space="0" w:color="999999"/>
            </w:tcBorders>
            <w:tcMar>
              <w:top w:w="0" w:type="dxa"/>
              <w:left w:w="100" w:type="dxa"/>
              <w:bottom w:w="0" w:type="dxa"/>
              <w:right w:w="100" w:type="dxa"/>
            </w:tcMar>
          </w:tcPr>
          <w:p w14:paraId="3C78FC6A" w14:textId="77777777" w:rsidR="00497211" w:rsidRPr="00B42029" w:rsidRDefault="00ED5807">
            <w:pPr>
              <w:spacing w:after="160" w:line="256" w:lineRule="auto"/>
              <w:jc w:val="both"/>
              <w:rPr>
                <w:sz w:val="24"/>
                <w:szCs w:val="24"/>
              </w:rPr>
            </w:pPr>
            <w:r w:rsidRPr="00B42029">
              <w:rPr>
                <w:sz w:val="24"/>
                <w:szCs w:val="24"/>
              </w:rPr>
              <w:t>£50.00m</w:t>
            </w:r>
          </w:p>
        </w:tc>
        <w:tc>
          <w:tcPr>
            <w:tcW w:w="2145" w:type="dxa"/>
            <w:tcBorders>
              <w:top w:val="nil"/>
              <w:left w:val="nil"/>
              <w:bottom w:val="single" w:sz="6" w:space="0" w:color="999999"/>
              <w:right w:val="single" w:sz="6" w:space="0" w:color="999999"/>
            </w:tcBorders>
            <w:tcMar>
              <w:top w:w="0" w:type="dxa"/>
              <w:left w:w="100" w:type="dxa"/>
              <w:bottom w:w="0" w:type="dxa"/>
              <w:right w:w="100" w:type="dxa"/>
            </w:tcMar>
          </w:tcPr>
          <w:p w14:paraId="08783F5C" w14:textId="77777777" w:rsidR="00497211" w:rsidRPr="00B42029" w:rsidRDefault="00ED5807">
            <w:pPr>
              <w:spacing w:after="160" w:line="256" w:lineRule="auto"/>
              <w:jc w:val="both"/>
              <w:rPr>
                <w:b/>
                <w:bCs/>
                <w:sz w:val="24"/>
                <w:szCs w:val="24"/>
              </w:rPr>
            </w:pPr>
            <w:r w:rsidRPr="00B42029">
              <w:rPr>
                <w:rFonts w:eastAsia="Arial Unicode MS"/>
                <w:b/>
                <w:bCs/>
                <w:sz w:val="24"/>
                <w:szCs w:val="24"/>
              </w:rPr>
              <w:t>−</w:t>
            </w:r>
            <w:r w:rsidRPr="00B42029">
              <w:rPr>
                <w:rFonts w:eastAsia="Arial Unicode MS"/>
                <w:b/>
                <w:bCs/>
                <w:sz w:val="24"/>
                <w:szCs w:val="24"/>
              </w:rPr>
              <w:t>£6.11m</w:t>
            </w:r>
          </w:p>
        </w:tc>
      </w:tr>
      <w:tr w:rsidR="00497211" w:rsidRPr="00B42029" w14:paraId="0ADD5668" w14:textId="77777777">
        <w:trPr>
          <w:trHeight w:val="405"/>
        </w:trPr>
        <w:tc>
          <w:tcPr>
            <w:tcW w:w="1170"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50146CDF" w14:textId="77777777" w:rsidR="00497211" w:rsidRPr="00B42029" w:rsidRDefault="00ED5807">
            <w:pPr>
              <w:spacing w:after="160" w:line="256" w:lineRule="auto"/>
              <w:jc w:val="both"/>
              <w:rPr>
                <w:b/>
                <w:bCs/>
                <w:sz w:val="24"/>
                <w:szCs w:val="24"/>
              </w:rPr>
            </w:pPr>
            <w:r w:rsidRPr="00B42029">
              <w:rPr>
                <w:b/>
                <w:bCs/>
                <w:sz w:val="24"/>
                <w:szCs w:val="24"/>
              </w:rPr>
              <w:t>C</w:t>
            </w:r>
          </w:p>
        </w:tc>
        <w:tc>
          <w:tcPr>
            <w:tcW w:w="3240" w:type="dxa"/>
            <w:tcBorders>
              <w:top w:val="nil"/>
              <w:left w:val="nil"/>
              <w:bottom w:val="single" w:sz="6" w:space="0" w:color="999999"/>
              <w:right w:val="single" w:sz="6" w:space="0" w:color="999999"/>
            </w:tcBorders>
            <w:tcMar>
              <w:top w:w="0" w:type="dxa"/>
              <w:left w:w="100" w:type="dxa"/>
              <w:bottom w:w="0" w:type="dxa"/>
              <w:right w:w="100" w:type="dxa"/>
            </w:tcMar>
          </w:tcPr>
          <w:p w14:paraId="3AA19502" w14:textId="77777777" w:rsidR="00497211" w:rsidRPr="00B42029" w:rsidRDefault="00ED5807">
            <w:pPr>
              <w:spacing w:after="160" w:line="256" w:lineRule="auto"/>
              <w:jc w:val="both"/>
              <w:rPr>
                <w:sz w:val="24"/>
                <w:szCs w:val="24"/>
              </w:rPr>
            </w:pPr>
            <w:r w:rsidRPr="00B42029">
              <w:rPr>
                <w:sz w:val="24"/>
                <w:szCs w:val="24"/>
              </w:rPr>
              <w:t>£50.83m</w:t>
            </w:r>
          </w:p>
        </w:tc>
        <w:tc>
          <w:tcPr>
            <w:tcW w:w="2400" w:type="dxa"/>
            <w:tcBorders>
              <w:top w:val="nil"/>
              <w:left w:val="nil"/>
              <w:bottom w:val="single" w:sz="6" w:space="0" w:color="999999"/>
              <w:right w:val="single" w:sz="6" w:space="0" w:color="999999"/>
            </w:tcBorders>
            <w:tcMar>
              <w:top w:w="0" w:type="dxa"/>
              <w:left w:w="100" w:type="dxa"/>
              <w:bottom w:w="0" w:type="dxa"/>
              <w:right w:w="100" w:type="dxa"/>
            </w:tcMar>
          </w:tcPr>
          <w:p w14:paraId="63DE3A14" w14:textId="77777777" w:rsidR="00497211" w:rsidRPr="00B42029" w:rsidRDefault="00ED5807">
            <w:pPr>
              <w:spacing w:after="160" w:line="256" w:lineRule="auto"/>
              <w:jc w:val="both"/>
              <w:rPr>
                <w:sz w:val="24"/>
                <w:szCs w:val="24"/>
              </w:rPr>
            </w:pPr>
            <w:r w:rsidRPr="00B42029">
              <w:rPr>
                <w:sz w:val="24"/>
                <w:szCs w:val="24"/>
              </w:rPr>
              <w:t>£50.00m</w:t>
            </w:r>
          </w:p>
        </w:tc>
        <w:tc>
          <w:tcPr>
            <w:tcW w:w="2145" w:type="dxa"/>
            <w:tcBorders>
              <w:top w:val="nil"/>
              <w:left w:val="nil"/>
              <w:bottom w:val="single" w:sz="6" w:space="0" w:color="999999"/>
              <w:right w:val="single" w:sz="6" w:space="0" w:color="999999"/>
            </w:tcBorders>
            <w:tcMar>
              <w:top w:w="0" w:type="dxa"/>
              <w:left w:w="100" w:type="dxa"/>
              <w:bottom w:w="0" w:type="dxa"/>
              <w:right w:w="100" w:type="dxa"/>
            </w:tcMar>
          </w:tcPr>
          <w:p w14:paraId="5F66EEA0" w14:textId="77777777" w:rsidR="00497211" w:rsidRPr="00B42029" w:rsidRDefault="00ED5807">
            <w:pPr>
              <w:spacing w:after="160" w:line="256" w:lineRule="auto"/>
              <w:jc w:val="both"/>
              <w:rPr>
                <w:b/>
                <w:bCs/>
                <w:sz w:val="24"/>
                <w:szCs w:val="24"/>
              </w:rPr>
            </w:pPr>
            <w:r w:rsidRPr="00B42029">
              <w:rPr>
                <w:b/>
                <w:bCs/>
                <w:sz w:val="24"/>
                <w:szCs w:val="24"/>
              </w:rPr>
              <w:t>£0.83m</w:t>
            </w:r>
          </w:p>
        </w:tc>
      </w:tr>
    </w:tbl>
    <w:p w14:paraId="684884EF" w14:textId="00E6CBCC" w:rsidR="00497211" w:rsidRPr="00B42029" w:rsidRDefault="00ED5807">
      <w:pPr>
        <w:spacing w:after="160" w:line="360" w:lineRule="auto"/>
        <w:jc w:val="both"/>
        <w:rPr>
          <w:sz w:val="24"/>
          <w:szCs w:val="24"/>
        </w:rPr>
      </w:pPr>
      <w:r w:rsidRPr="00B42029">
        <w:rPr>
          <w:sz w:val="24"/>
          <w:szCs w:val="24"/>
        </w:rPr>
        <w:t>Project A and B make negative NPVs meaning that the discounted returns do not meet the needed 8% return. Project C produces a positive £0.83m NPV, implying modest value creation. This leaves C as the only financially viable project assuming the 8 percent discount rate is the true required yield of Scandic. NPV is to be heavily weighted since it directly quantifies the growth or decline in shareholder wealth, as compared to PBP and ARR. ACCA also cites NPV as the most significant form of investment-appraisal</w:t>
      </w:r>
      <w:r w:rsidRPr="00B42029">
        <w:rPr>
          <w:sz w:val="24"/>
          <w:szCs w:val="24"/>
        </w:rPr>
        <w:t xml:space="preserve"> technique since it incorporates discounting and other cash-flow factors. Nevertheless, Scandic is advised to first test C against demand, construction and sustainability assumptions prior to investing capital.</w:t>
      </w:r>
      <w:r w:rsidR="003A11DB">
        <w:rPr>
          <w:sz w:val="24"/>
          <w:szCs w:val="24"/>
        </w:rPr>
        <w:t xml:space="preserve"> </w:t>
      </w:r>
      <w:r w:rsidR="003A11DB">
        <w:rPr>
          <w:b/>
          <w:bCs/>
          <w:i/>
          <w:iCs/>
          <w:sz w:val="24"/>
          <w:szCs w:val="24"/>
        </w:rPr>
        <w:t xml:space="preserve">[Refer to </w:t>
      </w:r>
      <w:r w:rsidR="003A11DB" w:rsidRPr="003A11DB">
        <w:rPr>
          <w:b/>
          <w:bCs/>
          <w:i/>
          <w:iCs/>
          <w:sz w:val="24"/>
          <w:szCs w:val="24"/>
        </w:rPr>
        <w:t xml:space="preserve">Appendix </w:t>
      </w:r>
      <w:r w:rsidR="003A11DB">
        <w:rPr>
          <w:b/>
          <w:bCs/>
          <w:i/>
          <w:iCs/>
          <w:sz w:val="24"/>
          <w:szCs w:val="24"/>
        </w:rPr>
        <w:t>D]</w:t>
      </w:r>
    </w:p>
    <w:p w14:paraId="4120A4A8" w14:textId="77777777" w:rsidR="00497211" w:rsidRPr="00B42029" w:rsidRDefault="00ED5807" w:rsidP="00C5715E">
      <w:pPr>
        <w:pStyle w:val="Heading2"/>
      </w:pPr>
      <w:bookmarkStart w:id="32" w:name="_Toc237451737"/>
      <w:r w:rsidRPr="00B42029">
        <w:t>5.6 Profitability Index</w:t>
      </w:r>
      <w:bookmarkEnd w:id="32"/>
    </w:p>
    <w:p w14:paraId="1C59A716" w14:textId="77777777" w:rsidR="00497211" w:rsidRPr="00B42029" w:rsidRDefault="00ED5807">
      <w:pPr>
        <w:spacing w:after="160" w:line="360" w:lineRule="auto"/>
        <w:jc w:val="both"/>
        <w:rPr>
          <w:sz w:val="24"/>
          <w:szCs w:val="24"/>
        </w:rPr>
      </w:pPr>
      <w:r w:rsidRPr="00B42029">
        <w:rPr>
          <w:sz w:val="24"/>
          <w:szCs w:val="24"/>
        </w:rPr>
        <w:lastRenderedPageBreak/>
        <w:t>PI measures the present value generated per pound invested and is particularly useful when capital is constrained (Kitov, 2024).</w:t>
      </w:r>
    </w:p>
    <w:tbl>
      <w:tblPr>
        <w:tblStyle w:val="a0"/>
        <w:tblW w:w="88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35"/>
        <w:gridCol w:w="1965"/>
        <w:gridCol w:w="3225"/>
        <w:gridCol w:w="1980"/>
      </w:tblGrid>
      <w:tr w:rsidR="00497211" w:rsidRPr="00B42029" w14:paraId="65BAB334" w14:textId="77777777">
        <w:trPr>
          <w:trHeight w:val="405"/>
        </w:trPr>
        <w:tc>
          <w:tcPr>
            <w:tcW w:w="1635"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366BB99B" w14:textId="77777777" w:rsidR="00497211" w:rsidRPr="00B42029" w:rsidRDefault="00ED5807">
            <w:pPr>
              <w:spacing w:after="160" w:line="256" w:lineRule="auto"/>
              <w:jc w:val="both"/>
              <w:rPr>
                <w:b/>
                <w:bCs/>
                <w:sz w:val="24"/>
                <w:szCs w:val="24"/>
              </w:rPr>
            </w:pPr>
            <w:r w:rsidRPr="00B42029">
              <w:rPr>
                <w:b/>
                <w:bCs/>
                <w:sz w:val="24"/>
                <w:szCs w:val="24"/>
              </w:rPr>
              <w:t>Project</w:t>
            </w:r>
          </w:p>
        </w:tc>
        <w:tc>
          <w:tcPr>
            <w:tcW w:w="196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5DBC3524" w14:textId="77777777" w:rsidR="00497211" w:rsidRPr="00B42029" w:rsidRDefault="00ED5807">
            <w:pPr>
              <w:spacing w:after="160" w:line="256" w:lineRule="auto"/>
              <w:jc w:val="both"/>
              <w:rPr>
                <w:b/>
                <w:bCs/>
                <w:sz w:val="24"/>
                <w:szCs w:val="24"/>
              </w:rPr>
            </w:pPr>
            <w:r w:rsidRPr="00B42029">
              <w:rPr>
                <w:b/>
                <w:bCs/>
                <w:sz w:val="24"/>
                <w:szCs w:val="24"/>
              </w:rPr>
              <w:t>PV of Inflows</w:t>
            </w:r>
          </w:p>
        </w:tc>
        <w:tc>
          <w:tcPr>
            <w:tcW w:w="322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184F8B02" w14:textId="77777777" w:rsidR="00497211" w:rsidRPr="00B42029" w:rsidRDefault="00ED5807">
            <w:pPr>
              <w:spacing w:after="160" w:line="256" w:lineRule="auto"/>
              <w:jc w:val="both"/>
              <w:rPr>
                <w:b/>
                <w:bCs/>
                <w:sz w:val="24"/>
                <w:szCs w:val="24"/>
              </w:rPr>
            </w:pPr>
            <w:r w:rsidRPr="00B42029">
              <w:rPr>
                <w:b/>
                <w:bCs/>
                <w:sz w:val="24"/>
                <w:szCs w:val="24"/>
              </w:rPr>
              <w:t>Investment</w:t>
            </w:r>
          </w:p>
        </w:tc>
        <w:tc>
          <w:tcPr>
            <w:tcW w:w="198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3E9498E7" w14:textId="77777777" w:rsidR="00497211" w:rsidRPr="00B42029" w:rsidRDefault="00ED5807">
            <w:pPr>
              <w:spacing w:after="160" w:line="256" w:lineRule="auto"/>
              <w:jc w:val="both"/>
              <w:rPr>
                <w:b/>
                <w:bCs/>
                <w:sz w:val="24"/>
                <w:szCs w:val="24"/>
              </w:rPr>
            </w:pPr>
            <w:r w:rsidRPr="00B42029">
              <w:rPr>
                <w:b/>
                <w:bCs/>
                <w:sz w:val="24"/>
                <w:szCs w:val="24"/>
              </w:rPr>
              <w:t>PI</w:t>
            </w:r>
          </w:p>
        </w:tc>
      </w:tr>
      <w:tr w:rsidR="00497211" w:rsidRPr="00B42029" w14:paraId="5E7F294D" w14:textId="77777777">
        <w:trPr>
          <w:trHeight w:val="405"/>
        </w:trPr>
        <w:tc>
          <w:tcPr>
            <w:tcW w:w="16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4679B133" w14:textId="77777777" w:rsidR="00497211" w:rsidRPr="00B42029" w:rsidRDefault="00ED5807">
            <w:pPr>
              <w:spacing w:after="160" w:line="256" w:lineRule="auto"/>
              <w:jc w:val="both"/>
              <w:rPr>
                <w:b/>
                <w:bCs/>
                <w:sz w:val="24"/>
                <w:szCs w:val="24"/>
              </w:rPr>
            </w:pPr>
            <w:r w:rsidRPr="00B42029">
              <w:rPr>
                <w:b/>
                <w:bCs/>
                <w:sz w:val="24"/>
                <w:szCs w:val="24"/>
              </w:rPr>
              <w:t>A</w:t>
            </w:r>
          </w:p>
        </w:tc>
        <w:tc>
          <w:tcPr>
            <w:tcW w:w="1965" w:type="dxa"/>
            <w:tcBorders>
              <w:top w:val="nil"/>
              <w:left w:val="nil"/>
              <w:bottom w:val="single" w:sz="6" w:space="0" w:color="999999"/>
              <w:right w:val="single" w:sz="6" w:space="0" w:color="999999"/>
            </w:tcBorders>
            <w:tcMar>
              <w:top w:w="0" w:type="dxa"/>
              <w:left w:w="100" w:type="dxa"/>
              <w:bottom w:w="0" w:type="dxa"/>
              <w:right w:w="100" w:type="dxa"/>
            </w:tcMar>
          </w:tcPr>
          <w:p w14:paraId="458FCD2A" w14:textId="77777777" w:rsidR="00497211" w:rsidRPr="00B42029" w:rsidRDefault="00ED5807">
            <w:pPr>
              <w:spacing w:after="160" w:line="256" w:lineRule="auto"/>
              <w:jc w:val="both"/>
              <w:rPr>
                <w:sz w:val="24"/>
                <w:szCs w:val="24"/>
              </w:rPr>
            </w:pPr>
            <w:r w:rsidRPr="00B42029">
              <w:rPr>
                <w:sz w:val="24"/>
                <w:szCs w:val="24"/>
              </w:rPr>
              <w:t>£43.43m</w:t>
            </w:r>
          </w:p>
        </w:tc>
        <w:tc>
          <w:tcPr>
            <w:tcW w:w="3225" w:type="dxa"/>
            <w:tcBorders>
              <w:top w:val="nil"/>
              <w:left w:val="nil"/>
              <w:bottom w:val="single" w:sz="6" w:space="0" w:color="999999"/>
              <w:right w:val="single" w:sz="6" w:space="0" w:color="999999"/>
            </w:tcBorders>
            <w:tcMar>
              <w:top w:w="0" w:type="dxa"/>
              <w:left w:w="100" w:type="dxa"/>
              <w:bottom w:w="0" w:type="dxa"/>
              <w:right w:w="100" w:type="dxa"/>
            </w:tcMar>
          </w:tcPr>
          <w:p w14:paraId="38BEA3B8" w14:textId="77777777" w:rsidR="00497211" w:rsidRPr="00B42029" w:rsidRDefault="00ED5807">
            <w:pPr>
              <w:spacing w:after="160" w:line="256" w:lineRule="auto"/>
              <w:jc w:val="both"/>
              <w:rPr>
                <w:sz w:val="24"/>
                <w:szCs w:val="24"/>
              </w:rPr>
            </w:pPr>
            <w:r w:rsidRPr="00B42029">
              <w:rPr>
                <w:sz w:val="24"/>
                <w:szCs w:val="24"/>
              </w:rPr>
              <w:t>£50m</w:t>
            </w:r>
          </w:p>
        </w:tc>
        <w:tc>
          <w:tcPr>
            <w:tcW w:w="1980" w:type="dxa"/>
            <w:tcBorders>
              <w:top w:val="nil"/>
              <w:left w:val="nil"/>
              <w:bottom w:val="single" w:sz="6" w:space="0" w:color="999999"/>
              <w:right w:val="single" w:sz="6" w:space="0" w:color="999999"/>
            </w:tcBorders>
            <w:tcMar>
              <w:top w:w="0" w:type="dxa"/>
              <w:left w:w="100" w:type="dxa"/>
              <w:bottom w:w="0" w:type="dxa"/>
              <w:right w:w="100" w:type="dxa"/>
            </w:tcMar>
          </w:tcPr>
          <w:p w14:paraId="049B8D0F" w14:textId="77777777" w:rsidR="00497211" w:rsidRPr="00B42029" w:rsidRDefault="00ED5807">
            <w:pPr>
              <w:spacing w:after="160" w:line="256" w:lineRule="auto"/>
              <w:jc w:val="both"/>
              <w:rPr>
                <w:b/>
                <w:bCs/>
                <w:sz w:val="24"/>
                <w:szCs w:val="24"/>
              </w:rPr>
            </w:pPr>
            <w:r w:rsidRPr="00B42029">
              <w:rPr>
                <w:b/>
                <w:bCs/>
                <w:sz w:val="24"/>
                <w:szCs w:val="24"/>
              </w:rPr>
              <w:t>0.87</w:t>
            </w:r>
          </w:p>
        </w:tc>
      </w:tr>
      <w:tr w:rsidR="00497211" w:rsidRPr="00B42029" w14:paraId="5F7485B0" w14:textId="77777777">
        <w:trPr>
          <w:trHeight w:val="405"/>
        </w:trPr>
        <w:tc>
          <w:tcPr>
            <w:tcW w:w="16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4F60594C" w14:textId="77777777" w:rsidR="00497211" w:rsidRPr="00B42029" w:rsidRDefault="00ED5807">
            <w:pPr>
              <w:spacing w:after="160" w:line="256" w:lineRule="auto"/>
              <w:jc w:val="both"/>
              <w:rPr>
                <w:b/>
                <w:bCs/>
                <w:sz w:val="24"/>
                <w:szCs w:val="24"/>
              </w:rPr>
            </w:pPr>
            <w:r w:rsidRPr="00B42029">
              <w:rPr>
                <w:b/>
                <w:bCs/>
                <w:sz w:val="24"/>
                <w:szCs w:val="24"/>
              </w:rPr>
              <w:t>B</w:t>
            </w:r>
          </w:p>
        </w:tc>
        <w:tc>
          <w:tcPr>
            <w:tcW w:w="1965" w:type="dxa"/>
            <w:tcBorders>
              <w:top w:val="nil"/>
              <w:left w:val="nil"/>
              <w:bottom w:val="single" w:sz="6" w:space="0" w:color="999999"/>
              <w:right w:val="single" w:sz="6" w:space="0" w:color="999999"/>
            </w:tcBorders>
            <w:tcMar>
              <w:top w:w="0" w:type="dxa"/>
              <w:left w:w="100" w:type="dxa"/>
              <w:bottom w:w="0" w:type="dxa"/>
              <w:right w:w="100" w:type="dxa"/>
            </w:tcMar>
          </w:tcPr>
          <w:p w14:paraId="3E4E88C8" w14:textId="77777777" w:rsidR="00497211" w:rsidRPr="00B42029" w:rsidRDefault="00ED5807">
            <w:pPr>
              <w:spacing w:after="160" w:line="256" w:lineRule="auto"/>
              <w:jc w:val="both"/>
              <w:rPr>
                <w:sz w:val="24"/>
                <w:szCs w:val="24"/>
              </w:rPr>
            </w:pPr>
            <w:r w:rsidRPr="00B42029">
              <w:rPr>
                <w:sz w:val="24"/>
                <w:szCs w:val="24"/>
              </w:rPr>
              <w:t>£43.89m</w:t>
            </w:r>
          </w:p>
        </w:tc>
        <w:tc>
          <w:tcPr>
            <w:tcW w:w="3225" w:type="dxa"/>
            <w:tcBorders>
              <w:top w:val="nil"/>
              <w:left w:val="nil"/>
              <w:bottom w:val="single" w:sz="6" w:space="0" w:color="999999"/>
              <w:right w:val="single" w:sz="6" w:space="0" w:color="999999"/>
            </w:tcBorders>
            <w:tcMar>
              <w:top w:w="0" w:type="dxa"/>
              <w:left w:w="100" w:type="dxa"/>
              <w:bottom w:w="0" w:type="dxa"/>
              <w:right w:w="100" w:type="dxa"/>
            </w:tcMar>
          </w:tcPr>
          <w:p w14:paraId="65E24821" w14:textId="77777777" w:rsidR="00497211" w:rsidRPr="00B42029" w:rsidRDefault="00ED5807">
            <w:pPr>
              <w:spacing w:after="160" w:line="256" w:lineRule="auto"/>
              <w:jc w:val="both"/>
              <w:rPr>
                <w:sz w:val="24"/>
                <w:szCs w:val="24"/>
              </w:rPr>
            </w:pPr>
            <w:r w:rsidRPr="00B42029">
              <w:rPr>
                <w:sz w:val="24"/>
                <w:szCs w:val="24"/>
              </w:rPr>
              <w:t>£50m</w:t>
            </w:r>
          </w:p>
        </w:tc>
        <w:tc>
          <w:tcPr>
            <w:tcW w:w="1980" w:type="dxa"/>
            <w:tcBorders>
              <w:top w:val="nil"/>
              <w:left w:val="nil"/>
              <w:bottom w:val="single" w:sz="6" w:space="0" w:color="999999"/>
              <w:right w:val="single" w:sz="6" w:space="0" w:color="999999"/>
            </w:tcBorders>
            <w:tcMar>
              <w:top w:w="0" w:type="dxa"/>
              <w:left w:w="100" w:type="dxa"/>
              <w:bottom w:w="0" w:type="dxa"/>
              <w:right w:w="100" w:type="dxa"/>
            </w:tcMar>
          </w:tcPr>
          <w:p w14:paraId="34F61446" w14:textId="77777777" w:rsidR="00497211" w:rsidRPr="00B42029" w:rsidRDefault="00ED5807">
            <w:pPr>
              <w:spacing w:after="160" w:line="256" w:lineRule="auto"/>
              <w:jc w:val="both"/>
              <w:rPr>
                <w:b/>
                <w:bCs/>
                <w:sz w:val="24"/>
                <w:szCs w:val="24"/>
              </w:rPr>
            </w:pPr>
            <w:r w:rsidRPr="00B42029">
              <w:rPr>
                <w:b/>
                <w:bCs/>
                <w:sz w:val="24"/>
                <w:szCs w:val="24"/>
              </w:rPr>
              <w:t>0.88</w:t>
            </w:r>
          </w:p>
        </w:tc>
      </w:tr>
      <w:tr w:rsidR="00497211" w:rsidRPr="00B42029" w14:paraId="7931264A" w14:textId="77777777">
        <w:trPr>
          <w:trHeight w:val="405"/>
        </w:trPr>
        <w:tc>
          <w:tcPr>
            <w:tcW w:w="16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14399CFD" w14:textId="77777777" w:rsidR="00497211" w:rsidRPr="00B42029" w:rsidRDefault="00ED5807">
            <w:pPr>
              <w:spacing w:after="160" w:line="256" w:lineRule="auto"/>
              <w:jc w:val="both"/>
              <w:rPr>
                <w:b/>
                <w:bCs/>
                <w:sz w:val="24"/>
                <w:szCs w:val="24"/>
              </w:rPr>
            </w:pPr>
            <w:r w:rsidRPr="00B42029">
              <w:rPr>
                <w:b/>
                <w:bCs/>
                <w:sz w:val="24"/>
                <w:szCs w:val="24"/>
              </w:rPr>
              <w:t>C</w:t>
            </w:r>
          </w:p>
        </w:tc>
        <w:tc>
          <w:tcPr>
            <w:tcW w:w="1965" w:type="dxa"/>
            <w:tcBorders>
              <w:top w:val="nil"/>
              <w:left w:val="nil"/>
              <w:bottom w:val="single" w:sz="6" w:space="0" w:color="999999"/>
              <w:right w:val="single" w:sz="6" w:space="0" w:color="999999"/>
            </w:tcBorders>
            <w:tcMar>
              <w:top w:w="0" w:type="dxa"/>
              <w:left w:w="100" w:type="dxa"/>
              <w:bottom w:w="0" w:type="dxa"/>
              <w:right w:w="100" w:type="dxa"/>
            </w:tcMar>
          </w:tcPr>
          <w:p w14:paraId="0148468B" w14:textId="77777777" w:rsidR="00497211" w:rsidRPr="00B42029" w:rsidRDefault="00ED5807">
            <w:pPr>
              <w:spacing w:after="160" w:line="256" w:lineRule="auto"/>
              <w:jc w:val="both"/>
              <w:rPr>
                <w:sz w:val="24"/>
                <w:szCs w:val="24"/>
              </w:rPr>
            </w:pPr>
            <w:r w:rsidRPr="00B42029">
              <w:rPr>
                <w:sz w:val="24"/>
                <w:szCs w:val="24"/>
              </w:rPr>
              <w:t>£50.83m</w:t>
            </w:r>
          </w:p>
        </w:tc>
        <w:tc>
          <w:tcPr>
            <w:tcW w:w="3225" w:type="dxa"/>
            <w:tcBorders>
              <w:top w:val="nil"/>
              <w:left w:val="nil"/>
              <w:bottom w:val="single" w:sz="6" w:space="0" w:color="999999"/>
              <w:right w:val="single" w:sz="6" w:space="0" w:color="999999"/>
            </w:tcBorders>
            <w:tcMar>
              <w:top w:w="0" w:type="dxa"/>
              <w:left w:w="100" w:type="dxa"/>
              <w:bottom w:w="0" w:type="dxa"/>
              <w:right w:w="100" w:type="dxa"/>
            </w:tcMar>
          </w:tcPr>
          <w:p w14:paraId="4CC6F18D" w14:textId="77777777" w:rsidR="00497211" w:rsidRPr="00B42029" w:rsidRDefault="00ED5807">
            <w:pPr>
              <w:spacing w:after="160" w:line="256" w:lineRule="auto"/>
              <w:jc w:val="both"/>
              <w:rPr>
                <w:sz w:val="24"/>
                <w:szCs w:val="24"/>
              </w:rPr>
            </w:pPr>
            <w:r w:rsidRPr="00B42029">
              <w:rPr>
                <w:sz w:val="24"/>
                <w:szCs w:val="24"/>
              </w:rPr>
              <w:t>£50m</w:t>
            </w:r>
          </w:p>
        </w:tc>
        <w:tc>
          <w:tcPr>
            <w:tcW w:w="1980" w:type="dxa"/>
            <w:tcBorders>
              <w:top w:val="nil"/>
              <w:left w:val="nil"/>
              <w:bottom w:val="single" w:sz="6" w:space="0" w:color="999999"/>
              <w:right w:val="single" w:sz="6" w:space="0" w:color="999999"/>
            </w:tcBorders>
            <w:tcMar>
              <w:top w:w="0" w:type="dxa"/>
              <w:left w:w="100" w:type="dxa"/>
              <w:bottom w:w="0" w:type="dxa"/>
              <w:right w:w="100" w:type="dxa"/>
            </w:tcMar>
          </w:tcPr>
          <w:p w14:paraId="072D8AC4" w14:textId="77777777" w:rsidR="00497211" w:rsidRPr="00B42029" w:rsidRDefault="00ED5807">
            <w:pPr>
              <w:spacing w:after="160" w:line="256" w:lineRule="auto"/>
              <w:jc w:val="both"/>
              <w:rPr>
                <w:b/>
                <w:bCs/>
                <w:sz w:val="24"/>
                <w:szCs w:val="24"/>
              </w:rPr>
            </w:pPr>
            <w:r w:rsidRPr="00B42029">
              <w:rPr>
                <w:b/>
                <w:bCs/>
                <w:sz w:val="24"/>
                <w:szCs w:val="24"/>
              </w:rPr>
              <w:t>1.02</w:t>
            </w:r>
          </w:p>
        </w:tc>
      </w:tr>
    </w:tbl>
    <w:p w14:paraId="6D96E1B6" w14:textId="1EBE62A8" w:rsidR="00497211" w:rsidRPr="00B42029" w:rsidRDefault="00ED5807">
      <w:pPr>
        <w:spacing w:after="160" w:line="360" w:lineRule="auto"/>
        <w:jc w:val="both"/>
        <w:rPr>
          <w:sz w:val="24"/>
          <w:szCs w:val="24"/>
        </w:rPr>
      </w:pPr>
      <w:r w:rsidRPr="00B42029">
        <w:rPr>
          <w:sz w:val="24"/>
          <w:szCs w:val="24"/>
        </w:rPr>
        <w:t>Project A and B have PI values which are less than 1 meaning that the discounted inflows are not enough to pay back the investment. C has a PI of approximately 1.02, meaning each £1 invested generates £1.02 in present-value inflows. Thus, C is the choice in the case of capital limitation of Scandic. PI is however misleading in the case of mutually exclusive or equal-sized projects since it conveys a relative instead of an absolute value. NPV must hence be used as the main criterion with PI to back the capit</w:t>
      </w:r>
      <w:r w:rsidRPr="00B42029">
        <w:rPr>
          <w:sz w:val="24"/>
          <w:szCs w:val="24"/>
        </w:rPr>
        <w:t>al allocation decisions.</w:t>
      </w:r>
      <w:r w:rsidR="003A11DB">
        <w:rPr>
          <w:sz w:val="24"/>
          <w:szCs w:val="24"/>
        </w:rPr>
        <w:t xml:space="preserve"> </w:t>
      </w:r>
      <w:r w:rsidR="003A11DB">
        <w:rPr>
          <w:b/>
          <w:bCs/>
          <w:i/>
          <w:iCs/>
          <w:sz w:val="24"/>
          <w:szCs w:val="24"/>
        </w:rPr>
        <w:t xml:space="preserve">[Refer to </w:t>
      </w:r>
      <w:r w:rsidR="003A11DB" w:rsidRPr="003A11DB">
        <w:rPr>
          <w:b/>
          <w:bCs/>
          <w:i/>
          <w:iCs/>
          <w:sz w:val="24"/>
          <w:szCs w:val="24"/>
        </w:rPr>
        <w:t xml:space="preserve">Appendix </w:t>
      </w:r>
      <w:r w:rsidR="003A11DB">
        <w:rPr>
          <w:b/>
          <w:bCs/>
          <w:i/>
          <w:iCs/>
          <w:sz w:val="24"/>
          <w:szCs w:val="24"/>
        </w:rPr>
        <w:t>E]</w:t>
      </w:r>
    </w:p>
    <w:p w14:paraId="505DF4A2" w14:textId="77777777" w:rsidR="00497211" w:rsidRPr="00B42029" w:rsidRDefault="00ED5807" w:rsidP="00C5715E">
      <w:pPr>
        <w:pStyle w:val="Heading2"/>
      </w:pPr>
      <w:bookmarkStart w:id="33" w:name="_Toc237451738"/>
      <w:r w:rsidRPr="00B42029">
        <w:t>5.7 Internal Rate of Return</w:t>
      </w:r>
      <w:bookmarkEnd w:id="33"/>
    </w:p>
    <w:p w14:paraId="3F7ECBE2" w14:textId="356E7C93" w:rsidR="00497211" w:rsidRPr="00B42029" w:rsidRDefault="00ED5807">
      <w:pPr>
        <w:spacing w:after="160" w:line="360" w:lineRule="auto"/>
        <w:jc w:val="both"/>
        <w:rPr>
          <w:sz w:val="24"/>
          <w:szCs w:val="24"/>
        </w:rPr>
      </w:pPr>
      <w:r w:rsidRPr="00B42029">
        <w:rPr>
          <w:sz w:val="24"/>
          <w:szCs w:val="24"/>
        </w:rPr>
        <w:t xml:space="preserve">IRR is the discount rate at which NPV equals zero. Using the stated cash flows, the approximate IRRs are 1.5% for Project A, 0.9% for Project B and 8.9% for Project C. Therefore, only C marginally exceeds </w:t>
      </w:r>
      <w:proofErr w:type="spellStart"/>
      <w:r w:rsidRPr="00B42029">
        <w:rPr>
          <w:sz w:val="24"/>
          <w:szCs w:val="24"/>
        </w:rPr>
        <w:t>Scandic</w:t>
      </w:r>
      <w:r w:rsidR="00C5715E" w:rsidRPr="00B42029">
        <w:rPr>
          <w:sz w:val="24"/>
          <w:szCs w:val="24"/>
        </w:rPr>
        <w:t>’s</w:t>
      </w:r>
      <w:proofErr w:type="spellEnd"/>
      <w:r w:rsidRPr="00B42029">
        <w:rPr>
          <w:sz w:val="24"/>
          <w:szCs w:val="24"/>
        </w:rPr>
        <w:t xml:space="preserve"> assumed 8% cost of capital. The overall ranking is also consistent with NPV: A and B have negative NPVs, and C has a positive NPV.</w:t>
      </w:r>
    </w:p>
    <w:tbl>
      <w:tblPr>
        <w:tblStyle w:val="a1"/>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45"/>
        <w:gridCol w:w="2370"/>
        <w:gridCol w:w="2685"/>
        <w:gridCol w:w="2355"/>
      </w:tblGrid>
      <w:tr w:rsidR="00497211" w:rsidRPr="00B42029" w14:paraId="741789C6" w14:textId="77777777">
        <w:trPr>
          <w:trHeight w:val="405"/>
        </w:trPr>
        <w:tc>
          <w:tcPr>
            <w:tcW w:w="1545"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7E607F8E" w14:textId="77777777" w:rsidR="00497211" w:rsidRPr="00B42029" w:rsidRDefault="00ED5807">
            <w:pPr>
              <w:spacing w:after="160" w:line="256" w:lineRule="auto"/>
              <w:jc w:val="both"/>
              <w:rPr>
                <w:b/>
                <w:bCs/>
                <w:sz w:val="24"/>
                <w:szCs w:val="24"/>
              </w:rPr>
            </w:pPr>
            <w:r w:rsidRPr="00B42029">
              <w:rPr>
                <w:b/>
                <w:bCs/>
                <w:sz w:val="24"/>
                <w:szCs w:val="24"/>
              </w:rPr>
              <w:t>Project</w:t>
            </w:r>
          </w:p>
        </w:tc>
        <w:tc>
          <w:tcPr>
            <w:tcW w:w="237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570A5E59" w14:textId="77777777" w:rsidR="00497211" w:rsidRPr="00B42029" w:rsidRDefault="00ED5807">
            <w:pPr>
              <w:spacing w:after="160" w:line="256" w:lineRule="auto"/>
              <w:jc w:val="both"/>
              <w:rPr>
                <w:b/>
                <w:bCs/>
                <w:sz w:val="24"/>
                <w:szCs w:val="24"/>
              </w:rPr>
            </w:pPr>
            <w:r w:rsidRPr="00B42029">
              <w:rPr>
                <w:b/>
                <w:bCs/>
                <w:sz w:val="24"/>
                <w:szCs w:val="24"/>
              </w:rPr>
              <w:t>Approx. IRR</w:t>
            </w:r>
          </w:p>
        </w:tc>
        <w:tc>
          <w:tcPr>
            <w:tcW w:w="268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43D26E99" w14:textId="77777777" w:rsidR="00497211" w:rsidRPr="00B42029" w:rsidRDefault="00ED5807">
            <w:pPr>
              <w:spacing w:after="160" w:line="256" w:lineRule="auto"/>
              <w:jc w:val="both"/>
              <w:rPr>
                <w:b/>
                <w:bCs/>
                <w:sz w:val="24"/>
                <w:szCs w:val="24"/>
              </w:rPr>
            </w:pPr>
            <w:r w:rsidRPr="00B42029">
              <w:rPr>
                <w:b/>
                <w:bCs/>
                <w:sz w:val="24"/>
                <w:szCs w:val="24"/>
              </w:rPr>
              <w:t>NPV at 8%</w:t>
            </w:r>
          </w:p>
        </w:tc>
        <w:tc>
          <w:tcPr>
            <w:tcW w:w="235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7AE9BD7E" w14:textId="77777777" w:rsidR="00497211" w:rsidRPr="00B42029" w:rsidRDefault="00ED5807">
            <w:pPr>
              <w:spacing w:after="160" w:line="256" w:lineRule="auto"/>
              <w:jc w:val="both"/>
              <w:rPr>
                <w:b/>
                <w:bCs/>
                <w:sz w:val="24"/>
                <w:szCs w:val="24"/>
              </w:rPr>
            </w:pPr>
            <w:r w:rsidRPr="00B42029">
              <w:rPr>
                <w:b/>
                <w:bCs/>
                <w:sz w:val="24"/>
                <w:szCs w:val="24"/>
              </w:rPr>
              <w:t>Decision</w:t>
            </w:r>
          </w:p>
        </w:tc>
      </w:tr>
      <w:tr w:rsidR="00497211" w:rsidRPr="00B42029" w14:paraId="14AC2F99" w14:textId="77777777">
        <w:trPr>
          <w:trHeight w:val="405"/>
        </w:trPr>
        <w:tc>
          <w:tcPr>
            <w:tcW w:w="154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460D6CA3" w14:textId="77777777" w:rsidR="00497211" w:rsidRPr="00B42029" w:rsidRDefault="00ED5807">
            <w:pPr>
              <w:spacing w:after="160" w:line="256" w:lineRule="auto"/>
              <w:jc w:val="both"/>
              <w:rPr>
                <w:b/>
                <w:bCs/>
                <w:sz w:val="24"/>
                <w:szCs w:val="24"/>
              </w:rPr>
            </w:pPr>
            <w:r w:rsidRPr="00B42029">
              <w:rPr>
                <w:b/>
                <w:bCs/>
                <w:sz w:val="24"/>
                <w:szCs w:val="24"/>
              </w:rPr>
              <w:t>A</w:t>
            </w:r>
          </w:p>
        </w:tc>
        <w:tc>
          <w:tcPr>
            <w:tcW w:w="2370" w:type="dxa"/>
            <w:tcBorders>
              <w:top w:val="nil"/>
              <w:left w:val="nil"/>
              <w:bottom w:val="single" w:sz="6" w:space="0" w:color="999999"/>
              <w:right w:val="single" w:sz="6" w:space="0" w:color="999999"/>
            </w:tcBorders>
            <w:tcMar>
              <w:top w:w="0" w:type="dxa"/>
              <w:left w:w="100" w:type="dxa"/>
              <w:bottom w:w="0" w:type="dxa"/>
              <w:right w:w="100" w:type="dxa"/>
            </w:tcMar>
          </w:tcPr>
          <w:p w14:paraId="0C0D7EDD" w14:textId="77777777" w:rsidR="00497211" w:rsidRPr="00B42029" w:rsidRDefault="00ED5807">
            <w:pPr>
              <w:spacing w:after="160" w:line="256" w:lineRule="auto"/>
              <w:jc w:val="both"/>
              <w:rPr>
                <w:b/>
                <w:bCs/>
                <w:sz w:val="24"/>
                <w:szCs w:val="24"/>
              </w:rPr>
            </w:pPr>
            <w:r w:rsidRPr="00B42029">
              <w:rPr>
                <w:b/>
                <w:bCs/>
                <w:sz w:val="24"/>
                <w:szCs w:val="24"/>
              </w:rPr>
              <w:t>1.5%</w:t>
            </w:r>
          </w:p>
        </w:tc>
        <w:tc>
          <w:tcPr>
            <w:tcW w:w="2685" w:type="dxa"/>
            <w:tcBorders>
              <w:top w:val="nil"/>
              <w:left w:val="nil"/>
              <w:bottom w:val="single" w:sz="6" w:space="0" w:color="999999"/>
              <w:right w:val="single" w:sz="6" w:space="0" w:color="999999"/>
            </w:tcBorders>
            <w:tcMar>
              <w:top w:w="0" w:type="dxa"/>
              <w:left w:w="100" w:type="dxa"/>
              <w:bottom w:w="0" w:type="dxa"/>
              <w:right w:w="100" w:type="dxa"/>
            </w:tcMar>
          </w:tcPr>
          <w:p w14:paraId="7CC888FF" w14:textId="77777777" w:rsidR="00497211" w:rsidRPr="00B42029" w:rsidRDefault="00ED5807">
            <w:pPr>
              <w:spacing w:after="160" w:line="256" w:lineRule="auto"/>
              <w:jc w:val="both"/>
              <w:rPr>
                <w:sz w:val="24"/>
                <w:szCs w:val="24"/>
              </w:rPr>
            </w:pPr>
            <w:r w:rsidRPr="00B42029">
              <w:rPr>
                <w:rFonts w:eastAsia="Arial Unicode MS"/>
                <w:sz w:val="24"/>
                <w:szCs w:val="24"/>
              </w:rPr>
              <w:t>−</w:t>
            </w:r>
            <w:r w:rsidRPr="00B42029">
              <w:rPr>
                <w:rFonts w:eastAsia="Arial Unicode MS"/>
                <w:sz w:val="24"/>
                <w:szCs w:val="24"/>
              </w:rPr>
              <w:t>£6.57m</w:t>
            </w:r>
          </w:p>
        </w:tc>
        <w:tc>
          <w:tcPr>
            <w:tcW w:w="2355" w:type="dxa"/>
            <w:tcBorders>
              <w:top w:val="nil"/>
              <w:left w:val="nil"/>
              <w:bottom w:val="single" w:sz="6" w:space="0" w:color="999999"/>
              <w:right w:val="single" w:sz="6" w:space="0" w:color="999999"/>
            </w:tcBorders>
            <w:tcMar>
              <w:top w:w="0" w:type="dxa"/>
              <w:left w:w="100" w:type="dxa"/>
              <w:bottom w:w="0" w:type="dxa"/>
              <w:right w:w="100" w:type="dxa"/>
            </w:tcMar>
          </w:tcPr>
          <w:p w14:paraId="343C9EFD" w14:textId="77777777" w:rsidR="00497211" w:rsidRPr="00B42029" w:rsidRDefault="00ED5807">
            <w:pPr>
              <w:spacing w:after="160" w:line="256" w:lineRule="auto"/>
              <w:jc w:val="both"/>
              <w:rPr>
                <w:sz w:val="24"/>
                <w:szCs w:val="24"/>
              </w:rPr>
            </w:pPr>
            <w:r w:rsidRPr="00B42029">
              <w:rPr>
                <w:sz w:val="24"/>
                <w:szCs w:val="24"/>
              </w:rPr>
              <w:t>Reject</w:t>
            </w:r>
          </w:p>
        </w:tc>
      </w:tr>
      <w:tr w:rsidR="00497211" w:rsidRPr="00B42029" w14:paraId="1F0FFE76" w14:textId="77777777">
        <w:trPr>
          <w:trHeight w:val="405"/>
        </w:trPr>
        <w:tc>
          <w:tcPr>
            <w:tcW w:w="154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2CAAB256" w14:textId="77777777" w:rsidR="00497211" w:rsidRPr="00B42029" w:rsidRDefault="00ED5807">
            <w:pPr>
              <w:spacing w:after="160" w:line="256" w:lineRule="auto"/>
              <w:jc w:val="both"/>
              <w:rPr>
                <w:b/>
                <w:bCs/>
                <w:sz w:val="24"/>
                <w:szCs w:val="24"/>
              </w:rPr>
            </w:pPr>
            <w:r w:rsidRPr="00B42029">
              <w:rPr>
                <w:b/>
                <w:bCs/>
                <w:sz w:val="24"/>
                <w:szCs w:val="24"/>
              </w:rPr>
              <w:t>B</w:t>
            </w:r>
          </w:p>
        </w:tc>
        <w:tc>
          <w:tcPr>
            <w:tcW w:w="2370" w:type="dxa"/>
            <w:tcBorders>
              <w:top w:val="nil"/>
              <w:left w:val="nil"/>
              <w:bottom w:val="single" w:sz="6" w:space="0" w:color="999999"/>
              <w:right w:val="single" w:sz="6" w:space="0" w:color="999999"/>
            </w:tcBorders>
            <w:tcMar>
              <w:top w:w="0" w:type="dxa"/>
              <w:left w:w="100" w:type="dxa"/>
              <w:bottom w:w="0" w:type="dxa"/>
              <w:right w:w="100" w:type="dxa"/>
            </w:tcMar>
          </w:tcPr>
          <w:p w14:paraId="2B885819" w14:textId="77777777" w:rsidR="00497211" w:rsidRPr="00B42029" w:rsidRDefault="00ED5807">
            <w:pPr>
              <w:spacing w:after="160" w:line="256" w:lineRule="auto"/>
              <w:jc w:val="both"/>
              <w:rPr>
                <w:b/>
                <w:bCs/>
                <w:sz w:val="24"/>
                <w:szCs w:val="24"/>
              </w:rPr>
            </w:pPr>
            <w:r w:rsidRPr="00B42029">
              <w:rPr>
                <w:b/>
                <w:bCs/>
                <w:sz w:val="24"/>
                <w:szCs w:val="24"/>
              </w:rPr>
              <w:t>0.9%</w:t>
            </w:r>
          </w:p>
        </w:tc>
        <w:tc>
          <w:tcPr>
            <w:tcW w:w="2685" w:type="dxa"/>
            <w:tcBorders>
              <w:top w:val="nil"/>
              <w:left w:val="nil"/>
              <w:bottom w:val="single" w:sz="6" w:space="0" w:color="999999"/>
              <w:right w:val="single" w:sz="6" w:space="0" w:color="999999"/>
            </w:tcBorders>
            <w:tcMar>
              <w:top w:w="0" w:type="dxa"/>
              <w:left w:w="100" w:type="dxa"/>
              <w:bottom w:w="0" w:type="dxa"/>
              <w:right w:w="100" w:type="dxa"/>
            </w:tcMar>
          </w:tcPr>
          <w:p w14:paraId="28A87C2B" w14:textId="77777777" w:rsidR="00497211" w:rsidRPr="00B42029" w:rsidRDefault="00ED5807">
            <w:pPr>
              <w:spacing w:after="160" w:line="256" w:lineRule="auto"/>
              <w:jc w:val="both"/>
              <w:rPr>
                <w:sz w:val="24"/>
                <w:szCs w:val="24"/>
              </w:rPr>
            </w:pPr>
            <w:r w:rsidRPr="00B42029">
              <w:rPr>
                <w:rFonts w:eastAsia="Arial Unicode MS"/>
                <w:sz w:val="24"/>
                <w:szCs w:val="24"/>
              </w:rPr>
              <w:t>−</w:t>
            </w:r>
            <w:r w:rsidRPr="00B42029">
              <w:rPr>
                <w:rFonts w:eastAsia="Arial Unicode MS"/>
                <w:sz w:val="24"/>
                <w:szCs w:val="24"/>
              </w:rPr>
              <w:t>£6.11m</w:t>
            </w:r>
          </w:p>
        </w:tc>
        <w:tc>
          <w:tcPr>
            <w:tcW w:w="2355" w:type="dxa"/>
            <w:tcBorders>
              <w:top w:val="nil"/>
              <w:left w:val="nil"/>
              <w:bottom w:val="single" w:sz="6" w:space="0" w:color="999999"/>
              <w:right w:val="single" w:sz="6" w:space="0" w:color="999999"/>
            </w:tcBorders>
            <w:tcMar>
              <w:top w:w="0" w:type="dxa"/>
              <w:left w:w="100" w:type="dxa"/>
              <w:bottom w:w="0" w:type="dxa"/>
              <w:right w:w="100" w:type="dxa"/>
            </w:tcMar>
          </w:tcPr>
          <w:p w14:paraId="62B0433A" w14:textId="77777777" w:rsidR="00497211" w:rsidRPr="00B42029" w:rsidRDefault="00ED5807">
            <w:pPr>
              <w:spacing w:after="160" w:line="256" w:lineRule="auto"/>
              <w:jc w:val="both"/>
              <w:rPr>
                <w:sz w:val="24"/>
                <w:szCs w:val="24"/>
              </w:rPr>
            </w:pPr>
            <w:r w:rsidRPr="00B42029">
              <w:rPr>
                <w:sz w:val="24"/>
                <w:szCs w:val="24"/>
              </w:rPr>
              <w:t>Reject</w:t>
            </w:r>
          </w:p>
        </w:tc>
      </w:tr>
      <w:tr w:rsidR="00497211" w:rsidRPr="00B42029" w14:paraId="3E86C911" w14:textId="77777777">
        <w:trPr>
          <w:trHeight w:val="405"/>
        </w:trPr>
        <w:tc>
          <w:tcPr>
            <w:tcW w:w="154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43A1A80B" w14:textId="77777777" w:rsidR="00497211" w:rsidRPr="00B42029" w:rsidRDefault="00ED5807">
            <w:pPr>
              <w:spacing w:after="160" w:line="256" w:lineRule="auto"/>
              <w:jc w:val="both"/>
              <w:rPr>
                <w:b/>
                <w:bCs/>
                <w:sz w:val="24"/>
                <w:szCs w:val="24"/>
              </w:rPr>
            </w:pPr>
            <w:r w:rsidRPr="00B42029">
              <w:rPr>
                <w:b/>
                <w:bCs/>
                <w:sz w:val="24"/>
                <w:szCs w:val="24"/>
              </w:rPr>
              <w:t>C</w:t>
            </w:r>
          </w:p>
        </w:tc>
        <w:tc>
          <w:tcPr>
            <w:tcW w:w="2370" w:type="dxa"/>
            <w:tcBorders>
              <w:top w:val="nil"/>
              <w:left w:val="nil"/>
              <w:bottom w:val="single" w:sz="6" w:space="0" w:color="999999"/>
              <w:right w:val="single" w:sz="6" w:space="0" w:color="999999"/>
            </w:tcBorders>
            <w:tcMar>
              <w:top w:w="0" w:type="dxa"/>
              <w:left w:w="100" w:type="dxa"/>
              <w:bottom w:w="0" w:type="dxa"/>
              <w:right w:w="100" w:type="dxa"/>
            </w:tcMar>
          </w:tcPr>
          <w:p w14:paraId="2BB88A29" w14:textId="77777777" w:rsidR="00497211" w:rsidRPr="00B42029" w:rsidRDefault="00ED5807">
            <w:pPr>
              <w:spacing w:after="160" w:line="256" w:lineRule="auto"/>
              <w:jc w:val="both"/>
              <w:rPr>
                <w:b/>
                <w:bCs/>
                <w:sz w:val="24"/>
                <w:szCs w:val="24"/>
              </w:rPr>
            </w:pPr>
            <w:r w:rsidRPr="00B42029">
              <w:rPr>
                <w:b/>
                <w:bCs/>
                <w:sz w:val="24"/>
                <w:szCs w:val="24"/>
              </w:rPr>
              <w:t>8.9%</w:t>
            </w:r>
          </w:p>
        </w:tc>
        <w:tc>
          <w:tcPr>
            <w:tcW w:w="2685" w:type="dxa"/>
            <w:tcBorders>
              <w:top w:val="nil"/>
              <w:left w:val="nil"/>
              <w:bottom w:val="single" w:sz="6" w:space="0" w:color="999999"/>
              <w:right w:val="single" w:sz="6" w:space="0" w:color="999999"/>
            </w:tcBorders>
            <w:tcMar>
              <w:top w:w="0" w:type="dxa"/>
              <w:left w:w="100" w:type="dxa"/>
              <w:bottom w:w="0" w:type="dxa"/>
              <w:right w:w="100" w:type="dxa"/>
            </w:tcMar>
          </w:tcPr>
          <w:p w14:paraId="61990A67" w14:textId="77777777" w:rsidR="00497211" w:rsidRPr="00B42029" w:rsidRDefault="00ED5807">
            <w:pPr>
              <w:spacing w:after="160" w:line="256" w:lineRule="auto"/>
              <w:jc w:val="both"/>
              <w:rPr>
                <w:sz w:val="24"/>
                <w:szCs w:val="24"/>
              </w:rPr>
            </w:pPr>
            <w:r w:rsidRPr="00B42029">
              <w:rPr>
                <w:sz w:val="24"/>
                <w:szCs w:val="24"/>
              </w:rPr>
              <w:t>+£0.83m</w:t>
            </w:r>
          </w:p>
        </w:tc>
        <w:tc>
          <w:tcPr>
            <w:tcW w:w="2355" w:type="dxa"/>
            <w:tcBorders>
              <w:top w:val="nil"/>
              <w:left w:val="nil"/>
              <w:bottom w:val="single" w:sz="6" w:space="0" w:color="999999"/>
              <w:right w:val="single" w:sz="6" w:space="0" w:color="999999"/>
            </w:tcBorders>
            <w:tcMar>
              <w:top w:w="0" w:type="dxa"/>
              <w:left w:w="100" w:type="dxa"/>
              <w:bottom w:w="0" w:type="dxa"/>
              <w:right w:w="100" w:type="dxa"/>
            </w:tcMar>
          </w:tcPr>
          <w:p w14:paraId="47310482" w14:textId="77777777" w:rsidR="00497211" w:rsidRPr="00B42029" w:rsidRDefault="00ED5807">
            <w:pPr>
              <w:spacing w:after="160" w:line="256" w:lineRule="auto"/>
              <w:jc w:val="both"/>
              <w:rPr>
                <w:sz w:val="24"/>
                <w:szCs w:val="24"/>
              </w:rPr>
            </w:pPr>
            <w:r w:rsidRPr="00B42029">
              <w:rPr>
                <w:sz w:val="24"/>
                <w:szCs w:val="24"/>
              </w:rPr>
              <w:t>Accept</w:t>
            </w:r>
          </w:p>
        </w:tc>
      </w:tr>
    </w:tbl>
    <w:p w14:paraId="53DC62D9" w14:textId="303CEF78" w:rsidR="00497211" w:rsidRPr="00B42029" w:rsidRDefault="00ED5807">
      <w:pPr>
        <w:spacing w:after="160" w:line="360" w:lineRule="auto"/>
        <w:jc w:val="both"/>
        <w:rPr>
          <w:sz w:val="24"/>
          <w:szCs w:val="24"/>
        </w:rPr>
      </w:pPr>
      <w:r w:rsidRPr="00B42029">
        <w:rPr>
          <w:sz w:val="24"/>
          <w:szCs w:val="24"/>
        </w:rPr>
        <w:t>IRR is easy to understand since it measures project returns expressed in percentage which is easy to compare against the cost of capital. Nonetheless, it may cause ranking issues with projects that vary in size, timing or cash-flow patterns. NPV is thus more suitable to Scandic since it quantifies the creation of absolute values. Here, the two processes will both determine C as the best but the choice cannot be based only on IRR (Li, 2025).</w:t>
      </w:r>
      <w:r w:rsidR="003A11DB">
        <w:rPr>
          <w:sz w:val="24"/>
          <w:szCs w:val="24"/>
        </w:rPr>
        <w:t xml:space="preserve"> </w:t>
      </w:r>
      <w:r w:rsidR="003A11DB">
        <w:rPr>
          <w:b/>
          <w:bCs/>
          <w:i/>
          <w:iCs/>
          <w:sz w:val="24"/>
          <w:szCs w:val="24"/>
        </w:rPr>
        <w:t xml:space="preserve">[Refer to </w:t>
      </w:r>
      <w:r w:rsidR="003A11DB" w:rsidRPr="003A11DB">
        <w:rPr>
          <w:b/>
          <w:bCs/>
          <w:i/>
          <w:iCs/>
          <w:sz w:val="24"/>
          <w:szCs w:val="24"/>
        </w:rPr>
        <w:t xml:space="preserve">Appendix </w:t>
      </w:r>
      <w:r w:rsidR="003A11DB">
        <w:rPr>
          <w:b/>
          <w:bCs/>
          <w:i/>
          <w:iCs/>
          <w:sz w:val="24"/>
          <w:szCs w:val="24"/>
        </w:rPr>
        <w:t>F]</w:t>
      </w:r>
    </w:p>
    <w:p w14:paraId="48C8F839" w14:textId="77777777" w:rsidR="00497211" w:rsidRPr="00B42029" w:rsidRDefault="00ED5807" w:rsidP="00C5715E">
      <w:pPr>
        <w:pStyle w:val="Heading2"/>
      </w:pPr>
      <w:bookmarkStart w:id="34" w:name="_Toc237451739"/>
      <w:r w:rsidRPr="00B42029">
        <w:t>5.8 Overall Project Comparison</w:t>
      </w:r>
      <w:bookmarkEnd w:id="34"/>
    </w:p>
    <w:tbl>
      <w:tblPr>
        <w:tblStyle w:val="a2"/>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35"/>
        <w:gridCol w:w="2205"/>
        <w:gridCol w:w="2040"/>
        <w:gridCol w:w="2040"/>
        <w:gridCol w:w="1365"/>
      </w:tblGrid>
      <w:tr w:rsidR="00497211" w:rsidRPr="00B42029" w14:paraId="705E901D" w14:textId="77777777">
        <w:trPr>
          <w:trHeight w:val="405"/>
        </w:trPr>
        <w:tc>
          <w:tcPr>
            <w:tcW w:w="1335"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60E770EE" w14:textId="77777777" w:rsidR="00497211" w:rsidRPr="00B42029" w:rsidRDefault="00ED5807">
            <w:pPr>
              <w:spacing w:after="160" w:line="256" w:lineRule="auto"/>
              <w:jc w:val="both"/>
              <w:rPr>
                <w:b/>
                <w:bCs/>
                <w:sz w:val="24"/>
                <w:szCs w:val="24"/>
              </w:rPr>
            </w:pPr>
            <w:r w:rsidRPr="00B42029">
              <w:rPr>
                <w:b/>
                <w:bCs/>
                <w:sz w:val="24"/>
                <w:szCs w:val="24"/>
              </w:rPr>
              <w:lastRenderedPageBreak/>
              <w:t>Method</w:t>
            </w:r>
          </w:p>
        </w:tc>
        <w:tc>
          <w:tcPr>
            <w:tcW w:w="220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29E44C94" w14:textId="77777777" w:rsidR="00497211" w:rsidRPr="00B42029" w:rsidRDefault="00ED5807">
            <w:pPr>
              <w:spacing w:after="160" w:line="256" w:lineRule="auto"/>
              <w:jc w:val="both"/>
              <w:rPr>
                <w:b/>
                <w:bCs/>
                <w:sz w:val="24"/>
                <w:szCs w:val="24"/>
              </w:rPr>
            </w:pPr>
            <w:r w:rsidRPr="00B42029">
              <w:rPr>
                <w:b/>
                <w:bCs/>
                <w:sz w:val="24"/>
                <w:szCs w:val="24"/>
              </w:rPr>
              <w:t>Project A</w:t>
            </w:r>
          </w:p>
        </w:tc>
        <w:tc>
          <w:tcPr>
            <w:tcW w:w="204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365A95BE" w14:textId="77777777" w:rsidR="00497211" w:rsidRPr="00B42029" w:rsidRDefault="00ED5807">
            <w:pPr>
              <w:spacing w:after="160" w:line="256" w:lineRule="auto"/>
              <w:jc w:val="both"/>
              <w:rPr>
                <w:b/>
                <w:bCs/>
                <w:sz w:val="24"/>
                <w:szCs w:val="24"/>
              </w:rPr>
            </w:pPr>
            <w:r w:rsidRPr="00B42029">
              <w:rPr>
                <w:b/>
                <w:bCs/>
                <w:sz w:val="24"/>
                <w:szCs w:val="24"/>
              </w:rPr>
              <w:t>Project B</w:t>
            </w:r>
          </w:p>
        </w:tc>
        <w:tc>
          <w:tcPr>
            <w:tcW w:w="204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4C2F7AE8" w14:textId="77777777" w:rsidR="00497211" w:rsidRPr="00B42029" w:rsidRDefault="00ED5807">
            <w:pPr>
              <w:spacing w:after="160" w:line="256" w:lineRule="auto"/>
              <w:jc w:val="both"/>
              <w:rPr>
                <w:b/>
                <w:bCs/>
                <w:sz w:val="24"/>
                <w:szCs w:val="24"/>
              </w:rPr>
            </w:pPr>
            <w:r w:rsidRPr="00B42029">
              <w:rPr>
                <w:b/>
                <w:bCs/>
                <w:sz w:val="24"/>
                <w:szCs w:val="24"/>
              </w:rPr>
              <w:t>Project C</w:t>
            </w:r>
          </w:p>
        </w:tc>
        <w:tc>
          <w:tcPr>
            <w:tcW w:w="136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548AEACD" w14:textId="77777777" w:rsidR="00497211" w:rsidRPr="00B42029" w:rsidRDefault="00ED5807">
            <w:pPr>
              <w:spacing w:after="160" w:line="256" w:lineRule="auto"/>
              <w:jc w:val="both"/>
              <w:rPr>
                <w:b/>
                <w:bCs/>
                <w:sz w:val="24"/>
                <w:szCs w:val="24"/>
              </w:rPr>
            </w:pPr>
            <w:r w:rsidRPr="00B42029">
              <w:rPr>
                <w:b/>
                <w:bCs/>
                <w:sz w:val="24"/>
                <w:szCs w:val="24"/>
              </w:rPr>
              <w:t>Best</w:t>
            </w:r>
          </w:p>
        </w:tc>
      </w:tr>
      <w:tr w:rsidR="00497211" w:rsidRPr="00B42029" w14:paraId="5D6AE43D" w14:textId="77777777">
        <w:trPr>
          <w:trHeight w:val="405"/>
        </w:trPr>
        <w:tc>
          <w:tcPr>
            <w:tcW w:w="13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76CB99F9" w14:textId="77777777" w:rsidR="00497211" w:rsidRPr="00B42029" w:rsidRDefault="00ED5807">
            <w:pPr>
              <w:spacing w:after="160" w:line="256" w:lineRule="auto"/>
              <w:jc w:val="both"/>
              <w:rPr>
                <w:b/>
                <w:bCs/>
                <w:sz w:val="24"/>
                <w:szCs w:val="24"/>
              </w:rPr>
            </w:pPr>
            <w:r w:rsidRPr="00B42029">
              <w:rPr>
                <w:b/>
                <w:bCs/>
                <w:sz w:val="24"/>
                <w:szCs w:val="24"/>
              </w:rPr>
              <w:t>PBP</w:t>
            </w:r>
          </w:p>
        </w:tc>
        <w:tc>
          <w:tcPr>
            <w:tcW w:w="2205" w:type="dxa"/>
            <w:tcBorders>
              <w:top w:val="nil"/>
              <w:left w:val="nil"/>
              <w:bottom w:val="single" w:sz="6" w:space="0" w:color="999999"/>
              <w:right w:val="single" w:sz="6" w:space="0" w:color="999999"/>
            </w:tcBorders>
            <w:tcMar>
              <w:top w:w="0" w:type="dxa"/>
              <w:left w:w="100" w:type="dxa"/>
              <w:bottom w:w="0" w:type="dxa"/>
              <w:right w:w="100" w:type="dxa"/>
            </w:tcMar>
          </w:tcPr>
          <w:p w14:paraId="7BDEE5F5" w14:textId="77777777" w:rsidR="00497211" w:rsidRPr="00B42029" w:rsidRDefault="00ED5807">
            <w:pPr>
              <w:spacing w:after="160" w:line="256" w:lineRule="auto"/>
              <w:jc w:val="both"/>
              <w:rPr>
                <w:sz w:val="24"/>
                <w:szCs w:val="24"/>
              </w:rPr>
            </w:pPr>
            <w:r w:rsidRPr="00B42029">
              <w:rPr>
                <w:sz w:val="24"/>
                <w:szCs w:val="24"/>
              </w:rPr>
              <w:t>4.50 years</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3128D5A0" w14:textId="77777777" w:rsidR="00497211" w:rsidRPr="00B42029" w:rsidRDefault="00ED5807">
            <w:pPr>
              <w:spacing w:after="160" w:line="256" w:lineRule="auto"/>
              <w:jc w:val="both"/>
              <w:rPr>
                <w:sz w:val="24"/>
                <w:szCs w:val="24"/>
              </w:rPr>
            </w:pPr>
            <w:r w:rsidRPr="00B42029">
              <w:rPr>
                <w:sz w:val="24"/>
                <w:szCs w:val="24"/>
              </w:rPr>
              <w:t>4.55 years</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06982B14" w14:textId="77777777" w:rsidR="00497211" w:rsidRPr="00B42029" w:rsidRDefault="00ED5807">
            <w:pPr>
              <w:spacing w:after="160" w:line="256" w:lineRule="auto"/>
              <w:jc w:val="both"/>
              <w:rPr>
                <w:b/>
                <w:bCs/>
                <w:sz w:val="24"/>
                <w:szCs w:val="24"/>
              </w:rPr>
            </w:pPr>
            <w:r w:rsidRPr="00B42029">
              <w:rPr>
                <w:b/>
                <w:bCs/>
                <w:sz w:val="24"/>
                <w:szCs w:val="24"/>
              </w:rPr>
              <w:t>3.60 years</w:t>
            </w:r>
          </w:p>
        </w:tc>
        <w:tc>
          <w:tcPr>
            <w:tcW w:w="1365" w:type="dxa"/>
            <w:tcBorders>
              <w:top w:val="nil"/>
              <w:left w:val="nil"/>
              <w:bottom w:val="single" w:sz="6" w:space="0" w:color="999999"/>
              <w:right w:val="single" w:sz="6" w:space="0" w:color="999999"/>
            </w:tcBorders>
            <w:tcMar>
              <w:top w:w="0" w:type="dxa"/>
              <w:left w:w="100" w:type="dxa"/>
              <w:bottom w:w="0" w:type="dxa"/>
              <w:right w:w="100" w:type="dxa"/>
            </w:tcMar>
          </w:tcPr>
          <w:p w14:paraId="16B94A7A" w14:textId="77777777" w:rsidR="00497211" w:rsidRPr="00B42029" w:rsidRDefault="00ED5807">
            <w:pPr>
              <w:spacing w:after="160" w:line="256" w:lineRule="auto"/>
              <w:jc w:val="both"/>
              <w:rPr>
                <w:b/>
                <w:bCs/>
                <w:sz w:val="24"/>
                <w:szCs w:val="24"/>
              </w:rPr>
            </w:pPr>
            <w:r w:rsidRPr="00B42029">
              <w:rPr>
                <w:b/>
                <w:bCs/>
                <w:sz w:val="24"/>
                <w:szCs w:val="24"/>
              </w:rPr>
              <w:t>C</w:t>
            </w:r>
          </w:p>
        </w:tc>
      </w:tr>
      <w:tr w:rsidR="00497211" w:rsidRPr="00B42029" w14:paraId="436CFE73" w14:textId="77777777">
        <w:trPr>
          <w:trHeight w:val="405"/>
        </w:trPr>
        <w:tc>
          <w:tcPr>
            <w:tcW w:w="13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68C2E1A8" w14:textId="77777777" w:rsidR="00497211" w:rsidRPr="00B42029" w:rsidRDefault="00ED5807">
            <w:pPr>
              <w:spacing w:after="160" w:line="256" w:lineRule="auto"/>
              <w:jc w:val="both"/>
              <w:rPr>
                <w:b/>
                <w:bCs/>
                <w:sz w:val="24"/>
                <w:szCs w:val="24"/>
              </w:rPr>
            </w:pPr>
            <w:r w:rsidRPr="00B42029">
              <w:rPr>
                <w:b/>
                <w:bCs/>
                <w:sz w:val="24"/>
                <w:szCs w:val="24"/>
              </w:rPr>
              <w:t>ARR</w:t>
            </w:r>
          </w:p>
        </w:tc>
        <w:tc>
          <w:tcPr>
            <w:tcW w:w="2205" w:type="dxa"/>
            <w:tcBorders>
              <w:top w:val="nil"/>
              <w:left w:val="nil"/>
              <w:bottom w:val="single" w:sz="6" w:space="0" w:color="999999"/>
              <w:right w:val="single" w:sz="6" w:space="0" w:color="999999"/>
            </w:tcBorders>
            <w:tcMar>
              <w:top w:w="0" w:type="dxa"/>
              <w:left w:w="100" w:type="dxa"/>
              <w:bottom w:w="0" w:type="dxa"/>
              <w:right w:w="100" w:type="dxa"/>
            </w:tcMar>
          </w:tcPr>
          <w:p w14:paraId="1757E0A5" w14:textId="77777777" w:rsidR="00497211" w:rsidRPr="00B42029" w:rsidRDefault="00ED5807">
            <w:pPr>
              <w:spacing w:after="160" w:line="256" w:lineRule="auto"/>
              <w:jc w:val="both"/>
              <w:rPr>
                <w:sz w:val="24"/>
                <w:szCs w:val="24"/>
              </w:rPr>
            </w:pPr>
            <w:r w:rsidRPr="00B42029">
              <w:rPr>
                <w:sz w:val="24"/>
                <w:szCs w:val="24"/>
              </w:rPr>
              <w:t>3.2%</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2151E206" w14:textId="77777777" w:rsidR="00497211" w:rsidRPr="00B42029" w:rsidRDefault="00ED5807">
            <w:pPr>
              <w:spacing w:after="160" w:line="256" w:lineRule="auto"/>
              <w:jc w:val="both"/>
              <w:rPr>
                <w:sz w:val="24"/>
                <w:szCs w:val="24"/>
              </w:rPr>
            </w:pPr>
            <w:r w:rsidRPr="00B42029">
              <w:rPr>
                <w:sz w:val="24"/>
                <w:szCs w:val="24"/>
              </w:rPr>
              <w:t>4.0%</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5D58CFFA" w14:textId="77777777" w:rsidR="00497211" w:rsidRPr="00B42029" w:rsidRDefault="00ED5807">
            <w:pPr>
              <w:spacing w:after="160" w:line="256" w:lineRule="auto"/>
              <w:jc w:val="both"/>
              <w:rPr>
                <w:b/>
                <w:bCs/>
                <w:sz w:val="24"/>
                <w:szCs w:val="24"/>
              </w:rPr>
            </w:pPr>
            <w:r w:rsidRPr="00B42029">
              <w:rPr>
                <w:b/>
                <w:bCs/>
                <w:sz w:val="24"/>
                <w:szCs w:val="24"/>
              </w:rPr>
              <w:t>12.0%</w:t>
            </w:r>
          </w:p>
        </w:tc>
        <w:tc>
          <w:tcPr>
            <w:tcW w:w="1365" w:type="dxa"/>
            <w:tcBorders>
              <w:top w:val="nil"/>
              <w:left w:val="nil"/>
              <w:bottom w:val="single" w:sz="6" w:space="0" w:color="999999"/>
              <w:right w:val="single" w:sz="6" w:space="0" w:color="999999"/>
            </w:tcBorders>
            <w:tcMar>
              <w:top w:w="0" w:type="dxa"/>
              <w:left w:w="100" w:type="dxa"/>
              <w:bottom w:w="0" w:type="dxa"/>
              <w:right w:w="100" w:type="dxa"/>
            </w:tcMar>
          </w:tcPr>
          <w:p w14:paraId="332F94D2" w14:textId="77777777" w:rsidR="00497211" w:rsidRPr="00B42029" w:rsidRDefault="00ED5807">
            <w:pPr>
              <w:spacing w:after="160" w:line="256" w:lineRule="auto"/>
              <w:jc w:val="both"/>
              <w:rPr>
                <w:b/>
                <w:bCs/>
                <w:sz w:val="24"/>
                <w:szCs w:val="24"/>
              </w:rPr>
            </w:pPr>
            <w:r w:rsidRPr="00B42029">
              <w:rPr>
                <w:b/>
                <w:bCs/>
                <w:sz w:val="24"/>
                <w:szCs w:val="24"/>
              </w:rPr>
              <w:t>C</w:t>
            </w:r>
          </w:p>
        </w:tc>
      </w:tr>
      <w:tr w:rsidR="00497211" w:rsidRPr="00B42029" w14:paraId="40FCD0A9" w14:textId="77777777">
        <w:trPr>
          <w:trHeight w:val="405"/>
        </w:trPr>
        <w:tc>
          <w:tcPr>
            <w:tcW w:w="13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476A6A87" w14:textId="77777777" w:rsidR="00497211" w:rsidRPr="00B42029" w:rsidRDefault="00ED5807">
            <w:pPr>
              <w:spacing w:after="160" w:line="256" w:lineRule="auto"/>
              <w:jc w:val="both"/>
              <w:rPr>
                <w:b/>
                <w:bCs/>
                <w:sz w:val="24"/>
                <w:szCs w:val="24"/>
              </w:rPr>
            </w:pPr>
            <w:r w:rsidRPr="00B42029">
              <w:rPr>
                <w:b/>
                <w:bCs/>
                <w:sz w:val="24"/>
                <w:szCs w:val="24"/>
              </w:rPr>
              <w:t>NPV</w:t>
            </w:r>
          </w:p>
        </w:tc>
        <w:tc>
          <w:tcPr>
            <w:tcW w:w="2205" w:type="dxa"/>
            <w:tcBorders>
              <w:top w:val="nil"/>
              <w:left w:val="nil"/>
              <w:bottom w:val="single" w:sz="6" w:space="0" w:color="999999"/>
              <w:right w:val="single" w:sz="6" w:space="0" w:color="999999"/>
            </w:tcBorders>
            <w:tcMar>
              <w:top w:w="0" w:type="dxa"/>
              <w:left w:w="100" w:type="dxa"/>
              <w:bottom w:w="0" w:type="dxa"/>
              <w:right w:w="100" w:type="dxa"/>
            </w:tcMar>
          </w:tcPr>
          <w:p w14:paraId="58859455" w14:textId="77777777" w:rsidR="00497211" w:rsidRPr="00B42029" w:rsidRDefault="00ED5807">
            <w:pPr>
              <w:spacing w:after="160" w:line="256" w:lineRule="auto"/>
              <w:jc w:val="both"/>
              <w:rPr>
                <w:sz w:val="24"/>
                <w:szCs w:val="24"/>
              </w:rPr>
            </w:pPr>
            <w:r w:rsidRPr="00B42029">
              <w:rPr>
                <w:rFonts w:eastAsia="Arial Unicode MS"/>
                <w:sz w:val="24"/>
                <w:szCs w:val="24"/>
              </w:rPr>
              <w:t>−</w:t>
            </w:r>
            <w:r w:rsidRPr="00B42029">
              <w:rPr>
                <w:rFonts w:eastAsia="Arial Unicode MS"/>
                <w:sz w:val="24"/>
                <w:szCs w:val="24"/>
              </w:rPr>
              <w:t>£6.57m</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1798722C" w14:textId="77777777" w:rsidR="00497211" w:rsidRPr="00B42029" w:rsidRDefault="00ED5807">
            <w:pPr>
              <w:spacing w:after="160" w:line="256" w:lineRule="auto"/>
              <w:jc w:val="both"/>
              <w:rPr>
                <w:sz w:val="24"/>
                <w:szCs w:val="24"/>
              </w:rPr>
            </w:pPr>
            <w:r w:rsidRPr="00B42029">
              <w:rPr>
                <w:rFonts w:eastAsia="Arial Unicode MS"/>
                <w:sz w:val="24"/>
                <w:szCs w:val="24"/>
              </w:rPr>
              <w:t>−</w:t>
            </w:r>
            <w:r w:rsidRPr="00B42029">
              <w:rPr>
                <w:rFonts w:eastAsia="Arial Unicode MS"/>
                <w:sz w:val="24"/>
                <w:szCs w:val="24"/>
              </w:rPr>
              <w:t>£6.11m</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4E60CE09" w14:textId="77777777" w:rsidR="00497211" w:rsidRPr="00B42029" w:rsidRDefault="00ED5807">
            <w:pPr>
              <w:spacing w:after="160" w:line="256" w:lineRule="auto"/>
              <w:jc w:val="both"/>
              <w:rPr>
                <w:b/>
                <w:bCs/>
                <w:sz w:val="24"/>
                <w:szCs w:val="24"/>
              </w:rPr>
            </w:pPr>
            <w:r w:rsidRPr="00B42029">
              <w:rPr>
                <w:b/>
                <w:bCs/>
                <w:sz w:val="24"/>
                <w:szCs w:val="24"/>
              </w:rPr>
              <w:t>+£0.83m</w:t>
            </w:r>
          </w:p>
        </w:tc>
        <w:tc>
          <w:tcPr>
            <w:tcW w:w="1365" w:type="dxa"/>
            <w:tcBorders>
              <w:top w:val="nil"/>
              <w:left w:val="nil"/>
              <w:bottom w:val="single" w:sz="6" w:space="0" w:color="999999"/>
              <w:right w:val="single" w:sz="6" w:space="0" w:color="999999"/>
            </w:tcBorders>
            <w:tcMar>
              <w:top w:w="0" w:type="dxa"/>
              <w:left w:w="100" w:type="dxa"/>
              <w:bottom w:w="0" w:type="dxa"/>
              <w:right w:w="100" w:type="dxa"/>
            </w:tcMar>
          </w:tcPr>
          <w:p w14:paraId="72CD171E" w14:textId="77777777" w:rsidR="00497211" w:rsidRPr="00B42029" w:rsidRDefault="00ED5807">
            <w:pPr>
              <w:spacing w:after="160" w:line="256" w:lineRule="auto"/>
              <w:jc w:val="both"/>
              <w:rPr>
                <w:b/>
                <w:bCs/>
                <w:sz w:val="24"/>
                <w:szCs w:val="24"/>
              </w:rPr>
            </w:pPr>
            <w:r w:rsidRPr="00B42029">
              <w:rPr>
                <w:b/>
                <w:bCs/>
                <w:sz w:val="24"/>
                <w:szCs w:val="24"/>
              </w:rPr>
              <w:t>C</w:t>
            </w:r>
          </w:p>
        </w:tc>
      </w:tr>
      <w:tr w:rsidR="00497211" w:rsidRPr="00B42029" w14:paraId="1FB46E11" w14:textId="77777777">
        <w:trPr>
          <w:trHeight w:val="405"/>
        </w:trPr>
        <w:tc>
          <w:tcPr>
            <w:tcW w:w="13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3DDDB97D" w14:textId="77777777" w:rsidR="00497211" w:rsidRPr="00B42029" w:rsidRDefault="00ED5807">
            <w:pPr>
              <w:spacing w:after="160" w:line="256" w:lineRule="auto"/>
              <w:jc w:val="both"/>
              <w:rPr>
                <w:b/>
                <w:bCs/>
                <w:sz w:val="24"/>
                <w:szCs w:val="24"/>
              </w:rPr>
            </w:pPr>
            <w:r w:rsidRPr="00B42029">
              <w:rPr>
                <w:b/>
                <w:bCs/>
                <w:sz w:val="24"/>
                <w:szCs w:val="24"/>
              </w:rPr>
              <w:t>PI</w:t>
            </w:r>
          </w:p>
        </w:tc>
        <w:tc>
          <w:tcPr>
            <w:tcW w:w="2205" w:type="dxa"/>
            <w:tcBorders>
              <w:top w:val="nil"/>
              <w:left w:val="nil"/>
              <w:bottom w:val="single" w:sz="6" w:space="0" w:color="999999"/>
              <w:right w:val="single" w:sz="6" w:space="0" w:color="999999"/>
            </w:tcBorders>
            <w:tcMar>
              <w:top w:w="0" w:type="dxa"/>
              <w:left w:w="100" w:type="dxa"/>
              <w:bottom w:w="0" w:type="dxa"/>
              <w:right w:w="100" w:type="dxa"/>
            </w:tcMar>
          </w:tcPr>
          <w:p w14:paraId="7E21BEEE" w14:textId="77777777" w:rsidR="00497211" w:rsidRPr="00B42029" w:rsidRDefault="00ED5807">
            <w:pPr>
              <w:spacing w:after="160" w:line="256" w:lineRule="auto"/>
              <w:jc w:val="both"/>
              <w:rPr>
                <w:sz w:val="24"/>
                <w:szCs w:val="24"/>
              </w:rPr>
            </w:pPr>
            <w:r w:rsidRPr="00B42029">
              <w:rPr>
                <w:sz w:val="24"/>
                <w:szCs w:val="24"/>
              </w:rPr>
              <w:t>0.87</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6FA6BE73" w14:textId="77777777" w:rsidR="00497211" w:rsidRPr="00B42029" w:rsidRDefault="00ED5807">
            <w:pPr>
              <w:spacing w:after="160" w:line="256" w:lineRule="auto"/>
              <w:jc w:val="both"/>
              <w:rPr>
                <w:sz w:val="24"/>
                <w:szCs w:val="24"/>
              </w:rPr>
            </w:pPr>
            <w:r w:rsidRPr="00B42029">
              <w:rPr>
                <w:sz w:val="24"/>
                <w:szCs w:val="24"/>
              </w:rPr>
              <w:t>0.88</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6AE523B5" w14:textId="77777777" w:rsidR="00497211" w:rsidRPr="00B42029" w:rsidRDefault="00ED5807">
            <w:pPr>
              <w:spacing w:after="160" w:line="256" w:lineRule="auto"/>
              <w:jc w:val="both"/>
              <w:rPr>
                <w:b/>
                <w:bCs/>
                <w:sz w:val="24"/>
                <w:szCs w:val="24"/>
              </w:rPr>
            </w:pPr>
            <w:r w:rsidRPr="00B42029">
              <w:rPr>
                <w:b/>
                <w:bCs/>
                <w:sz w:val="24"/>
                <w:szCs w:val="24"/>
              </w:rPr>
              <w:t>1.02</w:t>
            </w:r>
          </w:p>
        </w:tc>
        <w:tc>
          <w:tcPr>
            <w:tcW w:w="1365" w:type="dxa"/>
            <w:tcBorders>
              <w:top w:val="nil"/>
              <w:left w:val="nil"/>
              <w:bottom w:val="single" w:sz="6" w:space="0" w:color="999999"/>
              <w:right w:val="single" w:sz="6" w:space="0" w:color="999999"/>
            </w:tcBorders>
            <w:tcMar>
              <w:top w:w="0" w:type="dxa"/>
              <w:left w:w="100" w:type="dxa"/>
              <w:bottom w:w="0" w:type="dxa"/>
              <w:right w:w="100" w:type="dxa"/>
            </w:tcMar>
          </w:tcPr>
          <w:p w14:paraId="7397C02D" w14:textId="77777777" w:rsidR="00497211" w:rsidRPr="00B42029" w:rsidRDefault="00ED5807">
            <w:pPr>
              <w:spacing w:after="160" w:line="256" w:lineRule="auto"/>
              <w:jc w:val="both"/>
              <w:rPr>
                <w:b/>
                <w:bCs/>
                <w:sz w:val="24"/>
                <w:szCs w:val="24"/>
              </w:rPr>
            </w:pPr>
            <w:r w:rsidRPr="00B42029">
              <w:rPr>
                <w:b/>
                <w:bCs/>
                <w:sz w:val="24"/>
                <w:szCs w:val="24"/>
              </w:rPr>
              <w:t>C</w:t>
            </w:r>
          </w:p>
        </w:tc>
      </w:tr>
      <w:tr w:rsidR="00497211" w:rsidRPr="00B42029" w14:paraId="091814F2" w14:textId="77777777">
        <w:trPr>
          <w:trHeight w:val="405"/>
        </w:trPr>
        <w:tc>
          <w:tcPr>
            <w:tcW w:w="1335"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67EF556B" w14:textId="77777777" w:rsidR="00497211" w:rsidRPr="00B42029" w:rsidRDefault="00ED5807">
            <w:pPr>
              <w:spacing w:after="160" w:line="256" w:lineRule="auto"/>
              <w:jc w:val="both"/>
              <w:rPr>
                <w:b/>
                <w:bCs/>
                <w:sz w:val="24"/>
                <w:szCs w:val="24"/>
              </w:rPr>
            </w:pPr>
            <w:r w:rsidRPr="00B42029">
              <w:rPr>
                <w:b/>
                <w:bCs/>
                <w:sz w:val="24"/>
                <w:szCs w:val="24"/>
              </w:rPr>
              <w:t>IRR</w:t>
            </w:r>
          </w:p>
        </w:tc>
        <w:tc>
          <w:tcPr>
            <w:tcW w:w="2205" w:type="dxa"/>
            <w:tcBorders>
              <w:top w:val="nil"/>
              <w:left w:val="nil"/>
              <w:bottom w:val="single" w:sz="6" w:space="0" w:color="999999"/>
              <w:right w:val="single" w:sz="6" w:space="0" w:color="999999"/>
            </w:tcBorders>
            <w:tcMar>
              <w:top w:w="0" w:type="dxa"/>
              <w:left w:w="100" w:type="dxa"/>
              <w:bottom w:w="0" w:type="dxa"/>
              <w:right w:w="100" w:type="dxa"/>
            </w:tcMar>
          </w:tcPr>
          <w:p w14:paraId="63ACE281" w14:textId="77777777" w:rsidR="00497211" w:rsidRPr="00B42029" w:rsidRDefault="00ED5807">
            <w:pPr>
              <w:spacing w:after="160" w:line="256" w:lineRule="auto"/>
              <w:jc w:val="both"/>
              <w:rPr>
                <w:sz w:val="24"/>
                <w:szCs w:val="24"/>
              </w:rPr>
            </w:pPr>
            <w:r w:rsidRPr="00B42029">
              <w:rPr>
                <w:sz w:val="24"/>
                <w:szCs w:val="24"/>
              </w:rPr>
              <w:t>1.5%</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7A7A59A2" w14:textId="77777777" w:rsidR="00497211" w:rsidRPr="00B42029" w:rsidRDefault="00ED5807">
            <w:pPr>
              <w:spacing w:after="160" w:line="256" w:lineRule="auto"/>
              <w:jc w:val="both"/>
              <w:rPr>
                <w:sz w:val="24"/>
                <w:szCs w:val="24"/>
              </w:rPr>
            </w:pPr>
            <w:r w:rsidRPr="00B42029">
              <w:rPr>
                <w:sz w:val="24"/>
                <w:szCs w:val="24"/>
              </w:rPr>
              <w:t>0.9%</w:t>
            </w:r>
          </w:p>
        </w:tc>
        <w:tc>
          <w:tcPr>
            <w:tcW w:w="2040" w:type="dxa"/>
            <w:tcBorders>
              <w:top w:val="nil"/>
              <w:left w:val="nil"/>
              <w:bottom w:val="single" w:sz="6" w:space="0" w:color="999999"/>
              <w:right w:val="single" w:sz="6" w:space="0" w:color="999999"/>
            </w:tcBorders>
            <w:tcMar>
              <w:top w:w="0" w:type="dxa"/>
              <w:left w:w="100" w:type="dxa"/>
              <w:bottom w:w="0" w:type="dxa"/>
              <w:right w:w="100" w:type="dxa"/>
            </w:tcMar>
          </w:tcPr>
          <w:p w14:paraId="42CD95D6" w14:textId="77777777" w:rsidR="00497211" w:rsidRPr="00B42029" w:rsidRDefault="00ED5807">
            <w:pPr>
              <w:spacing w:after="160" w:line="256" w:lineRule="auto"/>
              <w:jc w:val="both"/>
              <w:rPr>
                <w:b/>
                <w:bCs/>
                <w:sz w:val="24"/>
                <w:szCs w:val="24"/>
              </w:rPr>
            </w:pPr>
            <w:r w:rsidRPr="00B42029">
              <w:rPr>
                <w:b/>
                <w:bCs/>
                <w:sz w:val="24"/>
                <w:szCs w:val="24"/>
              </w:rPr>
              <w:t>8.9%</w:t>
            </w:r>
          </w:p>
        </w:tc>
        <w:tc>
          <w:tcPr>
            <w:tcW w:w="1365" w:type="dxa"/>
            <w:tcBorders>
              <w:top w:val="nil"/>
              <w:left w:val="nil"/>
              <w:bottom w:val="single" w:sz="6" w:space="0" w:color="999999"/>
              <w:right w:val="single" w:sz="6" w:space="0" w:color="999999"/>
            </w:tcBorders>
            <w:tcMar>
              <w:top w:w="0" w:type="dxa"/>
              <w:left w:w="100" w:type="dxa"/>
              <w:bottom w:w="0" w:type="dxa"/>
              <w:right w:w="100" w:type="dxa"/>
            </w:tcMar>
          </w:tcPr>
          <w:p w14:paraId="63FA017D" w14:textId="77777777" w:rsidR="00497211" w:rsidRPr="00B42029" w:rsidRDefault="00ED5807">
            <w:pPr>
              <w:spacing w:after="160" w:line="256" w:lineRule="auto"/>
              <w:jc w:val="both"/>
              <w:rPr>
                <w:b/>
                <w:bCs/>
                <w:sz w:val="24"/>
                <w:szCs w:val="24"/>
              </w:rPr>
            </w:pPr>
            <w:r w:rsidRPr="00B42029">
              <w:rPr>
                <w:b/>
                <w:bCs/>
                <w:sz w:val="24"/>
                <w:szCs w:val="24"/>
              </w:rPr>
              <w:t>C</w:t>
            </w:r>
          </w:p>
        </w:tc>
      </w:tr>
    </w:tbl>
    <w:p w14:paraId="7BE8370A" w14:textId="77777777" w:rsidR="00497211" w:rsidRPr="00B42029" w:rsidRDefault="00ED5807">
      <w:pPr>
        <w:spacing w:after="160" w:line="360" w:lineRule="auto"/>
        <w:jc w:val="both"/>
        <w:rPr>
          <w:sz w:val="24"/>
          <w:szCs w:val="24"/>
        </w:rPr>
      </w:pPr>
      <w:r w:rsidRPr="00B42029">
        <w:rPr>
          <w:sz w:val="24"/>
          <w:szCs w:val="24"/>
        </w:rPr>
        <w:t>Project C is considered to be the most powerful investment according to all five methods. Nonetheless, PBP and ARR are less convincing since they overlook either discounted value or timing of cash flow. NPV offers the best value-based evaluation, and IRR offers an effective benchmark of returns.</w:t>
      </w:r>
    </w:p>
    <w:p w14:paraId="16948481" w14:textId="77777777" w:rsidR="00497211" w:rsidRPr="00B42029" w:rsidRDefault="00ED5807" w:rsidP="00C5715E">
      <w:pPr>
        <w:pStyle w:val="Heading2"/>
      </w:pPr>
      <w:bookmarkStart w:id="35" w:name="_Toc237451740"/>
      <w:r w:rsidRPr="00B42029">
        <w:t>5.9 Recommended Project</w:t>
      </w:r>
      <w:bookmarkEnd w:id="35"/>
    </w:p>
    <w:p w14:paraId="5AAC04BB" w14:textId="77777777" w:rsidR="00497211" w:rsidRPr="00B42029" w:rsidRDefault="00ED5807">
      <w:pPr>
        <w:spacing w:after="160" w:line="360" w:lineRule="auto"/>
        <w:jc w:val="both"/>
        <w:rPr>
          <w:sz w:val="24"/>
          <w:szCs w:val="24"/>
        </w:rPr>
      </w:pPr>
      <w:r w:rsidRPr="00B42029">
        <w:rPr>
          <w:sz w:val="24"/>
          <w:szCs w:val="24"/>
        </w:rPr>
        <w:t>Project C is to be chosen, sensitivity tested. It has the fastest payback at approximately 3.6 years, highest ARR at 12%, positive NPV of £0.83m, PI of 1.02 and IRR of approximately 8.9%. Its subsequent cash-flow concentration alters more forecasting risk but the project is the sole one to generate value at the 8% hurdle rate. C should also contribute towards the sustainability, customer-experience and competitive-positioning goals of Scandic, in a strategic manner.</w:t>
      </w:r>
    </w:p>
    <w:p w14:paraId="143E58CC" w14:textId="77777777" w:rsidR="00497211" w:rsidRPr="00B42029" w:rsidRDefault="00ED5807" w:rsidP="00C5715E">
      <w:pPr>
        <w:pStyle w:val="Heading2"/>
      </w:pPr>
      <w:bookmarkStart w:id="36" w:name="_Toc237451741"/>
      <w:r w:rsidRPr="00B42029">
        <w:t>5.10 Capital Rationing: £100m Budget</w:t>
      </w:r>
      <w:bookmarkEnd w:id="36"/>
    </w:p>
    <w:p w14:paraId="36E13BF0" w14:textId="77777777" w:rsidR="00497211" w:rsidRPr="00B42029" w:rsidRDefault="00ED5807">
      <w:pPr>
        <w:spacing w:after="160" w:line="360" w:lineRule="auto"/>
        <w:jc w:val="both"/>
        <w:rPr>
          <w:sz w:val="24"/>
          <w:szCs w:val="24"/>
        </w:rPr>
      </w:pPr>
      <w:r w:rsidRPr="00B42029">
        <w:rPr>
          <w:sz w:val="24"/>
          <w:szCs w:val="24"/>
        </w:rPr>
        <w:t>If Scandic must invest exactly £100m and can select two projects, combined NPVs and PIs are:</w:t>
      </w:r>
    </w:p>
    <w:tbl>
      <w:tblPr>
        <w:tblStyle w:val="a3"/>
        <w:tblW w:w="91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1575"/>
        <w:gridCol w:w="1395"/>
        <w:gridCol w:w="1560"/>
        <w:gridCol w:w="2865"/>
      </w:tblGrid>
      <w:tr w:rsidR="00497211" w:rsidRPr="00B42029" w14:paraId="004DB8B4" w14:textId="77777777">
        <w:trPr>
          <w:trHeight w:val="405"/>
        </w:trPr>
        <w:tc>
          <w:tcPr>
            <w:tcW w:w="1710" w:type="dxa"/>
            <w:tcBorders>
              <w:top w:val="single" w:sz="6" w:space="0" w:color="999999"/>
              <w:left w:val="single" w:sz="6" w:space="0" w:color="999999"/>
              <w:bottom w:val="single" w:sz="6" w:space="0" w:color="666666"/>
              <w:right w:val="single" w:sz="6" w:space="0" w:color="999999"/>
            </w:tcBorders>
            <w:tcMar>
              <w:top w:w="0" w:type="dxa"/>
              <w:left w:w="100" w:type="dxa"/>
              <w:bottom w:w="0" w:type="dxa"/>
              <w:right w:w="100" w:type="dxa"/>
            </w:tcMar>
          </w:tcPr>
          <w:p w14:paraId="79C53802" w14:textId="77777777" w:rsidR="00497211" w:rsidRPr="00B42029" w:rsidRDefault="00ED5807">
            <w:pPr>
              <w:spacing w:after="160" w:line="256" w:lineRule="auto"/>
              <w:jc w:val="both"/>
              <w:rPr>
                <w:b/>
                <w:bCs/>
                <w:sz w:val="24"/>
                <w:szCs w:val="24"/>
              </w:rPr>
            </w:pPr>
            <w:r w:rsidRPr="00B42029">
              <w:rPr>
                <w:b/>
                <w:bCs/>
                <w:sz w:val="24"/>
                <w:szCs w:val="24"/>
              </w:rPr>
              <w:t>Combination</w:t>
            </w:r>
          </w:p>
        </w:tc>
        <w:tc>
          <w:tcPr>
            <w:tcW w:w="157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1E028C0E" w14:textId="77777777" w:rsidR="00497211" w:rsidRPr="00B42029" w:rsidRDefault="00ED5807">
            <w:pPr>
              <w:spacing w:after="160" w:line="256" w:lineRule="auto"/>
              <w:jc w:val="both"/>
              <w:rPr>
                <w:b/>
                <w:bCs/>
                <w:sz w:val="24"/>
                <w:szCs w:val="24"/>
              </w:rPr>
            </w:pPr>
            <w:r w:rsidRPr="00B42029">
              <w:rPr>
                <w:b/>
                <w:bCs/>
                <w:sz w:val="24"/>
                <w:szCs w:val="24"/>
              </w:rPr>
              <w:t>Investment</w:t>
            </w:r>
          </w:p>
        </w:tc>
        <w:tc>
          <w:tcPr>
            <w:tcW w:w="139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62C3BB24" w14:textId="77777777" w:rsidR="00497211" w:rsidRPr="00B42029" w:rsidRDefault="00ED5807">
            <w:pPr>
              <w:spacing w:after="160" w:line="256" w:lineRule="auto"/>
              <w:jc w:val="both"/>
              <w:rPr>
                <w:b/>
                <w:bCs/>
                <w:sz w:val="24"/>
                <w:szCs w:val="24"/>
              </w:rPr>
            </w:pPr>
            <w:r w:rsidRPr="00B42029">
              <w:rPr>
                <w:b/>
                <w:bCs/>
                <w:sz w:val="24"/>
                <w:szCs w:val="24"/>
              </w:rPr>
              <w:t>Combined NPV</w:t>
            </w:r>
          </w:p>
        </w:tc>
        <w:tc>
          <w:tcPr>
            <w:tcW w:w="1560"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09EF4DEA" w14:textId="77777777" w:rsidR="00497211" w:rsidRPr="00B42029" w:rsidRDefault="00ED5807">
            <w:pPr>
              <w:spacing w:after="160" w:line="256" w:lineRule="auto"/>
              <w:jc w:val="both"/>
              <w:rPr>
                <w:b/>
                <w:bCs/>
                <w:sz w:val="24"/>
                <w:szCs w:val="24"/>
              </w:rPr>
            </w:pPr>
            <w:r w:rsidRPr="00B42029">
              <w:rPr>
                <w:b/>
                <w:bCs/>
                <w:sz w:val="24"/>
                <w:szCs w:val="24"/>
              </w:rPr>
              <w:t>Combined PI</w:t>
            </w:r>
          </w:p>
        </w:tc>
        <w:tc>
          <w:tcPr>
            <w:tcW w:w="2865" w:type="dxa"/>
            <w:tcBorders>
              <w:top w:val="single" w:sz="6" w:space="0" w:color="999999"/>
              <w:left w:val="nil"/>
              <w:bottom w:val="single" w:sz="6" w:space="0" w:color="666666"/>
              <w:right w:val="single" w:sz="6" w:space="0" w:color="999999"/>
            </w:tcBorders>
            <w:tcMar>
              <w:top w:w="0" w:type="dxa"/>
              <w:left w:w="100" w:type="dxa"/>
              <w:bottom w:w="0" w:type="dxa"/>
              <w:right w:w="100" w:type="dxa"/>
            </w:tcMar>
          </w:tcPr>
          <w:p w14:paraId="3C8CCAD2" w14:textId="77777777" w:rsidR="00497211" w:rsidRPr="00B42029" w:rsidRDefault="00ED5807">
            <w:pPr>
              <w:spacing w:after="160" w:line="256" w:lineRule="auto"/>
              <w:jc w:val="both"/>
              <w:rPr>
                <w:b/>
                <w:bCs/>
                <w:sz w:val="24"/>
                <w:szCs w:val="24"/>
              </w:rPr>
            </w:pPr>
            <w:r w:rsidRPr="00B42029">
              <w:rPr>
                <w:b/>
                <w:bCs/>
                <w:sz w:val="24"/>
                <w:szCs w:val="24"/>
              </w:rPr>
              <w:t>Recommendation</w:t>
            </w:r>
          </w:p>
        </w:tc>
      </w:tr>
      <w:tr w:rsidR="00497211" w:rsidRPr="00B42029" w14:paraId="04175FD3" w14:textId="77777777">
        <w:trPr>
          <w:trHeight w:val="405"/>
        </w:trPr>
        <w:tc>
          <w:tcPr>
            <w:tcW w:w="1710"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40B37FC6" w14:textId="77777777" w:rsidR="00497211" w:rsidRPr="00B42029" w:rsidRDefault="00ED5807">
            <w:pPr>
              <w:spacing w:after="160" w:line="256" w:lineRule="auto"/>
              <w:jc w:val="both"/>
              <w:rPr>
                <w:b/>
                <w:bCs/>
                <w:sz w:val="24"/>
                <w:szCs w:val="24"/>
              </w:rPr>
            </w:pPr>
            <w:r w:rsidRPr="00B42029">
              <w:rPr>
                <w:b/>
                <w:bCs/>
                <w:sz w:val="24"/>
                <w:szCs w:val="24"/>
              </w:rPr>
              <w:t>A + B</w:t>
            </w:r>
          </w:p>
        </w:tc>
        <w:tc>
          <w:tcPr>
            <w:tcW w:w="1575" w:type="dxa"/>
            <w:tcBorders>
              <w:top w:val="nil"/>
              <w:left w:val="nil"/>
              <w:bottom w:val="single" w:sz="6" w:space="0" w:color="999999"/>
              <w:right w:val="single" w:sz="6" w:space="0" w:color="999999"/>
            </w:tcBorders>
            <w:tcMar>
              <w:top w:w="0" w:type="dxa"/>
              <w:left w:w="100" w:type="dxa"/>
              <w:bottom w:w="0" w:type="dxa"/>
              <w:right w:w="100" w:type="dxa"/>
            </w:tcMar>
          </w:tcPr>
          <w:p w14:paraId="4139931E" w14:textId="77777777" w:rsidR="00497211" w:rsidRPr="00B42029" w:rsidRDefault="00ED5807">
            <w:pPr>
              <w:spacing w:after="160" w:line="256" w:lineRule="auto"/>
              <w:jc w:val="both"/>
              <w:rPr>
                <w:sz w:val="24"/>
                <w:szCs w:val="24"/>
              </w:rPr>
            </w:pPr>
            <w:r w:rsidRPr="00B42029">
              <w:rPr>
                <w:sz w:val="24"/>
                <w:szCs w:val="24"/>
              </w:rPr>
              <w:t>£100m</w:t>
            </w:r>
          </w:p>
        </w:tc>
        <w:tc>
          <w:tcPr>
            <w:tcW w:w="1395" w:type="dxa"/>
            <w:tcBorders>
              <w:top w:val="nil"/>
              <w:left w:val="nil"/>
              <w:bottom w:val="single" w:sz="6" w:space="0" w:color="999999"/>
              <w:right w:val="single" w:sz="6" w:space="0" w:color="999999"/>
            </w:tcBorders>
            <w:tcMar>
              <w:top w:w="0" w:type="dxa"/>
              <w:left w:w="100" w:type="dxa"/>
              <w:bottom w:w="0" w:type="dxa"/>
              <w:right w:w="100" w:type="dxa"/>
            </w:tcMar>
          </w:tcPr>
          <w:p w14:paraId="58CDB300" w14:textId="77777777" w:rsidR="00497211" w:rsidRPr="00B42029" w:rsidRDefault="00ED5807">
            <w:pPr>
              <w:spacing w:after="160" w:line="256" w:lineRule="auto"/>
              <w:jc w:val="both"/>
              <w:rPr>
                <w:b/>
                <w:bCs/>
                <w:sz w:val="24"/>
                <w:szCs w:val="24"/>
              </w:rPr>
            </w:pPr>
            <w:r w:rsidRPr="00B42029">
              <w:rPr>
                <w:rFonts w:eastAsia="Arial Unicode MS"/>
                <w:b/>
                <w:bCs/>
                <w:sz w:val="24"/>
                <w:szCs w:val="24"/>
              </w:rPr>
              <w:t>−</w:t>
            </w:r>
            <w:r w:rsidRPr="00B42029">
              <w:rPr>
                <w:rFonts w:eastAsia="Arial Unicode MS"/>
                <w:b/>
                <w:bCs/>
                <w:sz w:val="24"/>
                <w:szCs w:val="24"/>
              </w:rPr>
              <w:t>£12.68m</w:t>
            </w:r>
          </w:p>
        </w:tc>
        <w:tc>
          <w:tcPr>
            <w:tcW w:w="1560" w:type="dxa"/>
            <w:tcBorders>
              <w:top w:val="nil"/>
              <w:left w:val="nil"/>
              <w:bottom w:val="single" w:sz="6" w:space="0" w:color="999999"/>
              <w:right w:val="single" w:sz="6" w:space="0" w:color="999999"/>
            </w:tcBorders>
            <w:tcMar>
              <w:top w:w="0" w:type="dxa"/>
              <w:left w:w="100" w:type="dxa"/>
              <w:bottom w:w="0" w:type="dxa"/>
              <w:right w:w="100" w:type="dxa"/>
            </w:tcMar>
          </w:tcPr>
          <w:p w14:paraId="6658DD51" w14:textId="77777777" w:rsidR="00497211" w:rsidRPr="00B42029" w:rsidRDefault="00ED5807">
            <w:pPr>
              <w:spacing w:after="160" w:line="256" w:lineRule="auto"/>
              <w:jc w:val="both"/>
              <w:rPr>
                <w:b/>
                <w:bCs/>
                <w:sz w:val="24"/>
                <w:szCs w:val="24"/>
              </w:rPr>
            </w:pPr>
            <w:r w:rsidRPr="00B42029">
              <w:rPr>
                <w:b/>
                <w:bCs/>
                <w:sz w:val="24"/>
                <w:szCs w:val="24"/>
              </w:rPr>
              <w:t>0.87</w:t>
            </w:r>
          </w:p>
        </w:tc>
        <w:tc>
          <w:tcPr>
            <w:tcW w:w="2865" w:type="dxa"/>
            <w:tcBorders>
              <w:top w:val="nil"/>
              <w:left w:val="nil"/>
              <w:bottom w:val="single" w:sz="6" w:space="0" w:color="999999"/>
              <w:right w:val="single" w:sz="6" w:space="0" w:color="999999"/>
            </w:tcBorders>
            <w:tcMar>
              <w:top w:w="0" w:type="dxa"/>
              <w:left w:w="100" w:type="dxa"/>
              <w:bottom w:w="0" w:type="dxa"/>
              <w:right w:w="100" w:type="dxa"/>
            </w:tcMar>
          </w:tcPr>
          <w:p w14:paraId="7A2F4FDA" w14:textId="77777777" w:rsidR="00497211" w:rsidRPr="00B42029" w:rsidRDefault="00ED5807">
            <w:pPr>
              <w:spacing w:after="160" w:line="256" w:lineRule="auto"/>
              <w:jc w:val="both"/>
              <w:rPr>
                <w:sz w:val="24"/>
                <w:szCs w:val="24"/>
              </w:rPr>
            </w:pPr>
            <w:r w:rsidRPr="00B42029">
              <w:rPr>
                <w:sz w:val="24"/>
                <w:szCs w:val="24"/>
              </w:rPr>
              <w:t>Reject</w:t>
            </w:r>
          </w:p>
        </w:tc>
      </w:tr>
      <w:tr w:rsidR="00497211" w:rsidRPr="00B42029" w14:paraId="1522E908" w14:textId="77777777">
        <w:trPr>
          <w:trHeight w:val="405"/>
        </w:trPr>
        <w:tc>
          <w:tcPr>
            <w:tcW w:w="1710"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0FC3DE6C" w14:textId="77777777" w:rsidR="00497211" w:rsidRPr="00B42029" w:rsidRDefault="00ED5807">
            <w:pPr>
              <w:spacing w:after="160" w:line="256" w:lineRule="auto"/>
              <w:jc w:val="both"/>
              <w:rPr>
                <w:b/>
                <w:bCs/>
                <w:sz w:val="24"/>
                <w:szCs w:val="24"/>
              </w:rPr>
            </w:pPr>
            <w:r w:rsidRPr="00B42029">
              <w:rPr>
                <w:b/>
                <w:bCs/>
                <w:sz w:val="24"/>
                <w:szCs w:val="24"/>
              </w:rPr>
              <w:t>A + C</w:t>
            </w:r>
          </w:p>
        </w:tc>
        <w:tc>
          <w:tcPr>
            <w:tcW w:w="1575" w:type="dxa"/>
            <w:tcBorders>
              <w:top w:val="nil"/>
              <w:left w:val="nil"/>
              <w:bottom w:val="single" w:sz="6" w:space="0" w:color="999999"/>
              <w:right w:val="single" w:sz="6" w:space="0" w:color="999999"/>
            </w:tcBorders>
            <w:tcMar>
              <w:top w:w="0" w:type="dxa"/>
              <w:left w:w="100" w:type="dxa"/>
              <w:bottom w:w="0" w:type="dxa"/>
              <w:right w:w="100" w:type="dxa"/>
            </w:tcMar>
          </w:tcPr>
          <w:p w14:paraId="6838949F" w14:textId="77777777" w:rsidR="00497211" w:rsidRPr="00B42029" w:rsidRDefault="00ED5807">
            <w:pPr>
              <w:spacing w:after="160" w:line="256" w:lineRule="auto"/>
              <w:jc w:val="both"/>
              <w:rPr>
                <w:sz w:val="24"/>
                <w:szCs w:val="24"/>
              </w:rPr>
            </w:pPr>
            <w:r w:rsidRPr="00B42029">
              <w:rPr>
                <w:sz w:val="24"/>
                <w:szCs w:val="24"/>
              </w:rPr>
              <w:t>£100m</w:t>
            </w:r>
          </w:p>
        </w:tc>
        <w:tc>
          <w:tcPr>
            <w:tcW w:w="1395" w:type="dxa"/>
            <w:tcBorders>
              <w:top w:val="nil"/>
              <w:left w:val="nil"/>
              <w:bottom w:val="single" w:sz="6" w:space="0" w:color="999999"/>
              <w:right w:val="single" w:sz="6" w:space="0" w:color="999999"/>
            </w:tcBorders>
            <w:tcMar>
              <w:top w:w="0" w:type="dxa"/>
              <w:left w:w="100" w:type="dxa"/>
              <w:bottom w:w="0" w:type="dxa"/>
              <w:right w:w="100" w:type="dxa"/>
            </w:tcMar>
          </w:tcPr>
          <w:p w14:paraId="5DAA8B3A" w14:textId="77777777" w:rsidR="00497211" w:rsidRPr="00B42029" w:rsidRDefault="00ED5807">
            <w:pPr>
              <w:spacing w:after="160" w:line="256" w:lineRule="auto"/>
              <w:jc w:val="both"/>
              <w:rPr>
                <w:b/>
                <w:bCs/>
                <w:sz w:val="24"/>
                <w:szCs w:val="24"/>
              </w:rPr>
            </w:pPr>
            <w:r w:rsidRPr="00B42029">
              <w:rPr>
                <w:rFonts w:eastAsia="Arial Unicode MS"/>
                <w:b/>
                <w:bCs/>
                <w:sz w:val="24"/>
                <w:szCs w:val="24"/>
              </w:rPr>
              <w:t>−</w:t>
            </w:r>
            <w:r w:rsidRPr="00B42029">
              <w:rPr>
                <w:rFonts w:eastAsia="Arial Unicode MS"/>
                <w:b/>
                <w:bCs/>
                <w:sz w:val="24"/>
                <w:szCs w:val="24"/>
              </w:rPr>
              <w:t>£5.74m</w:t>
            </w:r>
          </w:p>
        </w:tc>
        <w:tc>
          <w:tcPr>
            <w:tcW w:w="1560" w:type="dxa"/>
            <w:tcBorders>
              <w:top w:val="nil"/>
              <w:left w:val="nil"/>
              <w:bottom w:val="single" w:sz="6" w:space="0" w:color="999999"/>
              <w:right w:val="single" w:sz="6" w:space="0" w:color="999999"/>
            </w:tcBorders>
            <w:tcMar>
              <w:top w:w="0" w:type="dxa"/>
              <w:left w:w="100" w:type="dxa"/>
              <w:bottom w:w="0" w:type="dxa"/>
              <w:right w:w="100" w:type="dxa"/>
            </w:tcMar>
          </w:tcPr>
          <w:p w14:paraId="72AC0663" w14:textId="77777777" w:rsidR="00497211" w:rsidRPr="00B42029" w:rsidRDefault="00ED5807">
            <w:pPr>
              <w:spacing w:after="160" w:line="256" w:lineRule="auto"/>
              <w:jc w:val="both"/>
              <w:rPr>
                <w:b/>
                <w:bCs/>
                <w:sz w:val="24"/>
                <w:szCs w:val="24"/>
              </w:rPr>
            </w:pPr>
            <w:r w:rsidRPr="00B42029">
              <w:rPr>
                <w:b/>
                <w:bCs/>
                <w:sz w:val="24"/>
                <w:szCs w:val="24"/>
              </w:rPr>
              <w:t>0.94</w:t>
            </w:r>
          </w:p>
        </w:tc>
        <w:tc>
          <w:tcPr>
            <w:tcW w:w="2865" w:type="dxa"/>
            <w:tcBorders>
              <w:top w:val="nil"/>
              <w:left w:val="nil"/>
              <w:bottom w:val="single" w:sz="6" w:space="0" w:color="999999"/>
              <w:right w:val="single" w:sz="6" w:space="0" w:color="999999"/>
            </w:tcBorders>
            <w:tcMar>
              <w:top w:w="0" w:type="dxa"/>
              <w:left w:w="100" w:type="dxa"/>
              <w:bottom w:w="0" w:type="dxa"/>
              <w:right w:w="100" w:type="dxa"/>
            </w:tcMar>
          </w:tcPr>
          <w:p w14:paraId="4C7DE765" w14:textId="77777777" w:rsidR="00497211" w:rsidRPr="00B42029" w:rsidRDefault="00ED5807">
            <w:pPr>
              <w:spacing w:after="160" w:line="256" w:lineRule="auto"/>
              <w:jc w:val="both"/>
              <w:rPr>
                <w:sz w:val="24"/>
                <w:szCs w:val="24"/>
              </w:rPr>
            </w:pPr>
            <w:r w:rsidRPr="00B42029">
              <w:rPr>
                <w:sz w:val="24"/>
                <w:szCs w:val="24"/>
              </w:rPr>
              <w:t>Reject</w:t>
            </w:r>
          </w:p>
        </w:tc>
      </w:tr>
      <w:tr w:rsidR="00497211" w:rsidRPr="00B42029" w14:paraId="62ED77D1" w14:textId="77777777">
        <w:trPr>
          <w:trHeight w:val="405"/>
        </w:trPr>
        <w:tc>
          <w:tcPr>
            <w:tcW w:w="1710" w:type="dxa"/>
            <w:tcBorders>
              <w:top w:val="nil"/>
              <w:left w:val="single" w:sz="6" w:space="0" w:color="999999"/>
              <w:bottom w:val="single" w:sz="6" w:space="0" w:color="999999"/>
              <w:right w:val="single" w:sz="6" w:space="0" w:color="999999"/>
            </w:tcBorders>
            <w:tcMar>
              <w:top w:w="0" w:type="dxa"/>
              <w:left w:w="100" w:type="dxa"/>
              <w:bottom w:w="0" w:type="dxa"/>
              <w:right w:w="100" w:type="dxa"/>
            </w:tcMar>
          </w:tcPr>
          <w:p w14:paraId="77529B7D" w14:textId="77777777" w:rsidR="00497211" w:rsidRPr="00B42029" w:rsidRDefault="00ED5807">
            <w:pPr>
              <w:spacing w:after="160" w:line="256" w:lineRule="auto"/>
              <w:jc w:val="both"/>
              <w:rPr>
                <w:b/>
                <w:bCs/>
                <w:sz w:val="24"/>
                <w:szCs w:val="24"/>
              </w:rPr>
            </w:pPr>
            <w:r w:rsidRPr="00B42029">
              <w:rPr>
                <w:b/>
                <w:bCs/>
                <w:sz w:val="24"/>
                <w:szCs w:val="24"/>
              </w:rPr>
              <w:t>B + C</w:t>
            </w:r>
          </w:p>
        </w:tc>
        <w:tc>
          <w:tcPr>
            <w:tcW w:w="1575" w:type="dxa"/>
            <w:tcBorders>
              <w:top w:val="nil"/>
              <w:left w:val="nil"/>
              <w:bottom w:val="single" w:sz="6" w:space="0" w:color="999999"/>
              <w:right w:val="single" w:sz="6" w:space="0" w:color="999999"/>
            </w:tcBorders>
            <w:tcMar>
              <w:top w:w="0" w:type="dxa"/>
              <w:left w:w="100" w:type="dxa"/>
              <w:bottom w:w="0" w:type="dxa"/>
              <w:right w:w="100" w:type="dxa"/>
            </w:tcMar>
          </w:tcPr>
          <w:p w14:paraId="37240478" w14:textId="77777777" w:rsidR="00497211" w:rsidRPr="00B42029" w:rsidRDefault="00ED5807">
            <w:pPr>
              <w:spacing w:after="160" w:line="256" w:lineRule="auto"/>
              <w:jc w:val="both"/>
              <w:rPr>
                <w:sz w:val="24"/>
                <w:szCs w:val="24"/>
              </w:rPr>
            </w:pPr>
            <w:r w:rsidRPr="00B42029">
              <w:rPr>
                <w:sz w:val="24"/>
                <w:szCs w:val="24"/>
              </w:rPr>
              <w:t>£100m</w:t>
            </w:r>
          </w:p>
        </w:tc>
        <w:tc>
          <w:tcPr>
            <w:tcW w:w="1395" w:type="dxa"/>
            <w:tcBorders>
              <w:top w:val="nil"/>
              <w:left w:val="nil"/>
              <w:bottom w:val="single" w:sz="6" w:space="0" w:color="999999"/>
              <w:right w:val="single" w:sz="6" w:space="0" w:color="999999"/>
            </w:tcBorders>
            <w:tcMar>
              <w:top w:w="0" w:type="dxa"/>
              <w:left w:w="100" w:type="dxa"/>
              <w:bottom w:w="0" w:type="dxa"/>
              <w:right w:w="100" w:type="dxa"/>
            </w:tcMar>
          </w:tcPr>
          <w:p w14:paraId="7BCC4562" w14:textId="77777777" w:rsidR="00497211" w:rsidRPr="00B42029" w:rsidRDefault="00ED5807">
            <w:pPr>
              <w:spacing w:after="160" w:line="256" w:lineRule="auto"/>
              <w:jc w:val="both"/>
              <w:rPr>
                <w:b/>
                <w:bCs/>
                <w:sz w:val="24"/>
                <w:szCs w:val="24"/>
              </w:rPr>
            </w:pPr>
            <w:r w:rsidRPr="00B42029">
              <w:rPr>
                <w:rFonts w:eastAsia="Arial Unicode MS"/>
                <w:b/>
                <w:bCs/>
                <w:sz w:val="24"/>
                <w:szCs w:val="24"/>
              </w:rPr>
              <w:t>−</w:t>
            </w:r>
            <w:r w:rsidRPr="00B42029">
              <w:rPr>
                <w:rFonts w:eastAsia="Arial Unicode MS"/>
                <w:b/>
                <w:bCs/>
                <w:sz w:val="24"/>
                <w:szCs w:val="24"/>
              </w:rPr>
              <w:t>£5.28m</w:t>
            </w:r>
          </w:p>
        </w:tc>
        <w:tc>
          <w:tcPr>
            <w:tcW w:w="1560" w:type="dxa"/>
            <w:tcBorders>
              <w:top w:val="nil"/>
              <w:left w:val="nil"/>
              <w:bottom w:val="single" w:sz="6" w:space="0" w:color="999999"/>
              <w:right w:val="single" w:sz="6" w:space="0" w:color="999999"/>
            </w:tcBorders>
            <w:tcMar>
              <w:top w:w="0" w:type="dxa"/>
              <w:left w:w="100" w:type="dxa"/>
              <w:bottom w:w="0" w:type="dxa"/>
              <w:right w:w="100" w:type="dxa"/>
            </w:tcMar>
          </w:tcPr>
          <w:p w14:paraId="668EBFFA" w14:textId="77777777" w:rsidR="00497211" w:rsidRPr="00B42029" w:rsidRDefault="00ED5807">
            <w:pPr>
              <w:spacing w:after="160" w:line="256" w:lineRule="auto"/>
              <w:jc w:val="both"/>
              <w:rPr>
                <w:b/>
                <w:bCs/>
                <w:sz w:val="24"/>
                <w:szCs w:val="24"/>
              </w:rPr>
            </w:pPr>
            <w:r w:rsidRPr="00B42029">
              <w:rPr>
                <w:b/>
                <w:bCs/>
                <w:sz w:val="24"/>
                <w:szCs w:val="24"/>
              </w:rPr>
              <w:t>0.95</w:t>
            </w:r>
          </w:p>
        </w:tc>
        <w:tc>
          <w:tcPr>
            <w:tcW w:w="2865" w:type="dxa"/>
            <w:tcBorders>
              <w:top w:val="nil"/>
              <w:left w:val="nil"/>
              <w:bottom w:val="single" w:sz="6" w:space="0" w:color="999999"/>
              <w:right w:val="single" w:sz="6" w:space="0" w:color="999999"/>
            </w:tcBorders>
            <w:tcMar>
              <w:top w:w="0" w:type="dxa"/>
              <w:left w:w="100" w:type="dxa"/>
              <w:bottom w:w="0" w:type="dxa"/>
              <w:right w:w="100" w:type="dxa"/>
            </w:tcMar>
          </w:tcPr>
          <w:p w14:paraId="0D67D1EF" w14:textId="77777777" w:rsidR="00497211" w:rsidRPr="00B42029" w:rsidRDefault="00ED5807">
            <w:pPr>
              <w:spacing w:after="160" w:line="256" w:lineRule="auto"/>
              <w:jc w:val="both"/>
              <w:rPr>
                <w:b/>
                <w:bCs/>
                <w:sz w:val="24"/>
                <w:szCs w:val="24"/>
              </w:rPr>
            </w:pPr>
            <w:r w:rsidRPr="00B42029">
              <w:rPr>
                <w:b/>
                <w:bCs/>
                <w:sz w:val="24"/>
                <w:szCs w:val="24"/>
              </w:rPr>
              <w:t>Least unattractive</w:t>
            </w:r>
          </w:p>
        </w:tc>
      </w:tr>
    </w:tbl>
    <w:p w14:paraId="4B1A7D65" w14:textId="77777777" w:rsidR="00497211" w:rsidRPr="00B42029" w:rsidRDefault="00ED5807">
      <w:pPr>
        <w:spacing w:line="360" w:lineRule="auto"/>
        <w:jc w:val="both"/>
        <w:rPr>
          <w:sz w:val="24"/>
          <w:szCs w:val="24"/>
        </w:rPr>
      </w:pPr>
      <w:r w:rsidRPr="00B42029">
        <w:rPr>
          <w:sz w:val="24"/>
          <w:szCs w:val="24"/>
        </w:rPr>
        <w:t xml:space="preserve">B + C will have the maximum combined NPV and PI, but a negative combined NPV. So, when two projects are obligatory B + C would be more mathematically appropriate, but Scandic should not spend all the money, and use full £100m just because it is available. The value creation should be prioritised in capital rationing, and when the </w:t>
      </w:r>
      <w:r w:rsidRPr="00B42029">
        <w:rPr>
          <w:sz w:val="24"/>
          <w:szCs w:val="24"/>
        </w:rPr>
        <w:lastRenderedPageBreak/>
        <w:t>combined NPV is negative, the decision to take only Project C and keep the rest of the capital could be better financially (</w:t>
      </w:r>
      <w:proofErr w:type="spellStart"/>
      <w:r w:rsidRPr="00B42029">
        <w:rPr>
          <w:sz w:val="24"/>
          <w:szCs w:val="24"/>
        </w:rPr>
        <w:t>Suijs</w:t>
      </w:r>
      <w:proofErr w:type="spellEnd"/>
      <w:r w:rsidRPr="00B42029">
        <w:rPr>
          <w:sz w:val="24"/>
          <w:szCs w:val="24"/>
        </w:rPr>
        <w:t xml:space="preserve"> and Yang, 2022).</w:t>
      </w:r>
    </w:p>
    <w:p w14:paraId="524957D1" w14:textId="77777777" w:rsidR="00497211" w:rsidRPr="00B42029" w:rsidRDefault="00ED5807" w:rsidP="00C5715E">
      <w:pPr>
        <w:pStyle w:val="Heading2"/>
      </w:pPr>
      <w:bookmarkStart w:id="37" w:name="_Toc237451742"/>
      <w:r w:rsidRPr="00B42029">
        <w:t>5.11 Investment Risks and Sensitivity</w:t>
      </w:r>
      <w:bookmarkEnd w:id="37"/>
      <w:r w:rsidRPr="00B42029">
        <w:t xml:space="preserve"> </w:t>
      </w:r>
    </w:p>
    <w:p w14:paraId="62BADBBE" w14:textId="6D184A79" w:rsidR="00497211" w:rsidRPr="00B42029" w:rsidRDefault="00ED5807">
      <w:pPr>
        <w:spacing w:line="360" w:lineRule="auto"/>
        <w:jc w:val="both"/>
        <w:rPr>
          <w:sz w:val="24"/>
          <w:szCs w:val="24"/>
        </w:rPr>
      </w:pPr>
      <w:r w:rsidRPr="00B42029">
        <w:rPr>
          <w:sz w:val="24"/>
          <w:szCs w:val="24"/>
        </w:rPr>
        <w:t>Project C's positive £0.83m NPV is relatively small, making the investment sensitive to adverse changes in cash flows. The most common are demand volatility, inflation, interest rates, currency fluctuations, political/regulatory changes, construction overruns and evolving customer preference. Corporate financial decisions and cash-flow deployment may also be influenced by economic policy uncertainty (</w:t>
      </w:r>
      <w:proofErr w:type="spellStart"/>
      <w:r w:rsidRPr="00B42029">
        <w:rPr>
          <w:sz w:val="24"/>
          <w:szCs w:val="24"/>
        </w:rPr>
        <w:t>Maquieira</w:t>
      </w:r>
      <w:proofErr w:type="spellEnd"/>
      <w:r w:rsidRPr="00B42029">
        <w:rPr>
          <w:sz w:val="24"/>
          <w:szCs w:val="24"/>
        </w:rPr>
        <w:t xml:space="preserve"> </w:t>
      </w:r>
      <w:r w:rsidR="00B42029" w:rsidRPr="00B42029">
        <w:rPr>
          <w:i/>
          <w:iCs/>
          <w:sz w:val="24"/>
          <w:szCs w:val="24"/>
        </w:rPr>
        <w:t>et al.</w:t>
      </w:r>
      <w:r w:rsidRPr="00B42029">
        <w:rPr>
          <w:sz w:val="24"/>
          <w:szCs w:val="24"/>
        </w:rPr>
        <w:t>, 2023). Scandic ought to then conduct scenario and sensitivity analysis by changing occupancy, room rates, operating costs, investment costs and the discount rate. The weak market conditions may dictate a downside scenario that would declare C a value-creating.</w:t>
      </w:r>
    </w:p>
    <w:p w14:paraId="358CFAAA" w14:textId="77777777" w:rsidR="00497211" w:rsidRPr="00B42029" w:rsidRDefault="00ED5807">
      <w:pPr>
        <w:spacing w:line="360" w:lineRule="auto"/>
        <w:jc w:val="both"/>
        <w:rPr>
          <w:sz w:val="24"/>
          <w:szCs w:val="24"/>
        </w:rPr>
      </w:pPr>
      <w:r w:rsidRPr="00B42029">
        <w:rPr>
          <w:sz w:val="24"/>
          <w:szCs w:val="24"/>
        </w:rPr>
        <w:t xml:space="preserve"> </w:t>
      </w:r>
    </w:p>
    <w:p w14:paraId="7C792226" w14:textId="77777777" w:rsidR="00497211" w:rsidRPr="00B42029" w:rsidRDefault="00ED5807" w:rsidP="00C5715E">
      <w:pPr>
        <w:pStyle w:val="Heading1"/>
      </w:pPr>
      <w:bookmarkStart w:id="38" w:name="_Toc237451743"/>
      <w:r w:rsidRPr="00B42029">
        <w:t>6. Critical Reflection on AI Usage</w:t>
      </w:r>
      <w:bookmarkEnd w:id="38"/>
    </w:p>
    <w:p w14:paraId="4E1FF634" w14:textId="77777777" w:rsidR="00497211" w:rsidRPr="00B42029" w:rsidRDefault="00ED5807" w:rsidP="00C5715E">
      <w:pPr>
        <w:pStyle w:val="Heading2"/>
      </w:pPr>
      <w:bookmarkStart w:id="39" w:name="_Toc237451744"/>
      <w:r w:rsidRPr="00B42029">
        <w:t>6.1 AI Tool Disclosure</w:t>
      </w:r>
      <w:bookmarkEnd w:id="39"/>
      <w:r w:rsidRPr="00B42029">
        <w:t xml:space="preserve"> </w:t>
      </w:r>
    </w:p>
    <w:p w14:paraId="3B350008" w14:textId="77777777" w:rsidR="00497211" w:rsidRPr="00B42029" w:rsidRDefault="00ED5807">
      <w:pPr>
        <w:spacing w:line="360" w:lineRule="auto"/>
        <w:jc w:val="both"/>
        <w:rPr>
          <w:sz w:val="24"/>
          <w:szCs w:val="24"/>
        </w:rPr>
      </w:pPr>
      <w:r w:rsidRPr="00B42029">
        <w:rPr>
          <w:sz w:val="24"/>
          <w:szCs w:val="24"/>
        </w:rPr>
        <w:t>I have been using Microsoft Excel to format the financial data, calculations and assessment of the accuracy of the financial ratios and the investment-appraisal results. I also applied ChatGPT as a brainstorming/structuring tool to come up with ideas regarding how the report should be structured and presented with the financial analysis. Independent reviews and development of the final analysis and judgements were carried out.</w:t>
      </w:r>
    </w:p>
    <w:p w14:paraId="7B4F1642" w14:textId="77777777" w:rsidR="00497211" w:rsidRPr="00B42029" w:rsidRDefault="00ED5807" w:rsidP="00C5715E">
      <w:pPr>
        <w:pStyle w:val="Heading2"/>
      </w:pPr>
      <w:bookmarkStart w:id="40" w:name="_Toc237451745"/>
      <w:r w:rsidRPr="00B42029">
        <w:t>6.2 Critical Evaluation and Verification</w:t>
      </w:r>
      <w:bookmarkEnd w:id="40"/>
    </w:p>
    <w:p w14:paraId="2415DCA3" w14:textId="77777777" w:rsidR="00497211" w:rsidRPr="00B42029" w:rsidRDefault="00ED5807">
      <w:pPr>
        <w:spacing w:line="360" w:lineRule="auto"/>
        <w:jc w:val="both"/>
        <w:rPr>
          <w:sz w:val="24"/>
          <w:szCs w:val="24"/>
        </w:rPr>
      </w:pPr>
      <w:r w:rsidRPr="00B42029">
        <w:rPr>
          <w:sz w:val="24"/>
          <w:szCs w:val="24"/>
        </w:rPr>
        <w:t xml:space="preserve">I assumed AI-suggestions as initial indications and not a proven fact. I compared the financial information with original annual reports of Scandic and re-calculated the financial ratios and results of investment appraisal independently in the Excel. I also verified the formulas and interpretation with academic literature of finance before I included them in the report. This verification was necessary as generative AI has the capacity to generate convincing yet untrue information, especially in the case of </w:t>
      </w:r>
      <w:r w:rsidRPr="00B42029">
        <w:rPr>
          <w:sz w:val="24"/>
          <w:szCs w:val="24"/>
        </w:rPr>
        <w:t>financial data and technical computations (</w:t>
      </w:r>
      <w:proofErr w:type="spellStart"/>
      <w:r w:rsidRPr="00B42029">
        <w:rPr>
          <w:sz w:val="24"/>
          <w:szCs w:val="24"/>
        </w:rPr>
        <w:t>Henestrosa</w:t>
      </w:r>
      <w:proofErr w:type="spellEnd"/>
      <w:r w:rsidRPr="00B42029">
        <w:rPr>
          <w:sz w:val="24"/>
          <w:szCs w:val="24"/>
        </w:rPr>
        <w:t xml:space="preserve"> and Kimmerle, 2025). E.g. AI might be used to give a wrong figure of financial nature, misunderstand a ratio or give </w:t>
      </w:r>
      <w:r w:rsidRPr="00B42029">
        <w:rPr>
          <w:sz w:val="24"/>
          <w:szCs w:val="24"/>
        </w:rPr>
        <w:lastRenderedPageBreak/>
        <w:t>a wrong NPV or IRR. I thus matched outputs with the evidence on the ground and eliminated unsubstantiated claims. This has helped me to be efficient in using AI without compromising accuracy, reliability and academic integrity in my financial analysis.</w:t>
      </w:r>
    </w:p>
    <w:p w14:paraId="75BE1A06" w14:textId="08456B60" w:rsidR="00497211" w:rsidRPr="00B42029" w:rsidRDefault="00ED5807" w:rsidP="00C5715E">
      <w:pPr>
        <w:pStyle w:val="Heading2"/>
      </w:pPr>
      <w:bookmarkStart w:id="41" w:name="_Toc237451746"/>
      <w:r w:rsidRPr="00B42029">
        <w:t>6.3 Contribution of AI vs Original Analysis</w:t>
      </w:r>
      <w:bookmarkEnd w:id="41"/>
    </w:p>
    <w:p w14:paraId="18F95CF5" w14:textId="5D5F75E4" w:rsidR="00497211" w:rsidRPr="00B42029" w:rsidRDefault="00ED5807">
      <w:pPr>
        <w:spacing w:line="360" w:lineRule="auto"/>
        <w:jc w:val="both"/>
        <w:rPr>
          <w:sz w:val="24"/>
          <w:szCs w:val="24"/>
        </w:rPr>
      </w:pPr>
      <w:r w:rsidRPr="00B42029">
        <w:rPr>
          <w:sz w:val="24"/>
          <w:szCs w:val="24"/>
        </w:rPr>
        <w:t xml:space="preserve">ChatGPT helped primarily with primary brainstorming and structuring of the report. I also used it to get the notions of how the financial analysis might be structured, and how the various sections might be logically linked. It also made me think of the possible ways of presenting financial concepts. </w:t>
      </w:r>
      <w:r w:rsidR="00B42029" w:rsidRPr="00B42029">
        <w:rPr>
          <w:sz w:val="24"/>
          <w:szCs w:val="24"/>
        </w:rPr>
        <w:t>But</w:t>
      </w:r>
      <w:r w:rsidRPr="00B42029">
        <w:rPr>
          <w:sz w:val="24"/>
          <w:szCs w:val="24"/>
        </w:rPr>
        <w:t xml:space="preserve"> substantive analysis was my task. I chose Scandic, gathered the annual-report data, input the financial data into Excel and computed the ratios and investment-appraisal metrics on my own. I understood the financial performance, evaluated alternative financing and restructuring, and formed the ultimate investment and strategic suggestions. I also checked and amended the proposed structure to make sure that it was representative of the assessment requirements. As such, I applied AI as an analytical aid and b</w:t>
      </w:r>
      <w:r w:rsidRPr="00B42029">
        <w:rPr>
          <w:sz w:val="24"/>
          <w:szCs w:val="24"/>
        </w:rPr>
        <w:t>rainstormer, and not as a replacement to my financial experience and critical assessment.</w:t>
      </w:r>
    </w:p>
    <w:p w14:paraId="316FD163" w14:textId="0DA9BB5F" w:rsidR="00497211" w:rsidRPr="00B42029" w:rsidRDefault="00ED5807" w:rsidP="00C5715E">
      <w:pPr>
        <w:pStyle w:val="Heading2"/>
      </w:pPr>
      <w:bookmarkStart w:id="42" w:name="_Toc237451747"/>
      <w:r w:rsidRPr="00B42029">
        <w:t>6.4 Profession and Ethical Reflection</w:t>
      </w:r>
      <w:bookmarkEnd w:id="42"/>
    </w:p>
    <w:p w14:paraId="29C08727" w14:textId="77777777" w:rsidR="00497211" w:rsidRPr="00B42029" w:rsidRDefault="00ED5807">
      <w:pPr>
        <w:spacing w:line="360" w:lineRule="auto"/>
        <w:jc w:val="both"/>
        <w:rPr>
          <w:sz w:val="24"/>
          <w:szCs w:val="24"/>
        </w:rPr>
      </w:pPr>
      <w:r w:rsidRPr="00B42029">
        <w:rPr>
          <w:sz w:val="24"/>
          <w:szCs w:val="24"/>
        </w:rPr>
        <w:t>My use of AI highlighted the importance of transparency, data privacy and professional accountability. I understand that the use of AI needs to be fairly recognised where necessary, and no confidential financial or personally identifiable data should be inputted into publicly available AI systems. Rubel and Emran (2024) emphasize the privacy and security concerns related to AI-based processing of financial information, which supports the need to be responsible when working with data. I also acknowledge that</w:t>
      </w:r>
      <w:r w:rsidRPr="00B42029">
        <w:rPr>
          <w:sz w:val="24"/>
          <w:szCs w:val="24"/>
        </w:rPr>
        <w:t xml:space="preserve"> AI can generate realistic yet false information via hallucinations, biased results or false interpretations. Thus, I would not make financial decisions using AI solely. Professionally, I would crosscheck information supported by AI with credible evidence, exercise professional judgement and ultimately hold responsibility on the final decision. Properly deployed AI may lead to efficiency and help with brainstorming, yet human control should be at the core of reasonable financial management.</w:t>
      </w:r>
    </w:p>
    <w:p w14:paraId="5A0DA1E2" w14:textId="77777777" w:rsidR="00497211" w:rsidRPr="00B42029" w:rsidRDefault="00497211">
      <w:pPr>
        <w:spacing w:line="360" w:lineRule="auto"/>
        <w:jc w:val="both"/>
        <w:rPr>
          <w:sz w:val="24"/>
          <w:szCs w:val="24"/>
        </w:rPr>
      </w:pPr>
    </w:p>
    <w:p w14:paraId="58083637" w14:textId="77777777" w:rsidR="00497211" w:rsidRPr="00B42029" w:rsidRDefault="00ED5807" w:rsidP="00C5715E">
      <w:pPr>
        <w:pStyle w:val="Heading1"/>
      </w:pPr>
      <w:bookmarkStart w:id="43" w:name="_Toc237451748"/>
      <w:r w:rsidRPr="00B42029">
        <w:t>7. Conclusion and Recommendations</w:t>
      </w:r>
      <w:bookmarkEnd w:id="43"/>
    </w:p>
    <w:p w14:paraId="4E14B106" w14:textId="77777777" w:rsidR="00497211" w:rsidRPr="00B42029" w:rsidRDefault="00ED5807" w:rsidP="00C5715E">
      <w:pPr>
        <w:pStyle w:val="Heading2"/>
      </w:pPr>
      <w:bookmarkStart w:id="44" w:name="_Toc237451749"/>
      <w:r w:rsidRPr="00B42029">
        <w:lastRenderedPageBreak/>
        <w:t>7.1 Conclusion</w:t>
      </w:r>
      <w:bookmarkEnd w:id="44"/>
      <w:r w:rsidRPr="00B42029">
        <w:t xml:space="preserve"> </w:t>
      </w:r>
    </w:p>
    <w:p w14:paraId="0AD8133E" w14:textId="77777777" w:rsidR="00497211" w:rsidRPr="00B42029" w:rsidRDefault="00ED5807">
      <w:pPr>
        <w:spacing w:line="360" w:lineRule="auto"/>
        <w:jc w:val="both"/>
        <w:rPr>
          <w:sz w:val="24"/>
          <w:szCs w:val="24"/>
        </w:rPr>
      </w:pPr>
      <w:r w:rsidRPr="00B42029">
        <w:rPr>
          <w:sz w:val="24"/>
          <w:szCs w:val="24"/>
        </w:rPr>
        <w:t>The five-year financial position of Scandic suggests that it is under pressure in terms of its profitability, liquidity and working-capital efficiency. Enhancement of cash management and reorganization of financing ought to be a priority. The best choice of project is C because of its positive NPV and best appraisal outcomes whereas the best combination of capital-rationing choice is B+C in case of having to choose between two projects. Major threats are cash-flow and market uncertainty.</w:t>
      </w:r>
    </w:p>
    <w:p w14:paraId="1E66DFC2" w14:textId="77777777" w:rsidR="00497211" w:rsidRPr="00B42029" w:rsidRDefault="00ED5807" w:rsidP="00C5715E">
      <w:pPr>
        <w:pStyle w:val="Heading2"/>
      </w:pPr>
      <w:bookmarkStart w:id="45" w:name="_Toc237451750"/>
      <w:r w:rsidRPr="00B42029">
        <w:t>7.2 Recommendations</w:t>
      </w:r>
      <w:bookmarkEnd w:id="45"/>
      <w:r w:rsidRPr="00B42029">
        <w:t xml:space="preserve"> </w:t>
      </w:r>
    </w:p>
    <w:p w14:paraId="6BA2CBB9" w14:textId="5C82F5A8" w:rsidR="00497211" w:rsidRPr="00B42029" w:rsidRDefault="00ED5807">
      <w:pPr>
        <w:spacing w:line="360" w:lineRule="auto"/>
        <w:jc w:val="both"/>
        <w:rPr>
          <w:sz w:val="24"/>
          <w:szCs w:val="24"/>
        </w:rPr>
      </w:pPr>
      <w:r w:rsidRPr="00B42029">
        <w:rPr>
          <w:b/>
          <w:bCs/>
          <w:i/>
          <w:iCs/>
          <w:sz w:val="24"/>
          <w:szCs w:val="24"/>
        </w:rPr>
        <w:t>Enhance liquidity:</w:t>
      </w:r>
      <w:r w:rsidRPr="00B42029">
        <w:rPr>
          <w:sz w:val="24"/>
          <w:szCs w:val="24"/>
        </w:rPr>
        <w:t xml:space="preserve"> </w:t>
      </w:r>
      <w:r w:rsidR="00C5715E" w:rsidRPr="00B42029">
        <w:rPr>
          <w:sz w:val="24"/>
          <w:szCs w:val="24"/>
        </w:rPr>
        <w:t>i</w:t>
      </w:r>
      <w:r w:rsidRPr="00B42029">
        <w:rPr>
          <w:sz w:val="24"/>
          <w:szCs w:val="24"/>
        </w:rPr>
        <w:t>mplement rolling cash-flow forecasts and monthly working-capital controls to enhance cash visibility and decrease the amount of unnecessary cash in the operations.</w:t>
      </w:r>
    </w:p>
    <w:p w14:paraId="5F6E6587" w14:textId="77777777" w:rsidR="00497211" w:rsidRPr="00B42029" w:rsidRDefault="00ED5807">
      <w:pPr>
        <w:spacing w:line="360" w:lineRule="auto"/>
        <w:jc w:val="both"/>
        <w:rPr>
          <w:sz w:val="24"/>
          <w:szCs w:val="24"/>
        </w:rPr>
      </w:pPr>
      <w:r w:rsidRPr="00B42029">
        <w:rPr>
          <w:b/>
          <w:bCs/>
          <w:i/>
          <w:iCs/>
          <w:sz w:val="24"/>
          <w:szCs w:val="24"/>
        </w:rPr>
        <w:t>Optimise capital structure:</w:t>
      </w:r>
      <w:r w:rsidRPr="00B42029">
        <w:rPr>
          <w:sz w:val="24"/>
          <w:szCs w:val="24"/>
        </w:rPr>
        <w:t xml:space="preserve"> refinance old debts and selective disposition of non-core assets to enhance liquidity and debt capacity.</w:t>
      </w:r>
    </w:p>
    <w:p w14:paraId="2939C67C" w14:textId="77777777" w:rsidR="00497211" w:rsidRPr="00B42029" w:rsidRDefault="00ED5807">
      <w:pPr>
        <w:spacing w:line="360" w:lineRule="auto"/>
        <w:jc w:val="both"/>
        <w:rPr>
          <w:sz w:val="24"/>
          <w:szCs w:val="24"/>
        </w:rPr>
      </w:pPr>
      <w:r w:rsidRPr="00B42029">
        <w:rPr>
          <w:b/>
          <w:bCs/>
          <w:i/>
          <w:iCs/>
          <w:sz w:val="24"/>
          <w:szCs w:val="24"/>
        </w:rPr>
        <w:t>Choose Project C:</w:t>
      </w:r>
      <w:r w:rsidRPr="00B42029">
        <w:rPr>
          <w:sz w:val="24"/>
          <w:szCs w:val="24"/>
        </w:rPr>
        <w:t xml:space="preserve"> use positive NPV as the main criterion, and check strategic, demand and ESG risks.</w:t>
      </w:r>
    </w:p>
    <w:p w14:paraId="28803FBE" w14:textId="77777777" w:rsidR="00497211" w:rsidRPr="00B42029" w:rsidRDefault="00ED5807">
      <w:pPr>
        <w:spacing w:line="360" w:lineRule="auto"/>
        <w:jc w:val="both"/>
        <w:rPr>
          <w:sz w:val="24"/>
          <w:szCs w:val="24"/>
        </w:rPr>
      </w:pPr>
      <w:r w:rsidRPr="00B42029">
        <w:rPr>
          <w:b/>
          <w:bCs/>
          <w:i/>
          <w:iCs/>
          <w:sz w:val="24"/>
          <w:szCs w:val="24"/>
        </w:rPr>
        <w:t>Enhance governance:</w:t>
      </w:r>
      <w:r w:rsidRPr="00B42029">
        <w:rPr>
          <w:sz w:val="24"/>
          <w:szCs w:val="24"/>
        </w:rPr>
        <w:t xml:space="preserve"> adopt risk dashboards and responsible AI-use controls over financial decisions, scenario analysis.</w:t>
      </w:r>
    </w:p>
    <w:p w14:paraId="5B1A1471" w14:textId="77777777" w:rsidR="00497211" w:rsidRPr="00B42029" w:rsidRDefault="00497211">
      <w:pPr>
        <w:spacing w:line="360" w:lineRule="auto"/>
        <w:jc w:val="both"/>
        <w:rPr>
          <w:sz w:val="24"/>
          <w:szCs w:val="24"/>
        </w:rPr>
      </w:pPr>
    </w:p>
    <w:p w14:paraId="128F2AA4" w14:textId="77777777" w:rsidR="00497211" w:rsidRPr="00B42029" w:rsidRDefault="00ED5807" w:rsidP="00C5715E">
      <w:pPr>
        <w:pStyle w:val="Heading1"/>
        <w:rPr>
          <w:sz w:val="24"/>
          <w:szCs w:val="24"/>
        </w:rPr>
      </w:pPr>
      <w:bookmarkStart w:id="46" w:name="_fwld8fq6ek4m" w:colFirst="0" w:colLast="0"/>
      <w:bookmarkEnd w:id="46"/>
      <w:r w:rsidRPr="00B42029">
        <w:br w:type="page"/>
      </w:r>
    </w:p>
    <w:p w14:paraId="19638529" w14:textId="77777777" w:rsidR="00497211" w:rsidRPr="00B42029" w:rsidRDefault="00ED5807" w:rsidP="00C5715E">
      <w:pPr>
        <w:pStyle w:val="Heading1"/>
      </w:pPr>
      <w:bookmarkStart w:id="47" w:name="_b9r1xn82j4t3" w:colFirst="0" w:colLast="0"/>
      <w:bookmarkStart w:id="48" w:name="_Toc237451751"/>
      <w:bookmarkEnd w:id="47"/>
      <w:r w:rsidRPr="00B42029">
        <w:lastRenderedPageBreak/>
        <w:t>References</w:t>
      </w:r>
      <w:bookmarkEnd w:id="48"/>
    </w:p>
    <w:p w14:paraId="40E32F40" w14:textId="6FAC2D3D"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ACCA (2025). </w:t>
      </w:r>
      <w:r w:rsidRPr="00B42029">
        <w:rPr>
          <w:i/>
          <w:iCs/>
          <w:sz w:val="24"/>
          <w:szCs w:val="24"/>
          <w:lang w:val="en-IN"/>
        </w:rPr>
        <w:t>Accounting rate of return | FFM foundations in financial management | foundations in accountancy | students | ACCA | acca global</w:t>
      </w:r>
      <w:r w:rsidRPr="00B42029">
        <w:rPr>
          <w:sz w:val="24"/>
          <w:szCs w:val="24"/>
          <w:lang w:val="en-IN"/>
        </w:rPr>
        <w:t xml:space="preserve">. [online] </w:t>
      </w:r>
      <w:r w:rsidRPr="00B42029">
        <w:rPr>
          <w:i/>
          <w:iCs/>
          <w:sz w:val="24"/>
          <w:szCs w:val="24"/>
          <w:lang w:val="en-IN"/>
        </w:rPr>
        <w:t>www.accaglobal.com</w:t>
      </w:r>
      <w:r w:rsidRPr="00B42029">
        <w:rPr>
          <w:sz w:val="24"/>
          <w:szCs w:val="24"/>
          <w:lang w:val="en-IN"/>
        </w:rPr>
        <w:t xml:space="preserve">. Available at: </w:t>
      </w:r>
      <w:hyperlink r:id="rId20" w:history="1">
        <w:r w:rsidRPr="00B42029">
          <w:rPr>
            <w:rStyle w:val="Hyperlink"/>
            <w:sz w:val="24"/>
            <w:szCs w:val="24"/>
            <w:lang w:val="en-IN"/>
          </w:rPr>
          <w:t>https://www.accaglobal.com/gb/en/student/exam-support-resources/foundation-level-study-resources/ffm/ffm-technical-articles/rate-return.html</w:t>
        </w:r>
      </w:hyperlink>
      <w:r w:rsidRPr="00B42029">
        <w:rPr>
          <w:sz w:val="24"/>
          <w:szCs w:val="24"/>
          <w:lang w:val="en-IN"/>
        </w:rPr>
        <w:t xml:space="preserve"> [Accessed 12 Aug. 2026].</w:t>
      </w:r>
    </w:p>
    <w:p w14:paraId="6698818A" w14:textId="36EC3982"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Ali, K., Ashraf, C.K. and Malik, I.A. (2022). </w:t>
      </w:r>
      <w:r w:rsidRPr="00B42029">
        <w:rPr>
          <w:i/>
          <w:iCs/>
          <w:sz w:val="24"/>
          <w:szCs w:val="24"/>
          <w:lang w:val="en-IN"/>
        </w:rPr>
        <w:t>Impact of earnings per share on stock prices and price to earnings ratio</w:t>
      </w:r>
      <w:r w:rsidRPr="00B42029">
        <w:rPr>
          <w:sz w:val="24"/>
          <w:szCs w:val="24"/>
          <w:lang w:val="en-IN"/>
        </w:rPr>
        <w:t xml:space="preserve">. [online] Available at: </w:t>
      </w:r>
      <w:hyperlink r:id="rId21" w:history="1">
        <w:r w:rsidRPr="00B42029">
          <w:rPr>
            <w:rStyle w:val="Hyperlink"/>
            <w:sz w:val="24"/>
            <w:szCs w:val="24"/>
            <w:lang w:val="en-IN"/>
          </w:rPr>
          <w:t>https://ssrn.com/abstract=4125746</w:t>
        </w:r>
      </w:hyperlink>
      <w:r w:rsidRPr="00B42029">
        <w:rPr>
          <w:sz w:val="24"/>
          <w:szCs w:val="24"/>
          <w:lang w:val="en-IN"/>
        </w:rPr>
        <w:t xml:space="preserve">. </w:t>
      </w:r>
    </w:p>
    <w:p w14:paraId="03AE7C6E" w14:textId="7B73F7FD"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Anderl, C. and Caporale, G.M. (2025). Global food prices and inflation. </w:t>
      </w:r>
      <w:r w:rsidRPr="00B42029">
        <w:rPr>
          <w:i/>
          <w:iCs/>
          <w:sz w:val="24"/>
          <w:szCs w:val="24"/>
          <w:lang w:val="en-IN"/>
        </w:rPr>
        <w:t>British Food Journal</w:t>
      </w:r>
      <w:r w:rsidRPr="00B42029">
        <w:rPr>
          <w:sz w:val="24"/>
          <w:szCs w:val="24"/>
          <w:lang w:val="en-IN"/>
        </w:rPr>
        <w:t xml:space="preserve">. </w:t>
      </w:r>
      <w:hyperlink r:id="rId22" w:history="1">
        <w:r w:rsidRPr="00B42029">
          <w:rPr>
            <w:rStyle w:val="Hyperlink"/>
            <w:sz w:val="24"/>
            <w:szCs w:val="24"/>
            <w:lang w:val="en-IN"/>
          </w:rPr>
          <w:t>https://doi.org/10.1108/BFJ-05-2024-0428</w:t>
        </w:r>
      </w:hyperlink>
      <w:r w:rsidRPr="00B42029">
        <w:rPr>
          <w:sz w:val="24"/>
          <w:szCs w:val="24"/>
          <w:lang w:val="en-IN"/>
        </w:rPr>
        <w:t xml:space="preserve">. </w:t>
      </w:r>
    </w:p>
    <w:p w14:paraId="57E82DA6" w14:textId="1514DB22"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Betzer, A. and </w:t>
      </w:r>
      <w:proofErr w:type="spellStart"/>
      <w:r w:rsidRPr="00B42029">
        <w:rPr>
          <w:sz w:val="24"/>
          <w:szCs w:val="24"/>
          <w:lang w:val="en-IN"/>
        </w:rPr>
        <w:t>Oenschläger</w:t>
      </w:r>
      <w:proofErr w:type="spellEnd"/>
      <w:r w:rsidRPr="00B42029">
        <w:rPr>
          <w:sz w:val="24"/>
          <w:szCs w:val="24"/>
          <w:lang w:val="en-IN"/>
        </w:rPr>
        <w:t xml:space="preserve">, E. (2026). Disclosure timing and seasoned equity offering discounts: Evidence from accelerated equity offerings in Germany. </w:t>
      </w:r>
      <w:r w:rsidRPr="00B42029">
        <w:rPr>
          <w:i/>
          <w:iCs/>
          <w:sz w:val="24"/>
          <w:szCs w:val="24"/>
          <w:lang w:val="en-IN"/>
        </w:rPr>
        <w:t>Review of Managerial Science</w:t>
      </w:r>
      <w:r w:rsidRPr="00B42029">
        <w:rPr>
          <w:sz w:val="24"/>
          <w:szCs w:val="24"/>
          <w:lang w:val="en-IN"/>
        </w:rPr>
        <w:t xml:space="preserve">. [online] Available at: </w:t>
      </w:r>
      <w:hyperlink r:id="rId23" w:history="1">
        <w:r w:rsidRPr="00B42029">
          <w:rPr>
            <w:rStyle w:val="Hyperlink"/>
            <w:sz w:val="24"/>
            <w:szCs w:val="24"/>
            <w:lang w:val="en-IN"/>
          </w:rPr>
          <w:t>https://link.springer.com/article/10.1007/s11846-026-01043-8</w:t>
        </w:r>
      </w:hyperlink>
      <w:r w:rsidRPr="00B42029">
        <w:rPr>
          <w:sz w:val="24"/>
          <w:szCs w:val="24"/>
          <w:lang w:val="en-IN"/>
        </w:rPr>
        <w:t xml:space="preserve">. </w:t>
      </w:r>
    </w:p>
    <w:p w14:paraId="012C2129" w14:textId="042E5C45"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Chen, N. and Zhou, H. (2025). Managing emerging market currency risk. </w:t>
      </w:r>
      <w:hyperlink r:id="rId24" w:history="1">
        <w:r w:rsidRPr="00B42029">
          <w:rPr>
            <w:rStyle w:val="Hyperlink"/>
            <w:sz w:val="24"/>
            <w:szCs w:val="24"/>
            <w:lang w:val="en-IN"/>
          </w:rPr>
          <w:t>https://dx.doi.org/10.2139/ssrn.5119836</w:t>
        </w:r>
      </w:hyperlink>
      <w:r w:rsidRPr="00B42029">
        <w:rPr>
          <w:sz w:val="24"/>
          <w:szCs w:val="24"/>
          <w:lang w:val="en-IN"/>
        </w:rPr>
        <w:t xml:space="preserve">. </w:t>
      </w:r>
    </w:p>
    <w:p w14:paraId="1500CBEF" w14:textId="5503FCB6"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t>Colliard</w:t>
      </w:r>
      <w:proofErr w:type="spellEnd"/>
      <w:r w:rsidRPr="00B42029">
        <w:rPr>
          <w:sz w:val="24"/>
          <w:szCs w:val="24"/>
          <w:lang w:val="en-IN"/>
        </w:rPr>
        <w:t xml:space="preserve">, J.-E. and </w:t>
      </w:r>
      <w:proofErr w:type="spellStart"/>
      <w:r w:rsidRPr="00B42029">
        <w:rPr>
          <w:sz w:val="24"/>
          <w:szCs w:val="24"/>
          <w:lang w:val="en-IN"/>
        </w:rPr>
        <w:t>Gromb</w:t>
      </w:r>
      <w:proofErr w:type="spellEnd"/>
      <w:r w:rsidRPr="00B42029">
        <w:rPr>
          <w:sz w:val="24"/>
          <w:szCs w:val="24"/>
          <w:lang w:val="en-IN"/>
        </w:rPr>
        <w:t xml:space="preserve">, D. (2025). </w:t>
      </w:r>
      <w:r w:rsidRPr="00B42029">
        <w:rPr>
          <w:i/>
          <w:iCs/>
          <w:sz w:val="24"/>
          <w:szCs w:val="24"/>
          <w:lang w:val="en-IN"/>
        </w:rPr>
        <w:t>Financial Restructuring and Resolution of Banks</w:t>
      </w:r>
      <w:r w:rsidRPr="00B42029">
        <w:rPr>
          <w:sz w:val="24"/>
          <w:szCs w:val="24"/>
          <w:lang w:val="en-IN"/>
        </w:rPr>
        <w:t xml:space="preserve">. [online] The Review of Financial Studies. Available at: </w:t>
      </w:r>
      <w:hyperlink r:id="rId25" w:history="1">
        <w:r w:rsidRPr="00B42029">
          <w:rPr>
            <w:rStyle w:val="Hyperlink"/>
            <w:sz w:val="24"/>
            <w:szCs w:val="24"/>
            <w:lang w:val="en-IN"/>
          </w:rPr>
          <w:t>https://doi.org/10.1093/rfs/hhaf113</w:t>
        </w:r>
      </w:hyperlink>
      <w:r w:rsidRPr="00B42029">
        <w:rPr>
          <w:sz w:val="24"/>
          <w:szCs w:val="24"/>
          <w:lang w:val="en-IN"/>
        </w:rPr>
        <w:t xml:space="preserve">. </w:t>
      </w:r>
    </w:p>
    <w:p w14:paraId="5A9C3F7A" w14:textId="4C0C5DCF"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Cowling, M., Brown, R., Liu, W. and Yang, H. (2025). Growth, working capital and refinancing: The geography of post-pandemic regional financial resilience in UK SMEs. </w:t>
      </w:r>
      <w:r w:rsidRPr="00B42029">
        <w:rPr>
          <w:i/>
          <w:iCs/>
          <w:sz w:val="24"/>
          <w:szCs w:val="24"/>
          <w:lang w:val="en-IN"/>
        </w:rPr>
        <w:t>Papers in Regional Science</w:t>
      </w:r>
      <w:r w:rsidRPr="00B42029">
        <w:rPr>
          <w:sz w:val="24"/>
          <w:szCs w:val="24"/>
          <w:lang w:val="en-IN"/>
        </w:rPr>
        <w:t xml:space="preserve">, [online] 104(4), p.100101. Available at: </w:t>
      </w:r>
      <w:hyperlink r:id="rId26" w:history="1">
        <w:r w:rsidRPr="00B42029">
          <w:rPr>
            <w:rStyle w:val="Hyperlink"/>
            <w:sz w:val="24"/>
            <w:szCs w:val="24"/>
            <w:lang w:val="en-IN"/>
          </w:rPr>
          <w:t>https://doi.org/10.1016/j.pirs.2025.100101</w:t>
        </w:r>
      </w:hyperlink>
      <w:r w:rsidRPr="00B42029">
        <w:rPr>
          <w:sz w:val="24"/>
          <w:szCs w:val="24"/>
          <w:lang w:val="en-IN"/>
        </w:rPr>
        <w:t xml:space="preserve">. </w:t>
      </w:r>
    </w:p>
    <w:p w14:paraId="373C24BE" w14:textId="6A984C94"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Deb, P., Naskar, S., Devaraj, S. and Basu, P. (2023). Impact of working capital on firm performance: Does IT </w:t>
      </w:r>
      <w:r w:rsidR="00B42029" w:rsidRPr="00B42029">
        <w:rPr>
          <w:sz w:val="24"/>
          <w:szCs w:val="24"/>
          <w:lang w:val="en-IN"/>
        </w:rPr>
        <w:t>matter?</w:t>
      </w:r>
      <w:r w:rsidRPr="00B42029">
        <w:rPr>
          <w:sz w:val="24"/>
          <w:szCs w:val="24"/>
          <w:lang w:val="en-IN"/>
        </w:rPr>
        <w:t xml:space="preserve"> </w:t>
      </w:r>
      <w:r w:rsidRPr="00B42029">
        <w:rPr>
          <w:i/>
          <w:iCs/>
          <w:sz w:val="24"/>
          <w:szCs w:val="24"/>
          <w:lang w:val="en-IN"/>
        </w:rPr>
        <w:t>Journal of Operations Management</w:t>
      </w:r>
      <w:r w:rsidRPr="00B42029">
        <w:rPr>
          <w:sz w:val="24"/>
          <w:szCs w:val="24"/>
          <w:lang w:val="en-IN"/>
        </w:rPr>
        <w:t xml:space="preserve">, 69(6). </w:t>
      </w:r>
      <w:hyperlink r:id="rId27" w:history="1">
        <w:r w:rsidRPr="00B42029">
          <w:rPr>
            <w:rStyle w:val="Hyperlink"/>
            <w:sz w:val="24"/>
            <w:szCs w:val="24"/>
            <w:lang w:val="en-IN"/>
          </w:rPr>
          <w:t>https://doi.org/10.1002/joom.1244</w:t>
        </w:r>
      </w:hyperlink>
      <w:r w:rsidRPr="00B42029">
        <w:rPr>
          <w:sz w:val="24"/>
          <w:szCs w:val="24"/>
          <w:lang w:val="en-IN"/>
        </w:rPr>
        <w:t xml:space="preserve">. </w:t>
      </w:r>
    </w:p>
    <w:p w14:paraId="195A6118" w14:textId="3C8EF7AD"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Erl, L., Kiesel, F. and </w:t>
      </w:r>
      <w:proofErr w:type="spellStart"/>
      <w:r w:rsidRPr="00B42029">
        <w:rPr>
          <w:sz w:val="24"/>
          <w:szCs w:val="24"/>
          <w:lang w:val="en-IN"/>
        </w:rPr>
        <w:t>Schiereck</w:t>
      </w:r>
      <w:proofErr w:type="spellEnd"/>
      <w:r w:rsidRPr="00B42029">
        <w:rPr>
          <w:sz w:val="24"/>
          <w:szCs w:val="24"/>
          <w:lang w:val="en-IN"/>
        </w:rPr>
        <w:t xml:space="preserve">, D. (2024). The diversity of divestiture– stock market reactions around the announcements of divestiture programs. </w:t>
      </w:r>
      <w:r w:rsidRPr="00B42029">
        <w:rPr>
          <w:i/>
          <w:iCs/>
          <w:sz w:val="24"/>
          <w:szCs w:val="24"/>
          <w:lang w:val="en-IN"/>
        </w:rPr>
        <w:t xml:space="preserve">Review of Managerial </w:t>
      </w:r>
      <w:r w:rsidRPr="00B42029">
        <w:rPr>
          <w:i/>
          <w:iCs/>
          <w:sz w:val="24"/>
          <w:szCs w:val="24"/>
          <w:lang w:val="en-IN"/>
        </w:rPr>
        <w:lastRenderedPageBreak/>
        <w:t>Science</w:t>
      </w:r>
      <w:r w:rsidRPr="00B42029">
        <w:rPr>
          <w:sz w:val="24"/>
          <w:szCs w:val="24"/>
          <w:lang w:val="en-IN"/>
        </w:rPr>
        <w:t xml:space="preserve">. [online] Available at: </w:t>
      </w:r>
      <w:hyperlink r:id="rId28" w:history="1">
        <w:r w:rsidRPr="00B42029">
          <w:rPr>
            <w:rStyle w:val="Hyperlink"/>
            <w:sz w:val="24"/>
            <w:szCs w:val="24"/>
            <w:lang w:val="en-IN"/>
          </w:rPr>
          <w:t>https://link.springer.com/article/10.1007/s11846-024-00830-5</w:t>
        </w:r>
      </w:hyperlink>
      <w:r w:rsidRPr="00B42029">
        <w:rPr>
          <w:sz w:val="24"/>
          <w:szCs w:val="24"/>
          <w:lang w:val="en-IN"/>
        </w:rPr>
        <w:t xml:space="preserve">. </w:t>
      </w:r>
    </w:p>
    <w:p w14:paraId="3B4BA7EA" w14:textId="7DC30978"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t>Hasidi</w:t>
      </w:r>
      <w:proofErr w:type="spellEnd"/>
      <w:r w:rsidRPr="00B42029">
        <w:rPr>
          <w:sz w:val="24"/>
          <w:szCs w:val="24"/>
          <w:lang w:val="en-IN"/>
        </w:rPr>
        <w:t xml:space="preserve">, M.H., </w:t>
      </w:r>
      <w:proofErr w:type="spellStart"/>
      <w:r w:rsidRPr="00B42029">
        <w:rPr>
          <w:sz w:val="24"/>
          <w:szCs w:val="24"/>
          <w:lang w:val="en-IN"/>
        </w:rPr>
        <w:t>Baheri</w:t>
      </w:r>
      <w:proofErr w:type="spellEnd"/>
      <w:r w:rsidRPr="00B42029">
        <w:rPr>
          <w:sz w:val="24"/>
          <w:szCs w:val="24"/>
          <w:lang w:val="en-IN"/>
        </w:rPr>
        <w:t xml:space="preserve">, J. and Hajar, K.I. (2024). Financial performance evaluation using profitability and liquidity ratio analysis. </w:t>
      </w:r>
      <w:proofErr w:type="spellStart"/>
      <w:r w:rsidRPr="00B42029">
        <w:rPr>
          <w:i/>
          <w:iCs/>
          <w:sz w:val="24"/>
          <w:szCs w:val="24"/>
          <w:lang w:val="en-IN"/>
        </w:rPr>
        <w:t>Jurnal</w:t>
      </w:r>
      <w:proofErr w:type="spellEnd"/>
      <w:r w:rsidRPr="00B42029">
        <w:rPr>
          <w:i/>
          <w:iCs/>
          <w:sz w:val="24"/>
          <w:szCs w:val="24"/>
          <w:lang w:val="en-IN"/>
        </w:rPr>
        <w:t xml:space="preserve"> </w:t>
      </w:r>
      <w:proofErr w:type="spellStart"/>
      <w:r w:rsidRPr="00B42029">
        <w:rPr>
          <w:i/>
          <w:iCs/>
          <w:sz w:val="24"/>
          <w:szCs w:val="24"/>
          <w:lang w:val="en-IN"/>
        </w:rPr>
        <w:t>Ilmiah</w:t>
      </w:r>
      <w:proofErr w:type="spellEnd"/>
      <w:r w:rsidRPr="00B42029">
        <w:rPr>
          <w:i/>
          <w:iCs/>
          <w:sz w:val="24"/>
          <w:szCs w:val="24"/>
          <w:lang w:val="en-IN"/>
        </w:rPr>
        <w:t xml:space="preserve"> </w:t>
      </w:r>
      <w:proofErr w:type="spellStart"/>
      <w:r w:rsidRPr="00B42029">
        <w:rPr>
          <w:i/>
          <w:iCs/>
          <w:sz w:val="24"/>
          <w:szCs w:val="24"/>
          <w:lang w:val="en-IN"/>
        </w:rPr>
        <w:t>Manajemen</w:t>
      </w:r>
      <w:proofErr w:type="spellEnd"/>
      <w:r w:rsidRPr="00B42029">
        <w:rPr>
          <w:i/>
          <w:iCs/>
          <w:sz w:val="24"/>
          <w:szCs w:val="24"/>
          <w:lang w:val="en-IN"/>
        </w:rPr>
        <w:t xml:space="preserve"> Kesatuan</w:t>
      </w:r>
      <w:r w:rsidRPr="00B42029">
        <w:rPr>
          <w:sz w:val="24"/>
          <w:szCs w:val="24"/>
          <w:lang w:val="en-IN"/>
        </w:rPr>
        <w:t xml:space="preserve">, [online] 12(4), pp.1347–1358. Available at: </w:t>
      </w:r>
      <w:hyperlink r:id="rId29" w:history="1">
        <w:r w:rsidRPr="00B42029">
          <w:rPr>
            <w:rStyle w:val="Hyperlink"/>
            <w:sz w:val="24"/>
            <w:szCs w:val="24"/>
            <w:lang w:val="en-IN"/>
          </w:rPr>
          <w:t>https://pdfs.semanticscholar.org/b6db/13d72f9e39e0d2030f6d9613c7165cb8adc4.pdf</w:t>
        </w:r>
      </w:hyperlink>
      <w:r w:rsidRPr="00B42029">
        <w:rPr>
          <w:sz w:val="24"/>
          <w:szCs w:val="24"/>
          <w:lang w:val="en-IN"/>
        </w:rPr>
        <w:t xml:space="preserve">. </w:t>
      </w:r>
    </w:p>
    <w:p w14:paraId="60759FD0" w14:textId="6A9C3B4F"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t>Henestrosa</w:t>
      </w:r>
      <w:proofErr w:type="spellEnd"/>
      <w:r w:rsidRPr="00B42029">
        <w:rPr>
          <w:sz w:val="24"/>
          <w:szCs w:val="24"/>
          <w:lang w:val="en-IN"/>
        </w:rPr>
        <w:t xml:space="preserve">, A.L. and Kimmerle, J. (2025). “Always check important information!” - The role of disclaimers in the perception of AI-generated content. </w:t>
      </w:r>
      <w:r w:rsidRPr="00B42029">
        <w:rPr>
          <w:i/>
          <w:iCs/>
          <w:sz w:val="24"/>
          <w:szCs w:val="24"/>
          <w:lang w:val="en-IN"/>
        </w:rPr>
        <w:t xml:space="preserve">Computers in Human </w:t>
      </w:r>
      <w:proofErr w:type="spellStart"/>
      <w:r w:rsidRPr="00B42029">
        <w:rPr>
          <w:i/>
          <w:iCs/>
          <w:sz w:val="24"/>
          <w:szCs w:val="24"/>
          <w:lang w:val="en-IN"/>
        </w:rPr>
        <w:t>Behavior</w:t>
      </w:r>
      <w:proofErr w:type="spellEnd"/>
      <w:r w:rsidRPr="00B42029">
        <w:rPr>
          <w:i/>
          <w:iCs/>
          <w:sz w:val="24"/>
          <w:szCs w:val="24"/>
          <w:lang w:val="en-IN"/>
        </w:rPr>
        <w:t>: Artificial Humans</w:t>
      </w:r>
      <w:r w:rsidRPr="00B42029">
        <w:rPr>
          <w:sz w:val="24"/>
          <w:szCs w:val="24"/>
          <w:lang w:val="en-IN"/>
        </w:rPr>
        <w:t xml:space="preserve">, 4, p.100142. </w:t>
      </w:r>
      <w:hyperlink r:id="rId30" w:history="1">
        <w:r w:rsidRPr="00B42029">
          <w:rPr>
            <w:rStyle w:val="Hyperlink"/>
            <w:sz w:val="24"/>
            <w:szCs w:val="24"/>
            <w:lang w:val="en-IN"/>
          </w:rPr>
          <w:t>https://doi.org/10.1016/j.chbah.2025.100142</w:t>
        </w:r>
      </w:hyperlink>
      <w:r w:rsidRPr="00B42029">
        <w:rPr>
          <w:sz w:val="24"/>
          <w:szCs w:val="24"/>
          <w:lang w:val="en-IN"/>
        </w:rPr>
        <w:t xml:space="preserve">. </w:t>
      </w:r>
    </w:p>
    <w:p w14:paraId="1B80C64E" w14:textId="0CE4181E"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Hu, D. and Gan, C. (2025). Green Finance Development and its origin, motives, and barriers: An exploratory study. </w:t>
      </w:r>
      <w:r w:rsidRPr="00B42029">
        <w:rPr>
          <w:i/>
          <w:iCs/>
          <w:sz w:val="24"/>
          <w:szCs w:val="24"/>
          <w:lang w:val="en-IN"/>
        </w:rPr>
        <w:t>Environment, Development and Sustainability</w:t>
      </w:r>
      <w:r w:rsidRPr="00B42029">
        <w:rPr>
          <w:sz w:val="24"/>
          <w:szCs w:val="24"/>
          <w:lang w:val="en-IN"/>
        </w:rPr>
        <w:t xml:space="preserve">. [online] Available at: </w:t>
      </w:r>
      <w:hyperlink r:id="rId31" w:history="1">
        <w:r w:rsidRPr="00B42029">
          <w:rPr>
            <w:rStyle w:val="Hyperlink"/>
            <w:sz w:val="24"/>
            <w:szCs w:val="24"/>
            <w:lang w:val="en-IN"/>
          </w:rPr>
          <w:t>https://link.springer.com/article/10.1007/s10668-024-05570-w</w:t>
        </w:r>
      </w:hyperlink>
      <w:r w:rsidRPr="00B42029">
        <w:rPr>
          <w:sz w:val="24"/>
          <w:szCs w:val="24"/>
          <w:lang w:val="en-IN"/>
        </w:rPr>
        <w:t xml:space="preserve">. </w:t>
      </w:r>
    </w:p>
    <w:p w14:paraId="36446CB6" w14:textId="24AEDD04"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Jagodič, G., Jagodič, D. and </w:t>
      </w:r>
      <w:proofErr w:type="spellStart"/>
      <w:r w:rsidRPr="00B42029">
        <w:rPr>
          <w:sz w:val="24"/>
          <w:szCs w:val="24"/>
          <w:lang w:val="en-IN"/>
        </w:rPr>
        <w:t>Gorenak</w:t>
      </w:r>
      <w:proofErr w:type="spellEnd"/>
      <w:r w:rsidRPr="00B42029">
        <w:rPr>
          <w:sz w:val="24"/>
          <w:szCs w:val="24"/>
          <w:lang w:val="en-IN"/>
        </w:rPr>
        <w:t xml:space="preserve">, M. (2025). The impact of digitalisation on the business operations of tourism companies. </w:t>
      </w:r>
      <w:r w:rsidRPr="00B42029">
        <w:rPr>
          <w:i/>
          <w:iCs/>
          <w:sz w:val="24"/>
          <w:szCs w:val="24"/>
          <w:lang w:val="en-IN"/>
        </w:rPr>
        <w:t>Journal of Innovative Business and Management</w:t>
      </w:r>
      <w:r w:rsidRPr="00B42029">
        <w:rPr>
          <w:sz w:val="24"/>
          <w:szCs w:val="24"/>
          <w:lang w:val="en-IN"/>
        </w:rPr>
        <w:t xml:space="preserve">, 17(1). </w:t>
      </w:r>
      <w:hyperlink r:id="rId32" w:history="1">
        <w:r w:rsidRPr="00B42029">
          <w:rPr>
            <w:rStyle w:val="Hyperlink"/>
            <w:sz w:val="24"/>
            <w:szCs w:val="24"/>
            <w:lang w:val="en-IN"/>
          </w:rPr>
          <w:t>https://doi.org/10.32015/JIBM.2025.17.1.1</w:t>
        </w:r>
      </w:hyperlink>
      <w:r w:rsidRPr="00B42029">
        <w:rPr>
          <w:sz w:val="24"/>
          <w:szCs w:val="24"/>
          <w:lang w:val="en-IN"/>
        </w:rPr>
        <w:t xml:space="preserve">. </w:t>
      </w:r>
    </w:p>
    <w:p w14:paraId="7A0B5BCE" w14:textId="7BA904BD"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Karim, R., Al Mamun, </w:t>
      </w:r>
      <w:proofErr w:type="spellStart"/>
      <w:r w:rsidRPr="00B42029">
        <w:rPr>
          <w:sz w:val="24"/>
          <w:szCs w:val="24"/>
          <w:lang w:val="en-IN"/>
        </w:rPr>
        <w:t>Md.A</w:t>
      </w:r>
      <w:proofErr w:type="spellEnd"/>
      <w:r w:rsidRPr="00B42029">
        <w:rPr>
          <w:sz w:val="24"/>
          <w:szCs w:val="24"/>
          <w:lang w:val="en-IN"/>
        </w:rPr>
        <w:t xml:space="preserve">. and </w:t>
      </w:r>
      <w:proofErr w:type="spellStart"/>
      <w:r w:rsidRPr="00B42029">
        <w:rPr>
          <w:sz w:val="24"/>
          <w:szCs w:val="24"/>
          <w:lang w:val="en-IN"/>
        </w:rPr>
        <w:t>Kamruzzaman</w:t>
      </w:r>
      <w:proofErr w:type="spellEnd"/>
      <w:r w:rsidRPr="00B42029">
        <w:rPr>
          <w:sz w:val="24"/>
          <w:szCs w:val="24"/>
          <w:lang w:val="en-IN"/>
        </w:rPr>
        <w:t xml:space="preserve">, </w:t>
      </w:r>
      <w:proofErr w:type="spellStart"/>
      <w:r w:rsidRPr="00B42029">
        <w:rPr>
          <w:sz w:val="24"/>
          <w:szCs w:val="24"/>
          <w:lang w:val="en-IN"/>
        </w:rPr>
        <w:t>A.S.Md</w:t>
      </w:r>
      <w:proofErr w:type="spellEnd"/>
      <w:r w:rsidRPr="00B42029">
        <w:rPr>
          <w:sz w:val="24"/>
          <w:szCs w:val="24"/>
          <w:lang w:val="en-IN"/>
        </w:rPr>
        <w:t xml:space="preserve">. (2023). Cash conversion cycle and financial performance: Evidence from manufacturing firms of Bangladesh. </w:t>
      </w:r>
      <w:r w:rsidRPr="00B42029">
        <w:rPr>
          <w:i/>
          <w:iCs/>
          <w:sz w:val="24"/>
          <w:szCs w:val="24"/>
          <w:lang w:val="en-IN"/>
        </w:rPr>
        <w:t>Asian Journal of Economics and Banking</w:t>
      </w:r>
      <w:r w:rsidRPr="00B42029">
        <w:rPr>
          <w:sz w:val="24"/>
          <w:szCs w:val="24"/>
          <w:lang w:val="en-IN"/>
        </w:rPr>
        <w:t xml:space="preserve">, 8(1). </w:t>
      </w:r>
      <w:hyperlink r:id="rId33" w:history="1">
        <w:r w:rsidRPr="00B42029">
          <w:rPr>
            <w:rStyle w:val="Hyperlink"/>
            <w:sz w:val="24"/>
            <w:szCs w:val="24"/>
            <w:lang w:val="en-IN"/>
          </w:rPr>
          <w:t>https://doi.org/10.1108/AJEB-03-2022-0033</w:t>
        </w:r>
      </w:hyperlink>
      <w:r w:rsidRPr="00B42029">
        <w:rPr>
          <w:sz w:val="24"/>
          <w:szCs w:val="24"/>
          <w:lang w:val="en-IN"/>
        </w:rPr>
        <w:t xml:space="preserve">. </w:t>
      </w:r>
    </w:p>
    <w:p w14:paraId="20CDD7F0" w14:textId="2861FA90"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Kitov, I. (2024). </w:t>
      </w:r>
      <w:r w:rsidRPr="00B42029">
        <w:rPr>
          <w:i/>
          <w:iCs/>
          <w:sz w:val="24"/>
          <w:szCs w:val="24"/>
          <w:lang w:val="en-IN"/>
        </w:rPr>
        <w:t>What is profitability index?</w:t>
      </w:r>
      <w:r w:rsidRPr="00B42029">
        <w:rPr>
          <w:sz w:val="24"/>
          <w:szCs w:val="24"/>
          <w:lang w:val="en-IN"/>
        </w:rPr>
        <w:t xml:space="preserve"> [online] </w:t>
      </w:r>
      <w:r w:rsidRPr="00B42029">
        <w:rPr>
          <w:i/>
          <w:iCs/>
          <w:sz w:val="24"/>
          <w:szCs w:val="24"/>
          <w:lang w:val="en-IN"/>
        </w:rPr>
        <w:t>365 Financial Analyst</w:t>
      </w:r>
      <w:r w:rsidRPr="00B42029">
        <w:rPr>
          <w:sz w:val="24"/>
          <w:szCs w:val="24"/>
          <w:lang w:val="en-IN"/>
        </w:rPr>
        <w:t xml:space="preserve">. Available at: </w:t>
      </w:r>
      <w:hyperlink r:id="rId34" w:history="1">
        <w:r w:rsidRPr="00B42029">
          <w:rPr>
            <w:rStyle w:val="Hyperlink"/>
            <w:sz w:val="24"/>
            <w:szCs w:val="24"/>
            <w:lang w:val="en-IN"/>
          </w:rPr>
          <w:t>https://365financialanalyst.com/knowledge-hub/corporate-finance/what-is-profitability-index/</w:t>
        </w:r>
      </w:hyperlink>
      <w:r w:rsidRPr="00B42029">
        <w:rPr>
          <w:sz w:val="24"/>
          <w:szCs w:val="24"/>
          <w:lang w:val="en-IN"/>
        </w:rPr>
        <w:t xml:space="preserve"> [Accessed 12 Aug. 2026].</w:t>
      </w:r>
    </w:p>
    <w:p w14:paraId="5893CEFB" w14:textId="4FBBA6B5"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Li, X. (2025). NPV vs. IRR: Comparison of pros and cons in investment decisions. </w:t>
      </w:r>
      <w:r w:rsidRPr="00B42029">
        <w:rPr>
          <w:i/>
          <w:iCs/>
          <w:sz w:val="24"/>
          <w:szCs w:val="24"/>
          <w:lang w:val="en-IN"/>
        </w:rPr>
        <w:t>Advances in economics, business and management research/Advances in Economics, Business and Management Research</w:t>
      </w:r>
      <w:r w:rsidRPr="00B42029">
        <w:rPr>
          <w:sz w:val="24"/>
          <w:szCs w:val="24"/>
          <w:lang w:val="en-IN"/>
        </w:rPr>
        <w:t xml:space="preserve">, pp.983–991. </w:t>
      </w:r>
      <w:hyperlink r:id="rId35" w:history="1">
        <w:r w:rsidRPr="00B42029">
          <w:rPr>
            <w:rStyle w:val="Hyperlink"/>
            <w:sz w:val="24"/>
            <w:szCs w:val="24"/>
            <w:lang w:val="en-IN"/>
          </w:rPr>
          <w:t>https://doi.org/10.2991/978-94-6463-811-0_106</w:t>
        </w:r>
      </w:hyperlink>
      <w:r w:rsidRPr="00B42029">
        <w:rPr>
          <w:sz w:val="24"/>
          <w:szCs w:val="24"/>
          <w:lang w:val="en-IN"/>
        </w:rPr>
        <w:t xml:space="preserve">. </w:t>
      </w:r>
    </w:p>
    <w:p w14:paraId="397845FB" w14:textId="19D88488"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lastRenderedPageBreak/>
        <w:t>Mandipa</w:t>
      </w:r>
      <w:proofErr w:type="spellEnd"/>
      <w:r w:rsidRPr="00B42029">
        <w:rPr>
          <w:sz w:val="24"/>
          <w:szCs w:val="24"/>
          <w:lang w:val="en-IN"/>
        </w:rPr>
        <w:t xml:space="preserve">, G. and Sibindi, A.B. (2022). Financial performance and Working Capital Management Practices in the retail sector: Empirical evidence from South Africa. </w:t>
      </w:r>
      <w:r w:rsidRPr="00B42029">
        <w:rPr>
          <w:i/>
          <w:iCs/>
          <w:sz w:val="24"/>
          <w:szCs w:val="24"/>
          <w:lang w:val="en-IN"/>
        </w:rPr>
        <w:t>Risks</w:t>
      </w:r>
      <w:r w:rsidRPr="00B42029">
        <w:rPr>
          <w:sz w:val="24"/>
          <w:szCs w:val="24"/>
          <w:lang w:val="en-IN"/>
        </w:rPr>
        <w:t xml:space="preserve">, 10(3), p.63. </w:t>
      </w:r>
      <w:hyperlink r:id="rId36" w:history="1">
        <w:r w:rsidRPr="00B42029">
          <w:rPr>
            <w:rStyle w:val="Hyperlink"/>
            <w:sz w:val="24"/>
            <w:szCs w:val="24"/>
            <w:lang w:val="en-IN"/>
          </w:rPr>
          <w:t>https://doi.org/10.3390/risks10030063</w:t>
        </w:r>
      </w:hyperlink>
      <w:r w:rsidRPr="00B42029">
        <w:rPr>
          <w:sz w:val="24"/>
          <w:szCs w:val="24"/>
          <w:lang w:val="en-IN"/>
        </w:rPr>
        <w:t xml:space="preserve">. </w:t>
      </w:r>
    </w:p>
    <w:p w14:paraId="56217D02" w14:textId="744754FC"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t>Maquieira</w:t>
      </w:r>
      <w:proofErr w:type="spellEnd"/>
      <w:r w:rsidRPr="00B42029">
        <w:rPr>
          <w:sz w:val="24"/>
          <w:szCs w:val="24"/>
          <w:lang w:val="en-IN"/>
        </w:rPr>
        <w:t xml:space="preserve">, C., Arias, J. and Espinosa, C. (2023). The relationship between dividend payout and economic policy uncertainty (EPU), ownership concentration and free cash flow in Chile. </w:t>
      </w:r>
      <w:proofErr w:type="spellStart"/>
      <w:r w:rsidRPr="00B42029">
        <w:rPr>
          <w:i/>
          <w:iCs/>
          <w:sz w:val="24"/>
          <w:szCs w:val="24"/>
          <w:lang w:val="en-IN"/>
        </w:rPr>
        <w:t>Ekonomska</w:t>
      </w:r>
      <w:proofErr w:type="spellEnd"/>
      <w:r w:rsidRPr="00B42029">
        <w:rPr>
          <w:i/>
          <w:iCs/>
          <w:sz w:val="24"/>
          <w:szCs w:val="24"/>
          <w:lang w:val="en-IN"/>
        </w:rPr>
        <w:t xml:space="preserve"> </w:t>
      </w:r>
      <w:proofErr w:type="spellStart"/>
      <w:r w:rsidRPr="00B42029">
        <w:rPr>
          <w:i/>
          <w:iCs/>
          <w:sz w:val="24"/>
          <w:szCs w:val="24"/>
          <w:lang w:val="en-IN"/>
        </w:rPr>
        <w:t>Istrazivanja</w:t>
      </w:r>
      <w:proofErr w:type="spellEnd"/>
      <w:r w:rsidRPr="00B42029">
        <w:rPr>
          <w:i/>
          <w:iCs/>
          <w:sz w:val="24"/>
          <w:szCs w:val="24"/>
          <w:lang w:val="en-IN"/>
        </w:rPr>
        <w:t>-economic Research</w:t>
      </w:r>
      <w:r w:rsidRPr="00B42029">
        <w:rPr>
          <w:sz w:val="24"/>
          <w:szCs w:val="24"/>
          <w:lang w:val="en-IN"/>
        </w:rPr>
        <w:t xml:space="preserve">, 36(3). </w:t>
      </w:r>
      <w:hyperlink r:id="rId37" w:history="1">
        <w:r w:rsidRPr="00B42029">
          <w:rPr>
            <w:rStyle w:val="Hyperlink"/>
            <w:sz w:val="24"/>
            <w:szCs w:val="24"/>
            <w:lang w:val="en-IN"/>
          </w:rPr>
          <w:t>https://doi.org/10.1080/1331677X.2023.2203208</w:t>
        </w:r>
      </w:hyperlink>
      <w:r w:rsidRPr="00B42029">
        <w:rPr>
          <w:sz w:val="24"/>
          <w:szCs w:val="24"/>
          <w:lang w:val="en-IN"/>
        </w:rPr>
        <w:t xml:space="preserve">. </w:t>
      </w:r>
    </w:p>
    <w:p w14:paraId="5DC592DC" w14:textId="60DAF2BA"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t>Medupe</w:t>
      </w:r>
      <w:proofErr w:type="spellEnd"/>
      <w:r w:rsidRPr="00B42029">
        <w:rPr>
          <w:sz w:val="24"/>
          <w:szCs w:val="24"/>
          <w:lang w:val="en-IN"/>
        </w:rPr>
        <w:t xml:space="preserve">, M. and </w:t>
      </w:r>
      <w:proofErr w:type="spellStart"/>
      <w:r w:rsidRPr="00B42029">
        <w:rPr>
          <w:sz w:val="24"/>
          <w:szCs w:val="24"/>
          <w:lang w:val="en-IN"/>
        </w:rPr>
        <w:t>Lethiwe</w:t>
      </w:r>
      <w:proofErr w:type="spellEnd"/>
      <w:r w:rsidRPr="00B42029">
        <w:rPr>
          <w:sz w:val="24"/>
          <w:szCs w:val="24"/>
          <w:lang w:val="en-IN"/>
        </w:rPr>
        <w:t xml:space="preserve">, N.-S. (2026). Cash flow management strategies: A systematic review. </w:t>
      </w:r>
      <w:r w:rsidRPr="00B42029">
        <w:rPr>
          <w:i/>
          <w:iCs/>
          <w:sz w:val="24"/>
          <w:szCs w:val="24"/>
          <w:lang w:val="en-IN"/>
        </w:rPr>
        <w:t>Preprints.org</w:t>
      </w:r>
      <w:r w:rsidRPr="00B42029">
        <w:rPr>
          <w:sz w:val="24"/>
          <w:szCs w:val="24"/>
          <w:lang w:val="en-IN"/>
        </w:rPr>
        <w:t xml:space="preserve">. [online] Available at: </w:t>
      </w:r>
      <w:hyperlink r:id="rId38" w:history="1">
        <w:r w:rsidRPr="00B42029">
          <w:rPr>
            <w:rStyle w:val="Hyperlink"/>
            <w:sz w:val="24"/>
            <w:szCs w:val="24"/>
            <w:lang w:val="en-IN"/>
          </w:rPr>
          <w:t>https://www.preprints.org/manuscript/202601.1365</w:t>
        </w:r>
      </w:hyperlink>
      <w:r w:rsidRPr="00B42029">
        <w:rPr>
          <w:sz w:val="24"/>
          <w:szCs w:val="24"/>
          <w:lang w:val="en-IN"/>
        </w:rPr>
        <w:t xml:space="preserve">. </w:t>
      </w:r>
    </w:p>
    <w:p w14:paraId="7F9FF9A7" w14:textId="73CC8663"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Menegaki, A.N. (2025). Optimizing pollution control in the hospitality sector: A theoretical framework for sustainable hotel operations. </w:t>
      </w:r>
      <w:r w:rsidRPr="00B42029">
        <w:rPr>
          <w:i/>
          <w:iCs/>
          <w:sz w:val="24"/>
          <w:szCs w:val="24"/>
          <w:lang w:val="en-IN"/>
        </w:rPr>
        <w:t>Tourism and Hospitality</w:t>
      </w:r>
      <w:r w:rsidRPr="00B42029">
        <w:rPr>
          <w:sz w:val="24"/>
          <w:szCs w:val="24"/>
          <w:lang w:val="en-IN"/>
        </w:rPr>
        <w:t xml:space="preserve">, 6(2), p.85. </w:t>
      </w:r>
      <w:hyperlink r:id="rId39" w:history="1">
        <w:r w:rsidRPr="00B42029">
          <w:rPr>
            <w:rStyle w:val="Hyperlink"/>
            <w:sz w:val="24"/>
            <w:szCs w:val="24"/>
            <w:lang w:val="en-IN"/>
          </w:rPr>
          <w:t>https://doi.org/10.3390/tourhosp6020085</w:t>
        </w:r>
      </w:hyperlink>
      <w:r w:rsidRPr="00B42029">
        <w:rPr>
          <w:sz w:val="24"/>
          <w:szCs w:val="24"/>
          <w:lang w:val="en-IN"/>
        </w:rPr>
        <w:t xml:space="preserve">. </w:t>
      </w:r>
    </w:p>
    <w:p w14:paraId="373985E9" w14:textId="230400C7"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Olayinka, A.A. (2022). Financial statement analysis as a tool for investment decisions and assessment of companies’ performance. </w:t>
      </w:r>
      <w:r w:rsidRPr="00B42029">
        <w:rPr>
          <w:i/>
          <w:iCs/>
          <w:sz w:val="24"/>
          <w:szCs w:val="24"/>
          <w:lang w:val="en-IN"/>
        </w:rPr>
        <w:t>International Journal of Financial, Accounting, and Management</w:t>
      </w:r>
      <w:r w:rsidRPr="00B42029">
        <w:rPr>
          <w:sz w:val="24"/>
          <w:szCs w:val="24"/>
          <w:lang w:val="en-IN"/>
        </w:rPr>
        <w:t xml:space="preserve">, 4(1), pp.49–66. </w:t>
      </w:r>
      <w:hyperlink r:id="rId40" w:history="1">
        <w:r w:rsidRPr="00B42029">
          <w:rPr>
            <w:rStyle w:val="Hyperlink"/>
            <w:sz w:val="24"/>
            <w:szCs w:val="24"/>
            <w:lang w:val="en-IN"/>
          </w:rPr>
          <w:t>https://doi.org/10.35912/ijfam.v4i1.852</w:t>
        </w:r>
      </w:hyperlink>
      <w:r w:rsidRPr="00B42029">
        <w:rPr>
          <w:sz w:val="24"/>
          <w:szCs w:val="24"/>
          <w:lang w:val="en-IN"/>
        </w:rPr>
        <w:t xml:space="preserve">. </w:t>
      </w:r>
    </w:p>
    <w:p w14:paraId="34D31A6E" w14:textId="68984ECC"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Rubel, M.T.H. and Emran, A.K.M. (2024). </w:t>
      </w:r>
      <w:r w:rsidRPr="00B42029">
        <w:rPr>
          <w:i/>
          <w:iCs/>
          <w:sz w:val="24"/>
          <w:szCs w:val="24"/>
          <w:lang w:val="en-IN"/>
        </w:rPr>
        <w:t>AI-Driven big data transformation and personally identifiable information security in financial data: A systematic review</w:t>
      </w:r>
      <w:r w:rsidRPr="00B42029">
        <w:rPr>
          <w:sz w:val="24"/>
          <w:szCs w:val="24"/>
          <w:lang w:val="en-IN"/>
        </w:rPr>
        <w:t xml:space="preserve">. [online] </w:t>
      </w:r>
      <w:r w:rsidRPr="00B42029">
        <w:rPr>
          <w:i/>
          <w:iCs/>
          <w:sz w:val="24"/>
          <w:szCs w:val="24"/>
          <w:lang w:val="en-IN"/>
        </w:rPr>
        <w:t>Ssrn.com</w:t>
      </w:r>
      <w:r w:rsidRPr="00B42029">
        <w:rPr>
          <w:sz w:val="24"/>
          <w:szCs w:val="24"/>
          <w:lang w:val="en-IN"/>
        </w:rPr>
        <w:t xml:space="preserve">. Available at: </w:t>
      </w:r>
      <w:hyperlink r:id="rId41" w:history="1">
        <w:r w:rsidRPr="00B42029">
          <w:rPr>
            <w:rStyle w:val="Hyperlink"/>
            <w:sz w:val="24"/>
            <w:szCs w:val="24"/>
            <w:lang w:val="en-IN"/>
          </w:rPr>
          <w:t>https://papers.ssrn.com/sol3/papers.cfm?abstract_id=5076896</w:t>
        </w:r>
      </w:hyperlink>
      <w:r w:rsidRPr="00B42029">
        <w:rPr>
          <w:sz w:val="24"/>
          <w:szCs w:val="24"/>
          <w:lang w:val="en-IN"/>
        </w:rPr>
        <w:t xml:space="preserve">. </w:t>
      </w:r>
    </w:p>
    <w:p w14:paraId="21A9BF2F" w14:textId="1ABD409B"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Sam, R. (2025). Extending the P/E and PEG ratios: The role of the potential payback period (PPP) in modern equity valuation. </w:t>
      </w:r>
      <w:hyperlink r:id="rId42" w:history="1">
        <w:r w:rsidRPr="00B42029">
          <w:rPr>
            <w:rStyle w:val="Hyperlink"/>
            <w:sz w:val="24"/>
            <w:szCs w:val="24"/>
            <w:lang w:val="en-IN"/>
          </w:rPr>
          <w:t>https://dx.doi.org/10.2139/ssrn.5240458</w:t>
        </w:r>
      </w:hyperlink>
      <w:r w:rsidRPr="00B42029">
        <w:rPr>
          <w:sz w:val="24"/>
          <w:szCs w:val="24"/>
          <w:lang w:val="en-IN"/>
        </w:rPr>
        <w:t xml:space="preserve">. </w:t>
      </w:r>
    </w:p>
    <w:p w14:paraId="25F63468" w14:textId="56892758"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Scandic Hotels (2025). </w:t>
      </w:r>
      <w:r w:rsidRPr="00B42029">
        <w:rPr>
          <w:i/>
          <w:iCs/>
          <w:sz w:val="24"/>
          <w:szCs w:val="24"/>
          <w:lang w:val="en-IN"/>
        </w:rPr>
        <w:t>Our company | Scandic Hotels Group AB</w:t>
      </w:r>
      <w:r w:rsidRPr="00B42029">
        <w:rPr>
          <w:sz w:val="24"/>
          <w:szCs w:val="24"/>
          <w:lang w:val="en-IN"/>
        </w:rPr>
        <w:t xml:space="preserve">. [online] </w:t>
      </w:r>
      <w:r w:rsidRPr="00B42029">
        <w:rPr>
          <w:i/>
          <w:iCs/>
          <w:sz w:val="24"/>
          <w:szCs w:val="24"/>
          <w:lang w:val="en-IN"/>
        </w:rPr>
        <w:t>www.scandichotelsgroup.com</w:t>
      </w:r>
      <w:r w:rsidRPr="00B42029">
        <w:rPr>
          <w:sz w:val="24"/>
          <w:szCs w:val="24"/>
          <w:lang w:val="en-IN"/>
        </w:rPr>
        <w:t xml:space="preserve">. Available at: </w:t>
      </w:r>
      <w:hyperlink r:id="rId43" w:history="1">
        <w:r w:rsidRPr="00B42029">
          <w:rPr>
            <w:rStyle w:val="Hyperlink"/>
            <w:sz w:val="24"/>
            <w:szCs w:val="24"/>
            <w:lang w:val="en-IN"/>
          </w:rPr>
          <w:t>https://www.scandichotelsgroup.com/our-company/</w:t>
        </w:r>
      </w:hyperlink>
      <w:r w:rsidRPr="00B42029">
        <w:rPr>
          <w:sz w:val="24"/>
          <w:szCs w:val="24"/>
          <w:lang w:val="en-IN"/>
        </w:rPr>
        <w:t xml:space="preserve"> [Accessed 12 Aug. 2026].</w:t>
      </w:r>
    </w:p>
    <w:p w14:paraId="71454349" w14:textId="3E1BC14D" w:rsidR="00C5715E" w:rsidRPr="00B42029" w:rsidRDefault="00C5715E" w:rsidP="00C5715E">
      <w:pPr>
        <w:spacing w:before="240" w:after="240" w:line="360" w:lineRule="auto"/>
        <w:jc w:val="both"/>
        <w:rPr>
          <w:sz w:val="24"/>
          <w:szCs w:val="24"/>
          <w:lang w:val="en-IN"/>
        </w:rPr>
      </w:pPr>
      <w:proofErr w:type="spellStart"/>
      <w:r w:rsidRPr="00B42029">
        <w:rPr>
          <w:sz w:val="24"/>
          <w:szCs w:val="24"/>
          <w:lang w:val="en-IN"/>
        </w:rPr>
        <w:t>Seretidou</w:t>
      </w:r>
      <w:proofErr w:type="spellEnd"/>
      <w:r w:rsidRPr="00B42029">
        <w:rPr>
          <w:sz w:val="24"/>
          <w:szCs w:val="24"/>
          <w:lang w:val="en-IN"/>
        </w:rPr>
        <w:t xml:space="preserve">, D., </w:t>
      </w:r>
      <w:proofErr w:type="spellStart"/>
      <w:r w:rsidRPr="00B42029">
        <w:rPr>
          <w:sz w:val="24"/>
          <w:szCs w:val="24"/>
          <w:lang w:val="en-IN"/>
        </w:rPr>
        <w:t>Billios</w:t>
      </w:r>
      <w:proofErr w:type="spellEnd"/>
      <w:r w:rsidRPr="00B42029">
        <w:rPr>
          <w:sz w:val="24"/>
          <w:szCs w:val="24"/>
          <w:lang w:val="en-IN"/>
        </w:rPr>
        <w:t xml:space="preserve">, D. and Stavropoulos, A. (2025). Integrative analysis of traditional and cash flow financial ratios: Insights from a systematic comparative review. </w:t>
      </w:r>
      <w:r w:rsidRPr="00B42029">
        <w:rPr>
          <w:i/>
          <w:iCs/>
          <w:sz w:val="24"/>
          <w:szCs w:val="24"/>
          <w:lang w:val="en-IN"/>
        </w:rPr>
        <w:t>Risks</w:t>
      </w:r>
      <w:r w:rsidRPr="00B42029">
        <w:rPr>
          <w:sz w:val="24"/>
          <w:szCs w:val="24"/>
          <w:lang w:val="en-IN"/>
        </w:rPr>
        <w:t xml:space="preserve">, [online] 13(4), pp.62–62. Available at: </w:t>
      </w:r>
      <w:hyperlink r:id="rId44" w:history="1">
        <w:r w:rsidRPr="00B42029">
          <w:rPr>
            <w:rStyle w:val="Hyperlink"/>
            <w:sz w:val="24"/>
            <w:szCs w:val="24"/>
            <w:lang w:val="en-IN"/>
          </w:rPr>
          <w:t>https://doi.org/10.3390/risks13040062</w:t>
        </w:r>
      </w:hyperlink>
      <w:r w:rsidRPr="00B42029">
        <w:rPr>
          <w:sz w:val="24"/>
          <w:szCs w:val="24"/>
          <w:lang w:val="en-IN"/>
        </w:rPr>
        <w:t xml:space="preserve">. </w:t>
      </w:r>
    </w:p>
    <w:p w14:paraId="093328A1" w14:textId="7453A6F6" w:rsidR="00C5715E" w:rsidRPr="00B42029" w:rsidRDefault="00C5715E" w:rsidP="00C5715E">
      <w:pPr>
        <w:spacing w:before="240" w:after="240" w:line="360" w:lineRule="auto"/>
        <w:jc w:val="both"/>
        <w:rPr>
          <w:sz w:val="24"/>
          <w:szCs w:val="24"/>
          <w:lang w:val="en-IN"/>
        </w:rPr>
      </w:pPr>
      <w:r w:rsidRPr="00B42029">
        <w:rPr>
          <w:sz w:val="24"/>
          <w:szCs w:val="24"/>
          <w:lang w:val="en-IN"/>
        </w:rPr>
        <w:lastRenderedPageBreak/>
        <w:t xml:space="preserve">Suijs, J. and Yang, L. (2022). Disclosure, real investment and capital rationing in equity markets. </w:t>
      </w:r>
      <w:r w:rsidRPr="00B42029">
        <w:rPr>
          <w:i/>
          <w:iCs/>
          <w:sz w:val="24"/>
          <w:szCs w:val="24"/>
          <w:lang w:val="en-IN"/>
        </w:rPr>
        <w:t>SSRN Electronic Journal</w:t>
      </w:r>
      <w:r w:rsidRPr="00B42029">
        <w:rPr>
          <w:sz w:val="24"/>
          <w:szCs w:val="24"/>
          <w:lang w:val="en-IN"/>
        </w:rPr>
        <w:t xml:space="preserve">. </w:t>
      </w:r>
      <w:hyperlink r:id="rId45" w:history="1">
        <w:r w:rsidRPr="00B42029">
          <w:rPr>
            <w:rStyle w:val="Hyperlink"/>
            <w:sz w:val="24"/>
            <w:szCs w:val="24"/>
            <w:lang w:val="en-IN"/>
          </w:rPr>
          <w:t>https://dx.doi.org/10.2139/ssrn.4044719</w:t>
        </w:r>
      </w:hyperlink>
      <w:r w:rsidRPr="00B42029">
        <w:rPr>
          <w:sz w:val="24"/>
          <w:szCs w:val="24"/>
          <w:lang w:val="en-IN"/>
        </w:rPr>
        <w:t xml:space="preserve">. </w:t>
      </w:r>
    </w:p>
    <w:p w14:paraId="0AAA6B8D" w14:textId="5F0C5937"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Wu, A., Wu, Q. and Seshadri, S. (2025). Effects of financial constraints on supply chain financing choices and operational decisions. </w:t>
      </w:r>
      <w:r w:rsidRPr="00B42029">
        <w:rPr>
          <w:i/>
          <w:iCs/>
          <w:sz w:val="24"/>
          <w:szCs w:val="24"/>
          <w:lang w:val="en-IN"/>
        </w:rPr>
        <w:t>Management Science</w:t>
      </w:r>
      <w:r w:rsidRPr="00B42029">
        <w:rPr>
          <w:sz w:val="24"/>
          <w:szCs w:val="24"/>
          <w:lang w:val="en-IN"/>
        </w:rPr>
        <w:t xml:space="preserve">. </w:t>
      </w:r>
      <w:hyperlink r:id="rId46" w:history="1">
        <w:r w:rsidRPr="00B42029">
          <w:rPr>
            <w:rStyle w:val="Hyperlink"/>
            <w:sz w:val="24"/>
            <w:szCs w:val="24"/>
            <w:lang w:val="en-IN"/>
          </w:rPr>
          <w:t>https://doi.org/10.1287/mnsc.2024.08465</w:t>
        </w:r>
      </w:hyperlink>
      <w:r w:rsidRPr="00B42029">
        <w:rPr>
          <w:sz w:val="24"/>
          <w:szCs w:val="24"/>
          <w:lang w:val="en-IN"/>
        </w:rPr>
        <w:t xml:space="preserve">. </w:t>
      </w:r>
    </w:p>
    <w:p w14:paraId="46ECC981" w14:textId="73FD71B5" w:rsidR="00C5715E" w:rsidRPr="00B42029" w:rsidRDefault="00C5715E" w:rsidP="00C5715E">
      <w:pPr>
        <w:spacing w:before="240" w:after="240" w:line="360" w:lineRule="auto"/>
        <w:jc w:val="both"/>
        <w:rPr>
          <w:sz w:val="24"/>
          <w:szCs w:val="24"/>
          <w:lang w:val="en-IN"/>
        </w:rPr>
      </w:pPr>
      <w:r w:rsidRPr="00B42029">
        <w:rPr>
          <w:sz w:val="24"/>
          <w:szCs w:val="24"/>
          <w:lang w:val="en-IN"/>
        </w:rPr>
        <w:t xml:space="preserve">Yahoo Finance (2026). </w:t>
      </w:r>
      <w:r w:rsidRPr="00B42029">
        <w:rPr>
          <w:i/>
          <w:iCs/>
          <w:sz w:val="24"/>
          <w:szCs w:val="24"/>
          <w:lang w:val="en-IN"/>
        </w:rPr>
        <w:t>Scandic Hotels Group AB (PUBL) (</w:t>
      </w:r>
      <w:r w:rsidR="00B42029" w:rsidRPr="00B42029">
        <w:rPr>
          <w:i/>
          <w:iCs/>
          <w:sz w:val="24"/>
          <w:szCs w:val="24"/>
          <w:lang w:val="en-IN"/>
        </w:rPr>
        <w:t>shot. St</w:t>
      </w:r>
      <w:r w:rsidRPr="00B42029">
        <w:rPr>
          <w:i/>
          <w:iCs/>
          <w:sz w:val="24"/>
          <w:szCs w:val="24"/>
          <w:lang w:val="en-IN"/>
        </w:rPr>
        <w:t>) balance sheet - Yahoo Finance</w:t>
      </w:r>
      <w:r w:rsidRPr="00B42029">
        <w:rPr>
          <w:sz w:val="24"/>
          <w:szCs w:val="24"/>
          <w:lang w:val="en-IN"/>
        </w:rPr>
        <w:t xml:space="preserve">. [online] Yahoo Finance. Available at: </w:t>
      </w:r>
      <w:hyperlink r:id="rId47" w:history="1">
        <w:r w:rsidRPr="00B42029">
          <w:rPr>
            <w:rStyle w:val="Hyperlink"/>
            <w:sz w:val="24"/>
            <w:szCs w:val="24"/>
            <w:lang w:val="en-IN"/>
          </w:rPr>
          <w:t>https://finance.yahoo.com/quote/SHOT.ST/balance-sheet/</w:t>
        </w:r>
      </w:hyperlink>
      <w:r w:rsidRPr="00B42029">
        <w:rPr>
          <w:sz w:val="24"/>
          <w:szCs w:val="24"/>
          <w:lang w:val="en-IN"/>
        </w:rPr>
        <w:t xml:space="preserve"> [Accessed 12 Aug. 2026].</w:t>
      </w:r>
    </w:p>
    <w:p w14:paraId="19F8367C" w14:textId="0E128D9A" w:rsidR="00B8765D" w:rsidRPr="00B42029" w:rsidRDefault="00B8765D">
      <w:pPr>
        <w:rPr>
          <w:sz w:val="24"/>
          <w:szCs w:val="24"/>
          <w:lang w:val="en-IN"/>
        </w:rPr>
      </w:pPr>
      <w:r w:rsidRPr="00B42029">
        <w:rPr>
          <w:sz w:val="24"/>
          <w:szCs w:val="24"/>
          <w:lang w:val="en-IN"/>
        </w:rPr>
        <w:br w:type="page"/>
      </w:r>
    </w:p>
    <w:p w14:paraId="142F7B51" w14:textId="77777777" w:rsidR="00B8765D" w:rsidRPr="00B42029" w:rsidRDefault="00B8765D" w:rsidP="00B8765D">
      <w:pPr>
        <w:pStyle w:val="Heading1"/>
        <w:rPr>
          <w:lang w:val="en-IN"/>
        </w:rPr>
      </w:pPr>
      <w:bookmarkStart w:id="49" w:name="_Toc237451752"/>
      <w:r w:rsidRPr="00B42029">
        <w:rPr>
          <w:lang w:val="en-IN"/>
        </w:rPr>
        <w:lastRenderedPageBreak/>
        <w:t>Appendices</w:t>
      </w:r>
      <w:bookmarkEnd w:id="49"/>
    </w:p>
    <w:p w14:paraId="63CD1BB1" w14:textId="2B2904AB" w:rsidR="00B8765D" w:rsidRPr="00B42029" w:rsidRDefault="00B8765D" w:rsidP="00B8765D">
      <w:pPr>
        <w:pStyle w:val="Heading2"/>
        <w:rPr>
          <w:lang w:val="en-IN"/>
        </w:rPr>
      </w:pPr>
      <w:bookmarkStart w:id="50" w:name="_Toc237451753"/>
      <w:r w:rsidRPr="00B42029">
        <w:rPr>
          <w:lang w:val="en-IN"/>
        </w:rPr>
        <w:t>Appendix A: Detailed ratio calculations</w:t>
      </w:r>
      <w:bookmarkEnd w:id="50"/>
    </w:p>
    <w:tbl>
      <w:tblPr>
        <w:tblW w:w="5000" w:type="pct"/>
        <w:tblLook w:val="04A0" w:firstRow="1" w:lastRow="0" w:firstColumn="1" w:lastColumn="0" w:noHBand="0" w:noVBand="1"/>
      </w:tblPr>
      <w:tblGrid>
        <w:gridCol w:w="3940"/>
        <w:gridCol w:w="1015"/>
        <w:gridCol w:w="1016"/>
        <w:gridCol w:w="1016"/>
        <w:gridCol w:w="1016"/>
        <w:gridCol w:w="1016"/>
      </w:tblGrid>
      <w:tr w:rsidR="00B8765D" w:rsidRPr="00B42029" w14:paraId="7FE1A569" w14:textId="77777777" w:rsidTr="00B8765D">
        <w:trPr>
          <w:trHeight w:val="315"/>
        </w:trPr>
        <w:tc>
          <w:tcPr>
            <w:tcW w:w="5000" w:type="pct"/>
            <w:gridSpan w:val="6"/>
            <w:tcBorders>
              <w:top w:val="single" w:sz="4" w:space="0" w:color="0000FF"/>
              <w:left w:val="single" w:sz="4" w:space="0" w:color="0000FF"/>
              <w:bottom w:val="nil"/>
              <w:right w:val="single" w:sz="4" w:space="0" w:color="0000FF"/>
            </w:tcBorders>
            <w:noWrap/>
            <w:vAlign w:val="center"/>
            <w:hideMark/>
          </w:tcPr>
          <w:p w14:paraId="57C6C789" w14:textId="77777777" w:rsidR="00B8765D" w:rsidRPr="00B42029" w:rsidRDefault="00B8765D" w:rsidP="00B8765D">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Ratio Analysis for Scandic, SEK Million</w:t>
            </w:r>
          </w:p>
        </w:tc>
      </w:tr>
      <w:tr w:rsidR="00B8765D" w:rsidRPr="00B42029" w14:paraId="1EE9914A" w14:textId="77777777" w:rsidTr="00B8765D">
        <w:trPr>
          <w:trHeight w:val="372"/>
        </w:trPr>
        <w:tc>
          <w:tcPr>
            <w:tcW w:w="2186" w:type="pct"/>
            <w:tcBorders>
              <w:top w:val="single" w:sz="4" w:space="0" w:color="FFFFFF"/>
              <w:left w:val="single" w:sz="4" w:space="0" w:color="FFFFFF"/>
              <w:bottom w:val="single" w:sz="4" w:space="0" w:color="FFFFFF"/>
              <w:right w:val="single" w:sz="4" w:space="0" w:color="FFFFFF"/>
            </w:tcBorders>
            <w:shd w:val="clear" w:color="351C75" w:fill="351C75"/>
            <w:noWrap/>
            <w:vAlign w:val="center"/>
            <w:hideMark/>
          </w:tcPr>
          <w:p w14:paraId="0E93BAC3"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Element</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54708A01"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2021</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7C6B26EB"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2022</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35C10E6A"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2023</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4A52DAE3"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2024</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67A42342"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2025</w:t>
            </w:r>
          </w:p>
        </w:tc>
      </w:tr>
      <w:tr w:rsidR="00B8765D" w:rsidRPr="00B42029" w14:paraId="3383DF5B" w14:textId="77777777" w:rsidTr="00B8765D">
        <w:trPr>
          <w:trHeight w:val="360"/>
        </w:trPr>
        <w:tc>
          <w:tcPr>
            <w:tcW w:w="2186" w:type="pct"/>
            <w:tcBorders>
              <w:top w:val="nil"/>
              <w:left w:val="single" w:sz="4" w:space="0" w:color="000000"/>
              <w:bottom w:val="single" w:sz="4" w:space="0" w:color="000000"/>
              <w:right w:val="single" w:sz="4" w:space="0" w:color="000000"/>
            </w:tcBorders>
            <w:noWrap/>
            <w:vAlign w:val="center"/>
            <w:hideMark/>
          </w:tcPr>
          <w:p w14:paraId="01779675" w14:textId="77777777" w:rsidR="00B8765D" w:rsidRPr="00B42029" w:rsidRDefault="00B8765D" w:rsidP="00B8765D">
            <w:pPr>
              <w:spacing w:line="240" w:lineRule="auto"/>
              <w:rPr>
                <w:rFonts w:eastAsia="Times New Roman"/>
                <w:b/>
                <w:bCs/>
                <w:i/>
                <w:iCs/>
                <w:color w:val="000000"/>
                <w:sz w:val="28"/>
                <w:szCs w:val="28"/>
                <w:lang w:val="en-IN"/>
              </w:rPr>
            </w:pPr>
            <w:r w:rsidRPr="00B42029">
              <w:rPr>
                <w:rFonts w:eastAsia="Times New Roman"/>
                <w:b/>
                <w:bCs/>
                <w:i/>
                <w:iCs/>
                <w:color w:val="000000"/>
                <w:sz w:val="28"/>
                <w:szCs w:val="28"/>
                <w:lang w:val="en-IN"/>
              </w:rPr>
              <w:t>Profitability Ratios</w:t>
            </w:r>
          </w:p>
        </w:tc>
        <w:tc>
          <w:tcPr>
            <w:tcW w:w="563" w:type="pct"/>
            <w:tcBorders>
              <w:top w:val="nil"/>
              <w:left w:val="nil"/>
              <w:bottom w:val="single" w:sz="4" w:space="0" w:color="000000"/>
              <w:right w:val="single" w:sz="4" w:space="0" w:color="000000"/>
            </w:tcBorders>
            <w:noWrap/>
            <w:vAlign w:val="center"/>
            <w:hideMark/>
          </w:tcPr>
          <w:p w14:paraId="63D3C06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D89D8B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C4C8002"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5DD7B327"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700C49F"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7189F158"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651C667F"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Net Profit Margin</w:t>
            </w:r>
          </w:p>
        </w:tc>
        <w:tc>
          <w:tcPr>
            <w:tcW w:w="563" w:type="pct"/>
            <w:tcBorders>
              <w:top w:val="nil"/>
              <w:left w:val="nil"/>
              <w:bottom w:val="single" w:sz="4" w:space="0" w:color="000000"/>
              <w:right w:val="single" w:sz="4" w:space="0" w:color="000000"/>
            </w:tcBorders>
            <w:shd w:val="clear" w:color="00FFFF" w:fill="00FFFF"/>
            <w:noWrap/>
            <w:vAlign w:val="center"/>
            <w:hideMark/>
          </w:tcPr>
          <w:p w14:paraId="0D94F812" w14:textId="77777777" w:rsidR="00B8765D" w:rsidRPr="00B42029" w:rsidRDefault="00B8765D" w:rsidP="00B8765D">
            <w:pPr>
              <w:spacing w:line="240" w:lineRule="auto"/>
              <w:jc w:val="center"/>
              <w:rPr>
                <w:rFonts w:eastAsia="Times New Roman"/>
                <w:b/>
                <w:bCs/>
                <w:sz w:val="24"/>
                <w:szCs w:val="24"/>
                <w:lang w:val="en-IN"/>
              </w:rPr>
            </w:pPr>
            <w:r w:rsidRPr="00B42029">
              <w:rPr>
                <w:rFonts w:eastAsia="Times New Roman"/>
                <w:b/>
                <w:bCs/>
                <w:sz w:val="24"/>
                <w:szCs w:val="24"/>
                <w:lang w:val="en-IN"/>
              </w:rPr>
              <w:t>15.85%</w:t>
            </w:r>
          </w:p>
        </w:tc>
        <w:tc>
          <w:tcPr>
            <w:tcW w:w="563" w:type="pct"/>
            <w:tcBorders>
              <w:top w:val="nil"/>
              <w:left w:val="nil"/>
              <w:bottom w:val="single" w:sz="4" w:space="0" w:color="000000"/>
              <w:right w:val="single" w:sz="4" w:space="0" w:color="000000"/>
            </w:tcBorders>
            <w:shd w:val="clear" w:color="00FFFF" w:fill="00FFFF"/>
            <w:noWrap/>
            <w:vAlign w:val="center"/>
            <w:hideMark/>
          </w:tcPr>
          <w:p w14:paraId="26FD8D87" w14:textId="77777777" w:rsidR="00B8765D" w:rsidRPr="00B42029" w:rsidRDefault="00B8765D" w:rsidP="00B8765D">
            <w:pPr>
              <w:spacing w:line="240" w:lineRule="auto"/>
              <w:jc w:val="center"/>
              <w:rPr>
                <w:rFonts w:eastAsia="Times New Roman"/>
                <w:b/>
                <w:bCs/>
                <w:sz w:val="24"/>
                <w:szCs w:val="24"/>
                <w:lang w:val="en-IN"/>
              </w:rPr>
            </w:pPr>
            <w:r w:rsidRPr="00B42029">
              <w:rPr>
                <w:rFonts w:eastAsia="Times New Roman"/>
                <w:b/>
                <w:bCs/>
                <w:sz w:val="24"/>
                <w:szCs w:val="24"/>
                <w:lang w:val="en-IN"/>
              </w:rPr>
              <w:t>9.40%</w:t>
            </w:r>
          </w:p>
        </w:tc>
        <w:tc>
          <w:tcPr>
            <w:tcW w:w="563" w:type="pct"/>
            <w:tcBorders>
              <w:top w:val="nil"/>
              <w:left w:val="nil"/>
              <w:bottom w:val="single" w:sz="4" w:space="0" w:color="000000"/>
              <w:right w:val="single" w:sz="4" w:space="0" w:color="000000"/>
            </w:tcBorders>
            <w:shd w:val="clear" w:color="00FFFF" w:fill="00FFFF"/>
            <w:noWrap/>
            <w:vAlign w:val="center"/>
            <w:hideMark/>
          </w:tcPr>
          <w:p w14:paraId="682B365A"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2.59%</w:t>
            </w:r>
          </w:p>
        </w:tc>
        <w:tc>
          <w:tcPr>
            <w:tcW w:w="563" w:type="pct"/>
            <w:tcBorders>
              <w:top w:val="nil"/>
              <w:left w:val="nil"/>
              <w:bottom w:val="single" w:sz="4" w:space="0" w:color="000000"/>
              <w:right w:val="single" w:sz="4" w:space="0" w:color="000000"/>
            </w:tcBorders>
            <w:shd w:val="clear" w:color="00FFFF" w:fill="00FFFF"/>
            <w:noWrap/>
            <w:vAlign w:val="center"/>
            <w:hideMark/>
          </w:tcPr>
          <w:p w14:paraId="5CD11161"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2.97%</w:t>
            </w:r>
          </w:p>
        </w:tc>
        <w:tc>
          <w:tcPr>
            <w:tcW w:w="563" w:type="pct"/>
            <w:tcBorders>
              <w:top w:val="nil"/>
              <w:left w:val="nil"/>
              <w:bottom w:val="single" w:sz="4" w:space="0" w:color="000000"/>
              <w:right w:val="single" w:sz="4" w:space="0" w:color="000000"/>
            </w:tcBorders>
            <w:shd w:val="clear" w:color="00FFFF" w:fill="00FFFF"/>
            <w:noWrap/>
            <w:vAlign w:val="center"/>
            <w:hideMark/>
          </w:tcPr>
          <w:p w14:paraId="5B94ABA6"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2.80%</w:t>
            </w:r>
          </w:p>
        </w:tc>
      </w:tr>
      <w:tr w:rsidR="00B8765D" w:rsidRPr="00B42029" w14:paraId="30EED983"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53FCA857"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Net Profit</w:t>
            </w:r>
          </w:p>
        </w:tc>
        <w:tc>
          <w:tcPr>
            <w:tcW w:w="563" w:type="pct"/>
            <w:tcBorders>
              <w:top w:val="nil"/>
              <w:left w:val="nil"/>
              <w:bottom w:val="single" w:sz="4" w:space="0" w:color="000000"/>
              <w:right w:val="single" w:sz="4" w:space="0" w:color="000000"/>
            </w:tcBorders>
            <w:vAlign w:val="center"/>
            <w:hideMark/>
          </w:tcPr>
          <w:p w14:paraId="1ED2F6B0"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1,606.00</w:t>
            </w:r>
          </w:p>
        </w:tc>
        <w:tc>
          <w:tcPr>
            <w:tcW w:w="563" w:type="pct"/>
            <w:tcBorders>
              <w:top w:val="nil"/>
              <w:left w:val="nil"/>
              <w:bottom w:val="single" w:sz="4" w:space="0" w:color="000000"/>
              <w:right w:val="single" w:sz="4" w:space="0" w:color="000000"/>
            </w:tcBorders>
            <w:vAlign w:val="center"/>
            <w:hideMark/>
          </w:tcPr>
          <w:p w14:paraId="1E4E72B0"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1,808.00</w:t>
            </w:r>
          </w:p>
        </w:tc>
        <w:tc>
          <w:tcPr>
            <w:tcW w:w="563" w:type="pct"/>
            <w:tcBorders>
              <w:top w:val="nil"/>
              <w:left w:val="nil"/>
              <w:bottom w:val="single" w:sz="4" w:space="0" w:color="000000"/>
              <w:right w:val="single" w:sz="4" w:space="0" w:color="000000"/>
            </w:tcBorders>
            <w:vAlign w:val="center"/>
            <w:hideMark/>
          </w:tcPr>
          <w:p w14:paraId="42929EFB"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569.00</w:t>
            </w:r>
          </w:p>
        </w:tc>
        <w:tc>
          <w:tcPr>
            <w:tcW w:w="563" w:type="pct"/>
            <w:tcBorders>
              <w:top w:val="nil"/>
              <w:left w:val="nil"/>
              <w:bottom w:val="single" w:sz="4" w:space="0" w:color="000000"/>
              <w:right w:val="single" w:sz="4" w:space="0" w:color="000000"/>
            </w:tcBorders>
            <w:vAlign w:val="center"/>
            <w:hideMark/>
          </w:tcPr>
          <w:p w14:paraId="0DE9E33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652.00</w:t>
            </w:r>
          </w:p>
        </w:tc>
        <w:tc>
          <w:tcPr>
            <w:tcW w:w="563" w:type="pct"/>
            <w:tcBorders>
              <w:top w:val="nil"/>
              <w:left w:val="nil"/>
              <w:bottom w:val="single" w:sz="4" w:space="0" w:color="000000"/>
              <w:right w:val="single" w:sz="4" w:space="0" w:color="000000"/>
            </w:tcBorders>
            <w:vAlign w:val="center"/>
            <w:hideMark/>
          </w:tcPr>
          <w:p w14:paraId="60BF961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624.00</w:t>
            </w:r>
          </w:p>
        </w:tc>
      </w:tr>
      <w:tr w:rsidR="00B8765D" w:rsidRPr="00B42029" w14:paraId="11DC6C58"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561B3D8C"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6E14FE38"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10,130.00</w:t>
            </w:r>
          </w:p>
        </w:tc>
        <w:tc>
          <w:tcPr>
            <w:tcW w:w="563" w:type="pct"/>
            <w:tcBorders>
              <w:top w:val="nil"/>
              <w:left w:val="nil"/>
              <w:bottom w:val="single" w:sz="4" w:space="0" w:color="000000"/>
              <w:right w:val="single" w:sz="4" w:space="0" w:color="000000"/>
            </w:tcBorders>
            <w:noWrap/>
            <w:vAlign w:val="center"/>
            <w:hideMark/>
          </w:tcPr>
          <w:p w14:paraId="3669ACCB"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19,233.00</w:t>
            </w:r>
          </w:p>
        </w:tc>
        <w:tc>
          <w:tcPr>
            <w:tcW w:w="563" w:type="pct"/>
            <w:tcBorders>
              <w:top w:val="nil"/>
              <w:left w:val="nil"/>
              <w:bottom w:val="single" w:sz="4" w:space="0" w:color="000000"/>
              <w:right w:val="single" w:sz="4" w:space="0" w:color="000000"/>
            </w:tcBorders>
            <w:noWrap/>
            <w:vAlign w:val="center"/>
            <w:hideMark/>
          </w:tcPr>
          <w:p w14:paraId="0F16CABB"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21,955.00</w:t>
            </w:r>
          </w:p>
        </w:tc>
        <w:tc>
          <w:tcPr>
            <w:tcW w:w="563" w:type="pct"/>
            <w:tcBorders>
              <w:top w:val="nil"/>
              <w:left w:val="nil"/>
              <w:bottom w:val="single" w:sz="4" w:space="0" w:color="000000"/>
              <w:right w:val="single" w:sz="4" w:space="0" w:color="000000"/>
            </w:tcBorders>
            <w:noWrap/>
            <w:vAlign w:val="center"/>
            <w:hideMark/>
          </w:tcPr>
          <w:p w14:paraId="786C1962"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21,959.00</w:t>
            </w:r>
          </w:p>
        </w:tc>
        <w:tc>
          <w:tcPr>
            <w:tcW w:w="563" w:type="pct"/>
            <w:tcBorders>
              <w:top w:val="nil"/>
              <w:left w:val="nil"/>
              <w:bottom w:val="single" w:sz="4" w:space="0" w:color="000000"/>
              <w:right w:val="single" w:sz="4" w:space="0" w:color="000000"/>
            </w:tcBorders>
            <w:noWrap/>
            <w:vAlign w:val="center"/>
            <w:hideMark/>
          </w:tcPr>
          <w:p w14:paraId="6616C04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22,289.00</w:t>
            </w:r>
          </w:p>
        </w:tc>
      </w:tr>
      <w:tr w:rsidR="00B8765D" w:rsidRPr="00B42029" w14:paraId="4B522B1B"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5035370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48DA15A"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873B2F0"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9A498B3"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7A82DA00"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8F21D14"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1D86C111"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2A4C9668"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Operating Profit Margin</w:t>
            </w:r>
          </w:p>
        </w:tc>
        <w:tc>
          <w:tcPr>
            <w:tcW w:w="563" w:type="pct"/>
            <w:tcBorders>
              <w:top w:val="nil"/>
              <w:left w:val="nil"/>
              <w:bottom w:val="single" w:sz="4" w:space="0" w:color="000000"/>
              <w:right w:val="single" w:sz="4" w:space="0" w:color="000000"/>
            </w:tcBorders>
            <w:shd w:val="clear" w:color="00FFFF" w:fill="00FFFF"/>
            <w:noWrap/>
            <w:vAlign w:val="center"/>
            <w:hideMark/>
          </w:tcPr>
          <w:p w14:paraId="5732E753" w14:textId="77777777" w:rsidR="00B8765D" w:rsidRPr="00B42029" w:rsidRDefault="00B8765D" w:rsidP="00B8765D">
            <w:pPr>
              <w:spacing w:line="240" w:lineRule="auto"/>
              <w:jc w:val="center"/>
              <w:rPr>
                <w:rFonts w:eastAsia="Times New Roman"/>
                <w:b/>
                <w:bCs/>
                <w:sz w:val="24"/>
                <w:szCs w:val="24"/>
                <w:lang w:val="en-IN"/>
              </w:rPr>
            </w:pPr>
            <w:r w:rsidRPr="00B42029">
              <w:rPr>
                <w:rFonts w:eastAsia="Times New Roman"/>
                <w:b/>
                <w:bCs/>
                <w:sz w:val="24"/>
                <w:szCs w:val="24"/>
                <w:lang w:val="en-IN"/>
              </w:rPr>
              <w:t>26.64%</w:t>
            </w:r>
          </w:p>
        </w:tc>
        <w:tc>
          <w:tcPr>
            <w:tcW w:w="563" w:type="pct"/>
            <w:tcBorders>
              <w:top w:val="nil"/>
              <w:left w:val="nil"/>
              <w:bottom w:val="single" w:sz="4" w:space="0" w:color="000000"/>
              <w:right w:val="single" w:sz="4" w:space="0" w:color="000000"/>
            </w:tcBorders>
            <w:shd w:val="clear" w:color="00FFFF" w:fill="00FFFF"/>
            <w:noWrap/>
            <w:vAlign w:val="center"/>
            <w:hideMark/>
          </w:tcPr>
          <w:p w14:paraId="56E1494C" w14:textId="77777777" w:rsidR="00B8765D" w:rsidRPr="00B42029" w:rsidRDefault="00B8765D" w:rsidP="00B8765D">
            <w:pPr>
              <w:spacing w:line="240" w:lineRule="auto"/>
              <w:jc w:val="center"/>
              <w:rPr>
                <w:rFonts w:eastAsia="Times New Roman"/>
                <w:b/>
                <w:bCs/>
                <w:sz w:val="24"/>
                <w:szCs w:val="24"/>
                <w:lang w:val="en-IN"/>
              </w:rPr>
            </w:pPr>
            <w:r w:rsidRPr="00B42029">
              <w:rPr>
                <w:rFonts w:eastAsia="Times New Roman"/>
                <w:b/>
                <w:bCs/>
                <w:sz w:val="24"/>
                <w:szCs w:val="24"/>
                <w:lang w:val="en-IN"/>
              </w:rPr>
              <w:t>30.31%</w:t>
            </w:r>
          </w:p>
        </w:tc>
        <w:tc>
          <w:tcPr>
            <w:tcW w:w="563" w:type="pct"/>
            <w:tcBorders>
              <w:top w:val="nil"/>
              <w:left w:val="nil"/>
              <w:bottom w:val="single" w:sz="4" w:space="0" w:color="000000"/>
              <w:right w:val="single" w:sz="4" w:space="0" w:color="000000"/>
            </w:tcBorders>
            <w:shd w:val="clear" w:color="00FFFF" w:fill="00FFFF"/>
            <w:noWrap/>
            <w:vAlign w:val="center"/>
            <w:hideMark/>
          </w:tcPr>
          <w:p w14:paraId="1BC5C2E7"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12.69%</w:t>
            </w:r>
          </w:p>
        </w:tc>
        <w:tc>
          <w:tcPr>
            <w:tcW w:w="563" w:type="pct"/>
            <w:tcBorders>
              <w:top w:val="nil"/>
              <w:left w:val="nil"/>
              <w:bottom w:val="single" w:sz="4" w:space="0" w:color="000000"/>
              <w:right w:val="single" w:sz="4" w:space="0" w:color="000000"/>
            </w:tcBorders>
            <w:shd w:val="clear" w:color="00FFFF" w:fill="00FFFF"/>
            <w:noWrap/>
            <w:vAlign w:val="center"/>
            <w:hideMark/>
          </w:tcPr>
          <w:p w14:paraId="0CD2C6AD"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12.91%</w:t>
            </w:r>
          </w:p>
        </w:tc>
        <w:tc>
          <w:tcPr>
            <w:tcW w:w="563" w:type="pct"/>
            <w:tcBorders>
              <w:top w:val="nil"/>
              <w:left w:val="nil"/>
              <w:bottom w:val="single" w:sz="4" w:space="0" w:color="000000"/>
              <w:right w:val="single" w:sz="4" w:space="0" w:color="000000"/>
            </w:tcBorders>
            <w:shd w:val="clear" w:color="00FFFF" w:fill="00FFFF"/>
            <w:noWrap/>
            <w:vAlign w:val="center"/>
            <w:hideMark/>
          </w:tcPr>
          <w:p w14:paraId="0D1C9B84"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11.94%</w:t>
            </w:r>
          </w:p>
        </w:tc>
      </w:tr>
      <w:tr w:rsidR="00B8765D" w:rsidRPr="00B42029" w14:paraId="0CCF4B0B"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55A95FCC"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Operating Profit</w:t>
            </w:r>
          </w:p>
        </w:tc>
        <w:tc>
          <w:tcPr>
            <w:tcW w:w="563" w:type="pct"/>
            <w:tcBorders>
              <w:top w:val="nil"/>
              <w:left w:val="nil"/>
              <w:bottom w:val="single" w:sz="4" w:space="0" w:color="000000"/>
              <w:right w:val="single" w:sz="4" w:space="0" w:color="000000"/>
            </w:tcBorders>
            <w:vAlign w:val="center"/>
            <w:hideMark/>
          </w:tcPr>
          <w:p w14:paraId="5DCCFEE8"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2,699.00</w:t>
            </w:r>
          </w:p>
        </w:tc>
        <w:tc>
          <w:tcPr>
            <w:tcW w:w="563" w:type="pct"/>
            <w:tcBorders>
              <w:top w:val="nil"/>
              <w:left w:val="nil"/>
              <w:bottom w:val="single" w:sz="4" w:space="0" w:color="000000"/>
              <w:right w:val="single" w:sz="4" w:space="0" w:color="000000"/>
            </w:tcBorders>
            <w:vAlign w:val="center"/>
            <w:hideMark/>
          </w:tcPr>
          <w:p w14:paraId="1C5BF668"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5,829.00</w:t>
            </w:r>
          </w:p>
        </w:tc>
        <w:tc>
          <w:tcPr>
            <w:tcW w:w="563" w:type="pct"/>
            <w:tcBorders>
              <w:top w:val="nil"/>
              <w:left w:val="nil"/>
              <w:bottom w:val="single" w:sz="4" w:space="0" w:color="000000"/>
              <w:right w:val="single" w:sz="4" w:space="0" w:color="000000"/>
            </w:tcBorders>
            <w:vAlign w:val="center"/>
            <w:hideMark/>
          </w:tcPr>
          <w:p w14:paraId="0F08AB62"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2,785.00</w:t>
            </w:r>
          </w:p>
        </w:tc>
        <w:tc>
          <w:tcPr>
            <w:tcW w:w="563" w:type="pct"/>
            <w:tcBorders>
              <w:top w:val="nil"/>
              <w:left w:val="nil"/>
              <w:bottom w:val="single" w:sz="4" w:space="0" w:color="000000"/>
              <w:right w:val="single" w:sz="4" w:space="0" w:color="000000"/>
            </w:tcBorders>
            <w:vAlign w:val="center"/>
            <w:hideMark/>
          </w:tcPr>
          <w:p w14:paraId="5AA3798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2,836.00</w:t>
            </w:r>
          </w:p>
        </w:tc>
        <w:tc>
          <w:tcPr>
            <w:tcW w:w="563" w:type="pct"/>
            <w:tcBorders>
              <w:top w:val="nil"/>
              <w:left w:val="nil"/>
              <w:bottom w:val="single" w:sz="4" w:space="0" w:color="000000"/>
              <w:right w:val="single" w:sz="4" w:space="0" w:color="000000"/>
            </w:tcBorders>
            <w:vAlign w:val="center"/>
            <w:hideMark/>
          </w:tcPr>
          <w:p w14:paraId="4C7A59A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2,661.00</w:t>
            </w:r>
          </w:p>
        </w:tc>
      </w:tr>
      <w:tr w:rsidR="00B8765D" w:rsidRPr="00B42029" w14:paraId="272BAA3F"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077EAEE1"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vAlign w:val="center"/>
            <w:hideMark/>
          </w:tcPr>
          <w:p w14:paraId="2207A4F6"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10,130.00</w:t>
            </w:r>
          </w:p>
        </w:tc>
        <w:tc>
          <w:tcPr>
            <w:tcW w:w="563" w:type="pct"/>
            <w:tcBorders>
              <w:top w:val="nil"/>
              <w:left w:val="nil"/>
              <w:bottom w:val="single" w:sz="4" w:space="0" w:color="000000"/>
              <w:right w:val="single" w:sz="4" w:space="0" w:color="000000"/>
            </w:tcBorders>
            <w:vAlign w:val="center"/>
            <w:hideMark/>
          </w:tcPr>
          <w:p w14:paraId="1A504630"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19,233.00</w:t>
            </w:r>
          </w:p>
        </w:tc>
        <w:tc>
          <w:tcPr>
            <w:tcW w:w="563" w:type="pct"/>
            <w:tcBorders>
              <w:top w:val="nil"/>
              <w:left w:val="nil"/>
              <w:bottom w:val="single" w:sz="4" w:space="0" w:color="000000"/>
              <w:right w:val="single" w:sz="4" w:space="0" w:color="000000"/>
            </w:tcBorders>
            <w:vAlign w:val="center"/>
            <w:hideMark/>
          </w:tcPr>
          <w:p w14:paraId="14A16A98"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21,955.00</w:t>
            </w:r>
          </w:p>
        </w:tc>
        <w:tc>
          <w:tcPr>
            <w:tcW w:w="563" w:type="pct"/>
            <w:tcBorders>
              <w:top w:val="nil"/>
              <w:left w:val="nil"/>
              <w:bottom w:val="single" w:sz="4" w:space="0" w:color="000000"/>
              <w:right w:val="single" w:sz="4" w:space="0" w:color="000000"/>
            </w:tcBorders>
            <w:vAlign w:val="center"/>
            <w:hideMark/>
          </w:tcPr>
          <w:p w14:paraId="0F8303D1"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21,959.00</w:t>
            </w:r>
          </w:p>
        </w:tc>
        <w:tc>
          <w:tcPr>
            <w:tcW w:w="563" w:type="pct"/>
            <w:tcBorders>
              <w:top w:val="nil"/>
              <w:left w:val="nil"/>
              <w:bottom w:val="single" w:sz="4" w:space="0" w:color="000000"/>
              <w:right w:val="single" w:sz="4" w:space="0" w:color="000000"/>
            </w:tcBorders>
            <w:vAlign w:val="center"/>
            <w:hideMark/>
          </w:tcPr>
          <w:p w14:paraId="30361E0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22,289.00</w:t>
            </w:r>
          </w:p>
        </w:tc>
      </w:tr>
      <w:tr w:rsidR="00B8765D" w:rsidRPr="00B42029" w14:paraId="12E02613" w14:textId="77777777" w:rsidTr="00B8765D">
        <w:trPr>
          <w:trHeight w:val="264"/>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512EFE57"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5C5C5C37" w14:textId="77777777" w:rsidTr="00B8765D">
        <w:trPr>
          <w:trHeight w:val="360"/>
        </w:trPr>
        <w:tc>
          <w:tcPr>
            <w:tcW w:w="2186" w:type="pct"/>
            <w:tcBorders>
              <w:top w:val="nil"/>
              <w:left w:val="single" w:sz="4" w:space="0" w:color="000000"/>
              <w:bottom w:val="single" w:sz="4" w:space="0" w:color="000000"/>
              <w:right w:val="single" w:sz="4" w:space="0" w:color="000000"/>
            </w:tcBorders>
            <w:noWrap/>
            <w:vAlign w:val="center"/>
            <w:hideMark/>
          </w:tcPr>
          <w:p w14:paraId="3C2171E8" w14:textId="77777777" w:rsidR="00B8765D" w:rsidRPr="00B42029" w:rsidRDefault="00B8765D" w:rsidP="00B8765D">
            <w:pPr>
              <w:spacing w:line="240" w:lineRule="auto"/>
              <w:rPr>
                <w:rFonts w:eastAsia="Times New Roman"/>
                <w:b/>
                <w:bCs/>
                <w:i/>
                <w:iCs/>
                <w:color w:val="000000"/>
                <w:sz w:val="28"/>
                <w:szCs w:val="28"/>
                <w:lang w:val="en-IN"/>
              </w:rPr>
            </w:pPr>
            <w:r w:rsidRPr="00B42029">
              <w:rPr>
                <w:rFonts w:eastAsia="Times New Roman"/>
                <w:b/>
                <w:bCs/>
                <w:i/>
                <w:iCs/>
                <w:color w:val="000000"/>
                <w:sz w:val="28"/>
                <w:szCs w:val="28"/>
                <w:lang w:val="en-IN"/>
              </w:rPr>
              <w:t>Asset Efficiency Ratio</w:t>
            </w:r>
          </w:p>
        </w:tc>
        <w:tc>
          <w:tcPr>
            <w:tcW w:w="563" w:type="pct"/>
            <w:tcBorders>
              <w:top w:val="nil"/>
              <w:left w:val="nil"/>
              <w:bottom w:val="single" w:sz="4" w:space="0" w:color="000000"/>
              <w:right w:val="single" w:sz="4" w:space="0" w:color="000000"/>
            </w:tcBorders>
            <w:noWrap/>
            <w:vAlign w:val="center"/>
            <w:hideMark/>
          </w:tcPr>
          <w:p w14:paraId="6A1BA44D"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17B01B4"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6FD272A"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58D448C1"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2F7ED6D"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7807025D"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5E4AA037"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Accounts Receivable Turnover</w:t>
            </w:r>
          </w:p>
        </w:tc>
        <w:tc>
          <w:tcPr>
            <w:tcW w:w="563" w:type="pct"/>
            <w:tcBorders>
              <w:top w:val="nil"/>
              <w:left w:val="nil"/>
              <w:bottom w:val="single" w:sz="4" w:space="0" w:color="000000"/>
              <w:right w:val="single" w:sz="4" w:space="0" w:color="000000"/>
            </w:tcBorders>
            <w:shd w:val="clear" w:color="00FFFF" w:fill="00FFFF"/>
            <w:noWrap/>
            <w:vAlign w:val="center"/>
            <w:hideMark/>
          </w:tcPr>
          <w:p w14:paraId="6FF14FF2"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30</w:t>
            </w:r>
          </w:p>
        </w:tc>
        <w:tc>
          <w:tcPr>
            <w:tcW w:w="563" w:type="pct"/>
            <w:tcBorders>
              <w:top w:val="nil"/>
              <w:left w:val="nil"/>
              <w:bottom w:val="single" w:sz="4" w:space="0" w:color="000000"/>
              <w:right w:val="single" w:sz="4" w:space="0" w:color="000000"/>
            </w:tcBorders>
            <w:shd w:val="clear" w:color="00FFFF" w:fill="00FFFF"/>
            <w:noWrap/>
            <w:vAlign w:val="center"/>
            <w:hideMark/>
          </w:tcPr>
          <w:p w14:paraId="1794DB52"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30</w:t>
            </w:r>
          </w:p>
        </w:tc>
        <w:tc>
          <w:tcPr>
            <w:tcW w:w="563" w:type="pct"/>
            <w:tcBorders>
              <w:top w:val="nil"/>
              <w:left w:val="nil"/>
              <w:bottom w:val="single" w:sz="4" w:space="0" w:color="000000"/>
              <w:right w:val="single" w:sz="4" w:space="0" w:color="000000"/>
            </w:tcBorders>
            <w:shd w:val="clear" w:color="00FFFF" w:fill="00FFFF"/>
            <w:noWrap/>
            <w:vAlign w:val="center"/>
            <w:hideMark/>
          </w:tcPr>
          <w:p w14:paraId="44AE9B8D"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32</w:t>
            </w:r>
          </w:p>
        </w:tc>
        <w:tc>
          <w:tcPr>
            <w:tcW w:w="563" w:type="pct"/>
            <w:tcBorders>
              <w:top w:val="nil"/>
              <w:left w:val="nil"/>
              <w:bottom w:val="single" w:sz="4" w:space="0" w:color="000000"/>
              <w:right w:val="single" w:sz="4" w:space="0" w:color="000000"/>
            </w:tcBorders>
            <w:shd w:val="clear" w:color="00FFFF" w:fill="00FFFF"/>
            <w:noWrap/>
            <w:vAlign w:val="center"/>
            <w:hideMark/>
          </w:tcPr>
          <w:p w14:paraId="799243FD"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39</w:t>
            </w:r>
          </w:p>
        </w:tc>
        <w:tc>
          <w:tcPr>
            <w:tcW w:w="563" w:type="pct"/>
            <w:tcBorders>
              <w:top w:val="nil"/>
              <w:left w:val="nil"/>
              <w:bottom w:val="single" w:sz="4" w:space="0" w:color="000000"/>
              <w:right w:val="single" w:sz="4" w:space="0" w:color="000000"/>
            </w:tcBorders>
            <w:shd w:val="clear" w:color="00FFFF" w:fill="00FFFF"/>
            <w:noWrap/>
            <w:vAlign w:val="center"/>
            <w:hideMark/>
          </w:tcPr>
          <w:p w14:paraId="7B4743F5"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44</w:t>
            </w:r>
          </w:p>
        </w:tc>
      </w:tr>
      <w:tr w:rsidR="00B8765D" w:rsidRPr="00B42029" w14:paraId="6734FBF6"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3FF2AD6F"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5BF45AB5"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10,130.00</w:t>
            </w:r>
          </w:p>
        </w:tc>
        <w:tc>
          <w:tcPr>
            <w:tcW w:w="563" w:type="pct"/>
            <w:tcBorders>
              <w:top w:val="nil"/>
              <w:left w:val="nil"/>
              <w:bottom w:val="single" w:sz="4" w:space="0" w:color="000000"/>
              <w:right w:val="single" w:sz="4" w:space="0" w:color="000000"/>
            </w:tcBorders>
            <w:noWrap/>
            <w:vAlign w:val="center"/>
            <w:hideMark/>
          </w:tcPr>
          <w:p w14:paraId="4848B45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19,233.00</w:t>
            </w:r>
          </w:p>
        </w:tc>
        <w:tc>
          <w:tcPr>
            <w:tcW w:w="563" w:type="pct"/>
            <w:tcBorders>
              <w:top w:val="nil"/>
              <w:left w:val="nil"/>
              <w:bottom w:val="single" w:sz="4" w:space="0" w:color="000000"/>
              <w:right w:val="single" w:sz="4" w:space="0" w:color="000000"/>
            </w:tcBorders>
            <w:noWrap/>
            <w:vAlign w:val="center"/>
            <w:hideMark/>
          </w:tcPr>
          <w:p w14:paraId="283C08C3"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21,955.00</w:t>
            </w:r>
          </w:p>
        </w:tc>
        <w:tc>
          <w:tcPr>
            <w:tcW w:w="563" w:type="pct"/>
            <w:tcBorders>
              <w:top w:val="nil"/>
              <w:left w:val="nil"/>
              <w:bottom w:val="single" w:sz="4" w:space="0" w:color="000000"/>
              <w:right w:val="single" w:sz="4" w:space="0" w:color="000000"/>
            </w:tcBorders>
            <w:noWrap/>
            <w:vAlign w:val="center"/>
            <w:hideMark/>
          </w:tcPr>
          <w:p w14:paraId="2228E46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21,959.00</w:t>
            </w:r>
          </w:p>
        </w:tc>
        <w:tc>
          <w:tcPr>
            <w:tcW w:w="563" w:type="pct"/>
            <w:tcBorders>
              <w:top w:val="nil"/>
              <w:left w:val="nil"/>
              <w:bottom w:val="single" w:sz="4" w:space="0" w:color="000000"/>
              <w:right w:val="single" w:sz="4" w:space="0" w:color="000000"/>
            </w:tcBorders>
            <w:noWrap/>
            <w:vAlign w:val="center"/>
            <w:hideMark/>
          </w:tcPr>
          <w:p w14:paraId="15CFFD4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22,289.00</w:t>
            </w:r>
          </w:p>
        </w:tc>
      </w:tr>
      <w:tr w:rsidR="00B8765D" w:rsidRPr="00B42029" w14:paraId="2A33812E"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76B304C6"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Average Accounts Receivable</w:t>
            </w:r>
          </w:p>
        </w:tc>
        <w:tc>
          <w:tcPr>
            <w:tcW w:w="563" w:type="pct"/>
            <w:tcBorders>
              <w:top w:val="nil"/>
              <w:left w:val="nil"/>
              <w:bottom w:val="single" w:sz="4" w:space="0" w:color="000000"/>
              <w:right w:val="single" w:sz="4" w:space="0" w:color="000000"/>
            </w:tcBorders>
            <w:noWrap/>
            <w:vAlign w:val="center"/>
            <w:hideMark/>
          </w:tcPr>
          <w:p w14:paraId="4CCB1C2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340.00</w:t>
            </w:r>
          </w:p>
        </w:tc>
        <w:tc>
          <w:tcPr>
            <w:tcW w:w="563" w:type="pct"/>
            <w:tcBorders>
              <w:top w:val="nil"/>
              <w:left w:val="nil"/>
              <w:bottom w:val="single" w:sz="4" w:space="0" w:color="000000"/>
              <w:right w:val="single" w:sz="4" w:space="0" w:color="000000"/>
            </w:tcBorders>
            <w:noWrap/>
            <w:vAlign w:val="center"/>
            <w:hideMark/>
          </w:tcPr>
          <w:p w14:paraId="27043108"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651.50</w:t>
            </w:r>
          </w:p>
        </w:tc>
        <w:tc>
          <w:tcPr>
            <w:tcW w:w="563" w:type="pct"/>
            <w:tcBorders>
              <w:top w:val="nil"/>
              <w:left w:val="nil"/>
              <w:bottom w:val="single" w:sz="4" w:space="0" w:color="000000"/>
              <w:right w:val="single" w:sz="4" w:space="0" w:color="000000"/>
            </w:tcBorders>
            <w:noWrap/>
            <w:vAlign w:val="center"/>
            <w:hideMark/>
          </w:tcPr>
          <w:p w14:paraId="66D9B51A"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688.50</w:t>
            </w:r>
          </w:p>
        </w:tc>
        <w:tc>
          <w:tcPr>
            <w:tcW w:w="563" w:type="pct"/>
            <w:tcBorders>
              <w:top w:val="nil"/>
              <w:left w:val="nil"/>
              <w:bottom w:val="single" w:sz="4" w:space="0" w:color="000000"/>
              <w:right w:val="single" w:sz="4" w:space="0" w:color="000000"/>
            </w:tcBorders>
            <w:noWrap/>
            <w:vAlign w:val="center"/>
            <w:hideMark/>
          </w:tcPr>
          <w:p w14:paraId="4905A54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567.00</w:t>
            </w:r>
          </w:p>
        </w:tc>
        <w:tc>
          <w:tcPr>
            <w:tcW w:w="563" w:type="pct"/>
            <w:tcBorders>
              <w:top w:val="nil"/>
              <w:left w:val="nil"/>
              <w:bottom w:val="single" w:sz="4" w:space="0" w:color="000000"/>
              <w:right w:val="single" w:sz="4" w:space="0" w:color="000000"/>
            </w:tcBorders>
            <w:noWrap/>
            <w:vAlign w:val="center"/>
            <w:hideMark/>
          </w:tcPr>
          <w:p w14:paraId="78A3424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502.50</w:t>
            </w:r>
          </w:p>
        </w:tc>
      </w:tr>
      <w:tr w:rsidR="00B8765D" w:rsidRPr="00B42029" w14:paraId="4215A354"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14EF8945"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471E173" w14:textId="77777777" w:rsidR="00B8765D" w:rsidRPr="00B42029" w:rsidRDefault="00B8765D" w:rsidP="00B8765D">
            <w:pPr>
              <w:spacing w:line="240" w:lineRule="auto"/>
              <w:jc w:val="right"/>
              <w:rPr>
                <w:rFonts w:eastAsia="Times New Roman"/>
                <w:color w:val="0000FF"/>
                <w:sz w:val="24"/>
                <w:szCs w:val="24"/>
                <w:lang w:val="en-IN"/>
              </w:rPr>
            </w:pPr>
            <w:r w:rsidRPr="00B42029">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5FE2DA42" w14:textId="77777777" w:rsidR="00B8765D" w:rsidRPr="00B42029" w:rsidRDefault="00B8765D" w:rsidP="00B8765D">
            <w:pPr>
              <w:spacing w:line="240" w:lineRule="auto"/>
              <w:jc w:val="right"/>
              <w:rPr>
                <w:rFonts w:eastAsia="Times New Roman"/>
                <w:color w:val="0000FF"/>
                <w:sz w:val="24"/>
                <w:szCs w:val="24"/>
                <w:lang w:val="en-IN"/>
              </w:rPr>
            </w:pPr>
            <w:r w:rsidRPr="00B42029">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1CDBFBE2" w14:textId="77777777" w:rsidR="00B8765D" w:rsidRPr="00B42029" w:rsidRDefault="00B8765D" w:rsidP="00B8765D">
            <w:pPr>
              <w:spacing w:line="240" w:lineRule="auto"/>
              <w:jc w:val="right"/>
              <w:rPr>
                <w:rFonts w:eastAsia="Times New Roman"/>
                <w:color w:val="0000FF"/>
                <w:sz w:val="24"/>
                <w:szCs w:val="24"/>
                <w:lang w:val="en-IN"/>
              </w:rPr>
            </w:pPr>
            <w:r w:rsidRPr="00B42029">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3E5AC1C7" w14:textId="77777777" w:rsidR="00B8765D" w:rsidRPr="00B42029" w:rsidRDefault="00B8765D" w:rsidP="00B8765D">
            <w:pPr>
              <w:spacing w:line="240" w:lineRule="auto"/>
              <w:jc w:val="right"/>
              <w:rPr>
                <w:rFonts w:eastAsia="Times New Roman"/>
                <w:color w:val="0000FF"/>
                <w:sz w:val="24"/>
                <w:szCs w:val="24"/>
                <w:lang w:val="en-IN"/>
              </w:rPr>
            </w:pPr>
            <w:r w:rsidRPr="00B42029">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3AC8BD5E" w14:textId="77777777" w:rsidR="00B8765D" w:rsidRPr="00B42029" w:rsidRDefault="00B8765D" w:rsidP="00B8765D">
            <w:pPr>
              <w:spacing w:line="240" w:lineRule="auto"/>
              <w:jc w:val="right"/>
              <w:rPr>
                <w:rFonts w:eastAsia="Times New Roman"/>
                <w:color w:val="0000FF"/>
                <w:sz w:val="24"/>
                <w:szCs w:val="24"/>
                <w:lang w:val="en-IN"/>
              </w:rPr>
            </w:pPr>
            <w:r w:rsidRPr="00B42029">
              <w:rPr>
                <w:rFonts w:eastAsia="Times New Roman"/>
                <w:color w:val="0000FF"/>
                <w:sz w:val="24"/>
                <w:szCs w:val="24"/>
                <w:lang w:val="en-IN"/>
              </w:rPr>
              <w:t> </w:t>
            </w:r>
          </w:p>
        </w:tc>
      </w:tr>
      <w:tr w:rsidR="00B8765D" w:rsidRPr="00B42029" w14:paraId="69DF048C"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5327A1BC"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Total Asset Turnover</w:t>
            </w:r>
          </w:p>
        </w:tc>
        <w:tc>
          <w:tcPr>
            <w:tcW w:w="563" w:type="pct"/>
            <w:tcBorders>
              <w:top w:val="nil"/>
              <w:left w:val="nil"/>
              <w:bottom w:val="single" w:sz="4" w:space="0" w:color="000000"/>
              <w:right w:val="single" w:sz="4" w:space="0" w:color="000000"/>
            </w:tcBorders>
            <w:shd w:val="clear" w:color="00FFFF" w:fill="00FFFF"/>
            <w:noWrap/>
            <w:vAlign w:val="center"/>
            <w:hideMark/>
          </w:tcPr>
          <w:p w14:paraId="3274896E"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0.24</w:t>
            </w:r>
          </w:p>
        </w:tc>
        <w:tc>
          <w:tcPr>
            <w:tcW w:w="563" w:type="pct"/>
            <w:tcBorders>
              <w:top w:val="nil"/>
              <w:left w:val="nil"/>
              <w:bottom w:val="single" w:sz="4" w:space="0" w:color="000000"/>
              <w:right w:val="single" w:sz="4" w:space="0" w:color="000000"/>
            </w:tcBorders>
            <w:shd w:val="clear" w:color="00FFFF" w:fill="00FFFF"/>
            <w:noWrap/>
            <w:vAlign w:val="center"/>
            <w:hideMark/>
          </w:tcPr>
          <w:p w14:paraId="3BC91C86"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0.40</w:t>
            </w:r>
          </w:p>
        </w:tc>
        <w:tc>
          <w:tcPr>
            <w:tcW w:w="563" w:type="pct"/>
            <w:tcBorders>
              <w:top w:val="nil"/>
              <w:left w:val="nil"/>
              <w:bottom w:val="single" w:sz="4" w:space="0" w:color="000000"/>
              <w:right w:val="single" w:sz="4" w:space="0" w:color="000000"/>
            </w:tcBorders>
            <w:shd w:val="clear" w:color="00FFFF" w:fill="00FFFF"/>
            <w:noWrap/>
            <w:vAlign w:val="center"/>
            <w:hideMark/>
          </w:tcPr>
          <w:p w14:paraId="2D58192C"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0.42</w:t>
            </w:r>
          </w:p>
        </w:tc>
        <w:tc>
          <w:tcPr>
            <w:tcW w:w="563" w:type="pct"/>
            <w:tcBorders>
              <w:top w:val="nil"/>
              <w:left w:val="nil"/>
              <w:bottom w:val="single" w:sz="4" w:space="0" w:color="000000"/>
              <w:right w:val="single" w:sz="4" w:space="0" w:color="000000"/>
            </w:tcBorders>
            <w:shd w:val="clear" w:color="00FFFF" w:fill="00FFFF"/>
            <w:noWrap/>
            <w:vAlign w:val="center"/>
            <w:hideMark/>
          </w:tcPr>
          <w:p w14:paraId="27CA7451"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0.41</w:t>
            </w:r>
          </w:p>
        </w:tc>
        <w:tc>
          <w:tcPr>
            <w:tcW w:w="563" w:type="pct"/>
            <w:tcBorders>
              <w:top w:val="nil"/>
              <w:left w:val="nil"/>
              <w:bottom w:val="single" w:sz="4" w:space="0" w:color="000000"/>
              <w:right w:val="single" w:sz="4" w:space="0" w:color="000000"/>
            </w:tcBorders>
            <w:shd w:val="clear" w:color="00FFFF" w:fill="00FFFF"/>
            <w:noWrap/>
            <w:vAlign w:val="center"/>
            <w:hideMark/>
          </w:tcPr>
          <w:p w14:paraId="1CDD1E45"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0.42</w:t>
            </w:r>
          </w:p>
        </w:tc>
      </w:tr>
      <w:tr w:rsidR="00B8765D" w:rsidRPr="00B42029" w14:paraId="274E2847"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2BBE53A4"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3F9B79D1"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10,130.00</w:t>
            </w:r>
          </w:p>
        </w:tc>
        <w:tc>
          <w:tcPr>
            <w:tcW w:w="563" w:type="pct"/>
            <w:tcBorders>
              <w:top w:val="nil"/>
              <w:left w:val="nil"/>
              <w:bottom w:val="single" w:sz="4" w:space="0" w:color="000000"/>
              <w:right w:val="single" w:sz="4" w:space="0" w:color="000000"/>
            </w:tcBorders>
            <w:noWrap/>
            <w:vAlign w:val="center"/>
            <w:hideMark/>
          </w:tcPr>
          <w:p w14:paraId="4A9D2C7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19,233.00</w:t>
            </w:r>
          </w:p>
        </w:tc>
        <w:tc>
          <w:tcPr>
            <w:tcW w:w="563" w:type="pct"/>
            <w:tcBorders>
              <w:top w:val="nil"/>
              <w:left w:val="nil"/>
              <w:bottom w:val="single" w:sz="4" w:space="0" w:color="000000"/>
              <w:right w:val="single" w:sz="4" w:space="0" w:color="000000"/>
            </w:tcBorders>
            <w:noWrap/>
            <w:vAlign w:val="center"/>
            <w:hideMark/>
          </w:tcPr>
          <w:p w14:paraId="0ABF3CB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21,955.00</w:t>
            </w:r>
          </w:p>
        </w:tc>
        <w:tc>
          <w:tcPr>
            <w:tcW w:w="563" w:type="pct"/>
            <w:tcBorders>
              <w:top w:val="nil"/>
              <w:left w:val="nil"/>
              <w:bottom w:val="single" w:sz="4" w:space="0" w:color="000000"/>
              <w:right w:val="single" w:sz="4" w:space="0" w:color="000000"/>
            </w:tcBorders>
            <w:noWrap/>
            <w:vAlign w:val="center"/>
            <w:hideMark/>
          </w:tcPr>
          <w:p w14:paraId="658881B5"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21,959.00</w:t>
            </w:r>
          </w:p>
        </w:tc>
        <w:tc>
          <w:tcPr>
            <w:tcW w:w="563" w:type="pct"/>
            <w:tcBorders>
              <w:top w:val="nil"/>
              <w:left w:val="nil"/>
              <w:bottom w:val="single" w:sz="4" w:space="0" w:color="000000"/>
              <w:right w:val="single" w:sz="4" w:space="0" w:color="000000"/>
            </w:tcBorders>
            <w:noWrap/>
            <w:vAlign w:val="center"/>
            <w:hideMark/>
          </w:tcPr>
          <w:p w14:paraId="40E4DF0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22,289.00</w:t>
            </w:r>
          </w:p>
        </w:tc>
      </w:tr>
      <w:tr w:rsidR="00B8765D" w:rsidRPr="00B42029" w14:paraId="1D80408B"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7C6BFFDC"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Average Total Assets</w:t>
            </w:r>
          </w:p>
        </w:tc>
        <w:tc>
          <w:tcPr>
            <w:tcW w:w="563" w:type="pct"/>
            <w:tcBorders>
              <w:top w:val="nil"/>
              <w:left w:val="nil"/>
              <w:bottom w:val="single" w:sz="4" w:space="0" w:color="000000"/>
              <w:right w:val="single" w:sz="4" w:space="0" w:color="000000"/>
            </w:tcBorders>
            <w:noWrap/>
            <w:vAlign w:val="center"/>
            <w:hideMark/>
          </w:tcPr>
          <w:p w14:paraId="5643937B"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41,519.00</w:t>
            </w:r>
          </w:p>
        </w:tc>
        <w:tc>
          <w:tcPr>
            <w:tcW w:w="563" w:type="pct"/>
            <w:tcBorders>
              <w:top w:val="nil"/>
              <w:left w:val="nil"/>
              <w:bottom w:val="single" w:sz="4" w:space="0" w:color="000000"/>
              <w:right w:val="single" w:sz="4" w:space="0" w:color="000000"/>
            </w:tcBorders>
            <w:noWrap/>
            <w:vAlign w:val="center"/>
            <w:hideMark/>
          </w:tcPr>
          <w:p w14:paraId="797DB98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47,851.50</w:t>
            </w:r>
          </w:p>
        </w:tc>
        <w:tc>
          <w:tcPr>
            <w:tcW w:w="563" w:type="pct"/>
            <w:tcBorders>
              <w:top w:val="nil"/>
              <w:left w:val="nil"/>
              <w:bottom w:val="single" w:sz="4" w:space="0" w:color="000000"/>
              <w:right w:val="single" w:sz="4" w:space="0" w:color="000000"/>
            </w:tcBorders>
            <w:noWrap/>
            <w:vAlign w:val="center"/>
            <w:hideMark/>
          </w:tcPr>
          <w:p w14:paraId="6744A805"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52,452.00</w:t>
            </w:r>
          </w:p>
        </w:tc>
        <w:tc>
          <w:tcPr>
            <w:tcW w:w="563" w:type="pct"/>
            <w:tcBorders>
              <w:top w:val="nil"/>
              <w:left w:val="nil"/>
              <w:bottom w:val="single" w:sz="4" w:space="0" w:color="000000"/>
              <w:right w:val="single" w:sz="4" w:space="0" w:color="000000"/>
            </w:tcBorders>
            <w:noWrap/>
            <w:vAlign w:val="center"/>
            <w:hideMark/>
          </w:tcPr>
          <w:p w14:paraId="4FEEB86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53,899.00</w:t>
            </w:r>
          </w:p>
        </w:tc>
        <w:tc>
          <w:tcPr>
            <w:tcW w:w="563" w:type="pct"/>
            <w:tcBorders>
              <w:top w:val="nil"/>
              <w:left w:val="nil"/>
              <w:bottom w:val="single" w:sz="4" w:space="0" w:color="000000"/>
              <w:right w:val="single" w:sz="4" w:space="0" w:color="000000"/>
            </w:tcBorders>
            <w:noWrap/>
            <w:vAlign w:val="center"/>
            <w:hideMark/>
          </w:tcPr>
          <w:p w14:paraId="1426546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53,216.00</w:t>
            </w:r>
          </w:p>
        </w:tc>
      </w:tr>
      <w:tr w:rsidR="00B8765D" w:rsidRPr="00B42029" w14:paraId="0D30A108" w14:textId="77777777" w:rsidTr="00B8765D">
        <w:trPr>
          <w:trHeight w:val="264"/>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5C38E185"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651022F8" w14:textId="77777777" w:rsidTr="00B8765D">
        <w:trPr>
          <w:trHeight w:val="360"/>
        </w:trPr>
        <w:tc>
          <w:tcPr>
            <w:tcW w:w="2186" w:type="pct"/>
            <w:tcBorders>
              <w:top w:val="nil"/>
              <w:left w:val="single" w:sz="4" w:space="0" w:color="000000"/>
              <w:bottom w:val="single" w:sz="4" w:space="0" w:color="000000"/>
              <w:right w:val="single" w:sz="4" w:space="0" w:color="000000"/>
            </w:tcBorders>
            <w:noWrap/>
            <w:vAlign w:val="center"/>
            <w:hideMark/>
          </w:tcPr>
          <w:p w14:paraId="1D9E7119" w14:textId="77777777" w:rsidR="00B8765D" w:rsidRPr="00B42029" w:rsidRDefault="00B8765D" w:rsidP="00B8765D">
            <w:pPr>
              <w:spacing w:line="240" w:lineRule="auto"/>
              <w:rPr>
                <w:rFonts w:eastAsia="Times New Roman"/>
                <w:b/>
                <w:bCs/>
                <w:i/>
                <w:iCs/>
                <w:color w:val="000000"/>
                <w:sz w:val="28"/>
                <w:szCs w:val="28"/>
                <w:lang w:val="en-IN"/>
              </w:rPr>
            </w:pPr>
            <w:r w:rsidRPr="00B42029">
              <w:rPr>
                <w:rFonts w:eastAsia="Times New Roman"/>
                <w:b/>
                <w:bCs/>
                <w:i/>
                <w:iCs/>
                <w:color w:val="000000"/>
                <w:sz w:val="28"/>
                <w:szCs w:val="28"/>
                <w:lang w:val="en-IN"/>
              </w:rPr>
              <w:t>Liquidity Ratios</w:t>
            </w:r>
          </w:p>
        </w:tc>
        <w:tc>
          <w:tcPr>
            <w:tcW w:w="563" w:type="pct"/>
            <w:tcBorders>
              <w:top w:val="nil"/>
              <w:left w:val="nil"/>
              <w:bottom w:val="single" w:sz="4" w:space="0" w:color="000000"/>
              <w:right w:val="single" w:sz="4" w:space="0" w:color="000000"/>
            </w:tcBorders>
            <w:noWrap/>
            <w:vAlign w:val="center"/>
            <w:hideMark/>
          </w:tcPr>
          <w:p w14:paraId="6265809B"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B03A0CF"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53D11A0"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2D9D44F"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9B2A27B"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1A486A04"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371A7F94"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Current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0E9D116F"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0.24</w:t>
            </w:r>
          </w:p>
        </w:tc>
        <w:tc>
          <w:tcPr>
            <w:tcW w:w="563" w:type="pct"/>
            <w:tcBorders>
              <w:top w:val="nil"/>
              <w:left w:val="nil"/>
              <w:bottom w:val="single" w:sz="4" w:space="0" w:color="000000"/>
              <w:right w:val="single" w:sz="4" w:space="0" w:color="000000"/>
            </w:tcBorders>
            <w:shd w:val="clear" w:color="00FFFF" w:fill="00FFFF"/>
            <w:noWrap/>
            <w:vAlign w:val="center"/>
            <w:hideMark/>
          </w:tcPr>
          <w:p w14:paraId="3AB2796F"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0.30</w:t>
            </w:r>
          </w:p>
        </w:tc>
        <w:tc>
          <w:tcPr>
            <w:tcW w:w="563" w:type="pct"/>
            <w:tcBorders>
              <w:top w:val="nil"/>
              <w:left w:val="nil"/>
              <w:bottom w:val="single" w:sz="4" w:space="0" w:color="000000"/>
              <w:right w:val="single" w:sz="4" w:space="0" w:color="000000"/>
            </w:tcBorders>
            <w:shd w:val="clear" w:color="00FFFF" w:fill="00FFFF"/>
            <w:noWrap/>
            <w:vAlign w:val="center"/>
            <w:hideMark/>
          </w:tcPr>
          <w:p w14:paraId="6BE9744F"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0.32</w:t>
            </w:r>
          </w:p>
        </w:tc>
        <w:tc>
          <w:tcPr>
            <w:tcW w:w="563" w:type="pct"/>
            <w:tcBorders>
              <w:top w:val="nil"/>
              <w:left w:val="nil"/>
              <w:bottom w:val="single" w:sz="4" w:space="0" w:color="000000"/>
              <w:right w:val="single" w:sz="4" w:space="0" w:color="000000"/>
            </w:tcBorders>
            <w:shd w:val="clear" w:color="00FFFF" w:fill="00FFFF"/>
            <w:noWrap/>
            <w:vAlign w:val="center"/>
            <w:hideMark/>
          </w:tcPr>
          <w:p w14:paraId="761FE47F"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0.31</w:t>
            </w:r>
          </w:p>
        </w:tc>
        <w:tc>
          <w:tcPr>
            <w:tcW w:w="563" w:type="pct"/>
            <w:tcBorders>
              <w:top w:val="nil"/>
              <w:left w:val="nil"/>
              <w:bottom w:val="single" w:sz="4" w:space="0" w:color="000000"/>
              <w:right w:val="single" w:sz="4" w:space="0" w:color="000000"/>
            </w:tcBorders>
            <w:shd w:val="clear" w:color="00FFFF" w:fill="00FFFF"/>
            <w:noWrap/>
            <w:vAlign w:val="center"/>
            <w:hideMark/>
          </w:tcPr>
          <w:p w14:paraId="408DC842"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0.32</w:t>
            </w:r>
          </w:p>
        </w:tc>
      </w:tr>
      <w:tr w:rsidR="00B8765D" w:rsidRPr="00B42029" w14:paraId="2639DA52"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6717CD5A"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Current Assets</w:t>
            </w:r>
          </w:p>
        </w:tc>
        <w:tc>
          <w:tcPr>
            <w:tcW w:w="563" w:type="pct"/>
            <w:tcBorders>
              <w:top w:val="nil"/>
              <w:left w:val="nil"/>
              <w:bottom w:val="single" w:sz="4" w:space="0" w:color="000000"/>
              <w:right w:val="single" w:sz="4" w:space="0" w:color="000000"/>
            </w:tcBorders>
            <w:noWrap/>
            <w:vAlign w:val="center"/>
            <w:hideMark/>
          </w:tcPr>
          <w:p w14:paraId="172DF4DA"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1,325.00</w:t>
            </w:r>
          </w:p>
        </w:tc>
        <w:tc>
          <w:tcPr>
            <w:tcW w:w="563" w:type="pct"/>
            <w:tcBorders>
              <w:top w:val="nil"/>
              <w:left w:val="nil"/>
              <w:bottom w:val="single" w:sz="4" w:space="0" w:color="000000"/>
              <w:right w:val="single" w:sz="4" w:space="0" w:color="000000"/>
            </w:tcBorders>
            <w:noWrap/>
            <w:vAlign w:val="center"/>
            <w:hideMark/>
          </w:tcPr>
          <w:p w14:paraId="59170C0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1,988.00</w:t>
            </w:r>
          </w:p>
        </w:tc>
        <w:tc>
          <w:tcPr>
            <w:tcW w:w="563" w:type="pct"/>
            <w:tcBorders>
              <w:top w:val="nil"/>
              <w:left w:val="nil"/>
              <w:bottom w:val="single" w:sz="4" w:space="0" w:color="000000"/>
              <w:right w:val="single" w:sz="4" w:space="0" w:color="000000"/>
            </w:tcBorders>
            <w:noWrap/>
            <w:vAlign w:val="center"/>
            <w:hideMark/>
          </w:tcPr>
          <w:p w14:paraId="6435A1F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2,811.00</w:t>
            </w:r>
          </w:p>
        </w:tc>
        <w:tc>
          <w:tcPr>
            <w:tcW w:w="563" w:type="pct"/>
            <w:tcBorders>
              <w:top w:val="nil"/>
              <w:left w:val="nil"/>
              <w:bottom w:val="single" w:sz="4" w:space="0" w:color="000000"/>
              <w:right w:val="single" w:sz="4" w:space="0" w:color="000000"/>
            </w:tcBorders>
            <w:noWrap/>
            <w:vAlign w:val="center"/>
            <w:hideMark/>
          </w:tcPr>
          <w:p w14:paraId="78945640"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2,070.00</w:t>
            </w:r>
          </w:p>
        </w:tc>
        <w:tc>
          <w:tcPr>
            <w:tcW w:w="563" w:type="pct"/>
            <w:tcBorders>
              <w:top w:val="nil"/>
              <w:left w:val="nil"/>
              <w:bottom w:val="single" w:sz="4" w:space="0" w:color="000000"/>
              <w:right w:val="single" w:sz="4" w:space="0" w:color="000000"/>
            </w:tcBorders>
            <w:noWrap/>
            <w:vAlign w:val="center"/>
            <w:hideMark/>
          </w:tcPr>
          <w:p w14:paraId="6DBDD24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2,115.00</w:t>
            </w:r>
          </w:p>
        </w:tc>
      </w:tr>
      <w:tr w:rsidR="00B8765D" w:rsidRPr="00B42029" w14:paraId="26C29BF3"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1479497E"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Current Liabilities</w:t>
            </w:r>
          </w:p>
        </w:tc>
        <w:tc>
          <w:tcPr>
            <w:tcW w:w="563" w:type="pct"/>
            <w:tcBorders>
              <w:top w:val="nil"/>
              <w:left w:val="nil"/>
              <w:bottom w:val="single" w:sz="4" w:space="0" w:color="000000"/>
              <w:right w:val="single" w:sz="4" w:space="0" w:color="000000"/>
            </w:tcBorders>
            <w:noWrap/>
            <w:vAlign w:val="center"/>
            <w:hideMark/>
          </w:tcPr>
          <w:p w14:paraId="0C05281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5,612.00</w:t>
            </w:r>
          </w:p>
        </w:tc>
        <w:tc>
          <w:tcPr>
            <w:tcW w:w="563" w:type="pct"/>
            <w:tcBorders>
              <w:top w:val="nil"/>
              <w:left w:val="nil"/>
              <w:bottom w:val="single" w:sz="4" w:space="0" w:color="000000"/>
              <w:right w:val="single" w:sz="4" w:space="0" w:color="000000"/>
            </w:tcBorders>
            <w:noWrap/>
            <w:vAlign w:val="center"/>
            <w:hideMark/>
          </w:tcPr>
          <w:p w14:paraId="3CE0A2F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6,713.00</w:t>
            </w:r>
          </w:p>
        </w:tc>
        <w:tc>
          <w:tcPr>
            <w:tcW w:w="563" w:type="pct"/>
            <w:tcBorders>
              <w:top w:val="nil"/>
              <w:left w:val="nil"/>
              <w:bottom w:val="single" w:sz="4" w:space="0" w:color="000000"/>
              <w:right w:val="single" w:sz="4" w:space="0" w:color="000000"/>
            </w:tcBorders>
            <w:noWrap/>
            <w:vAlign w:val="center"/>
            <w:hideMark/>
          </w:tcPr>
          <w:p w14:paraId="10D9EEE6"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8,664.00</w:t>
            </w:r>
          </w:p>
        </w:tc>
        <w:tc>
          <w:tcPr>
            <w:tcW w:w="563" w:type="pct"/>
            <w:tcBorders>
              <w:top w:val="nil"/>
              <w:left w:val="nil"/>
              <w:bottom w:val="single" w:sz="4" w:space="0" w:color="000000"/>
              <w:right w:val="single" w:sz="4" w:space="0" w:color="000000"/>
            </w:tcBorders>
            <w:noWrap/>
            <w:vAlign w:val="center"/>
            <w:hideMark/>
          </w:tcPr>
          <w:p w14:paraId="13AEB45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6,711.00</w:t>
            </w:r>
          </w:p>
        </w:tc>
        <w:tc>
          <w:tcPr>
            <w:tcW w:w="563" w:type="pct"/>
            <w:tcBorders>
              <w:top w:val="nil"/>
              <w:left w:val="nil"/>
              <w:bottom w:val="single" w:sz="4" w:space="0" w:color="000000"/>
              <w:right w:val="single" w:sz="4" w:space="0" w:color="000000"/>
            </w:tcBorders>
            <w:noWrap/>
            <w:vAlign w:val="center"/>
            <w:hideMark/>
          </w:tcPr>
          <w:p w14:paraId="304A2037"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6,560.00</w:t>
            </w:r>
          </w:p>
        </w:tc>
      </w:tr>
      <w:tr w:rsidR="00B8765D" w:rsidRPr="00B42029" w14:paraId="16DBC83E"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12E57513"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7C90B6F"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6C85746"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EC8E9E1"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CC12139"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824624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308A1752"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089DA2B5"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Cash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2277A55D"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0.04</w:t>
            </w:r>
          </w:p>
        </w:tc>
        <w:tc>
          <w:tcPr>
            <w:tcW w:w="563" w:type="pct"/>
            <w:tcBorders>
              <w:top w:val="nil"/>
              <w:left w:val="nil"/>
              <w:bottom w:val="single" w:sz="4" w:space="0" w:color="000000"/>
              <w:right w:val="single" w:sz="4" w:space="0" w:color="000000"/>
            </w:tcBorders>
            <w:shd w:val="clear" w:color="00FFFF" w:fill="00FFFF"/>
            <w:noWrap/>
            <w:vAlign w:val="center"/>
            <w:hideMark/>
          </w:tcPr>
          <w:p w14:paraId="630FAFAF"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0.05</w:t>
            </w:r>
          </w:p>
        </w:tc>
        <w:tc>
          <w:tcPr>
            <w:tcW w:w="563" w:type="pct"/>
            <w:tcBorders>
              <w:top w:val="nil"/>
              <w:left w:val="nil"/>
              <w:bottom w:val="single" w:sz="4" w:space="0" w:color="000000"/>
              <w:right w:val="single" w:sz="4" w:space="0" w:color="000000"/>
            </w:tcBorders>
            <w:shd w:val="clear" w:color="00FFFF" w:fill="00FFFF"/>
            <w:noWrap/>
            <w:vAlign w:val="center"/>
            <w:hideMark/>
          </w:tcPr>
          <w:p w14:paraId="6BD3B0AD"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0.16</w:t>
            </w:r>
          </w:p>
        </w:tc>
        <w:tc>
          <w:tcPr>
            <w:tcW w:w="563" w:type="pct"/>
            <w:tcBorders>
              <w:top w:val="nil"/>
              <w:left w:val="nil"/>
              <w:bottom w:val="single" w:sz="4" w:space="0" w:color="000000"/>
              <w:right w:val="single" w:sz="4" w:space="0" w:color="000000"/>
            </w:tcBorders>
            <w:shd w:val="clear" w:color="00FFFF" w:fill="00FFFF"/>
            <w:noWrap/>
            <w:vAlign w:val="center"/>
            <w:hideMark/>
          </w:tcPr>
          <w:p w14:paraId="332DD077"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0.13</w:t>
            </w:r>
          </w:p>
        </w:tc>
        <w:tc>
          <w:tcPr>
            <w:tcW w:w="563" w:type="pct"/>
            <w:tcBorders>
              <w:top w:val="nil"/>
              <w:left w:val="nil"/>
              <w:bottom w:val="single" w:sz="4" w:space="0" w:color="000000"/>
              <w:right w:val="single" w:sz="4" w:space="0" w:color="000000"/>
            </w:tcBorders>
            <w:shd w:val="clear" w:color="00FFFF" w:fill="00FFFF"/>
            <w:noWrap/>
            <w:vAlign w:val="center"/>
            <w:hideMark/>
          </w:tcPr>
          <w:p w14:paraId="7FA32331"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0.14</w:t>
            </w:r>
          </w:p>
        </w:tc>
      </w:tr>
      <w:tr w:rsidR="00B8765D" w:rsidRPr="00B42029" w14:paraId="1B5A3244"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3CAD7CD5"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 xml:space="preserve">Cash &amp; Cash Equivalent </w:t>
            </w:r>
          </w:p>
        </w:tc>
        <w:tc>
          <w:tcPr>
            <w:tcW w:w="563" w:type="pct"/>
            <w:tcBorders>
              <w:top w:val="nil"/>
              <w:left w:val="nil"/>
              <w:bottom w:val="single" w:sz="4" w:space="0" w:color="000000"/>
              <w:right w:val="single" w:sz="4" w:space="0" w:color="000000"/>
            </w:tcBorders>
            <w:noWrap/>
            <w:vAlign w:val="center"/>
            <w:hideMark/>
          </w:tcPr>
          <w:p w14:paraId="669ABB43"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216.00</w:t>
            </w:r>
          </w:p>
        </w:tc>
        <w:tc>
          <w:tcPr>
            <w:tcW w:w="563" w:type="pct"/>
            <w:tcBorders>
              <w:top w:val="nil"/>
              <w:left w:val="nil"/>
              <w:bottom w:val="single" w:sz="4" w:space="0" w:color="000000"/>
              <w:right w:val="single" w:sz="4" w:space="0" w:color="000000"/>
            </w:tcBorders>
            <w:noWrap/>
            <w:vAlign w:val="center"/>
            <w:hideMark/>
          </w:tcPr>
          <w:p w14:paraId="590EE8E8"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317.00</w:t>
            </w:r>
          </w:p>
        </w:tc>
        <w:tc>
          <w:tcPr>
            <w:tcW w:w="563" w:type="pct"/>
            <w:tcBorders>
              <w:top w:val="nil"/>
              <w:left w:val="nil"/>
              <w:bottom w:val="single" w:sz="4" w:space="0" w:color="000000"/>
              <w:right w:val="single" w:sz="4" w:space="0" w:color="000000"/>
            </w:tcBorders>
            <w:noWrap/>
            <w:vAlign w:val="center"/>
            <w:hideMark/>
          </w:tcPr>
          <w:p w14:paraId="2C09F7E1"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1,344.00</w:t>
            </w:r>
          </w:p>
        </w:tc>
        <w:tc>
          <w:tcPr>
            <w:tcW w:w="563" w:type="pct"/>
            <w:tcBorders>
              <w:top w:val="nil"/>
              <w:left w:val="nil"/>
              <w:bottom w:val="single" w:sz="4" w:space="0" w:color="000000"/>
              <w:right w:val="single" w:sz="4" w:space="0" w:color="000000"/>
            </w:tcBorders>
            <w:noWrap/>
            <w:vAlign w:val="center"/>
            <w:hideMark/>
          </w:tcPr>
          <w:p w14:paraId="1577464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846.00</w:t>
            </w:r>
          </w:p>
        </w:tc>
        <w:tc>
          <w:tcPr>
            <w:tcW w:w="563" w:type="pct"/>
            <w:tcBorders>
              <w:top w:val="nil"/>
              <w:left w:val="nil"/>
              <w:bottom w:val="single" w:sz="4" w:space="0" w:color="000000"/>
              <w:right w:val="single" w:sz="4" w:space="0" w:color="000000"/>
            </w:tcBorders>
            <w:noWrap/>
            <w:vAlign w:val="center"/>
            <w:hideMark/>
          </w:tcPr>
          <w:p w14:paraId="1BD0264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950.00</w:t>
            </w:r>
          </w:p>
        </w:tc>
      </w:tr>
      <w:tr w:rsidR="00B8765D" w:rsidRPr="00B42029" w14:paraId="6EB45860"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6E470975"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Current Liabilities</w:t>
            </w:r>
          </w:p>
        </w:tc>
        <w:tc>
          <w:tcPr>
            <w:tcW w:w="563" w:type="pct"/>
            <w:tcBorders>
              <w:top w:val="nil"/>
              <w:left w:val="nil"/>
              <w:bottom w:val="single" w:sz="4" w:space="0" w:color="000000"/>
              <w:right w:val="single" w:sz="4" w:space="0" w:color="000000"/>
            </w:tcBorders>
            <w:noWrap/>
            <w:vAlign w:val="center"/>
            <w:hideMark/>
          </w:tcPr>
          <w:p w14:paraId="3642B488"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5,612.00</w:t>
            </w:r>
          </w:p>
        </w:tc>
        <w:tc>
          <w:tcPr>
            <w:tcW w:w="563" w:type="pct"/>
            <w:tcBorders>
              <w:top w:val="nil"/>
              <w:left w:val="nil"/>
              <w:bottom w:val="single" w:sz="4" w:space="0" w:color="000000"/>
              <w:right w:val="single" w:sz="4" w:space="0" w:color="000000"/>
            </w:tcBorders>
            <w:noWrap/>
            <w:vAlign w:val="center"/>
            <w:hideMark/>
          </w:tcPr>
          <w:p w14:paraId="381495F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6,713.00</w:t>
            </w:r>
          </w:p>
        </w:tc>
        <w:tc>
          <w:tcPr>
            <w:tcW w:w="563" w:type="pct"/>
            <w:tcBorders>
              <w:top w:val="nil"/>
              <w:left w:val="nil"/>
              <w:bottom w:val="single" w:sz="4" w:space="0" w:color="000000"/>
              <w:right w:val="single" w:sz="4" w:space="0" w:color="000000"/>
            </w:tcBorders>
            <w:noWrap/>
            <w:vAlign w:val="center"/>
            <w:hideMark/>
          </w:tcPr>
          <w:p w14:paraId="08C9959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8,664.00</w:t>
            </w:r>
          </w:p>
        </w:tc>
        <w:tc>
          <w:tcPr>
            <w:tcW w:w="563" w:type="pct"/>
            <w:tcBorders>
              <w:top w:val="nil"/>
              <w:left w:val="nil"/>
              <w:bottom w:val="single" w:sz="4" w:space="0" w:color="000000"/>
              <w:right w:val="single" w:sz="4" w:space="0" w:color="000000"/>
            </w:tcBorders>
            <w:noWrap/>
            <w:vAlign w:val="center"/>
            <w:hideMark/>
          </w:tcPr>
          <w:p w14:paraId="387CCDE6"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6,711.00</w:t>
            </w:r>
          </w:p>
        </w:tc>
        <w:tc>
          <w:tcPr>
            <w:tcW w:w="563" w:type="pct"/>
            <w:tcBorders>
              <w:top w:val="nil"/>
              <w:left w:val="nil"/>
              <w:bottom w:val="single" w:sz="4" w:space="0" w:color="000000"/>
              <w:right w:val="single" w:sz="4" w:space="0" w:color="000000"/>
            </w:tcBorders>
            <w:noWrap/>
            <w:vAlign w:val="center"/>
            <w:hideMark/>
          </w:tcPr>
          <w:p w14:paraId="26F3B6B0"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6,560.00</w:t>
            </w:r>
          </w:p>
        </w:tc>
      </w:tr>
      <w:tr w:rsidR="00B8765D" w:rsidRPr="00B42029" w14:paraId="38E7B265" w14:textId="77777777" w:rsidTr="00B8765D">
        <w:trPr>
          <w:trHeight w:val="264"/>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17AF3DEF"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6F16167E" w14:textId="77777777" w:rsidTr="00B8765D">
        <w:trPr>
          <w:trHeight w:val="360"/>
        </w:trPr>
        <w:tc>
          <w:tcPr>
            <w:tcW w:w="2186" w:type="pct"/>
            <w:tcBorders>
              <w:top w:val="nil"/>
              <w:left w:val="single" w:sz="4" w:space="0" w:color="000000"/>
              <w:bottom w:val="single" w:sz="4" w:space="0" w:color="000000"/>
              <w:right w:val="single" w:sz="4" w:space="0" w:color="000000"/>
            </w:tcBorders>
            <w:noWrap/>
            <w:vAlign w:val="center"/>
            <w:hideMark/>
          </w:tcPr>
          <w:p w14:paraId="2BB3ABDA" w14:textId="77777777" w:rsidR="00B8765D" w:rsidRPr="00B42029" w:rsidRDefault="00B8765D" w:rsidP="00B8765D">
            <w:pPr>
              <w:spacing w:line="240" w:lineRule="auto"/>
              <w:rPr>
                <w:rFonts w:eastAsia="Times New Roman"/>
                <w:b/>
                <w:bCs/>
                <w:i/>
                <w:iCs/>
                <w:color w:val="000000"/>
                <w:sz w:val="28"/>
                <w:szCs w:val="28"/>
                <w:lang w:val="en-IN"/>
              </w:rPr>
            </w:pPr>
            <w:r w:rsidRPr="00B42029">
              <w:rPr>
                <w:rFonts w:eastAsia="Times New Roman"/>
                <w:b/>
                <w:bCs/>
                <w:i/>
                <w:iCs/>
                <w:color w:val="000000"/>
                <w:sz w:val="28"/>
                <w:szCs w:val="28"/>
                <w:lang w:val="en-IN"/>
              </w:rPr>
              <w:lastRenderedPageBreak/>
              <w:t>Returns Ratio</w:t>
            </w:r>
          </w:p>
        </w:tc>
        <w:tc>
          <w:tcPr>
            <w:tcW w:w="563" w:type="pct"/>
            <w:tcBorders>
              <w:top w:val="nil"/>
              <w:left w:val="nil"/>
              <w:bottom w:val="single" w:sz="4" w:space="0" w:color="000000"/>
              <w:right w:val="single" w:sz="4" w:space="0" w:color="000000"/>
            </w:tcBorders>
            <w:noWrap/>
            <w:vAlign w:val="center"/>
            <w:hideMark/>
          </w:tcPr>
          <w:p w14:paraId="26D497E6"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4D413E4"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70BFAA8"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19BB6EE"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DC58F46"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228C7B00"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3D69C41A" w14:textId="1ED2FA41" w:rsidR="00B8765D" w:rsidRPr="00B42029" w:rsidRDefault="00B42029"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Earnings</w:t>
            </w:r>
            <w:r w:rsidR="00B8765D" w:rsidRPr="00B42029">
              <w:rPr>
                <w:rFonts w:eastAsia="Times New Roman"/>
                <w:b/>
                <w:bCs/>
                <w:color w:val="000000"/>
                <w:sz w:val="24"/>
                <w:szCs w:val="24"/>
                <w:lang w:val="en-IN"/>
              </w:rPr>
              <w:t xml:space="preserve"> Per Share (EPS)</w:t>
            </w:r>
          </w:p>
        </w:tc>
        <w:tc>
          <w:tcPr>
            <w:tcW w:w="563" w:type="pct"/>
            <w:tcBorders>
              <w:top w:val="nil"/>
              <w:left w:val="nil"/>
              <w:bottom w:val="single" w:sz="4" w:space="0" w:color="000000"/>
              <w:right w:val="single" w:sz="4" w:space="0" w:color="000000"/>
            </w:tcBorders>
            <w:shd w:val="clear" w:color="00FFFF" w:fill="00FFFF"/>
            <w:noWrap/>
            <w:vAlign w:val="center"/>
            <w:hideMark/>
          </w:tcPr>
          <w:p w14:paraId="1D94FBAE"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8.40</w:t>
            </w:r>
          </w:p>
        </w:tc>
        <w:tc>
          <w:tcPr>
            <w:tcW w:w="563" w:type="pct"/>
            <w:tcBorders>
              <w:top w:val="nil"/>
              <w:left w:val="nil"/>
              <w:bottom w:val="single" w:sz="4" w:space="0" w:color="000000"/>
              <w:right w:val="single" w:sz="4" w:space="0" w:color="000000"/>
            </w:tcBorders>
            <w:shd w:val="clear" w:color="00FFFF" w:fill="00FFFF"/>
            <w:noWrap/>
            <w:vAlign w:val="center"/>
            <w:hideMark/>
          </w:tcPr>
          <w:p w14:paraId="7787FAB4"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9.45</w:t>
            </w:r>
          </w:p>
        </w:tc>
        <w:tc>
          <w:tcPr>
            <w:tcW w:w="563" w:type="pct"/>
            <w:tcBorders>
              <w:top w:val="nil"/>
              <w:left w:val="nil"/>
              <w:bottom w:val="single" w:sz="4" w:space="0" w:color="000000"/>
              <w:right w:val="single" w:sz="4" w:space="0" w:color="000000"/>
            </w:tcBorders>
            <w:shd w:val="clear" w:color="00FFFF" w:fill="00FFFF"/>
            <w:noWrap/>
            <w:vAlign w:val="center"/>
            <w:hideMark/>
          </w:tcPr>
          <w:p w14:paraId="36A9C9F2"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2.97</w:t>
            </w:r>
          </w:p>
        </w:tc>
        <w:tc>
          <w:tcPr>
            <w:tcW w:w="563" w:type="pct"/>
            <w:tcBorders>
              <w:top w:val="nil"/>
              <w:left w:val="nil"/>
              <w:bottom w:val="single" w:sz="4" w:space="0" w:color="000000"/>
              <w:right w:val="single" w:sz="4" w:space="0" w:color="000000"/>
            </w:tcBorders>
            <w:shd w:val="clear" w:color="00FFFF" w:fill="00FFFF"/>
            <w:noWrap/>
            <w:vAlign w:val="center"/>
            <w:hideMark/>
          </w:tcPr>
          <w:p w14:paraId="2AB51AD0"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2.98</w:t>
            </w:r>
          </w:p>
        </w:tc>
        <w:tc>
          <w:tcPr>
            <w:tcW w:w="563" w:type="pct"/>
            <w:tcBorders>
              <w:top w:val="nil"/>
              <w:left w:val="nil"/>
              <w:bottom w:val="single" w:sz="4" w:space="0" w:color="000000"/>
              <w:right w:val="single" w:sz="4" w:space="0" w:color="000000"/>
            </w:tcBorders>
            <w:shd w:val="clear" w:color="00FFFF" w:fill="00FFFF"/>
            <w:noWrap/>
            <w:vAlign w:val="center"/>
            <w:hideMark/>
          </w:tcPr>
          <w:p w14:paraId="00D2657F"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2.89</w:t>
            </w:r>
          </w:p>
        </w:tc>
      </w:tr>
      <w:tr w:rsidR="00B8765D" w:rsidRPr="00B42029" w14:paraId="6702FF36"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02577BE2"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Profit Attributable to Ordinary Shareholders</w:t>
            </w:r>
          </w:p>
        </w:tc>
        <w:tc>
          <w:tcPr>
            <w:tcW w:w="563" w:type="pct"/>
            <w:tcBorders>
              <w:top w:val="nil"/>
              <w:left w:val="nil"/>
              <w:bottom w:val="single" w:sz="4" w:space="0" w:color="000000"/>
              <w:right w:val="single" w:sz="4" w:space="0" w:color="000000"/>
            </w:tcBorders>
            <w:noWrap/>
            <w:vAlign w:val="center"/>
            <w:hideMark/>
          </w:tcPr>
          <w:p w14:paraId="713833A6"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1,606.00</w:t>
            </w:r>
          </w:p>
        </w:tc>
        <w:tc>
          <w:tcPr>
            <w:tcW w:w="563" w:type="pct"/>
            <w:tcBorders>
              <w:top w:val="nil"/>
              <w:left w:val="nil"/>
              <w:bottom w:val="single" w:sz="4" w:space="0" w:color="000000"/>
              <w:right w:val="single" w:sz="4" w:space="0" w:color="000000"/>
            </w:tcBorders>
            <w:noWrap/>
            <w:vAlign w:val="center"/>
            <w:hideMark/>
          </w:tcPr>
          <w:p w14:paraId="142265C0"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1,808.00</w:t>
            </w:r>
          </w:p>
        </w:tc>
        <w:tc>
          <w:tcPr>
            <w:tcW w:w="563" w:type="pct"/>
            <w:tcBorders>
              <w:top w:val="nil"/>
              <w:left w:val="nil"/>
              <w:bottom w:val="single" w:sz="4" w:space="0" w:color="000000"/>
              <w:right w:val="single" w:sz="4" w:space="0" w:color="000000"/>
            </w:tcBorders>
            <w:noWrap/>
            <w:vAlign w:val="center"/>
            <w:hideMark/>
          </w:tcPr>
          <w:p w14:paraId="06A6420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569.00</w:t>
            </w:r>
          </w:p>
        </w:tc>
        <w:tc>
          <w:tcPr>
            <w:tcW w:w="563" w:type="pct"/>
            <w:tcBorders>
              <w:top w:val="nil"/>
              <w:left w:val="nil"/>
              <w:bottom w:val="single" w:sz="4" w:space="0" w:color="000000"/>
              <w:right w:val="single" w:sz="4" w:space="0" w:color="000000"/>
            </w:tcBorders>
            <w:noWrap/>
            <w:vAlign w:val="center"/>
            <w:hideMark/>
          </w:tcPr>
          <w:p w14:paraId="3340DB9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652.00</w:t>
            </w:r>
          </w:p>
        </w:tc>
        <w:tc>
          <w:tcPr>
            <w:tcW w:w="563" w:type="pct"/>
            <w:tcBorders>
              <w:top w:val="nil"/>
              <w:left w:val="nil"/>
              <w:bottom w:val="single" w:sz="4" w:space="0" w:color="000000"/>
              <w:right w:val="single" w:sz="4" w:space="0" w:color="000000"/>
            </w:tcBorders>
            <w:noWrap/>
            <w:vAlign w:val="center"/>
            <w:hideMark/>
          </w:tcPr>
          <w:p w14:paraId="5A360FA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624.00</w:t>
            </w:r>
          </w:p>
        </w:tc>
      </w:tr>
      <w:tr w:rsidR="00B8765D" w:rsidRPr="00B42029" w14:paraId="0B183A95"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7905A563"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Weighted Average Number of Ordinary Shares</w:t>
            </w:r>
          </w:p>
        </w:tc>
        <w:tc>
          <w:tcPr>
            <w:tcW w:w="563" w:type="pct"/>
            <w:tcBorders>
              <w:top w:val="nil"/>
              <w:left w:val="nil"/>
              <w:bottom w:val="single" w:sz="4" w:space="0" w:color="000000"/>
              <w:right w:val="single" w:sz="4" w:space="0" w:color="000000"/>
            </w:tcBorders>
            <w:noWrap/>
            <w:vAlign w:val="center"/>
            <w:hideMark/>
          </w:tcPr>
          <w:p w14:paraId="68A6C0F2"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191.25</w:t>
            </w:r>
          </w:p>
        </w:tc>
        <w:tc>
          <w:tcPr>
            <w:tcW w:w="563" w:type="pct"/>
            <w:tcBorders>
              <w:top w:val="nil"/>
              <w:left w:val="nil"/>
              <w:bottom w:val="single" w:sz="4" w:space="0" w:color="000000"/>
              <w:right w:val="single" w:sz="4" w:space="0" w:color="000000"/>
            </w:tcBorders>
            <w:noWrap/>
            <w:vAlign w:val="center"/>
            <w:hideMark/>
          </w:tcPr>
          <w:p w14:paraId="6044F906"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191.30</w:t>
            </w:r>
          </w:p>
        </w:tc>
        <w:tc>
          <w:tcPr>
            <w:tcW w:w="563" w:type="pct"/>
            <w:tcBorders>
              <w:top w:val="nil"/>
              <w:left w:val="nil"/>
              <w:bottom w:val="single" w:sz="4" w:space="0" w:color="000000"/>
              <w:right w:val="single" w:sz="4" w:space="0" w:color="000000"/>
            </w:tcBorders>
            <w:noWrap/>
            <w:vAlign w:val="center"/>
            <w:hideMark/>
          </w:tcPr>
          <w:p w14:paraId="511257B6"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191.30</w:t>
            </w:r>
          </w:p>
        </w:tc>
        <w:tc>
          <w:tcPr>
            <w:tcW w:w="563" w:type="pct"/>
            <w:tcBorders>
              <w:top w:val="nil"/>
              <w:left w:val="nil"/>
              <w:bottom w:val="single" w:sz="4" w:space="0" w:color="000000"/>
              <w:right w:val="single" w:sz="4" w:space="0" w:color="000000"/>
            </w:tcBorders>
            <w:noWrap/>
            <w:vAlign w:val="center"/>
            <w:hideMark/>
          </w:tcPr>
          <w:p w14:paraId="47BBB69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219.11</w:t>
            </w:r>
          </w:p>
        </w:tc>
        <w:tc>
          <w:tcPr>
            <w:tcW w:w="563" w:type="pct"/>
            <w:tcBorders>
              <w:top w:val="nil"/>
              <w:left w:val="nil"/>
              <w:bottom w:val="single" w:sz="4" w:space="0" w:color="000000"/>
              <w:right w:val="single" w:sz="4" w:space="0" w:color="000000"/>
            </w:tcBorders>
            <w:noWrap/>
            <w:vAlign w:val="center"/>
            <w:hideMark/>
          </w:tcPr>
          <w:p w14:paraId="0759622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215.61</w:t>
            </w:r>
          </w:p>
        </w:tc>
      </w:tr>
      <w:tr w:rsidR="00B8765D" w:rsidRPr="00B42029" w14:paraId="5944C2BB"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3B8C1EA0"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97FB852"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3CECD40"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FA4D137"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0FAF0F6"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5FB003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098BB53C"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3DEF5DF8"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Price-to-Earnings (P/E)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22F4CB5D"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4.35</w:t>
            </w:r>
          </w:p>
        </w:tc>
        <w:tc>
          <w:tcPr>
            <w:tcW w:w="563" w:type="pct"/>
            <w:tcBorders>
              <w:top w:val="nil"/>
              <w:left w:val="nil"/>
              <w:bottom w:val="single" w:sz="4" w:space="0" w:color="000000"/>
              <w:right w:val="single" w:sz="4" w:space="0" w:color="000000"/>
            </w:tcBorders>
            <w:shd w:val="clear" w:color="00FFFF" w:fill="00FFFF"/>
            <w:noWrap/>
            <w:vAlign w:val="center"/>
            <w:hideMark/>
          </w:tcPr>
          <w:p w14:paraId="242A6137"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3.41</w:t>
            </w:r>
          </w:p>
        </w:tc>
        <w:tc>
          <w:tcPr>
            <w:tcW w:w="563" w:type="pct"/>
            <w:tcBorders>
              <w:top w:val="nil"/>
              <w:left w:val="nil"/>
              <w:bottom w:val="single" w:sz="4" w:space="0" w:color="000000"/>
              <w:right w:val="single" w:sz="4" w:space="0" w:color="000000"/>
            </w:tcBorders>
            <w:shd w:val="clear" w:color="00FFFF" w:fill="00FFFF"/>
            <w:noWrap/>
            <w:vAlign w:val="center"/>
            <w:hideMark/>
          </w:tcPr>
          <w:p w14:paraId="08E037D3"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15.61</w:t>
            </w:r>
          </w:p>
        </w:tc>
        <w:tc>
          <w:tcPr>
            <w:tcW w:w="563" w:type="pct"/>
            <w:tcBorders>
              <w:top w:val="nil"/>
              <w:left w:val="nil"/>
              <w:bottom w:val="single" w:sz="4" w:space="0" w:color="000000"/>
              <w:right w:val="single" w:sz="4" w:space="0" w:color="000000"/>
            </w:tcBorders>
            <w:shd w:val="clear" w:color="00FFFF" w:fill="00FFFF"/>
            <w:noWrap/>
            <w:vAlign w:val="center"/>
            <w:hideMark/>
          </w:tcPr>
          <w:p w14:paraId="1CCA6003"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23.09</w:t>
            </w:r>
          </w:p>
        </w:tc>
        <w:tc>
          <w:tcPr>
            <w:tcW w:w="563" w:type="pct"/>
            <w:tcBorders>
              <w:top w:val="nil"/>
              <w:left w:val="nil"/>
              <w:bottom w:val="single" w:sz="4" w:space="0" w:color="000000"/>
              <w:right w:val="single" w:sz="4" w:space="0" w:color="000000"/>
            </w:tcBorders>
            <w:shd w:val="clear" w:color="00FFFF" w:fill="00FFFF"/>
            <w:noWrap/>
            <w:vAlign w:val="center"/>
            <w:hideMark/>
          </w:tcPr>
          <w:p w14:paraId="1AD21C13"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33.62</w:t>
            </w:r>
          </w:p>
        </w:tc>
      </w:tr>
      <w:tr w:rsidR="00B8765D" w:rsidRPr="00B42029" w14:paraId="2939DD98"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4FB47857"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Market Price Per Share</w:t>
            </w:r>
          </w:p>
        </w:tc>
        <w:tc>
          <w:tcPr>
            <w:tcW w:w="563" w:type="pct"/>
            <w:tcBorders>
              <w:top w:val="nil"/>
              <w:left w:val="nil"/>
              <w:bottom w:val="single" w:sz="4" w:space="0" w:color="000000"/>
              <w:right w:val="single" w:sz="4" w:space="0" w:color="000000"/>
            </w:tcBorders>
            <w:noWrap/>
            <w:vAlign w:val="center"/>
            <w:hideMark/>
          </w:tcPr>
          <w:p w14:paraId="59798EA0"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36.49</w:t>
            </w:r>
          </w:p>
        </w:tc>
        <w:tc>
          <w:tcPr>
            <w:tcW w:w="563" w:type="pct"/>
            <w:tcBorders>
              <w:top w:val="nil"/>
              <w:left w:val="nil"/>
              <w:bottom w:val="single" w:sz="4" w:space="0" w:color="000000"/>
              <w:right w:val="single" w:sz="4" w:space="0" w:color="000000"/>
            </w:tcBorders>
            <w:noWrap/>
            <w:vAlign w:val="center"/>
            <w:hideMark/>
          </w:tcPr>
          <w:p w14:paraId="276174FB"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32.22</w:t>
            </w:r>
          </w:p>
        </w:tc>
        <w:tc>
          <w:tcPr>
            <w:tcW w:w="563" w:type="pct"/>
            <w:tcBorders>
              <w:top w:val="nil"/>
              <w:left w:val="nil"/>
              <w:bottom w:val="single" w:sz="4" w:space="0" w:color="000000"/>
              <w:right w:val="single" w:sz="4" w:space="0" w:color="000000"/>
            </w:tcBorders>
            <w:noWrap/>
            <w:vAlign w:val="center"/>
            <w:hideMark/>
          </w:tcPr>
          <w:p w14:paraId="60D1876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46.42</w:t>
            </w:r>
          </w:p>
        </w:tc>
        <w:tc>
          <w:tcPr>
            <w:tcW w:w="563" w:type="pct"/>
            <w:tcBorders>
              <w:top w:val="nil"/>
              <w:left w:val="nil"/>
              <w:bottom w:val="single" w:sz="4" w:space="0" w:color="000000"/>
              <w:right w:val="single" w:sz="4" w:space="0" w:color="000000"/>
            </w:tcBorders>
            <w:noWrap/>
            <w:vAlign w:val="center"/>
            <w:hideMark/>
          </w:tcPr>
          <w:p w14:paraId="6143E8B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68.70</w:t>
            </w:r>
          </w:p>
        </w:tc>
        <w:tc>
          <w:tcPr>
            <w:tcW w:w="563" w:type="pct"/>
            <w:tcBorders>
              <w:top w:val="nil"/>
              <w:left w:val="nil"/>
              <w:bottom w:val="single" w:sz="4" w:space="0" w:color="000000"/>
              <w:right w:val="single" w:sz="4" w:space="0" w:color="000000"/>
            </w:tcBorders>
            <w:noWrap/>
            <w:vAlign w:val="center"/>
            <w:hideMark/>
          </w:tcPr>
          <w:p w14:paraId="0544533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97.30</w:t>
            </w:r>
          </w:p>
        </w:tc>
      </w:tr>
      <w:tr w:rsidR="00B8765D" w:rsidRPr="00B42029" w14:paraId="3FC57AB0"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2BF6DDEC" w14:textId="4D171FF7" w:rsidR="00B8765D" w:rsidRPr="00B42029" w:rsidRDefault="00B42029"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Earnings</w:t>
            </w:r>
            <w:r w:rsidR="00B8765D" w:rsidRPr="00B42029">
              <w:rPr>
                <w:rFonts w:eastAsia="Times New Roman"/>
                <w:color w:val="000000"/>
                <w:sz w:val="24"/>
                <w:szCs w:val="24"/>
                <w:lang w:val="en-IN"/>
              </w:rPr>
              <w:t xml:space="preserve"> Per Share (EPS)</w:t>
            </w:r>
          </w:p>
        </w:tc>
        <w:tc>
          <w:tcPr>
            <w:tcW w:w="563" w:type="pct"/>
            <w:tcBorders>
              <w:top w:val="nil"/>
              <w:left w:val="nil"/>
              <w:bottom w:val="single" w:sz="4" w:space="0" w:color="000000"/>
              <w:right w:val="single" w:sz="4" w:space="0" w:color="000000"/>
            </w:tcBorders>
            <w:noWrap/>
            <w:vAlign w:val="center"/>
            <w:hideMark/>
          </w:tcPr>
          <w:p w14:paraId="38AC6813"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8.40</w:t>
            </w:r>
          </w:p>
        </w:tc>
        <w:tc>
          <w:tcPr>
            <w:tcW w:w="563" w:type="pct"/>
            <w:tcBorders>
              <w:top w:val="nil"/>
              <w:left w:val="nil"/>
              <w:bottom w:val="single" w:sz="4" w:space="0" w:color="000000"/>
              <w:right w:val="single" w:sz="4" w:space="0" w:color="000000"/>
            </w:tcBorders>
            <w:noWrap/>
            <w:vAlign w:val="center"/>
            <w:hideMark/>
          </w:tcPr>
          <w:p w14:paraId="4921635D"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9.45</w:t>
            </w:r>
          </w:p>
        </w:tc>
        <w:tc>
          <w:tcPr>
            <w:tcW w:w="563" w:type="pct"/>
            <w:tcBorders>
              <w:top w:val="nil"/>
              <w:left w:val="nil"/>
              <w:bottom w:val="single" w:sz="4" w:space="0" w:color="000000"/>
              <w:right w:val="single" w:sz="4" w:space="0" w:color="000000"/>
            </w:tcBorders>
            <w:noWrap/>
            <w:vAlign w:val="center"/>
            <w:hideMark/>
          </w:tcPr>
          <w:p w14:paraId="20EDC50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2.97</w:t>
            </w:r>
          </w:p>
        </w:tc>
        <w:tc>
          <w:tcPr>
            <w:tcW w:w="563" w:type="pct"/>
            <w:tcBorders>
              <w:top w:val="nil"/>
              <w:left w:val="nil"/>
              <w:bottom w:val="single" w:sz="4" w:space="0" w:color="000000"/>
              <w:right w:val="single" w:sz="4" w:space="0" w:color="000000"/>
            </w:tcBorders>
            <w:noWrap/>
            <w:vAlign w:val="center"/>
            <w:hideMark/>
          </w:tcPr>
          <w:p w14:paraId="5CAD242A"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2.98</w:t>
            </w:r>
          </w:p>
        </w:tc>
        <w:tc>
          <w:tcPr>
            <w:tcW w:w="563" w:type="pct"/>
            <w:tcBorders>
              <w:top w:val="nil"/>
              <w:left w:val="nil"/>
              <w:bottom w:val="single" w:sz="4" w:space="0" w:color="000000"/>
              <w:right w:val="single" w:sz="4" w:space="0" w:color="000000"/>
            </w:tcBorders>
            <w:noWrap/>
            <w:vAlign w:val="center"/>
            <w:hideMark/>
          </w:tcPr>
          <w:p w14:paraId="7951520B"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2.89</w:t>
            </w:r>
          </w:p>
        </w:tc>
      </w:tr>
      <w:tr w:rsidR="00B8765D" w:rsidRPr="00B42029" w14:paraId="2F41147B" w14:textId="77777777" w:rsidTr="00B8765D">
        <w:trPr>
          <w:trHeight w:val="264"/>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1600942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14261DF0" w14:textId="77777777" w:rsidTr="00B8765D">
        <w:trPr>
          <w:trHeight w:val="360"/>
        </w:trPr>
        <w:tc>
          <w:tcPr>
            <w:tcW w:w="2186" w:type="pct"/>
            <w:tcBorders>
              <w:top w:val="nil"/>
              <w:left w:val="single" w:sz="4" w:space="0" w:color="000000"/>
              <w:bottom w:val="single" w:sz="4" w:space="0" w:color="000000"/>
              <w:right w:val="single" w:sz="4" w:space="0" w:color="000000"/>
            </w:tcBorders>
            <w:noWrap/>
            <w:vAlign w:val="center"/>
            <w:hideMark/>
          </w:tcPr>
          <w:p w14:paraId="6EBB8ADF" w14:textId="77777777" w:rsidR="00B8765D" w:rsidRPr="00B42029" w:rsidRDefault="00B8765D" w:rsidP="00B8765D">
            <w:pPr>
              <w:spacing w:line="240" w:lineRule="auto"/>
              <w:rPr>
                <w:rFonts w:eastAsia="Times New Roman"/>
                <w:b/>
                <w:bCs/>
                <w:i/>
                <w:iCs/>
                <w:color w:val="000000"/>
                <w:sz w:val="28"/>
                <w:szCs w:val="28"/>
                <w:lang w:val="en-IN"/>
              </w:rPr>
            </w:pPr>
            <w:r w:rsidRPr="00B42029">
              <w:rPr>
                <w:rFonts w:eastAsia="Times New Roman"/>
                <w:b/>
                <w:bCs/>
                <w:i/>
                <w:iCs/>
                <w:color w:val="000000"/>
                <w:sz w:val="28"/>
                <w:szCs w:val="28"/>
                <w:lang w:val="en-IN"/>
              </w:rPr>
              <w:t>Cash Flow</w:t>
            </w:r>
          </w:p>
        </w:tc>
        <w:tc>
          <w:tcPr>
            <w:tcW w:w="563" w:type="pct"/>
            <w:tcBorders>
              <w:top w:val="nil"/>
              <w:left w:val="nil"/>
              <w:bottom w:val="single" w:sz="4" w:space="0" w:color="000000"/>
              <w:right w:val="single" w:sz="4" w:space="0" w:color="000000"/>
            </w:tcBorders>
            <w:noWrap/>
            <w:vAlign w:val="center"/>
            <w:hideMark/>
          </w:tcPr>
          <w:p w14:paraId="2BCB8533"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9C1B67E"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5782C5C1"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EE96FFA"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C79B51E"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4D0430C2"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1557322B"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Operating cash Flow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4D2C5504" w14:textId="77777777" w:rsidR="00B8765D" w:rsidRPr="00B42029" w:rsidRDefault="00B8765D" w:rsidP="00B8765D">
            <w:pPr>
              <w:spacing w:line="240" w:lineRule="auto"/>
              <w:jc w:val="center"/>
              <w:rPr>
                <w:rFonts w:eastAsia="Times New Roman"/>
                <w:b/>
                <w:bCs/>
                <w:sz w:val="24"/>
                <w:szCs w:val="24"/>
                <w:lang w:val="en-IN"/>
              </w:rPr>
            </w:pPr>
            <w:r w:rsidRPr="00B42029">
              <w:rPr>
                <w:rFonts w:eastAsia="Times New Roman"/>
                <w:b/>
                <w:bCs/>
                <w:sz w:val="24"/>
                <w:szCs w:val="24"/>
                <w:lang w:val="en-IN"/>
              </w:rPr>
              <w:t>0.66</w:t>
            </w:r>
          </w:p>
        </w:tc>
        <w:tc>
          <w:tcPr>
            <w:tcW w:w="563" w:type="pct"/>
            <w:tcBorders>
              <w:top w:val="nil"/>
              <w:left w:val="nil"/>
              <w:bottom w:val="single" w:sz="4" w:space="0" w:color="000000"/>
              <w:right w:val="single" w:sz="4" w:space="0" w:color="000000"/>
            </w:tcBorders>
            <w:shd w:val="clear" w:color="00FFFF" w:fill="00FFFF"/>
            <w:noWrap/>
            <w:vAlign w:val="center"/>
            <w:hideMark/>
          </w:tcPr>
          <w:p w14:paraId="38C6598A"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0.96</w:t>
            </w:r>
          </w:p>
        </w:tc>
        <w:tc>
          <w:tcPr>
            <w:tcW w:w="563" w:type="pct"/>
            <w:tcBorders>
              <w:top w:val="nil"/>
              <w:left w:val="nil"/>
              <w:bottom w:val="single" w:sz="4" w:space="0" w:color="000000"/>
              <w:right w:val="single" w:sz="4" w:space="0" w:color="000000"/>
            </w:tcBorders>
            <w:shd w:val="clear" w:color="00FFFF" w:fill="00FFFF"/>
            <w:noWrap/>
            <w:vAlign w:val="center"/>
            <w:hideMark/>
          </w:tcPr>
          <w:p w14:paraId="2C65C9DE"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0.74</w:t>
            </w:r>
          </w:p>
        </w:tc>
        <w:tc>
          <w:tcPr>
            <w:tcW w:w="563" w:type="pct"/>
            <w:tcBorders>
              <w:top w:val="nil"/>
              <w:left w:val="nil"/>
              <w:bottom w:val="single" w:sz="4" w:space="0" w:color="000000"/>
              <w:right w:val="single" w:sz="4" w:space="0" w:color="000000"/>
            </w:tcBorders>
            <w:shd w:val="clear" w:color="00FFFF" w:fill="00FFFF"/>
            <w:noWrap/>
            <w:vAlign w:val="center"/>
            <w:hideMark/>
          </w:tcPr>
          <w:p w14:paraId="57FE0F1B"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0.95</w:t>
            </w:r>
          </w:p>
        </w:tc>
        <w:tc>
          <w:tcPr>
            <w:tcW w:w="563" w:type="pct"/>
            <w:tcBorders>
              <w:top w:val="nil"/>
              <w:left w:val="nil"/>
              <w:bottom w:val="single" w:sz="4" w:space="0" w:color="000000"/>
              <w:right w:val="single" w:sz="4" w:space="0" w:color="000000"/>
            </w:tcBorders>
            <w:shd w:val="clear" w:color="00FFFF" w:fill="00FFFF"/>
            <w:noWrap/>
            <w:vAlign w:val="center"/>
            <w:hideMark/>
          </w:tcPr>
          <w:p w14:paraId="48966742"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0.98</w:t>
            </w:r>
          </w:p>
        </w:tc>
      </w:tr>
      <w:tr w:rsidR="00B8765D" w:rsidRPr="00B42029" w14:paraId="69DD9F66"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34CF5DE4"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Cash Flow from Operating Activities</w:t>
            </w:r>
          </w:p>
        </w:tc>
        <w:tc>
          <w:tcPr>
            <w:tcW w:w="563" w:type="pct"/>
            <w:tcBorders>
              <w:top w:val="nil"/>
              <w:left w:val="nil"/>
              <w:bottom w:val="single" w:sz="4" w:space="0" w:color="000000"/>
              <w:right w:val="single" w:sz="4" w:space="0" w:color="000000"/>
            </w:tcBorders>
            <w:noWrap/>
            <w:vAlign w:val="center"/>
            <w:hideMark/>
          </w:tcPr>
          <w:p w14:paraId="1251BE63"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3,701.00</w:t>
            </w:r>
          </w:p>
        </w:tc>
        <w:tc>
          <w:tcPr>
            <w:tcW w:w="563" w:type="pct"/>
            <w:tcBorders>
              <w:top w:val="nil"/>
              <w:left w:val="nil"/>
              <w:bottom w:val="single" w:sz="4" w:space="0" w:color="000000"/>
              <w:right w:val="single" w:sz="4" w:space="0" w:color="000000"/>
            </w:tcBorders>
            <w:noWrap/>
            <w:vAlign w:val="center"/>
            <w:hideMark/>
          </w:tcPr>
          <w:p w14:paraId="6501852C"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6,432.00</w:t>
            </w:r>
          </w:p>
        </w:tc>
        <w:tc>
          <w:tcPr>
            <w:tcW w:w="563" w:type="pct"/>
            <w:tcBorders>
              <w:top w:val="nil"/>
              <w:left w:val="nil"/>
              <w:bottom w:val="single" w:sz="4" w:space="0" w:color="000000"/>
              <w:right w:val="single" w:sz="4" w:space="0" w:color="000000"/>
            </w:tcBorders>
            <w:noWrap/>
            <w:vAlign w:val="center"/>
            <w:hideMark/>
          </w:tcPr>
          <w:p w14:paraId="065EE572"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6,394.00</w:t>
            </w:r>
          </w:p>
        </w:tc>
        <w:tc>
          <w:tcPr>
            <w:tcW w:w="563" w:type="pct"/>
            <w:tcBorders>
              <w:top w:val="nil"/>
              <w:left w:val="nil"/>
              <w:bottom w:val="single" w:sz="4" w:space="0" w:color="000000"/>
              <w:right w:val="single" w:sz="4" w:space="0" w:color="000000"/>
            </w:tcBorders>
            <w:noWrap/>
            <w:vAlign w:val="center"/>
            <w:hideMark/>
          </w:tcPr>
          <w:p w14:paraId="0194EE9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6,389.00</w:t>
            </w:r>
          </w:p>
        </w:tc>
        <w:tc>
          <w:tcPr>
            <w:tcW w:w="563" w:type="pct"/>
            <w:tcBorders>
              <w:top w:val="nil"/>
              <w:left w:val="nil"/>
              <w:bottom w:val="single" w:sz="4" w:space="0" w:color="000000"/>
              <w:right w:val="single" w:sz="4" w:space="0" w:color="000000"/>
            </w:tcBorders>
            <w:noWrap/>
            <w:vAlign w:val="center"/>
            <w:hideMark/>
          </w:tcPr>
          <w:p w14:paraId="49916507"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6,459.00</w:t>
            </w:r>
          </w:p>
        </w:tc>
      </w:tr>
      <w:tr w:rsidR="00B8765D" w:rsidRPr="00B42029" w14:paraId="01DAC8A8"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7638F9E6"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Current Liabilities</w:t>
            </w:r>
          </w:p>
        </w:tc>
        <w:tc>
          <w:tcPr>
            <w:tcW w:w="563" w:type="pct"/>
            <w:tcBorders>
              <w:top w:val="nil"/>
              <w:left w:val="nil"/>
              <w:bottom w:val="single" w:sz="4" w:space="0" w:color="000000"/>
              <w:right w:val="single" w:sz="4" w:space="0" w:color="000000"/>
            </w:tcBorders>
            <w:noWrap/>
            <w:vAlign w:val="center"/>
            <w:hideMark/>
          </w:tcPr>
          <w:p w14:paraId="02D7D156"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5,612.00</w:t>
            </w:r>
          </w:p>
        </w:tc>
        <w:tc>
          <w:tcPr>
            <w:tcW w:w="563" w:type="pct"/>
            <w:tcBorders>
              <w:top w:val="nil"/>
              <w:left w:val="nil"/>
              <w:bottom w:val="single" w:sz="4" w:space="0" w:color="000000"/>
              <w:right w:val="single" w:sz="4" w:space="0" w:color="000000"/>
            </w:tcBorders>
            <w:noWrap/>
            <w:vAlign w:val="center"/>
            <w:hideMark/>
          </w:tcPr>
          <w:p w14:paraId="2C868F8F"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6,713.00</w:t>
            </w:r>
          </w:p>
        </w:tc>
        <w:tc>
          <w:tcPr>
            <w:tcW w:w="563" w:type="pct"/>
            <w:tcBorders>
              <w:top w:val="nil"/>
              <w:left w:val="nil"/>
              <w:bottom w:val="single" w:sz="4" w:space="0" w:color="000000"/>
              <w:right w:val="single" w:sz="4" w:space="0" w:color="000000"/>
            </w:tcBorders>
            <w:noWrap/>
            <w:vAlign w:val="center"/>
            <w:hideMark/>
          </w:tcPr>
          <w:p w14:paraId="413E2716"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8,664.00</w:t>
            </w:r>
          </w:p>
        </w:tc>
        <w:tc>
          <w:tcPr>
            <w:tcW w:w="563" w:type="pct"/>
            <w:tcBorders>
              <w:top w:val="nil"/>
              <w:left w:val="nil"/>
              <w:bottom w:val="single" w:sz="4" w:space="0" w:color="000000"/>
              <w:right w:val="single" w:sz="4" w:space="0" w:color="000000"/>
            </w:tcBorders>
            <w:noWrap/>
            <w:vAlign w:val="center"/>
            <w:hideMark/>
          </w:tcPr>
          <w:p w14:paraId="086E4213"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6,711.00</w:t>
            </w:r>
          </w:p>
        </w:tc>
        <w:tc>
          <w:tcPr>
            <w:tcW w:w="563" w:type="pct"/>
            <w:tcBorders>
              <w:top w:val="nil"/>
              <w:left w:val="nil"/>
              <w:bottom w:val="single" w:sz="4" w:space="0" w:color="000000"/>
              <w:right w:val="single" w:sz="4" w:space="0" w:color="000000"/>
            </w:tcBorders>
            <w:noWrap/>
            <w:vAlign w:val="center"/>
            <w:hideMark/>
          </w:tcPr>
          <w:p w14:paraId="08E98688"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6,560.00</w:t>
            </w:r>
          </w:p>
        </w:tc>
      </w:tr>
      <w:tr w:rsidR="00B8765D" w:rsidRPr="00B42029" w14:paraId="1AE59B33"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41507FD1"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84443E7" w14:textId="77777777" w:rsidR="00B8765D" w:rsidRPr="00B42029" w:rsidRDefault="00B8765D" w:rsidP="00B8765D">
            <w:pPr>
              <w:spacing w:line="240" w:lineRule="auto"/>
              <w:rPr>
                <w:rFonts w:eastAsia="Times New Roman"/>
                <w:sz w:val="20"/>
                <w:szCs w:val="20"/>
                <w:lang w:val="en-IN"/>
              </w:rPr>
            </w:pPr>
            <w:r w:rsidRPr="00B42029">
              <w:rPr>
                <w:rFonts w:eastAsia="Times New Roman"/>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7DEDD0A0"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76996EB"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8CF748A"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9B68A54"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B8765D" w:rsidRPr="00B42029" w14:paraId="4749E72B"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757FAF78" w14:textId="77777777" w:rsidR="00B8765D" w:rsidRPr="00B42029" w:rsidRDefault="00B8765D" w:rsidP="00B8765D">
            <w:pPr>
              <w:spacing w:line="240" w:lineRule="auto"/>
              <w:rPr>
                <w:rFonts w:eastAsia="Times New Roman"/>
                <w:b/>
                <w:bCs/>
                <w:color w:val="000000"/>
                <w:sz w:val="24"/>
                <w:szCs w:val="24"/>
                <w:lang w:val="en-IN"/>
              </w:rPr>
            </w:pPr>
            <w:r w:rsidRPr="00B42029">
              <w:rPr>
                <w:rFonts w:eastAsia="Times New Roman"/>
                <w:b/>
                <w:bCs/>
                <w:color w:val="000000"/>
                <w:sz w:val="24"/>
                <w:szCs w:val="24"/>
                <w:lang w:val="en-IN"/>
              </w:rPr>
              <w:t>Free Cash Flow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3E7B746C" w14:textId="77777777" w:rsidR="00B8765D" w:rsidRPr="00B42029" w:rsidRDefault="00B8765D" w:rsidP="00B8765D">
            <w:pPr>
              <w:spacing w:line="240" w:lineRule="auto"/>
              <w:jc w:val="center"/>
              <w:rPr>
                <w:rFonts w:eastAsia="Times New Roman"/>
                <w:b/>
                <w:bCs/>
                <w:sz w:val="24"/>
                <w:szCs w:val="24"/>
                <w:lang w:val="en-IN"/>
              </w:rPr>
            </w:pPr>
            <w:r w:rsidRPr="00B42029">
              <w:rPr>
                <w:rFonts w:eastAsia="Times New Roman"/>
                <w:b/>
                <w:bCs/>
                <w:sz w:val="24"/>
                <w:szCs w:val="24"/>
                <w:lang w:val="en-IN"/>
              </w:rPr>
              <w:t>0.02</w:t>
            </w:r>
          </w:p>
        </w:tc>
        <w:tc>
          <w:tcPr>
            <w:tcW w:w="563" w:type="pct"/>
            <w:tcBorders>
              <w:top w:val="nil"/>
              <w:left w:val="nil"/>
              <w:bottom w:val="single" w:sz="4" w:space="0" w:color="000000"/>
              <w:right w:val="single" w:sz="4" w:space="0" w:color="000000"/>
            </w:tcBorders>
            <w:shd w:val="clear" w:color="00FFFF" w:fill="00FFFF"/>
            <w:noWrap/>
            <w:vAlign w:val="center"/>
            <w:hideMark/>
          </w:tcPr>
          <w:p w14:paraId="212E2762"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0.11</w:t>
            </w:r>
          </w:p>
        </w:tc>
        <w:tc>
          <w:tcPr>
            <w:tcW w:w="563" w:type="pct"/>
            <w:tcBorders>
              <w:top w:val="nil"/>
              <w:left w:val="nil"/>
              <w:bottom w:val="single" w:sz="4" w:space="0" w:color="000000"/>
              <w:right w:val="single" w:sz="4" w:space="0" w:color="000000"/>
            </w:tcBorders>
            <w:shd w:val="clear" w:color="00FFFF" w:fill="00FFFF"/>
            <w:noWrap/>
            <w:vAlign w:val="center"/>
            <w:hideMark/>
          </w:tcPr>
          <w:p w14:paraId="02A98D68"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0.08</w:t>
            </w:r>
          </w:p>
        </w:tc>
        <w:tc>
          <w:tcPr>
            <w:tcW w:w="563" w:type="pct"/>
            <w:tcBorders>
              <w:top w:val="nil"/>
              <w:left w:val="nil"/>
              <w:bottom w:val="single" w:sz="4" w:space="0" w:color="000000"/>
              <w:right w:val="single" w:sz="4" w:space="0" w:color="000000"/>
            </w:tcBorders>
            <w:shd w:val="clear" w:color="00FFFF" w:fill="00FFFF"/>
            <w:noWrap/>
            <w:vAlign w:val="center"/>
            <w:hideMark/>
          </w:tcPr>
          <w:p w14:paraId="3DA2881A"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0.04</w:t>
            </w:r>
          </w:p>
        </w:tc>
        <w:tc>
          <w:tcPr>
            <w:tcW w:w="563" w:type="pct"/>
            <w:tcBorders>
              <w:top w:val="nil"/>
              <w:left w:val="nil"/>
              <w:bottom w:val="single" w:sz="4" w:space="0" w:color="000000"/>
              <w:right w:val="single" w:sz="4" w:space="0" w:color="000000"/>
            </w:tcBorders>
            <w:shd w:val="clear" w:color="00FFFF" w:fill="00FFFF"/>
            <w:noWrap/>
            <w:vAlign w:val="center"/>
            <w:hideMark/>
          </w:tcPr>
          <w:p w14:paraId="1F4C2591" w14:textId="77777777" w:rsidR="00B8765D" w:rsidRPr="00B42029" w:rsidRDefault="00B8765D" w:rsidP="00B8765D">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0.04</w:t>
            </w:r>
          </w:p>
        </w:tc>
      </w:tr>
      <w:tr w:rsidR="00B8765D" w:rsidRPr="00B42029" w14:paraId="30ECAB53"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79363F00"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 xml:space="preserve">Free Cash Flow   </w:t>
            </w:r>
          </w:p>
        </w:tc>
        <w:tc>
          <w:tcPr>
            <w:tcW w:w="563" w:type="pct"/>
            <w:tcBorders>
              <w:top w:val="nil"/>
              <w:left w:val="nil"/>
              <w:bottom w:val="single" w:sz="4" w:space="0" w:color="000000"/>
              <w:right w:val="single" w:sz="4" w:space="0" w:color="000000"/>
            </w:tcBorders>
            <w:noWrap/>
            <w:vAlign w:val="center"/>
            <w:hideMark/>
          </w:tcPr>
          <w:p w14:paraId="311BCFCC" w14:textId="77777777" w:rsidR="00B8765D" w:rsidRPr="00B42029" w:rsidRDefault="00B8765D" w:rsidP="00B8765D">
            <w:pPr>
              <w:spacing w:line="240" w:lineRule="auto"/>
              <w:jc w:val="right"/>
              <w:rPr>
                <w:rFonts w:eastAsia="Times New Roman"/>
                <w:sz w:val="24"/>
                <w:szCs w:val="24"/>
                <w:lang w:val="en-IN"/>
              </w:rPr>
            </w:pPr>
            <w:r w:rsidRPr="00B42029">
              <w:rPr>
                <w:rFonts w:eastAsia="Times New Roman"/>
                <w:sz w:val="24"/>
                <w:szCs w:val="24"/>
                <w:lang w:val="en-IN"/>
              </w:rPr>
              <w:t>185.00</w:t>
            </w:r>
          </w:p>
        </w:tc>
        <w:tc>
          <w:tcPr>
            <w:tcW w:w="563" w:type="pct"/>
            <w:tcBorders>
              <w:top w:val="nil"/>
              <w:left w:val="nil"/>
              <w:bottom w:val="single" w:sz="4" w:space="0" w:color="000000"/>
              <w:right w:val="single" w:sz="4" w:space="0" w:color="000000"/>
            </w:tcBorders>
            <w:noWrap/>
            <w:vAlign w:val="center"/>
            <w:hideMark/>
          </w:tcPr>
          <w:p w14:paraId="12FF9510"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2,202.00</w:t>
            </w:r>
          </w:p>
        </w:tc>
        <w:tc>
          <w:tcPr>
            <w:tcW w:w="563" w:type="pct"/>
            <w:tcBorders>
              <w:top w:val="nil"/>
              <w:left w:val="nil"/>
              <w:bottom w:val="single" w:sz="4" w:space="0" w:color="000000"/>
              <w:right w:val="single" w:sz="4" w:space="0" w:color="000000"/>
            </w:tcBorders>
            <w:noWrap/>
            <w:vAlign w:val="center"/>
            <w:hideMark/>
          </w:tcPr>
          <w:p w14:paraId="72063304"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1,754.00</w:t>
            </w:r>
          </w:p>
        </w:tc>
        <w:tc>
          <w:tcPr>
            <w:tcW w:w="563" w:type="pct"/>
            <w:tcBorders>
              <w:top w:val="nil"/>
              <w:left w:val="nil"/>
              <w:bottom w:val="single" w:sz="4" w:space="0" w:color="000000"/>
              <w:right w:val="single" w:sz="4" w:space="0" w:color="000000"/>
            </w:tcBorders>
            <w:noWrap/>
            <w:vAlign w:val="center"/>
            <w:hideMark/>
          </w:tcPr>
          <w:p w14:paraId="72E0271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910.00</w:t>
            </w:r>
          </w:p>
        </w:tc>
        <w:tc>
          <w:tcPr>
            <w:tcW w:w="563" w:type="pct"/>
            <w:tcBorders>
              <w:top w:val="nil"/>
              <w:left w:val="nil"/>
              <w:bottom w:val="single" w:sz="4" w:space="0" w:color="000000"/>
              <w:right w:val="single" w:sz="4" w:space="0" w:color="000000"/>
            </w:tcBorders>
            <w:noWrap/>
            <w:vAlign w:val="center"/>
            <w:hideMark/>
          </w:tcPr>
          <w:p w14:paraId="1C48D3A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914.00</w:t>
            </w:r>
          </w:p>
        </w:tc>
      </w:tr>
      <w:tr w:rsidR="00B8765D" w:rsidRPr="00B42029" w14:paraId="0D3DC8C5" w14:textId="77777777" w:rsidTr="00B8765D">
        <w:trPr>
          <w:trHeight w:val="312"/>
        </w:trPr>
        <w:tc>
          <w:tcPr>
            <w:tcW w:w="2186" w:type="pct"/>
            <w:tcBorders>
              <w:top w:val="nil"/>
              <w:left w:val="single" w:sz="4" w:space="0" w:color="000000"/>
              <w:bottom w:val="single" w:sz="4" w:space="0" w:color="000000"/>
              <w:right w:val="single" w:sz="4" w:space="0" w:color="000000"/>
            </w:tcBorders>
            <w:noWrap/>
            <w:vAlign w:val="center"/>
            <w:hideMark/>
          </w:tcPr>
          <w:p w14:paraId="02755A16" w14:textId="77777777" w:rsidR="00B8765D" w:rsidRPr="00B42029" w:rsidRDefault="00B8765D" w:rsidP="00B8765D">
            <w:pPr>
              <w:spacing w:line="240" w:lineRule="auto"/>
              <w:rPr>
                <w:rFonts w:eastAsia="Times New Roman"/>
                <w:color w:val="000000"/>
                <w:sz w:val="24"/>
                <w:szCs w:val="24"/>
                <w:lang w:val="en-IN"/>
              </w:rPr>
            </w:pPr>
            <w:r w:rsidRPr="00B42029">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6B0DA3A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10,130.00</w:t>
            </w:r>
          </w:p>
        </w:tc>
        <w:tc>
          <w:tcPr>
            <w:tcW w:w="563" w:type="pct"/>
            <w:tcBorders>
              <w:top w:val="nil"/>
              <w:left w:val="nil"/>
              <w:bottom w:val="single" w:sz="4" w:space="0" w:color="000000"/>
              <w:right w:val="single" w:sz="4" w:space="0" w:color="000000"/>
            </w:tcBorders>
            <w:noWrap/>
            <w:vAlign w:val="center"/>
            <w:hideMark/>
          </w:tcPr>
          <w:p w14:paraId="054D3211"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19,233.00</w:t>
            </w:r>
          </w:p>
        </w:tc>
        <w:tc>
          <w:tcPr>
            <w:tcW w:w="563" w:type="pct"/>
            <w:tcBorders>
              <w:top w:val="nil"/>
              <w:left w:val="nil"/>
              <w:bottom w:val="single" w:sz="4" w:space="0" w:color="000000"/>
              <w:right w:val="single" w:sz="4" w:space="0" w:color="000000"/>
            </w:tcBorders>
            <w:noWrap/>
            <w:vAlign w:val="center"/>
            <w:hideMark/>
          </w:tcPr>
          <w:p w14:paraId="7D86774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21,955.00</w:t>
            </w:r>
          </w:p>
        </w:tc>
        <w:tc>
          <w:tcPr>
            <w:tcW w:w="563" w:type="pct"/>
            <w:tcBorders>
              <w:top w:val="nil"/>
              <w:left w:val="nil"/>
              <w:bottom w:val="single" w:sz="4" w:space="0" w:color="000000"/>
              <w:right w:val="single" w:sz="4" w:space="0" w:color="000000"/>
            </w:tcBorders>
            <w:noWrap/>
            <w:vAlign w:val="center"/>
            <w:hideMark/>
          </w:tcPr>
          <w:p w14:paraId="2A9B25CE"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21,959.00</w:t>
            </w:r>
          </w:p>
        </w:tc>
        <w:tc>
          <w:tcPr>
            <w:tcW w:w="563" w:type="pct"/>
            <w:tcBorders>
              <w:top w:val="nil"/>
              <w:left w:val="nil"/>
              <w:bottom w:val="single" w:sz="4" w:space="0" w:color="000000"/>
              <w:right w:val="single" w:sz="4" w:space="0" w:color="000000"/>
            </w:tcBorders>
            <w:noWrap/>
            <w:vAlign w:val="center"/>
            <w:hideMark/>
          </w:tcPr>
          <w:p w14:paraId="1D061419" w14:textId="77777777" w:rsidR="00B8765D" w:rsidRPr="00B42029" w:rsidRDefault="00B8765D" w:rsidP="00B8765D">
            <w:pPr>
              <w:spacing w:line="240" w:lineRule="auto"/>
              <w:jc w:val="right"/>
              <w:rPr>
                <w:rFonts w:eastAsia="Times New Roman"/>
                <w:color w:val="000000"/>
                <w:sz w:val="24"/>
                <w:szCs w:val="24"/>
                <w:lang w:val="en-IN"/>
              </w:rPr>
            </w:pPr>
            <w:r w:rsidRPr="00B42029">
              <w:rPr>
                <w:rFonts w:eastAsia="Times New Roman"/>
                <w:color w:val="000000"/>
                <w:sz w:val="24"/>
                <w:szCs w:val="24"/>
                <w:lang w:val="en-IN"/>
              </w:rPr>
              <w:t>22,289.00</w:t>
            </w:r>
          </w:p>
        </w:tc>
      </w:tr>
      <w:tr w:rsidR="00B8765D" w:rsidRPr="00B42029" w14:paraId="6D03BCA7" w14:textId="77777777" w:rsidTr="00B8765D">
        <w:trPr>
          <w:trHeight w:val="264"/>
        </w:trPr>
        <w:tc>
          <w:tcPr>
            <w:tcW w:w="2186" w:type="pct"/>
            <w:tcBorders>
              <w:top w:val="nil"/>
              <w:left w:val="nil"/>
              <w:bottom w:val="nil"/>
              <w:right w:val="nil"/>
            </w:tcBorders>
            <w:noWrap/>
            <w:vAlign w:val="center"/>
            <w:hideMark/>
          </w:tcPr>
          <w:p w14:paraId="164BDE33" w14:textId="77777777" w:rsidR="00B8765D" w:rsidRPr="00B42029" w:rsidRDefault="00B8765D" w:rsidP="00B8765D">
            <w:pPr>
              <w:spacing w:line="240" w:lineRule="auto"/>
              <w:jc w:val="right"/>
              <w:rPr>
                <w:rFonts w:eastAsia="Times New Roman"/>
                <w:color w:val="000000"/>
                <w:sz w:val="24"/>
                <w:szCs w:val="24"/>
                <w:lang w:val="en-IN"/>
              </w:rPr>
            </w:pPr>
          </w:p>
        </w:tc>
        <w:tc>
          <w:tcPr>
            <w:tcW w:w="563" w:type="pct"/>
            <w:tcBorders>
              <w:top w:val="nil"/>
              <w:left w:val="nil"/>
              <w:bottom w:val="nil"/>
              <w:right w:val="nil"/>
            </w:tcBorders>
            <w:noWrap/>
            <w:vAlign w:val="center"/>
            <w:hideMark/>
          </w:tcPr>
          <w:p w14:paraId="7797F994" w14:textId="77777777" w:rsidR="00B8765D" w:rsidRPr="00B42029" w:rsidRDefault="00B8765D" w:rsidP="00B8765D">
            <w:pPr>
              <w:spacing w:line="240" w:lineRule="auto"/>
              <w:rPr>
                <w:rFonts w:eastAsia="Times New Roman"/>
                <w:sz w:val="20"/>
                <w:szCs w:val="20"/>
                <w:lang w:val="en-IN"/>
              </w:rPr>
            </w:pPr>
          </w:p>
        </w:tc>
        <w:tc>
          <w:tcPr>
            <w:tcW w:w="563" w:type="pct"/>
            <w:tcBorders>
              <w:top w:val="nil"/>
              <w:left w:val="nil"/>
              <w:bottom w:val="nil"/>
              <w:right w:val="nil"/>
            </w:tcBorders>
            <w:noWrap/>
            <w:vAlign w:val="center"/>
            <w:hideMark/>
          </w:tcPr>
          <w:p w14:paraId="1C4EA5AB" w14:textId="77777777" w:rsidR="00B8765D" w:rsidRPr="00B42029" w:rsidRDefault="00B8765D" w:rsidP="00B8765D">
            <w:pPr>
              <w:spacing w:line="240" w:lineRule="auto"/>
              <w:rPr>
                <w:rFonts w:eastAsia="Times New Roman"/>
                <w:sz w:val="20"/>
                <w:szCs w:val="20"/>
                <w:lang w:val="en-IN"/>
              </w:rPr>
            </w:pPr>
          </w:p>
        </w:tc>
        <w:tc>
          <w:tcPr>
            <w:tcW w:w="563" w:type="pct"/>
            <w:tcBorders>
              <w:top w:val="nil"/>
              <w:left w:val="nil"/>
              <w:bottom w:val="nil"/>
              <w:right w:val="nil"/>
            </w:tcBorders>
            <w:noWrap/>
            <w:vAlign w:val="center"/>
            <w:hideMark/>
          </w:tcPr>
          <w:p w14:paraId="10365130" w14:textId="77777777" w:rsidR="00B8765D" w:rsidRPr="00B42029" w:rsidRDefault="00B8765D" w:rsidP="00B8765D">
            <w:pPr>
              <w:spacing w:line="240" w:lineRule="auto"/>
              <w:rPr>
                <w:rFonts w:eastAsia="Times New Roman"/>
                <w:sz w:val="20"/>
                <w:szCs w:val="20"/>
                <w:lang w:val="en-IN"/>
              </w:rPr>
            </w:pPr>
          </w:p>
        </w:tc>
        <w:tc>
          <w:tcPr>
            <w:tcW w:w="563" w:type="pct"/>
            <w:tcBorders>
              <w:top w:val="nil"/>
              <w:left w:val="nil"/>
              <w:bottom w:val="nil"/>
              <w:right w:val="nil"/>
            </w:tcBorders>
            <w:noWrap/>
            <w:vAlign w:val="center"/>
            <w:hideMark/>
          </w:tcPr>
          <w:p w14:paraId="0ED55D88" w14:textId="77777777" w:rsidR="00B8765D" w:rsidRPr="00B42029" w:rsidRDefault="00B8765D" w:rsidP="00B8765D">
            <w:pPr>
              <w:spacing w:line="240" w:lineRule="auto"/>
              <w:rPr>
                <w:rFonts w:eastAsia="Times New Roman"/>
                <w:sz w:val="20"/>
                <w:szCs w:val="20"/>
                <w:lang w:val="en-IN"/>
              </w:rPr>
            </w:pPr>
          </w:p>
        </w:tc>
        <w:tc>
          <w:tcPr>
            <w:tcW w:w="563" w:type="pct"/>
            <w:tcBorders>
              <w:top w:val="nil"/>
              <w:left w:val="nil"/>
              <w:bottom w:val="nil"/>
              <w:right w:val="nil"/>
            </w:tcBorders>
            <w:noWrap/>
            <w:vAlign w:val="center"/>
            <w:hideMark/>
          </w:tcPr>
          <w:p w14:paraId="2A71DBA3" w14:textId="77777777" w:rsidR="00B8765D" w:rsidRPr="00B42029" w:rsidRDefault="00B8765D" w:rsidP="00B8765D">
            <w:pPr>
              <w:spacing w:line="240" w:lineRule="auto"/>
              <w:rPr>
                <w:rFonts w:eastAsia="Times New Roman"/>
                <w:sz w:val="20"/>
                <w:szCs w:val="20"/>
                <w:lang w:val="en-IN"/>
              </w:rPr>
            </w:pPr>
          </w:p>
        </w:tc>
      </w:tr>
      <w:tr w:rsidR="00B8765D" w:rsidRPr="00B42029" w14:paraId="3613BB02" w14:textId="77777777" w:rsidTr="00B8765D">
        <w:trPr>
          <w:trHeight w:val="264"/>
        </w:trPr>
        <w:tc>
          <w:tcPr>
            <w:tcW w:w="5000" w:type="pct"/>
            <w:gridSpan w:val="6"/>
            <w:tcBorders>
              <w:top w:val="single" w:sz="4" w:space="0" w:color="0000FF"/>
              <w:left w:val="single" w:sz="4" w:space="0" w:color="0000FF"/>
              <w:bottom w:val="nil"/>
              <w:right w:val="single" w:sz="4" w:space="0" w:color="0000FF"/>
            </w:tcBorders>
            <w:vAlign w:val="center"/>
            <w:hideMark/>
          </w:tcPr>
          <w:p w14:paraId="43693499" w14:textId="77777777" w:rsidR="00B8765D" w:rsidRPr="00B42029" w:rsidRDefault="00B8765D" w:rsidP="00B8765D">
            <w:pPr>
              <w:spacing w:line="240" w:lineRule="auto"/>
              <w:jc w:val="center"/>
              <w:rPr>
                <w:rFonts w:eastAsia="Times New Roman"/>
                <w:b/>
                <w:bCs/>
                <w:color w:val="000000"/>
                <w:sz w:val="20"/>
                <w:szCs w:val="20"/>
                <w:lang w:val="en-IN"/>
              </w:rPr>
            </w:pPr>
            <w:r w:rsidRPr="00B42029">
              <w:rPr>
                <w:rFonts w:eastAsia="Times New Roman"/>
                <w:b/>
                <w:bCs/>
                <w:color w:val="000000"/>
                <w:sz w:val="20"/>
                <w:szCs w:val="20"/>
                <w:lang w:val="en-IN"/>
              </w:rPr>
              <w:t>Input Data, Scandic, SEK Million</w:t>
            </w:r>
          </w:p>
        </w:tc>
      </w:tr>
      <w:tr w:rsidR="00B8765D" w:rsidRPr="00B42029" w14:paraId="5A301145" w14:textId="77777777" w:rsidTr="00B8765D">
        <w:trPr>
          <w:trHeight w:val="372"/>
        </w:trPr>
        <w:tc>
          <w:tcPr>
            <w:tcW w:w="2186" w:type="pct"/>
            <w:tcBorders>
              <w:top w:val="single" w:sz="4" w:space="0" w:color="FFFFFF"/>
              <w:left w:val="single" w:sz="4" w:space="0" w:color="FFFFFF"/>
              <w:bottom w:val="nil"/>
              <w:right w:val="single" w:sz="4" w:space="0" w:color="FFFFFF"/>
            </w:tcBorders>
            <w:shd w:val="clear" w:color="351C75" w:fill="351C75"/>
            <w:noWrap/>
            <w:vAlign w:val="center"/>
            <w:hideMark/>
          </w:tcPr>
          <w:p w14:paraId="2DFA0502"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Element</w:t>
            </w:r>
          </w:p>
        </w:tc>
        <w:tc>
          <w:tcPr>
            <w:tcW w:w="563" w:type="pct"/>
            <w:tcBorders>
              <w:top w:val="single" w:sz="4" w:space="0" w:color="FFFFFF"/>
              <w:left w:val="nil"/>
              <w:bottom w:val="nil"/>
              <w:right w:val="single" w:sz="4" w:space="0" w:color="FFFFFF"/>
            </w:tcBorders>
            <w:shd w:val="clear" w:color="351C75" w:fill="351C75"/>
            <w:noWrap/>
            <w:vAlign w:val="center"/>
            <w:hideMark/>
          </w:tcPr>
          <w:p w14:paraId="6B9EE9ED"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2021</w:t>
            </w:r>
          </w:p>
        </w:tc>
        <w:tc>
          <w:tcPr>
            <w:tcW w:w="563" w:type="pct"/>
            <w:tcBorders>
              <w:top w:val="single" w:sz="4" w:space="0" w:color="FFFFFF"/>
              <w:left w:val="nil"/>
              <w:bottom w:val="nil"/>
              <w:right w:val="single" w:sz="4" w:space="0" w:color="FFFFFF"/>
            </w:tcBorders>
            <w:shd w:val="clear" w:color="351C75" w:fill="351C75"/>
            <w:noWrap/>
            <w:vAlign w:val="center"/>
            <w:hideMark/>
          </w:tcPr>
          <w:p w14:paraId="4A811EE2"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2022</w:t>
            </w:r>
          </w:p>
        </w:tc>
        <w:tc>
          <w:tcPr>
            <w:tcW w:w="563" w:type="pct"/>
            <w:tcBorders>
              <w:top w:val="single" w:sz="4" w:space="0" w:color="FFFFFF"/>
              <w:left w:val="nil"/>
              <w:bottom w:val="nil"/>
              <w:right w:val="single" w:sz="4" w:space="0" w:color="FFFFFF"/>
            </w:tcBorders>
            <w:shd w:val="clear" w:color="351C75" w:fill="351C75"/>
            <w:noWrap/>
            <w:vAlign w:val="center"/>
            <w:hideMark/>
          </w:tcPr>
          <w:p w14:paraId="568AB29F"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2023</w:t>
            </w:r>
          </w:p>
        </w:tc>
        <w:tc>
          <w:tcPr>
            <w:tcW w:w="563" w:type="pct"/>
            <w:tcBorders>
              <w:top w:val="single" w:sz="4" w:space="0" w:color="FFFFFF"/>
              <w:left w:val="nil"/>
              <w:bottom w:val="nil"/>
              <w:right w:val="single" w:sz="4" w:space="0" w:color="FFFFFF"/>
            </w:tcBorders>
            <w:shd w:val="clear" w:color="351C75" w:fill="351C75"/>
            <w:noWrap/>
            <w:vAlign w:val="center"/>
            <w:hideMark/>
          </w:tcPr>
          <w:p w14:paraId="21F35488"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2024</w:t>
            </w:r>
          </w:p>
        </w:tc>
        <w:tc>
          <w:tcPr>
            <w:tcW w:w="563" w:type="pct"/>
            <w:tcBorders>
              <w:top w:val="single" w:sz="4" w:space="0" w:color="FFFFFF"/>
              <w:left w:val="nil"/>
              <w:bottom w:val="nil"/>
              <w:right w:val="single" w:sz="4" w:space="0" w:color="FFFFFF"/>
            </w:tcBorders>
            <w:shd w:val="clear" w:color="351C75" w:fill="351C75"/>
            <w:noWrap/>
            <w:vAlign w:val="center"/>
            <w:hideMark/>
          </w:tcPr>
          <w:p w14:paraId="0EFEA5EC" w14:textId="77777777" w:rsidR="00B8765D" w:rsidRPr="00B42029" w:rsidRDefault="00B8765D" w:rsidP="00B8765D">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2025</w:t>
            </w:r>
          </w:p>
        </w:tc>
      </w:tr>
      <w:tr w:rsidR="00B8765D" w:rsidRPr="00B42029" w14:paraId="3979BA67" w14:textId="77777777" w:rsidTr="00B8765D">
        <w:trPr>
          <w:trHeight w:val="264"/>
        </w:trPr>
        <w:tc>
          <w:tcPr>
            <w:tcW w:w="2186" w:type="pct"/>
            <w:tcBorders>
              <w:top w:val="single" w:sz="4" w:space="0" w:color="000000"/>
              <w:left w:val="single" w:sz="4" w:space="0" w:color="000000"/>
              <w:bottom w:val="single" w:sz="4" w:space="0" w:color="000000"/>
              <w:right w:val="single" w:sz="4" w:space="0" w:color="000000"/>
            </w:tcBorders>
            <w:noWrap/>
            <w:vAlign w:val="center"/>
            <w:hideMark/>
          </w:tcPr>
          <w:p w14:paraId="0113694C"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Net Profit</w:t>
            </w:r>
          </w:p>
        </w:tc>
        <w:tc>
          <w:tcPr>
            <w:tcW w:w="563" w:type="pct"/>
            <w:tcBorders>
              <w:top w:val="single" w:sz="4" w:space="0" w:color="000000"/>
              <w:left w:val="nil"/>
              <w:bottom w:val="single" w:sz="4" w:space="0" w:color="000000"/>
              <w:right w:val="single" w:sz="4" w:space="0" w:color="000000"/>
            </w:tcBorders>
            <w:noWrap/>
            <w:vAlign w:val="center"/>
            <w:hideMark/>
          </w:tcPr>
          <w:p w14:paraId="60BB4B4B"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1,606.00</w:t>
            </w:r>
          </w:p>
        </w:tc>
        <w:tc>
          <w:tcPr>
            <w:tcW w:w="563" w:type="pct"/>
            <w:tcBorders>
              <w:top w:val="single" w:sz="4" w:space="0" w:color="000000"/>
              <w:left w:val="nil"/>
              <w:bottom w:val="single" w:sz="4" w:space="0" w:color="000000"/>
              <w:right w:val="single" w:sz="4" w:space="0" w:color="000000"/>
            </w:tcBorders>
            <w:noWrap/>
            <w:vAlign w:val="center"/>
            <w:hideMark/>
          </w:tcPr>
          <w:p w14:paraId="0C446F6A"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1,808.00</w:t>
            </w:r>
          </w:p>
        </w:tc>
        <w:tc>
          <w:tcPr>
            <w:tcW w:w="563" w:type="pct"/>
            <w:tcBorders>
              <w:top w:val="single" w:sz="4" w:space="0" w:color="000000"/>
              <w:left w:val="nil"/>
              <w:bottom w:val="single" w:sz="4" w:space="0" w:color="000000"/>
              <w:right w:val="single" w:sz="4" w:space="0" w:color="000000"/>
            </w:tcBorders>
            <w:noWrap/>
            <w:vAlign w:val="center"/>
            <w:hideMark/>
          </w:tcPr>
          <w:p w14:paraId="3872FB6B"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569.00</w:t>
            </w:r>
          </w:p>
        </w:tc>
        <w:tc>
          <w:tcPr>
            <w:tcW w:w="563" w:type="pct"/>
            <w:tcBorders>
              <w:top w:val="single" w:sz="4" w:space="0" w:color="000000"/>
              <w:left w:val="nil"/>
              <w:bottom w:val="single" w:sz="4" w:space="0" w:color="000000"/>
              <w:right w:val="single" w:sz="4" w:space="0" w:color="000000"/>
            </w:tcBorders>
            <w:noWrap/>
            <w:vAlign w:val="center"/>
            <w:hideMark/>
          </w:tcPr>
          <w:p w14:paraId="2E23FD68"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652.00</w:t>
            </w:r>
          </w:p>
        </w:tc>
        <w:tc>
          <w:tcPr>
            <w:tcW w:w="563" w:type="pct"/>
            <w:tcBorders>
              <w:top w:val="single" w:sz="4" w:space="0" w:color="000000"/>
              <w:left w:val="nil"/>
              <w:bottom w:val="single" w:sz="4" w:space="0" w:color="000000"/>
              <w:right w:val="single" w:sz="4" w:space="0" w:color="000000"/>
            </w:tcBorders>
            <w:noWrap/>
            <w:vAlign w:val="center"/>
            <w:hideMark/>
          </w:tcPr>
          <w:p w14:paraId="35BD47D6"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624.00</w:t>
            </w:r>
          </w:p>
        </w:tc>
      </w:tr>
      <w:tr w:rsidR="00B8765D" w:rsidRPr="00B42029" w14:paraId="3F35A5A7"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0DF0DD35"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Total Revenue</w:t>
            </w:r>
          </w:p>
        </w:tc>
        <w:tc>
          <w:tcPr>
            <w:tcW w:w="563" w:type="pct"/>
            <w:tcBorders>
              <w:top w:val="nil"/>
              <w:left w:val="nil"/>
              <w:bottom w:val="single" w:sz="4" w:space="0" w:color="000000"/>
              <w:right w:val="single" w:sz="4" w:space="0" w:color="000000"/>
            </w:tcBorders>
            <w:noWrap/>
            <w:vAlign w:val="center"/>
            <w:hideMark/>
          </w:tcPr>
          <w:p w14:paraId="6C630149"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10,130.00</w:t>
            </w:r>
          </w:p>
        </w:tc>
        <w:tc>
          <w:tcPr>
            <w:tcW w:w="563" w:type="pct"/>
            <w:tcBorders>
              <w:top w:val="nil"/>
              <w:left w:val="nil"/>
              <w:bottom w:val="single" w:sz="4" w:space="0" w:color="000000"/>
              <w:right w:val="single" w:sz="4" w:space="0" w:color="000000"/>
            </w:tcBorders>
            <w:noWrap/>
            <w:vAlign w:val="center"/>
            <w:hideMark/>
          </w:tcPr>
          <w:p w14:paraId="2D352EDA"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19,233.00</w:t>
            </w:r>
          </w:p>
        </w:tc>
        <w:tc>
          <w:tcPr>
            <w:tcW w:w="563" w:type="pct"/>
            <w:tcBorders>
              <w:top w:val="nil"/>
              <w:left w:val="nil"/>
              <w:bottom w:val="single" w:sz="4" w:space="0" w:color="000000"/>
              <w:right w:val="single" w:sz="4" w:space="0" w:color="000000"/>
            </w:tcBorders>
            <w:noWrap/>
            <w:vAlign w:val="center"/>
            <w:hideMark/>
          </w:tcPr>
          <w:p w14:paraId="6C53393C"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21,955.00</w:t>
            </w:r>
          </w:p>
        </w:tc>
        <w:tc>
          <w:tcPr>
            <w:tcW w:w="563" w:type="pct"/>
            <w:tcBorders>
              <w:top w:val="nil"/>
              <w:left w:val="nil"/>
              <w:bottom w:val="single" w:sz="4" w:space="0" w:color="000000"/>
              <w:right w:val="single" w:sz="4" w:space="0" w:color="000000"/>
            </w:tcBorders>
            <w:noWrap/>
            <w:vAlign w:val="center"/>
            <w:hideMark/>
          </w:tcPr>
          <w:p w14:paraId="4FC79D0B"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21,959.00</w:t>
            </w:r>
          </w:p>
        </w:tc>
        <w:tc>
          <w:tcPr>
            <w:tcW w:w="563" w:type="pct"/>
            <w:tcBorders>
              <w:top w:val="nil"/>
              <w:left w:val="nil"/>
              <w:bottom w:val="single" w:sz="4" w:space="0" w:color="000000"/>
              <w:right w:val="single" w:sz="4" w:space="0" w:color="000000"/>
            </w:tcBorders>
            <w:noWrap/>
            <w:vAlign w:val="center"/>
            <w:hideMark/>
          </w:tcPr>
          <w:p w14:paraId="37E09EB7"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22,289.00</w:t>
            </w:r>
          </w:p>
        </w:tc>
      </w:tr>
      <w:tr w:rsidR="00B8765D" w:rsidRPr="00B42029" w14:paraId="4F5DD02E"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0820C2FA"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Operating Profit</w:t>
            </w:r>
          </w:p>
        </w:tc>
        <w:tc>
          <w:tcPr>
            <w:tcW w:w="563" w:type="pct"/>
            <w:tcBorders>
              <w:top w:val="nil"/>
              <w:left w:val="nil"/>
              <w:bottom w:val="single" w:sz="4" w:space="0" w:color="000000"/>
              <w:right w:val="single" w:sz="4" w:space="0" w:color="000000"/>
            </w:tcBorders>
            <w:noWrap/>
            <w:vAlign w:val="center"/>
            <w:hideMark/>
          </w:tcPr>
          <w:p w14:paraId="6BE492FC"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2,699.00</w:t>
            </w:r>
          </w:p>
        </w:tc>
        <w:tc>
          <w:tcPr>
            <w:tcW w:w="563" w:type="pct"/>
            <w:tcBorders>
              <w:top w:val="nil"/>
              <w:left w:val="nil"/>
              <w:bottom w:val="single" w:sz="4" w:space="0" w:color="000000"/>
              <w:right w:val="single" w:sz="4" w:space="0" w:color="000000"/>
            </w:tcBorders>
            <w:noWrap/>
            <w:vAlign w:val="center"/>
            <w:hideMark/>
          </w:tcPr>
          <w:p w14:paraId="3AE7C728"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5,829.00</w:t>
            </w:r>
          </w:p>
        </w:tc>
        <w:tc>
          <w:tcPr>
            <w:tcW w:w="563" w:type="pct"/>
            <w:tcBorders>
              <w:top w:val="nil"/>
              <w:left w:val="nil"/>
              <w:bottom w:val="single" w:sz="4" w:space="0" w:color="000000"/>
              <w:right w:val="single" w:sz="4" w:space="0" w:color="000000"/>
            </w:tcBorders>
            <w:noWrap/>
            <w:vAlign w:val="center"/>
            <w:hideMark/>
          </w:tcPr>
          <w:p w14:paraId="68D01BE0"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2,785.00</w:t>
            </w:r>
          </w:p>
        </w:tc>
        <w:tc>
          <w:tcPr>
            <w:tcW w:w="563" w:type="pct"/>
            <w:tcBorders>
              <w:top w:val="nil"/>
              <w:left w:val="nil"/>
              <w:bottom w:val="single" w:sz="4" w:space="0" w:color="000000"/>
              <w:right w:val="single" w:sz="4" w:space="0" w:color="000000"/>
            </w:tcBorders>
            <w:noWrap/>
            <w:vAlign w:val="center"/>
            <w:hideMark/>
          </w:tcPr>
          <w:p w14:paraId="12CA521F"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2,836.00</w:t>
            </w:r>
          </w:p>
        </w:tc>
        <w:tc>
          <w:tcPr>
            <w:tcW w:w="563" w:type="pct"/>
            <w:tcBorders>
              <w:top w:val="nil"/>
              <w:left w:val="nil"/>
              <w:bottom w:val="single" w:sz="4" w:space="0" w:color="000000"/>
              <w:right w:val="single" w:sz="4" w:space="0" w:color="000000"/>
            </w:tcBorders>
            <w:noWrap/>
            <w:vAlign w:val="center"/>
            <w:hideMark/>
          </w:tcPr>
          <w:p w14:paraId="76BD1865"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2,661.00</w:t>
            </w:r>
          </w:p>
        </w:tc>
      </w:tr>
      <w:tr w:rsidR="00B8765D" w:rsidRPr="00B42029" w14:paraId="04EE3531"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5D08475B"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Average Accounts Receivable</w:t>
            </w:r>
          </w:p>
        </w:tc>
        <w:tc>
          <w:tcPr>
            <w:tcW w:w="563" w:type="pct"/>
            <w:tcBorders>
              <w:top w:val="nil"/>
              <w:left w:val="nil"/>
              <w:bottom w:val="single" w:sz="4" w:space="0" w:color="000000"/>
              <w:right w:val="single" w:sz="4" w:space="0" w:color="000000"/>
            </w:tcBorders>
            <w:noWrap/>
            <w:vAlign w:val="center"/>
            <w:hideMark/>
          </w:tcPr>
          <w:p w14:paraId="21A65550"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340.00</w:t>
            </w:r>
          </w:p>
        </w:tc>
        <w:tc>
          <w:tcPr>
            <w:tcW w:w="563" w:type="pct"/>
            <w:tcBorders>
              <w:top w:val="nil"/>
              <w:left w:val="nil"/>
              <w:bottom w:val="single" w:sz="4" w:space="0" w:color="000000"/>
              <w:right w:val="single" w:sz="4" w:space="0" w:color="000000"/>
            </w:tcBorders>
            <w:noWrap/>
            <w:vAlign w:val="center"/>
            <w:hideMark/>
          </w:tcPr>
          <w:p w14:paraId="05239D15"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651.50</w:t>
            </w:r>
          </w:p>
        </w:tc>
        <w:tc>
          <w:tcPr>
            <w:tcW w:w="563" w:type="pct"/>
            <w:tcBorders>
              <w:top w:val="nil"/>
              <w:left w:val="nil"/>
              <w:bottom w:val="single" w:sz="4" w:space="0" w:color="000000"/>
              <w:right w:val="single" w:sz="4" w:space="0" w:color="000000"/>
            </w:tcBorders>
            <w:noWrap/>
            <w:vAlign w:val="center"/>
            <w:hideMark/>
          </w:tcPr>
          <w:p w14:paraId="424DD8E3"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688.50</w:t>
            </w:r>
          </w:p>
        </w:tc>
        <w:tc>
          <w:tcPr>
            <w:tcW w:w="563" w:type="pct"/>
            <w:tcBorders>
              <w:top w:val="nil"/>
              <w:left w:val="nil"/>
              <w:bottom w:val="single" w:sz="4" w:space="0" w:color="000000"/>
              <w:right w:val="single" w:sz="4" w:space="0" w:color="000000"/>
            </w:tcBorders>
            <w:noWrap/>
            <w:vAlign w:val="center"/>
            <w:hideMark/>
          </w:tcPr>
          <w:p w14:paraId="3F866763"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567.00</w:t>
            </w:r>
          </w:p>
        </w:tc>
        <w:tc>
          <w:tcPr>
            <w:tcW w:w="563" w:type="pct"/>
            <w:tcBorders>
              <w:top w:val="nil"/>
              <w:left w:val="nil"/>
              <w:bottom w:val="single" w:sz="4" w:space="0" w:color="000000"/>
              <w:right w:val="single" w:sz="4" w:space="0" w:color="000000"/>
            </w:tcBorders>
            <w:noWrap/>
            <w:vAlign w:val="center"/>
            <w:hideMark/>
          </w:tcPr>
          <w:p w14:paraId="22392286"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502.50</w:t>
            </w:r>
          </w:p>
        </w:tc>
      </w:tr>
      <w:tr w:rsidR="00B8765D" w:rsidRPr="00B42029" w14:paraId="3390E528"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417B495B"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Average Total Assets</w:t>
            </w:r>
          </w:p>
        </w:tc>
        <w:tc>
          <w:tcPr>
            <w:tcW w:w="563" w:type="pct"/>
            <w:tcBorders>
              <w:top w:val="nil"/>
              <w:left w:val="nil"/>
              <w:bottom w:val="single" w:sz="4" w:space="0" w:color="000000"/>
              <w:right w:val="single" w:sz="4" w:space="0" w:color="000000"/>
            </w:tcBorders>
            <w:noWrap/>
            <w:vAlign w:val="center"/>
            <w:hideMark/>
          </w:tcPr>
          <w:p w14:paraId="31B9F682"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41,519.00</w:t>
            </w:r>
          </w:p>
        </w:tc>
        <w:tc>
          <w:tcPr>
            <w:tcW w:w="563" w:type="pct"/>
            <w:tcBorders>
              <w:top w:val="nil"/>
              <w:left w:val="nil"/>
              <w:bottom w:val="single" w:sz="4" w:space="0" w:color="000000"/>
              <w:right w:val="single" w:sz="4" w:space="0" w:color="000000"/>
            </w:tcBorders>
            <w:noWrap/>
            <w:vAlign w:val="center"/>
            <w:hideMark/>
          </w:tcPr>
          <w:p w14:paraId="4632B9E2"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47,851.50</w:t>
            </w:r>
          </w:p>
        </w:tc>
        <w:tc>
          <w:tcPr>
            <w:tcW w:w="563" w:type="pct"/>
            <w:tcBorders>
              <w:top w:val="nil"/>
              <w:left w:val="nil"/>
              <w:bottom w:val="single" w:sz="4" w:space="0" w:color="000000"/>
              <w:right w:val="single" w:sz="4" w:space="0" w:color="000000"/>
            </w:tcBorders>
            <w:noWrap/>
            <w:vAlign w:val="center"/>
            <w:hideMark/>
          </w:tcPr>
          <w:p w14:paraId="2311F915"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52,452.00</w:t>
            </w:r>
          </w:p>
        </w:tc>
        <w:tc>
          <w:tcPr>
            <w:tcW w:w="563" w:type="pct"/>
            <w:tcBorders>
              <w:top w:val="nil"/>
              <w:left w:val="nil"/>
              <w:bottom w:val="single" w:sz="4" w:space="0" w:color="000000"/>
              <w:right w:val="single" w:sz="4" w:space="0" w:color="000000"/>
            </w:tcBorders>
            <w:noWrap/>
            <w:vAlign w:val="center"/>
            <w:hideMark/>
          </w:tcPr>
          <w:p w14:paraId="038D5647"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53,899.00</w:t>
            </w:r>
          </w:p>
        </w:tc>
        <w:tc>
          <w:tcPr>
            <w:tcW w:w="563" w:type="pct"/>
            <w:tcBorders>
              <w:top w:val="nil"/>
              <w:left w:val="nil"/>
              <w:bottom w:val="single" w:sz="4" w:space="0" w:color="000000"/>
              <w:right w:val="single" w:sz="4" w:space="0" w:color="000000"/>
            </w:tcBorders>
            <w:noWrap/>
            <w:vAlign w:val="center"/>
            <w:hideMark/>
          </w:tcPr>
          <w:p w14:paraId="60338562"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53,216.00</w:t>
            </w:r>
          </w:p>
        </w:tc>
      </w:tr>
      <w:tr w:rsidR="00B8765D" w:rsidRPr="00B42029" w14:paraId="077C8FAF"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58B4003A"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Current Assets</w:t>
            </w:r>
          </w:p>
        </w:tc>
        <w:tc>
          <w:tcPr>
            <w:tcW w:w="563" w:type="pct"/>
            <w:tcBorders>
              <w:top w:val="nil"/>
              <w:left w:val="nil"/>
              <w:bottom w:val="single" w:sz="4" w:space="0" w:color="000000"/>
              <w:right w:val="single" w:sz="4" w:space="0" w:color="000000"/>
            </w:tcBorders>
            <w:noWrap/>
            <w:vAlign w:val="center"/>
            <w:hideMark/>
          </w:tcPr>
          <w:p w14:paraId="0C79A2F7"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1,325.00</w:t>
            </w:r>
          </w:p>
        </w:tc>
        <w:tc>
          <w:tcPr>
            <w:tcW w:w="563" w:type="pct"/>
            <w:tcBorders>
              <w:top w:val="nil"/>
              <w:left w:val="nil"/>
              <w:bottom w:val="single" w:sz="4" w:space="0" w:color="000000"/>
              <w:right w:val="single" w:sz="4" w:space="0" w:color="000000"/>
            </w:tcBorders>
            <w:noWrap/>
            <w:vAlign w:val="center"/>
            <w:hideMark/>
          </w:tcPr>
          <w:p w14:paraId="316D94CE"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1,988.00</w:t>
            </w:r>
          </w:p>
        </w:tc>
        <w:tc>
          <w:tcPr>
            <w:tcW w:w="563" w:type="pct"/>
            <w:tcBorders>
              <w:top w:val="nil"/>
              <w:left w:val="nil"/>
              <w:bottom w:val="single" w:sz="4" w:space="0" w:color="000000"/>
              <w:right w:val="single" w:sz="4" w:space="0" w:color="000000"/>
            </w:tcBorders>
            <w:noWrap/>
            <w:vAlign w:val="center"/>
            <w:hideMark/>
          </w:tcPr>
          <w:p w14:paraId="53F269B8"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2,811.00</w:t>
            </w:r>
          </w:p>
        </w:tc>
        <w:tc>
          <w:tcPr>
            <w:tcW w:w="563" w:type="pct"/>
            <w:tcBorders>
              <w:top w:val="nil"/>
              <w:left w:val="nil"/>
              <w:bottom w:val="single" w:sz="4" w:space="0" w:color="000000"/>
              <w:right w:val="single" w:sz="4" w:space="0" w:color="000000"/>
            </w:tcBorders>
            <w:noWrap/>
            <w:vAlign w:val="center"/>
            <w:hideMark/>
          </w:tcPr>
          <w:p w14:paraId="15CE8B3E"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2,070.00</w:t>
            </w:r>
          </w:p>
        </w:tc>
        <w:tc>
          <w:tcPr>
            <w:tcW w:w="563" w:type="pct"/>
            <w:tcBorders>
              <w:top w:val="nil"/>
              <w:left w:val="nil"/>
              <w:bottom w:val="single" w:sz="4" w:space="0" w:color="000000"/>
              <w:right w:val="single" w:sz="4" w:space="0" w:color="000000"/>
            </w:tcBorders>
            <w:noWrap/>
            <w:vAlign w:val="center"/>
            <w:hideMark/>
          </w:tcPr>
          <w:p w14:paraId="2FC0835F"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2,115.00</w:t>
            </w:r>
          </w:p>
        </w:tc>
      </w:tr>
      <w:tr w:rsidR="00B8765D" w:rsidRPr="00B42029" w14:paraId="6B6F6DFB"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50A0DA94"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Current Liabilities</w:t>
            </w:r>
          </w:p>
        </w:tc>
        <w:tc>
          <w:tcPr>
            <w:tcW w:w="563" w:type="pct"/>
            <w:tcBorders>
              <w:top w:val="nil"/>
              <w:left w:val="nil"/>
              <w:bottom w:val="single" w:sz="4" w:space="0" w:color="000000"/>
              <w:right w:val="single" w:sz="4" w:space="0" w:color="000000"/>
            </w:tcBorders>
            <w:noWrap/>
            <w:vAlign w:val="center"/>
            <w:hideMark/>
          </w:tcPr>
          <w:p w14:paraId="45EE4DD6"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5,612.00</w:t>
            </w:r>
          </w:p>
        </w:tc>
        <w:tc>
          <w:tcPr>
            <w:tcW w:w="563" w:type="pct"/>
            <w:tcBorders>
              <w:top w:val="nil"/>
              <w:left w:val="nil"/>
              <w:bottom w:val="single" w:sz="4" w:space="0" w:color="000000"/>
              <w:right w:val="single" w:sz="4" w:space="0" w:color="000000"/>
            </w:tcBorders>
            <w:noWrap/>
            <w:vAlign w:val="center"/>
            <w:hideMark/>
          </w:tcPr>
          <w:p w14:paraId="622CDE10"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6,713.00</w:t>
            </w:r>
          </w:p>
        </w:tc>
        <w:tc>
          <w:tcPr>
            <w:tcW w:w="563" w:type="pct"/>
            <w:tcBorders>
              <w:top w:val="nil"/>
              <w:left w:val="nil"/>
              <w:bottom w:val="single" w:sz="4" w:space="0" w:color="000000"/>
              <w:right w:val="single" w:sz="4" w:space="0" w:color="000000"/>
            </w:tcBorders>
            <w:noWrap/>
            <w:vAlign w:val="center"/>
            <w:hideMark/>
          </w:tcPr>
          <w:p w14:paraId="6E4FE50D"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8,664.00</w:t>
            </w:r>
          </w:p>
        </w:tc>
        <w:tc>
          <w:tcPr>
            <w:tcW w:w="563" w:type="pct"/>
            <w:tcBorders>
              <w:top w:val="nil"/>
              <w:left w:val="nil"/>
              <w:bottom w:val="single" w:sz="4" w:space="0" w:color="000000"/>
              <w:right w:val="single" w:sz="4" w:space="0" w:color="000000"/>
            </w:tcBorders>
            <w:noWrap/>
            <w:vAlign w:val="center"/>
            <w:hideMark/>
          </w:tcPr>
          <w:p w14:paraId="0A130A61"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6,711.00</w:t>
            </w:r>
          </w:p>
        </w:tc>
        <w:tc>
          <w:tcPr>
            <w:tcW w:w="563" w:type="pct"/>
            <w:tcBorders>
              <w:top w:val="nil"/>
              <w:left w:val="nil"/>
              <w:bottom w:val="single" w:sz="4" w:space="0" w:color="000000"/>
              <w:right w:val="single" w:sz="4" w:space="0" w:color="000000"/>
            </w:tcBorders>
            <w:noWrap/>
            <w:vAlign w:val="center"/>
            <w:hideMark/>
          </w:tcPr>
          <w:p w14:paraId="1781D906"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6,560.00</w:t>
            </w:r>
          </w:p>
        </w:tc>
      </w:tr>
      <w:tr w:rsidR="00B8765D" w:rsidRPr="00B42029" w14:paraId="5C59B1D3"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2CDB15DE"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xml:space="preserve">Cash &amp; Cash Equivalent </w:t>
            </w:r>
          </w:p>
        </w:tc>
        <w:tc>
          <w:tcPr>
            <w:tcW w:w="563" w:type="pct"/>
            <w:tcBorders>
              <w:top w:val="nil"/>
              <w:left w:val="nil"/>
              <w:bottom w:val="single" w:sz="4" w:space="0" w:color="000000"/>
              <w:right w:val="single" w:sz="4" w:space="0" w:color="000000"/>
            </w:tcBorders>
            <w:noWrap/>
            <w:vAlign w:val="center"/>
            <w:hideMark/>
          </w:tcPr>
          <w:p w14:paraId="6BE2BDD6"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216.00</w:t>
            </w:r>
          </w:p>
        </w:tc>
        <w:tc>
          <w:tcPr>
            <w:tcW w:w="563" w:type="pct"/>
            <w:tcBorders>
              <w:top w:val="nil"/>
              <w:left w:val="nil"/>
              <w:bottom w:val="single" w:sz="4" w:space="0" w:color="000000"/>
              <w:right w:val="single" w:sz="4" w:space="0" w:color="000000"/>
            </w:tcBorders>
            <w:noWrap/>
            <w:vAlign w:val="center"/>
            <w:hideMark/>
          </w:tcPr>
          <w:p w14:paraId="7499B2ED"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317.00</w:t>
            </w:r>
          </w:p>
        </w:tc>
        <w:tc>
          <w:tcPr>
            <w:tcW w:w="563" w:type="pct"/>
            <w:tcBorders>
              <w:top w:val="nil"/>
              <w:left w:val="nil"/>
              <w:bottom w:val="single" w:sz="4" w:space="0" w:color="000000"/>
              <w:right w:val="single" w:sz="4" w:space="0" w:color="000000"/>
            </w:tcBorders>
            <w:noWrap/>
            <w:vAlign w:val="center"/>
            <w:hideMark/>
          </w:tcPr>
          <w:p w14:paraId="4772156C"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1,344.00</w:t>
            </w:r>
          </w:p>
        </w:tc>
        <w:tc>
          <w:tcPr>
            <w:tcW w:w="563" w:type="pct"/>
            <w:tcBorders>
              <w:top w:val="nil"/>
              <w:left w:val="nil"/>
              <w:bottom w:val="single" w:sz="4" w:space="0" w:color="000000"/>
              <w:right w:val="single" w:sz="4" w:space="0" w:color="000000"/>
            </w:tcBorders>
            <w:noWrap/>
            <w:vAlign w:val="center"/>
            <w:hideMark/>
          </w:tcPr>
          <w:p w14:paraId="7EACBCA7"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846.00</w:t>
            </w:r>
          </w:p>
        </w:tc>
        <w:tc>
          <w:tcPr>
            <w:tcW w:w="563" w:type="pct"/>
            <w:tcBorders>
              <w:top w:val="nil"/>
              <w:left w:val="nil"/>
              <w:bottom w:val="single" w:sz="4" w:space="0" w:color="000000"/>
              <w:right w:val="single" w:sz="4" w:space="0" w:color="000000"/>
            </w:tcBorders>
            <w:noWrap/>
            <w:vAlign w:val="center"/>
            <w:hideMark/>
          </w:tcPr>
          <w:p w14:paraId="43CE4C80"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950.00</w:t>
            </w:r>
          </w:p>
        </w:tc>
      </w:tr>
      <w:tr w:rsidR="00B8765D" w:rsidRPr="00B42029" w14:paraId="7F27EF11"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7807D7FF"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Profit Attributable to Ordinary Shareholders</w:t>
            </w:r>
          </w:p>
        </w:tc>
        <w:tc>
          <w:tcPr>
            <w:tcW w:w="563" w:type="pct"/>
            <w:tcBorders>
              <w:top w:val="nil"/>
              <w:left w:val="nil"/>
              <w:bottom w:val="single" w:sz="4" w:space="0" w:color="000000"/>
              <w:right w:val="single" w:sz="4" w:space="0" w:color="000000"/>
            </w:tcBorders>
            <w:noWrap/>
            <w:vAlign w:val="center"/>
            <w:hideMark/>
          </w:tcPr>
          <w:p w14:paraId="5FF64480"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1,606.00</w:t>
            </w:r>
          </w:p>
        </w:tc>
        <w:tc>
          <w:tcPr>
            <w:tcW w:w="563" w:type="pct"/>
            <w:tcBorders>
              <w:top w:val="nil"/>
              <w:left w:val="nil"/>
              <w:bottom w:val="single" w:sz="4" w:space="0" w:color="000000"/>
              <w:right w:val="single" w:sz="4" w:space="0" w:color="000000"/>
            </w:tcBorders>
            <w:noWrap/>
            <w:vAlign w:val="center"/>
            <w:hideMark/>
          </w:tcPr>
          <w:p w14:paraId="05AECDE0"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1,808.00</w:t>
            </w:r>
          </w:p>
        </w:tc>
        <w:tc>
          <w:tcPr>
            <w:tcW w:w="563" w:type="pct"/>
            <w:tcBorders>
              <w:top w:val="nil"/>
              <w:left w:val="nil"/>
              <w:bottom w:val="single" w:sz="4" w:space="0" w:color="000000"/>
              <w:right w:val="single" w:sz="4" w:space="0" w:color="000000"/>
            </w:tcBorders>
            <w:noWrap/>
            <w:vAlign w:val="center"/>
            <w:hideMark/>
          </w:tcPr>
          <w:p w14:paraId="1E1CC904"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569.00</w:t>
            </w:r>
          </w:p>
        </w:tc>
        <w:tc>
          <w:tcPr>
            <w:tcW w:w="563" w:type="pct"/>
            <w:tcBorders>
              <w:top w:val="nil"/>
              <w:left w:val="nil"/>
              <w:bottom w:val="single" w:sz="4" w:space="0" w:color="000000"/>
              <w:right w:val="single" w:sz="4" w:space="0" w:color="000000"/>
            </w:tcBorders>
            <w:noWrap/>
            <w:vAlign w:val="center"/>
            <w:hideMark/>
          </w:tcPr>
          <w:p w14:paraId="51587299"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652.00</w:t>
            </w:r>
          </w:p>
        </w:tc>
        <w:tc>
          <w:tcPr>
            <w:tcW w:w="563" w:type="pct"/>
            <w:tcBorders>
              <w:top w:val="nil"/>
              <w:left w:val="nil"/>
              <w:bottom w:val="single" w:sz="4" w:space="0" w:color="000000"/>
              <w:right w:val="single" w:sz="4" w:space="0" w:color="000000"/>
            </w:tcBorders>
            <w:noWrap/>
            <w:vAlign w:val="center"/>
            <w:hideMark/>
          </w:tcPr>
          <w:p w14:paraId="493130BF"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624.00</w:t>
            </w:r>
          </w:p>
        </w:tc>
      </w:tr>
      <w:tr w:rsidR="00B8765D" w:rsidRPr="00B42029" w14:paraId="4D3C4F0E"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3A0B5DA8"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Weighted Average Number of Ordinary Shares</w:t>
            </w:r>
          </w:p>
        </w:tc>
        <w:tc>
          <w:tcPr>
            <w:tcW w:w="563" w:type="pct"/>
            <w:tcBorders>
              <w:top w:val="nil"/>
              <w:left w:val="nil"/>
              <w:bottom w:val="single" w:sz="4" w:space="0" w:color="000000"/>
              <w:right w:val="single" w:sz="4" w:space="0" w:color="000000"/>
            </w:tcBorders>
            <w:noWrap/>
            <w:vAlign w:val="center"/>
            <w:hideMark/>
          </w:tcPr>
          <w:p w14:paraId="6114C0E2"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191.25</w:t>
            </w:r>
          </w:p>
        </w:tc>
        <w:tc>
          <w:tcPr>
            <w:tcW w:w="563" w:type="pct"/>
            <w:tcBorders>
              <w:top w:val="nil"/>
              <w:left w:val="nil"/>
              <w:bottom w:val="single" w:sz="4" w:space="0" w:color="000000"/>
              <w:right w:val="single" w:sz="4" w:space="0" w:color="000000"/>
            </w:tcBorders>
            <w:noWrap/>
            <w:vAlign w:val="center"/>
            <w:hideMark/>
          </w:tcPr>
          <w:p w14:paraId="7438898C"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191.30</w:t>
            </w:r>
          </w:p>
        </w:tc>
        <w:tc>
          <w:tcPr>
            <w:tcW w:w="563" w:type="pct"/>
            <w:tcBorders>
              <w:top w:val="nil"/>
              <w:left w:val="nil"/>
              <w:bottom w:val="single" w:sz="4" w:space="0" w:color="000000"/>
              <w:right w:val="single" w:sz="4" w:space="0" w:color="000000"/>
            </w:tcBorders>
            <w:noWrap/>
            <w:vAlign w:val="center"/>
            <w:hideMark/>
          </w:tcPr>
          <w:p w14:paraId="3801ABD5"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191.30</w:t>
            </w:r>
          </w:p>
        </w:tc>
        <w:tc>
          <w:tcPr>
            <w:tcW w:w="563" w:type="pct"/>
            <w:tcBorders>
              <w:top w:val="nil"/>
              <w:left w:val="nil"/>
              <w:bottom w:val="single" w:sz="4" w:space="0" w:color="000000"/>
              <w:right w:val="single" w:sz="4" w:space="0" w:color="000000"/>
            </w:tcBorders>
            <w:noWrap/>
            <w:vAlign w:val="center"/>
            <w:hideMark/>
          </w:tcPr>
          <w:p w14:paraId="3329DA7A"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219.11</w:t>
            </w:r>
          </w:p>
        </w:tc>
        <w:tc>
          <w:tcPr>
            <w:tcW w:w="563" w:type="pct"/>
            <w:tcBorders>
              <w:top w:val="nil"/>
              <w:left w:val="nil"/>
              <w:bottom w:val="single" w:sz="4" w:space="0" w:color="000000"/>
              <w:right w:val="single" w:sz="4" w:space="0" w:color="000000"/>
            </w:tcBorders>
            <w:noWrap/>
            <w:vAlign w:val="center"/>
            <w:hideMark/>
          </w:tcPr>
          <w:p w14:paraId="67AF5AD3"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215.61</w:t>
            </w:r>
          </w:p>
        </w:tc>
      </w:tr>
      <w:tr w:rsidR="00B8765D" w:rsidRPr="00B42029" w14:paraId="43DE2E4B"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1DB1B656"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Market Price Per Share</w:t>
            </w:r>
          </w:p>
        </w:tc>
        <w:tc>
          <w:tcPr>
            <w:tcW w:w="563" w:type="pct"/>
            <w:tcBorders>
              <w:top w:val="nil"/>
              <w:left w:val="nil"/>
              <w:bottom w:val="single" w:sz="4" w:space="0" w:color="000000"/>
              <w:right w:val="single" w:sz="4" w:space="0" w:color="000000"/>
            </w:tcBorders>
            <w:noWrap/>
            <w:vAlign w:val="center"/>
            <w:hideMark/>
          </w:tcPr>
          <w:p w14:paraId="45ACCA72"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36.49</w:t>
            </w:r>
          </w:p>
        </w:tc>
        <w:tc>
          <w:tcPr>
            <w:tcW w:w="563" w:type="pct"/>
            <w:tcBorders>
              <w:top w:val="nil"/>
              <w:left w:val="nil"/>
              <w:bottom w:val="single" w:sz="4" w:space="0" w:color="000000"/>
              <w:right w:val="single" w:sz="4" w:space="0" w:color="000000"/>
            </w:tcBorders>
            <w:noWrap/>
            <w:vAlign w:val="center"/>
            <w:hideMark/>
          </w:tcPr>
          <w:p w14:paraId="10DF6304"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32.22</w:t>
            </w:r>
          </w:p>
        </w:tc>
        <w:tc>
          <w:tcPr>
            <w:tcW w:w="563" w:type="pct"/>
            <w:tcBorders>
              <w:top w:val="nil"/>
              <w:left w:val="nil"/>
              <w:bottom w:val="single" w:sz="4" w:space="0" w:color="000000"/>
              <w:right w:val="single" w:sz="4" w:space="0" w:color="000000"/>
            </w:tcBorders>
            <w:noWrap/>
            <w:vAlign w:val="center"/>
            <w:hideMark/>
          </w:tcPr>
          <w:p w14:paraId="64E63DA2"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46.42</w:t>
            </w:r>
          </w:p>
        </w:tc>
        <w:tc>
          <w:tcPr>
            <w:tcW w:w="563" w:type="pct"/>
            <w:tcBorders>
              <w:top w:val="nil"/>
              <w:left w:val="nil"/>
              <w:bottom w:val="single" w:sz="4" w:space="0" w:color="000000"/>
              <w:right w:val="single" w:sz="4" w:space="0" w:color="000000"/>
            </w:tcBorders>
            <w:noWrap/>
            <w:vAlign w:val="center"/>
            <w:hideMark/>
          </w:tcPr>
          <w:p w14:paraId="6FD75DFE"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68.70</w:t>
            </w:r>
          </w:p>
        </w:tc>
        <w:tc>
          <w:tcPr>
            <w:tcW w:w="563" w:type="pct"/>
            <w:tcBorders>
              <w:top w:val="nil"/>
              <w:left w:val="nil"/>
              <w:bottom w:val="single" w:sz="4" w:space="0" w:color="000000"/>
              <w:right w:val="single" w:sz="4" w:space="0" w:color="000000"/>
            </w:tcBorders>
            <w:noWrap/>
            <w:vAlign w:val="center"/>
            <w:hideMark/>
          </w:tcPr>
          <w:p w14:paraId="343DD9ED"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97.30</w:t>
            </w:r>
          </w:p>
        </w:tc>
      </w:tr>
      <w:tr w:rsidR="00B8765D" w:rsidRPr="00B42029" w14:paraId="371689DD"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3DA2BAE1"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Cash Flow from Operating Activities</w:t>
            </w:r>
          </w:p>
        </w:tc>
        <w:tc>
          <w:tcPr>
            <w:tcW w:w="563" w:type="pct"/>
            <w:tcBorders>
              <w:top w:val="nil"/>
              <w:left w:val="nil"/>
              <w:bottom w:val="single" w:sz="4" w:space="0" w:color="000000"/>
              <w:right w:val="single" w:sz="4" w:space="0" w:color="000000"/>
            </w:tcBorders>
            <w:noWrap/>
            <w:vAlign w:val="center"/>
            <w:hideMark/>
          </w:tcPr>
          <w:p w14:paraId="26E81618"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3,701.00</w:t>
            </w:r>
          </w:p>
        </w:tc>
        <w:tc>
          <w:tcPr>
            <w:tcW w:w="563" w:type="pct"/>
            <w:tcBorders>
              <w:top w:val="nil"/>
              <w:left w:val="nil"/>
              <w:bottom w:val="single" w:sz="4" w:space="0" w:color="000000"/>
              <w:right w:val="single" w:sz="4" w:space="0" w:color="000000"/>
            </w:tcBorders>
            <w:noWrap/>
            <w:vAlign w:val="center"/>
            <w:hideMark/>
          </w:tcPr>
          <w:p w14:paraId="30A44DB8"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6,432.00</w:t>
            </w:r>
          </w:p>
        </w:tc>
        <w:tc>
          <w:tcPr>
            <w:tcW w:w="563" w:type="pct"/>
            <w:tcBorders>
              <w:top w:val="nil"/>
              <w:left w:val="nil"/>
              <w:bottom w:val="single" w:sz="4" w:space="0" w:color="000000"/>
              <w:right w:val="single" w:sz="4" w:space="0" w:color="000000"/>
            </w:tcBorders>
            <w:noWrap/>
            <w:vAlign w:val="center"/>
            <w:hideMark/>
          </w:tcPr>
          <w:p w14:paraId="2A464BC2"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6,394.00</w:t>
            </w:r>
          </w:p>
        </w:tc>
        <w:tc>
          <w:tcPr>
            <w:tcW w:w="563" w:type="pct"/>
            <w:tcBorders>
              <w:top w:val="nil"/>
              <w:left w:val="nil"/>
              <w:bottom w:val="single" w:sz="4" w:space="0" w:color="000000"/>
              <w:right w:val="single" w:sz="4" w:space="0" w:color="000000"/>
            </w:tcBorders>
            <w:noWrap/>
            <w:vAlign w:val="center"/>
            <w:hideMark/>
          </w:tcPr>
          <w:p w14:paraId="65D528FE"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6,389.00</w:t>
            </w:r>
          </w:p>
        </w:tc>
        <w:tc>
          <w:tcPr>
            <w:tcW w:w="563" w:type="pct"/>
            <w:tcBorders>
              <w:top w:val="nil"/>
              <w:left w:val="nil"/>
              <w:bottom w:val="single" w:sz="4" w:space="0" w:color="000000"/>
              <w:right w:val="single" w:sz="4" w:space="0" w:color="000000"/>
            </w:tcBorders>
            <w:noWrap/>
            <w:vAlign w:val="center"/>
            <w:hideMark/>
          </w:tcPr>
          <w:p w14:paraId="3D92781B"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6,459.00</w:t>
            </w:r>
          </w:p>
        </w:tc>
      </w:tr>
      <w:tr w:rsidR="00B8765D" w:rsidRPr="00B42029" w14:paraId="60198424" w14:textId="77777777" w:rsidTr="00B8765D">
        <w:trPr>
          <w:trHeight w:val="264"/>
        </w:trPr>
        <w:tc>
          <w:tcPr>
            <w:tcW w:w="2186" w:type="pct"/>
            <w:tcBorders>
              <w:top w:val="nil"/>
              <w:left w:val="single" w:sz="4" w:space="0" w:color="000000"/>
              <w:bottom w:val="single" w:sz="4" w:space="0" w:color="000000"/>
              <w:right w:val="single" w:sz="4" w:space="0" w:color="000000"/>
            </w:tcBorders>
            <w:noWrap/>
            <w:vAlign w:val="center"/>
            <w:hideMark/>
          </w:tcPr>
          <w:p w14:paraId="76B3A5E5" w14:textId="77777777" w:rsidR="00B8765D" w:rsidRPr="00B42029" w:rsidRDefault="00B8765D" w:rsidP="00B8765D">
            <w:pPr>
              <w:spacing w:line="240" w:lineRule="auto"/>
              <w:rPr>
                <w:rFonts w:eastAsia="Times New Roman"/>
                <w:color w:val="000000"/>
                <w:sz w:val="20"/>
                <w:szCs w:val="20"/>
                <w:lang w:val="en-IN"/>
              </w:rPr>
            </w:pPr>
            <w:r w:rsidRPr="00B42029">
              <w:rPr>
                <w:rFonts w:eastAsia="Times New Roman"/>
                <w:color w:val="000000"/>
                <w:sz w:val="20"/>
                <w:szCs w:val="20"/>
                <w:lang w:val="en-IN"/>
              </w:rPr>
              <w:t xml:space="preserve">Free Cash Flow   </w:t>
            </w:r>
          </w:p>
        </w:tc>
        <w:tc>
          <w:tcPr>
            <w:tcW w:w="563" w:type="pct"/>
            <w:tcBorders>
              <w:top w:val="nil"/>
              <w:left w:val="nil"/>
              <w:bottom w:val="single" w:sz="4" w:space="0" w:color="000000"/>
              <w:right w:val="single" w:sz="4" w:space="0" w:color="000000"/>
            </w:tcBorders>
            <w:noWrap/>
            <w:vAlign w:val="center"/>
            <w:hideMark/>
          </w:tcPr>
          <w:p w14:paraId="64F02E63"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185.00</w:t>
            </w:r>
          </w:p>
        </w:tc>
        <w:tc>
          <w:tcPr>
            <w:tcW w:w="563" w:type="pct"/>
            <w:tcBorders>
              <w:top w:val="nil"/>
              <w:left w:val="nil"/>
              <w:bottom w:val="single" w:sz="4" w:space="0" w:color="000000"/>
              <w:right w:val="single" w:sz="4" w:space="0" w:color="000000"/>
            </w:tcBorders>
            <w:noWrap/>
            <w:vAlign w:val="center"/>
            <w:hideMark/>
          </w:tcPr>
          <w:p w14:paraId="6D3070E4" w14:textId="77777777" w:rsidR="00B8765D" w:rsidRPr="00B42029" w:rsidRDefault="00B8765D" w:rsidP="00B8765D">
            <w:pPr>
              <w:spacing w:line="240" w:lineRule="auto"/>
              <w:jc w:val="right"/>
              <w:rPr>
                <w:rFonts w:eastAsia="Times New Roman"/>
                <w:sz w:val="20"/>
                <w:szCs w:val="20"/>
                <w:lang w:val="en-IN"/>
              </w:rPr>
            </w:pPr>
            <w:r w:rsidRPr="00B42029">
              <w:rPr>
                <w:rFonts w:eastAsia="Times New Roman"/>
                <w:sz w:val="20"/>
                <w:szCs w:val="20"/>
                <w:lang w:val="en-IN"/>
              </w:rPr>
              <w:t>2,202.00</w:t>
            </w:r>
          </w:p>
        </w:tc>
        <w:tc>
          <w:tcPr>
            <w:tcW w:w="563" w:type="pct"/>
            <w:tcBorders>
              <w:top w:val="nil"/>
              <w:left w:val="nil"/>
              <w:bottom w:val="single" w:sz="4" w:space="0" w:color="000000"/>
              <w:right w:val="single" w:sz="4" w:space="0" w:color="000000"/>
            </w:tcBorders>
            <w:noWrap/>
            <w:vAlign w:val="center"/>
            <w:hideMark/>
          </w:tcPr>
          <w:p w14:paraId="7667CE5D"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1,754.00</w:t>
            </w:r>
          </w:p>
        </w:tc>
        <w:tc>
          <w:tcPr>
            <w:tcW w:w="563" w:type="pct"/>
            <w:tcBorders>
              <w:top w:val="nil"/>
              <w:left w:val="nil"/>
              <w:bottom w:val="single" w:sz="4" w:space="0" w:color="000000"/>
              <w:right w:val="single" w:sz="4" w:space="0" w:color="000000"/>
            </w:tcBorders>
            <w:noWrap/>
            <w:vAlign w:val="center"/>
            <w:hideMark/>
          </w:tcPr>
          <w:p w14:paraId="0764C996"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910.00</w:t>
            </w:r>
          </w:p>
        </w:tc>
        <w:tc>
          <w:tcPr>
            <w:tcW w:w="563" w:type="pct"/>
            <w:tcBorders>
              <w:top w:val="nil"/>
              <w:left w:val="nil"/>
              <w:bottom w:val="single" w:sz="4" w:space="0" w:color="000000"/>
              <w:right w:val="single" w:sz="4" w:space="0" w:color="000000"/>
            </w:tcBorders>
            <w:noWrap/>
            <w:vAlign w:val="center"/>
            <w:hideMark/>
          </w:tcPr>
          <w:p w14:paraId="40964673" w14:textId="77777777" w:rsidR="00B8765D" w:rsidRPr="00B42029" w:rsidRDefault="00B8765D" w:rsidP="00B8765D">
            <w:pPr>
              <w:spacing w:line="240" w:lineRule="auto"/>
              <w:jc w:val="right"/>
              <w:rPr>
                <w:rFonts w:eastAsia="Times New Roman"/>
                <w:color w:val="000000"/>
                <w:sz w:val="20"/>
                <w:szCs w:val="20"/>
                <w:lang w:val="en-IN"/>
              </w:rPr>
            </w:pPr>
            <w:r w:rsidRPr="00B42029">
              <w:rPr>
                <w:rFonts w:eastAsia="Times New Roman"/>
                <w:color w:val="000000"/>
                <w:sz w:val="20"/>
                <w:szCs w:val="20"/>
                <w:lang w:val="en-IN"/>
              </w:rPr>
              <w:t>914.00</w:t>
            </w:r>
          </w:p>
        </w:tc>
      </w:tr>
    </w:tbl>
    <w:p w14:paraId="55160A5E" w14:textId="38150477" w:rsidR="00B8765D" w:rsidRPr="00B42029" w:rsidRDefault="00B8765D" w:rsidP="00B8765D">
      <w:pPr>
        <w:spacing w:before="240" w:after="240" w:line="360" w:lineRule="auto"/>
        <w:jc w:val="both"/>
        <w:rPr>
          <w:sz w:val="24"/>
          <w:szCs w:val="24"/>
          <w:lang w:val="en-IN"/>
        </w:rPr>
      </w:pPr>
    </w:p>
    <w:p w14:paraId="19592A31" w14:textId="77777777" w:rsidR="00B8765D" w:rsidRPr="00B42029" w:rsidRDefault="00B8765D">
      <w:pPr>
        <w:rPr>
          <w:sz w:val="24"/>
          <w:szCs w:val="24"/>
          <w:lang w:val="en-IN"/>
        </w:rPr>
      </w:pPr>
      <w:r w:rsidRPr="00B42029">
        <w:rPr>
          <w:sz w:val="24"/>
          <w:szCs w:val="24"/>
          <w:lang w:val="en-IN"/>
        </w:rPr>
        <w:br w:type="page"/>
      </w:r>
    </w:p>
    <w:tbl>
      <w:tblPr>
        <w:tblW w:w="7749" w:type="dxa"/>
        <w:jc w:val="center"/>
        <w:tblLook w:val="04A0" w:firstRow="1" w:lastRow="0" w:firstColumn="1" w:lastColumn="0" w:noHBand="0" w:noVBand="1"/>
      </w:tblPr>
      <w:tblGrid>
        <w:gridCol w:w="4569"/>
        <w:gridCol w:w="3180"/>
      </w:tblGrid>
      <w:tr w:rsidR="00D60FDF" w:rsidRPr="00B42029" w14:paraId="1284FEF2" w14:textId="77777777" w:rsidTr="00D60FDF">
        <w:trPr>
          <w:trHeight w:val="372"/>
          <w:jc w:val="center"/>
        </w:trPr>
        <w:tc>
          <w:tcPr>
            <w:tcW w:w="4569" w:type="dxa"/>
            <w:tcBorders>
              <w:top w:val="single" w:sz="4" w:space="0" w:color="FFFFFF"/>
              <w:left w:val="single" w:sz="4" w:space="0" w:color="FFFFFF"/>
              <w:bottom w:val="nil"/>
              <w:right w:val="single" w:sz="4" w:space="0" w:color="FFFFFF"/>
            </w:tcBorders>
            <w:shd w:val="clear" w:color="351C75" w:fill="351C75"/>
            <w:noWrap/>
            <w:vAlign w:val="center"/>
            <w:hideMark/>
          </w:tcPr>
          <w:p w14:paraId="1FB92971" w14:textId="77777777" w:rsidR="00D60FDF" w:rsidRPr="00B42029" w:rsidRDefault="00D60FDF" w:rsidP="00D60FDF">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lastRenderedPageBreak/>
              <w:t>Element</w:t>
            </w:r>
          </w:p>
        </w:tc>
        <w:tc>
          <w:tcPr>
            <w:tcW w:w="3180" w:type="dxa"/>
            <w:tcBorders>
              <w:top w:val="single" w:sz="4" w:space="0" w:color="FFFFFF"/>
              <w:left w:val="nil"/>
              <w:bottom w:val="nil"/>
              <w:right w:val="single" w:sz="4" w:space="0" w:color="FFFFFF"/>
            </w:tcBorders>
            <w:shd w:val="clear" w:color="351C75" w:fill="351C75"/>
            <w:noWrap/>
            <w:vAlign w:val="center"/>
            <w:hideMark/>
          </w:tcPr>
          <w:p w14:paraId="1D77A86C" w14:textId="77777777" w:rsidR="00D60FDF" w:rsidRPr="00B42029" w:rsidRDefault="00D60FDF" w:rsidP="00D60FDF">
            <w:pPr>
              <w:spacing w:line="240" w:lineRule="auto"/>
              <w:jc w:val="center"/>
              <w:rPr>
                <w:rFonts w:eastAsia="Times New Roman"/>
                <w:b/>
                <w:bCs/>
                <w:color w:val="FFFFFF"/>
                <w:sz w:val="30"/>
                <w:szCs w:val="30"/>
                <w:lang w:val="en-IN"/>
              </w:rPr>
            </w:pPr>
            <w:r w:rsidRPr="00B42029">
              <w:rPr>
                <w:rFonts w:eastAsia="Times New Roman"/>
                <w:b/>
                <w:bCs/>
                <w:color w:val="FFFFFF"/>
                <w:sz w:val="30"/>
                <w:szCs w:val="30"/>
                <w:lang w:val="en-IN"/>
              </w:rPr>
              <w:t>Formula</w:t>
            </w:r>
          </w:p>
        </w:tc>
      </w:tr>
      <w:tr w:rsidR="00D60FDF" w:rsidRPr="00B42029" w14:paraId="00A297E8" w14:textId="77777777" w:rsidTr="00D60FDF">
        <w:trPr>
          <w:trHeight w:val="360"/>
          <w:jc w:val="center"/>
        </w:trPr>
        <w:tc>
          <w:tcPr>
            <w:tcW w:w="4569" w:type="dxa"/>
            <w:tcBorders>
              <w:top w:val="single" w:sz="4" w:space="0" w:color="000000"/>
              <w:left w:val="single" w:sz="4" w:space="0" w:color="000000"/>
              <w:bottom w:val="single" w:sz="4" w:space="0" w:color="000000"/>
              <w:right w:val="single" w:sz="4" w:space="0" w:color="000000"/>
            </w:tcBorders>
            <w:noWrap/>
            <w:vAlign w:val="center"/>
            <w:hideMark/>
          </w:tcPr>
          <w:p w14:paraId="133536E0" w14:textId="77777777" w:rsidR="00D60FDF" w:rsidRPr="00B42029" w:rsidRDefault="00D60FDF" w:rsidP="00D60FDF">
            <w:pPr>
              <w:spacing w:line="240" w:lineRule="auto"/>
              <w:jc w:val="center"/>
              <w:rPr>
                <w:rFonts w:eastAsia="Times New Roman"/>
                <w:b/>
                <w:bCs/>
                <w:i/>
                <w:iCs/>
                <w:color w:val="000000"/>
                <w:sz w:val="28"/>
                <w:szCs w:val="28"/>
                <w:lang w:val="en-IN"/>
              </w:rPr>
            </w:pPr>
            <w:r w:rsidRPr="00B42029">
              <w:rPr>
                <w:rFonts w:eastAsia="Times New Roman"/>
                <w:b/>
                <w:bCs/>
                <w:i/>
                <w:iCs/>
                <w:color w:val="000000"/>
                <w:sz w:val="28"/>
                <w:szCs w:val="28"/>
                <w:lang w:val="en-IN"/>
              </w:rPr>
              <w:t>Profitability Ratios</w:t>
            </w:r>
          </w:p>
        </w:tc>
        <w:tc>
          <w:tcPr>
            <w:tcW w:w="3180" w:type="dxa"/>
            <w:tcBorders>
              <w:top w:val="single" w:sz="4" w:space="0" w:color="000000"/>
              <w:left w:val="nil"/>
              <w:bottom w:val="single" w:sz="4" w:space="0" w:color="000000"/>
              <w:right w:val="single" w:sz="4" w:space="0" w:color="000000"/>
            </w:tcBorders>
            <w:noWrap/>
            <w:vAlign w:val="center"/>
            <w:hideMark/>
          </w:tcPr>
          <w:p w14:paraId="7B86E23F"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1E7F5D0C"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78AA4D0F"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Net Profit Margin</w:t>
            </w:r>
          </w:p>
        </w:tc>
        <w:tc>
          <w:tcPr>
            <w:tcW w:w="3180" w:type="dxa"/>
            <w:vMerge w:val="restart"/>
            <w:tcBorders>
              <w:top w:val="nil"/>
              <w:left w:val="single" w:sz="4" w:space="0" w:color="000000"/>
              <w:bottom w:val="single" w:sz="4" w:space="0" w:color="000000"/>
              <w:right w:val="single" w:sz="4" w:space="0" w:color="000000"/>
            </w:tcBorders>
            <w:vAlign w:val="center"/>
            <w:hideMark/>
          </w:tcPr>
          <w:p w14:paraId="385B37FB"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Net Profit / Total Revenue * 100</w:t>
            </w:r>
          </w:p>
        </w:tc>
      </w:tr>
      <w:tr w:rsidR="00D60FDF" w:rsidRPr="00B42029" w14:paraId="27396CF2"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17214611"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Profit</w:t>
            </w:r>
          </w:p>
        </w:tc>
        <w:tc>
          <w:tcPr>
            <w:tcW w:w="3180" w:type="dxa"/>
            <w:vMerge/>
            <w:tcBorders>
              <w:top w:val="nil"/>
              <w:left w:val="single" w:sz="4" w:space="0" w:color="000000"/>
              <w:bottom w:val="single" w:sz="4" w:space="0" w:color="000000"/>
              <w:right w:val="single" w:sz="4" w:space="0" w:color="000000"/>
            </w:tcBorders>
            <w:vAlign w:val="center"/>
            <w:hideMark/>
          </w:tcPr>
          <w:p w14:paraId="7289B032"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1955DF96"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6115404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Total Revenue</w:t>
            </w:r>
          </w:p>
        </w:tc>
        <w:tc>
          <w:tcPr>
            <w:tcW w:w="3180" w:type="dxa"/>
            <w:vMerge/>
            <w:tcBorders>
              <w:top w:val="nil"/>
              <w:left w:val="single" w:sz="4" w:space="0" w:color="000000"/>
              <w:bottom w:val="single" w:sz="4" w:space="0" w:color="000000"/>
              <w:right w:val="single" w:sz="4" w:space="0" w:color="000000"/>
            </w:tcBorders>
            <w:vAlign w:val="center"/>
            <w:hideMark/>
          </w:tcPr>
          <w:p w14:paraId="074FBEC2"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4666EC7E" w14:textId="77777777" w:rsidTr="00D60FDF">
        <w:trPr>
          <w:trHeight w:val="264"/>
          <w:jc w:val="center"/>
        </w:trPr>
        <w:tc>
          <w:tcPr>
            <w:tcW w:w="4569" w:type="dxa"/>
            <w:tcBorders>
              <w:top w:val="nil"/>
              <w:left w:val="single" w:sz="4" w:space="0" w:color="000000"/>
              <w:bottom w:val="single" w:sz="4" w:space="0" w:color="000000"/>
              <w:right w:val="single" w:sz="4" w:space="0" w:color="000000"/>
            </w:tcBorders>
            <w:noWrap/>
            <w:vAlign w:val="center"/>
            <w:hideMark/>
          </w:tcPr>
          <w:p w14:paraId="0E6F3F6F"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c>
          <w:tcPr>
            <w:tcW w:w="3180" w:type="dxa"/>
            <w:tcBorders>
              <w:top w:val="nil"/>
              <w:left w:val="nil"/>
              <w:bottom w:val="single" w:sz="4" w:space="0" w:color="000000"/>
              <w:right w:val="single" w:sz="4" w:space="0" w:color="000000"/>
            </w:tcBorders>
            <w:noWrap/>
            <w:vAlign w:val="center"/>
            <w:hideMark/>
          </w:tcPr>
          <w:p w14:paraId="5CE132CE"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37EADB8B"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758B6793"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Operating Profit Margin</w:t>
            </w:r>
          </w:p>
        </w:tc>
        <w:tc>
          <w:tcPr>
            <w:tcW w:w="3180" w:type="dxa"/>
            <w:vMerge w:val="restart"/>
            <w:tcBorders>
              <w:top w:val="nil"/>
              <w:left w:val="single" w:sz="4" w:space="0" w:color="000000"/>
              <w:bottom w:val="single" w:sz="4" w:space="0" w:color="000000"/>
              <w:right w:val="single" w:sz="4" w:space="0" w:color="000000"/>
            </w:tcBorders>
            <w:vAlign w:val="center"/>
            <w:hideMark/>
          </w:tcPr>
          <w:p w14:paraId="00116F63"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Operating Profit / Total Revenue * 100</w:t>
            </w:r>
          </w:p>
        </w:tc>
      </w:tr>
      <w:tr w:rsidR="00D60FDF" w:rsidRPr="00B42029" w14:paraId="419637D6"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47F52E4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Operating Profit</w:t>
            </w:r>
          </w:p>
        </w:tc>
        <w:tc>
          <w:tcPr>
            <w:tcW w:w="3180" w:type="dxa"/>
            <w:vMerge/>
            <w:tcBorders>
              <w:top w:val="nil"/>
              <w:left w:val="single" w:sz="4" w:space="0" w:color="000000"/>
              <w:bottom w:val="single" w:sz="4" w:space="0" w:color="000000"/>
              <w:right w:val="single" w:sz="4" w:space="0" w:color="000000"/>
            </w:tcBorders>
            <w:vAlign w:val="center"/>
            <w:hideMark/>
          </w:tcPr>
          <w:p w14:paraId="23FD258C"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78F37A95"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AE8EDA0"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Total Revenue</w:t>
            </w:r>
          </w:p>
        </w:tc>
        <w:tc>
          <w:tcPr>
            <w:tcW w:w="3180" w:type="dxa"/>
            <w:vMerge/>
            <w:tcBorders>
              <w:top w:val="nil"/>
              <w:left w:val="single" w:sz="4" w:space="0" w:color="000000"/>
              <w:bottom w:val="single" w:sz="4" w:space="0" w:color="000000"/>
              <w:right w:val="single" w:sz="4" w:space="0" w:color="000000"/>
            </w:tcBorders>
            <w:vAlign w:val="center"/>
            <w:hideMark/>
          </w:tcPr>
          <w:p w14:paraId="14F0E7A6"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716D962D" w14:textId="77777777" w:rsidTr="00D60FDF">
        <w:trPr>
          <w:trHeight w:val="264"/>
          <w:jc w:val="center"/>
        </w:trPr>
        <w:tc>
          <w:tcPr>
            <w:tcW w:w="7749"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2FB29792"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4C12F18C" w14:textId="77777777" w:rsidTr="00D60FDF">
        <w:trPr>
          <w:trHeight w:val="360"/>
          <w:jc w:val="center"/>
        </w:trPr>
        <w:tc>
          <w:tcPr>
            <w:tcW w:w="4569" w:type="dxa"/>
            <w:tcBorders>
              <w:top w:val="nil"/>
              <w:left w:val="single" w:sz="4" w:space="0" w:color="000000"/>
              <w:bottom w:val="single" w:sz="4" w:space="0" w:color="000000"/>
              <w:right w:val="single" w:sz="4" w:space="0" w:color="000000"/>
            </w:tcBorders>
            <w:noWrap/>
            <w:vAlign w:val="center"/>
            <w:hideMark/>
          </w:tcPr>
          <w:p w14:paraId="142729E5" w14:textId="77777777" w:rsidR="00D60FDF" w:rsidRPr="00B42029" w:rsidRDefault="00D60FDF" w:rsidP="00D60FDF">
            <w:pPr>
              <w:spacing w:line="240" w:lineRule="auto"/>
              <w:jc w:val="center"/>
              <w:rPr>
                <w:rFonts w:eastAsia="Times New Roman"/>
                <w:b/>
                <w:bCs/>
                <w:i/>
                <w:iCs/>
                <w:color w:val="000000"/>
                <w:sz w:val="28"/>
                <w:szCs w:val="28"/>
                <w:lang w:val="en-IN"/>
              </w:rPr>
            </w:pPr>
            <w:r w:rsidRPr="00B42029">
              <w:rPr>
                <w:rFonts w:eastAsia="Times New Roman"/>
                <w:b/>
                <w:bCs/>
                <w:i/>
                <w:iCs/>
                <w:color w:val="000000"/>
                <w:sz w:val="28"/>
                <w:szCs w:val="28"/>
                <w:lang w:val="en-IN"/>
              </w:rPr>
              <w:t>Asset Efficiency Ratio</w:t>
            </w:r>
          </w:p>
        </w:tc>
        <w:tc>
          <w:tcPr>
            <w:tcW w:w="3180" w:type="dxa"/>
            <w:tcBorders>
              <w:top w:val="nil"/>
              <w:left w:val="nil"/>
              <w:bottom w:val="single" w:sz="4" w:space="0" w:color="000000"/>
              <w:right w:val="single" w:sz="4" w:space="0" w:color="000000"/>
            </w:tcBorders>
            <w:noWrap/>
            <w:vAlign w:val="center"/>
            <w:hideMark/>
          </w:tcPr>
          <w:p w14:paraId="3D7EFF3F"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6CC72A92"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0DC963A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Accounts Receivable Turnover</w:t>
            </w:r>
          </w:p>
        </w:tc>
        <w:tc>
          <w:tcPr>
            <w:tcW w:w="3180" w:type="dxa"/>
            <w:vMerge w:val="restart"/>
            <w:tcBorders>
              <w:top w:val="nil"/>
              <w:left w:val="single" w:sz="4" w:space="0" w:color="000000"/>
              <w:bottom w:val="single" w:sz="4" w:space="0" w:color="000000"/>
              <w:right w:val="single" w:sz="4" w:space="0" w:color="000000"/>
            </w:tcBorders>
            <w:vAlign w:val="center"/>
            <w:hideMark/>
          </w:tcPr>
          <w:p w14:paraId="02009E57"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Trade Revenue / Average Accounts Receivable</w:t>
            </w:r>
          </w:p>
        </w:tc>
      </w:tr>
      <w:tr w:rsidR="00D60FDF" w:rsidRPr="00B42029" w14:paraId="3D0CFF74"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2FB9215F"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Total Revenue</w:t>
            </w:r>
          </w:p>
        </w:tc>
        <w:tc>
          <w:tcPr>
            <w:tcW w:w="3180" w:type="dxa"/>
            <w:vMerge/>
            <w:tcBorders>
              <w:top w:val="nil"/>
              <w:left w:val="single" w:sz="4" w:space="0" w:color="000000"/>
              <w:bottom w:val="single" w:sz="4" w:space="0" w:color="000000"/>
              <w:right w:val="single" w:sz="4" w:space="0" w:color="000000"/>
            </w:tcBorders>
            <w:vAlign w:val="center"/>
            <w:hideMark/>
          </w:tcPr>
          <w:p w14:paraId="6C420D81"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1B4DB265"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6B0ED11"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Accounts Receivable</w:t>
            </w:r>
          </w:p>
        </w:tc>
        <w:tc>
          <w:tcPr>
            <w:tcW w:w="3180" w:type="dxa"/>
            <w:vMerge/>
            <w:tcBorders>
              <w:top w:val="nil"/>
              <w:left w:val="single" w:sz="4" w:space="0" w:color="000000"/>
              <w:bottom w:val="single" w:sz="4" w:space="0" w:color="000000"/>
              <w:right w:val="single" w:sz="4" w:space="0" w:color="000000"/>
            </w:tcBorders>
            <w:vAlign w:val="center"/>
            <w:hideMark/>
          </w:tcPr>
          <w:p w14:paraId="3C837C8B"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578DD9C9"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0EC194A0"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3180" w:type="dxa"/>
            <w:tcBorders>
              <w:top w:val="nil"/>
              <w:left w:val="nil"/>
              <w:bottom w:val="single" w:sz="4" w:space="0" w:color="000000"/>
              <w:right w:val="single" w:sz="4" w:space="0" w:color="000000"/>
            </w:tcBorders>
            <w:vAlign w:val="center"/>
            <w:hideMark/>
          </w:tcPr>
          <w:p w14:paraId="336F7FFD"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 </w:t>
            </w:r>
          </w:p>
        </w:tc>
      </w:tr>
      <w:tr w:rsidR="00D60FDF" w:rsidRPr="00B42029" w14:paraId="5DE68A45"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77E8DBCB"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Total Asset Turnover</w:t>
            </w:r>
          </w:p>
        </w:tc>
        <w:tc>
          <w:tcPr>
            <w:tcW w:w="3180" w:type="dxa"/>
            <w:vMerge w:val="restart"/>
            <w:tcBorders>
              <w:top w:val="nil"/>
              <w:left w:val="single" w:sz="4" w:space="0" w:color="000000"/>
              <w:bottom w:val="single" w:sz="4" w:space="0" w:color="000000"/>
              <w:right w:val="single" w:sz="4" w:space="0" w:color="000000"/>
            </w:tcBorders>
            <w:vAlign w:val="center"/>
            <w:hideMark/>
          </w:tcPr>
          <w:p w14:paraId="3B44EA8A" w14:textId="2CB726C6"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Total Revenue / Average Total A</w:t>
            </w:r>
            <w:r w:rsidR="00B42029">
              <w:rPr>
                <w:rFonts w:eastAsia="Times New Roman"/>
                <w:i/>
                <w:iCs/>
                <w:color w:val="000000"/>
                <w:sz w:val="24"/>
                <w:szCs w:val="24"/>
                <w:lang w:val="en-IN"/>
              </w:rPr>
              <w:t>ss</w:t>
            </w:r>
            <w:r w:rsidRPr="00B42029">
              <w:rPr>
                <w:rFonts w:eastAsia="Times New Roman"/>
                <w:i/>
                <w:iCs/>
                <w:color w:val="000000"/>
                <w:sz w:val="24"/>
                <w:szCs w:val="24"/>
                <w:lang w:val="en-IN"/>
              </w:rPr>
              <w:t>et</w:t>
            </w:r>
          </w:p>
        </w:tc>
      </w:tr>
      <w:tr w:rsidR="00D60FDF" w:rsidRPr="00B42029" w14:paraId="38E4B65A"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7053669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Total Revenue</w:t>
            </w:r>
          </w:p>
        </w:tc>
        <w:tc>
          <w:tcPr>
            <w:tcW w:w="3180" w:type="dxa"/>
            <w:vMerge/>
            <w:tcBorders>
              <w:top w:val="nil"/>
              <w:left w:val="single" w:sz="4" w:space="0" w:color="000000"/>
              <w:bottom w:val="single" w:sz="4" w:space="0" w:color="000000"/>
              <w:right w:val="single" w:sz="4" w:space="0" w:color="000000"/>
            </w:tcBorders>
            <w:vAlign w:val="center"/>
            <w:hideMark/>
          </w:tcPr>
          <w:p w14:paraId="4A945DF1"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316D2262"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9345F55"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Total Assets</w:t>
            </w:r>
          </w:p>
        </w:tc>
        <w:tc>
          <w:tcPr>
            <w:tcW w:w="3180" w:type="dxa"/>
            <w:vMerge/>
            <w:tcBorders>
              <w:top w:val="nil"/>
              <w:left w:val="single" w:sz="4" w:space="0" w:color="000000"/>
              <w:bottom w:val="single" w:sz="4" w:space="0" w:color="000000"/>
              <w:right w:val="single" w:sz="4" w:space="0" w:color="000000"/>
            </w:tcBorders>
            <w:vAlign w:val="center"/>
            <w:hideMark/>
          </w:tcPr>
          <w:p w14:paraId="293A020B"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48DC7C1F" w14:textId="77777777" w:rsidTr="00D60FDF">
        <w:trPr>
          <w:trHeight w:val="264"/>
          <w:jc w:val="center"/>
        </w:trPr>
        <w:tc>
          <w:tcPr>
            <w:tcW w:w="7749"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42CCE0E5"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765FDA67" w14:textId="77777777" w:rsidTr="00D60FDF">
        <w:trPr>
          <w:trHeight w:val="360"/>
          <w:jc w:val="center"/>
        </w:trPr>
        <w:tc>
          <w:tcPr>
            <w:tcW w:w="4569" w:type="dxa"/>
            <w:tcBorders>
              <w:top w:val="nil"/>
              <w:left w:val="single" w:sz="4" w:space="0" w:color="000000"/>
              <w:bottom w:val="single" w:sz="4" w:space="0" w:color="000000"/>
              <w:right w:val="single" w:sz="4" w:space="0" w:color="000000"/>
            </w:tcBorders>
            <w:noWrap/>
            <w:vAlign w:val="center"/>
            <w:hideMark/>
          </w:tcPr>
          <w:p w14:paraId="4D927D50" w14:textId="77777777" w:rsidR="00D60FDF" w:rsidRPr="00B42029" w:rsidRDefault="00D60FDF" w:rsidP="00D60FDF">
            <w:pPr>
              <w:spacing w:line="240" w:lineRule="auto"/>
              <w:jc w:val="center"/>
              <w:rPr>
                <w:rFonts w:eastAsia="Times New Roman"/>
                <w:b/>
                <w:bCs/>
                <w:i/>
                <w:iCs/>
                <w:color w:val="000000"/>
                <w:sz w:val="28"/>
                <w:szCs w:val="28"/>
                <w:lang w:val="en-IN"/>
              </w:rPr>
            </w:pPr>
            <w:r w:rsidRPr="00B42029">
              <w:rPr>
                <w:rFonts w:eastAsia="Times New Roman"/>
                <w:b/>
                <w:bCs/>
                <w:i/>
                <w:iCs/>
                <w:color w:val="000000"/>
                <w:sz w:val="28"/>
                <w:szCs w:val="28"/>
                <w:lang w:val="en-IN"/>
              </w:rPr>
              <w:t>Liquidity Ratios</w:t>
            </w:r>
          </w:p>
        </w:tc>
        <w:tc>
          <w:tcPr>
            <w:tcW w:w="3180" w:type="dxa"/>
            <w:tcBorders>
              <w:top w:val="nil"/>
              <w:left w:val="nil"/>
              <w:bottom w:val="single" w:sz="4" w:space="0" w:color="000000"/>
              <w:right w:val="single" w:sz="4" w:space="0" w:color="000000"/>
            </w:tcBorders>
            <w:noWrap/>
            <w:vAlign w:val="center"/>
            <w:hideMark/>
          </w:tcPr>
          <w:p w14:paraId="07DE4DEB"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6859BD4A"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564A9DC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Current Ratio</w:t>
            </w:r>
          </w:p>
        </w:tc>
        <w:tc>
          <w:tcPr>
            <w:tcW w:w="3180" w:type="dxa"/>
            <w:vMerge w:val="restart"/>
            <w:tcBorders>
              <w:top w:val="nil"/>
              <w:left w:val="single" w:sz="4" w:space="0" w:color="000000"/>
              <w:bottom w:val="single" w:sz="4" w:space="0" w:color="000000"/>
              <w:right w:val="single" w:sz="4" w:space="0" w:color="000000"/>
            </w:tcBorders>
            <w:vAlign w:val="center"/>
            <w:hideMark/>
          </w:tcPr>
          <w:p w14:paraId="07948908"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Current Assets / Current Liabilities</w:t>
            </w:r>
          </w:p>
        </w:tc>
      </w:tr>
      <w:tr w:rsidR="00D60FDF" w:rsidRPr="00B42029" w14:paraId="5BD704F9"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55BFA15D"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Current Assets</w:t>
            </w:r>
          </w:p>
        </w:tc>
        <w:tc>
          <w:tcPr>
            <w:tcW w:w="3180" w:type="dxa"/>
            <w:vMerge/>
            <w:tcBorders>
              <w:top w:val="nil"/>
              <w:left w:val="single" w:sz="4" w:space="0" w:color="000000"/>
              <w:bottom w:val="single" w:sz="4" w:space="0" w:color="000000"/>
              <w:right w:val="single" w:sz="4" w:space="0" w:color="000000"/>
            </w:tcBorders>
            <w:vAlign w:val="center"/>
            <w:hideMark/>
          </w:tcPr>
          <w:p w14:paraId="339E52B0"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421DC9BB"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62E6B8E5"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Current Liabilities</w:t>
            </w:r>
          </w:p>
        </w:tc>
        <w:tc>
          <w:tcPr>
            <w:tcW w:w="3180" w:type="dxa"/>
            <w:vMerge/>
            <w:tcBorders>
              <w:top w:val="nil"/>
              <w:left w:val="single" w:sz="4" w:space="0" w:color="000000"/>
              <w:bottom w:val="single" w:sz="4" w:space="0" w:color="000000"/>
              <w:right w:val="single" w:sz="4" w:space="0" w:color="000000"/>
            </w:tcBorders>
            <w:vAlign w:val="center"/>
            <w:hideMark/>
          </w:tcPr>
          <w:p w14:paraId="48500D5F"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12931927" w14:textId="77777777" w:rsidTr="00D60FDF">
        <w:trPr>
          <w:trHeight w:val="264"/>
          <w:jc w:val="center"/>
        </w:trPr>
        <w:tc>
          <w:tcPr>
            <w:tcW w:w="4569" w:type="dxa"/>
            <w:tcBorders>
              <w:top w:val="nil"/>
              <w:left w:val="single" w:sz="4" w:space="0" w:color="000000"/>
              <w:bottom w:val="single" w:sz="4" w:space="0" w:color="000000"/>
              <w:right w:val="single" w:sz="4" w:space="0" w:color="000000"/>
            </w:tcBorders>
            <w:noWrap/>
            <w:vAlign w:val="center"/>
            <w:hideMark/>
          </w:tcPr>
          <w:p w14:paraId="0BD0EB12"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c>
          <w:tcPr>
            <w:tcW w:w="3180" w:type="dxa"/>
            <w:tcBorders>
              <w:top w:val="nil"/>
              <w:left w:val="nil"/>
              <w:bottom w:val="single" w:sz="4" w:space="0" w:color="000000"/>
              <w:right w:val="single" w:sz="4" w:space="0" w:color="000000"/>
            </w:tcBorders>
            <w:noWrap/>
            <w:vAlign w:val="center"/>
            <w:hideMark/>
          </w:tcPr>
          <w:p w14:paraId="68D6C6BC"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3BE31C73"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038B480"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Ratio</w:t>
            </w:r>
          </w:p>
        </w:tc>
        <w:tc>
          <w:tcPr>
            <w:tcW w:w="3180" w:type="dxa"/>
            <w:vMerge w:val="restart"/>
            <w:tcBorders>
              <w:top w:val="nil"/>
              <w:left w:val="single" w:sz="4" w:space="0" w:color="000000"/>
              <w:bottom w:val="single" w:sz="4" w:space="0" w:color="000000"/>
              <w:right w:val="single" w:sz="4" w:space="0" w:color="000000"/>
            </w:tcBorders>
            <w:vAlign w:val="center"/>
            <w:hideMark/>
          </w:tcPr>
          <w:p w14:paraId="0A716958"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Cash &amp; Cash Equivalent / Current Liabilities</w:t>
            </w:r>
          </w:p>
        </w:tc>
      </w:tr>
      <w:tr w:rsidR="00D60FDF" w:rsidRPr="00B42029" w14:paraId="1EC31BF8"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12C74C8F"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Cash &amp; Cash Equivalent </w:t>
            </w:r>
          </w:p>
        </w:tc>
        <w:tc>
          <w:tcPr>
            <w:tcW w:w="3180" w:type="dxa"/>
            <w:vMerge/>
            <w:tcBorders>
              <w:top w:val="nil"/>
              <w:left w:val="single" w:sz="4" w:space="0" w:color="000000"/>
              <w:bottom w:val="single" w:sz="4" w:space="0" w:color="000000"/>
              <w:right w:val="single" w:sz="4" w:space="0" w:color="000000"/>
            </w:tcBorders>
            <w:vAlign w:val="center"/>
            <w:hideMark/>
          </w:tcPr>
          <w:p w14:paraId="02D0C931"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192C5CEB"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E14B14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Current Liabilities</w:t>
            </w:r>
          </w:p>
        </w:tc>
        <w:tc>
          <w:tcPr>
            <w:tcW w:w="3180" w:type="dxa"/>
            <w:vMerge/>
            <w:tcBorders>
              <w:top w:val="nil"/>
              <w:left w:val="single" w:sz="4" w:space="0" w:color="000000"/>
              <w:bottom w:val="single" w:sz="4" w:space="0" w:color="000000"/>
              <w:right w:val="single" w:sz="4" w:space="0" w:color="000000"/>
            </w:tcBorders>
            <w:vAlign w:val="center"/>
            <w:hideMark/>
          </w:tcPr>
          <w:p w14:paraId="3AE25D91"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41FD1E64" w14:textId="77777777" w:rsidTr="00D60FDF">
        <w:trPr>
          <w:trHeight w:val="264"/>
          <w:jc w:val="center"/>
        </w:trPr>
        <w:tc>
          <w:tcPr>
            <w:tcW w:w="7749"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55F563A9"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10A160F6" w14:textId="77777777" w:rsidTr="00D60FDF">
        <w:trPr>
          <w:trHeight w:val="360"/>
          <w:jc w:val="center"/>
        </w:trPr>
        <w:tc>
          <w:tcPr>
            <w:tcW w:w="4569" w:type="dxa"/>
            <w:tcBorders>
              <w:top w:val="nil"/>
              <w:left w:val="single" w:sz="4" w:space="0" w:color="000000"/>
              <w:bottom w:val="single" w:sz="4" w:space="0" w:color="000000"/>
              <w:right w:val="single" w:sz="4" w:space="0" w:color="000000"/>
            </w:tcBorders>
            <w:noWrap/>
            <w:vAlign w:val="center"/>
            <w:hideMark/>
          </w:tcPr>
          <w:p w14:paraId="2683AD8F" w14:textId="77777777" w:rsidR="00D60FDF" w:rsidRPr="00B42029" w:rsidRDefault="00D60FDF" w:rsidP="00D60FDF">
            <w:pPr>
              <w:spacing w:line="240" w:lineRule="auto"/>
              <w:jc w:val="center"/>
              <w:rPr>
                <w:rFonts w:eastAsia="Times New Roman"/>
                <w:b/>
                <w:bCs/>
                <w:i/>
                <w:iCs/>
                <w:color w:val="000000"/>
                <w:sz w:val="28"/>
                <w:szCs w:val="28"/>
                <w:lang w:val="en-IN"/>
              </w:rPr>
            </w:pPr>
            <w:r w:rsidRPr="00B42029">
              <w:rPr>
                <w:rFonts w:eastAsia="Times New Roman"/>
                <w:b/>
                <w:bCs/>
                <w:i/>
                <w:iCs/>
                <w:color w:val="000000"/>
                <w:sz w:val="28"/>
                <w:szCs w:val="28"/>
                <w:lang w:val="en-IN"/>
              </w:rPr>
              <w:t>Returns Ratio</w:t>
            </w:r>
          </w:p>
        </w:tc>
        <w:tc>
          <w:tcPr>
            <w:tcW w:w="3180" w:type="dxa"/>
            <w:tcBorders>
              <w:top w:val="nil"/>
              <w:left w:val="nil"/>
              <w:bottom w:val="single" w:sz="4" w:space="0" w:color="000000"/>
              <w:right w:val="single" w:sz="4" w:space="0" w:color="000000"/>
            </w:tcBorders>
            <w:noWrap/>
            <w:vAlign w:val="center"/>
            <w:hideMark/>
          </w:tcPr>
          <w:p w14:paraId="24A60883"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6DD5C60E"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1A1168E7" w14:textId="5BB43DE3" w:rsidR="00D60FDF" w:rsidRPr="00B42029" w:rsidRDefault="00B42029"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Earnings</w:t>
            </w:r>
            <w:r w:rsidR="00D60FDF" w:rsidRPr="00B42029">
              <w:rPr>
                <w:rFonts w:eastAsia="Times New Roman"/>
                <w:b/>
                <w:bCs/>
                <w:color w:val="000000"/>
                <w:sz w:val="24"/>
                <w:szCs w:val="24"/>
                <w:lang w:val="en-IN"/>
              </w:rPr>
              <w:t xml:space="preserve"> Per Share (EPS)</w:t>
            </w:r>
          </w:p>
        </w:tc>
        <w:tc>
          <w:tcPr>
            <w:tcW w:w="3180" w:type="dxa"/>
            <w:vMerge w:val="restart"/>
            <w:tcBorders>
              <w:top w:val="nil"/>
              <w:left w:val="single" w:sz="4" w:space="0" w:color="000000"/>
              <w:bottom w:val="single" w:sz="4" w:space="0" w:color="000000"/>
              <w:right w:val="single" w:sz="4" w:space="0" w:color="000000"/>
            </w:tcBorders>
            <w:vAlign w:val="center"/>
            <w:hideMark/>
          </w:tcPr>
          <w:p w14:paraId="28F22DDA"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(Profit Attributable to Ordinary Shareholders / Weighted Average Number of Ordinary Shares)</w:t>
            </w:r>
          </w:p>
        </w:tc>
      </w:tr>
      <w:tr w:rsidR="00D60FDF" w:rsidRPr="00B42029" w14:paraId="5EDE18A1"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D1BFA5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Profit Attributable to Ordinary Shareholders</w:t>
            </w:r>
          </w:p>
        </w:tc>
        <w:tc>
          <w:tcPr>
            <w:tcW w:w="3180" w:type="dxa"/>
            <w:vMerge/>
            <w:tcBorders>
              <w:top w:val="nil"/>
              <w:left w:val="single" w:sz="4" w:space="0" w:color="000000"/>
              <w:bottom w:val="single" w:sz="4" w:space="0" w:color="000000"/>
              <w:right w:val="single" w:sz="4" w:space="0" w:color="000000"/>
            </w:tcBorders>
            <w:vAlign w:val="center"/>
            <w:hideMark/>
          </w:tcPr>
          <w:p w14:paraId="755F2A13"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40A85838"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0963D0E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Weighted Average Number of Ordinary Shares</w:t>
            </w:r>
          </w:p>
        </w:tc>
        <w:tc>
          <w:tcPr>
            <w:tcW w:w="3180" w:type="dxa"/>
            <w:vMerge/>
            <w:tcBorders>
              <w:top w:val="nil"/>
              <w:left w:val="single" w:sz="4" w:space="0" w:color="000000"/>
              <w:bottom w:val="single" w:sz="4" w:space="0" w:color="000000"/>
              <w:right w:val="single" w:sz="4" w:space="0" w:color="000000"/>
            </w:tcBorders>
            <w:vAlign w:val="center"/>
            <w:hideMark/>
          </w:tcPr>
          <w:p w14:paraId="5551DD6C"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31B05E99" w14:textId="77777777" w:rsidTr="00D60FDF">
        <w:trPr>
          <w:trHeight w:val="264"/>
          <w:jc w:val="center"/>
        </w:trPr>
        <w:tc>
          <w:tcPr>
            <w:tcW w:w="4569" w:type="dxa"/>
            <w:tcBorders>
              <w:top w:val="nil"/>
              <w:left w:val="single" w:sz="4" w:space="0" w:color="000000"/>
              <w:bottom w:val="single" w:sz="4" w:space="0" w:color="000000"/>
              <w:right w:val="single" w:sz="4" w:space="0" w:color="000000"/>
            </w:tcBorders>
            <w:noWrap/>
            <w:vAlign w:val="center"/>
            <w:hideMark/>
          </w:tcPr>
          <w:p w14:paraId="154D29F9"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c>
          <w:tcPr>
            <w:tcW w:w="3180" w:type="dxa"/>
            <w:tcBorders>
              <w:top w:val="nil"/>
              <w:left w:val="nil"/>
              <w:bottom w:val="single" w:sz="4" w:space="0" w:color="000000"/>
              <w:right w:val="single" w:sz="4" w:space="0" w:color="000000"/>
            </w:tcBorders>
            <w:noWrap/>
            <w:vAlign w:val="center"/>
            <w:hideMark/>
          </w:tcPr>
          <w:p w14:paraId="4C4FEFD3"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737708C4"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5629F177"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Price-to-Earnings (P/E) Ratio</w:t>
            </w:r>
          </w:p>
        </w:tc>
        <w:tc>
          <w:tcPr>
            <w:tcW w:w="3180" w:type="dxa"/>
            <w:vMerge w:val="restart"/>
            <w:tcBorders>
              <w:top w:val="nil"/>
              <w:left w:val="single" w:sz="4" w:space="0" w:color="000000"/>
              <w:bottom w:val="single" w:sz="4" w:space="0" w:color="000000"/>
              <w:right w:val="single" w:sz="4" w:space="0" w:color="000000"/>
            </w:tcBorders>
            <w:vAlign w:val="center"/>
            <w:hideMark/>
          </w:tcPr>
          <w:p w14:paraId="222152ED"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Market Price Per Share / EPS</w:t>
            </w:r>
          </w:p>
        </w:tc>
      </w:tr>
      <w:tr w:rsidR="00D60FDF" w:rsidRPr="00B42029" w14:paraId="7D87EEAD"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389829A9"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Market Price Per Share</w:t>
            </w:r>
          </w:p>
        </w:tc>
        <w:tc>
          <w:tcPr>
            <w:tcW w:w="3180" w:type="dxa"/>
            <w:vMerge/>
            <w:tcBorders>
              <w:top w:val="nil"/>
              <w:left w:val="single" w:sz="4" w:space="0" w:color="000000"/>
              <w:bottom w:val="single" w:sz="4" w:space="0" w:color="000000"/>
              <w:right w:val="single" w:sz="4" w:space="0" w:color="000000"/>
            </w:tcBorders>
            <w:vAlign w:val="center"/>
            <w:hideMark/>
          </w:tcPr>
          <w:p w14:paraId="408305F2"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4E253D09"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62DC53EA" w14:textId="49F2E549" w:rsidR="00D60FDF" w:rsidRPr="00B42029" w:rsidRDefault="00B42029"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Earnings</w:t>
            </w:r>
            <w:r w:rsidR="00D60FDF" w:rsidRPr="00B42029">
              <w:rPr>
                <w:rFonts w:eastAsia="Times New Roman"/>
                <w:color w:val="000000"/>
                <w:sz w:val="24"/>
                <w:szCs w:val="24"/>
                <w:lang w:val="en-IN"/>
              </w:rPr>
              <w:t xml:space="preserve"> Per Share (EPS)</w:t>
            </w:r>
          </w:p>
        </w:tc>
        <w:tc>
          <w:tcPr>
            <w:tcW w:w="3180" w:type="dxa"/>
            <w:vMerge/>
            <w:tcBorders>
              <w:top w:val="nil"/>
              <w:left w:val="single" w:sz="4" w:space="0" w:color="000000"/>
              <w:bottom w:val="single" w:sz="4" w:space="0" w:color="000000"/>
              <w:right w:val="single" w:sz="4" w:space="0" w:color="000000"/>
            </w:tcBorders>
            <w:vAlign w:val="center"/>
            <w:hideMark/>
          </w:tcPr>
          <w:p w14:paraId="398C1598"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6A9DC6F9" w14:textId="77777777" w:rsidTr="00D60FDF">
        <w:trPr>
          <w:trHeight w:val="264"/>
          <w:jc w:val="center"/>
        </w:trPr>
        <w:tc>
          <w:tcPr>
            <w:tcW w:w="7749"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05A373CA"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54CB9E29" w14:textId="77777777" w:rsidTr="00D60FDF">
        <w:trPr>
          <w:trHeight w:val="360"/>
          <w:jc w:val="center"/>
        </w:trPr>
        <w:tc>
          <w:tcPr>
            <w:tcW w:w="4569" w:type="dxa"/>
            <w:tcBorders>
              <w:top w:val="nil"/>
              <w:left w:val="single" w:sz="4" w:space="0" w:color="000000"/>
              <w:bottom w:val="single" w:sz="4" w:space="0" w:color="000000"/>
              <w:right w:val="single" w:sz="4" w:space="0" w:color="000000"/>
            </w:tcBorders>
            <w:noWrap/>
            <w:vAlign w:val="center"/>
            <w:hideMark/>
          </w:tcPr>
          <w:p w14:paraId="41E7404F" w14:textId="77777777" w:rsidR="00D60FDF" w:rsidRPr="00B42029" w:rsidRDefault="00D60FDF" w:rsidP="00D60FDF">
            <w:pPr>
              <w:spacing w:line="240" w:lineRule="auto"/>
              <w:jc w:val="center"/>
              <w:rPr>
                <w:rFonts w:eastAsia="Times New Roman"/>
                <w:b/>
                <w:bCs/>
                <w:i/>
                <w:iCs/>
                <w:color w:val="000000"/>
                <w:sz w:val="28"/>
                <w:szCs w:val="28"/>
                <w:lang w:val="en-IN"/>
              </w:rPr>
            </w:pPr>
            <w:r w:rsidRPr="00B42029">
              <w:rPr>
                <w:rFonts w:eastAsia="Times New Roman"/>
                <w:b/>
                <w:bCs/>
                <w:i/>
                <w:iCs/>
                <w:color w:val="000000"/>
                <w:sz w:val="28"/>
                <w:szCs w:val="28"/>
                <w:lang w:val="en-IN"/>
              </w:rPr>
              <w:t>Cash Flow</w:t>
            </w:r>
          </w:p>
        </w:tc>
        <w:tc>
          <w:tcPr>
            <w:tcW w:w="3180" w:type="dxa"/>
            <w:tcBorders>
              <w:top w:val="nil"/>
              <w:left w:val="nil"/>
              <w:bottom w:val="single" w:sz="4" w:space="0" w:color="000000"/>
              <w:right w:val="single" w:sz="4" w:space="0" w:color="000000"/>
            </w:tcBorders>
            <w:noWrap/>
            <w:vAlign w:val="center"/>
            <w:hideMark/>
          </w:tcPr>
          <w:p w14:paraId="5F9AE838"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6B1CD367"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227F615D"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Operating cash Flow Ratio</w:t>
            </w:r>
          </w:p>
        </w:tc>
        <w:tc>
          <w:tcPr>
            <w:tcW w:w="3180" w:type="dxa"/>
            <w:vMerge w:val="restart"/>
            <w:tcBorders>
              <w:top w:val="nil"/>
              <w:left w:val="single" w:sz="4" w:space="0" w:color="000000"/>
              <w:bottom w:val="single" w:sz="4" w:space="0" w:color="000000"/>
              <w:right w:val="single" w:sz="4" w:space="0" w:color="000000"/>
            </w:tcBorders>
            <w:vAlign w:val="center"/>
            <w:hideMark/>
          </w:tcPr>
          <w:p w14:paraId="0BC6F7CB"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Cash Flow from Operating Activities / Current Liabilities</w:t>
            </w:r>
          </w:p>
        </w:tc>
      </w:tr>
      <w:tr w:rsidR="00D60FDF" w:rsidRPr="00B42029" w14:paraId="55176422"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4BE6FA26"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Cash Flow from Operating Activities</w:t>
            </w:r>
          </w:p>
        </w:tc>
        <w:tc>
          <w:tcPr>
            <w:tcW w:w="3180" w:type="dxa"/>
            <w:vMerge/>
            <w:tcBorders>
              <w:top w:val="nil"/>
              <w:left w:val="single" w:sz="4" w:space="0" w:color="000000"/>
              <w:bottom w:val="single" w:sz="4" w:space="0" w:color="000000"/>
              <w:right w:val="single" w:sz="4" w:space="0" w:color="000000"/>
            </w:tcBorders>
            <w:vAlign w:val="center"/>
            <w:hideMark/>
          </w:tcPr>
          <w:p w14:paraId="771754A6"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015D0510"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7D6941B1"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Current Liabilities</w:t>
            </w:r>
          </w:p>
        </w:tc>
        <w:tc>
          <w:tcPr>
            <w:tcW w:w="3180" w:type="dxa"/>
            <w:vMerge/>
            <w:tcBorders>
              <w:top w:val="nil"/>
              <w:left w:val="single" w:sz="4" w:space="0" w:color="000000"/>
              <w:bottom w:val="single" w:sz="4" w:space="0" w:color="000000"/>
              <w:right w:val="single" w:sz="4" w:space="0" w:color="000000"/>
            </w:tcBorders>
            <w:vAlign w:val="center"/>
            <w:hideMark/>
          </w:tcPr>
          <w:p w14:paraId="4A0A1F3B"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7C4CE9D9" w14:textId="77777777" w:rsidTr="00D60FDF">
        <w:trPr>
          <w:trHeight w:val="264"/>
          <w:jc w:val="center"/>
        </w:trPr>
        <w:tc>
          <w:tcPr>
            <w:tcW w:w="4569" w:type="dxa"/>
            <w:tcBorders>
              <w:top w:val="nil"/>
              <w:left w:val="single" w:sz="4" w:space="0" w:color="000000"/>
              <w:bottom w:val="single" w:sz="4" w:space="0" w:color="000000"/>
              <w:right w:val="single" w:sz="4" w:space="0" w:color="000000"/>
            </w:tcBorders>
            <w:noWrap/>
            <w:vAlign w:val="center"/>
            <w:hideMark/>
          </w:tcPr>
          <w:p w14:paraId="6897D621"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c>
          <w:tcPr>
            <w:tcW w:w="3180" w:type="dxa"/>
            <w:tcBorders>
              <w:top w:val="nil"/>
              <w:left w:val="nil"/>
              <w:bottom w:val="single" w:sz="4" w:space="0" w:color="000000"/>
              <w:right w:val="single" w:sz="4" w:space="0" w:color="000000"/>
            </w:tcBorders>
            <w:noWrap/>
            <w:vAlign w:val="center"/>
            <w:hideMark/>
          </w:tcPr>
          <w:p w14:paraId="23FEAD59" w14:textId="77777777" w:rsidR="00D60FDF" w:rsidRPr="00B42029" w:rsidRDefault="00D60FDF" w:rsidP="00D60FDF">
            <w:pPr>
              <w:spacing w:line="240" w:lineRule="auto"/>
              <w:jc w:val="center"/>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2F81D4B4"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2DB424B7"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lastRenderedPageBreak/>
              <w:t>Free Cash Flow Ratio</w:t>
            </w:r>
          </w:p>
        </w:tc>
        <w:tc>
          <w:tcPr>
            <w:tcW w:w="3180" w:type="dxa"/>
            <w:vMerge w:val="restart"/>
            <w:tcBorders>
              <w:top w:val="nil"/>
              <w:left w:val="single" w:sz="4" w:space="0" w:color="000000"/>
              <w:bottom w:val="single" w:sz="4" w:space="0" w:color="000000"/>
              <w:right w:val="single" w:sz="4" w:space="0" w:color="000000"/>
            </w:tcBorders>
            <w:vAlign w:val="center"/>
            <w:hideMark/>
          </w:tcPr>
          <w:p w14:paraId="72F1561F" w14:textId="77777777" w:rsidR="00D60FDF" w:rsidRPr="00B42029" w:rsidRDefault="00D60FDF" w:rsidP="00D60FDF">
            <w:pPr>
              <w:spacing w:line="240" w:lineRule="auto"/>
              <w:jc w:val="center"/>
              <w:rPr>
                <w:rFonts w:eastAsia="Times New Roman"/>
                <w:i/>
                <w:iCs/>
                <w:color w:val="000000"/>
                <w:sz w:val="24"/>
                <w:szCs w:val="24"/>
                <w:lang w:val="en-IN"/>
              </w:rPr>
            </w:pPr>
            <w:r w:rsidRPr="00B42029">
              <w:rPr>
                <w:rFonts w:eastAsia="Times New Roman"/>
                <w:i/>
                <w:iCs/>
                <w:color w:val="000000"/>
                <w:sz w:val="24"/>
                <w:szCs w:val="24"/>
                <w:lang w:val="en-IN"/>
              </w:rPr>
              <w:t>Free Cash Flow (Operating Cash Flow - capital Expenditure) / Total Revenue</w:t>
            </w:r>
          </w:p>
        </w:tc>
      </w:tr>
      <w:tr w:rsidR="00D60FDF" w:rsidRPr="00B42029" w14:paraId="1F53C0C3"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22C9D788"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Free Cash Flow   </w:t>
            </w:r>
          </w:p>
        </w:tc>
        <w:tc>
          <w:tcPr>
            <w:tcW w:w="3180" w:type="dxa"/>
            <w:vMerge/>
            <w:tcBorders>
              <w:top w:val="nil"/>
              <w:left w:val="single" w:sz="4" w:space="0" w:color="000000"/>
              <w:bottom w:val="single" w:sz="4" w:space="0" w:color="000000"/>
              <w:right w:val="single" w:sz="4" w:space="0" w:color="000000"/>
            </w:tcBorders>
            <w:vAlign w:val="center"/>
            <w:hideMark/>
          </w:tcPr>
          <w:p w14:paraId="345E4397" w14:textId="77777777" w:rsidR="00D60FDF" w:rsidRPr="00B42029" w:rsidRDefault="00D60FDF" w:rsidP="00D60FDF">
            <w:pPr>
              <w:spacing w:line="240" w:lineRule="auto"/>
              <w:rPr>
                <w:rFonts w:eastAsia="Times New Roman"/>
                <w:i/>
                <w:iCs/>
                <w:color w:val="000000"/>
                <w:sz w:val="24"/>
                <w:szCs w:val="24"/>
                <w:lang w:val="en-IN"/>
              </w:rPr>
            </w:pPr>
          </w:p>
        </w:tc>
      </w:tr>
      <w:tr w:rsidR="00D60FDF" w:rsidRPr="00B42029" w14:paraId="32FA9654" w14:textId="77777777" w:rsidTr="00D60FDF">
        <w:trPr>
          <w:trHeight w:val="312"/>
          <w:jc w:val="center"/>
        </w:trPr>
        <w:tc>
          <w:tcPr>
            <w:tcW w:w="4569" w:type="dxa"/>
            <w:tcBorders>
              <w:top w:val="nil"/>
              <w:left w:val="single" w:sz="4" w:space="0" w:color="000000"/>
              <w:bottom w:val="single" w:sz="4" w:space="0" w:color="000000"/>
              <w:right w:val="single" w:sz="4" w:space="0" w:color="000000"/>
            </w:tcBorders>
            <w:noWrap/>
            <w:vAlign w:val="center"/>
            <w:hideMark/>
          </w:tcPr>
          <w:p w14:paraId="6B16C890"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Total Revenue</w:t>
            </w:r>
          </w:p>
        </w:tc>
        <w:tc>
          <w:tcPr>
            <w:tcW w:w="3180" w:type="dxa"/>
            <w:vMerge/>
            <w:tcBorders>
              <w:top w:val="nil"/>
              <w:left w:val="single" w:sz="4" w:space="0" w:color="000000"/>
              <w:bottom w:val="single" w:sz="4" w:space="0" w:color="000000"/>
              <w:right w:val="single" w:sz="4" w:space="0" w:color="000000"/>
            </w:tcBorders>
            <w:vAlign w:val="center"/>
            <w:hideMark/>
          </w:tcPr>
          <w:p w14:paraId="64192057" w14:textId="77777777" w:rsidR="00D60FDF" w:rsidRPr="00B42029" w:rsidRDefault="00D60FDF" w:rsidP="00D60FDF">
            <w:pPr>
              <w:spacing w:line="240" w:lineRule="auto"/>
              <w:rPr>
                <w:rFonts w:eastAsia="Times New Roman"/>
                <w:i/>
                <w:iCs/>
                <w:color w:val="000000"/>
                <w:sz w:val="24"/>
                <w:szCs w:val="24"/>
                <w:lang w:val="en-IN"/>
              </w:rPr>
            </w:pPr>
          </w:p>
        </w:tc>
      </w:tr>
    </w:tbl>
    <w:p w14:paraId="31A8E990" w14:textId="77777777" w:rsidR="00B8765D" w:rsidRPr="00B42029" w:rsidRDefault="00B8765D" w:rsidP="00B8765D">
      <w:pPr>
        <w:spacing w:before="240" w:after="240" w:line="360" w:lineRule="auto"/>
        <w:jc w:val="both"/>
        <w:rPr>
          <w:sz w:val="24"/>
          <w:szCs w:val="24"/>
          <w:lang w:val="en-IN"/>
        </w:rPr>
      </w:pPr>
    </w:p>
    <w:p w14:paraId="3194615F" w14:textId="77777777" w:rsidR="00D60FDF" w:rsidRPr="00B42029" w:rsidRDefault="00D60FDF">
      <w:pPr>
        <w:rPr>
          <w:b/>
          <w:bCs/>
          <w:sz w:val="24"/>
          <w:szCs w:val="24"/>
          <w:lang w:val="en-IN"/>
        </w:rPr>
      </w:pPr>
      <w:r w:rsidRPr="00B42029">
        <w:rPr>
          <w:b/>
          <w:bCs/>
          <w:sz w:val="24"/>
          <w:szCs w:val="24"/>
          <w:lang w:val="en-IN"/>
        </w:rPr>
        <w:br w:type="page"/>
      </w:r>
    </w:p>
    <w:p w14:paraId="40A47237" w14:textId="17369D94" w:rsidR="00B8765D" w:rsidRPr="00B42029" w:rsidRDefault="00B8765D" w:rsidP="00D60FDF">
      <w:pPr>
        <w:pStyle w:val="Heading2"/>
        <w:rPr>
          <w:lang w:val="en-IN"/>
        </w:rPr>
      </w:pPr>
      <w:bookmarkStart w:id="51" w:name="_Toc237451754"/>
      <w:r w:rsidRPr="00B42029">
        <w:rPr>
          <w:lang w:val="en-IN"/>
        </w:rPr>
        <w:lastRenderedPageBreak/>
        <w:t xml:space="preserve">Appendix </w:t>
      </w:r>
      <w:r w:rsidR="00D60FDF" w:rsidRPr="00B42029">
        <w:rPr>
          <w:lang w:val="en-IN"/>
        </w:rPr>
        <w:t xml:space="preserve">B: </w:t>
      </w:r>
      <w:r w:rsidRPr="00B42029">
        <w:rPr>
          <w:lang w:val="en-IN"/>
        </w:rPr>
        <w:t>PBP calculations</w:t>
      </w:r>
      <w:bookmarkEnd w:id="51"/>
    </w:p>
    <w:tbl>
      <w:tblPr>
        <w:tblW w:w="8926" w:type="dxa"/>
        <w:tblLook w:val="04A0" w:firstRow="1" w:lastRow="0" w:firstColumn="1" w:lastColumn="0" w:noHBand="0" w:noVBand="1"/>
      </w:tblPr>
      <w:tblGrid>
        <w:gridCol w:w="2529"/>
        <w:gridCol w:w="1036"/>
        <w:gridCol w:w="1036"/>
        <w:gridCol w:w="1036"/>
        <w:gridCol w:w="1036"/>
        <w:gridCol w:w="1119"/>
        <w:gridCol w:w="1134"/>
      </w:tblGrid>
      <w:tr w:rsidR="00D60FDF" w:rsidRPr="00B42029" w14:paraId="7701E115" w14:textId="77777777" w:rsidTr="00D60FDF">
        <w:trPr>
          <w:trHeight w:val="315"/>
        </w:trPr>
        <w:tc>
          <w:tcPr>
            <w:tcW w:w="8926" w:type="dxa"/>
            <w:gridSpan w:val="7"/>
            <w:tcBorders>
              <w:top w:val="single" w:sz="4" w:space="0" w:color="000000"/>
              <w:left w:val="single" w:sz="4" w:space="0" w:color="000000"/>
              <w:bottom w:val="single" w:sz="4" w:space="0" w:color="000000"/>
              <w:right w:val="single" w:sz="4" w:space="0" w:color="000000"/>
            </w:tcBorders>
            <w:noWrap/>
            <w:vAlign w:val="center"/>
            <w:hideMark/>
          </w:tcPr>
          <w:p w14:paraId="273352F2"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Payback Period (Project A)</w:t>
            </w:r>
          </w:p>
        </w:tc>
      </w:tr>
      <w:tr w:rsidR="00D60FDF" w:rsidRPr="00B42029" w14:paraId="55AA38F3" w14:textId="77777777" w:rsidTr="00D60FDF">
        <w:trPr>
          <w:trHeight w:val="315"/>
        </w:trPr>
        <w:tc>
          <w:tcPr>
            <w:tcW w:w="2529" w:type="dxa"/>
            <w:tcBorders>
              <w:top w:val="nil"/>
              <w:left w:val="single" w:sz="4" w:space="0" w:color="000000"/>
              <w:bottom w:val="single" w:sz="4" w:space="0" w:color="000000"/>
              <w:right w:val="single" w:sz="4" w:space="0" w:color="000000"/>
            </w:tcBorders>
            <w:noWrap/>
            <w:vAlign w:val="center"/>
            <w:hideMark/>
          </w:tcPr>
          <w:p w14:paraId="1E24D44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1036" w:type="dxa"/>
            <w:tcBorders>
              <w:top w:val="nil"/>
              <w:left w:val="nil"/>
              <w:bottom w:val="single" w:sz="4" w:space="0" w:color="000000"/>
              <w:right w:val="single" w:sz="4" w:space="0" w:color="000000"/>
            </w:tcBorders>
            <w:noWrap/>
            <w:vAlign w:val="center"/>
            <w:hideMark/>
          </w:tcPr>
          <w:p w14:paraId="05F13038"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0</w:t>
            </w:r>
          </w:p>
        </w:tc>
        <w:tc>
          <w:tcPr>
            <w:tcW w:w="1036" w:type="dxa"/>
            <w:tcBorders>
              <w:top w:val="nil"/>
              <w:left w:val="nil"/>
              <w:bottom w:val="single" w:sz="4" w:space="0" w:color="000000"/>
              <w:right w:val="single" w:sz="4" w:space="0" w:color="000000"/>
            </w:tcBorders>
            <w:noWrap/>
            <w:vAlign w:val="center"/>
            <w:hideMark/>
          </w:tcPr>
          <w:p w14:paraId="10D38833"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1</w:t>
            </w:r>
          </w:p>
        </w:tc>
        <w:tc>
          <w:tcPr>
            <w:tcW w:w="1036" w:type="dxa"/>
            <w:tcBorders>
              <w:top w:val="nil"/>
              <w:left w:val="nil"/>
              <w:bottom w:val="single" w:sz="4" w:space="0" w:color="000000"/>
              <w:right w:val="single" w:sz="4" w:space="0" w:color="000000"/>
            </w:tcBorders>
            <w:noWrap/>
            <w:vAlign w:val="center"/>
            <w:hideMark/>
          </w:tcPr>
          <w:p w14:paraId="1E1CB451"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2</w:t>
            </w:r>
          </w:p>
        </w:tc>
        <w:tc>
          <w:tcPr>
            <w:tcW w:w="1036" w:type="dxa"/>
            <w:tcBorders>
              <w:top w:val="nil"/>
              <w:left w:val="nil"/>
              <w:bottom w:val="single" w:sz="4" w:space="0" w:color="000000"/>
              <w:right w:val="single" w:sz="4" w:space="0" w:color="000000"/>
            </w:tcBorders>
            <w:noWrap/>
            <w:vAlign w:val="center"/>
            <w:hideMark/>
          </w:tcPr>
          <w:p w14:paraId="4E3E4C3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3</w:t>
            </w:r>
          </w:p>
        </w:tc>
        <w:tc>
          <w:tcPr>
            <w:tcW w:w="1119" w:type="dxa"/>
            <w:tcBorders>
              <w:top w:val="nil"/>
              <w:left w:val="nil"/>
              <w:bottom w:val="single" w:sz="4" w:space="0" w:color="000000"/>
              <w:right w:val="single" w:sz="4" w:space="0" w:color="000000"/>
            </w:tcBorders>
            <w:noWrap/>
            <w:vAlign w:val="center"/>
            <w:hideMark/>
          </w:tcPr>
          <w:p w14:paraId="46FE83B7"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4</w:t>
            </w:r>
          </w:p>
        </w:tc>
        <w:tc>
          <w:tcPr>
            <w:tcW w:w="1134" w:type="dxa"/>
            <w:tcBorders>
              <w:top w:val="nil"/>
              <w:left w:val="nil"/>
              <w:bottom w:val="single" w:sz="4" w:space="0" w:color="000000"/>
              <w:right w:val="single" w:sz="4" w:space="0" w:color="000000"/>
            </w:tcBorders>
            <w:noWrap/>
            <w:vAlign w:val="center"/>
            <w:hideMark/>
          </w:tcPr>
          <w:p w14:paraId="2D0FE3FD"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5</w:t>
            </w:r>
          </w:p>
        </w:tc>
      </w:tr>
      <w:tr w:rsidR="00D60FDF" w:rsidRPr="00B42029" w14:paraId="1C1C85F0" w14:textId="77777777" w:rsidTr="00D60FDF">
        <w:trPr>
          <w:trHeight w:val="315"/>
        </w:trPr>
        <w:tc>
          <w:tcPr>
            <w:tcW w:w="2529" w:type="dxa"/>
            <w:tcBorders>
              <w:top w:val="nil"/>
              <w:left w:val="single" w:sz="4" w:space="0" w:color="000000"/>
              <w:bottom w:val="single" w:sz="4" w:space="0" w:color="000000"/>
              <w:right w:val="single" w:sz="4" w:space="0" w:color="000000"/>
            </w:tcBorders>
            <w:noWrap/>
            <w:vAlign w:val="center"/>
            <w:hideMark/>
          </w:tcPr>
          <w:p w14:paraId="7E57AC86"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Initial Investment</w:t>
            </w:r>
          </w:p>
        </w:tc>
        <w:tc>
          <w:tcPr>
            <w:tcW w:w="1036" w:type="dxa"/>
            <w:tcBorders>
              <w:top w:val="nil"/>
              <w:left w:val="nil"/>
              <w:bottom w:val="single" w:sz="4" w:space="0" w:color="000000"/>
              <w:right w:val="single" w:sz="4" w:space="0" w:color="000000"/>
            </w:tcBorders>
            <w:noWrap/>
            <w:vAlign w:val="center"/>
            <w:hideMark/>
          </w:tcPr>
          <w:p w14:paraId="04828040" w14:textId="21335FBD"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1036" w:type="dxa"/>
            <w:tcBorders>
              <w:top w:val="nil"/>
              <w:left w:val="nil"/>
              <w:bottom w:val="single" w:sz="4" w:space="0" w:color="000000"/>
              <w:right w:val="single" w:sz="4" w:space="0" w:color="000000"/>
            </w:tcBorders>
            <w:noWrap/>
            <w:vAlign w:val="center"/>
            <w:hideMark/>
          </w:tcPr>
          <w:p w14:paraId="1D7EDC90"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036" w:type="dxa"/>
            <w:tcBorders>
              <w:top w:val="nil"/>
              <w:left w:val="nil"/>
              <w:bottom w:val="single" w:sz="4" w:space="0" w:color="000000"/>
              <w:right w:val="single" w:sz="4" w:space="0" w:color="000000"/>
            </w:tcBorders>
            <w:noWrap/>
            <w:vAlign w:val="center"/>
            <w:hideMark/>
          </w:tcPr>
          <w:p w14:paraId="26E03477"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036" w:type="dxa"/>
            <w:tcBorders>
              <w:top w:val="nil"/>
              <w:left w:val="nil"/>
              <w:bottom w:val="single" w:sz="4" w:space="0" w:color="000000"/>
              <w:right w:val="single" w:sz="4" w:space="0" w:color="000000"/>
            </w:tcBorders>
            <w:noWrap/>
            <w:vAlign w:val="center"/>
            <w:hideMark/>
          </w:tcPr>
          <w:p w14:paraId="02497CE5"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119" w:type="dxa"/>
            <w:tcBorders>
              <w:top w:val="nil"/>
              <w:left w:val="nil"/>
              <w:bottom w:val="single" w:sz="4" w:space="0" w:color="000000"/>
              <w:right w:val="single" w:sz="4" w:space="0" w:color="000000"/>
            </w:tcBorders>
            <w:noWrap/>
            <w:vAlign w:val="center"/>
            <w:hideMark/>
          </w:tcPr>
          <w:p w14:paraId="5849117D"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134" w:type="dxa"/>
            <w:tcBorders>
              <w:top w:val="nil"/>
              <w:left w:val="nil"/>
              <w:bottom w:val="single" w:sz="4" w:space="0" w:color="000000"/>
              <w:right w:val="single" w:sz="4" w:space="0" w:color="000000"/>
            </w:tcBorders>
            <w:noWrap/>
            <w:vAlign w:val="center"/>
            <w:hideMark/>
          </w:tcPr>
          <w:p w14:paraId="0630E060"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7691D8F9" w14:textId="77777777" w:rsidTr="00D60FDF">
        <w:trPr>
          <w:trHeight w:val="315"/>
        </w:trPr>
        <w:tc>
          <w:tcPr>
            <w:tcW w:w="2529" w:type="dxa"/>
            <w:tcBorders>
              <w:top w:val="nil"/>
              <w:left w:val="single" w:sz="4" w:space="0" w:color="000000"/>
              <w:bottom w:val="single" w:sz="4" w:space="0" w:color="000000"/>
              <w:right w:val="single" w:sz="4" w:space="0" w:color="000000"/>
            </w:tcBorders>
            <w:noWrap/>
            <w:vAlign w:val="center"/>
            <w:hideMark/>
          </w:tcPr>
          <w:p w14:paraId="0D4B1179"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Cash Flows</w:t>
            </w:r>
          </w:p>
        </w:tc>
        <w:tc>
          <w:tcPr>
            <w:tcW w:w="1036" w:type="dxa"/>
            <w:tcBorders>
              <w:top w:val="nil"/>
              <w:left w:val="nil"/>
              <w:bottom w:val="single" w:sz="4" w:space="0" w:color="000000"/>
              <w:right w:val="single" w:sz="4" w:space="0" w:color="000000"/>
            </w:tcBorders>
            <w:noWrap/>
            <w:vAlign w:val="center"/>
            <w:hideMark/>
          </w:tcPr>
          <w:p w14:paraId="13E9F4CD"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036" w:type="dxa"/>
            <w:tcBorders>
              <w:top w:val="nil"/>
              <w:left w:val="nil"/>
              <w:bottom w:val="single" w:sz="4" w:space="0" w:color="000000"/>
              <w:right w:val="single" w:sz="4" w:space="0" w:color="000000"/>
            </w:tcBorders>
            <w:noWrap/>
            <w:vAlign w:val="center"/>
            <w:hideMark/>
          </w:tcPr>
          <w:p w14:paraId="11610589" w14:textId="6FD72F90"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£ 10.00</w:t>
            </w:r>
            <w:r w:rsidRPr="00B42029">
              <w:rPr>
                <w:rFonts w:eastAsia="Times New Roman"/>
                <w:color w:val="000000"/>
                <w:sz w:val="24"/>
                <w:szCs w:val="24"/>
                <w:lang w:val="en-IN"/>
              </w:rPr>
              <w:t xml:space="preserve"> </w:t>
            </w:r>
          </w:p>
        </w:tc>
        <w:tc>
          <w:tcPr>
            <w:tcW w:w="1036" w:type="dxa"/>
            <w:tcBorders>
              <w:top w:val="nil"/>
              <w:left w:val="nil"/>
              <w:bottom w:val="single" w:sz="4" w:space="0" w:color="000000"/>
              <w:right w:val="single" w:sz="4" w:space="0" w:color="000000"/>
            </w:tcBorders>
            <w:noWrap/>
            <w:vAlign w:val="center"/>
            <w:hideMark/>
          </w:tcPr>
          <w:p w14:paraId="521E20ED" w14:textId="58325A8F"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£ 12.00</w:t>
            </w:r>
            <w:r w:rsidRPr="00B42029">
              <w:rPr>
                <w:rFonts w:eastAsia="Times New Roman"/>
                <w:color w:val="000000"/>
                <w:sz w:val="24"/>
                <w:szCs w:val="24"/>
                <w:lang w:val="en-IN"/>
              </w:rPr>
              <w:t xml:space="preserve"> </w:t>
            </w:r>
          </w:p>
        </w:tc>
        <w:tc>
          <w:tcPr>
            <w:tcW w:w="1036" w:type="dxa"/>
            <w:tcBorders>
              <w:top w:val="nil"/>
              <w:left w:val="nil"/>
              <w:bottom w:val="single" w:sz="4" w:space="0" w:color="000000"/>
              <w:right w:val="single" w:sz="4" w:space="0" w:color="000000"/>
            </w:tcBorders>
            <w:noWrap/>
            <w:vAlign w:val="center"/>
            <w:hideMark/>
          </w:tcPr>
          <w:p w14:paraId="68E1FADD" w14:textId="1E5D34FB"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£ 14.00</w:t>
            </w:r>
            <w:r w:rsidRPr="00B42029">
              <w:rPr>
                <w:rFonts w:eastAsia="Times New Roman"/>
                <w:color w:val="000000"/>
                <w:sz w:val="24"/>
                <w:szCs w:val="24"/>
                <w:lang w:val="en-IN"/>
              </w:rPr>
              <w:t xml:space="preserve"> </w:t>
            </w:r>
          </w:p>
        </w:tc>
        <w:tc>
          <w:tcPr>
            <w:tcW w:w="1119" w:type="dxa"/>
            <w:tcBorders>
              <w:top w:val="nil"/>
              <w:left w:val="nil"/>
              <w:bottom w:val="single" w:sz="4" w:space="0" w:color="000000"/>
              <w:right w:val="single" w:sz="4" w:space="0" w:color="000000"/>
            </w:tcBorders>
            <w:noWrap/>
            <w:vAlign w:val="center"/>
            <w:hideMark/>
          </w:tcPr>
          <w:p w14:paraId="4061D729"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134" w:type="dxa"/>
            <w:tcBorders>
              <w:top w:val="nil"/>
              <w:left w:val="nil"/>
              <w:bottom w:val="single" w:sz="4" w:space="0" w:color="000000"/>
              <w:right w:val="single" w:sz="4" w:space="0" w:color="000000"/>
            </w:tcBorders>
            <w:noWrap/>
            <w:vAlign w:val="center"/>
            <w:hideMark/>
          </w:tcPr>
          <w:p w14:paraId="048828CC"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£ 8.00 </w:t>
            </w:r>
          </w:p>
        </w:tc>
      </w:tr>
      <w:tr w:rsidR="00D60FDF" w:rsidRPr="00B42029" w14:paraId="073E4B70" w14:textId="77777777" w:rsidTr="00D60FDF">
        <w:trPr>
          <w:trHeight w:val="315"/>
        </w:trPr>
        <w:tc>
          <w:tcPr>
            <w:tcW w:w="2529" w:type="dxa"/>
            <w:tcBorders>
              <w:top w:val="nil"/>
              <w:left w:val="single" w:sz="4" w:space="0" w:color="000000"/>
              <w:bottom w:val="single" w:sz="4" w:space="0" w:color="000000"/>
              <w:right w:val="single" w:sz="4" w:space="0" w:color="000000"/>
            </w:tcBorders>
            <w:noWrap/>
            <w:vAlign w:val="center"/>
            <w:hideMark/>
          </w:tcPr>
          <w:p w14:paraId="543DB181"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Scrap Value</w:t>
            </w:r>
          </w:p>
        </w:tc>
        <w:tc>
          <w:tcPr>
            <w:tcW w:w="1036" w:type="dxa"/>
            <w:tcBorders>
              <w:top w:val="nil"/>
              <w:left w:val="nil"/>
              <w:bottom w:val="single" w:sz="4" w:space="0" w:color="000000"/>
              <w:right w:val="single" w:sz="4" w:space="0" w:color="000000"/>
            </w:tcBorders>
            <w:noWrap/>
            <w:vAlign w:val="center"/>
            <w:hideMark/>
          </w:tcPr>
          <w:p w14:paraId="5DCF952D"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036" w:type="dxa"/>
            <w:tcBorders>
              <w:top w:val="nil"/>
              <w:left w:val="nil"/>
              <w:bottom w:val="single" w:sz="4" w:space="0" w:color="000000"/>
              <w:right w:val="single" w:sz="4" w:space="0" w:color="000000"/>
            </w:tcBorders>
            <w:noWrap/>
            <w:vAlign w:val="center"/>
            <w:hideMark/>
          </w:tcPr>
          <w:p w14:paraId="7F9ACE17"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036" w:type="dxa"/>
            <w:tcBorders>
              <w:top w:val="nil"/>
              <w:left w:val="nil"/>
              <w:bottom w:val="single" w:sz="4" w:space="0" w:color="000000"/>
              <w:right w:val="single" w:sz="4" w:space="0" w:color="000000"/>
            </w:tcBorders>
            <w:noWrap/>
            <w:vAlign w:val="center"/>
            <w:hideMark/>
          </w:tcPr>
          <w:p w14:paraId="70E13406"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036" w:type="dxa"/>
            <w:tcBorders>
              <w:top w:val="nil"/>
              <w:left w:val="nil"/>
              <w:bottom w:val="single" w:sz="4" w:space="0" w:color="000000"/>
              <w:right w:val="single" w:sz="4" w:space="0" w:color="000000"/>
            </w:tcBorders>
            <w:noWrap/>
            <w:vAlign w:val="center"/>
            <w:hideMark/>
          </w:tcPr>
          <w:p w14:paraId="0A95CB23"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119" w:type="dxa"/>
            <w:tcBorders>
              <w:top w:val="nil"/>
              <w:left w:val="nil"/>
              <w:bottom w:val="single" w:sz="4" w:space="0" w:color="000000"/>
              <w:right w:val="single" w:sz="4" w:space="0" w:color="000000"/>
            </w:tcBorders>
            <w:noWrap/>
            <w:vAlign w:val="center"/>
            <w:hideMark/>
          </w:tcPr>
          <w:p w14:paraId="2F9EA20E"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134" w:type="dxa"/>
            <w:tcBorders>
              <w:top w:val="nil"/>
              <w:left w:val="nil"/>
              <w:bottom w:val="single" w:sz="4" w:space="0" w:color="000000"/>
              <w:right w:val="single" w:sz="4" w:space="0" w:color="000000"/>
            </w:tcBorders>
            <w:noWrap/>
            <w:vAlign w:val="center"/>
            <w:hideMark/>
          </w:tcPr>
          <w:p w14:paraId="73BBD098"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   </w:t>
            </w:r>
          </w:p>
        </w:tc>
      </w:tr>
      <w:tr w:rsidR="00D60FDF" w:rsidRPr="00B42029" w14:paraId="36FC49CD" w14:textId="77777777" w:rsidTr="00D60FDF">
        <w:trPr>
          <w:trHeight w:val="315"/>
        </w:trPr>
        <w:tc>
          <w:tcPr>
            <w:tcW w:w="2529" w:type="dxa"/>
            <w:tcBorders>
              <w:top w:val="nil"/>
              <w:left w:val="single" w:sz="4" w:space="0" w:color="000000"/>
              <w:bottom w:val="single" w:sz="4" w:space="0" w:color="000000"/>
              <w:right w:val="single" w:sz="4" w:space="0" w:color="000000"/>
            </w:tcBorders>
            <w:noWrap/>
            <w:vAlign w:val="center"/>
            <w:hideMark/>
          </w:tcPr>
          <w:p w14:paraId="7BE0B0AC"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Cumulative Cash Flows</w:t>
            </w:r>
          </w:p>
        </w:tc>
        <w:tc>
          <w:tcPr>
            <w:tcW w:w="1036" w:type="dxa"/>
            <w:tcBorders>
              <w:top w:val="nil"/>
              <w:left w:val="nil"/>
              <w:bottom w:val="single" w:sz="4" w:space="0" w:color="000000"/>
              <w:right w:val="single" w:sz="4" w:space="0" w:color="000000"/>
            </w:tcBorders>
            <w:noWrap/>
            <w:vAlign w:val="center"/>
            <w:hideMark/>
          </w:tcPr>
          <w:p w14:paraId="75E69E08" w14:textId="63CE7639"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1036" w:type="dxa"/>
            <w:tcBorders>
              <w:top w:val="nil"/>
              <w:left w:val="nil"/>
              <w:bottom w:val="single" w:sz="4" w:space="0" w:color="000000"/>
              <w:right w:val="single" w:sz="4" w:space="0" w:color="000000"/>
            </w:tcBorders>
            <w:noWrap/>
            <w:vAlign w:val="center"/>
            <w:hideMark/>
          </w:tcPr>
          <w:p w14:paraId="2B499A4F" w14:textId="78082C34"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£ 10.00</w:t>
            </w:r>
            <w:r w:rsidRPr="00B42029">
              <w:rPr>
                <w:rFonts w:eastAsia="Times New Roman"/>
                <w:color w:val="000000"/>
                <w:sz w:val="24"/>
                <w:szCs w:val="24"/>
                <w:lang w:val="en-IN"/>
              </w:rPr>
              <w:t xml:space="preserve"> </w:t>
            </w:r>
          </w:p>
        </w:tc>
        <w:tc>
          <w:tcPr>
            <w:tcW w:w="1036" w:type="dxa"/>
            <w:tcBorders>
              <w:top w:val="nil"/>
              <w:left w:val="nil"/>
              <w:bottom w:val="single" w:sz="4" w:space="0" w:color="000000"/>
              <w:right w:val="single" w:sz="4" w:space="0" w:color="000000"/>
            </w:tcBorders>
            <w:noWrap/>
            <w:vAlign w:val="center"/>
            <w:hideMark/>
          </w:tcPr>
          <w:p w14:paraId="41B196DA" w14:textId="20034ADD"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£ 12.00</w:t>
            </w:r>
            <w:r w:rsidRPr="00B42029">
              <w:rPr>
                <w:rFonts w:eastAsia="Times New Roman"/>
                <w:color w:val="000000"/>
                <w:sz w:val="24"/>
                <w:szCs w:val="24"/>
                <w:lang w:val="en-IN"/>
              </w:rPr>
              <w:t xml:space="preserve"> </w:t>
            </w:r>
          </w:p>
        </w:tc>
        <w:tc>
          <w:tcPr>
            <w:tcW w:w="1036" w:type="dxa"/>
            <w:tcBorders>
              <w:top w:val="nil"/>
              <w:left w:val="nil"/>
              <w:bottom w:val="single" w:sz="4" w:space="0" w:color="000000"/>
              <w:right w:val="single" w:sz="4" w:space="0" w:color="000000"/>
            </w:tcBorders>
            <w:noWrap/>
            <w:vAlign w:val="center"/>
            <w:hideMark/>
          </w:tcPr>
          <w:p w14:paraId="54F4EDFB" w14:textId="0F14859E"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£ 14.00</w:t>
            </w:r>
            <w:r w:rsidRPr="00B42029">
              <w:rPr>
                <w:rFonts w:eastAsia="Times New Roman"/>
                <w:color w:val="000000"/>
                <w:sz w:val="24"/>
                <w:szCs w:val="24"/>
                <w:lang w:val="en-IN"/>
              </w:rPr>
              <w:t xml:space="preserve"> </w:t>
            </w:r>
          </w:p>
        </w:tc>
        <w:tc>
          <w:tcPr>
            <w:tcW w:w="1119" w:type="dxa"/>
            <w:tcBorders>
              <w:top w:val="nil"/>
              <w:left w:val="nil"/>
              <w:bottom w:val="single" w:sz="4" w:space="0" w:color="000000"/>
              <w:right w:val="single" w:sz="4" w:space="0" w:color="000000"/>
            </w:tcBorders>
            <w:noWrap/>
            <w:vAlign w:val="center"/>
            <w:hideMark/>
          </w:tcPr>
          <w:p w14:paraId="535A8648"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134" w:type="dxa"/>
            <w:tcBorders>
              <w:top w:val="nil"/>
              <w:left w:val="nil"/>
              <w:bottom w:val="single" w:sz="4" w:space="0" w:color="000000"/>
              <w:right w:val="single" w:sz="4" w:space="0" w:color="000000"/>
            </w:tcBorders>
            <w:noWrap/>
            <w:vAlign w:val="center"/>
            <w:hideMark/>
          </w:tcPr>
          <w:p w14:paraId="52DE58AA"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£ 8.00 </w:t>
            </w:r>
          </w:p>
        </w:tc>
      </w:tr>
      <w:tr w:rsidR="00D60FDF" w:rsidRPr="00B42029" w14:paraId="458A9027" w14:textId="77777777" w:rsidTr="00D60FDF">
        <w:trPr>
          <w:trHeight w:val="315"/>
        </w:trPr>
        <w:tc>
          <w:tcPr>
            <w:tcW w:w="2529" w:type="dxa"/>
            <w:tcBorders>
              <w:top w:val="nil"/>
              <w:left w:val="single" w:sz="4" w:space="0" w:color="000000"/>
              <w:bottom w:val="single" w:sz="4" w:space="0" w:color="000000"/>
              <w:right w:val="single" w:sz="4" w:space="0" w:color="000000"/>
            </w:tcBorders>
            <w:noWrap/>
            <w:vAlign w:val="center"/>
            <w:hideMark/>
          </w:tcPr>
          <w:p w14:paraId="07A8015D"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Finding Payback</w:t>
            </w:r>
          </w:p>
        </w:tc>
        <w:tc>
          <w:tcPr>
            <w:tcW w:w="1036" w:type="dxa"/>
            <w:tcBorders>
              <w:top w:val="nil"/>
              <w:left w:val="nil"/>
              <w:bottom w:val="single" w:sz="4" w:space="0" w:color="000000"/>
              <w:right w:val="single" w:sz="4" w:space="0" w:color="000000"/>
            </w:tcBorders>
            <w:noWrap/>
            <w:vAlign w:val="center"/>
            <w:hideMark/>
          </w:tcPr>
          <w:p w14:paraId="5348EFA0" w14:textId="5D32EBD8"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1036" w:type="dxa"/>
            <w:tcBorders>
              <w:top w:val="nil"/>
              <w:left w:val="nil"/>
              <w:bottom w:val="single" w:sz="4" w:space="0" w:color="000000"/>
              <w:right w:val="single" w:sz="4" w:space="0" w:color="000000"/>
            </w:tcBorders>
            <w:noWrap/>
            <w:vAlign w:val="center"/>
            <w:hideMark/>
          </w:tcPr>
          <w:p w14:paraId="301DB8B9" w14:textId="71113E53"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40.00)</w:t>
            </w:r>
          </w:p>
        </w:tc>
        <w:tc>
          <w:tcPr>
            <w:tcW w:w="1036" w:type="dxa"/>
            <w:tcBorders>
              <w:top w:val="nil"/>
              <w:left w:val="nil"/>
              <w:bottom w:val="single" w:sz="4" w:space="0" w:color="000000"/>
              <w:right w:val="single" w:sz="4" w:space="0" w:color="000000"/>
            </w:tcBorders>
            <w:noWrap/>
            <w:vAlign w:val="center"/>
            <w:hideMark/>
          </w:tcPr>
          <w:p w14:paraId="7F4464C0" w14:textId="2620FB41"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28.00)</w:t>
            </w:r>
          </w:p>
        </w:tc>
        <w:tc>
          <w:tcPr>
            <w:tcW w:w="1036" w:type="dxa"/>
            <w:tcBorders>
              <w:top w:val="nil"/>
              <w:left w:val="nil"/>
              <w:bottom w:val="single" w:sz="4" w:space="0" w:color="000000"/>
              <w:right w:val="single" w:sz="4" w:space="0" w:color="000000"/>
            </w:tcBorders>
            <w:noWrap/>
            <w:vAlign w:val="center"/>
            <w:hideMark/>
          </w:tcPr>
          <w:p w14:paraId="7DDA07E4" w14:textId="3CC27B02"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14.00)</w:t>
            </w:r>
          </w:p>
        </w:tc>
        <w:tc>
          <w:tcPr>
            <w:tcW w:w="1119" w:type="dxa"/>
            <w:tcBorders>
              <w:top w:val="nil"/>
              <w:left w:val="nil"/>
              <w:bottom w:val="single" w:sz="4" w:space="0" w:color="000000"/>
              <w:right w:val="single" w:sz="4" w:space="0" w:color="000000"/>
            </w:tcBorders>
            <w:noWrap/>
            <w:vAlign w:val="center"/>
            <w:hideMark/>
          </w:tcPr>
          <w:p w14:paraId="306DB6A2" w14:textId="77777777" w:rsidR="00D60FDF" w:rsidRPr="00B42029" w:rsidRDefault="00D60FDF" w:rsidP="00D60FDF">
            <w:pPr>
              <w:spacing w:line="240" w:lineRule="auto"/>
              <w:jc w:val="right"/>
              <w:rPr>
                <w:rFonts w:eastAsia="Times New Roman"/>
                <w:b/>
                <w:bCs/>
                <w:color w:val="000000"/>
                <w:sz w:val="24"/>
                <w:szCs w:val="24"/>
                <w:lang w:val="en-IN"/>
              </w:rPr>
            </w:pPr>
            <w:r w:rsidRPr="00B42029">
              <w:rPr>
                <w:rFonts w:eastAsia="Times New Roman"/>
                <w:b/>
                <w:bCs/>
                <w:color w:val="000000"/>
                <w:sz w:val="24"/>
                <w:szCs w:val="24"/>
                <w:lang w:val="en-IN"/>
              </w:rPr>
              <w:t xml:space="preserve"> £ (4.00)</w:t>
            </w:r>
          </w:p>
        </w:tc>
        <w:tc>
          <w:tcPr>
            <w:tcW w:w="1134" w:type="dxa"/>
            <w:tcBorders>
              <w:top w:val="nil"/>
              <w:left w:val="nil"/>
              <w:bottom w:val="single" w:sz="4" w:space="0" w:color="000000"/>
              <w:right w:val="single" w:sz="4" w:space="0" w:color="000000"/>
            </w:tcBorders>
            <w:noWrap/>
            <w:vAlign w:val="center"/>
            <w:hideMark/>
          </w:tcPr>
          <w:p w14:paraId="7C04219D"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£ 4.00 </w:t>
            </w:r>
          </w:p>
        </w:tc>
      </w:tr>
      <w:tr w:rsidR="00D60FDF" w:rsidRPr="00B42029" w14:paraId="0B7BEE21" w14:textId="77777777" w:rsidTr="00D60FDF">
        <w:trPr>
          <w:trHeight w:val="315"/>
        </w:trPr>
        <w:tc>
          <w:tcPr>
            <w:tcW w:w="8926" w:type="dxa"/>
            <w:gridSpan w:val="7"/>
            <w:tcBorders>
              <w:top w:val="single" w:sz="4" w:space="0" w:color="000000"/>
              <w:left w:val="single" w:sz="4" w:space="0" w:color="000000"/>
              <w:bottom w:val="single" w:sz="4" w:space="0" w:color="000000"/>
              <w:right w:val="single" w:sz="4" w:space="0" w:color="000000"/>
            </w:tcBorders>
            <w:vAlign w:val="center"/>
            <w:hideMark/>
          </w:tcPr>
          <w:p w14:paraId="6FC8F56B" w14:textId="720EC1D6" w:rsidR="00D60FDF" w:rsidRPr="00B42029" w:rsidRDefault="00D60FDF" w:rsidP="00D60FDF">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 xml:space="preserve">Payback Period = Years Until Break - Even = Uncovered Cost at the Beginning of the Year / Cash Flows During the Year x 12, Payback Period Calculation </w:t>
            </w:r>
            <w:r w:rsidR="00B42029" w:rsidRPr="00B42029">
              <w:rPr>
                <w:rFonts w:eastAsia="Times New Roman"/>
                <w:b/>
                <w:bCs/>
                <w:i/>
                <w:iCs/>
                <w:color w:val="000000"/>
                <w:sz w:val="24"/>
                <w:szCs w:val="24"/>
                <w:lang w:val="en-IN"/>
              </w:rPr>
              <w:t>= 4</w:t>
            </w:r>
            <w:r w:rsidRPr="00B42029">
              <w:rPr>
                <w:rFonts w:eastAsia="Times New Roman"/>
                <w:b/>
                <w:bCs/>
                <w:i/>
                <w:iCs/>
                <w:color w:val="000000"/>
                <w:sz w:val="24"/>
                <w:szCs w:val="24"/>
                <w:lang w:val="en-IN"/>
              </w:rPr>
              <w:t xml:space="preserve"> Years + £4 / £8 x 12, Payback Period = 4 Years 6 Months</w:t>
            </w:r>
          </w:p>
        </w:tc>
      </w:tr>
    </w:tbl>
    <w:p w14:paraId="543CAF52" w14:textId="77777777" w:rsidR="00D60FDF" w:rsidRPr="00B42029" w:rsidRDefault="00D60FDF" w:rsidP="00B8765D">
      <w:pPr>
        <w:spacing w:before="240" w:after="240" w:line="360" w:lineRule="auto"/>
        <w:jc w:val="both"/>
        <w:rPr>
          <w:sz w:val="24"/>
          <w:szCs w:val="24"/>
          <w:lang w:val="en-IN"/>
        </w:rPr>
      </w:pPr>
    </w:p>
    <w:tbl>
      <w:tblPr>
        <w:tblW w:w="5000" w:type="pct"/>
        <w:tblLook w:val="04A0" w:firstRow="1" w:lastRow="0" w:firstColumn="1" w:lastColumn="0" w:noHBand="0" w:noVBand="1"/>
      </w:tblPr>
      <w:tblGrid>
        <w:gridCol w:w="2068"/>
        <w:gridCol w:w="971"/>
        <w:gridCol w:w="1196"/>
        <w:gridCol w:w="1196"/>
        <w:gridCol w:w="1196"/>
        <w:gridCol w:w="1196"/>
        <w:gridCol w:w="1196"/>
      </w:tblGrid>
      <w:tr w:rsidR="00D60FDF" w:rsidRPr="00B42029" w14:paraId="2C9F7800" w14:textId="77777777" w:rsidTr="00D60FDF">
        <w:trPr>
          <w:trHeight w:val="315"/>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5568B2C8"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Payback Period (Project B)</w:t>
            </w:r>
          </w:p>
        </w:tc>
      </w:tr>
      <w:tr w:rsidR="00D60FDF" w:rsidRPr="00B42029" w14:paraId="4B2A9F55" w14:textId="77777777" w:rsidTr="00D60FDF">
        <w:trPr>
          <w:trHeight w:val="315"/>
        </w:trPr>
        <w:tc>
          <w:tcPr>
            <w:tcW w:w="1178" w:type="pct"/>
            <w:tcBorders>
              <w:top w:val="nil"/>
              <w:left w:val="single" w:sz="4" w:space="0" w:color="000000"/>
              <w:bottom w:val="single" w:sz="4" w:space="0" w:color="000000"/>
              <w:right w:val="single" w:sz="4" w:space="0" w:color="000000"/>
            </w:tcBorders>
            <w:noWrap/>
            <w:vAlign w:val="center"/>
            <w:hideMark/>
          </w:tcPr>
          <w:p w14:paraId="7CCB6D91"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640" w:type="pct"/>
            <w:tcBorders>
              <w:top w:val="nil"/>
              <w:left w:val="nil"/>
              <w:bottom w:val="single" w:sz="4" w:space="0" w:color="000000"/>
              <w:right w:val="single" w:sz="4" w:space="0" w:color="000000"/>
            </w:tcBorders>
            <w:noWrap/>
            <w:vAlign w:val="center"/>
            <w:hideMark/>
          </w:tcPr>
          <w:p w14:paraId="23373E27"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0</w:t>
            </w:r>
          </w:p>
        </w:tc>
        <w:tc>
          <w:tcPr>
            <w:tcW w:w="640" w:type="pct"/>
            <w:tcBorders>
              <w:top w:val="nil"/>
              <w:left w:val="nil"/>
              <w:bottom w:val="single" w:sz="4" w:space="0" w:color="000000"/>
              <w:right w:val="single" w:sz="4" w:space="0" w:color="000000"/>
            </w:tcBorders>
            <w:noWrap/>
            <w:vAlign w:val="center"/>
            <w:hideMark/>
          </w:tcPr>
          <w:p w14:paraId="195815FE"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1</w:t>
            </w:r>
          </w:p>
        </w:tc>
        <w:tc>
          <w:tcPr>
            <w:tcW w:w="640" w:type="pct"/>
            <w:tcBorders>
              <w:top w:val="nil"/>
              <w:left w:val="nil"/>
              <w:bottom w:val="single" w:sz="4" w:space="0" w:color="000000"/>
              <w:right w:val="single" w:sz="4" w:space="0" w:color="000000"/>
            </w:tcBorders>
            <w:noWrap/>
            <w:vAlign w:val="center"/>
            <w:hideMark/>
          </w:tcPr>
          <w:p w14:paraId="6350711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2</w:t>
            </w:r>
          </w:p>
        </w:tc>
        <w:tc>
          <w:tcPr>
            <w:tcW w:w="640" w:type="pct"/>
            <w:tcBorders>
              <w:top w:val="nil"/>
              <w:left w:val="nil"/>
              <w:bottom w:val="single" w:sz="4" w:space="0" w:color="000000"/>
              <w:right w:val="single" w:sz="4" w:space="0" w:color="000000"/>
            </w:tcBorders>
            <w:noWrap/>
            <w:vAlign w:val="center"/>
            <w:hideMark/>
          </w:tcPr>
          <w:p w14:paraId="2010361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3</w:t>
            </w:r>
          </w:p>
        </w:tc>
        <w:tc>
          <w:tcPr>
            <w:tcW w:w="640" w:type="pct"/>
            <w:tcBorders>
              <w:top w:val="nil"/>
              <w:left w:val="nil"/>
              <w:bottom w:val="single" w:sz="4" w:space="0" w:color="000000"/>
              <w:right w:val="single" w:sz="4" w:space="0" w:color="000000"/>
            </w:tcBorders>
            <w:noWrap/>
            <w:vAlign w:val="center"/>
            <w:hideMark/>
          </w:tcPr>
          <w:p w14:paraId="28F7A79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4</w:t>
            </w:r>
          </w:p>
        </w:tc>
        <w:tc>
          <w:tcPr>
            <w:tcW w:w="620" w:type="pct"/>
            <w:tcBorders>
              <w:top w:val="nil"/>
              <w:left w:val="nil"/>
              <w:bottom w:val="single" w:sz="4" w:space="0" w:color="000000"/>
              <w:right w:val="single" w:sz="4" w:space="0" w:color="000000"/>
            </w:tcBorders>
            <w:noWrap/>
            <w:vAlign w:val="center"/>
            <w:hideMark/>
          </w:tcPr>
          <w:p w14:paraId="3FE4E4CF"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5</w:t>
            </w:r>
          </w:p>
        </w:tc>
      </w:tr>
      <w:tr w:rsidR="00D60FDF" w:rsidRPr="00B42029" w14:paraId="27FFB8E3" w14:textId="77777777" w:rsidTr="00D60FDF">
        <w:trPr>
          <w:trHeight w:val="315"/>
        </w:trPr>
        <w:tc>
          <w:tcPr>
            <w:tcW w:w="1178" w:type="pct"/>
            <w:tcBorders>
              <w:top w:val="nil"/>
              <w:left w:val="single" w:sz="4" w:space="0" w:color="000000"/>
              <w:bottom w:val="single" w:sz="4" w:space="0" w:color="000000"/>
              <w:right w:val="single" w:sz="4" w:space="0" w:color="000000"/>
            </w:tcBorders>
            <w:noWrap/>
            <w:vAlign w:val="center"/>
            <w:hideMark/>
          </w:tcPr>
          <w:p w14:paraId="3D2F5A51"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Initial Investment</w:t>
            </w:r>
          </w:p>
        </w:tc>
        <w:tc>
          <w:tcPr>
            <w:tcW w:w="640" w:type="pct"/>
            <w:tcBorders>
              <w:top w:val="nil"/>
              <w:left w:val="nil"/>
              <w:bottom w:val="single" w:sz="4" w:space="0" w:color="000000"/>
              <w:right w:val="single" w:sz="4" w:space="0" w:color="000000"/>
            </w:tcBorders>
            <w:noWrap/>
            <w:vAlign w:val="center"/>
            <w:hideMark/>
          </w:tcPr>
          <w:p w14:paraId="5CA8B87B" w14:textId="2C227942"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640" w:type="pct"/>
            <w:tcBorders>
              <w:top w:val="nil"/>
              <w:left w:val="nil"/>
              <w:bottom w:val="single" w:sz="4" w:space="0" w:color="000000"/>
              <w:right w:val="single" w:sz="4" w:space="0" w:color="000000"/>
            </w:tcBorders>
            <w:noWrap/>
            <w:vAlign w:val="center"/>
            <w:hideMark/>
          </w:tcPr>
          <w:p w14:paraId="4FBA2578"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333C3DD1"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291C50DF"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3E573B9A"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20" w:type="pct"/>
            <w:tcBorders>
              <w:top w:val="nil"/>
              <w:left w:val="nil"/>
              <w:bottom w:val="single" w:sz="4" w:space="0" w:color="000000"/>
              <w:right w:val="single" w:sz="4" w:space="0" w:color="000000"/>
            </w:tcBorders>
            <w:noWrap/>
            <w:vAlign w:val="center"/>
            <w:hideMark/>
          </w:tcPr>
          <w:p w14:paraId="33964C73"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5F2124F1" w14:textId="77777777" w:rsidTr="00D60FDF">
        <w:trPr>
          <w:trHeight w:val="315"/>
        </w:trPr>
        <w:tc>
          <w:tcPr>
            <w:tcW w:w="1178" w:type="pct"/>
            <w:tcBorders>
              <w:top w:val="nil"/>
              <w:left w:val="single" w:sz="4" w:space="0" w:color="000000"/>
              <w:bottom w:val="single" w:sz="4" w:space="0" w:color="000000"/>
              <w:right w:val="single" w:sz="4" w:space="0" w:color="000000"/>
            </w:tcBorders>
            <w:noWrap/>
            <w:vAlign w:val="center"/>
            <w:hideMark/>
          </w:tcPr>
          <w:p w14:paraId="18649F87"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Cash Flows</w:t>
            </w:r>
          </w:p>
        </w:tc>
        <w:tc>
          <w:tcPr>
            <w:tcW w:w="640" w:type="pct"/>
            <w:tcBorders>
              <w:top w:val="nil"/>
              <w:left w:val="nil"/>
              <w:bottom w:val="single" w:sz="4" w:space="0" w:color="000000"/>
              <w:right w:val="single" w:sz="4" w:space="0" w:color="000000"/>
            </w:tcBorders>
            <w:noWrap/>
            <w:vAlign w:val="center"/>
            <w:hideMark/>
          </w:tcPr>
          <w:p w14:paraId="6748C752"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6E13875A"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40" w:type="pct"/>
            <w:tcBorders>
              <w:top w:val="nil"/>
              <w:left w:val="nil"/>
              <w:bottom w:val="single" w:sz="4" w:space="0" w:color="000000"/>
              <w:right w:val="single" w:sz="4" w:space="0" w:color="000000"/>
            </w:tcBorders>
            <w:noWrap/>
            <w:vAlign w:val="center"/>
            <w:hideMark/>
          </w:tcPr>
          <w:p w14:paraId="7E3C7D7B"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40" w:type="pct"/>
            <w:tcBorders>
              <w:top w:val="nil"/>
              <w:left w:val="nil"/>
              <w:bottom w:val="single" w:sz="4" w:space="0" w:color="000000"/>
              <w:right w:val="single" w:sz="4" w:space="0" w:color="000000"/>
            </w:tcBorders>
            <w:noWrap/>
            <w:vAlign w:val="center"/>
            <w:hideMark/>
          </w:tcPr>
          <w:p w14:paraId="71A6C633"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40" w:type="pct"/>
            <w:tcBorders>
              <w:top w:val="nil"/>
              <w:left w:val="nil"/>
              <w:bottom w:val="single" w:sz="4" w:space="0" w:color="000000"/>
              <w:right w:val="single" w:sz="4" w:space="0" w:color="000000"/>
            </w:tcBorders>
            <w:noWrap/>
            <w:vAlign w:val="center"/>
            <w:hideMark/>
          </w:tcPr>
          <w:p w14:paraId="260E8FBC"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20" w:type="pct"/>
            <w:tcBorders>
              <w:top w:val="nil"/>
              <w:left w:val="nil"/>
              <w:bottom w:val="single" w:sz="4" w:space="0" w:color="000000"/>
              <w:right w:val="single" w:sz="4" w:space="0" w:color="000000"/>
            </w:tcBorders>
            <w:noWrap/>
            <w:vAlign w:val="center"/>
            <w:hideMark/>
          </w:tcPr>
          <w:p w14:paraId="17ACE6DB"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r>
      <w:tr w:rsidR="00D60FDF" w:rsidRPr="00B42029" w14:paraId="1DC2DEC5" w14:textId="77777777" w:rsidTr="00D60FDF">
        <w:trPr>
          <w:trHeight w:val="315"/>
        </w:trPr>
        <w:tc>
          <w:tcPr>
            <w:tcW w:w="1178" w:type="pct"/>
            <w:tcBorders>
              <w:top w:val="nil"/>
              <w:left w:val="single" w:sz="4" w:space="0" w:color="000000"/>
              <w:bottom w:val="single" w:sz="4" w:space="0" w:color="000000"/>
              <w:right w:val="single" w:sz="4" w:space="0" w:color="000000"/>
            </w:tcBorders>
            <w:noWrap/>
            <w:vAlign w:val="center"/>
            <w:hideMark/>
          </w:tcPr>
          <w:p w14:paraId="15931309"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Scrap Value</w:t>
            </w:r>
          </w:p>
        </w:tc>
        <w:tc>
          <w:tcPr>
            <w:tcW w:w="640" w:type="pct"/>
            <w:tcBorders>
              <w:top w:val="nil"/>
              <w:left w:val="nil"/>
              <w:bottom w:val="single" w:sz="4" w:space="0" w:color="000000"/>
              <w:right w:val="single" w:sz="4" w:space="0" w:color="000000"/>
            </w:tcBorders>
            <w:noWrap/>
            <w:vAlign w:val="center"/>
            <w:hideMark/>
          </w:tcPr>
          <w:p w14:paraId="464DFFCF"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395B833D"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06C6893D"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098BA6FB"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0" w:type="pct"/>
            <w:tcBorders>
              <w:top w:val="nil"/>
              <w:left w:val="nil"/>
              <w:bottom w:val="single" w:sz="4" w:space="0" w:color="000000"/>
              <w:right w:val="single" w:sz="4" w:space="0" w:color="000000"/>
            </w:tcBorders>
            <w:noWrap/>
            <w:vAlign w:val="center"/>
            <w:hideMark/>
          </w:tcPr>
          <w:p w14:paraId="4D91990A"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20" w:type="pct"/>
            <w:tcBorders>
              <w:top w:val="nil"/>
              <w:left w:val="nil"/>
              <w:bottom w:val="single" w:sz="4" w:space="0" w:color="000000"/>
              <w:right w:val="single" w:sz="4" w:space="0" w:color="000000"/>
            </w:tcBorders>
            <w:noWrap/>
            <w:vAlign w:val="center"/>
            <w:hideMark/>
          </w:tcPr>
          <w:p w14:paraId="65A8F4C4"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   </w:t>
            </w:r>
          </w:p>
        </w:tc>
      </w:tr>
      <w:tr w:rsidR="00D60FDF" w:rsidRPr="00B42029" w14:paraId="6E44B5B1" w14:textId="77777777" w:rsidTr="00D60FDF">
        <w:trPr>
          <w:trHeight w:val="315"/>
        </w:trPr>
        <w:tc>
          <w:tcPr>
            <w:tcW w:w="1178" w:type="pct"/>
            <w:tcBorders>
              <w:top w:val="nil"/>
              <w:left w:val="single" w:sz="4" w:space="0" w:color="000000"/>
              <w:bottom w:val="single" w:sz="4" w:space="0" w:color="000000"/>
              <w:right w:val="single" w:sz="4" w:space="0" w:color="000000"/>
            </w:tcBorders>
            <w:noWrap/>
            <w:vAlign w:val="center"/>
            <w:hideMark/>
          </w:tcPr>
          <w:p w14:paraId="57E8DDB1"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Cumulative Cash Flows</w:t>
            </w:r>
          </w:p>
        </w:tc>
        <w:tc>
          <w:tcPr>
            <w:tcW w:w="640" w:type="pct"/>
            <w:tcBorders>
              <w:top w:val="nil"/>
              <w:left w:val="nil"/>
              <w:bottom w:val="single" w:sz="4" w:space="0" w:color="000000"/>
              <w:right w:val="single" w:sz="4" w:space="0" w:color="000000"/>
            </w:tcBorders>
            <w:noWrap/>
            <w:vAlign w:val="center"/>
            <w:hideMark/>
          </w:tcPr>
          <w:p w14:paraId="1B8DBD00" w14:textId="3AF0B7BA"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640" w:type="pct"/>
            <w:tcBorders>
              <w:top w:val="nil"/>
              <w:left w:val="nil"/>
              <w:bottom w:val="single" w:sz="4" w:space="0" w:color="000000"/>
              <w:right w:val="single" w:sz="4" w:space="0" w:color="000000"/>
            </w:tcBorders>
            <w:noWrap/>
            <w:vAlign w:val="center"/>
            <w:hideMark/>
          </w:tcPr>
          <w:p w14:paraId="2798597B"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40" w:type="pct"/>
            <w:tcBorders>
              <w:top w:val="nil"/>
              <w:left w:val="nil"/>
              <w:bottom w:val="single" w:sz="4" w:space="0" w:color="000000"/>
              <w:right w:val="single" w:sz="4" w:space="0" w:color="000000"/>
            </w:tcBorders>
            <w:noWrap/>
            <w:vAlign w:val="center"/>
            <w:hideMark/>
          </w:tcPr>
          <w:p w14:paraId="1AAD8B2B"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40" w:type="pct"/>
            <w:tcBorders>
              <w:top w:val="nil"/>
              <w:left w:val="nil"/>
              <w:bottom w:val="single" w:sz="4" w:space="0" w:color="000000"/>
              <w:right w:val="single" w:sz="4" w:space="0" w:color="000000"/>
            </w:tcBorders>
            <w:noWrap/>
            <w:vAlign w:val="center"/>
            <w:hideMark/>
          </w:tcPr>
          <w:p w14:paraId="0EC0AF0A"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40" w:type="pct"/>
            <w:tcBorders>
              <w:top w:val="nil"/>
              <w:left w:val="nil"/>
              <w:bottom w:val="single" w:sz="4" w:space="0" w:color="000000"/>
              <w:right w:val="single" w:sz="4" w:space="0" w:color="000000"/>
            </w:tcBorders>
            <w:noWrap/>
            <w:vAlign w:val="center"/>
            <w:hideMark/>
          </w:tcPr>
          <w:p w14:paraId="1107D1E0"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620" w:type="pct"/>
            <w:tcBorders>
              <w:top w:val="nil"/>
              <w:left w:val="nil"/>
              <w:bottom w:val="single" w:sz="4" w:space="0" w:color="000000"/>
              <w:right w:val="single" w:sz="4" w:space="0" w:color="000000"/>
            </w:tcBorders>
            <w:noWrap/>
            <w:vAlign w:val="center"/>
            <w:hideMark/>
          </w:tcPr>
          <w:p w14:paraId="740B3D89"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11.00 </w:t>
            </w:r>
          </w:p>
        </w:tc>
      </w:tr>
      <w:tr w:rsidR="00D60FDF" w:rsidRPr="00B42029" w14:paraId="7A31D06F" w14:textId="77777777" w:rsidTr="00D60FDF">
        <w:trPr>
          <w:trHeight w:val="315"/>
        </w:trPr>
        <w:tc>
          <w:tcPr>
            <w:tcW w:w="1178" w:type="pct"/>
            <w:tcBorders>
              <w:top w:val="nil"/>
              <w:left w:val="single" w:sz="4" w:space="0" w:color="000000"/>
              <w:bottom w:val="single" w:sz="4" w:space="0" w:color="000000"/>
              <w:right w:val="single" w:sz="4" w:space="0" w:color="000000"/>
            </w:tcBorders>
            <w:noWrap/>
            <w:vAlign w:val="center"/>
            <w:hideMark/>
          </w:tcPr>
          <w:p w14:paraId="5CFB2A21"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Finding Payback</w:t>
            </w:r>
          </w:p>
        </w:tc>
        <w:tc>
          <w:tcPr>
            <w:tcW w:w="640" w:type="pct"/>
            <w:tcBorders>
              <w:top w:val="nil"/>
              <w:left w:val="nil"/>
              <w:bottom w:val="single" w:sz="4" w:space="0" w:color="000000"/>
              <w:right w:val="single" w:sz="4" w:space="0" w:color="000000"/>
            </w:tcBorders>
            <w:noWrap/>
            <w:vAlign w:val="center"/>
            <w:hideMark/>
          </w:tcPr>
          <w:p w14:paraId="2A8C244F" w14:textId="65D7533A"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640" w:type="pct"/>
            <w:tcBorders>
              <w:top w:val="nil"/>
              <w:left w:val="nil"/>
              <w:bottom w:val="single" w:sz="4" w:space="0" w:color="000000"/>
              <w:right w:val="single" w:sz="4" w:space="0" w:color="000000"/>
            </w:tcBorders>
            <w:noWrap/>
            <w:vAlign w:val="center"/>
            <w:hideMark/>
          </w:tcPr>
          <w:p w14:paraId="5D59A8E3" w14:textId="4BD00DBA"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39.00)</w:t>
            </w:r>
          </w:p>
        </w:tc>
        <w:tc>
          <w:tcPr>
            <w:tcW w:w="640" w:type="pct"/>
            <w:tcBorders>
              <w:top w:val="nil"/>
              <w:left w:val="nil"/>
              <w:bottom w:val="single" w:sz="4" w:space="0" w:color="000000"/>
              <w:right w:val="single" w:sz="4" w:space="0" w:color="000000"/>
            </w:tcBorders>
            <w:noWrap/>
            <w:vAlign w:val="center"/>
            <w:hideMark/>
          </w:tcPr>
          <w:p w14:paraId="53B10386" w14:textId="38F05B82"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28.00)</w:t>
            </w:r>
          </w:p>
        </w:tc>
        <w:tc>
          <w:tcPr>
            <w:tcW w:w="640" w:type="pct"/>
            <w:tcBorders>
              <w:top w:val="nil"/>
              <w:left w:val="nil"/>
              <w:bottom w:val="single" w:sz="4" w:space="0" w:color="000000"/>
              <w:right w:val="single" w:sz="4" w:space="0" w:color="000000"/>
            </w:tcBorders>
            <w:noWrap/>
            <w:vAlign w:val="center"/>
            <w:hideMark/>
          </w:tcPr>
          <w:p w14:paraId="48E11D92" w14:textId="116F51CE"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17.00)</w:t>
            </w:r>
          </w:p>
        </w:tc>
        <w:tc>
          <w:tcPr>
            <w:tcW w:w="640" w:type="pct"/>
            <w:tcBorders>
              <w:top w:val="nil"/>
              <w:left w:val="nil"/>
              <w:bottom w:val="single" w:sz="4" w:space="0" w:color="000000"/>
              <w:right w:val="single" w:sz="4" w:space="0" w:color="000000"/>
            </w:tcBorders>
            <w:noWrap/>
            <w:vAlign w:val="center"/>
            <w:hideMark/>
          </w:tcPr>
          <w:p w14:paraId="7F384779" w14:textId="54F16BD0" w:rsidR="00D60FDF" w:rsidRPr="00B42029" w:rsidRDefault="00D60FDF" w:rsidP="00D60FDF">
            <w:pPr>
              <w:spacing w:line="240" w:lineRule="auto"/>
              <w:jc w:val="right"/>
              <w:rPr>
                <w:rFonts w:eastAsia="Times New Roman"/>
                <w:b/>
                <w:bCs/>
                <w:color w:val="000000"/>
                <w:sz w:val="24"/>
                <w:szCs w:val="24"/>
                <w:lang w:val="en-IN"/>
              </w:rPr>
            </w:pPr>
            <w:r w:rsidRPr="00B42029">
              <w:rPr>
                <w:rFonts w:eastAsia="Times New Roman"/>
                <w:b/>
                <w:bCs/>
                <w:color w:val="000000"/>
                <w:sz w:val="24"/>
                <w:szCs w:val="24"/>
                <w:lang w:val="en-IN"/>
              </w:rPr>
              <w:t xml:space="preserve"> </w:t>
            </w:r>
            <w:r w:rsidR="00B42029" w:rsidRPr="00B42029">
              <w:rPr>
                <w:rFonts w:eastAsia="Times New Roman"/>
                <w:b/>
                <w:bCs/>
                <w:color w:val="000000"/>
                <w:sz w:val="24"/>
                <w:szCs w:val="24"/>
                <w:lang w:val="en-IN"/>
              </w:rPr>
              <w:t>£ (</w:t>
            </w:r>
            <w:r w:rsidRPr="00B42029">
              <w:rPr>
                <w:rFonts w:eastAsia="Times New Roman"/>
                <w:b/>
                <w:bCs/>
                <w:color w:val="000000"/>
                <w:sz w:val="24"/>
                <w:szCs w:val="24"/>
                <w:lang w:val="en-IN"/>
              </w:rPr>
              <w:t>6.00)</w:t>
            </w:r>
          </w:p>
        </w:tc>
        <w:tc>
          <w:tcPr>
            <w:tcW w:w="620" w:type="pct"/>
            <w:tcBorders>
              <w:top w:val="nil"/>
              <w:left w:val="nil"/>
              <w:bottom w:val="single" w:sz="4" w:space="0" w:color="000000"/>
              <w:right w:val="single" w:sz="4" w:space="0" w:color="000000"/>
            </w:tcBorders>
            <w:noWrap/>
            <w:vAlign w:val="center"/>
            <w:hideMark/>
          </w:tcPr>
          <w:p w14:paraId="2D1ADA34"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5.00 </w:t>
            </w:r>
          </w:p>
        </w:tc>
      </w:tr>
      <w:tr w:rsidR="00D60FDF" w:rsidRPr="00B42029" w14:paraId="3FE87608" w14:textId="77777777" w:rsidTr="00D60FDF">
        <w:trPr>
          <w:trHeight w:val="315"/>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64162078" w14:textId="4483F62E" w:rsidR="00D60FDF" w:rsidRPr="00B42029" w:rsidRDefault="00D60FDF" w:rsidP="00D60FDF">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 xml:space="preserve">Payback Period = Years Until Break - Even = Uncovered Cost at the Beginning of the Year / Cash Flows During the Year x 12, Payback Period Calculation </w:t>
            </w:r>
            <w:r w:rsidR="00B42029" w:rsidRPr="00B42029">
              <w:rPr>
                <w:rFonts w:eastAsia="Times New Roman"/>
                <w:b/>
                <w:bCs/>
                <w:i/>
                <w:iCs/>
                <w:color w:val="000000"/>
                <w:sz w:val="24"/>
                <w:szCs w:val="24"/>
                <w:lang w:val="en-IN"/>
              </w:rPr>
              <w:t>= 4</w:t>
            </w:r>
            <w:r w:rsidRPr="00B42029">
              <w:rPr>
                <w:rFonts w:eastAsia="Times New Roman"/>
                <w:b/>
                <w:bCs/>
                <w:i/>
                <w:iCs/>
                <w:color w:val="000000"/>
                <w:sz w:val="24"/>
                <w:szCs w:val="24"/>
                <w:lang w:val="en-IN"/>
              </w:rPr>
              <w:t xml:space="preserve"> Years + £6 / £11 x 12, Payback Period = 4 Years 6.5 Months</w:t>
            </w:r>
          </w:p>
        </w:tc>
      </w:tr>
    </w:tbl>
    <w:p w14:paraId="46509B12" w14:textId="2B3C77E6" w:rsidR="00D60FDF" w:rsidRPr="00B42029" w:rsidRDefault="00D60FDF" w:rsidP="00B8765D">
      <w:pPr>
        <w:spacing w:before="240" w:after="240" w:line="360" w:lineRule="auto"/>
        <w:jc w:val="both"/>
        <w:rPr>
          <w:sz w:val="24"/>
          <w:szCs w:val="24"/>
          <w:lang w:val="en-IN"/>
        </w:rPr>
      </w:pPr>
    </w:p>
    <w:p w14:paraId="49D0811E" w14:textId="77777777" w:rsidR="00D60FDF" w:rsidRPr="00B42029" w:rsidRDefault="00D60FDF">
      <w:pPr>
        <w:rPr>
          <w:sz w:val="24"/>
          <w:szCs w:val="24"/>
          <w:lang w:val="en-IN"/>
        </w:rPr>
      </w:pPr>
      <w:r w:rsidRPr="00B42029">
        <w:rPr>
          <w:sz w:val="24"/>
          <w:szCs w:val="24"/>
          <w:lang w:val="en-IN"/>
        </w:rPr>
        <w:br w:type="page"/>
      </w:r>
    </w:p>
    <w:tbl>
      <w:tblPr>
        <w:tblW w:w="5000" w:type="pct"/>
        <w:tblLook w:val="04A0" w:firstRow="1" w:lastRow="0" w:firstColumn="1" w:lastColumn="0" w:noHBand="0" w:noVBand="1"/>
      </w:tblPr>
      <w:tblGrid>
        <w:gridCol w:w="2068"/>
        <w:gridCol w:w="971"/>
        <w:gridCol w:w="1196"/>
        <w:gridCol w:w="1196"/>
        <w:gridCol w:w="1196"/>
        <w:gridCol w:w="1196"/>
        <w:gridCol w:w="1196"/>
      </w:tblGrid>
      <w:tr w:rsidR="00D60FDF" w:rsidRPr="00B42029" w14:paraId="081842EC" w14:textId="77777777" w:rsidTr="00D60FDF">
        <w:trPr>
          <w:trHeight w:val="315"/>
        </w:trPr>
        <w:tc>
          <w:tcPr>
            <w:tcW w:w="5000" w:type="pct"/>
            <w:gridSpan w:val="7"/>
            <w:tcBorders>
              <w:top w:val="single" w:sz="4" w:space="0" w:color="000000"/>
              <w:left w:val="single" w:sz="4" w:space="0" w:color="000000"/>
              <w:bottom w:val="single" w:sz="4" w:space="0" w:color="000000"/>
              <w:right w:val="single" w:sz="4" w:space="0" w:color="000000"/>
            </w:tcBorders>
            <w:noWrap/>
            <w:vAlign w:val="center"/>
            <w:hideMark/>
          </w:tcPr>
          <w:p w14:paraId="3922D37D"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lastRenderedPageBreak/>
              <w:t>Payback Period (Project C)</w:t>
            </w:r>
          </w:p>
        </w:tc>
      </w:tr>
      <w:tr w:rsidR="00D60FDF" w:rsidRPr="00B42029" w14:paraId="10F0F693" w14:textId="77777777" w:rsidTr="00D60FDF">
        <w:trPr>
          <w:trHeight w:val="315"/>
        </w:trPr>
        <w:tc>
          <w:tcPr>
            <w:tcW w:w="1183" w:type="pct"/>
            <w:tcBorders>
              <w:top w:val="nil"/>
              <w:left w:val="single" w:sz="4" w:space="0" w:color="000000"/>
              <w:bottom w:val="single" w:sz="4" w:space="0" w:color="000000"/>
              <w:right w:val="single" w:sz="4" w:space="0" w:color="000000"/>
            </w:tcBorders>
            <w:noWrap/>
            <w:vAlign w:val="center"/>
            <w:hideMark/>
          </w:tcPr>
          <w:p w14:paraId="25CC096A"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643" w:type="pct"/>
            <w:tcBorders>
              <w:top w:val="nil"/>
              <w:left w:val="nil"/>
              <w:bottom w:val="single" w:sz="4" w:space="0" w:color="000000"/>
              <w:right w:val="single" w:sz="4" w:space="0" w:color="000000"/>
            </w:tcBorders>
            <w:noWrap/>
            <w:vAlign w:val="center"/>
            <w:hideMark/>
          </w:tcPr>
          <w:p w14:paraId="1F91EB65"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0</w:t>
            </w:r>
          </w:p>
        </w:tc>
        <w:tc>
          <w:tcPr>
            <w:tcW w:w="643" w:type="pct"/>
            <w:tcBorders>
              <w:top w:val="nil"/>
              <w:left w:val="nil"/>
              <w:bottom w:val="single" w:sz="4" w:space="0" w:color="000000"/>
              <w:right w:val="single" w:sz="4" w:space="0" w:color="000000"/>
            </w:tcBorders>
            <w:noWrap/>
            <w:vAlign w:val="center"/>
            <w:hideMark/>
          </w:tcPr>
          <w:p w14:paraId="3C004AE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1</w:t>
            </w:r>
          </w:p>
        </w:tc>
        <w:tc>
          <w:tcPr>
            <w:tcW w:w="643" w:type="pct"/>
            <w:tcBorders>
              <w:top w:val="nil"/>
              <w:left w:val="nil"/>
              <w:bottom w:val="single" w:sz="4" w:space="0" w:color="000000"/>
              <w:right w:val="single" w:sz="4" w:space="0" w:color="000000"/>
            </w:tcBorders>
            <w:noWrap/>
            <w:vAlign w:val="center"/>
            <w:hideMark/>
          </w:tcPr>
          <w:p w14:paraId="72461EC9"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2</w:t>
            </w:r>
          </w:p>
        </w:tc>
        <w:tc>
          <w:tcPr>
            <w:tcW w:w="643" w:type="pct"/>
            <w:tcBorders>
              <w:top w:val="nil"/>
              <w:left w:val="nil"/>
              <w:bottom w:val="single" w:sz="4" w:space="0" w:color="000000"/>
              <w:right w:val="single" w:sz="4" w:space="0" w:color="000000"/>
            </w:tcBorders>
            <w:noWrap/>
            <w:vAlign w:val="center"/>
            <w:hideMark/>
          </w:tcPr>
          <w:p w14:paraId="0717FEEF"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3</w:t>
            </w:r>
          </w:p>
        </w:tc>
        <w:tc>
          <w:tcPr>
            <w:tcW w:w="623" w:type="pct"/>
            <w:tcBorders>
              <w:top w:val="nil"/>
              <w:left w:val="nil"/>
              <w:bottom w:val="single" w:sz="4" w:space="0" w:color="000000"/>
              <w:right w:val="single" w:sz="4" w:space="0" w:color="000000"/>
            </w:tcBorders>
            <w:noWrap/>
            <w:vAlign w:val="center"/>
            <w:hideMark/>
          </w:tcPr>
          <w:p w14:paraId="3E9BB851"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4</w:t>
            </w:r>
          </w:p>
        </w:tc>
        <w:tc>
          <w:tcPr>
            <w:tcW w:w="623" w:type="pct"/>
            <w:tcBorders>
              <w:top w:val="nil"/>
              <w:left w:val="nil"/>
              <w:bottom w:val="single" w:sz="4" w:space="0" w:color="000000"/>
              <w:right w:val="single" w:sz="4" w:space="0" w:color="000000"/>
            </w:tcBorders>
            <w:noWrap/>
            <w:vAlign w:val="center"/>
            <w:hideMark/>
          </w:tcPr>
          <w:p w14:paraId="76FADCAE"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 5</w:t>
            </w:r>
          </w:p>
        </w:tc>
      </w:tr>
      <w:tr w:rsidR="00D60FDF" w:rsidRPr="00B42029" w14:paraId="0D7B00C3" w14:textId="77777777" w:rsidTr="00D60FDF">
        <w:trPr>
          <w:trHeight w:val="315"/>
        </w:trPr>
        <w:tc>
          <w:tcPr>
            <w:tcW w:w="1183" w:type="pct"/>
            <w:tcBorders>
              <w:top w:val="nil"/>
              <w:left w:val="single" w:sz="4" w:space="0" w:color="000000"/>
              <w:bottom w:val="single" w:sz="4" w:space="0" w:color="000000"/>
              <w:right w:val="single" w:sz="4" w:space="0" w:color="000000"/>
            </w:tcBorders>
            <w:noWrap/>
            <w:vAlign w:val="center"/>
            <w:hideMark/>
          </w:tcPr>
          <w:p w14:paraId="07302685"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Initial Investment</w:t>
            </w:r>
          </w:p>
        </w:tc>
        <w:tc>
          <w:tcPr>
            <w:tcW w:w="643" w:type="pct"/>
            <w:tcBorders>
              <w:top w:val="nil"/>
              <w:left w:val="nil"/>
              <w:bottom w:val="single" w:sz="4" w:space="0" w:color="000000"/>
              <w:right w:val="single" w:sz="4" w:space="0" w:color="000000"/>
            </w:tcBorders>
            <w:noWrap/>
            <w:vAlign w:val="center"/>
            <w:hideMark/>
          </w:tcPr>
          <w:p w14:paraId="5D4269DF" w14:textId="50F9DD85"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643" w:type="pct"/>
            <w:tcBorders>
              <w:top w:val="nil"/>
              <w:left w:val="nil"/>
              <w:bottom w:val="single" w:sz="4" w:space="0" w:color="000000"/>
              <w:right w:val="single" w:sz="4" w:space="0" w:color="000000"/>
            </w:tcBorders>
            <w:noWrap/>
            <w:vAlign w:val="center"/>
            <w:hideMark/>
          </w:tcPr>
          <w:p w14:paraId="57E47AA2"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3" w:type="pct"/>
            <w:tcBorders>
              <w:top w:val="nil"/>
              <w:left w:val="nil"/>
              <w:bottom w:val="single" w:sz="4" w:space="0" w:color="000000"/>
              <w:right w:val="single" w:sz="4" w:space="0" w:color="000000"/>
            </w:tcBorders>
            <w:noWrap/>
            <w:vAlign w:val="center"/>
            <w:hideMark/>
          </w:tcPr>
          <w:p w14:paraId="734184E5"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3" w:type="pct"/>
            <w:tcBorders>
              <w:top w:val="nil"/>
              <w:left w:val="nil"/>
              <w:bottom w:val="single" w:sz="4" w:space="0" w:color="000000"/>
              <w:right w:val="single" w:sz="4" w:space="0" w:color="000000"/>
            </w:tcBorders>
            <w:noWrap/>
            <w:vAlign w:val="center"/>
            <w:hideMark/>
          </w:tcPr>
          <w:p w14:paraId="3394428C"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23" w:type="pct"/>
            <w:tcBorders>
              <w:top w:val="nil"/>
              <w:left w:val="nil"/>
              <w:bottom w:val="single" w:sz="4" w:space="0" w:color="000000"/>
              <w:right w:val="single" w:sz="4" w:space="0" w:color="000000"/>
            </w:tcBorders>
            <w:noWrap/>
            <w:vAlign w:val="center"/>
            <w:hideMark/>
          </w:tcPr>
          <w:p w14:paraId="59C9CA5A"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23" w:type="pct"/>
            <w:tcBorders>
              <w:top w:val="nil"/>
              <w:left w:val="nil"/>
              <w:bottom w:val="single" w:sz="4" w:space="0" w:color="000000"/>
              <w:right w:val="single" w:sz="4" w:space="0" w:color="000000"/>
            </w:tcBorders>
            <w:noWrap/>
            <w:vAlign w:val="center"/>
            <w:hideMark/>
          </w:tcPr>
          <w:p w14:paraId="2D64C234"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r>
      <w:tr w:rsidR="00D60FDF" w:rsidRPr="00B42029" w14:paraId="0D42DC67" w14:textId="77777777" w:rsidTr="00D60FDF">
        <w:trPr>
          <w:trHeight w:val="315"/>
        </w:trPr>
        <w:tc>
          <w:tcPr>
            <w:tcW w:w="1183" w:type="pct"/>
            <w:tcBorders>
              <w:top w:val="nil"/>
              <w:left w:val="single" w:sz="4" w:space="0" w:color="000000"/>
              <w:bottom w:val="single" w:sz="4" w:space="0" w:color="000000"/>
              <w:right w:val="single" w:sz="4" w:space="0" w:color="000000"/>
            </w:tcBorders>
            <w:noWrap/>
            <w:vAlign w:val="center"/>
            <w:hideMark/>
          </w:tcPr>
          <w:p w14:paraId="42D8F156"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Cash Flows</w:t>
            </w:r>
          </w:p>
        </w:tc>
        <w:tc>
          <w:tcPr>
            <w:tcW w:w="643" w:type="pct"/>
            <w:tcBorders>
              <w:top w:val="nil"/>
              <w:left w:val="nil"/>
              <w:bottom w:val="single" w:sz="4" w:space="0" w:color="000000"/>
              <w:right w:val="single" w:sz="4" w:space="0" w:color="000000"/>
            </w:tcBorders>
            <w:noWrap/>
            <w:vAlign w:val="center"/>
            <w:hideMark/>
          </w:tcPr>
          <w:p w14:paraId="17AF4870"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3" w:type="pct"/>
            <w:tcBorders>
              <w:top w:val="nil"/>
              <w:left w:val="nil"/>
              <w:bottom w:val="single" w:sz="4" w:space="0" w:color="000000"/>
              <w:right w:val="single" w:sz="4" w:space="0" w:color="000000"/>
            </w:tcBorders>
            <w:noWrap/>
            <w:vAlign w:val="center"/>
            <w:hideMark/>
          </w:tcPr>
          <w:p w14:paraId="3A7A9C26"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643" w:type="pct"/>
            <w:tcBorders>
              <w:top w:val="nil"/>
              <w:left w:val="nil"/>
              <w:bottom w:val="single" w:sz="4" w:space="0" w:color="000000"/>
              <w:right w:val="single" w:sz="4" w:space="0" w:color="000000"/>
            </w:tcBorders>
            <w:noWrap/>
            <w:vAlign w:val="center"/>
            <w:hideMark/>
          </w:tcPr>
          <w:p w14:paraId="0CC51EC5"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643" w:type="pct"/>
            <w:tcBorders>
              <w:top w:val="nil"/>
              <w:left w:val="nil"/>
              <w:bottom w:val="single" w:sz="4" w:space="0" w:color="000000"/>
              <w:right w:val="single" w:sz="4" w:space="0" w:color="000000"/>
            </w:tcBorders>
            <w:noWrap/>
            <w:vAlign w:val="center"/>
            <w:hideMark/>
          </w:tcPr>
          <w:p w14:paraId="013A318E"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623" w:type="pct"/>
            <w:tcBorders>
              <w:top w:val="nil"/>
              <w:left w:val="nil"/>
              <w:bottom w:val="single" w:sz="4" w:space="0" w:color="000000"/>
              <w:right w:val="single" w:sz="4" w:space="0" w:color="000000"/>
            </w:tcBorders>
            <w:noWrap/>
            <w:vAlign w:val="center"/>
            <w:hideMark/>
          </w:tcPr>
          <w:p w14:paraId="308BBABA"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623" w:type="pct"/>
            <w:tcBorders>
              <w:top w:val="nil"/>
              <w:left w:val="nil"/>
              <w:bottom w:val="single" w:sz="4" w:space="0" w:color="000000"/>
              <w:right w:val="single" w:sz="4" w:space="0" w:color="000000"/>
            </w:tcBorders>
            <w:noWrap/>
            <w:vAlign w:val="center"/>
            <w:hideMark/>
          </w:tcPr>
          <w:p w14:paraId="7B873681"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5.00 </w:t>
            </w:r>
          </w:p>
        </w:tc>
      </w:tr>
      <w:tr w:rsidR="00D60FDF" w:rsidRPr="00B42029" w14:paraId="38F6F3A8" w14:textId="77777777" w:rsidTr="00D60FDF">
        <w:trPr>
          <w:trHeight w:val="315"/>
        </w:trPr>
        <w:tc>
          <w:tcPr>
            <w:tcW w:w="1183" w:type="pct"/>
            <w:tcBorders>
              <w:top w:val="nil"/>
              <w:left w:val="single" w:sz="4" w:space="0" w:color="000000"/>
              <w:bottom w:val="single" w:sz="4" w:space="0" w:color="000000"/>
              <w:right w:val="single" w:sz="4" w:space="0" w:color="000000"/>
            </w:tcBorders>
            <w:noWrap/>
            <w:vAlign w:val="center"/>
            <w:hideMark/>
          </w:tcPr>
          <w:p w14:paraId="590E1C14"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Scrap Value</w:t>
            </w:r>
          </w:p>
        </w:tc>
        <w:tc>
          <w:tcPr>
            <w:tcW w:w="643" w:type="pct"/>
            <w:tcBorders>
              <w:top w:val="nil"/>
              <w:left w:val="nil"/>
              <w:bottom w:val="single" w:sz="4" w:space="0" w:color="000000"/>
              <w:right w:val="single" w:sz="4" w:space="0" w:color="000000"/>
            </w:tcBorders>
            <w:noWrap/>
            <w:vAlign w:val="center"/>
            <w:hideMark/>
          </w:tcPr>
          <w:p w14:paraId="0D58221B"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3" w:type="pct"/>
            <w:tcBorders>
              <w:top w:val="nil"/>
              <w:left w:val="nil"/>
              <w:bottom w:val="single" w:sz="4" w:space="0" w:color="000000"/>
              <w:right w:val="single" w:sz="4" w:space="0" w:color="000000"/>
            </w:tcBorders>
            <w:noWrap/>
            <w:vAlign w:val="center"/>
            <w:hideMark/>
          </w:tcPr>
          <w:p w14:paraId="09211C6F"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3" w:type="pct"/>
            <w:tcBorders>
              <w:top w:val="nil"/>
              <w:left w:val="nil"/>
              <w:bottom w:val="single" w:sz="4" w:space="0" w:color="000000"/>
              <w:right w:val="single" w:sz="4" w:space="0" w:color="000000"/>
            </w:tcBorders>
            <w:noWrap/>
            <w:vAlign w:val="center"/>
            <w:hideMark/>
          </w:tcPr>
          <w:p w14:paraId="564C91C2"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43" w:type="pct"/>
            <w:tcBorders>
              <w:top w:val="nil"/>
              <w:left w:val="nil"/>
              <w:bottom w:val="single" w:sz="4" w:space="0" w:color="000000"/>
              <w:right w:val="single" w:sz="4" w:space="0" w:color="000000"/>
            </w:tcBorders>
            <w:noWrap/>
            <w:vAlign w:val="center"/>
            <w:hideMark/>
          </w:tcPr>
          <w:p w14:paraId="5280AB99"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23" w:type="pct"/>
            <w:tcBorders>
              <w:top w:val="nil"/>
              <w:left w:val="nil"/>
              <w:bottom w:val="single" w:sz="4" w:space="0" w:color="000000"/>
              <w:right w:val="single" w:sz="4" w:space="0" w:color="000000"/>
            </w:tcBorders>
            <w:noWrap/>
            <w:vAlign w:val="center"/>
            <w:hideMark/>
          </w:tcPr>
          <w:p w14:paraId="2D43EA8B" w14:textId="77777777" w:rsidR="00D60FDF" w:rsidRPr="00B42029" w:rsidRDefault="00D60FDF" w:rsidP="00D60FDF">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623" w:type="pct"/>
            <w:tcBorders>
              <w:top w:val="nil"/>
              <w:left w:val="nil"/>
              <w:bottom w:val="single" w:sz="4" w:space="0" w:color="000000"/>
              <w:right w:val="single" w:sz="4" w:space="0" w:color="000000"/>
            </w:tcBorders>
            <w:noWrap/>
            <w:vAlign w:val="center"/>
            <w:hideMark/>
          </w:tcPr>
          <w:p w14:paraId="2189A7CC"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   </w:t>
            </w:r>
          </w:p>
        </w:tc>
      </w:tr>
      <w:tr w:rsidR="00D60FDF" w:rsidRPr="00B42029" w14:paraId="4557A16F" w14:textId="77777777" w:rsidTr="00D60FDF">
        <w:trPr>
          <w:trHeight w:val="315"/>
        </w:trPr>
        <w:tc>
          <w:tcPr>
            <w:tcW w:w="1183" w:type="pct"/>
            <w:tcBorders>
              <w:top w:val="nil"/>
              <w:left w:val="single" w:sz="4" w:space="0" w:color="000000"/>
              <w:bottom w:val="single" w:sz="4" w:space="0" w:color="000000"/>
              <w:right w:val="single" w:sz="4" w:space="0" w:color="000000"/>
            </w:tcBorders>
            <w:noWrap/>
            <w:vAlign w:val="center"/>
            <w:hideMark/>
          </w:tcPr>
          <w:p w14:paraId="74EE56DC"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Cumulative Cash Flows</w:t>
            </w:r>
          </w:p>
        </w:tc>
        <w:tc>
          <w:tcPr>
            <w:tcW w:w="643" w:type="pct"/>
            <w:tcBorders>
              <w:top w:val="nil"/>
              <w:left w:val="nil"/>
              <w:bottom w:val="single" w:sz="4" w:space="0" w:color="000000"/>
              <w:right w:val="single" w:sz="4" w:space="0" w:color="000000"/>
            </w:tcBorders>
            <w:noWrap/>
            <w:vAlign w:val="center"/>
            <w:hideMark/>
          </w:tcPr>
          <w:p w14:paraId="76872629" w14:textId="25823AF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643" w:type="pct"/>
            <w:tcBorders>
              <w:top w:val="nil"/>
              <w:left w:val="nil"/>
              <w:bottom w:val="single" w:sz="4" w:space="0" w:color="000000"/>
              <w:right w:val="single" w:sz="4" w:space="0" w:color="000000"/>
            </w:tcBorders>
            <w:noWrap/>
            <w:vAlign w:val="center"/>
            <w:hideMark/>
          </w:tcPr>
          <w:p w14:paraId="39CFF6FE"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643" w:type="pct"/>
            <w:tcBorders>
              <w:top w:val="nil"/>
              <w:left w:val="nil"/>
              <w:bottom w:val="single" w:sz="4" w:space="0" w:color="000000"/>
              <w:right w:val="single" w:sz="4" w:space="0" w:color="000000"/>
            </w:tcBorders>
            <w:noWrap/>
            <w:vAlign w:val="center"/>
            <w:hideMark/>
          </w:tcPr>
          <w:p w14:paraId="7A43511A"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643" w:type="pct"/>
            <w:tcBorders>
              <w:top w:val="nil"/>
              <w:left w:val="nil"/>
              <w:bottom w:val="single" w:sz="4" w:space="0" w:color="000000"/>
              <w:right w:val="single" w:sz="4" w:space="0" w:color="000000"/>
            </w:tcBorders>
            <w:noWrap/>
            <w:vAlign w:val="center"/>
            <w:hideMark/>
          </w:tcPr>
          <w:p w14:paraId="038B42B1"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623" w:type="pct"/>
            <w:tcBorders>
              <w:top w:val="nil"/>
              <w:left w:val="nil"/>
              <w:bottom w:val="single" w:sz="4" w:space="0" w:color="000000"/>
              <w:right w:val="single" w:sz="4" w:space="0" w:color="000000"/>
            </w:tcBorders>
            <w:noWrap/>
            <w:vAlign w:val="center"/>
            <w:hideMark/>
          </w:tcPr>
          <w:p w14:paraId="108A37AD"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623" w:type="pct"/>
            <w:tcBorders>
              <w:top w:val="nil"/>
              <w:left w:val="nil"/>
              <w:bottom w:val="single" w:sz="4" w:space="0" w:color="000000"/>
              <w:right w:val="single" w:sz="4" w:space="0" w:color="000000"/>
            </w:tcBorders>
            <w:noWrap/>
            <w:vAlign w:val="center"/>
            <w:hideMark/>
          </w:tcPr>
          <w:p w14:paraId="2186A43E"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5.00 </w:t>
            </w:r>
          </w:p>
        </w:tc>
      </w:tr>
      <w:tr w:rsidR="00D60FDF" w:rsidRPr="00B42029" w14:paraId="4A0E80ED" w14:textId="77777777" w:rsidTr="00D60FDF">
        <w:trPr>
          <w:trHeight w:val="315"/>
        </w:trPr>
        <w:tc>
          <w:tcPr>
            <w:tcW w:w="1183" w:type="pct"/>
            <w:tcBorders>
              <w:top w:val="nil"/>
              <w:left w:val="single" w:sz="4" w:space="0" w:color="000000"/>
              <w:bottom w:val="single" w:sz="4" w:space="0" w:color="000000"/>
              <w:right w:val="single" w:sz="4" w:space="0" w:color="000000"/>
            </w:tcBorders>
            <w:noWrap/>
            <w:vAlign w:val="center"/>
            <w:hideMark/>
          </w:tcPr>
          <w:p w14:paraId="4DD90108" w14:textId="77777777" w:rsidR="00D60FDF" w:rsidRPr="00B42029" w:rsidRDefault="00D60FDF" w:rsidP="00D60FDF">
            <w:pPr>
              <w:spacing w:line="240" w:lineRule="auto"/>
              <w:rPr>
                <w:rFonts w:eastAsia="Times New Roman"/>
                <w:color w:val="000000"/>
                <w:sz w:val="24"/>
                <w:szCs w:val="24"/>
                <w:lang w:val="en-IN"/>
              </w:rPr>
            </w:pPr>
            <w:r w:rsidRPr="00B42029">
              <w:rPr>
                <w:rFonts w:eastAsia="Times New Roman"/>
                <w:color w:val="000000"/>
                <w:sz w:val="24"/>
                <w:szCs w:val="24"/>
                <w:lang w:val="en-IN"/>
              </w:rPr>
              <w:t>Finding Payback</w:t>
            </w:r>
          </w:p>
        </w:tc>
        <w:tc>
          <w:tcPr>
            <w:tcW w:w="643" w:type="pct"/>
            <w:tcBorders>
              <w:top w:val="nil"/>
              <w:left w:val="nil"/>
              <w:bottom w:val="single" w:sz="4" w:space="0" w:color="000000"/>
              <w:right w:val="single" w:sz="4" w:space="0" w:color="000000"/>
            </w:tcBorders>
            <w:noWrap/>
            <w:vAlign w:val="center"/>
            <w:hideMark/>
          </w:tcPr>
          <w:p w14:paraId="1909645A" w14:textId="7D29BA6B"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50.00)</w:t>
            </w:r>
          </w:p>
        </w:tc>
        <w:tc>
          <w:tcPr>
            <w:tcW w:w="643" w:type="pct"/>
            <w:tcBorders>
              <w:top w:val="nil"/>
              <w:left w:val="nil"/>
              <w:bottom w:val="single" w:sz="4" w:space="0" w:color="000000"/>
              <w:right w:val="single" w:sz="4" w:space="0" w:color="000000"/>
            </w:tcBorders>
            <w:noWrap/>
            <w:vAlign w:val="center"/>
            <w:hideMark/>
          </w:tcPr>
          <w:p w14:paraId="185B9F5F" w14:textId="01B8B165"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45.00)</w:t>
            </w:r>
          </w:p>
        </w:tc>
        <w:tc>
          <w:tcPr>
            <w:tcW w:w="643" w:type="pct"/>
            <w:tcBorders>
              <w:top w:val="nil"/>
              <w:left w:val="nil"/>
              <w:bottom w:val="single" w:sz="4" w:space="0" w:color="000000"/>
              <w:right w:val="single" w:sz="4" w:space="0" w:color="000000"/>
            </w:tcBorders>
            <w:noWrap/>
            <w:vAlign w:val="center"/>
            <w:hideMark/>
          </w:tcPr>
          <w:p w14:paraId="0DFDCEB7" w14:textId="1DCFCF40"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w:t>
            </w:r>
            <w:r w:rsidR="00B42029" w:rsidRPr="00B42029">
              <w:rPr>
                <w:rFonts w:eastAsia="Times New Roman"/>
                <w:color w:val="000000"/>
                <w:sz w:val="24"/>
                <w:szCs w:val="24"/>
                <w:lang w:val="en-IN"/>
              </w:rPr>
              <w:t>£ (</w:t>
            </w:r>
            <w:r w:rsidRPr="00B42029">
              <w:rPr>
                <w:rFonts w:eastAsia="Times New Roman"/>
                <w:color w:val="000000"/>
                <w:sz w:val="24"/>
                <w:szCs w:val="24"/>
                <w:lang w:val="en-IN"/>
              </w:rPr>
              <w:t>35.00)</w:t>
            </w:r>
          </w:p>
        </w:tc>
        <w:tc>
          <w:tcPr>
            <w:tcW w:w="643" w:type="pct"/>
            <w:tcBorders>
              <w:top w:val="nil"/>
              <w:left w:val="nil"/>
              <w:bottom w:val="single" w:sz="4" w:space="0" w:color="000000"/>
              <w:right w:val="single" w:sz="4" w:space="0" w:color="000000"/>
            </w:tcBorders>
            <w:noWrap/>
            <w:vAlign w:val="center"/>
            <w:hideMark/>
          </w:tcPr>
          <w:p w14:paraId="5CEFF5BB" w14:textId="6F167E89" w:rsidR="00D60FDF" w:rsidRPr="00B42029" w:rsidRDefault="00D60FDF" w:rsidP="00D60FDF">
            <w:pPr>
              <w:spacing w:line="240" w:lineRule="auto"/>
              <w:jc w:val="right"/>
              <w:rPr>
                <w:rFonts w:eastAsia="Times New Roman"/>
                <w:b/>
                <w:bCs/>
                <w:color w:val="000000"/>
                <w:sz w:val="24"/>
                <w:szCs w:val="24"/>
                <w:lang w:val="en-IN"/>
              </w:rPr>
            </w:pPr>
            <w:r w:rsidRPr="00B42029">
              <w:rPr>
                <w:rFonts w:eastAsia="Times New Roman"/>
                <w:b/>
                <w:bCs/>
                <w:color w:val="000000"/>
                <w:sz w:val="24"/>
                <w:szCs w:val="24"/>
                <w:lang w:val="en-IN"/>
              </w:rPr>
              <w:t xml:space="preserve"> </w:t>
            </w:r>
            <w:r w:rsidR="00B42029" w:rsidRPr="00B42029">
              <w:rPr>
                <w:rFonts w:eastAsia="Times New Roman"/>
                <w:b/>
                <w:bCs/>
                <w:color w:val="000000"/>
                <w:sz w:val="24"/>
                <w:szCs w:val="24"/>
                <w:lang w:val="en-IN"/>
              </w:rPr>
              <w:t>£ (</w:t>
            </w:r>
            <w:r w:rsidRPr="00B42029">
              <w:rPr>
                <w:rFonts w:eastAsia="Times New Roman"/>
                <w:b/>
                <w:bCs/>
                <w:color w:val="000000"/>
                <w:sz w:val="24"/>
                <w:szCs w:val="24"/>
                <w:lang w:val="en-IN"/>
              </w:rPr>
              <w:t>15.00)</w:t>
            </w:r>
          </w:p>
        </w:tc>
        <w:tc>
          <w:tcPr>
            <w:tcW w:w="623" w:type="pct"/>
            <w:tcBorders>
              <w:top w:val="nil"/>
              <w:left w:val="nil"/>
              <w:bottom w:val="single" w:sz="4" w:space="0" w:color="000000"/>
              <w:right w:val="single" w:sz="4" w:space="0" w:color="000000"/>
            </w:tcBorders>
            <w:noWrap/>
            <w:vAlign w:val="center"/>
            <w:hideMark/>
          </w:tcPr>
          <w:p w14:paraId="7CB2EA0F"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623" w:type="pct"/>
            <w:tcBorders>
              <w:top w:val="nil"/>
              <w:left w:val="nil"/>
              <w:bottom w:val="single" w:sz="4" w:space="0" w:color="000000"/>
              <w:right w:val="single" w:sz="4" w:space="0" w:color="000000"/>
            </w:tcBorders>
            <w:noWrap/>
            <w:vAlign w:val="center"/>
            <w:hideMark/>
          </w:tcPr>
          <w:p w14:paraId="76CA4D90" w14:textId="77777777" w:rsidR="00D60FDF" w:rsidRPr="00B42029" w:rsidRDefault="00D60FDF" w:rsidP="00D60FDF">
            <w:pPr>
              <w:spacing w:line="240" w:lineRule="auto"/>
              <w:jc w:val="right"/>
              <w:rPr>
                <w:rFonts w:eastAsia="Times New Roman"/>
                <w:color w:val="000000"/>
                <w:sz w:val="24"/>
                <w:szCs w:val="24"/>
                <w:lang w:val="en-IN"/>
              </w:rPr>
            </w:pPr>
            <w:r w:rsidRPr="00B42029">
              <w:rPr>
                <w:rFonts w:eastAsia="Times New Roman"/>
                <w:color w:val="000000"/>
                <w:sz w:val="24"/>
                <w:szCs w:val="24"/>
                <w:lang w:val="en-IN"/>
              </w:rPr>
              <w:t xml:space="preserve"> £        15.00 </w:t>
            </w:r>
          </w:p>
        </w:tc>
      </w:tr>
      <w:tr w:rsidR="00D60FDF" w:rsidRPr="00B42029" w14:paraId="05057FC2" w14:textId="77777777" w:rsidTr="00D60FDF">
        <w:trPr>
          <w:trHeight w:val="315"/>
        </w:trPr>
        <w:tc>
          <w:tcPr>
            <w:tcW w:w="5000" w:type="pct"/>
            <w:gridSpan w:val="7"/>
            <w:tcBorders>
              <w:top w:val="single" w:sz="4" w:space="0" w:color="000000"/>
              <w:left w:val="single" w:sz="4" w:space="0" w:color="000000"/>
              <w:bottom w:val="single" w:sz="4" w:space="0" w:color="000000"/>
              <w:right w:val="single" w:sz="4" w:space="0" w:color="000000"/>
            </w:tcBorders>
            <w:vAlign w:val="center"/>
            <w:hideMark/>
          </w:tcPr>
          <w:p w14:paraId="2974E86E" w14:textId="4691D5C6" w:rsidR="00D60FDF" w:rsidRPr="00B42029" w:rsidRDefault="00D60FDF" w:rsidP="00D60FDF">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 xml:space="preserve">Payback Period = Years Until Break - Even = Uncovered Cost at the Beginning of the Year / Cash Flows During the Year x 12, Payback Period Calculation </w:t>
            </w:r>
            <w:r w:rsidR="00B42029" w:rsidRPr="00B42029">
              <w:rPr>
                <w:rFonts w:eastAsia="Times New Roman"/>
                <w:b/>
                <w:bCs/>
                <w:i/>
                <w:iCs/>
                <w:color w:val="000000"/>
                <w:sz w:val="24"/>
                <w:szCs w:val="24"/>
                <w:lang w:val="en-IN"/>
              </w:rPr>
              <w:t>= 3</w:t>
            </w:r>
            <w:r w:rsidRPr="00B42029">
              <w:rPr>
                <w:rFonts w:eastAsia="Times New Roman"/>
                <w:b/>
                <w:bCs/>
                <w:i/>
                <w:iCs/>
                <w:color w:val="000000"/>
                <w:sz w:val="24"/>
                <w:szCs w:val="24"/>
                <w:lang w:val="en-IN"/>
              </w:rPr>
              <w:t xml:space="preserve"> Years + £15 / £25 x 12, Payback Period = 3 Years 7.2 Months</w:t>
            </w:r>
          </w:p>
        </w:tc>
      </w:tr>
    </w:tbl>
    <w:p w14:paraId="1841B153" w14:textId="77777777" w:rsidR="00D60FDF" w:rsidRPr="00B42029" w:rsidRDefault="00D60FDF" w:rsidP="00B8765D">
      <w:pPr>
        <w:spacing w:before="240" w:after="240" w:line="360" w:lineRule="auto"/>
        <w:jc w:val="both"/>
        <w:rPr>
          <w:sz w:val="24"/>
          <w:szCs w:val="24"/>
          <w:lang w:val="en-IN"/>
        </w:rPr>
      </w:pPr>
    </w:p>
    <w:p w14:paraId="79CA20F9" w14:textId="77777777" w:rsidR="00D60FDF" w:rsidRPr="00B42029" w:rsidRDefault="00D60FDF">
      <w:pPr>
        <w:rPr>
          <w:b/>
          <w:bCs/>
          <w:sz w:val="24"/>
          <w:szCs w:val="24"/>
          <w:lang w:val="en-IN"/>
        </w:rPr>
      </w:pPr>
      <w:r w:rsidRPr="00B42029">
        <w:rPr>
          <w:b/>
          <w:bCs/>
          <w:sz w:val="24"/>
          <w:szCs w:val="24"/>
          <w:lang w:val="en-IN"/>
        </w:rPr>
        <w:br w:type="page"/>
      </w:r>
    </w:p>
    <w:p w14:paraId="474B4C35" w14:textId="1FC172AF" w:rsidR="00B8765D" w:rsidRPr="00B42029" w:rsidRDefault="00B8765D" w:rsidP="00D60FDF">
      <w:pPr>
        <w:pStyle w:val="Heading2"/>
        <w:rPr>
          <w:lang w:val="en-IN"/>
        </w:rPr>
      </w:pPr>
      <w:bookmarkStart w:id="52" w:name="_Toc237451755"/>
      <w:r w:rsidRPr="00B42029">
        <w:rPr>
          <w:lang w:val="en-IN"/>
        </w:rPr>
        <w:lastRenderedPageBreak/>
        <w:t xml:space="preserve">Appendix </w:t>
      </w:r>
      <w:r w:rsidR="00D60FDF" w:rsidRPr="00B42029">
        <w:rPr>
          <w:lang w:val="en-IN"/>
        </w:rPr>
        <w:t xml:space="preserve">C: </w:t>
      </w:r>
      <w:r w:rsidRPr="00B42029">
        <w:rPr>
          <w:lang w:val="en-IN"/>
        </w:rPr>
        <w:t>ARR calculations</w:t>
      </w:r>
      <w:bookmarkEnd w:id="52"/>
    </w:p>
    <w:tbl>
      <w:tblPr>
        <w:tblW w:w="5000" w:type="pct"/>
        <w:tblLook w:val="04A0" w:firstRow="1" w:lastRow="0" w:firstColumn="1" w:lastColumn="0" w:noHBand="0" w:noVBand="1"/>
      </w:tblPr>
      <w:tblGrid>
        <w:gridCol w:w="3014"/>
        <w:gridCol w:w="1761"/>
        <w:gridCol w:w="222"/>
        <w:gridCol w:w="2538"/>
        <w:gridCol w:w="1484"/>
      </w:tblGrid>
      <w:tr w:rsidR="00D60FDF" w:rsidRPr="00B42029" w14:paraId="38CE5CE0" w14:textId="77777777" w:rsidTr="00D60FDF">
        <w:trPr>
          <w:trHeight w:val="315"/>
        </w:trPr>
        <w:tc>
          <w:tcPr>
            <w:tcW w:w="5000" w:type="pct"/>
            <w:gridSpan w:val="5"/>
            <w:tcBorders>
              <w:top w:val="single" w:sz="4" w:space="0" w:color="000000"/>
              <w:left w:val="single" w:sz="4" w:space="0" w:color="000000"/>
              <w:bottom w:val="single" w:sz="4" w:space="0" w:color="000000"/>
              <w:right w:val="single" w:sz="4" w:space="0" w:color="000000"/>
            </w:tcBorders>
            <w:noWrap/>
            <w:vAlign w:val="center"/>
            <w:hideMark/>
          </w:tcPr>
          <w:p w14:paraId="57B794A5"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Project A</w:t>
            </w:r>
          </w:p>
        </w:tc>
      </w:tr>
      <w:tr w:rsidR="00D60FDF" w:rsidRPr="00B42029" w14:paraId="65D4A612"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5FCDDC88"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Cashflows</w:t>
            </w:r>
          </w:p>
        </w:tc>
        <w:tc>
          <w:tcPr>
            <w:tcW w:w="108" w:type="pct"/>
            <w:tcBorders>
              <w:top w:val="nil"/>
              <w:left w:val="nil"/>
              <w:bottom w:val="nil"/>
              <w:right w:val="nil"/>
            </w:tcBorders>
            <w:noWrap/>
            <w:vAlign w:val="center"/>
            <w:hideMark/>
          </w:tcPr>
          <w:p w14:paraId="77924178" w14:textId="77777777" w:rsidR="00D60FDF" w:rsidRPr="00B42029" w:rsidRDefault="00D60FDF" w:rsidP="00D60FDF">
            <w:pPr>
              <w:spacing w:line="240" w:lineRule="auto"/>
              <w:jc w:val="center"/>
              <w:rPr>
                <w:rFonts w:eastAsia="Times New Roman"/>
                <w:b/>
                <w:bCs/>
                <w:color w:val="000000"/>
                <w:sz w:val="28"/>
                <w:szCs w:val="28"/>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40E6804B"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Annual Depreciation</w:t>
            </w:r>
          </w:p>
        </w:tc>
      </w:tr>
      <w:tr w:rsidR="00D60FDF" w:rsidRPr="00B42029" w14:paraId="06FBC870" w14:textId="77777777" w:rsidTr="00D60FDF">
        <w:trPr>
          <w:trHeight w:val="315"/>
        </w:trPr>
        <w:tc>
          <w:tcPr>
            <w:tcW w:w="1679" w:type="pct"/>
            <w:tcBorders>
              <w:top w:val="nil"/>
              <w:left w:val="single" w:sz="4" w:space="0" w:color="000000"/>
              <w:bottom w:val="single" w:sz="4" w:space="0" w:color="000000"/>
              <w:right w:val="single" w:sz="4" w:space="0" w:color="000000"/>
            </w:tcBorders>
            <w:vAlign w:val="center"/>
            <w:hideMark/>
          </w:tcPr>
          <w:p w14:paraId="29F3DECD"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984" w:type="pct"/>
            <w:tcBorders>
              <w:top w:val="nil"/>
              <w:left w:val="nil"/>
              <w:bottom w:val="single" w:sz="4" w:space="0" w:color="000000"/>
              <w:right w:val="single" w:sz="4" w:space="0" w:color="000000"/>
            </w:tcBorders>
            <w:vAlign w:val="center"/>
            <w:hideMark/>
          </w:tcPr>
          <w:p w14:paraId="0BB72549"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08" w:type="pct"/>
            <w:tcBorders>
              <w:top w:val="nil"/>
              <w:left w:val="nil"/>
              <w:bottom w:val="nil"/>
              <w:right w:val="nil"/>
            </w:tcBorders>
            <w:noWrap/>
            <w:vAlign w:val="center"/>
            <w:hideMark/>
          </w:tcPr>
          <w:p w14:paraId="0C1E0796"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7715C37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Initial Value</w:t>
            </w:r>
          </w:p>
        </w:tc>
        <w:tc>
          <w:tcPr>
            <w:tcW w:w="813" w:type="pct"/>
            <w:tcBorders>
              <w:top w:val="nil"/>
              <w:left w:val="nil"/>
              <w:bottom w:val="single" w:sz="4" w:space="0" w:color="000000"/>
              <w:right w:val="single" w:sz="4" w:space="0" w:color="000000"/>
            </w:tcBorders>
            <w:noWrap/>
            <w:vAlign w:val="center"/>
            <w:hideMark/>
          </w:tcPr>
          <w:p w14:paraId="18F841AA"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 </w:t>
            </w:r>
          </w:p>
        </w:tc>
      </w:tr>
      <w:tr w:rsidR="00D60FDF" w:rsidRPr="00B42029" w14:paraId="45F48466"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445349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984" w:type="pct"/>
            <w:tcBorders>
              <w:top w:val="nil"/>
              <w:left w:val="nil"/>
              <w:bottom w:val="single" w:sz="4" w:space="0" w:color="000000"/>
              <w:right w:val="single" w:sz="4" w:space="0" w:color="000000"/>
            </w:tcBorders>
            <w:noWrap/>
            <w:vAlign w:val="center"/>
            <w:hideMark/>
          </w:tcPr>
          <w:p w14:paraId="6DFEB49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08" w:type="pct"/>
            <w:tcBorders>
              <w:top w:val="nil"/>
              <w:left w:val="nil"/>
              <w:bottom w:val="nil"/>
              <w:right w:val="nil"/>
            </w:tcBorders>
            <w:noWrap/>
            <w:vAlign w:val="center"/>
            <w:hideMark/>
          </w:tcPr>
          <w:p w14:paraId="5F6389E7"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08AE5CD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Residual Value</w:t>
            </w:r>
          </w:p>
        </w:tc>
        <w:tc>
          <w:tcPr>
            <w:tcW w:w="813" w:type="pct"/>
            <w:tcBorders>
              <w:top w:val="nil"/>
              <w:left w:val="nil"/>
              <w:bottom w:val="single" w:sz="4" w:space="0" w:color="000000"/>
              <w:right w:val="single" w:sz="4" w:space="0" w:color="000000"/>
            </w:tcBorders>
            <w:noWrap/>
            <w:vAlign w:val="center"/>
            <w:hideMark/>
          </w:tcPr>
          <w:p w14:paraId="242BF8CD"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r>
      <w:tr w:rsidR="00D60FDF" w:rsidRPr="00B42029" w14:paraId="3FA7BBC6"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5088122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w:t>
            </w:r>
          </w:p>
        </w:tc>
        <w:tc>
          <w:tcPr>
            <w:tcW w:w="984" w:type="pct"/>
            <w:tcBorders>
              <w:top w:val="nil"/>
              <w:left w:val="nil"/>
              <w:bottom w:val="single" w:sz="4" w:space="0" w:color="000000"/>
              <w:right w:val="single" w:sz="4" w:space="0" w:color="000000"/>
            </w:tcBorders>
            <w:noWrap/>
            <w:vAlign w:val="center"/>
            <w:hideMark/>
          </w:tcPr>
          <w:p w14:paraId="0F2E090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12.00 </w:t>
            </w:r>
          </w:p>
        </w:tc>
        <w:tc>
          <w:tcPr>
            <w:tcW w:w="108" w:type="pct"/>
            <w:tcBorders>
              <w:top w:val="nil"/>
              <w:left w:val="nil"/>
              <w:bottom w:val="nil"/>
              <w:right w:val="nil"/>
            </w:tcBorders>
            <w:noWrap/>
            <w:vAlign w:val="center"/>
            <w:hideMark/>
          </w:tcPr>
          <w:p w14:paraId="741C888F"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05AFD94D"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Number of Years</w:t>
            </w:r>
          </w:p>
        </w:tc>
        <w:tc>
          <w:tcPr>
            <w:tcW w:w="813" w:type="pct"/>
            <w:tcBorders>
              <w:top w:val="nil"/>
              <w:left w:val="nil"/>
              <w:bottom w:val="single" w:sz="4" w:space="0" w:color="000000"/>
              <w:right w:val="single" w:sz="4" w:space="0" w:color="000000"/>
            </w:tcBorders>
            <w:noWrap/>
            <w:vAlign w:val="center"/>
            <w:hideMark/>
          </w:tcPr>
          <w:p w14:paraId="4630227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w:t>
            </w:r>
          </w:p>
        </w:tc>
      </w:tr>
      <w:tr w:rsidR="00D60FDF" w:rsidRPr="00B42029" w14:paraId="3299E688"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20DB74C5"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3</w:t>
            </w:r>
          </w:p>
        </w:tc>
        <w:tc>
          <w:tcPr>
            <w:tcW w:w="984" w:type="pct"/>
            <w:tcBorders>
              <w:top w:val="nil"/>
              <w:left w:val="nil"/>
              <w:bottom w:val="single" w:sz="4" w:space="0" w:color="000000"/>
              <w:right w:val="single" w:sz="4" w:space="0" w:color="000000"/>
            </w:tcBorders>
            <w:noWrap/>
            <w:vAlign w:val="center"/>
            <w:hideMark/>
          </w:tcPr>
          <w:p w14:paraId="1E1B7B3E"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14.00 </w:t>
            </w:r>
          </w:p>
        </w:tc>
        <w:tc>
          <w:tcPr>
            <w:tcW w:w="108" w:type="pct"/>
            <w:tcBorders>
              <w:top w:val="nil"/>
              <w:left w:val="nil"/>
              <w:bottom w:val="nil"/>
              <w:right w:val="nil"/>
            </w:tcBorders>
            <w:noWrap/>
            <w:vAlign w:val="center"/>
            <w:hideMark/>
          </w:tcPr>
          <w:p w14:paraId="1F53AC8D"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680F6B72"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 Initial Value - Residual Value / No. of Years</w:t>
            </w:r>
          </w:p>
        </w:tc>
      </w:tr>
      <w:tr w:rsidR="00D60FDF" w:rsidRPr="00B42029" w14:paraId="7BD250DD"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552DBB6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4</w:t>
            </w:r>
          </w:p>
        </w:tc>
        <w:tc>
          <w:tcPr>
            <w:tcW w:w="984" w:type="pct"/>
            <w:tcBorders>
              <w:top w:val="nil"/>
              <w:left w:val="nil"/>
              <w:bottom w:val="single" w:sz="4" w:space="0" w:color="000000"/>
              <w:right w:val="single" w:sz="4" w:space="0" w:color="000000"/>
            </w:tcBorders>
            <w:noWrap/>
            <w:vAlign w:val="center"/>
            <w:hideMark/>
          </w:tcPr>
          <w:p w14:paraId="567A7F7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08" w:type="pct"/>
            <w:tcBorders>
              <w:top w:val="nil"/>
              <w:left w:val="nil"/>
              <w:bottom w:val="nil"/>
              <w:right w:val="nil"/>
            </w:tcBorders>
            <w:noWrap/>
            <w:vAlign w:val="center"/>
            <w:hideMark/>
          </w:tcPr>
          <w:p w14:paraId="34798C91"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36126C52"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Calculations = £50 - £0 / 5</w:t>
            </w:r>
          </w:p>
        </w:tc>
      </w:tr>
      <w:tr w:rsidR="00D60FDF" w:rsidRPr="00B42029" w14:paraId="2A61984E"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4E752EA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w:t>
            </w:r>
          </w:p>
        </w:tc>
        <w:tc>
          <w:tcPr>
            <w:tcW w:w="984" w:type="pct"/>
            <w:tcBorders>
              <w:top w:val="nil"/>
              <w:left w:val="nil"/>
              <w:bottom w:val="single" w:sz="4" w:space="0" w:color="000000"/>
              <w:right w:val="single" w:sz="4" w:space="0" w:color="000000"/>
            </w:tcBorders>
            <w:noWrap/>
            <w:vAlign w:val="center"/>
            <w:hideMark/>
          </w:tcPr>
          <w:p w14:paraId="008B02E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8.00 </w:t>
            </w:r>
          </w:p>
        </w:tc>
        <w:tc>
          <w:tcPr>
            <w:tcW w:w="108" w:type="pct"/>
            <w:tcBorders>
              <w:top w:val="nil"/>
              <w:left w:val="nil"/>
              <w:bottom w:val="nil"/>
              <w:right w:val="nil"/>
            </w:tcBorders>
            <w:noWrap/>
            <w:vAlign w:val="center"/>
            <w:hideMark/>
          </w:tcPr>
          <w:p w14:paraId="6FFB09AB"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0CAED658"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 £10</w:t>
            </w:r>
          </w:p>
        </w:tc>
      </w:tr>
      <w:tr w:rsidR="00D60FDF" w:rsidRPr="00B42029" w14:paraId="362B29D0"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7D1CB3D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Total</w:t>
            </w:r>
          </w:p>
        </w:tc>
        <w:tc>
          <w:tcPr>
            <w:tcW w:w="984" w:type="pct"/>
            <w:tcBorders>
              <w:top w:val="nil"/>
              <w:left w:val="nil"/>
              <w:bottom w:val="single" w:sz="4" w:space="0" w:color="000000"/>
              <w:right w:val="single" w:sz="4" w:space="0" w:color="000000"/>
            </w:tcBorders>
            <w:noWrap/>
            <w:vAlign w:val="center"/>
            <w:hideMark/>
          </w:tcPr>
          <w:p w14:paraId="512D02B8"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 xml:space="preserve"> £          54.00 </w:t>
            </w:r>
          </w:p>
        </w:tc>
        <w:tc>
          <w:tcPr>
            <w:tcW w:w="108" w:type="pct"/>
            <w:tcBorders>
              <w:top w:val="nil"/>
              <w:left w:val="nil"/>
              <w:bottom w:val="nil"/>
              <w:right w:val="nil"/>
            </w:tcBorders>
            <w:noWrap/>
            <w:vAlign w:val="center"/>
            <w:hideMark/>
          </w:tcPr>
          <w:p w14:paraId="46CE3A2A"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709A379E"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6754AAD9" w14:textId="77777777" w:rsidR="00D60FDF" w:rsidRPr="00B42029" w:rsidRDefault="00D60FDF" w:rsidP="00D60FDF">
            <w:pPr>
              <w:spacing w:line="240" w:lineRule="auto"/>
              <w:rPr>
                <w:rFonts w:eastAsia="Times New Roman"/>
                <w:sz w:val="20"/>
                <w:szCs w:val="20"/>
                <w:lang w:val="en-IN"/>
              </w:rPr>
            </w:pPr>
          </w:p>
        </w:tc>
      </w:tr>
      <w:tr w:rsidR="00D60FDF" w:rsidRPr="00B42029" w14:paraId="10F12692"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30EFE861"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 Total Cash Flows / No. of Years</w:t>
            </w:r>
          </w:p>
        </w:tc>
        <w:tc>
          <w:tcPr>
            <w:tcW w:w="108" w:type="pct"/>
            <w:tcBorders>
              <w:top w:val="nil"/>
              <w:left w:val="nil"/>
              <w:bottom w:val="nil"/>
              <w:right w:val="nil"/>
            </w:tcBorders>
            <w:noWrap/>
            <w:vAlign w:val="center"/>
            <w:hideMark/>
          </w:tcPr>
          <w:p w14:paraId="7EB2A694"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26AD77B3"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67D5D249" w14:textId="77777777" w:rsidR="00D60FDF" w:rsidRPr="00B42029" w:rsidRDefault="00D60FDF" w:rsidP="00D60FDF">
            <w:pPr>
              <w:spacing w:line="240" w:lineRule="auto"/>
              <w:rPr>
                <w:rFonts w:eastAsia="Times New Roman"/>
                <w:sz w:val="20"/>
                <w:szCs w:val="20"/>
                <w:lang w:val="en-IN"/>
              </w:rPr>
            </w:pPr>
          </w:p>
        </w:tc>
      </w:tr>
      <w:tr w:rsidR="00D60FDF" w:rsidRPr="00B42029" w14:paraId="0318E072"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0E615FAC"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Calculations = £54 / 5</w:t>
            </w:r>
          </w:p>
        </w:tc>
        <w:tc>
          <w:tcPr>
            <w:tcW w:w="108" w:type="pct"/>
            <w:tcBorders>
              <w:top w:val="nil"/>
              <w:left w:val="nil"/>
              <w:bottom w:val="nil"/>
              <w:right w:val="nil"/>
            </w:tcBorders>
            <w:noWrap/>
            <w:vAlign w:val="center"/>
            <w:hideMark/>
          </w:tcPr>
          <w:p w14:paraId="489FF88A"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3C0EA2AB"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1883607A" w14:textId="77777777" w:rsidR="00D60FDF" w:rsidRPr="00B42029" w:rsidRDefault="00D60FDF" w:rsidP="00D60FDF">
            <w:pPr>
              <w:spacing w:line="240" w:lineRule="auto"/>
              <w:rPr>
                <w:rFonts w:eastAsia="Times New Roman"/>
                <w:sz w:val="20"/>
                <w:szCs w:val="20"/>
                <w:lang w:val="en-IN"/>
              </w:rPr>
            </w:pPr>
          </w:p>
        </w:tc>
      </w:tr>
      <w:tr w:rsidR="00D60FDF" w:rsidRPr="00B42029" w14:paraId="74A6717E"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6C672AC3"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 £10.8</w:t>
            </w:r>
          </w:p>
        </w:tc>
        <w:tc>
          <w:tcPr>
            <w:tcW w:w="108" w:type="pct"/>
            <w:tcBorders>
              <w:top w:val="nil"/>
              <w:left w:val="nil"/>
              <w:bottom w:val="nil"/>
              <w:right w:val="nil"/>
            </w:tcBorders>
            <w:noWrap/>
            <w:vAlign w:val="center"/>
            <w:hideMark/>
          </w:tcPr>
          <w:p w14:paraId="4CE06145"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57006A28"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45F5756B" w14:textId="77777777" w:rsidR="00D60FDF" w:rsidRPr="00B42029" w:rsidRDefault="00D60FDF" w:rsidP="00D60FDF">
            <w:pPr>
              <w:spacing w:line="240" w:lineRule="auto"/>
              <w:rPr>
                <w:rFonts w:eastAsia="Times New Roman"/>
                <w:sz w:val="20"/>
                <w:szCs w:val="20"/>
                <w:lang w:val="en-IN"/>
              </w:rPr>
            </w:pPr>
          </w:p>
        </w:tc>
      </w:tr>
      <w:tr w:rsidR="00D60FDF" w:rsidRPr="00B42029" w14:paraId="775D43F5" w14:textId="77777777" w:rsidTr="00D60FDF">
        <w:trPr>
          <w:trHeight w:val="315"/>
        </w:trPr>
        <w:tc>
          <w:tcPr>
            <w:tcW w:w="1679" w:type="pct"/>
            <w:tcBorders>
              <w:top w:val="nil"/>
              <w:left w:val="nil"/>
              <w:bottom w:val="nil"/>
              <w:right w:val="nil"/>
            </w:tcBorders>
            <w:noWrap/>
            <w:vAlign w:val="center"/>
            <w:hideMark/>
          </w:tcPr>
          <w:p w14:paraId="305CF6FF" w14:textId="77777777" w:rsidR="00D60FDF" w:rsidRPr="00B42029" w:rsidRDefault="00D60FDF" w:rsidP="00D60FDF">
            <w:pPr>
              <w:spacing w:line="240" w:lineRule="auto"/>
              <w:rPr>
                <w:rFonts w:eastAsia="Times New Roman"/>
                <w:sz w:val="20"/>
                <w:szCs w:val="20"/>
                <w:lang w:val="en-IN"/>
              </w:rPr>
            </w:pPr>
          </w:p>
        </w:tc>
        <w:tc>
          <w:tcPr>
            <w:tcW w:w="984" w:type="pct"/>
            <w:tcBorders>
              <w:top w:val="nil"/>
              <w:left w:val="nil"/>
              <w:bottom w:val="nil"/>
              <w:right w:val="nil"/>
            </w:tcBorders>
            <w:noWrap/>
            <w:vAlign w:val="center"/>
            <w:hideMark/>
          </w:tcPr>
          <w:p w14:paraId="797C50CD"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3134C335" w14:textId="77777777" w:rsidR="00D60FDF" w:rsidRPr="00B42029" w:rsidRDefault="00D60FDF" w:rsidP="00D60FDF">
            <w:pPr>
              <w:spacing w:line="240" w:lineRule="auto"/>
              <w:rPr>
                <w:rFonts w:eastAsia="Times New Roman"/>
                <w:sz w:val="20"/>
                <w:szCs w:val="20"/>
                <w:lang w:val="en-IN"/>
              </w:rPr>
            </w:pPr>
          </w:p>
        </w:tc>
        <w:tc>
          <w:tcPr>
            <w:tcW w:w="1415" w:type="pct"/>
            <w:tcBorders>
              <w:top w:val="nil"/>
              <w:left w:val="nil"/>
              <w:bottom w:val="nil"/>
              <w:right w:val="nil"/>
            </w:tcBorders>
            <w:noWrap/>
            <w:vAlign w:val="center"/>
            <w:hideMark/>
          </w:tcPr>
          <w:p w14:paraId="5031901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1872636E" w14:textId="77777777" w:rsidR="00D60FDF" w:rsidRPr="00B42029" w:rsidRDefault="00D60FDF" w:rsidP="00D60FDF">
            <w:pPr>
              <w:spacing w:line="240" w:lineRule="auto"/>
              <w:rPr>
                <w:rFonts w:eastAsia="Times New Roman"/>
                <w:sz w:val="20"/>
                <w:szCs w:val="20"/>
                <w:lang w:val="en-IN"/>
              </w:rPr>
            </w:pPr>
          </w:p>
        </w:tc>
      </w:tr>
      <w:tr w:rsidR="00D60FDF" w:rsidRPr="00B42029" w14:paraId="47633785" w14:textId="77777777" w:rsidTr="00D60FDF">
        <w:trPr>
          <w:trHeight w:val="315"/>
        </w:trPr>
        <w:tc>
          <w:tcPr>
            <w:tcW w:w="2663" w:type="pct"/>
            <w:gridSpan w:val="2"/>
            <w:tcBorders>
              <w:top w:val="nil"/>
              <w:left w:val="nil"/>
              <w:bottom w:val="nil"/>
              <w:right w:val="nil"/>
            </w:tcBorders>
            <w:noWrap/>
            <w:vAlign w:val="center"/>
            <w:hideMark/>
          </w:tcPr>
          <w:p w14:paraId="5004F567"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Investment</w:t>
            </w:r>
          </w:p>
        </w:tc>
        <w:tc>
          <w:tcPr>
            <w:tcW w:w="108" w:type="pct"/>
            <w:tcBorders>
              <w:top w:val="nil"/>
              <w:left w:val="nil"/>
              <w:bottom w:val="nil"/>
              <w:right w:val="nil"/>
            </w:tcBorders>
            <w:noWrap/>
            <w:vAlign w:val="center"/>
            <w:hideMark/>
          </w:tcPr>
          <w:p w14:paraId="694763BB" w14:textId="77777777" w:rsidR="00D60FDF" w:rsidRPr="00B42029" w:rsidRDefault="00D60FDF" w:rsidP="00D60FDF">
            <w:pPr>
              <w:spacing w:line="240" w:lineRule="auto"/>
              <w:jc w:val="center"/>
              <w:rPr>
                <w:rFonts w:eastAsia="Times New Roman"/>
                <w:b/>
                <w:bCs/>
                <w:color w:val="000000"/>
                <w:sz w:val="28"/>
                <w:szCs w:val="28"/>
                <w:lang w:val="en-IN"/>
              </w:rPr>
            </w:pPr>
          </w:p>
        </w:tc>
        <w:tc>
          <w:tcPr>
            <w:tcW w:w="2229" w:type="pct"/>
            <w:gridSpan w:val="2"/>
            <w:tcBorders>
              <w:top w:val="nil"/>
              <w:left w:val="nil"/>
              <w:bottom w:val="nil"/>
              <w:right w:val="nil"/>
            </w:tcBorders>
            <w:noWrap/>
            <w:vAlign w:val="center"/>
            <w:hideMark/>
          </w:tcPr>
          <w:p w14:paraId="72C9EBAD"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Net Profit</w:t>
            </w:r>
          </w:p>
        </w:tc>
      </w:tr>
      <w:tr w:rsidR="00D60FDF" w:rsidRPr="00B42029" w14:paraId="67262431"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4455C3E8"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Investment = Initial Value + Residual Value / 2</w:t>
            </w:r>
          </w:p>
        </w:tc>
        <w:tc>
          <w:tcPr>
            <w:tcW w:w="108" w:type="pct"/>
            <w:tcBorders>
              <w:top w:val="nil"/>
              <w:left w:val="nil"/>
              <w:bottom w:val="nil"/>
              <w:right w:val="nil"/>
            </w:tcBorders>
            <w:noWrap/>
            <w:vAlign w:val="center"/>
            <w:hideMark/>
          </w:tcPr>
          <w:p w14:paraId="294965E9"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7FD7722F"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Cashflow</w:t>
            </w:r>
          </w:p>
        </w:tc>
        <w:tc>
          <w:tcPr>
            <w:tcW w:w="813" w:type="pct"/>
            <w:tcBorders>
              <w:top w:val="single" w:sz="4" w:space="0" w:color="000000"/>
              <w:left w:val="nil"/>
              <w:bottom w:val="single" w:sz="4" w:space="0" w:color="000000"/>
              <w:right w:val="single" w:sz="4" w:space="0" w:color="000000"/>
            </w:tcBorders>
            <w:noWrap/>
            <w:vAlign w:val="center"/>
            <w:hideMark/>
          </w:tcPr>
          <w:p w14:paraId="07446D6A"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10.80 </w:t>
            </w:r>
          </w:p>
        </w:tc>
      </w:tr>
      <w:tr w:rsidR="00D60FDF" w:rsidRPr="00B42029" w14:paraId="17F8E1C7"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3D475DD8"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Investment = £50 + £0 / 2</w:t>
            </w:r>
          </w:p>
        </w:tc>
        <w:tc>
          <w:tcPr>
            <w:tcW w:w="108" w:type="pct"/>
            <w:tcBorders>
              <w:top w:val="nil"/>
              <w:left w:val="nil"/>
              <w:bottom w:val="nil"/>
              <w:right w:val="nil"/>
            </w:tcBorders>
            <w:noWrap/>
            <w:vAlign w:val="center"/>
            <w:hideMark/>
          </w:tcPr>
          <w:p w14:paraId="75E7EC7A"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5D67E95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Annual Depreciation </w:t>
            </w:r>
          </w:p>
        </w:tc>
        <w:tc>
          <w:tcPr>
            <w:tcW w:w="813" w:type="pct"/>
            <w:tcBorders>
              <w:top w:val="nil"/>
              <w:left w:val="nil"/>
              <w:bottom w:val="single" w:sz="4" w:space="0" w:color="000000"/>
              <w:right w:val="single" w:sz="4" w:space="0" w:color="000000"/>
            </w:tcBorders>
            <w:noWrap/>
            <w:vAlign w:val="center"/>
            <w:hideMark/>
          </w:tcPr>
          <w:p w14:paraId="766EE94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r>
      <w:tr w:rsidR="00D60FDF" w:rsidRPr="00B42029" w14:paraId="707281AB"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41FA48C3"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Investment = £25</w:t>
            </w:r>
          </w:p>
        </w:tc>
        <w:tc>
          <w:tcPr>
            <w:tcW w:w="108" w:type="pct"/>
            <w:tcBorders>
              <w:top w:val="nil"/>
              <w:left w:val="nil"/>
              <w:bottom w:val="nil"/>
              <w:right w:val="nil"/>
            </w:tcBorders>
            <w:noWrap/>
            <w:vAlign w:val="center"/>
            <w:hideMark/>
          </w:tcPr>
          <w:p w14:paraId="39C646E5" w14:textId="77777777" w:rsidR="00D60FDF" w:rsidRPr="00B42029" w:rsidRDefault="00D60FDF" w:rsidP="00D60FDF">
            <w:pPr>
              <w:spacing w:line="240" w:lineRule="auto"/>
              <w:jc w:val="center"/>
              <w:rPr>
                <w:rFonts w:eastAsia="Times New Roman"/>
                <w:b/>
                <w:bCs/>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069A81CE"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Net Profit = </w:t>
            </w: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Cashflow - Annual Depreciation </w:t>
            </w:r>
          </w:p>
        </w:tc>
      </w:tr>
      <w:tr w:rsidR="00D60FDF" w:rsidRPr="00B42029" w14:paraId="34DC843D" w14:textId="77777777" w:rsidTr="00D60FDF">
        <w:trPr>
          <w:trHeight w:val="315"/>
        </w:trPr>
        <w:tc>
          <w:tcPr>
            <w:tcW w:w="1679" w:type="pct"/>
            <w:tcBorders>
              <w:top w:val="nil"/>
              <w:left w:val="nil"/>
              <w:bottom w:val="nil"/>
              <w:right w:val="nil"/>
            </w:tcBorders>
            <w:noWrap/>
            <w:vAlign w:val="center"/>
            <w:hideMark/>
          </w:tcPr>
          <w:p w14:paraId="73E5620C"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41EF59F9"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165B89CA" w14:textId="77777777" w:rsidR="00D60FDF" w:rsidRPr="00B42029" w:rsidRDefault="00D60FDF" w:rsidP="00D60FDF">
            <w:pPr>
              <w:spacing w:line="240" w:lineRule="auto"/>
              <w:rPr>
                <w:rFonts w:eastAsia="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50C1C62D"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Net Profit = £10.8 - £10</w:t>
            </w:r>
          </w:p>
        </w:tc>
      </w:tr>
      <w:tr w:rsidR="00D60FDF" w:rsidRPr="00B42029" w14:paraId="4A4CAF60" w14:textId="77777777" w:rsidTr="00D60FDF">
        <w:trPr>
          <w:trHeight w:val="315"/>
        </w:trPr>
        <w:tc>
          <w:tcPr>
            <w:tcW w:w="1679" w:type="pct"/>
            <w:tcBorders>
              <w:top w:val="nil"/>
              <w:left w:val="nil"/>
              <w:bottom w:val="nil"/>
              <w:right w:val="nil"/>
            </w:tcBorders>
            <w:noWrap/>
            <w:vAlign w:val="center"/>
            <w:hideMark/>
          </w:tcPr>
          <w:p w14:paraId="0AC9F47A"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00B49769"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2B213544" w14:textId="77777777" w:rsidR="00D60FDF" w:rsidRPr="00B42029" w:rsidRDefault="00D60FDF" w:rsidP="00D60FDF">
            <w:pPr>
              <w:spacing w:line="240" w:lineRule="auto"/>
              <w:rPr>
                <w:rFonts w:eastAsia="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34054C4B"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Net Profit = £0.8</w:t>
            </w:r>
          </w:p>
        </w:tc>
      </w:tr>
      <w:tr w:rsidR="00D60FDF" w:rsidRPr="00B42029" w14:paraId="0813692E" w14:textId="77777777" w:rsidTr="00D60FDF">
        <w:trPr>
          <w:trHeight w:val="315"/>
        </w:trPr>
        <w:tc>
          <w:tcPr>
            <w:tcW w:w="1679" w:type="pct"/>
            <w:tcBorders>
              <w:top w:val="nil"/>
              <w:left w:val="nil"/>
              <w:bottom w:val="nil"/>
              <w:right w:val="nil"/>
            </w:tcBorders>
            <w:noWrap/>
            <w:vAlign w:val="center"/>
            <w:hideMark/>
          </w:tcPr>
          <w:p w14:paraId="7AF0DB10"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0510ED9A"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7577D8ED" w14:textId="77777777" w:rsidR="00D60FDF" w:rsidRPr="00B42029" w:rsidRDefault="00D60FDF" w:rsidP="00D60FDF">
            <w:pPr>
              <w:spacing w:line="240" w:lineRule="auto"/>
              <w:rPr>
                <w:rFonts w:eastAsia="Times New Roman"/>
                <w:sz w:val="20"/>
                <w:szCs w:val="20"/>
                <w:lang w:val="en-IN"/>
              </w:rPr>
            </w:pPr>
          </w:p>
        </w:tc>
        <w:tc>
          <w:tcPr>
            <w:tcW w:w="1415" w:type="pct"/>
            <w:tcBorders>
              <w:top w:val="nil"/>
              <w:left w:val="nil"/>
              <w:bottom w:val="nil"/>
              <w:right w:val="nil"/>
            </w:tcBorders>
            <w:noWrap/>
            <w:vAlign w:val="center"/>
            <w:hideMark/>
          </w:tcPr>
          <w:p w14:paraId="11C9EDD8"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0AB620C2" w14:textId="77777777" w:rsidR="00D60FDF" w:rsidRPr="00B42029" w:rsidRDefault="00D60FDF" w:rsidP="00D60FDF">
            <w:pPr>
              <w:spacing w:line="240" w:lineRule="auto"/>
              <w:rPr>
                <w:rFonts w:eastAsia="Times New Roman"/>
                <w:sz w:val="20"/>
                <w:szCs w:val="20"/>
                <w:lang w:val="en-IN"/>
              </w:rPr>
            </w:pPr>
          </w:p>
        </w:tc>
      </w:tr>
      <w:tr w:rsidR="00D60FDF" w:rsidRPr="00B42029" w14:paraId="7F35C4DE" w14:textId="77777777" w:rsidTr="00D60FDF">
        <w:trPr>
          <w:trHeight w:val="315"/>
        </w:trPr>
        <w:tc>
          <w:tcPr>
            <w:tcW w:w="2663" w:type="pct"/>
            <w:gridSpan w:val="2"/>
            <w:tcBorders>
              <w:top w:val="nil"/>
              <w:left w:val="nil"/>
              <w:bottom w:val="nil"/>
              <w:right w:val="nil"/>
            </w:tcBorders>
            <w:vAlign w:val="center"/>
            <w:hideMark/>
          </w:tcPr>
          <w:p w14:paraId="6BB6ADC0"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Accounting Rate of Return (ARR) (%)</w:t>
            </w:r>
          </w:p>
        </w:tc>
        <w:tc>
          <w:tcPr>
            <w:tcW w:w="108" w:type="pct"/>
            <w:tcBorders>
              <w:top w:val="nil"/>
              <w:left w:val="nil"/>
              <w:bottom w:val="nil"/>
              <w:right w:val="nil"/>
            </w:tcBorders>
            <w:noWrap/>
            <w:vAlign w:val="center"/>
            <w:hideMark/>
          </w:tcPr>
          <w:p w14:paraId="5A3486C0" w14:textId="77777777" w:rsidR="00D60FDF" w:rsidRPr="00B42029" w:rsidRDefault="00D60FDF" w:rsidP="00D60FDF">
            <w:pPr>
              <w:spacing w:line="240" w:lineRule="auto"/>
              <w:jc w:val="center"/>
              <w:rPr>
                <w:rFonts w:eastAsia="Times New Roman"/>
                <w:b/>
                <w:bCs/>
                <w:color w:val="000000"/>
                <w:sz w:val="28"/>
                <w:szCs w:val="28"/>
                <w:lang w:val="en-IN"/>
              </w:rPr>
            </w:pPr>
          </w:p>
        </w:tc>
        <w:tc>
          <w:tcPr>
            <w:tcW w:w="1415" w:type="pct"/>
            <w:tcBorders>
              <w:top w:val="nil"/>
              <w:left w:val="nil"/>
              <w:bottom w:val="nil"/>
              <w:right w:val="nil"/>
            </w:tcBorders>
            <w:noWrap/>
            <w:vAlign w:val="center"/>
            <w:hideMark/>
          </w:tcPr>
          <w:p w14:paraId="2C225216"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3BB3E3C5" w14:textId="77777777" w:rsidR="00D60FDF" w:rsidRPr="00B42029" w:rsidRDefault="00D60FDF" w:rsidP="00D60FDF">
            <w:pPr>
              <w:spacing w:line="240" w:lineRule="auto"/>
              <w:rPr>
                <w:rFonts w:eastAsia="Times New Roman"/>
                <w:sz w:val="20"/>
                <w:szCs w:val="20"/>
                <w:lang w:val="en-IN"/>
              </w:rPr>
            </w:pPr>
          </w:p>
        </w:tc>
      </w:tr>
      <w:tr w:rsidR="00D60FDF" w:rsidRPr="00B42029" w14:paraId="195CB422" w14:textId="77777777" w:rsidTr="00D60FDF">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4CCE83B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Net Profit</w:t>
            </w:r>
          </w:p>
        </w:tc>
        <w:tc>
          <w:tcPr>
            <w:tcW w:w="984" w:type="pct"/>
            <w:tcBorders>
              <w:top w:val="single" w:sz="4" w:space="0" w:color="000000"/>
              <w:left w:val="nil"/>
              <w:bottom w:val="single" w:sz="4" w:space="0" w:color="000000"/>
              <w:right w:val="single" w:sz="4" w:space="0" w:color="000000"/>
            </w:tcBorders>
            <w:noWrap/>
            <w:vAlign w:val="center"/>
            <w:hideMark/>
          </w:tcPr>
          <w:p w14:paraId="299FE21E"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0.80 </w:t>
            </w:r>
          </w:p>
        </w:tc>
        <w:tc>
          <w:tcPr>
            <w:tcW w:w="108" w:type="pct"/>
            <w:tcBorders>
              <w:top w:val="nil"/>
              <w:left w:val="nil"/>
              <w:bottom w:val="nil"/>
              <w:right w:val="nil"/>
            </w:tcBorders>
            <w:noWrap/>
            <w:vAlign w:val="center"/>
            <w:hideMark/>
          </w:tcPr>
          <w:p w14:paraId="75B25C2E"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nil"/>
              <w:bottom w:val="nil"/>
              <w:right w:val="nil"/>
            </w:tcBorders>
            <w:noWrap/>
            <w:vAlign w:val="center"/>
            <w:hideMark/>
          </w:tcPr>
          <w:p w14:paraId="56875542"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20DEAB42" w14:textId="77777777" w:rsidR="00D60FDF" w:rsidRPr="00B42029" w:rsidRDefault="00D60FDF" w:rsidP="00D60FDF">
            <w:pPr>
              <w:spacing w:line="240" w:lineRule="auto"/>
              <w:rPr>
                <w:rFonts w:eastAsia="Times New Roman"/>
                <w:sz w:val="20"/>
                <w:szCs w:val="20"/>
                <w:lang w:val="en-IN"/>
              </w:rPr>
            </w:pPr>
          </w:p>
        </w:tc>
      </w:tr>
      <w:tr w:rsidR="00D60FDF" w:rsidRPr="00B42029" w14:paraId="4CDFD4C9"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147735D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Investment</w:t>
            </w:r>
          </w:p>
        </w:tc>
        <w:tc>
          <w:tcPr>
            <w:tcW w:w="984" w:type="pct"/>
            <w:tcBorders>
              <w:top w:val="nil"/>
              <w:left w:val="nil"/>
              <w:bottom w:val="single" w:sz="4" w:space="0" w:color="000000"/>
              <w:right w:val="single" w:sz="4" w:space="0" w:color="000000"/>
            </w:tcBorders>
            <w:noWrap/>
            <w:vAlign w:val="center"/>
            <w:hideMark/>
          </w:tcPr>
          <w:p w14:paraId="3C589F58"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2EE5B595"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nil"/>
              <w:bottom w:val="nil"/>
              <w:right w:val="nil"/>
            </w:tcBorders>
            <w:noWrap/>
            <w:vAlign w:val="center"/>
            <w:hideMark/>
          </w:tcPr>
          <w:p w14:paraId="3D73DAF6"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20A3F44C" w14:textId="77777777" w:rsidR="00D60FDF" w:rsidRPr="00B42029" w:rsidRDefault="00D60FDF" w:rsidP="00D60FDF">
            <w:pPr>
              <w:spacing w:line="240" w:lineRule="auto"/>
              <w:rPr>
                <w:rFonts w:eastAsia="Times New Roman"/>
                <w:sz w:val="20"/>
                <w:szCs w:val="20"/>
                <w:lang w:val="en-IN"/>
              </w:rPr>
            </w:pPr>
          </w:p>
        </w:tc>
      </w:tr>
      <w:tr w:rsidR="00D60FDF" w:rsidRPr="00B42029" w14:paraId="15D7F549"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41F3004E"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Accounting Rate of Return = Average Net Profit / Average Investment * 100</w:t>
            </w:r>
          </w:p>
        </w:tc>
        <w:tc>
          <w:tcPr>
            <w:tcW w:w="108" w:type="pct"/>
            <w:tcBorders>
              <w:top w:val="nil"/>
              <w:left w:val="nil"/>
              <w:bottom w:val="nil"/>
              <w:right w:val="nil"/>
            </w:tcBorders>
            <w:noWrap/>
            <w:vAlign w:val="center"/>
            <w:hideMark/>
          </w:tcPr>
          <w:p w14:paraId="225F8FA6"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47168894"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46827539" w14:textId="77777777" w:rsidR="00D60FDF" w:rsidRPr="00B42029" w:rsidRDefault="00D60FDF" w:rsidP="00D60FDF">
            <w:pPr>
              <w:spacing w:line="240" w:lineRule="auto"/>
              <w:rPr>
                <w:rFonts w:eastAsia="Times New Roman"/>
                <w:sz w:val="20"/>
                <w:szCs w:val="20"/>
                <w:lang w:val="en-IN"/>
              </w:rPr>
            </w:pPr>
          </w:p>
        </w:tc>
      </w:tr>
      <w:tr w:rsidR="00D60FDF" w:rsidRPr="00B42029" w14:paraId="17D929F8"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18E9A260"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ARR = £0.8 / £25 * 100</w:t>
            </w:r>
          </w:p>
        </w:tc>
        <w:tc>
          <w:tcPr>
            <w:tcW w:w="108" w:type="pct"/>
            <w:tcBorders>
              <w:top w:val="nil"/>
              <w:left w:val="nil"/>
              <w:bottom w:val="nil"/>
              <w:right w:val="nil"/>
            </w:tcBorders>
            <w:noWrap/>
            <w:vAlign w:val="center"/>
            <w:hideMark/>
          </w:tcPr>
          <w:p w14:paraId="560700D5"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65B7E1EA"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5A62B57C" w14:textId="77777777" w:rsidR="00D60FDF" w:rsidRPr="00B42029" w:rsidRDefault="00D60FDF" w:rsidP="00D60FDF">
            <w:pPr>
              <w:spacing w:line="240" w:lineRule="auto"/>
              <w:rPr>
                <w:rFonts w:eastAsia="Times New Roman"/>
                <w:sz w:val="20"/>
                <w:szCs w:val="20"/>
                <w:lang w:val="en-IN"/>
              </w:rPr>
            </w:pPr>
          </w:p>
        </w:tc>
      </w:tr>
      <w:tr w:rsidR="00D60FDF" w:rsidRPr="00B42029" w14:paraId="4A0C94B2"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012BD35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ARR = 3.2%</w:t>
            </w:r>
          </w:p>
        </w:tc>
        <w:tc>
          <w:tcPr>
            <w:tcW w:w="108" w:type="pct"/>
            <w:tcBorders>
              <w:top w:val="nil"/>
              <w:left w:val="nil"/>
              <w:bottom w:val="nil"/>
              <w:right w:val="nil"/>
            </w:tcBorders>
            <w:noWrap/>
            <w:vAlign w:val="center"/>
            <w:hideMark/>
          </w:tcPr>
          <w:p w14:paraId="09580FBF"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1260C305"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25265160" w14:textId="77777777" w:rsidR="00D60FDF" w:rsidRPr="00B42029" w:rsidRDefault="00D60FDF" w:rsidP="00D60FDF">
            <w:pPr>
              <w:spacing w:line="240" w:lineRule="auto"/>
              <w:rPr>
                <w:rFonts w:eastAsia="Times New Roman"/>
                <w:sz w:val="20"/>
                <w:szCs w:val="20"/>
                <w:lang w:val="en-IN"/>
              </w:rPr>
            </w:pPr>
          </w:p>
        </w:tc>
      </w:tr>
    </w:tbl>
    <w:p w14:paraId="0FCBE41C" w14:textId="5CFC57FA" w:rsidR="00D60FDF" w:rsidRPr="00B42029" w:rsidRDefault="00D60FDF" w:rsidP="00B8765D">
      <w:pPr>
        <w:spacing w:before="240" w:after="240" w:line="360" w:lineRule="auto"/>
        <w:jc w:val="both"/>
        <w:rPr>
          <w:sz w:val="24"/>
          <w:szCs w:val="24"/>
          <w:lang w:val="en-IN"/>
        </w:rPr>
      </w:pPr>
    </w:p>
    <w:p w14:paraId="57C807E8" w14:textId="77777777" w:rsidR="00D60FDF" w:rsidRPr="00B42029" w:rsidRDefault="00D60FDF">
      <w:pPr>
        <w:rPr>
          <w:sz w:val="24"/>
          <w:szCs w:val="24"/>
          <w:lang w:val="en-IN"/>
        </w:rPr>
      </w:pPr>
      <w:r w:rsidRPr="00B42029">
        <w:rPr>
          <w:sz w:val="24"/>
          <w:szCs w:val="24"/>
          <w:lang w:val="en-IN"/>
        </w:rPr>
        <w:br w:type="page"/>
      </w:r>
    </w:p>
    <w:tbl>
      <w:tblPr>
        <w:tblW w:w="5000" w:type="pct"/>
        <w:tblLook w:val="04A0" w:firstRow="1" w:lastRow="0" w:firstColumn="1" w:lastColumn="0" w:noHBand="0" w:noVBand="1"/>
      </w:tblPr>
      <w:tblGrid>
        <w:gridCol w:w="3014"/>
        <w:gridCol w:w="1761"/>
        <w:gridCol w:w="222"/>
        <w:gridCol w:w="2538"/>
        <w:gridCol w:w="1484"/>
      </w:tblGrid>
      <w:tr w:rsidR="00D60FDF" w:rsidRPr="00B42029" w14:paraId="133C1D02" w14:textId="77777777" w:rsidTr="00D60FDF">
        <w:trPr>
          <w:trHeight w:val="315"/>
        </w:trPr>
        <w:tc>
          <w:tcPr>
            <w:tcW w:w="5000" w:type="pct"/>
            <w:gridSpan w:val="5"/>
            <w:tcBorders>
              <w:top w:val="single" w:sz="4" w:space="0" w:color="000000"/>
              <w:left w:val="single" w:sz="4" w:space="0" w:color="000000"/>
              <w:bottom w:val="single" w:sz="4" w:space="0" w:color="000000"/>
              <w:right w:val="single" w:sz="4" w:space="0" w:color="000000"/>
            </w:tcBorders>
            <w:noWrap/>
            <w:vAlign w:val="center"/>
            <w:hideMark/>
          </w:tcPr>
          <w:p w14:paraId="07383B00"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lastRenderedPageBreak/>
              <w:t>Project B</w:t>
            </w:r>
          </w:p>
        </w:tc>
      </w:tr>
      <w:tr w:rsidR="00D60FDF" w:rsidRPr="00B42029" w14:paraId="1EAE2071"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04319D70"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Cashflows</w:t>
            </w:r>
          </w:p>
        </w:tc>
        <w:tc>
          <w:tcPr>
            <w:tcW w:w="108" w:type="pct"/>
            <w:tcBorders>
              <w:top w:val="nil"/>
              <w:left w:val="nil"/>
              <w:bottom w:val="nil"/>
              <w:right w:val="nil"/>
            </w:tcBorders>
            <w:noWrap/>
            <w:vAlign w:val="center"/>
            <w:hideMark/>
          </w:tcPr>
          <w:p w14:paraId="7E717EA4" w14:textId="77777777" w:rsidR="00D60FDF" w:rsidRPr="00B42029" w:rsidRDefault="00D60FDF" w:rsidP="00D60FDF">
            <w:pPr>
              <w:spacing w:line="240" w:lineRule="auto"/>
              <w:jc w:val="center"/>
              <w:rPr>
                <w:rFonts w:eastAsia="Times New Roman"/>
                <w:b/>
                <w:bCs/>
                <w:color w:val="000000"/>
                <w:sz w:val="28"/>
                <w:szCs w:val="28"/>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6314592E"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Annual Depreciation</w:t>
            </w:r>
          </w:p>
        </w:tc>
      </w:tr>
      <w:tr w:rsidR="00D60FDF" w:rsidRPr="00B42029" w14:paraId="50E79B95" w14:textId="77777777" w:rsidTr="00D60FDF">
        <w:trPr>
          <w:trHeight w:val="315"/>
        </w:trPr>
        <w:tc>
          <w:tcPr>
            <w:tcW w:w="1679" w:type="pct"/>
            <w:tcBorders>
              <w:top w:val="nil"/>
              <w:left w:val="single" w:sz="4" w:space="0" w:color="000000"/>
              <w:bottom w:val="single" w:sz="4" w:space="0" w:color="000000"/>
              <w:right w:val="single" w:sz="4" w:space="0" w:color="000000"/>
            </w:tcBorders>
            <w:vAlign w:val="center"/>
            <w:hideMark/>
          </w:tcPr>
          <w:p w14:paraId="191F43A7"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984" w:type="pct"/>
            <w:tcBorders>
              <w:top w:val="nil"/>
              <w:left w:val="nil"/>
              <w:bottom w:val="single" w:sz="4" w:space="0" w:color="000000"/>
              <w:right w:val="single" w:sz="4" w:space="0" w:color="000000"/>
            </w:tcBorders>
            <w:vAlign w:val="center"/>
            <w:hideMark/>
          </w:tcPr>
          <w:p w14:paraId="5F7324C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08" w:type="pct"/>
            <w:tcBorders>
              <w:top w:val="nil"/>
              <w:left w:val="nil"/>
              <w:bottom w:val="nil"/>
              <w:right w:val="nil"/>
            </w:tcBorders>
            <w:noWrap/>
            <w:vAlign w:val="center"/>
            <w:hideMark/>
          </w:tcPr>
          <w:p w14:paraId="5F56A83A"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1A80B348"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Initial Value</w:t>
            </w:r>
          </w:p>
        </w:tc>
        <w:tc>
          <w:tcPr>
            <w:tcW w:w="813" w:type="pct"/>
            <w:tcBorders>
              <w:top w:val="nil"/>
              <w:left w:val="nil"/>
              <w:bottom w:val="single" w:sz="4" w:space="0" w:color="000000"/>
              <w:right w:val="single" w:sz="4" w:space="0" w:color="000000"/>
            </w:tcBorders>
            <w:noWrap/>
            <w:vAlign w:val="center"/>
            <w:hideMark/>
          </w:tcPr>
          <w:p w14:paraId="566A8E7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 </w:t>
            </w:r>
          </w:p>
        </w:tc>
      </w:tr>
      <w:tr w:rsidR="00D60FDF" w:rsidRPr="00B42029" w14:paraId="7BA0A0B2"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604879BF"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984" w:type="pct"/>
            <w:tcBorders>
              <w:top w:val="nil"/>
              <w:left w:val="nil"/>
              <w:bottom w:val="single" w:sz="4" w:space="0" w:color="000000"/>
              <w:right w:val="single" w:sz="4" w:space="0" w:color="000000"/>
            </w:tcBorders>
            <w:noWrap/>
            <w:vAlign w:val="center"/>
            <w:hideMark/>
          </w:tcPr>
          <w:p w14:paraId="57736D5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0235FA4C"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6BCFF3B9"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Residual Value</w:t>
            </w:r>
          </w:p>
        </w:tc>
        <w:tc>
          <w:tcPr>
            <w:tcW w:w="813" w:type="pct"/>
            <w:tcBorders>
              <w:top w:val="nil"/>
              <w:left w:val="nil"/>
              <w:bottom w:val="single" w:sz="4" w:space="0" w:color="000000"/>
              <w:right w:val="single" w:sz="4" w:space="0" w:color="000000"/>
            </w:tcBorders>
            <w:noWrap/>
            <w:vAlign w:val="center"/>
            <w:hideMark/>
          </w:tcPr>
          <w:p w14:paraId="23C5F04E"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r>
      <w:tr w:rsidR="00D60FDF" w:rsidRPr="00B42029" w14:paraId="00E020BD"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5C41CDFD"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w:t>
            </w:r>
          </w:p>
        </w:tc>
        <w:tc>
          <w:tcPr>
            <w:tcW w:w="984" w:type="pct"/>
            <w:tcBorders>
              <w:top w:val="nil"/>
              <w:left w:val="nil"/>
              <w:bottom w:val="single" w:sz="4" w:space="0" w:color="000000"/>
              <w:right w:val="single" w:sz="4" w:space="0" w:color="000000"/>
            </w:tcBorders>
            <w:noWrap/>
            <w:vAlign w:val="center"/>
            <w:hideMark/>
          </w:tcPr>
          <w:p w14:paraId="6388508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7F864147"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5C8332C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Number of Years</w:t>
            </w:r>
          </w:p>
        </w:tc>
        <w:tc>
          <w:tcPr>
            <w:tcW w:w="813" w:type="pct"/>
            <w:tcBorders>
              <w:top w:val="nil"/>
              <w:left w:val="nil"/>
              <w:bottom w:val="single" w:sz="4" w:space="0" w:color="000000"/>
              <w:right w:val="single" w:sz="4" w:space="0" w:color="000000"/>
            </w:tcBorders>
            <w:noWrap/>
            <w:vAlign w:val="center"/>
            <w:hideMark/>
          </w:tcPr>
          <w:p w14:paraId="303F20F5"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w:t>
            </w:r>
          </w:p>
        </w:tc>
      </w:tr>
      <w:tr w:rsidR="00D60FDF" w:rsidRPr="00B42029" w14:paraId="2CEE1A4F"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31549BF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3</w:t>
            </w:r>
          </w:p>
        </w:tc>
        <w:tc>
          <w:tcPr>
            <w:tcW w:w="984" w:type="pct"/>
            <w:tcBorders>
              <w:top w:val="nil"/>
              <w:left w:val="nil"/>
              <w:bottom w:val="single" w:sz="4" w:space="0" w:color="000000"/>
              <w:right w:val="single" w:sz="4" w:space="0" w:color="000000"/>
            </w:tcBorders>
            <w:noWrap/>
            <w:vAlign w:val="center"/>
            <w:hideMark/>
          </w:tcPr>
          <w:p w14:paraId="15EF6FF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1DA79FBA"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42A772DB"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 Initial Value - Residual Value / No. of Years</w:t>
            </w:r>
          </w:p>
        </w:tc>
      </w:tr>
      <w:tr w:rsidR="00D60FDF" w:rsidRPr="00B42029" w14:paraId="484B3691"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4574034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4</w:t>
            </w:r>
          </w:p>
        </w:tc>
        <w:tc>
          <w:tcPr>
            <w:tcW w:w="984" w:type="pct"/>
            <w:tcBorders>
              <w:top w:val="nil"/>
              <w:left w:val="nil"/>
              <w:bottom w:val="single" w:sz="4" w:space="0" w:color="000000"/>
              <w:right w:val="single" w:sz="4" w:space="0" w:color="000000"/>
            </w:tcBorders>
            <w:noWrap/>
            <w:vAlign w:val="center"/>
            <w:hideMark/>
          </w:tcPr>
          <w:p w14:paraId="0EAF2FBD"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71C710D1"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7CDD13BD"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Calculations = £50 - £0 / 5</w:t>
            </w:r>
          </w:p>
        </w:tc>
      </w:tr>
      <w:tr w:rsidR="00D60FDF" w:rsidRPr="00B42029" w14:paraId="0FC22A17"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8792ABA"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w:t>
            </w:r>
          </w:p>
        </w:tc>
        <w:tc>
          <w:tcPr>
            <w:tcW w:w="984" w:type="pct"/>
            <w:tcBorders>
              <w:top w:val="nil"/>
              <w:left w:val="nil"/>
              <w:bottom w:val="single" w:sz="4" w:space="0" w:color="000000"/>
              <w:right w:val="single" w:sz="4" w:space="0" w:color="000000"/>
            </w:tcBorders>
            <w:noWrap/>
            <w:vAlign w:val="center"/>
            <w:hideMark/>
          </w:tcPr>
          <w:p w14:paraId="2B68D11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08" w:type="pct"/>
            <w:tcBorders>
              <w:top w:val="nil"/>
              <w:left w:val="nil"/>
              <w:bottom w:val="nil"/>
              <w:right w:val="nil"/>
            </w:tcBorders>
            <w:noWrap/>
            <w:vAlign w:val="center"/>
            <w:hideMark/>
          </w:tcPr>
          <w:p w14:paraId="6F29A5E2"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2BCDC318"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 £10</w:t>
            </w:r>
          </w:p>
        </w:tc>
      </w:tr>
      <w:tr w:rsidR="00D60FDF" w:rsidRPr="00B42029" w14:paraId="4ED02656"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26D57AF1"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Total</w:t>
            </w:r>
          </w:p>
        </w:tc>
        <w:tc>
          <w:tcPr>
            <w:tcW w:w="984" w:type="pct"/>
            <w:tcBorders>
              <w:top w:val="nil"/>
              <w:left w:val="nil"/>
              <w:bottom w:val="single" w:sz="4" w:space="0" w:color="000000"/>
              <w:right w:val="single" w:sz="4" w:space="0" w:color="000000"/>
            </w:tcBorders>
            <w:noWrap/>
            <w:vAlign w:val="center"/>
            <w:hideMark/>
          </w:tcPr>
          <w:p w14:paraId="66DA2712"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 xml:space="preserve"> £          55.00 </w:t>
            </w:r>
          </w:p>
        </w:tc>
        <w:tc>
          <w:tcPr>
            <w:tcW w:w="108" w:type="pct"/>
            <w:tcBorders>
              <w:top w:val="nil"/>
              <w:left w:val="nil"/>
              <w:bottom w:val="nil"/>
              <w:right w:val="nil"/>
            </w:tcBorders>
            <w:noWrap/>
            <w:vAlign w:val="center"/>
            <w:hideMark/>
          </w:tcPr>
          <w:p w14:paraId="5A19CE3B"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2B098E78"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28AB4DB0" w14:textId="77777777" w:rsidR="00D60FDF" w:rsidRPr="00B42029" w:rsidRDefault="00D60FDF" w:rsidP="00D60FDF">
            <w:pPr>
              <w:spacing w:line="240" w:lineRule="auto"/>
              <w:rPr>
                <w:rFonts w:eastAsia="Times New Roman"/>
                <w:sz w:val="20"/>
                <w:szCs w:val="20"/>
                <w:lang w:val="en-IN"/>
              </w:rPr>
            </w:pPr>
          </w:p>
        </w:tc>
      </w:tr>
      <w:tr w:rsidR="00D60FDF" w:rsidRPr="00B42029" w14:paraId="5157B8C4"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225BA36F"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 Total Cash Flows / No. of Years</w:t>
            </w:r>
          </w:p>
        </w:tc>
        <w:tc>
          <w:tcPr>
            <w:tcW w:w="108" w:type="pct"/>
            <w:tcBorders>
              <w:top w:val="nil"/>
              <w:left w:val="nil"/>
              <w:bottom w:val="nil"/>
              <w:right w:val="nil"/>
            </w:tcBorders>
            <w:noWrap/>
            <w:vAlign w:val="center"/>
            <w:hideMark/>
          </w:tcPr>
          <w:p w14:paraId="3099AC45"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1272AFD5"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54D02CE9" w14:textId="77777777" w:rsidR="00D60FDF" w:rsidRPr="00B42029" w:rsidRDefault="00D60FDF" w:rsidP="00D60FDF">
            <w:pPr>
              <w:spacing w:line="240" w:lineRule="auto"/>
              <w:rPr>
                <w:rFonts w:eastAsia="Times New Roman"/>
                <w:sz w:val="20"/>
                <w:szCs w:val="20"/>
                <w:lang w:val="en-IN"/>
              </w:rPr>
            </w:pPr>
          </w:p>
        </w:tc>
      </w:tr>
      <w:tr w:rsidR="00D60FDF" w:rsidRPr="00B42029" w14:paraId="4C174C70"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2D58140A"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Calculations = £55 / 5</w:t>
            </w:r>
          </w:p>
        </w:tc>
        <w:tc>
          <w:tcPr>
            <w:tcW w:w="108" w:type="pct"/>
            <w:tcBorders>
              <w:top w:val="nil"/>
              <w:left w:val="nil"/>
              <w:bottom w:val="nil"/>
              <w:right w:val="nil"/>
            </w:tcBorders>
            <w:noWrap/>
            <w:vAlign w:val="center"/>
            <w:hideMark/>
          </w:tcPr>
          <w:p w14:paraId="27059F7F"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1DC49924"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1A33B0EE" w14:textId="77777777" w:rsidR="00D60FDF" w:rsidRPr="00B42029" w:rsidRDefault="00D60FDF" w:rsidP="00D60FDF">
            <w:pPr>
              <w:spacing w:line="240" w:lineRule="auto"/>
              <w:rPr>
                <w:rFonts w:eastAsia="Times New Roman"/>
                <w:sz w:val="20"/>
                <w:szCs w:val="20"/>
                <w:lang w:val="en-IN"/>
              </w:rPr>
            </w:pPr>
          </w:p>
        </w:tc>
      </w:tr>
      <w:tr w:rsidR="00D60FDF" w:rsidRPr="00B42029" w14:paraId="2D4E2D87"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34DC4472"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 £11</w:t>
            </w:r>
          </w:p>
        </w:tc>
        <w:tc>
          <w:tcPr>
            <w:tcW w:w="108" w:type="pct"/>
            <w:tcBorders>
              <w:top w:val="nil"/>
              <w:left w:val="nil"/>
              <w:bottom w:val="nil"/>
              <w:right w:val="nil"/>
            </w:tcBorders>
            <w:noWrap/>
            <w:vAlign w:val="center"/>
            <w:hideMark/>
          </w:tcPr>
          <w:p w14:paraId="013AA881"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425EFD3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5125AC41" w14:textId="77777777" w:rsidR="00D60FDF" w:rsidRPr="00B42029" w:rsidRDefault="00D60FDF" w:rsidP="00D60FDF">
            <w:pPr>
              <w:spacing w:line="240" w:lineRule="auto"/>
              <w:rPr>
                <w:rFonts w:eastAsia="Times New Roman"/>
                <w:sz w:val="20"/>
                <w:szCs w:val="20"/>
                <w:lang w:val="en-IN"/>
              </w:rPr>
            </w:pPr>
          </w:p>
        </w:tc>
      </w:tr>
      <w:tr w:rsidR="00D60FDF" w:rsidRPr="00B42029" w14:paraId="63BA6453" w14:textId="77777777" w:rsidTr="00D60FDF">
        <w:trPr>
          <w:trHeight w:val="315"/>
        </w:trPr>
        <w:tc>
          <w:tcPr>
            <w:tcW w:w="1679" w:type="pct"/>
            <w:tcBorders>
              <w:top w:val="nil"/>
              <w:left w:val="nil"/>
              <w:bottom w:val="nil"/>
              <w:right w:val="nil"/>
            </w:tcBorders>
            <w:noWrap/>
            <w:vAlign w:val="center"/>
            <w:hideMark/>
          </w:tcPr>
          <w:p w14:paraId="2B356DCF" w14:textId="77777777" w:rsidR="00D60FDF" w:rsidRPr="00B42029" w:rsidRDefault="00D60FDF" w:rsidP="00D60FDF">
            <w:pPr>
              <w:spacing w:line="240" w:lineRule="auto"/>
              <w:rPr>
                <w:rFonts w:eastAsia="Times New Roman"/>
                <w:sz w:val="20"/>
                <w:szCs w:val="20"/>
                <w:lang w:val="en-IN"/>
              </w:rPr>
            </w:pPr>
          </w:p>
        </w:tc>
        <w:tc>
          <w:tcPr>
            <w:tcW w:w="984" w:type="pct"/>
            <w:tcBorders>
              <w:top w:val="nil"/>
              <w:left w:val="nil"/>
              <w:bottom w:val="nil"/>
              <w:right w:val="nil"/>
            </w:tcBorders>
            <w:noWrap/>
            <w:vAlign w:val="center"/>
            <w:hideMark/>
          </w:tcPr>
          <w:p w14:paraId="3BC268E7"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2C3F436E" w14:textId="77777777" w:rsidR="00D60FDF" w:rsidRPr="00B42029" w:rsidRDefault="00D60FDF" w:rsidP="00D60FDF">
            <w:pPr>
              <w:spacing w:line="240" w:lineRule="auto"/>
              <w:rPr>
                <w:rFonts w:eastAsia="Times New Roman"/>
                <w:sz w:val="20"/>
                <w:szCs w:val="20"/>
                <w:lang w:val="en-IN"/>
              </w:rPr>
            </w:pPr>
          </w:p>
        </w:tc>
        <w:tc>
          <w:tcPr>
            <w:tcW w:w="1415" w:type="pct"/>
            <w:tcBorders>
              <w:top w:val="nil"/>
              <w:left w:val="nil"/>
              <w:bottom w:val="nil"/>
              <w:right w:val="nil"/>
            </w:tcBorders>
            <w:noWrap/>
            <w:vAlign w:val="center"/>
            <w:hideMark/>
          </w:tcPr>
          <w:p w14:paraId="120AA0D1"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3CC81AD6" w14:textId="77777777" w:rsidR="00D60FDF" w:rsidRPr="00B42029" w:rsidRDefault="00D60FDF" w:rsidP="00D60FDF">
            <w:pPr>
              <w:spacing w:line="240" w:lineRule="auto"/>
              <w:rPr>
                <w:rFonts w:eastAsia="Times New Roman"/>
                <w:sz w:val="20"/>
                <w:szCs w:val="20"/>
                <w:lang w:val="en-IN"/>
              </w:rPr>
            </w:pPr>
          </w:p>
        </w:tc>
      </w:tr>
      <w:tr w:rsidR="00D60FDF" w:rsidRPr="00B42029" w14:paraId="50CD6B04" w14:textId="77777777" w:rsidTr="00D60FDF">
        <w:trPr>
          <w:trHeight w:val="315"/>
        </w:trPr>
        <w:tc>
          <w:tcPr>
            <w:tcW w:w="2663" w:type="pct"/>
            <w:gridSpan w:val="2"/>
            <w:tcBorders>
              <w:top w:val="nil"/>
              <w:left w:val="nil"/>
              <w:bottom w:val="nil"/>
              <w:right w:val="nil"/>
            </w:tcBorders>
            <w:noWrap/>
            <w:vAlign w:val="center"/>
            <w:hideMark/>
          </w:tcPr>
          <w:p w14:paraId="00A7A32A"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Investment</w:t>
            </w:r>
          </w:p>
        </w:tc>
        <w:tc>
          <w:tcPr>
            <w:tcW w:w="108" w:type="pct"/>
            <w:tcBorders>
              <w:top w:val="nil"/>
              <w:left w:val="nil"/>
              <w:bottom w:val="nil"/>
              <w:right w:val="nil"/>
            </w:tcBorders>
            <w:noWrap/>
            <w:vAlign w:val="center"/>
            <w:hideMark/>
          </w:tcPr>
          <w:p w14:paraId="3A2B4206" w14:textId="77777777" w:rsidR="00D60FDF" w:rsidRPr="00B42029" w:rsidRDefault="00D60FDF" w:rsidP="00D60FDF">
            <w:pPr>
              <w:spacing w:line="240" w:lineRule="auto"/>
              <w:jc w:val="center"/>
              <w:rPr>
                <w:rFonts w:eastAsia="Times New Roman"/>
                <w:b/>
                <w:bCs/>
                <w:color w:val="000000"/>
                <w:sz w:val="28"/>
                <w:szCs w:val="28"/>
                <w:lang w:val="en-IN"/>
              </w:rPr>
            </w:pPr>
          </w:p>
        </w:tc>
        <w:tc>
          <w:tcPr>
            <w:tcW w:w="2229" w:type="pct"/>
            <w:gridSpan w:val="2"/>
            <w:tcBorders>
              <w:top w:val="nil"/>
              <w:left w:val="nil"/>
              <w:bottom w:val="nil"/>
              <w:right w:val="nil"/>
            </w:tcBorders>
            <w:noWrap/>
            <w:vAlign w:val="center"/>
            <w:hideMark/>
          </w:tcPr>
          <w:p w14:paraId="2890A9C3"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Net Profit</w:t>
            </w:r>
          </w:p>
        </w:tc>
      </w:tr>
      <w:tr w:rsidR="00D60FDF" w:rsidRPr="00B42029" w14:paraId="4A395DE7"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738F55B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Investment = Initial Value + Residual Value / 2</w:t>
            </w:r>
          </w:p>
        </w:tc>
        <w:tc>
          <w:tcPr>
            <w:tcW w:w="108" w:type="pct"/>
            <w:tcBorders>
              <w:top w:val="nil"/>
              <w:left w:val="nil"/>
              <w:bottom w:val="nil"/>
              <w:right w:val="nil"/>
            </w:tcBorders>
            <w:noWrap/>
            <w:vAlign w:val="center"/>
            <w:hideMark/>
          </w:tcPr>
          <w:p w14:paraId="5CD912F8"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0EB98FB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Cashflow</w:t>
            </w:r>
          </w:p>
        </w:tc>
        <w:tc>
          <w:tcPr>
            <w:tcW w:w="813" w:type="pct"/>
            <w:tcBorders>
              <w:top w:val="single" w:sz="4" w:space="0" w:color="000000"/>
              <w:left w:val="nil"/>
              <w:bottom w:val="single" w:sz="4" w:space="0" w:color="000000"/>
              <w:right w:val="single" w:sz="4" w:space="0" w:color="000000"/>
            </w:tcBorders>
            <w:noWrap/>
            <w:vAlign w:val="center"/>
            <w:hideMark/>
          </w:tcPr>
          <w:p w14:paraId="7FCBD86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r>
      <w:tr w:rsidR="00D60FDF" w:rsidRPr="00B42029" w14:paraId="208EA089"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15D43E3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Investment = £50 + £0 / 2</w:t>
            </w:r>
          </w:p>
        </w:tc>
        <w:tc>
          <w:tcPr>
            <w:tcW w:w="108" w:type="pct"/>
            <w:tcBorders>
              <w:top w:val="nil"/>
              <w:left w:val="nil"/>
              <w:bottom w:val="nil"/>
              <w:right w:val="nil"/>
            </w:tcBorders>
            <w:noWrap/>
            <w:vAlign w:val="center"/>
            <w:hideMark/>
          </w:tcPr>
          <w:p w14:paraId="0A63688D"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22AE8EEA"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Annual Depreciation </w:t>
            </w:r>
          </w:p>
        </w:tc>
        <w:tc>
          <w:tcPr>
            <w:tcW w:w="813" w:type="pct"/>
            <w:tcBorders>
              <w:top w:val="nil"/>
              <w:left w:val="nil"/>
              <w:bottom w:val="single" w:sz="4" w:space="0" w:color="000000"/>
              <w:right w:val="single" w:sz="4" w:space="0" w:color="000000"/>
            </w:tcBorders>
            <w:noWrap/>
            <w:vAlign w:val="center"/>
            <w:hideMark/>
          </w:tcPr>
          <w:p w14:paraId="1DAD687F"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r>
      <w:tr w:rsidR="00D60FDF" w:rsidRPr="00B42029" w14:paraId="0446A94F"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1AB17DCA"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Investment = £25</w:t>
            </w:r>
          </w:p>
        </w:tc>
        <w:tc>
          <w:tcPr>
            <w:tcW w:w="108" w:type="pct"/>
            <w:tcBorders>
              <w:top w:val="nil"/>
              <w:left w:val="nil"/>
              <w:bottom w:val="nil"/>
              <w:right w:val="nil"/>
            </w:tcBorders>
            <w:noWrap/>
            <w:vAlign w:val="center"/>
            <w:hideMark/>
          </w:tcPr>
          <w:p w14:paraId="263375F1" w14:textId="77777777" w:rsidR="00D60FDF" w:rsidRPr="00B42029" w:rsidRDefault="00D60FDF" w:rsidP="00D60FDF">
            <w:pPr>
              <w:spacing w:line="240" w:lineRule="auto"/>
              <w:jc w:val="center"/>
              <w:rPr>
                <w:rFonts w:eastAsia="Times New Roman"/>
                <w:b/>
                <w:bCs/>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1F4063F0"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Net Profit = </w:t>
            </w: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Cashflow - Annual Depreciation </w:t>
            </w:r>
          </w:p>
        </w:tc>
      </w:tr>
      <w:tr w:rsidR="00D60FDF" w:rsidRPr="00B42029" w14:paraId="15C31FD9" w14:textId="77777777" w:rsidTr="00D60FDF">
        <w:trPr>
          <w:trHeight w:val="315"/>
        </w:trPr>
        <w:tc>
          <w:tcPr>
            <w:tcW w:w="1679" w:type="pct"/>
            <w:tcBorders>
              <w:top w:val="nil"/>
              <w:left w:val="nil"/>
              <w:bottom w:val="nil"/>
              <w:right w:val="nil"/>
            </w:tcBorders>
            <w:noWrap/>
            <w:vAlign w:val="center"/>
            <w:hideMark/>
          </w:tcPr>
          <w:p w14:paraId="25D9FB3E"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36882E33"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2161289B" w14:textId="77777777" w:rsidR="00D60FDF" w:rsidRPr="00B42029" w:rsidRDefault="00D60FDF" w:rsidP="00D60FDF">
            <w:pPr>
              <w:spacing w:line="240" w:lineRule="auto"/>
              <w:rPr>
                <w:rFonts w:eastAsia="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275F8020"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Net Profit = £10.8 - £10</w:t>
            </w:r>
          </w:p>
        </w:tc>
      </w:tr>
      <w:tr w:rsidR="00D60FDF" w:rsidRPr="00B42029" w14:paraId="270521D8" w14:textId="77777777" w:rsidTr="00D60FDF">
        <w:trPr>
          <w:trHeight w:val="315"/>
        </w:trPr>
        <w:tc>
          <w:tcPr>
            <w:tcW w:w="1679" w:type="pct"/>
            <w:tcBorders>
              <w:top w:val="nil"/>
              <w:left w:val="nil"/>
              <w:bottom w:val="nil"/>
              <w:right w:val="nil"/>
            </w:tcBorders>
            <w:noWrap/>
            <w:vAlign w:val="center"/>
            <w:hideMark/>
          </w:tcPr>
          <w:p w14:paraId="79A98199"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76DDCC81"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35FB6FDE" w14:textId="77777777" w:rsidR="00D60FDF" w:rsidRPr="00B42029" w:rsidRDefault="00D60FDF" w:rsidP="00D60FDF">
            <w:pPr>
              <w:spacing w:line="240" w:lineRule="auto"/>
              <w:rPr>
                <w:rFonts w:eastAsia="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09FF6CFF"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Net Profit = £1</w:t>
            </w:r>
          </w:p>
        </w:tc>
      </w:tr>
      <w:tr w:rsidR="00D60FDF" w:rsidRPr="00B42029" w14:paraId="2BBD8846" w14:textId="77777777" w:rsidTr="00D60FDF">
        <w:trPr>
          <w:trHeight w:val="315"/>
        </w:trPr>
        <w:tc>
          <w:tcPr>
            <w:tcW w:w="1679" w:type="pct"/>
            <w:tcBorders>
              <w:top w:val="nil"/>
              <w:left w:val="nil"/>
              <w:bottom w:val="nil"/>
              <w:right w:val="nil"/>
            </w:tcBorders>
            <w:noWrap/>
            <w:vAlign w:val="center"/>
            <w:hideMark/>
          </w:tcPr>
          <w:p w14:paraId="0AF01F95"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38F84EE0"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28F6C69C" w14:textId="77777777" w:rsidR="00D60FDF" w:rsidRPr="00B42029" w:rsidRDefault="00D60FDF" w:rsidP="00D60FDF">
            <w:pPr>
              <w:spacing w:line="240" w:lineRule="auto"/>
              <w:rPr>
                <w:rFonts w:eastAsia="Times New Roman"/>
                <w:sz w:val="20"/>
                <w:szCs w:val="20"/>
                <w:lang w:val="en-IN"/>
              </w:rPr>
            </w:pPr>
          </w:p>
        </w:tc>
        <w:tc>
          <w:tcPr>
            <w:tcW w:w="1415" w:type="pct"/>
            <w:tcBorders>
              <w:top w:val="nil"/>
              <w:left w:val="nil"/>
              <w:bottom w:val="nil"/>
              <w:right w:val="nil"/>
            </w:tcBorders>
            <w:noWrap/>
            <w:vAlign w:val="center"/>
            <w:hideMark/>
          </w:tcPr>
          <w:p w14:paraId="1E2E2358"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6B0EA42F" w14:textId="77777777" w:rsidR="00D60FDF" w:rsidRPr="00B42029" w:rsidRDefault="00D60FDF" w:rsidP="00D60FDF">
            <w:pPr>
              <w:spacing w:line="240" w:lineRule="auto"/>
              <w:rPr>
                <w:rFonts w:eastAsia="Times New Roman"/>
                <w:sz w:val="20"/>
                <w:szCs w:val="20"/>
                <w:lang w:val="en-IN"/>
              </w:rPr>
            </w:pPr>
          </w:p>
        </w:tc>
      </w:tr>
      <w:tr w:rsidR="00D60FDF" w:rsidRPr="00B42029" w14:paraId="13805176" w14:textId="77777777" w:rsidTr="00D60FDF">
        <w:trPr>
          <w:trHeight w:val="315"/>
        </w:trPr>
        <w:tc>
          <w:tcPr>
            <w:tcW w:w="2663" w:type="pct"/>
            <w:gridSpan w:val="2"/>
            <w:tcBorders>
              <w:top w:val="nil"/>
              <w:left w:val="nil"/>
              <w:bottom w:val="nil"/>
              <w:right w:val="nil"/>
            </w:tcBorders>
            <w:vAlign w:val="center"/>
            <w:hideMark/>
          </w:tcPr>
          <w:p w14:paraId="2121C02C"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Accounting Rate of Return (ARR) (%)</w:t>
            </w:r>
          </w:p>
        </w:tc>
        <w:tc>
          <w:tcPr>
            <w:tcW w:w="108" w:type="pct"/>
            <w:tcBorders>
              <w:top w:val="nil"/>
              <w:left w:val="nil"/>
              <w:bottom w:val="nil"/>
              <w:right w:val="nil"/>
            </w:tcBorders>
            <w:noWrap/>
            <w:vAlign w:val="center"/>
            <w:hideMark/>
          </w:tcPr>
          <w:p w14:paraId="26D60A30" w14:textId="77777777" w:rsidR="00D60FDF" w:rsidRPr="00B42029" w:rsidRDefault="00D60FDF" w:rsidP="00D60FDF">
            <w:pPr>
              <w:spacing w:line="240" w:lineRule="auto"/>
              <w:jc w:val="center"/>
              <w:rPr>
                <w:rFonts w:eastAsia="Times New Roman"/>
                <w:b/>
                <w:bCs/>
                <w:color w:val="000000"/>
                <w:sz w:val="28"/>
                <w:szCs w:val="28"/>
                <w:lang w:val="en-IN"/>
              </w:rPr>
            </w:pPr>
          </w:p>
        </w:tc>
        <w:tc>
          <w:tcPr>
            <w:tcW w:w="1415" w:type="pct"/>
            <w:tcBorders>
              <w:top w:val="nil"/>
              <w:left w:val="nil"/>
              <w:bottom w:val="nil"/>
              <w:right w:val="nil"/>
            </w:tcBorders>
            <w:noWrap/>
            <w:vAlign w:val="center"/>
            <w:hideMark/>
          </w:tcPr>
          <w:p w14:paraId="7C51A1B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62B6A261" w14:textId="77777777" w:rsidR="00D60FDF" w:rsidRPr="00B42029" w:rsidRDefault="00D60FDF" w:rsidP="00D60FDF">
            <w:pPr>
              <w:spacing w:line="240" w:lineRule="auto"/>
              <w:rPr>
                <w:rFonts w:eastAsia="Times New Roman"/>
                <w:sz w:val="20"/>
                <w:szCs w:val="20"/>
                <w:lang w:val="en-IN"/>
              </w:rPr>
            </w:pPr>
          </w:p>
        </w:tc>
      </w:tr>
      <w:tr w:rsidR="00D60FDF" w:rsidRPr="00B42029" w14:paraId="36696936" w14:textId="77777777" w:rsidTr="00D60FDF">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3CC1D6C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Net Profit</w:t>
            </w:r>
          </w:p>
        </w:tc>
        <w:tc>
          <w:tcPr>
            <w:tcW w:w="984" w:type="pct"/>
            <w:tcBorders>
              <w:top w:val="single" w:sz="4" w:space="0" w:color="000000"/>
              <w:left w:val="nil"/>
              <w:bottom w:val="single" w:sz="4" w:space="0" w:color="000000"/>
              <w:right w:val="single" w:sz="4" w:space="0" w:color="000000"/>
            </w:tcBorders>
            <w:noWrap/>
            <w:vAlign w:val="center"/>
            <w:hideMark/>
          </w:tcPr>
          <w:p w14:paraId="7358C7D6"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 </w:t>
            </w:r>
          </w:p>
        </w:tc>
        <w:tc>
          <w:tcPr>
            <w:tcW w:w="108" w:type="pct"/>
            <w:tcBorders>
              <w:top w:val="nil"/>
              <w:left w:val="nil"/>
              <w:bottom w:val="nil"/>
              <w:right w:val="nil"/>
            </w:tcBorders>
            <w:noWrap/>
            <w:vAlign w:val="center"/>
            <w:hideMark/>
          </w:tcPr>
          <w:p w14:paraId="2FF74425"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nil"/>
              <w:bottom w:val="nil"/>
              <w:right w:val="nil"/>
            </w:tcBorders>
            <w:noWrap/>
            <w:vAlign w:val="center"/>
            <w:hideMark/>
          </w:tcPr>
          <w:p w14:paraId="3BFE0C65"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1C2E4713" w14:textId="77777777" w:rsidR="00D60FDF" w:rsidRPr="00B42029" w:rsidRDefault="00D60FDF" w:rsidP="00D60FDF">
            <w:pPr>
              <w:spacing w:line="240" w:lineRule="auto"/>
              <w:rPr>
                <w:rFonts w:eastAsia="Times New Roman"/>
                <w:sz w:val="20"/>
                <w:szCs w:val="20"/>
                <w:lang w:val="en-IN"/>
              </w:rPr>
            </w:pPr>
          </w:p>
        </w:tc>
      </w:tr>
      <w:tr w:rsidR="00D60FDF" w:rsidRPr="00B42029" w14:paraId="0E57D944"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4F6172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Investment</w:t>
            </w:r>
          </w:p>
        </w:tc>
        <w:tc>
          <w:tcPr>
            <w:tcW w:w="984" w:type="pct"/>
            <w:tcBorders>
              <w:top w:val="nil"/>
              <w:left w:val="nil"/>
              <w:bottom w:val="single" w:sz="4" w:space="0" w:color="000000"/>
              <w:right w:val="single" w:sz="4" w:space="0" w:color="000000"/>
            </w:tcBorders>
            <w:noWrap/>
            <w:vAlign w:val="center"/>
            <w:hideMark/>
          </w:tcPr>
          <w:p w14:paraId="6FE2370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546548C1"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nil"/>
              <w:bottom w:val="nil"/>
              <w:right w:val="nil"/>
            </w:tcBorders>
            <w:noWrap/>
            <w:vAlign w:val="center"/>
            <w:hideMark/>
          </w:tcPr>
          <w:p w14:paraId="4CA4E5D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6D130947" w14:textId="77777777" w:rsidR="00D60FDF" w:rsidRPr="00B42029" w:rsidRDefault="00D60FDF" w:rsidP="00D60FDF">
            <w:pPr>
              <w:spacing w:line="240" w:lineRule="auto"/>
              <w:rPr>
                <w:rFonts w:eastAsia="Times New Roman"/>
                <w:sz w:val="20"/>
                <w:szCs w:val="20"/>
                <w:lang w:val="en-IN"/>
              </w:rPr>
            </w:pPr>
          </w:p>
        </w:tc>
      </w:tr>
      <w:tr w:rsidR="00D60FDF" w:rsidRPr="00B42029" w14:paraId="72E9E218"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5B36AB8A"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Accounting Rate of Return = Average Net Profit / Average Investment * 100</w:t>
            </w:r>
          </w:p>
        </w:tc>
        <w:tc>
          <w:tcPr>
            <w:tcW w:w="108" w:type="pct"/>
            <w:tcBorders>
              <w:top w:val="nil"/>
              <w:left w:val="nil"/>
              <w:bottom w:val="nil"/>
              <w:right w:val="nil"/>
            </w:tcBorders>
            <w:noWrap/>
            <w:vAlign w:val="center"/>
            <w:hideMark/>
          </w:tcPr>
          <w:p w14:paraId="5B5FC2EB"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03C59FE5"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4F93C498" w14:textId="77777777" w:rsidR="00D60FDF" w:rsidRPr="00B42029" w:rsidRDefault="00D60FDF" w:rsidP="00D60FDF">
            <w:pPr>
              <w:spacing w:line="240" w:lineRule="auto"/>
              <w:rPr>
                <w:rFonts w:eastAsia="Times New Roman"/>
                <w:sz w:val="20"/>
                <w:szCs w:val="20"/>
                <w:lang w:val="en-IN"/>
              </w:rPr>
            </w:pPr>
          </w:p>
        </w:tc>
      </w:tr>
      <w:tr w:rsidR="00D60FDF" w:rsidRPr="00B42029" w14:paraId="4D00B19D"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11939B9F"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ARR = £1 / £25 * 100</w:t>
            </w:r>
          </w:p>
        </w:tc>
        <w:tc>
          <w:tcPr>
            <w:tcW w:w="108" w:type="pct"/>
            <w:tcBorders>
              <w:top w:val="nil"/>
              <w:left w:val="nil"/>
              <w:bottom w:val="nil"/>
              <w:right w:val="nil"/>
            </w:tcBorders>
            <w:noWrap/>
            <w:vAlign w:val="center"/>
            <w:hideMark/>
          </w:tcPr>
          <w:p w14:paraId="66C5E1A0"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506DA02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18A6AB27" w14:textId="77777777" w:rsidR="00D60FDF" w:rsidRPr="00B42029" w:rsidRDefault="00D60FDF" w:rsidP="00D60FDF">
            <w:pPr>
              <w:spacing w:line="240" w:lineRule="auto"/>
              <w:rPr>
                <w:rFonts w:eastAsia="Times New Roman"/>
                <w:sz w:val="20"/>
                <w:szCs w:val="20"/>
                <w:lang w:val="en-IN"/>
              </w:rPr>
            </w:pPr>
          </w:p>
        </w:tc>
      </w:tr>
      <w:tr w:rsidR="00D60FDF" w:rsidRPr="00B42029" w14:paraId="52976A0F"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2EAAA19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ARR = 4%</w:t>
            </w:r>
          </w:p>
        </w:tc>
        <w:tc>
          <w:tcPr>
            <w:tcW w:w="108" w:type="pct"/>
            <w:tcBorders>
              <w:top w:val="nil"/>
              <w:left w:val="nil"/>
              <w:bottom w:val="nil"/>
              <w:right w:val="nil"/>
            </w:tcBorders>
            <w:noWrap/>
            <w:vAlign w:val="center"/>
            <w:hideMark/>
          </w:tcPr>
          <w:p w14:paraId="6305D141"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71399BAD"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4A163FB9" w14:textId="77777777" w:rsidR="00D60FDF" w:rsidRPr="00B42029" w:rsidRDefault="00D60FDF" w:rsidP="00D60FDF">
            <w:pPr>
              <w:spacing w:line="240" w:lineRule="auto"/>
              <w:rPr>
                <w:rFonts w:eastAsia="Times New Roman"/>
                <w:sz w:val="20"/>
                <w:szCs w:val="20"/>
                <w:lang w:val="en-IN"/>
              </w:rPr>
            </w:pPr>
          </w:p>
        </w:tc>
      </w:tr>
    </w:tbl>
    <w:p w14:paraId="517A542E" w14:textId="65FE7CB1" w:rsidR="00D60FDF" w:rsidRPr="00B42029" w:rsidRDefault="00D60FDF" w:rsidP="00B8765D">
      <w:pPr>
        <w:spacing w:before="240" w:after="240" w:line="360" w:lineRule="auto"/>
        <w:jc w:val="both"/>
        <w:rPr>
          <w:sz w:val="24"/>
          <w:szCs w:val="24"/>
          <w:lang w:val="en-IN"/>
        </w:rPr>
      </w:pPr>
    </w:p>
    <w:p w14:paraId="6F028251" w14:textId="77777777" w:rsidR="00D60FDF" w:rsidRPr="00B42029" w:rsidRDefault="00D60FDF">
      <w:pPr>
        <w:rPr>
          <w:sz w:val="24"/>
          <w:szCs w:val="24"/>
          <w:lang w:val="en-IN"/>
        </w:rPr>
      </w:pPr>
      <w:r w:rsidRPr="00B42029">
        <w:rPr>
          <w:sz w:val="24"/>
          <w:szCs w:val="24"/>
          <w:lang w:val="en-IN"/>
        </w:rPr>
        <w:br w:type="page"/>
      </w:r>
    </w:p>
    <w:tbl>
      <w:tblPr>
        <w:tblW w:w="5000" w:type="pct"/>
        <w:tblLook w:val="04A0" w:firstRow="1" w:lastRow="0" w:firstColumn="1" w:lastColumn="0" w:noHBand="0" w:noVBand="1"/>
      </w:tblPr>
      <w:tblGrid>
        <w:gridCol w:w="3014"/>
        <w:gridCol w:w="1761"/>
        <w:gridCol w:w="222"/>
        <w:gridCol w:w="2538"/>
        <w:gridCol w:w="1484"/>
      </w:tblGrid>
      <w:tr w:rsidR="00D60FDF" w:rsidRPr="00B42029" w14:paraId="30D4C202" w14:textId="77777777" w:rsidTr="00D60FDF">
        <w:trPr>
          <w:trHeight w:val="315"/>
        </w:trPr>
        <w:tc>
          <w:tcPr>
            <w:tcW w:w="5000" w:type="pct"/>
            <w:gridSpan w:val="5"/>
            <w:tcBorders>
              <w:top w:val="single" w:sz="4" w:space="0" w:color="000000"/>
              <w:left w:val="single" w:sz="4" w:space="0" w:color="000000"/>
              <w:bottom w:val="single" w:sz="4" w:space="0" w:color="000000"/>
              <w:right w:val="single" w:sz="4" w:space="0" w:color="000000"/>
            </w:tcBorders>
            <w:noWrap/>
            <w:vAlign w:val="center"/>
            <w:hideMark/>
          </w:tcPr>
          <w:p w14:paraId="60C641BC"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lastRenderedPageBreak/>
              <w:t>Project C</w:t>
            </w:r>
          </w:p>
        </w:tc>
      </w:tr>
      <w:tr w:rsidR="00D60FDF" w:rsidRPr="00B42029" w14:paraId="744E0F2B"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6D23921A"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Cashflows</w:t>
            </w:r>
          </w:p>
        </w:tc>
        <w:tc>
          <w:tcPr>
            <w:tcW w:w="108" w:type="pct"/>
            <w:tcBorders>
              <w:top w:val="nil"/>
              <w:left w:val="nil"/>
              <w:bottom w:val="nil"/>
              <w:right w:val="nil"/>
            </w:tcBorders>
            <w:noWrap/>
            <w:vAlign w:val="center"/>
            <w:hideMark/>
          </w:tcPr>
          <w:p w14:paraId="08A8E550" w14:textId="77777777" w:rsidR="00D60FDF" w:rsidRPr="00B42029" w:rsidRDefault="00D60FDF" w:rsidP="00D60FDF">
            <w:pPr>
              <w:spacing w:line="240" w:lineRule="auto"/>
              <w:jc w:val="center"/>
              <w:rPr>
                <w:rFonts w:eastAsia="Times New Roman"/>
                <w:b/>
                <w:bCs/>
                <w:color w:val="000000"/>
                <w:sz w:val="28"/>
                <w:szCs w:val="28"/>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5271D6E6"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Annual Depreciation</w:t>
            </w:r>
          </w:p>
        </w:tc>
      </w:tr>
      <w:tr w:rsidR="00D60FDF" w:rsidRPr="00B42029" w14:paraId="7665CA0D" w14:textId="77777777" w:rsidTr="00D60FDF">
        <w:trPr>
          <w:trHeight w:val="315"/>
        </w:trPr>
        <w:tc>
          <w:tcPr>
            <w:tcW w:w="1679" w:type="pct"/>
            <w:tcBorders>
              <w:top w:val="nil"/>
              <w:left w:val="single" w:sz="4" w:space="0" w:color="000000"/>
              <w:bottom w:val="single" w:sz="4" w:space="0" w:color="000000"/>
              <w:right w:val="single" w:sz="4" w:space="0" w:color="000000"/>
            </w:tcBorders>
            <w:vAlign w:val="center"/>
            <w:hideMark/>
          </w:tcPr>
          <w:p w14:paraId="71A8C7C0"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984" w:type="pct"/>
            <w:tcBorders>
              <w:top w:val="nil"/>
              <w:left w:val="nil"/>
              <w:bottom w:val="single" w:sz="4" w:space="0" w:color="000000"/>
              <w:right w:val="single" w:sz="4" w:space="0" w:color="000000"/>
            </w:tcBorders>
            <w:vAlign w:val="center"/>
            <w:hideMark/>
          </w:tcPr>
          <w:p w14:paraId="7303F693"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08" w:type="pct"/>
            <w:tcBorders>
              <w:top w:val="nil"/>
              <w:left w:val="nil"/>
              <w:bottom w:val="nil"/>
              <w:right w:val="nil"/>
            </w:tcBorders>
            <w:noWrap/>
            <w:vAlign w:val="center"/>
            <w:hideMark/>
          </w:tcPr>
          <w:p w14:paraId="7A175FE8"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6DC746E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Initial Value</w:t>
            </w:r>
          </w:p>
        </w:tc>
        <w:tc>
          <w:tcPr>
            <w:tcW w:w="813" w:type="pct"/>
            <w:tcBorders>
              <w:top w:val="nil"/>
              <w:left w:val="nil"/>
              <w:bottom w:val="single" w:sz="4" w:space="0" w:color="000000"/>
              <w:right w:val="single" w:sz="4" w:space="0" w:color="000000"/>
            </w:tcBorders>
            <w:noWrap/>
            <w:vAlign w:val="center"/>
            <w:hideMark/>
          </w:tcPr>
          <w:p w14:paraId="10F732D5"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 </w:t>
            </w:r>
          </w:p>
        </w:tc>
      </w:tr>
      <w:tr w:rsidR="00D60FDF" w:rsidRPr="00B42029" w14:paraId="67D71A9F"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3A054929"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984" w:type="pct"/>
            <w:tcBorders>
              <w:top w:val="nil"/>
              <w:left w:val="nil"/>
              <w:bottom w:val="single" w:sz="4" w:space="0" w:color="000000"/>
              <w:right w:val="single" w:sz="4" w:space="0" w:color="000000"/>
            </w:tcBorders>
            <w:noWrap/>
            <w:vAlign w:val="center"/>
            <w:hideMark/>
          </w:tcPr>
          <w:p w14:paraId="77D48E38"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08" w:type="pct"/>
            <w:tcBorders>
              <w:top w:val="nil"/>
              <w:left w:val="nil"/>
              <w:bottom w:val="nil"/>
              <w:right w:val="nil"/>
            </w:tcBorders>
            <w:noWrap/>
            <w:vAlign w:val="center"/>
            <w:hideMark/>
          </w:tcPr>
          <w:p w14:paraId="306102DD"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14B7B05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Residual Value</w:t>
            </w:r>
          </w:p>
        </w:tc>
        <w:tc>
          <w:tcPr>
            <w:tcW w:w="813" w:type="pct"/>
            <w:tcBorders>
              <w:top w:val="nil"/>
              <w:left w:val="nil"/>
              <w:bottom w:val="single" w:sz="4" w:space="0" w:color="000000"/>
              <w:right w:val="single" w:sz="4" w:space="0" w:color="000000"/>
            </w:tcBorders>
            <w:noWrap/>
            <w:vAlign w:val="center"/>
            <w:hideMark/>
          </w:tcPr>
          <w:p w14:paraId="65F44A66"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r>
      <w:tr w:rsidR="00D60FDF" w:rsidRPr="00B42029" w14:paraId="78473F66"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4225315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w:t>
            </w:r>
          </w:p>
        </w:tc>
        <w:tc>
          <w:tcPr>
            <w:tcW w:w="984" w:type="pct"/>
            <w:tcBorders>
              <w:top w:val="nil"/>
              <w:left w:val="nil"/>
              <w:bottom w:val="single" w:sz="4" w:space="0" w:color="000000"/>
              <w:right w:val="single" w:sz="4" w:space="0" w:color="000000"/>
            </w:tcBorders>
            <w:noWrap/>
            <w:vAlign w:val="center"/>
            <w:hideMark/>
          </w:tcPr>
          <w:p w14:paraId="27E369F8"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08" w:type="pct"/>
            <w:tcBorders>
              <w:top w:val="nil"/>
              <w:left w:val="nil"/>
              <w:bottom w:val="nil"/>
              <w:right w:val="nil"/>
            </w:tcBorders>
            <w:noWrap/>
            <w:vAlign w:val="center"/>
            <w:hideMark/>
          </w:tcPr>
          <w:p w14:paraId="5A6516E0"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732B69A9"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Number of Years</w:t>
            </w:r>
          </w:p>
        </w:tc>
        <w:tc>
          <w:tcPr>
            <w:tcW w:w="813" w:type="pct"/>
            <w:tcBorders>
              <w:top w:val="nil"/>
              <w:left w:val="nil"/>
              <w:bottom w:val="single" w:sz="4" w:space="0" w:color="000000"/>
              <w:right w:val="single" w:sz="4" w:space="0" w:color="000000"/>
            </w:tcBorders>
            <w:noWrap/>
            <w:vAlign w:val="center"/>
            <w:hideMark/>
          </w:tcPr>
          <w:p w14:paraId="638173E0"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w:t>
            </w:r>
          </w:p>
        </w:tc>
      </w:tr>
      <w:tr w:rsidR="00D60FDF" w:rsidRPr="00B42029" w14:paraId="656E75DC"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605822E4"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3</w:t>
            </w:r>
          </w:p>
        </w:tc>
        <w:tc>
          <w:tcPr>
            <w:tcW w:w="984" w:type="pct"/>
            <w:tcBorders>
              <w:top w:val="nil"/>
              <w:left w:val="nil"/>
              <w:bottom w:val="single" w:sz="4" w:space="0" w:color="000000"/>
              <w:right w:val="single" w:sz="4" w:space="0" w:color="000000"/>
            </w:tcBorders>
            <w:noWrap/>
            <w:vAlign w:val="center"/>
            <w:hideMark/>
          </w:tcPr>
          <w:p w14:paraId="303F61F7"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108" w:type="pct"/>
            <w:tcBorders>
              <w:top w:val="nil"/>
              <w:left w:val="nil"/>
              <w:bottom w:val="nil"/>
              <w:right w:val="nil"/>
            </w:tcBorders>
            <w:noWrap/>
            <w:vAlign w:val="center"/>
            <w:hideMark/>
          </w:tcPr>
          <w:p w14:paraId="0A9E121B"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6D295353"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 Initial Value - Residual Value / No. of Years</w:t>
            </w:r>
          </w:p>
        </w:tc>
      </w:tr>
      <w:tr w:rsidR="00D60FDF" w:rsidRPr="00B42029" w14:paraId="0C301513"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59AC698A"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4</w:t>
            </w:r>
          </w:p>
        </w:tc>
        <w:tc>
          <w:tcPr>
            <w:tcW w:w="984" w:type="pct"/>
            <w:tcBorders>
              <w:top w:val="nil"/>
              <w:left w:val="nil"/>
              <w:bottom w:val="single" w:sz="4" w:space="0" w:color="000000"/>
              <w:right w:val="single" w:sz="4" w:space="0" w:color="000000"/>
            </w:tcBorders>
            <w:noWrap/>
            <w:vAlign w:val="center"/>
            <w:hideMark/>
          </w:tcPr>
          <w:p w14:paraId="4659AD3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79563DBD"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7C8B6F0C"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Calculations = £50 - £0 / 5</w:t>
            </w:r>
          </w:p>
        </w:tc>
      </w:tr>
      <w:tr w:rsidR="00D60FDF" w:rsidRPr="00B42029" w14:paraId="6FAE0DA7"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2BA53B2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w:t>
            </w:r>
          </w:p>
        </w:tc>
        <w:tc>
          <w:tcPr>
            <w:tcW w:w="984" w:type="pct"/>
            <w:tcBorders>
              <w:top w:val="nil"/>
              <w:left w:val="nil"/>
              <w:bottom w:val="single" w:sz="4" w:space="0" w:color="000000"/>
              <w:right w:val="single" w:sz="4" w:space="0" w:color="000000"/>
            </w:tcBorders>
            <w:noWrap/>
            <w:vAlign w:val="center"/>
            <w:hideMark/>
          </w:tcPr>
          <w:p w14:paraId="7CDB9C1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08" w:type="pct"/>
            <w:tcBorders>
              <w:top w:val="nil"/>
              <w:left w:val="nil"/>
              <w:bottom w:val="nil"/>
              <w:right w:val="nil"/>
            </w:tcBorders>
            <w:noWrap/>
            <w:vAlign w:val="center"/>
            <w:hideMark/>
          </w:tcPr>
          <w:p w14:paraId="1000E6EB" w14:textId="77777777" w:rsidR="00D60FDF" w:rsidRPr="00B42029" w:rsidRDefault="00D60FDF" w:rsidP="00D60FDF">
            <w:pPr>
              <w:spacing w:line="240" w:lineRule="auto"/>
              <w:jc w:val="center"/>
              <w:rPr>
                <w:rFonts w:eastAsia="Times New Roman"/>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0DA78BE2"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Depreciation = £10</w:t>
            </w:r>
          </w:p>
        </w:tc>
      </w:tr>
      <w:tr w:rsidR="00D60FDF" w:rsidRPr="00B42029" w14:paraId="015DDE5F"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034EB47C"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Total</w:t>
            </w:r>
          </w:p>
        </w:tc>
        <w:tc>
          <w:tcPr>
            <w:tcW w:w="984" w:type="pct"/>
            <w:tcBorders>
              <w:top w:val="nil"/>
              <w:left w:val="nil"/>
              <w:bottom w:val="single" w:sz="4" w:space="0" w:color="000000"/>
              <w:right w:val="single" w:sz="4" w:space="0" w:color="000000"/>
            </w:tcBorders>
            <w:noWrap/>
            <w:vAlign w:val="center"/>
            <w:hideMark/>
          </w:tcPr>
          <w:p w14:paraId="7D6EB36A"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 xml:space="preserve"> £          65.00 </w:t>
            </w:r>
          </w:p>
        </w:tc>
        <w:tc>
          <w:tcPr>
            <w:tcW w:w="108" w:type="pct"/>
            <w:tcBorders>
              <w:top w:val="nil"/>
              <w:left w:val="nil"/>
              <w:bottom w:val="nil"/>
              <w:right w:val="nil"/>
            </w:tcBorders>
            <w:noWrap/>
            <w:vAlign w:val="center"/>
            <w:hideMark/>
          </w:tcPr>
          <w:p w14:paraId="1AE5D675"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7E61151A"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6D737509" w14:textId="77777777" w:rsidR="00D60FDF" w:rsidRPr="00B42029" w:rsidRDefault="00D60FDF" w:rsidP="00D60FDF">
            <w:pPr>
              <w:spacing w:line="240" w:lineRule="auto"/>
              <w:rPr>
                <w:rFonts w:eastAsia="Times New Roman"/>
                <w:sz w:val="20"/>
                <w:szCs w:val="20"/>
                <w:lang w:val="en-IN"/>
              </w:rPr>
            </w:pPr>
          </w:p>
        </w:tc>
      </w:tr>
      <w:tr w:rsidR="00D60FDF" w:rsidRPr="00B42029" w14:paraId="1F914F8E"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09289EFC"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 Total Cash Flows / No. of Years</w:t>
            </w:r>
          </w:p>
        </w:tc>
        <w:tc>
          <w:tcPr>
            <w:tcW w:w="108" w:type="pct"/>
            <w:tcBorders>
              <w:top w:val="nil"/>
              <w:left w:val="nil"/>
              <w:bottom w:val="nil"/>
              <w:right w:val="nil"/>
            </w:tcBorders>
            <w:noWrap/>
            <w:vAlign w:val="center"/>
            <w:hideMark/>
          </w:tcPr>
          <w:p w14:paraId="7667CD10"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0732C7E7"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422BA622" w14:textId="77777777" w:rsidR="00D60FDF" w:rsidRPr="00B42029" w:rsidRDefault="00D60FDF" w:rsidP="00D60FDF">
            <w:pPr>
              <w:spacing w:line="240" w:lineRule="auto"/>
              <w:rPr>
                <w:rFonts w:eastAsia="Times New Roman"/>
                <w:sz w:val="20"/>
                <w:szCs w:val="20"/>
                <w:lang w:val="en-IN"/>
              </w:rPr>
            </w:pPr>
          </w:p>
        </w:tc>
      </w:tr>
      <w:tr w:rsidR="00D60FDF" w:rsidRPr="00B42029" w14:paraId="4E2A0931"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24A5AEF6"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Calculations = £65 / 5</w:t>
            </w:r>
          </w:p>
        </w:tc>
        <w:tc>
          <w:tcPr>
            <w:tcW w:w="108" w:type="pct"/>
            <w:tcBorders>
              <w:top w:val="nil"/>
              <w:left w:val="nil"/>
              <w:bottom w:val="nil"/>
              <w:right w:val="nil"/>
            </w:tcBorders>
            <w:noWrap/>
            <w:vAlign w:val="center"/>
            <w:hideMark/>
          </w:tcPr>
          <w:p w14:paraId="0335EBF0"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46A8FE20"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5C29E459" w14:textId="77777777" w:rsidR="00D60FDF" w:rsidRPr="00B42029" w:rsidRDefault="00D60FDF" w:rsidP="00D60FDF">
            <w:pPr>
              <w:spacing w:line="240" w:lineRule="auto"/>
              <w:rPr>
                <w:rFonts w:eastAsia="Times New Roman"/>
                <w:sz w:val="20"/>
                <w:szCs w:val="20"/>
                <w:lang w:val="en-IN"/>
              </w:rPr>
            </w:pPr>
          </w:p>
        </w:tc>
      </w:tr>
      <w:tr w:rsidR="00D60FDF" w:rsidRPr="00B42029" w14:paraId="09FDA479"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3DAF74FE"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 Flows = £13</w:t>
            </w:r>
          </w:p>
        </w:tc>
        <w:tc>
          <w:tcPr>
            <w:tcW w:w="108" w:type="pct"/>
            <w:tcBorders>
              <w:top w:val="nil"/>
              <w:left w:val="nil"/>
              <w:bottom w:val="nil"/>
              <w:right w:val="nil"/>
            </w:tcBorders>
            <w:noWrap/>
            <w:vAlign w:val="center"/>
            <w:hideMark/>
          </w:tcPr>
          <w:p w14:paraId="0F280619"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0D7EAE0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4FE7C857" w14:textId="77777777" w:rsidR="00D60FDF" w:rsidRPr="00B42029" w:rsidRDefault="00D60FDF" w:rsidP="00D60FDF">
            <w:pPr>
              <w:spacing w:line="240" w:lineRule="auto"/>
              <w:rPr>
                <w:rFonts w:eastAsia="Times New Roman"/>
                <w:sz w:val="20"/>
                <w:szCs w:val="20"/>
                <w:lang w:val="en-IN"/>
              </w:rPr>
            </w:pPr>
          </w:p>
        </w:tc>
      </w:tr>
      <w:tr w:rsidR="00D60FDF" w:rsidRPr="00B42029" w14:paraId="09A17245" w14:textId="77777777" w:rsidTr="00D60FDF">
        <w:trPr>
          <w:trHeight w:val="315"/>
        </w:trPr>
        <w:tc>
          <w:tcPr>
            <w:tcW w:w="1679" w:type="pct"/>
            <w:tcBorders>
              <w:top w:val="nil"/>
              <w:left w:val="nil"/>
              <w:bottom w:val="nil"/>
              <w:right w:val="nil"/>
            </w:tcBorders>
            <w:noWrap/>
            <w:vAlign w:val="center"/>
            <w:hideMark/>
          </w:tcPr>
          <w:p w14:paraId="629B7AE4" w14:textId="77777777" w:rsidR="00D60FDF" w:rsidRPr="00B42029" w:rsidRDefault="00D60FDF" w:rsidP="00D60FDF">
            <w:pPr>
              <w:spacing w:line="240" w:lineRule="auto"/>
              <w:rPr>
                <w:rFonts w:eastAsia="Times New Roman"/>
                <w:sz w:val="20"/>
                <w:szCs w:val="20"/>
                <w:lang w:val="en-IN"/>
              </w:rPr>
            </w:pPr>
          </w:p>
        </w:tc>
        <w:tc>
          <w:tcPr>
            <w:tcW w:w="984" w:type="pct"/>
            <w:tcBorders>
              <w:top w:val="nil"/>
              <w:left w:val="nil"/>
              <w:bottom w:val="nil"/>
              <w:right w:val="nil"/>
            </w:tcBorders>
            <w:noWrap/>
            <w:vAlign w:val="center"/>
            <w:hideMark/>
          </w:tcPr>
          <w:p w14:paraId="01C65ADE"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3198A88D" w14:textId="77777777" w:rsidR="00D60FDF" w:rsidRPr="00B42029" w:rsidRDefault="00D60FDF" w:rsidP="00D60FDF">
            <w:pPr>
              <w:spacing w:line="240" w:lineRule="auto"/>
              <w:rPr>
                <w:rFonts w:eastAsia="Times New Roman"/>
                <w:sz w:val="20"/>
                <w:szCs w:val="20"/>
                <w:lang w:val="en-IN"/>
              </w:rPr>
            </w:pPr>
          </w:p>
        </w:tc>
        <w:tc>
          <w:tcPr>
            <w:tcW w:w="1415" w:type="pct"/>
            <w:tcBorders>
              <w:top w:val="nil"/>
              <w:left w:val="nil"/>
              <w:bottom w:val="nil"/>
              <w:right w:val="nil"/>
            </w:tcBorders>
            <w:noWrap/>
            <w:vAlign w:val="center"/>
            <w:hideMark/>
          </w:tcPr>
          <w:p w14:paraId="48870204"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7E65274B" w14:textId="77777777" w:rsidR="00D60FDF" w:rsidRPr="00B42029" w:rsidRDefault="00D60FDF" w:rsidP="00D60FDF">
            <w:pPr>
              <w:spacing w:line="240" w:lineRule="auto"/>
              <w:rPr>
                <w:rFonts w:eastAsia="Times New Roman"/>
                <w:sz w:val="20"/>
                <w:szCs w:val="20"/>
                <w:lang w:val="en-IN"/>
              </w:rPr>
            </w:pPr>
          </w:p>
        </w:tc>
      </w:tr>
      <w:tr w:rsidR="00D60FDF" w:rsidRPr="00B42029" w14:paraId="68E7AF54" w14:textId="77777777" w:rsidTr="00D60FDF">
        <w:trPr>
          <w:trHeight w:val="315"/>
        </w:trPr>
        <w:tc>
          <w:tcPr>
            <w:tcW w:w="2663" w:type="pct"/>
            <w:gridSpan w:val="2"/>
            <w:tcBorders>
              <w:top w:val="nil"/>
              <w:left w:val="nil"/>
              <w:bottom w:val="nil"/>
              <w:right w:val="nil"/>
            </w:tcBorders>
            <w:noWrap/>
            <w:vAlign w:val="center"/>
            <w:hideMark/>
          </w:tcPr>
          <w:p w14:paraId="11A964A9"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Investment</w:t>
            </w:r>
          </w:p>
        </w:tc>
        <w:tc>
          <w:tcPr>
            <w:tcW w:w="108" w:type="pct"/>
            <w:tcBorders>
              <w:top w:val="nil"/>
              <w:left w:val="nil"/>
              <w:bottom w:val="nil"/>
              <w:right w:val="nil"/>
            </w:tcBorders>
            <w:noWrap/>
            <w:vAlign w:val="center"/>
            <w:hideMark/>
          </w:tcPr>
          <w:p w14:paraId="2A876596" w14:textId="77777777" w:rsidR="00D60FDF" w:rsidRPr="00B42029" w:rsidRDefault="00D60FDF" w:rsidP="00D60FDF">
            <w:pPr>
              <w:spacing w:line="240" w:lineRule="auto"/>
              <w:jc w:val="center"/>
              <w:rPr>
                <w:rFonts w:eastAsia="Times New Roman"/>
                <w:b/>
                <w:bCs/>
                <w:color w:val="000000"/>
                <w:sz w:val="28"/>
                <w:szCs w:val="28"/>
                <w:lang w:val="en-IN"/>
              </w:rPr>
            </w:pPr>
          </w:p>
        </w:tc>
        <w:tc>
          <w:tcPr>
            <w:tcW w:w="2229" w:type="pct"/>
            <w:gridSpan w:val="2"/>
            <w:tcBorders>
              <w:top w:val="nil"/>
              <w:left w:val="nil"/>
              <w:bottom w:val="nil"/>
              <w:right w:val="nil"/>
            </w:tcBorders>
            <w:noWrap/>
            <w:vAlign w:val="center"/>
            <w:hideMark/>
          </w:tcPr>
          <w:p w14:paraId="2750FC31"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Average Net Profit</w:t>
            </w:r>
          </w:p>
        </w:tc>
      </w:tr>
      <w:tr w:rsidR="00D60FDF" w:rsidRPr="00B42029" w14:paraId="30570AB4"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1B3E06F4"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Investment = Initial Value + Residual Value / 2</w:t>
            </w:r>
          </w:p>
        </w:tc>
        <w:tc>
          <w:tcPr>
            <w:tcW w:w="108" w:type="pct"/>
            <w:tcBorders>
              <w:top w:val="nil"/>
              <w:left w:val="nil"/>
              <w:bottom w:val="nil"/>
              <w:right w:val="nil"/>
            </w:tcBorders>
            <w:noWrap/>
            <w:vAlign w:val="center"/>
            <w:hideMark/>
          </w:tcPr>
          <w:p w14:paraId="359D8586"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single" w:sz="4" w:space="0" w:color="000000"/>
              <w:left w:val="single" w:sz="4" w:space="0" w:color="000000"/>
              <w:bottom w:val="single" w:sz="4" w:space="0" w:color="000000"/>
              <w:right w:val="single" w:sz="4" w:space="0" w:color="000000"/>
            </w:tcBorders>
            <w:noWrap/>
            <w:vAlign w:val="center"/>
            <w:hideMark/>
          </w:tcPr>
          <w:p w14:paraId="7718391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Cashflow</w:t>
            </w:r>
          </w:p>
        </w:tc>
        <w:tc>
          <w:tcPr>
            <w:tcW w:w="813" w:type="pct"/>
            <w:tcBorders>
              <w:top w:val="single" w:sz="4" w:space="0" w:color="000000"/>
              <w:left w:val="nil"/>
              <w:bottom w:val="single" w:sz="4" w:space="0" w:color="000000"/>
              <w:right w:val="single" w:sz="4" w:space="0" w:color="000000"/>
            </w:tcBorders>
            <w:noWrap/>
            <w:vAlign w:val="center"/>
            <w:hideMark/>
          </w:tcPr>
          <w:p w14:paraId="77526E1B"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13.00 </w:t>
            </w:r>
          </w:p>
        </w:tc>
      </w:tr>
      <w:tr w:rsidR="00D60FDF" w:rsidRPr="00B42029" w14:paraId="79642E4B"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16426FD6"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Investment = £50 + £0 / 2</w:t>
            </w:r>
          </w:p>
        </w:tc>
        <w:tc>
          <w:tcPr>
            <w:tcW w:w="108" w:type="pct"/>
            <w:tcBorders>
              <w:top w:val="nil"/>
              <w:left w:val="nil"/>
              <w:bottom w:val="nil"/>
              <w:right w:val="nil"/>
            </w:tcBorders>
            <w:noWrap/>
            <w:vAlign w:val="center"/>
            <w:hideMark/>
          </w:tcPr>
          <w:p w14:paraId="0DC9336C"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single" w:sz="4" w:space="0" w:color="000000"/>
              <w:bottom w:val="single" w:sz="4" w:space="0" w:color="000000"/>
              <w:right w:val="single" w:sz="4" w:space="0" w:color="000000"/>
            </w:tcBorders>
            <w:noWrap/>
            <w:vAlign w:val="center"/>
            <w:hideMark/>
          </w:tcPr>
          <w:p w14:paraId="7AC65F11"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Annual Depreciation </w:t>
            </w:r>
          </w:p>
        </w:tc>
        <w:tc>
          <w:tcPr>
            <w:tcW w:w="813" w:type="pct"/>
            <w:tcBorders>
              <w:top w:val="nil"/>
              <w:left w:val="nil"/>
              <w:bottom w:val="single" w:sz="4" w:space="0" w:color="000000"/>
              <w:right w:val="single" w:sz="4" w:space="0" w:color="000000"/>
            </w:tcBorders>
            <w:noWrap/>
            <w:vAlign w:val="center"/>
            <w:hideMark/>
          </w:tcPr>
          <w:p w14:paraId="273A0F28"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r>
      <w:tr w:rsidR="00D60FDF" w:rsidRPr="00B42029" w14:paraId="69AF78DD"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1350FF5D"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Annual Investment = £25</w:t>
            </w:r>
          </w:p>
        </w:tc>
        <w:tc>
          <w:tcPr>
            <w:tcW w:w="108" w:type="pct"/>
            <w:tcBorders>
              <w:top w:val="nil"/>
              <w:left w:val="nil"/>
              <w:bottom w:val="nil"/>
              <w:right w:val="nil"/>
            </w:tcBorders>
            <w:noWrap/>
            <w:vAlign w:val="center"/>
            <w:hideMark/>
          </w:tcPr>
          <w:p w14:paraId="2561600A" w14:textId="77777777" w:rsidR="00D60FDF" w:rsidRPr="00B42029" w:rsidRDefault="00D60FDF" w:rsidP="00D60FDF">
            <w:pPr>
              <w:spacing w:line="240" w:lineRule="auto"/>
              <w:jc w:val="center"/>
              <w:rPr>
                <w:rFonts w:eastAsia="Times New Roman"/>
                <w:b/>
                <w:bCs/>
                <w:color w:val="000000"/>
                <w:sz w:val="24"/>
                <w:szCs w:val="24"/>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23AE1D87"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Net Profit = </w:t>
            </w: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Cashflow - Annual Depreciation </w:t>
            </w:r>
          </w:p>
        </w:tc>
      </w:tr>
      <w:tr w:rsidR="00D60FDF" w:rsidRPr="00B42029" w14:paraId="2929FB87" w14:textId="77777777" w:rsidTr="00D60FDF">
        <w:trPr>
          <w:trHeight w:val="315"/>
        </w:trPr>
        <w:tc>
          <w:tcPr>
            <w:tcW w:w="1679" w:type="pct"/>
            <w:tcBorders>
              <w:top w:val="nil"/>
              <w:left w:val="nil"/>
              <w:bottom w:val="nil"/>
              <w:right w:val="nil"/>
            </w:tcBorders>
            <w:noWrap/>
            <w:vAlign w:val="center"/>
            <w:hideMark/>
          </w:tcPr>
          <w:p w14:paraId="0BBCB8AA"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62050754"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75F71CD8" w14:textId="77777777" w:rsidR="00D60FDF" w:rsidRPr="00B42029" w:rsidRDefault="00D60FDF" w:rsidP="00D60FDF">
            <w:pPr>
              <w:spacing w:line="240" w:lineRule="auto"/>
              <w:rPr>
                <w:rFonts w:eastAsia="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vAlign w:val="center"/>
            <w:hideMark/>
          </w:tcPr>
          <w:p w14:paraId="241A89EC" w14:textId="77777777" w:rsidR="00D60FDF" w:rsidRPr="00B42029" w:rsidRDefault="00D60FDF" w:rsidP="00D60FDF">
            <w:pPr>
              <w:spacing w:line="240" w:lineRule="auto"/>
              <w:jc w:val="center"/>
              <w:rPr>
                <w:rFonts w:eastAsia="Times New Roman"/>
                <w:b/>
                <w:bCs/>
                <w:color w:val="000000"/>
                <w:sz w:val="24"/>
                <w:szCs w:val="24"/>
                <w:lang w:val="en-IN"/>
              </w:rPr>
            </w:pPr>
            <w:proofErr w:type="spellStart"/>
            <w:r w:rsidRPr="00B42029">
              <w:rPr>
                <w:rFonts w:eastAsia="Times New Roman"/>
                <w:b/>
                <w:bCs/>
                <w:color w:val="000000"/>
                <w:sz w:val="24"/>
                <w:szCs w:val="24"/>
                <w:lang w:val="en-IN"/>
              </w:rPr>
              <w:t>Avg</w:t>
            </w:r>
            <w:proofErr w:type="spellEnd"/>
            <w:r w:rsidRPr="00B42029">
              <w:rPr>
                <w:rFonts w:eastAsia="Times New Roman"/>
                <w:b/>
                <w:bCs/>
                <w:color w:val="000000"/>
                <w:sz w:val="24"/>
                <w:szCs w:val="24"/>
                <w:lang w:val="en-IN"/>
              </w:rPr>
              <w:t xml:space="preserve"> Net Profit = £13 - £10</w:t>
            </w:r>
          </w:p>
        </w:tc>
      </w:tr>
      <w:tr w:rsidR="00D60FDF" w:rsidRPr="00B42029" w14:paraId="580ED425" w14:textId="77777777" w:rsidTr="00D60FDF">
        <w:trPr>
          <w:trHeight w:val="315"/>
        </w:trPr>
        <w:tc>
          <w:tcPr>
            <w:tcW w:w="1679" w:type="pct"/>
            <w:tcBorders>
              <w:top w:val="nil"/>
              <w:left w:val="nil"/>
              <w:bottom w:val="nil"/>
              <w:right w:val="nil"/>
            </w:tcBorders>
            <w:noWrap/>
            <w:vAlign w:val="center"/>
            <w:hideMark/>
          </w:tcPr>
          <w:p w14:paraId="4AA326E2"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701798D2"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544E9FA2" w14:textId="77777777" w:rsidR="00D60FDF" w:rsidRPr="00B42029" w:rsidRDefault="00D60FDF" w:rsidP="00D60FDF">
            <w:pPr>
              <w:spacing w:line="240" w:lineRule="auto"/>
              <w:rPr>
                <w:rFonts w:eastAsia="Times New Roman"/>
                <w:sz w:val="20"/>
                <w:szCs w:val="20"/>
                <w:lang w:val="en-IN"/>
              </w:rPr>
            </w:pPr>
          </w:p>
        </w:tc>
        <w:tc>
          <w:tcPr>
            <w:tcW w:w="2229" w:type="pct"/>
            <w:gridSpan w:val="2"/>
            <w:tcBorders>
              <w:top w:val="single" w:sz="4" w:space="0" w:color="000000"/>
              <w:left w:val="single" w:sz="4" w:space="0" w:color="000000"/>
              <w:bottom w:val="single" w:sz="4" w:space="0" w:color="000000"/>
              <w:right w:val="single" w:sz="4" w:space="0" w:color="000000"/>
            </w:tcBorders>
            <w:noWrap/>
            <w:vAlign w:val="center"/>
            <w:hideMark/>
          </w:tcPr>
          <w:p w14:paraId="674EE0B1"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Average Net Profit = £3</w:t>
            </w:r>
          </w:p>
        </w:tc>
      </w:tr>
      <w:tr w:rsidR="00D60FDF" w:rsidRPr="00B42029" w14:paraId="10FFDEE5" w14:textId="77777777" w:rsidTr="00D60FDF">
        <w:trPr>
          <w:trHeight w:val="315"/>
        </w:trPr>
        <w:tc>
          <w:tcPr>
            <w:tcW w:w="1679" w:type="pct"/>
            <w:tcBorders>
              <w:top w:val="nil"/>
              <w:left w:val="nil"/>
              <w:bottom w:val="nil"/>
              <w:right w:val="nil"/>
            </w:tcBorders>
            <w:noWrap/>
            <w:vAlign w:val="center"/>
            <w:hideMark/>
          </w:tcPr>
          <w:p w14:paraId="4BED7438" w14:textId="77777777" w:rsidR="00D60FDF" w:rsidRPr="00B42029" w:rsidRDefault="00D60FDF" w:rsidP="00D60FDF">
            <w:pPr>
              <w:spacing w:line="240" w:lineRule="auto"/>
              <w:jc w:val="center"/>
              <w:rPr>
                <w:rFonts w:eastAsia="Times New Roman"/>
                <w:b/>
                <w:bCs/>
                <w:color w:val="000000"/>
                <w:sz w:val="24"/>
                <w:szCs w:val="24"/>
                <w:lang w:val="en-IN"/>
              </w:rPr>
            </w:pPr>
          </w:p>
        </w:tc>
        <w:tc>
          <w:tcPr>
            <w:tcW w:w="984" w:type="pct"/>
            <w:tcBorders>
              <w:top w:val="nil"/>
              <w:left w:val="nil"/>
              <w:bottom w:val="nil"/>
              <w:right w:val="nil"/>
            </w:tcBorders>
            <w:noWrap/>
            <w:vAlign w:val="center"/>
            <w:hideMark/>
          </w:tcPr>
          <w:p w14:paraId="6F906DF2" w14:textId="77777777" w:rsidR="00D60FDF" w:rsidRPr="00B42029" w:rsidRDefault="00D60FDF" w:rsidP="00D60FDF">
            <w:pPr>
              <w:spacing w:line="240" w:lineRule="auto"/>
              <w:rPr>
                <w:rFonts w:eastAsia="Times New Roman"/>
                <w:sz w:val="20"/>
                <w:szCs w:val="20"/>
                <w:lang w:val="en-IN"/>
              </w:rPr>
            </w:pPr>
          </w:p>
        </w:tc>
        <w:tc>
          <w:tcPr>
            <w:tcW w:w="108" w:type="pct"/>
            <w:tcBorders>
              <w:top w:val="nil"/>
              <w:left w:val="nil"/>
              <w:bottom w:val="nil"/>
              <w:right w:val="nil"/>
            </w:tcBorders>
            <w:noWrap/>
            <w:vAlign w:val="center"/>
            <w:hideMark/>
          </w:tcPr>
          <w:p w14:paraId="12D6C272" w14:textId="77777777" w:rsidR="00D60FDF" w:rsidRPr="00B42029" w:rsidRDefault="00D60FDF" w:rsidP="00D60FDF">
            <w:pPr>
              <w:spacing w:line="240" w:lineRule="auto"/>
              <w:rPr>
                <w:rFonts w:eastAsia="Times New Roman"/>
                <w:sz w:val="20"/>
                <w:szCs w:val="20"/>
                <w:lang w:val="en-IN"/>
              </w:rPr>
            </w:pPr>
          </w:p>
        </w:tc>
        <w:tc>
          <w:tcPr>
            <w:tcW w:w="1415" w:type="pct"/>
            <w:tcBorders>
              <w:top w:val="nil"/>
              <w:left w:val="nil"/>
              <w:bottom w:val="nil"/>
              <w:right w:val="nil"/>
            </w:tcBorders>
            <w:noWrap/>
            <w:vAlign w:val="center"/>
            <w:hideMark/>
          </w:tcPr>
          <w:p w14:paraId="53EE47AF"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7740EE38" w14:textId="77777777" w:rsidR="00D60FDF" w:rsidRPr="00B42029" w:rsidRDefault="00D60FDF" w:rsidP="00D60FDF">
            <w:pPr>
              <w:spacing w:line="240" w:lineRule="auto"/>
              <w:rPr>
                <w:rFonts w:eastAsia="Times New Roman"/>
                <w:sz w:val="20"/>
                <w:szCs w:val="20"/>
                <w:lang w:val="en-IN"/>
              </w:rPr>
            </w:pPr>
          </w:p>
        </w:tc>
      </w:tr>
      <w:tr w:rsidR="00D60FDF" w:rsidRPr="00B42029" w14:paraId="03AC18B6" w14:textId="77777777" w:rsidTr="00D60FDF">
        <w:trPr>
          <w:trHeight w:val="315"/>
        </w:trPr>
        <w:tc>
          <w:tcPr>
            <w:tcW w:w="2663" w:type="pct"/>
            <w:gridSpan w:val="2"/>
            <w:tcBorders>
              <w:top w:val="nil"/>
              <w:left w:val="nil"/>
              <w:bottom w:val="nil"/>
              <w:right w:val="nil"/>
            </w:tcBorders>
            <w:vAlign w:val="center"/>
            <w:hideMark/>
          </w:tcPr>
          <w:p w14:paraId="4316B71B" w14:textId="77777777" w:rsidR="00D60FDF" w:rsidRPr="00B42029" w:rsidRDefault="00D60FDF" w:rsidP="00D60FDF">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Accounting Rate of Return (ARR) (%)</w:t>
            </w:r>
          </w:p>
        </w:tc>
        <w:tc>
          <w:tcPr>
            <w:tcW w:w="108" w:type="pct"/>
            <w:tcBorders>
              <w:top w:val="nil"/>
              <w:left w:val="nil"/>
              <w:bottom w:val="nil"/>
              <w:right w:val="nil"/>
            </w:tcBorders>
            <w:noWrap/>
            <w:vAlign w:val="center"/>
            <w:hideMark/>
          </w:tcPr>
          <w:p w14:paraId="597B5E53" w14:textId="77777777" w:rsidR="00D60FDF" w:rsidRPr="00B42029" w:rsidRDefault="00D60FDF" w:rsidP="00D60FDF">
            <w:pPr>
              <w:spacing w:line="240" w:lineRule="auto"/>
              <w:jc w:val="center"/>
              <w:rPr>
                <w:rFonts w:eastAsia="Times New Roman"/>
                <w:b/>
                <w:bCs/>
                <w:color w:val="000000"/>
                <w:sz w:val="28"/>
                <w:szCs w:val="28"/>
                <w:lang w:val="en-IN"/>
              </w:rPr>
            </w:pPr>
          </w:p>
        </w:tc>
        <w:tc>
          <w:tcPr>
            <w:tcW w:w="1415" w:type="pct"/>
            <w:tcBorders>
              <w:top w:val="nil"/>
              <w:left w:val="nil"/>
              <w:bottom w:val="nil"/>
              <w:right w:val="nil"/>
            </w:tcBorders>
            <w:noWrap/>
            <w:vAlign w:val="center"/>
            <w:hideMark/>
          </w:tcPr>
          <w:p w14:paraId="6CDE75FC"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2D612A9A" w14:textId="77777777" w:rsidR="00D60FDF" w:rsidRPr="00B42029" w:rsidRDefault="00D60FDF" w:rsidP="00D60FDF">
            <w:pPr>
              <w:spacing w:line="240" w:lineRule="auto"/>
              <w:rPr>
                <w:rFonts w:eastAsia="Times New Roman"/>
                <w:sz w:val="20"/>
                <w:szCs w:val="20"/>
                <w:lang w:val="en-IN"/>
              </w:rPr>
            </w:pPr>
          </w:p>
        </w:tc>
      </w:tr>
      <w:tr w:rsidR="00D60FDF" w:rsidRPr="00B42029" w14:paraId="5C392381" w14:textId="77777777" w:rsidTr="00D60FDF">
        <w:trPr>
          <w:trHeight w:val="315"/>
        </w:trPr>
        <w:tc>
          <w:tcPr>
            <w:tcW w:w="1679" w:type="pct"/>
            <w:tcBorders>
              <w:top w:val="single" w:sz="4" w:space="0" w:color="000000"/>
              <w:left w:val="single" w:sz="4" w:space="0" w:color="000000"/>
              <w:bottom w:val="single" w:sz="4" w:space="0" w:color="000000"/>
              <w:right w:val="single" w:sz="4" w:space="0" w:color="000000"/>
            </w:tcBorders>
            <w:noWrap/>
            <w:vAlign w:val="center"/>
            <w:hideMark/>
          </w:tcPr>
          <w:p w14:paraId="7C3CAB85"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Net Profit</w:t>
            </w:r>
          </w:p>
        </w:tc>
        <w:tc>
          <w:tcPr>
            <w:tcW w:w="984" w:type="pct"/>
            <w:tcBorders>
              <w:top w:val="single" w:sz="4" w:space="0" w:color="000000"/>
              <w:left w:val="nil"/>
              <w:bottom w:val="single" w:sz="4" w:space="0" w:color="000000"/>
              <w:right w:val="single" w:sz="4" w:space="0" w:color="000000"/>
            </w:tcBorders>
            <w:noWrap/>
            <w:vAlign w:val="center"/>
            <w:hideMark/>
          </w:tcPr>
          <w:p w14:paraId="3E8D105E"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3.00 </w:t>
            </w:r>
          </w:p>
        </w:tc>
        <w:tc>
          <w:tcPr>
            <w:tcW w:w="108" w:type="pct"/>
            <w:tcBorders>
              <w:top w:val="nil"/>
              <w:left w:val="nil"/>
              <w:bottom w:val="nil"/>
              <w:right w:val="nil"/>
            </w:tcBorders>
            <w:noWrap/>
            <w:vAlign w:val="center"/>
            <w:hideMark/>
          </w:tcPr>
          <w:p w14:paraId="44B9B426"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nil"/>
              <w:bottom w:val="nil"/>
              <w:right w:val="nil"/>
            </w:tcBorders>
            <w:noWrap/>
            <w:vAlign w:val="center"/>
            <w:hideMark/>
          </w:tcPr>
          <w:p w14:paraId="2340F304"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0DB7B8CC" w14:textId="77777777" w:rsidR="00D60FDF" w:rsidRPr="00B42029" w:rsidRDefault="00D60FDF" w:rsidP="00D60FDF">
            <w:pPr>
              <w:spacing w:line="240" w:lineRule="auto"/>
              <w:rPr>
                <w:rFonts w:eastAsia="Times New Roman"/>
                <w:sz w:val="20"/>
                <w:szCs w:val="20"/>
                <w:lang w:val="en-IN"/>
              </w:rPr>
            </w:pPr>
          </w:p>
        </w:tc>
      </w:tr>
      <w:tr w:rsidR="00D60FDF" w:rsidRPr="00B42029" w14:paraId="660C8222" w14:textId="77777777" w:rsidTr="00D60FDF">
        <w:trPr>
          <w:trHeight w:val="315"/>
        </w:trPr>
        <w:tc>
          <w:tcPr>
            <w:tcW w:w="1679" w:type="pct"/>
            <w:tcBorders>
              <w:top w:val="nil"/>
              <w:left w:val="single" w:sz="4" w:space="0" w:color="000000"/>
              <w:bottom w:val="single" w:sz="4" w:space="0" w:color="000000"/>
              <w:right w:val="single" w:sz="4" w:space="0" w:color="000000"/>
            </w:tcBorders>
            <w:noWrap/>
            <w:vAlign w:val="center"/>
            <w:hideMark/>
          </w:tcPr>
          <w:p w14:paraId="1713EAF3"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Average Investment</w:t>
            </w:r>
          </w:p>
        </w:tc>
        <w:tc>
          <w:tcPr>
            <w:tcW w:w="984" w:type="pct"/>
            <w:tcBorders>
              <w:top w:val="nil"/>
              <w:left w:val="nil"/>
              <w:bottom w:val="single" w:sz="4" w:space="0" w:color="000000"/>
              <w:right w:val="single" w:sz="4" w:space="0" w:color="000000"/>
            </w:tcBorders>
            <w:noWrap/>
            <w:vAlign w:val="center"/>
            <w:hideMark/>
          </w:tcPr>
          <w:p w14:paraId="72293302" w14:textId="77777777" w:rsidR="00D60FDF" w:rsidRPr="00B42029" w:rsidRDefault="00D60FDF" w:rsidP="00D60FDF">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08" w:type="pct"/>
            <w:tcBorders>
              <w:top w:val="nil"/>
              <w:left w:val="nil"/>
              <w:bottom w:val="nil"/>
              <w:right w:val="nil"/>
            </w:tcBorders>
            <w:noWrap/>
            <w:vAlign w:val="center"/>
            <w:hideMark/>
          </w:tcPr>
          <w:p w14:paraId="3196BF8D" w14:textId="77777777" w:rsidR="00D60FDF" w:rsidRPr="00B42029" w:rsidRDefault="00D60FDF" w:rsidP="00D60FDF">
            <w:pPr>
              <w:spacing w:line="240" w:lineRule="auto"/>
              <w:jc w:val="center"/>
              <w:rPr>
                <w:rFonts w:eastAsia="Times New Roman"/>
                <w:color w:val="000000"/>
                <w:sz w:val="24"/>
                <w:szCs w:val="24"/>
                <w:lang w:val="en-IN"/>
              </w:rPr>
            </w:pPr>
          </w:p>
        </w:tc>
        <w:tc>
          <w:tcPr>
            <w:tcW w:w="1415" w:type="pct"/>
            <w:tcBorders>
              <w:top w:val="nil"/>
              <w:left w:val="nil"/>
              <w:bottom w:val="nil"/>
              <w:right w:val="nil"/>
            </w:tcBorders>
            <w:noWrap/>
            <w:vAlign w:val="center"/>
            <w:hideMark/>
          </w:tcPr>
          <w:p w14:paraId="7F3F4661"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397C065A" w14:textId="77777777" w:rsidR="00D60FDF" w:rsidRPr="00B42029" w:rsidRDefault="00D60FDF" w:rsidP="00D60FDF">
            <w:pPr>
              <w:spacing w:line="240" w:lineRule="auto"/>
              <w:rPr>
                <w:rFonts w:eastAsia="Times New Roman"/>
                <w:sz w:val="20"/>
                <w:szCs w:val="20"/>
                <w:lang w:val="en-IN"/>
              </w:rPr>
            </w:pPr>
          </w:p>
        </w:tc>
      </w:tr>
      <w:tr w:rsidR="00D60FDF" w:rsidRPr="00B42029" w14:paraId="599CE6D4"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08E95195"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Accounting Rate of Return = Average Net Profit / Average Investment * 100</w:t>
            </w:r>
          </w:p>
        </w:tc>
        <w:tc>
          <w:tcPr>
            <w:tcW w:w="108" w:type="pct"/>
            <w:tcBorders>
              <w:top w:val="nil"/>
              <w:left w:val="nil"/>
              <w:bottom w:val="nil"/>
              <w:right w:val="nil"/>
            </w:tcBorders>
            <w:noWrap/>
            <w:vAlign w:val="center"/>
            <w:hideMark/>
          </w:tcPr>
          <w:p w14:paraId="79EB84F0"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5B57D3C9"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5364B5BD" w14:textId="77777777" w:rsidR="00D60FDF" w:rsidRPr="00B42029" w:rsidRDefault="00D60FDF" w:rsidP="00D60FDF">
            <w:pPr>
              <w:spacing w:line="240" w:lineRule="auto"/>
              <w:rPr>
                <w:rFonts w:eastAsia="Times New Roman"/>
                <w:sz w:val="20"/>
                <w:szCs w:val="20"/>
                <w:lang w:val="en-IN"/>
              </w:rPr>
            </w:pPr>
          </w:p>
        </w:tc>
      </w:tr>
      <w:tr w:rsidR="00D60FDF" w:rsidRPr="00B42029" w14:paraId="538091D5"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vAlign w:val="center"/>
            <w:hideMark/>
          </w:tcPr>
          <w:p w14:paraId="735044AE"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ARR = £3 / £25 * 100</w:t>
            </w:r>
          </w:p>
        </w:tc>
        <w:tc>
          <w:tcPr>
            <w:tcW w:w="108" w:type="pct"/>
            <w:tcBorders>
              <w:top w:val="nil"/>
              <w:left w:val="nil"/>
              <w:bottom w:val="nil"/>
              <w:right w:val="nil"/>
            </w:tcBorders>
            <w:noWrap/>
            <w:vAlign w:val="center"/>
            <w:hideMark/>
          </w:tcPr>
          <w:p w14:paraId="6967B61A"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4AC1FD0E"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0F15D45C" w14:textId="77777777" w:rsidR="00D60FDF" w:rsidRPr="00B42029" w:rsidRDefault="00D60FDF" w:rsidP="00D60FDF">
            <w:pPr>
              <w:spacing w:line="240" w:lineRule="auto"/>
              <w:rPr>
                <w:rFonts w:eastAsia="Times New Roman"/>
                <w:sz w:val="20"/>
                <w:szCs w:val="20"/>
                <w:lang w:val="en-IN"/>
              </w:rPr>
            </w:pPr>
          </w:p>
        </w:tc>
      </w:tr>
      <w:tr w:rsidR="00D60FDF" w:rsidRPr="00B42029" w14:paraId="769742C9" w14:textId="77777777" w:rsidTr="00D60FDF">
        <w:trPr>
          <w:trHeight w:val="315"/>
        </w:trPr>
        <w:tc>
          <w:tcPr>
            <w:tcW w:w="2663" w:type="pct"/>
            <w:gridSpan w:val="2"/>
            <w:tcBorders>
              <w:top w:val="single" w:sz="4" w:space="0" w:color="000000"/>
              <w:left w:val="single" w:sz="4" w:space="0" w:color="000000"/>
              <w:bottom w:val="single" w:sz="4" w:space="0" w:color="000000"/>
              <w:right w:val="single" w:sz="4" w:space="0" w:color="000000"/>
            </w:tcBorders>
            <w:noWrap/>
            <w:vAlign w:val="center"/>
            <w:hideMark/>
          </w:tcPr>
          <w:p w14:paraId="06676C01" w14:textId="77777777" w:rsidR="00D60FDF" w:rsidRPr="00B42029" w:rsidRDefault="00D60FDF" w:rsidP="00D60FDF">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ARR = 12%</w:t>
            </w:r>
          </w:p>
        </w:tc>
        <w:tc>
          <w:tcPr>
            <w:tcW w:w="108" w:type="pct"/>
            <w:tcBorders>
              <w:top w:val="nil"/>
              <w:left w:val="nil"/>
              <w:bottom w:val="nil"/>
              <w:right w:val="nil"/>
            </w:tcBorders>
            <w:noWrap/>
            <w:vAlign w:val="center"/>
            <w:hideMark/>
          </w:tcPr>
          <w:p w14:paraId="48A70AC0" w14:textId="77777777" w:rsidR="00D60FDF" w:rsidRPr="00B42029" w:rsidRDefault="00D60FDF" w:rsidP="00D60FDF">
            <w:pPr>
              <w:spacing w:line="240" w:lineRule="auto"/>
              <w:jc w:val="center"/>
              <w:rPr>
                <w:rFonts w:eastAsia="Times New Roman"/>
                <w:b/>
                <w:bCs/>
                <w:color w:val="000000"/>
                <w:sz w:val="24"/>
                <w:szCs w:val="24"/>
                <w:lang w:val="en-IN"/>
              </w:rPr>
            </w:pPr>
          </w:p>
        </w:tc>
        <w:tc>
          <w:tcPr>
            <w:tcW w:w="1415" w:type="pct"/>
            <w:tcBorders>
              <w:top w:val="nil"/>
              <w:left w:val="nil"/>
              <w:bottom w:val="nil"/>
              <w:right w:val="nil"/>
            </w:tcBorders>
            <w:noWrap/>
            <w:vAlign w:val="center"/>
            <w:hideMark/>
          </w:tcPr>
          <w:p w14:paraId="4B543DEB" w14:textId="77777777" w:rsidR="00D60FDF" w:rsidRPr="00B42029" w:rsidRDefault="00D60FDF" w:rsidP="00D60FDF">
            <w:pPr>
              <w:spacing w:line="240" w:lineRule="auto"/>
              <w:rPr>
                <w:rFonts w:eastAsia="Times New Roman"/>
                <w:sz w:val="20"/>
                <w:szCs w:val="20"/>
                <w:lang w:val="en-IN"/>
              </w:rPr>
            </w:pPr>
          </w:p>
        </w:tc>
        <w:tc>
          <w:tcPr>
            <w:tcW w:w="813" w:type="pct"/>
            <w:tcBorders>
              <w:top w:val="nil"/>
              <w:left w:val="nil"/>
              <w:bottom w:val="nil"/>
              <w:right w:val="nil"/>
            </w:tcBorders>
            <w:noWrap/>
            <w:vAlign w:val="center"/>
            <w:hideMark/>
          </w:tcPr>
          <w:p w14:paraId="79D835DC" w14:textId="77777777" w:rsidR="00D60FDF" w:rsidRPr="00B42029" w:rsidRDefault="00D60FDF" w:rsidP="00D60FDF">
            <w:pPr>
              <w:spacing w:line="240" w:lineRule="auto"/>
              <w:rPr>
                <w:rFonts w:eastAsia="Times New Roman"/>
                <w:sz w:val="20"/>
                <w:szCs w:val="20"/>
                <w:lang w:val="en-IN"/>
              </w:rPr>
            </w:pPr>
          </w:p>
        </w:tc>
      </w:tr>
    </w:tbl>
    <w:p w14:paraId="43CB36B4" w14:textId="77777777" w:rsidR="00D60FDF" w:rsidRPr="00B42029" w:rsidRDefault="00D60FDF" w:rsidP="00B8765D">
      <w:pPr>
        <w:spacing w:before="240" w:after="240" w:line="360" w:lineRule="auto"/>
        <w:jc w:val="both"/>
        <w:rPr>
          <w:sz w:val="24"/>
          <w:szCs w:val="24"/>
          <w:lang w:val="en-IN"/>
        </w:rPr>
      </w:pPr>
    </w:p>
    <w:p w14:paraId="54043D6E" w14:textId="77777777" w:rsidR="00B42029" w:rsidRPr="00B42029" w:rsidRDefault="00B42029">
      <w:pPr>
        <w:rPr>
          <w:b/>
          <w:bCs/>
          <w:sz w:val="24"/>
          <w:szCs w:val="24"/>
          <w:lang w:val="en-IN"/>
        </w:rPr>
      </w:pPr>
      <w:r w:rsidRPr="00B42029">
        <w:rPr>
          <w:b/>
          <w:bCs/>
          <w:sz w:val="24"/>
          <w:szCs w:val="24"/>
          <w:lang w:val="en-IN"/>
        </w:rPr>
        <w:br w:type="page"/>
      </w:r>
    </w:p>
    <w:p w14:paraId="4C935A0C" w14:textId="51F253AD" w:rsidR="00B8765D" w:rsidRPr="00B42029" w:rsidRDefault="00B8765D" w:rsidP="00B42029">
      <w:pPr>
        <w:pStyle w:val="Heading2"/>
        <w:rPr>
          <w:lang w:val="en-IN"/>
        </w:rPr>
      </w:pPr>
      <w:bookmarkStart w:id="53" w:name="_Toc237451756"/>
      <w:r w:rsidRPr="00B42029">
        <w:rPr>
          <w:lang w:val="en-IN"/>
        </w:rPr>
        <w:lastRenderedPageBreak/>
        <w:t xml:space="preserve">Appendix </w:t>
      </w:r>
      <w:r w:rsidR="00B42029" w:rsidRPr="00B42029">
        <w:rPr>
          <w:lang w:val="en-IN"/>
        </w:rPr>
        <w:t xml:space="preserve">D: </w:t>
      </w:r>
      <w:r w:rsidRPr="00B42029">
        <w:rPr>
          <w:lang w:val="en-IN"/>
        </w:rPr>
        <w:t>NPV calculations</w:t>
      </w:r>
      <w:bookmarkEnd w:id="53"/>
    </w:p>
    <w:tbl>
      <w:tblPr>
        <w:tblW w:w="8100" w:type="dxa"/>
        <w:tblLook w:val="04A0" w:firstRow="1" w:lastRow="0" w:firstColumn="1" w:lastColumn="0" w:noHBand="0" w:noVBand="1"/>
      </w:tblPr>
      <w:tblGrid>
        <w:gridCol w:w="1300"/>
        <w:gridCol w:w="1484"/>
        <w:gridCol w:w="1360"/>
        <w:gridCol w:w="1510"/>
        <w:gridCol w:w="1360"/>
        <w:gridCol w:w="1360"/>
      </w:tblGrid>
      <w:tr w:rsidR="00B42029" w:rsidRPr="00B42029" w14:paraId="7392DE5D" w14:textId="77777777" w:rsidTr="00B42029">
        <w:trPr>
          <w:trHeight w:val="540"/>
        </w:trPr>
        <w:tc>
          <w:tcPr>
            <w:tcW w:w="8100" w:type="dxa"/>
            <w:gridSpan w:val="6"/>
            <w:tcBorders>
              <w:top w:val="single" w:sz="4" w:space="0" w:color="000000"/>
              <w:left w:val="single" w:sz="4" w:space="0" w:color="000000"/>
              <w:bottom w:val="single" w:sz="4" w:space="0" w:color="000000"/>
              <w:right w:val="single" w:sz="4" w:space="0" w:color="000000"/>
            </w:tcBorders>
            <w:noWrap/>
            <w:vAlign w:val="center"/>
            <w:hideMark/>
          </w:tcPr>
          <w:p w14:paraId="56A7847F"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Net Present Value (NPV) Project A</w:t>
            </w:r>
          </w:p>
        </w:tc>
      </w:tr>
      <w:tr w:rsidR="00B42029" w:rsidRPr="00B42029" w14:paraId="13AC0E1E" w14:textId="77777777" w:rsidTr="00B42029">
        <w:trPr>
          <w:trHeight w:val="750"/>
        </w:trPr>
        <w:tc>
          <w:tcPr>
            <w:tcW w:w="1300" w:type="dxa"/>
            <w:tcBorders>
              <w:top w:val="nil"/>
              <w:left w:val="single" w:sz="4" w:space="0" w:color="000000"/>
              <w:bottom w:val="single" w:sz="4" w:space="0" w:color="000000"/>
              <w:right w:val="single" w:sz="4" w:space="0" w:color="000000"/>
            </w:tcBorders>
            <w:vAlign w:val="center"/>
            <w:hideMark/>
          </w:tcPr>
          <w:p w14:paraId="64699B0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1360" w:type="dxa"/>
            <w:tcBorders>
              <w:top w:val="nil"/>
              <w:left w:val="nil"/>
              <w:bottom w:val="single" w:sz="4" w:space="0" w:color="000000"/>
              <w:right w:val="single" w:sz="4" w:space="0" w:color="000000"/>
            </w:tcBorders>
            <w:vAlign w:val="center"/>
            <w:hideMark/>
          </w:tcPr>
          <w:p w14:paraId="426C741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Investment</w:t>
            </w:r>
          </w:p>
        </w:tc>
        <w:tc>
          <w:tcPr>
            <w:tcW w:w="1360" w:type="dxa"/>
            <w:tcBorders>
              <w:top w:val="nil"/>
              <w:left w:val="nil"/>
              <w:bottom w:val="single" w:sz="4" w:space="0" w:color="000000"/>
              <w:right w:val="single" w:sz="4" w:space="0" w:color="000000"/>
            </w:tcBorders>
            <w:vAlign w:val="center"/>
            <w:hideMark/>
          </w:tcPr>
          <w:p w14:paraId="55AD8FE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360" w:type="dxa"/>
            <w:tcBorders>
              <w:top w:val="nil"/>
              <w:left w:val="nil"/>
              <w:bottom w:val="single" w:sz="4" w:space="0" w:color="000000"/>
              <w:right w:val="single" w:sz="4" w:space="0" w:color="000000"/>
            </w:tcBorders>
            <w:vAlign w:val="center"/>
            <w:hideMark/>
          </w:tcPr>
          <w:p w14:paraId="7E77A2E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Cumulative Cash Flows</w:t>
            </w:r>
          </w:p>
        </w:tc>
        <w:tc>
          <w:tcPr>
            <w:tcW w:w="1360" w:type="dxa"/>
            <w:tcBorders>
              <w:top w:val="nil"/>
              <w:left w:val="nil"/>
              <w:bottom w:val="single" w:sz="4" w:space="0" w:color="000000"/>
              <w:right w:val="single" w:sz="4" w:space="0" w:color="000000"/>
            </w:tcBorders>
            <w:vAlign w:val="center"/>
            <w:hideMark/>
          </w:tcPr>
          <w:p w14:paraId="4EB18B60"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Discount Factors 8%</w:t>
            </w:r>
          </w:p>
        </w:tc>
        <w:tc>
          <w:tcPr>
            <w:tcW w:w="1360" w:type="dxa"/>
            <w:tcBorders>
              <w:top w:val="nil"/>
              <w:left w:val="nil"/>
              <w:bottom w:val="single" w:sz="4" w:space="0" w:color="000000"/>
              <w:right w:val="single" w:sz="4" w:space="0" w:color="000000"/>
            </w:tcBorders>
            <w:vAlign w:val="center"/>
            <w:hideMark/>
          </w:tcPr>
          <w:p w14:paraId="0C3CCDB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Present Value</w:t>
            </w:r>
          </w:p>
        </w:tc>
      </w:tr>
      <w:tr w:rsidR="00B42029" w:rsidRPr="00B42029" w14:paraId="2155A9FF" w14:textId="77777777" w:rsidTr="00B42029">
        <w:trPr>
          <w:trHeight w:val="312"/>
        </w:trPr>
        <w:tc>
          <w:tcPr>
            <w:tcW w:w="1300" w:type="dxa"/>
            <w:tcBorders>
              <w:top w:val="nil"/>
              <w:left w:val="single" w:sz="4" w:space="0" w:color="000000"/>
              <w:bottom w:val="single" w:sz="4" w:space="0" w:color="000000"/>
              <w:right w:val="single" w:sz="4" w:space="0" w:color="000000"/>
            </w:tcBorders>
            <w:noWrap/>
            <w:vAlign w:val="center"/>
            <w:hideMark/>
          </w:tcPr>
          <w:p w14:paraId="4AA6505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1360" w:type="dxa"/>
            <w:tcBorders>
              <w:top w:val="nil"/>
              <w:left w:val="nil"/>
              <w:bottom w:val="single" w:sz="4" w:space="0" w:color="000000"/>
              <w:right w:val="single" w:sz="4" w:space="0" w:color="000000"/>
            </w:tcBorders>
            <w:noWrap/>
            <w:vAlign w:val="center"/>
            <w:hideMark/>
          </w:tcPr>
          <w:p w14:paraId="69640ED6" w14:textId="7839D072"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3E9A18A9"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38B0DAF8" w14:textId="221588D5"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73CD322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1360" w:type="dxa"/>
            <w:tcBorders>
              <w:top w:val="nil"/>
              <w:left w:val="nil"/>
              <w:bottom w:val="single" w:sz="4" w:space="0" w:color="000000"/>
              <w:right w:val="single" w:sz="4" w:space="0" w:color="000000"/>
            </w:tcBorders>
            <w:noWrap/>
            <w:vAlign w:val="center"/>
            <w:hideMark/>
          </w:tcPr>
          <w:p w14:paraId="220B29F7" w14:textId="3FE89852"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r>
      <w:tr w:rsidR="00B42029" w:rsidRPr="00B42029" w14:paraId="128F79FA" w14:textId="77777777" w:rsidTr="00B42029">
        <w:trPr>
          <w:trHeight w:val="312"/>
        </w:trPr>
        <w:tc>
          <w:tcPr>
            <w:tcW w:w="1300" w:type="dxa"/>
            <w:tcBorders>
              <w:top w:val="nil"/>
              <w:left w:val="single" w:sz="4" w:space="0" w:color="000000"/>
              <w:bottom w:val="single" w:sz="4" w:space="0" w:color="000000"/>
              <w:right w:val="single" w:sz="4" w:space="0" w:color="000000"/>
            </w:tcBorders>
            <w:noWrap/>
            <w:vAlign w:val="center"/>
            <w:hideMark/>
          </w:tcPr>
          <w:p w14:paraId="6E67572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1360" w:type="dxa"/>
            <w:tcBorders>
              <w:top w:val="nil"/>
              <w:left w:val="nil"/>
              <w:bottom w:val="single" w:sz="4" w:space="0" w:color="000000"/>
              <w:right w:val="single" w:sz="4" w:space="0" w:color="000000"/>
            </w:tcBorders>
            <w:noWrap/>
            <w:vAlign w:val="center"/>
            <w:hideMark/>
          </w:tcPr>
          <w:p w14:paraId="0D866F5F"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796B560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25CFD4B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3120FEB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1360" w:type="dxa"/>
            <w:tcBorders>
              <w:top w:val="nil"/>
              <w:left w:val="nil"/>
              <w:bottom w:val="single" w:sz="4" w:space="0" w:color="000000"/>
              <w:right w:val="single" w:sz="4" w:space="0" w:color="000000"/>
            </w:tcBorders>
            <w:noWrap/>
            <w:vAlign w:val="center"/>
            <w:hideMark/>
          </w:tcPr>
          <w:p w14:paraId="59D9C60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9.25 </w:t>
            </w:r>
          </w:p>
        </w:tc>
      </w:tr>
      <w:tr w:rsidR="00B42029" w:rsidRPr="00B42029" w14:paraId="5384A781" w14:textId="77777777" w:rsidTr="00B42029">
        <w:trPr>
          <w:trHeight w:val="312"/>
        </w:trPr>
        <w:tc>
          <w:tcPr>
            <w:tcW w:w="1300" w:type="dxa"/>
            <w:tcBorders>
              <w:top w:val="nil"/>
              <w:left w:val="single" w:sz="4" w:space="0" w:color="000000"/>
              <w:bottom w:val="single" w:sz="4" w:space="0" w:color="000000"/>
              <w:right w:val="single" w:sz="4" w:space="0" w:color="000000"/>
            </w:tcBorders>
            <w:noWrap/>
            <w:vAlign w:val="center"/>
            <w:hideMark/>
          </w:tcPr>
          <w:p w14:paraId="25472777"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1360" w:type="dxa"/>
            <w:tcBorders>
              <w:top w:val="nil"/>
              <w:left w:val="nil"/>
              <w:bottom w:val="single" w:sz="4" w:space="0" w:color="000000"/>
              <w:right w:val="single" w:sz="4" w:space="0" w:color="000000"/>
            </w:tcBorders>
            <w:noWrap/>
            <w:vAlign w:val="center"/>
            <w:hideMark/>
          </w:tcPr>
          <w:p w14:paraId="35C1CA30"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667651A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12.00 </w:t>
            </w:r>
          </w:p>
        </w:tc>
        <w:tc>
          <w:tcPr>
            <w:tcW w:w="1360" w:type="dxa"/>
            <w:tcBorders>
              <w:top w:val="nil"/>
              <w:left w:val="nil"/>
              <w:bottom w:val="single" w:sz="4" w:space="0" w:color="000000"/>
              <w:right w:val="single" w:sz="4" w:space="0" w:color="000000"/>
            </w:tcBorders>
            <w:noWrap/>
            <w:vAlign w:val="center"/>
            <w:hideMark/>
          </w:tcPr>
          <w:p w14:paraId="64265E2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12.00 </w:t>
            </w:r>
          </w:p>
        </w:tc>
        <w:tc>
          <w:tcPr>
            <w:tcW w:w="1360" w:type="dxa"/>
            <w:tcBorders>
              <w:top w:val="nil"/>
              <w:left w:val="nil"/>
              <w:bottom w:val="single" w:sz="4" w:space="0" w:color="000000"/>
              <w:right w:val="single" w:sz="4" w:space="0" w:color="000000"/>
            </w:tcBorders>
            <w:noWrap/>
            <w:vAlign w:val="center"/>
            <w:hideMark/>
          </w:tcPr>
          <w:p w14:paraId="2EF822F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1360" w:type="dxa"/>
            <w:tcBorders>
              <w:top w:val="nil"/>
              <w:left w:val="nil"/>
              <w:bottom w:val="single" w:sz="4" w:space="0" w:color="000000"/>
              <w:right w:val="single" w:sz="4" w:space="0" w:color="000000"/>
            </w:tcBorders>
            <w:noWrap/>
            <w:vAlign w:val="center"/>
            <w:hideMark/>
          </w:tcPr>
          <w:p w14:paraId="00623B2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10.28 </w:t>
            </w:r>
          </w:p>
        </w:tc>
      </w:tr>
      <w:tr w:rsidR="00B42029" w:rsidRPr="00B42029" w14:paraId="68950B72" w14:textId="77777777" w:rsidTr="00B42029">
        <w:trPr>
          <w:trHeight w:val="312"/>
        </w:trPr>
        <w:tc>
          <w:tcPr>
            <w:tcW w:w="1300" w:type="dxa"/>
            <w:tcBorders>
              <w:top w:val="nil"/>
              <w:left w:val="single" w:sz="4" w:space="0" w:color="000000"/>
              <w:bottom w:val="single" w:sz="4" w:space="0" w:color="000000"/>
              <w:right w:val="single" w:sz="4" w:space="0" w:color="000000"/>
            </w:tcBorders>
            <w:noWrap/>
            <w:vAlign w:val="center"/>
            <w:hideMark/>
          </w:tcPr>
          <w:p w14:paraId="231AD34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1360" w:type="dxa"/>
            <w:tcBorders>
              <w:top w:val="nil"/>
              <w:left w:val="nil"/>
              <w:bottom w:val="single" w:sz="4" w:space="0" w:color="000000"/>
              <w:right w:val="single" w:sz="4" w:space="0" w:color="000000"/>
            </w:tcBorders>
            <w:noWrap/>
            <w:vAlign w:val="center"/>
            <w:hideMark/>
          </w:tcPr>
          <w:p w14:paraId="57277992"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206FB3C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14.00 </w:t>
            </w:r>
          </w:p>
        </w:tc>
        <w:tc>
          <w:tcPr>
            <w:tcW w:w="1360" w:type="dxa"/>
            <w:tcBorders>
              <w:top w:val="nil"/>
              <w:left w:val="nil"/>
              <w:bottom w:val="single" w:sz="4" w:space="0" w:color="000000"/>
              <w:right w:val="single" w:sz="4" w:space="0" w:color="000000"/>
            </w:tcBorders>
            <w:noWrap/>
            <w:vAlign w:val="center"/>
            <w:hideMark/>
          </w:tcPr>
          <w:p w14:paraId="785095A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14.00 </w:t>
            </w:r>
          </w:p>
        </w:tc>
        <w:tc>
          <w:tcPr>
            <w:tcW w:w="1360" w:type="dxa"/>
            <w:tcBorders>
              <w:top w:val="nil"/>
              <w:left w:val="nil"/>
              <w:bottom w:val="single" w:sz="4" w:space="0" w:color="000000"/>
              <w:right w:val="single" w:sz="4" w:space="0" w:color="000000"/>
            </w:tcBorders>
            <w:noWrap/>
            <w:vAlign w:val="center"/>
            <w:hideMark/>
          </w:tcPr>
          <w:p w14:paraId="468B43D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1360" w:type="dxa"/>
            <w:tcBorders>
              <w:top w:val="nil"/>
              <w:left w:val="nil"/>
              <w:bottom w:val="single" w:sz="4" w:space="0" w:color="000000"/>
              <w:right w:val="single" w:sz="4" w:space="0" w:color="000000"/>
            </w:tcBorders>
            <w:noWrap/>
            <w:vAlign w:val="center"/>
            <w:hideMark/>
          </w:tcPr>
          <w:p w14:paraId="67B6BD9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11.10 </w:t>
            </w:r>
          </w:p>
        </w:tc>
      </w:tr>
      <w:tr w:rsidR="00B42029" w:rsidRPr="00B42029" w14:paraId="647F4C2A" w14:textId="77777777" w:rsidTr="00B42029">
        <w:trPr>
          <w:trHeight w:val="312"/>
        </w:trPr>
        <w:tc>
          <w:tcPr>
            <w:tcW w:w="1300" w:type="dxa"/>
            <w:tcBorders>
              <w:top w:val="nil"/>
              <w:left w:val="single" w:sz="4" w:space="0" w:color="000000"/>
              <w:bottom w:val="single" w:sz="4" w:space="0" w:color="000000"/>
              <w:right w:val="single" w:sz="4" w:space="0" w:color="000000"/>
            </w:tcBorders>
            <w:noWrap/>
            <w:vAlign w:val="center"/>
            <w:hideMark/>
          </w:tcPr>
          <w:p w14:paraId="38E5055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1360" w:type="dxa"/>
            <w:tcBorders>
              <w:top w:val="nil"/>
              <w:left w:val="nil"/>
              <w:bottom w:val="single" w:sz="4" w:space="0" w:color="000000"/>
              <w:right w:val="single" w:sz="4" w:space="0" w:color="000000"/>
            </w:tcBorders>
            <w:noWrap/>
            <w:vAlign w:val="center"/>
            <w:hideMark/>
          </w:tcPr>
          <w:p w14:paraId="450A5D74"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39B0013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302C295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293A166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1360" w:type="dxa"/>
            <w:tcBorders>
              <w:top w:val="nil"/>
              <w:left w:val="nil"/>
              <w:bottom w:val="single" w:sz="4" w:space="0" w:color="000000"/>
              <w:right w:val="single" w:sz="4" w:space="0" w:color="000000"/>
            </w:tcBorders>
            <w:noWrap/>
            <w:vAlign w:val="center"/>
            <w:hideMark/>
          </w:tcPr>
          <w:p w14:paraId="347AC25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7.35 </w:t>
            </w:r>
          </w:p>
        </w:tc>
      </w:tr>
      <w:tr w:rsidR="00B42029" w:rsidRPr="00B42029" w14:paraId="2FBE4904" w14:textId="77777777" w:rsidTr="00B42029">
        <w:trPr>
          <w:trHeight w:val="312"/>
        </w:trPr>
        <w:tc>
          <w:tcPr>
            <w:tcW w:w="1300" w:type="dxa"/>
            <w:tcBorders>
              <w:top w:val="nil"/>
              <w:left w:val="single" w:sz="4" w:space="0" w:color="000000"/>
              <w:bottom w:val="single" w:sz="4" w:space="0" w:color="000000"/>
              <w:right w:val="single" w:sz="4" w:space="0" w:color="000000"/>
            </w:tcBorders>
            <w:noWrap/>
            <w:vAlign w:val="center"/>
            <w:hideMark/>
          </w:tcPr>
          <w:p w14:paraId="0299D40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1360" w:type="dxa"/>
            <w:tcBorders>
              <w:top w:val="nil"/>
              <w:left w:val="nil"/>
              <w:bottom w:val="single" w:sz="4" w:space="0" w:color="000000"/>
              <w:right w:val="single" w:sz="4" w:space="0" w:color="000000"/>
            </w:tcBorders>
            <w:noWrap/>
            <w:vAlign w:val="center"/>
            <w:hideMark/>
          </w:tcPr>
          <w:p w14:paraId="6268ED0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c>
          <w:tcPr>
            <w:tcW w:w="1360" w:type="dxa"/>
            <w:tcBorders>
              <w:top w:val="nil"/>
              <w:left w:val="nil"/>
              <w:bottom w:val="single" w:sz="4" w:space="0" w:color="000000"/>
              <w:right w:val="single" w:sz="4" w:space="0" w:color="000000"/>
            </w:tcBorders>
            <w:noWrap/>
            <w:vAlign w:val="center"/>
            <w:hideMark/>
          </w:tcPr>
          <w:p w14:paraId="6E5A44D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8.00 </w:t>
            </w:r>
          </w:p>
        </w:tc>
        <w:tc>
          <w:tcPr>
            <w:tcW w:w="1360" w:type="dxa"/>
            <w:tcBorders>
              <w:top w:val="nil"/>
              <w:left w:val="nil"/>
              <w:bottom w:val="single" w:sz="4" w:space="0" w:color="000000"/>
              <w:right w:val="single" w:sz="4" w:space="0" w:color="000000"/>
            </w:tcBorders>
            <w:noWrap/>
            <w:vAlign w:val="center"/>
            <w:hideMark/>
          </w:tcPr>
          <w:p w14:paraId="180FE36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8.00 </w:t>
            </w:r>
          </w:p>
        </w:tc>
        <w:tc>
          <w:tcPr>
            <w:tcW w:w="1360" w:type="dxa"/>
            <w:tcBorders>
              <w:top w:val="nil"/>
              <w:left w:val="nil"/>
              <w:bottom w:val="single" w:sz="4" w:space="0" w:color="000000"/>
              <w:right w:val="single" w:sz="4" w:space="0" w:color="000000"/>
            </w:tcBorders>
            <w:noWrap/>
            <w:vAlign w:val="center"/>
            <w:hideMark/>
          </w:tcPr>
          <w:p w14:paraId="349353C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1360" w:type="dxa"/>
            <w:tcBorders>
              <w:top w:val="nil"/>
              <w:left w:val="nil"/>
              <w:bottom w:val="single" w:sz="4" w:space="0" w:color="000000"/>
              <w:right w:val="single" w:sz="4" w:space="0" w:color="000000"/>
            </w:tcBorders>
            <w:noWrap/>
            <w:vAlign w:val="center"/>
            <w:hideMark/>
          </w:tcPr>
          <w:p w14:paraId="130130E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5.44 </w:t>
            </w:r>
          </w:p>
        </w:tc>
      </w:tr>
      <w:tr w:rsidR="00B42029" w:rsidRPr="00B42029" w14:paraId="5ACCA446" w14:textId="77777777" w:rsidTr="00B42029">
        <w:trPr>
          <w:trHeight w:val="720"/>
        </w:trPr>
        <w:tc>
          <w:tcPr>
            <w:tcW w:w="8100" w:type="dxa"/>
            <w:gridSpan w:val="6"/>
            <w:tcBorders>
              <w:top w:val="single" w:sz="4" w:space="0" w:color="000000"/>
              <w:left w:val="single" w:sz="4" w:space="0" w:color="000000"/>
              <w:bottom w:val="single" w:sz="4" w:space="0" w:color="000000"/>
              <w:right w:val="single" w:sz="4" w:space="0" w:color="000000"/>
            </w:tcBorders>
            <w:vAlign w:val="center"/>
            <w:hideMark/>
          </w:tcPr>
          <w:p w14:paraId="3203E749"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NPV = (£50) + £9.25 + £10.28 + £11.10 + £7.35 + £5.44, NPV = (£50) + £43.43, NPV = (£6.57)</w:t>
            </w:r>
          </w:p>
        </w:tc>
      </w:tr>
    </w:tbl>
    <w:p w14:paraId="671114C0" w14:textId="77777777" w:rsidR="00B42029" w:rsidRPr="00B42029" w:rsidRDefault="00B42029" w:rsidP="00B8765D">
      <w:pPr>
        <w:spacing w:before="240" w:after="240" w:line="360" w:lineRule="auto"/>
        <w:jc w:val="both"/>
        <w:rPr>
          <w:sz w:val="24"/>
          <w:szCs w:val="24"/>
          <w:lang w:val="en-IN"/>
        </w:rPr>
      </w:pPr>
    </w:p>
    <w:tbl>
      <w:tblPr>
        <w:tblW w:w="8160" w:type="dxa"/>
        <w:tblLook w:val="04A0" w:firstRow="1" w:lastRow="0" w:firstColumn="1" w:lastColumn="0" w:noHBand="0" w:noVBand="1"/>
      </w:tblPr>
      <w:tblGrid>
        <w:gridCol w:w="1360"/>
        <w:gridCol w:w="1484"/>
        <w:gridCol w:w="1360"/>
        <w:gridCol w:w="1510"/>
        <w:gridCol w:w="1360"/>
        <w:gridCol w:w="1360"/>
      </w:tblGrid>
      <w:tr w:rsidR="00B42029" w:rsidRPr="00B42029" w14:paraId="6870E500" w14:textId="77777777" w:rsidTr="00B42029">
        <w:trPr>
          <w:trHeight w:val="540"/>
        </w:trPr>
        <w:tc>
          <w:tcPr>
            <w:tcW w:w="8160" w:type="dxa"/>
            <w:gridSpan w:val="6"/>
            <w:tcBorders>
              <w:top w:val="single" w:sz="4" w:space="0" w:color="000000"/>
              <w:left w:val="single" w:sz="4" w:space="0" w:color="000000"/>
              <w:bottom w:val="single" w:sz="4" w:space="0" w:color="000000"/>
              <w:right w:val="single" w:sz="4" w:space="0" w:color="000000"/>
            </w:tcBorders>
            <w:noWrap/>
            <w:vAlign w:val="center"/>
            <w:hideMark/>
          </w:tcPr>
          <w:p w14:paraId="163E207C"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Net Present Value (NPV) Project B</w:t>
            </w:r>
          </w:p>
        </w:tc>
      </w:tr>
      <w:tr w:rsidR="00B42029" w:rsidRPr="00B42029" w14:paraId="3416BAE2" w14:textId="77777777" w:rsidTr="00B42029">
        <w:trPr>
          <w:trHeight w:val="750"/>
        </w:trPr>
        <w:tc>
          <w:tcPr>
            <w:tcW w:w="1360" w:type="dxa"/>
            <w:tcBorders>
              <w:top w:val="nil"/>
              <w:left w:val="single" w:sz="4" w:space="0" w:color="000000"/>
              <w:bottom w:val="single" w:sz="4" w:space="0" w:color="000000"/>
              <w:right w:val="single" w:sz="4" w:space="0" w:color="000000"/>
            </w:tcBorders>
            <w:vAlign w:val="center"/>
            <w:hideMark/>
          </w:tcPr>
          <w:p w14:paraId="4E0E146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1360" w:type="dxa"/>
            <w:tcBorders>
              <w:top w:val="nil"/>
              <w:left w:val="nil"/>
              <w:bottom w:val="single" w:sz="4" w:space="0" w:color="000000"/>
              <w:right w:val="single" w:sz="4" w:space="0" w:color="000000"/>
            </w:tcBorders>
            <w:vAlign w:val="center"/>
            <w:hideMark/>
          </w:tcPr>
          <w:p w14:paraId="0D329B3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Investment</w:t>
            </w:r>
          </w:p>
        </w:tc>
        <w:tc>
          <w:tcPr>
            <w:tcW w:w="1360" w:type="dxa"/>
            <w:tcBorders>
              <w:top w:val="nil"/>
              <w:left w:val="nil"/>
              <w:bottom w:val="single" w:sz="4" w:space="0" w:color="000000"/>
              <w:right w:val="single" w:sz="4" w:space="0" w:color="000000"/>
            </w:tcBorders>
            <w:vAlign w:val="center"/>
            <w:hideMark/>
          </w:tcPr>
          <w:p w14:paraId="6979BCA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360" w:type="dxa"/>
            <w:tcBorders>
              <w:top w:val="nil"/>
              <w:left w:val="nil"/>
              <w:bottom w:val="single" w:sz="4" w:space="0" w:color="000000"/>
              <w:right w:val="single" w:sz="4" w:space="0" w:color="000000"/>
            </w:tcBorders>
            <w:vAlign w:val="center"/>
            <w:hideMark/>
          </w:tcPr>
          <w:p w14:paraId="7E4883C0"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Cumulative Cash Flows</w:t>
            </w:r>
          </w:p>
        </w:tc>
        <w:tc>
          <w:tcPr>
            <w:tcW w:w="1360" w:type="dxa"/>
            <w:tcBorders>
              <w:top w:val="nil"/>
              <w:left w:val="nil"/>
              <w:bottom w:val="single" w:sz="4" w:space="0" w:color="000000"/>
              <w:right w:val="single" w:sz="4" w:space="0" w:color="000000"/>
            </w:tcBorders>
            <w:vAlign w:val="center"/>
            <w:hideMark/>
          </w:tcPr>
          <w:p w14:paraId="3EF3587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Discount Factors 8%</w:t>
            </w:r>
          </w:p>
        </w:tc>
        <w:tc>
          <w:tcPr>
            <w:tcW w:w="1360" w:type="dxa"/>
            <w:tcBorders>
              <w:top w:val="nil"/>
              <w:left w:val="nil"/>
              <w:bottom w:val="single" w:sz="4" w:space="0" w:color="000000"/>
              <w:right w:val="single" w:sz="4" w:space="0" w:color="000000"/>
            </w:tcBorders>
            <w:vAlign w:val="center"/>
            <w:hideMark/>
          </w:tcPr>
          <w:p w14:paraId="18955626"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Present Value</w:t>
            </w:r>
          </w:p>
        </w:tc>
      </w:tr>
      <w:tr w:rsidR="00B42029" w:rsidRPr="00B42029" w14:paraId="24789117"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670C4A17"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1360" w:type="dxa"/>
            <w:tcBorders>
              <w:top w:val="nil"/>
              <w:left w:val="nil"/>
              <w:bottom w:val="single" w:sz="4" w:space="0" w:color="000000"/>
              <w:right w:val="single" w:sz="4" w:space="0" w:color="000000"/>
            </w:tcBorders>
            <w:noWrap/>
            <w:vAlign w:val="center"/>
            <w:hideMark/>
          </w:tcPr>
          <w:p w14:paraId="5D8333F6" w14:textId="778DBE7E"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0D6D5BE2"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376A95B7" w14:textId="5CE7167B"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0EFE523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1360" w:type="dxa"/>
            <w:tcBorders>
              <w:top w:val="nil"/>
              <w:left w:val="nil"/>
              <w:bottom w:val="single" w:sz="4" w:space="0" w:color="000000"/>
              <w:right w:val="single" w:sz="4" w:space="0" w:color="000000"/>
            </w:tcBorders>
            <w:noWrap/>
            <w:vAlign w:val="center"/>
            <w:hideMark/>
          </w:tcPr>
          <w:p w14:paraId="4DA3EAEE" w14:textId="79CC506F"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r>
      <w:tr w:rsidR="00B42029" w:rsidRPr="00B42029" w14:paraId="3D9639A6"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4062F706"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1360" w:type="dxa"/>
            <w:tcBorders>
              <w:top w:val="nil"/>
              <w:left w:val="nil"/>
              <w:bottom w:val="single" w:sz="4" w:space="0" w:color="000000"/>
              <w:right w:val="single" w:sz="4" w:space="0" w:color="000000"/>
            </w:tcBorders>
            <w:noWrap/>
            <w:vAlign w:val="center"/>
            <w:hideMark/>
          </w:tcPr>
          <w:p w14:paraId="2FAB6896"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5DD8204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475C13B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326C78D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1360" w:type="dxa"/>
            <w:tcBorders>
              <w:top w:val="nil"/>
              <w:left w:val="nil"/>
              <w:bottom w:val="single" w:sz="4" w:space="0" w:color="000000"/>
              <w:right w:val="single" w:sz="4" w:space="0" w:color="000000"/>
            </w:tcBorders>
            <w:noWrap/>
            <w:vAlign w:val="center"/>
            <w:hideMark/>
          </w:tcPr>
          <w:p w14:paraId="0663CC0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10.18 </w:t>
            </w:r>
          </w:p>
        </w:tc>
      </w:tr>
      <w:tr w:rsidR="00B42029" w:rsidRPr="00B42029" w14:paraId="6307E052"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472E75BD"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1360" w:type="dxa"/>
            <w:tcBorders>
              <w:top w:val="nil"/>
              <w:left w:val="nil"/>
              <w:bottom w:val="single" w:sz="4" w:space="0" w:color="000000"/>
              <w:right w:val="single" w:sz="4" w:space="0" w:color="000000"/>
            </w:tcBorders>
            <w:noWrap/>
            <w:vAlign w:val="center"/>
            <w:hideMark/>
          </w:tcPr>
          <w:p w14:paraId="5C67A4BB"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0F27884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7AA4E12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225EF76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1360" w:type="dxa"/>
            <w:tcBorders>
              <w:top w:val="nil"/>
              <w:left w:val="nil"/>
              <w:bottom w:val="single" w:sz="4" w:space="0" w:color="000000"/>
              <w:right w:val="single" w:sz="4" w:space="0" w:color="000000"/>
            </w:tcBorders>
            <w:noWrap/>
            <w:vAlign w:val="center"/>
            <w:hideMark/>
          </w:tcPr>
          <w:p w14:paraId="3045061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9.43 </w:t>
            </w:r>
          </w:p>
        </w:tc>
      </w:tr>
      <w:tr w:rsidR="00B42029" w:rsidRPr="00B42029" w14:paraId="07B84FB3"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4035919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1360" w:type="dxa"/>
            <w:tcBorders>
              <w:top w:val="nil"/>
              <w:left w:val="nil"/>
              <w:bottom w:val="single" w:sz="4" w:space="0" w:color="000000"/>
              <w:right w:val="single" w:sz="4" w:space="0" w:color="000000"/>
            </w:tcBorders>
            <w:noWrap/>
            <w:vAlign w:val="center"/>
            <w:hideMark/>
          </w:tcPr>
          <w:p w14:paraId="621E311B"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3B4EB2F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5533DB7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417706C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1360" w:type="dxa"/>
            <w:tcBorders>
              <w:top w:val="nil"/>
              <w:left w:val="nil"/>
              <w:bottom w:val="single" w:sz="4" w:space="0" w:color="000000"/>
              <w:right w:val="single" w:sz="4" w:space="0" w:color="000000"/>
            </w:tcBorders>
            <w:noWrap/>
            <w:vAlign w:val="center"/>
            <w:hideMark/>
          </w:tcPr>
          <w:p w14:paraId="0E4BA9A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8.72 </w:t>
            </w:r>
          </w:p>
        </w:tc>
      </w:tr>
      <w:tr w:rsidR="00B42029" w:rsidRPr="00B42029" w14:paraId="4CD4DC9D"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44D64C4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1360" w:type="dxa"/>
            <w:tcBorders>
              <w:top w:val="nil"/>
              <w:left w:val="nil"/>
              <w:bottom w:val="single" w:sz="4" w:space="0" w:color="000000"/>
              <w:right w:val="single" w:sz="4" w:space="0" w:color="000000"/>
            </w:tcBorders>
            <w:noWrap/>
            <w:vAlign w:val="center"/>
            <w:hideMark/>
          </w:tcPr>
          <w:p w14:paraId="6C3A5B12"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15C4C2B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386EC60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0CAF51A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1360" w:type="dxa"/>
            <w:tcBorders>
              <w:top w:val="nil"/>
              <w:left w:val="nil"/>
              <w:bottom w:val="single" w:sz="4" w:space="0" w:color="000000"/>
              <w:right w:val="single" w:sz="4" w:space="0" w:color="000000"/>
            </w:tcBorders>
            <w:noWrap/>
            <w:vAlign w:val="center"/>
            <w:hideMark/>
          </w:tcPr>
          <w:p w14:paraId="3CDB86F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8.09 </w:t>
            </w:r>
          </w:p>
        </w:tc>
      </w:tr>
      <w:tr w:rsidR="00B42029" w:rsidRPr="00B42029" w14:paraId="061F2909"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1D203FB0"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1360" w:type="dxa"/>
            <w:tcBorders>
              <w:top w:val="nil"/>
              <w:left w:val="nil"/>
              <w:bottom w:val="single" w:sz="4" w:space="0" w:color="000000"/>
              <w:right w:val="single" w:sz="4" w:space="0" w:color="000000"/>
            </w:tcBorders>
            <w:noWrap/>
            <w:vAlign w:val="center"/>
            <w:hideMark/>
          </w:tcPr>
          <w:p w14:paraId="793815C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c>
          <w:tcPr>
            <w:tcW w:w="1360" w:type="dxa"/>
            <w:tcBorders>
              <w:top w:val="nil"/>
              <w:left w:val="nil"/>
              <w:bottom w:val="single" w:sz="4" w:space="0" w:color="000000"/>
              <w:right w:val="single" w:sz="4" w:space="0" w:color="000000"/>
            </w:tcBorders>
            <w:noWrap/>
            <w:vAlign w:val="center"/>
            <w:hideMark/>
          </w:tcPr>
          <w:p w14:paraId="77A97BF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3C06985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6410009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1360" w:type="dxa"/>
            <w:tcBorders>
              <w:top w:val="nil"/>
              <w:left w:val="nil"/>
              <w:bottom w:val="single" w:sz="4" w:space="0" w:color="000000"/>
              <w:right w:val="single" w:sz="4" w:space="0" w:color="000000"/>
            </w:tcBorders>
            <w:noWrap/>
            <w:vAlign w:val="center"/>
            <w:hideMark/>
          </w:tcPr>
          <w:p w14:paraId="54F2EA9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7.48 </w:t>
            </w:r>
          </w:p>
        </w:tc>
      </w:tr>
      <w:tr w:rsidR="00B42029" w:rsidRPr="00B42029" w14:paraId="69413B28" w14:textId="77777777" w:rsidTr="00B42029">
        <w:trPr>
          <w:trHeight w:val="720"/>
        </w:trPr>
        <w:tc>
          <w:tcPr>
            <w:tcW w:w="8160" w:type="dxa"/>
            <w:gridSpan w:val="6"/>
            <w:tcBorders>
              <w:top w:val="single" w:sz="4" w:space="0" w:color="000000"/>
              <w:left w:val="single" w:sz="4" w:space="0" w:color="000000"/>
              <w:bottom w:val="single" w:sz="4" w:space="0" w:color="000000"/>
              <w:right w:val="single" w:sz="4" w:space="0" w:color="000000"/>
            </w:tcBorders>
            <w:vAlign w:val="center"/>
            <w:hideMark/>
          </w:tcPr>
          <w:p w14:paraId="7475E0E2"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NPV = (£50) + £10.18 + £9.43 + £8.72 + £8.09 + £7.48, NPV = (£50) + £43.89, NPV = (£6.11)</w:t>
            </w:r>
          </w:p>
        </w:tc>
      </w:tr>
    </w:tbl>
    <w:p w14:paraId="4AC8AB37" w14:textId="77777777" w:rsidR="00B42029" w:rsidRPr="00B42029" w:rsidRDefault="00B42029" w:rsidP="00B8765D">
      <w:pPr>
        <w:spacing w:before="240" w:after="240" w:line="360" w:lineRule="auto"/>
        <w:jc w:val="both"/>
        <w:rPr>
          <w:sz w:val="24"/>
          <w:szCs w:val="24"/>
          <w:lang w:val="en-IN"/>
        </w:rPr>
      </w:pPr>
    </w:p>
    <w:p w14:paraId="13563A5C" w14:textId="6E099D0E" w:rsidR="00B42029" w:rsidRPr="00B42029" w:rsidRDefault="00B42029">
      <w:pPr>
        <w:rPr>
          <w:sz w:val="24"/>
          <w:szCs w:val="24"/>
          <w:lang w:val="en-IN"/>
        </w:rPr>
      </w:pPr>
      <w:r w:rsidRPr="00B42029">
        <w:rPr>
          <w:sz w:val="24"/>
          <w:szCs w:val="24"/>
          <w:lang w:val="en-IN"/>
        </w:rPr>
        <w:br w:type="page"/>
      </w:r>
    </w:p>
    <w:tbl>
      <w:tblPr>
        <w:tblW w:w="8160" w:type="dxa"/>
        <w:tblLook w:val="04A0" w:firstRow="1" w:lastRow="0" w:firstColumn="1" w:lastColumn="0" w:noHBand="0" w:noVBand="1"/>
      </w:tblPr>
      <w:tblGrid>
        <w:gridCol w:w="1360"/>
        <w:gridCol w:w="1484"/>
        <w:gridCol w:w="1360"/>
        <w:gridCol w:w="1510"/>
        <w:gridCol w:w="1360"/>
        <w:gridCol w:w="1360"/>
      </w:tblGrid>
      <w:tr w:rsidR="00B42029" w:rsidRPr="00B42029" w14:paraId="0267255D" w14:textId="77777777" w:rsidTr="00B42029">
        <w:trPr>
          <w:trHeight w:val="540"/>
        </w:trPr>
        <w:tc>
          <w:tcPr>
            <w:tcW w:w="8160" w:type="dxa"/>
            <w:gridSpan w:val="6"/>
            <w:tcBorders>
              <w:top w:val="single" w:sz="4" w:space="0" w:color="000000"/>
              <w:left w:val="single" w:sz="4" w:space="0" w:color="000000"/>
              <w:bottom w:val="single" w:sz="4" w:space="0" w:color="000000"/>
              <w:right w:val="single" w:sz="4" w:space="0" w:color="000000"/>
            </w:tcBorders>
            <w:noWrap/>
            <w:vAlign w:val="center"/>
            <w:hideMark/>
          </w:tcPr>
          <w:p w14:paraId="39B225F6"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lastRenderedPageBreak/>
              <w:t>Net Present Value (NPV) Project C</w:t>
            </w:r>
          </w:p>
        </w:tc>
      </w:tr>
      <w:tr w:rsidR="00B42029" w:rsidRPr="00B42029" w14:paraId="47DD6FF5" w14:textId="77777777" w:rsidTr="00B42029">
        <w:trPr>
          <w:trHeight w:val="750"/>
        </w:trPr>
        <w:tc>
          <w:tcPr>
            <w:tcW w:w="1360" w:type="dxa"/>
            <w:tcBorders>
              <w:top w:val="nil"/>
              <w:left w:val="single" w:sz="4" w:space="0" w:color="000000"/>
              <w:bottom w:val="single" w:sz="4" w:space="0" w:color="000000"/>
              <w:right w:val="single" w:sz="4" w:space="0" w:color="000000"/>
            </w:tcBorders>
            <w:vAlign w:val="center"/>
            <w:hideMark/>
          </w:tcPr>
          <w:p w14:paraId="4A110FD7"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1360" w:type="dxa"/>
            <w:tcBorders>
              <w:top w:val="nil"/>
              <w:left w:val="nil"/>
              <w:bottom w:val="single" w:sz="4" w:space="0" w:color="000000"/>
              <w:right w:val="single" w:sz="4" w:space="0" w:color="000000"/>
            </w:tcBorders>
            <w:vAlign w:val="center"/>
            <w:hideMark/>
          </w:tcPr>
          <w:p w14:paraId="0B9987A6"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Investment</w:t>
            </w:r>
          </w:p>
        </w:tc>
        <w:tc>
          <w:tcPr>
            <w:tcW w:w="1360" w:type="dxa"/>
            <w:tcBorders>
              <w:top w:val="nil"/>
              <w:left w:val="nil"/>
              <w:bottom w:val="single" w:sz="4" w:space="0" w:color="000000"/>
              <w:right w:val="single" w:sz="4" w:space="0" w:color="000000"/>
            </w:tcBorders>
            <w:vAlign w:val="center"/>
            <w:hideMark/>
          </w:tcPr>
          <w:p w14:paraId="1BF59BF0"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360" w:type="dxa"/>
            <w:tcBorders>
              <w:top w:val="nil"/>
              <w:left w:val="nil"/>
              <w:bottom w:val="single" w:sz="4" w:space="0" w:color="000000"/>
              <w:right w:val="single" w:sz="4" w:space="0" w:color="000000"/>
            </w:tcBorders>
            <w:vAlign w:val="center"/>
            <w:hideMark/>
          </w:tcPr>
          <w:p w14:paraId="386BF53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Cumulative Cash Flows</w:t>
            </w:r>
          </w:p>
        </w:tc>
        <w:tc>
          <w:tcPr>
            <w:tcW w:w="1360" w:type="dxa"/>
            <w:tcBorders>
              <w:top w:val="nil"/>
              <w:left w:val="nil"/>
              <w:bottom w:val="single" w:sz="4" w:space="0" w:color="000000"/>
              <w:right w:val="single" w:sz="4" w:space="0" w:color="000000"/>
            </w:tcBorders>
            <w:vAlign w:val="center"/>
            <w:hideMark/>
          </w:tcPr>
          <w:p w14:paraId="20AC2810"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Discount Factors 8%</w:t>
            </w:r>
          </w:p>
        </w:tc>
        <w:tc>
          <w:tcPr>
            <w:tcW w:w="1360" w:type="dxa"/>
            <w:tcBorders>
              <w:top w:val="nil"/>
              <w:left w:val="nil"/>
              <w:bottom w:val="single" w:sz="4" w:space="0" w:color="000000"/>
              <w:right w:val="single" w:sz="4" w:space="0" w:color="000000"/>
            </w:tcBorders>
            <w:vAlign w:val="center"/>
            <w:hideMark/>
          </w:tcPr>
          <w:p w14:paraId="0789ADC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Present Value</w:t>
            </w:r>
          </w:p>
        </w:tc>
      </w:tr>
      <w:tr w:rsidR="00B42029" w:rsidRPr="00B42029" w14:paraId="39038C34"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151CE5B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1360" w:type="dxa"/>
            <w:tcBorders>
              <w:top w:val="nil"/>
              <w:left w:val="nil"/>
              <w:bottom w:val="single" w:sz="4" w:space="0" w:color="000000"/>
              <w:right w:val="single" w:sz="4" w:space="0" w:color="000000"/>
            </w:tcBorders>
            <w:noWrap/>
            <w:vAlign w:val="center"/>
            <w:hideMark/>
          </w:tcPr>
          <w:p w14:paraId="10A583E9" w14:textId="759D2D79"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38C240BC"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0F3A43E4" w14:textId="5C6BDDC3"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494B424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1360" w:type="dxa"/>
            <w:tcBorders>
              <w:top w:val="nil"/>
              <w:left w:val="nil"/>
              <w:bottom w:val="single" w:sz="4" w:space="0" w:color="000000"/>
              <w:right w:val="single" w:sz="4" w:space="0" w:color="000000"/>
            </w:tcBorders>
            <w:noWrap/>
            <w:vAlign w:val="center"/>
            <w:hideMark/>
          </w:tcPr>
          <w:p w14:paraId="673A0CA2" w14:textId="6A5712D8"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r>
      <w:tr w:rsidR="00B42029" w:rsidRPr="00B42029" w14:paraId="7DE3B9F3"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5826693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1360" w:type="dxa"/>
            <w:tcBorders>
              <w:top w:val="nil"/>
              <w:left w:val="nil"/>
              <w:bottom w:val="single" w:sz="4" w:space="0" w:color="000000"/>
              <w:right w:val="single" w:sz="4" w:space="0" w:color="000000"/>
            </w:tcBorders>
            <w:noWrap/>
            <w:vAlign w:val="center"/>
            <w:hideMark/>
          </w:tcPr>
          <w:p w14:paraId="549EC036"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6940CD0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7606779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71267A8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1360" w:type="dxa"/>
            <w:tcBorders>
              <w:top w:val="nil"/>
              <w:left w:val="nil"/>
              <w:bottom w:val="single" w:sz="4" w:space="0" w:color="000000"/>
              <w:right w:val="single" w:sz="4" w:space="0" w:color="000000"/>
            </w:tcBorders>
            <w:noWrap/>
            <w:vAlign w:val="center"/>
            <w:hideMark/>
          </w:tcPr>
          <w:p w14:paraId="6C36659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4.63 </w:t>
            </w:r>
          </w:p>
        </w:tc>
      </w:tr>
      <w:tr w:rsidR="00B42029" w:rsidRPr="00B42029" w14:paraId="1EAB52CD"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2461A1BB"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1360" w:type="dxa"/>
            <w:tcBorders>
              <w:top w:val="nil"/>
              <w:left w:val="nil"/>
              <w:bottom w:val="single" w:sz="4" w:space="0" w:color="000000"/>
              <w:right w:val="single" w:sz="4" w:space="0" w:color="000000"/>
            </w:tcBorders>
            <w:noWrap/>
            <w:vAlign w:val="center"/>
            <w:hideMark/>
          </w:tcPr>
          <w:p w14:paraId="50863F8D"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4940DC0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584640F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1A378C6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1360" w:type="dxa"/>
            <w:tcBorders>
              <w:top w:val="nil"/>
              <w:left w:val="nil"/>
              <w:bottom w:val="single" w:sz="4" w:space="0" w:color="000000"/>
              <w:right w:val="single" w:sz="4" w:space="0" w:color="000000"/>
            </w:tcBorders>
            <w:noWrap/>
            <w:vAlign w:val="center"/>
            <w:hideMark/>
          </w:tcPr>
          <w:p w14:paraId="60119C7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8.57 </w:t>
            </w:r>
          </w:p>
        </w:tc>
      </w:tr>
      <w:tr w:rsidR="00B42029" w:rsidRPr="00B42029" w14:paraId="5436C819"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2D943B5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1360" w:type="dxa"/>
            <w:tcBorders>
              <w:top w:val="nil"/>
              <w:left w:val="nil"/>
              <w:bottom w:val="single" w:sz="4" w:space="0" w:color="000000"/>
              <w:right w:val="single" w:sz="4" w:space="0" w:color="000000"/>
            </w:tcBorders>
            <w:noWrap/>
            <w:vAlign w:val="center"/>
            <w:hideMark/>
          </w:tcPr>
          <w:p w14:paraId="2AB573A4"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0E2217C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1360" w:type="dxa"/>
            <w:tcBorders>
              <w:top w:val="nil"/>
              <w:left w:val="nil"/>
              <w:bottom w:val="single" w:sz="4" w:space="0" w:color="000000"/>
              <w:right w:val="single" w:sz="4" w:space="0" w:color="000000"/>
            </w:tcBorders>
            <w:noWrap/>
            <w:vAlign w:val="center"/>
            <w:hideMark/>
          </w:tcPr>
          <w:p w14:paraId="4CF7AFF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1360" w:type="dxa"/>
            <w:tcBorders>
              <w:top w:val="nil"/>
              <w:left w:val="nil"/>
              <w:bottom w:val="single" w:sz="4" w:space="0" w:color="000000"/>
              <w:right w:val="single" w:sz="4" w:space="0" w:color="000000"/>
            </w:tcBorders>
            <w:noWrap/>
            <w:vAlign w:val="center"/>
            <w:hideMark/>
          </w:tcPr>
          <w:p w14:paraId="5525B1A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1360" w:type="dxa"/>
            <w:tcBorders>
              <w:top w:val="nil"/>
              <w:left w:val="nil"/>
              <w:bottom w:val="single" w:sz="4" w:space="0" w:color="000000"/>
              <w:right w:val="single" w:sz="4" w:space="0" w:color="000000"/>
            </w:tcBorders>
            <w:noWrap/>
            <w:vAlign w:val="center"/>
            <w:hideMark/>
          </w:tcPr>
          <w:p w14:paraId="221D2C3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15.86 </w:t>
            </w:r>
          </w:p>
        </w:tc>
      </w:tr>
      <w:tr w:rsidR="00B42029" w:rsidRPr="00B42029" w14:paraId="72D0DC15"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54A739CD"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1360" w:type="dxa"/>
            <w:tcBorders>
              <w:top w:val="nil"/>
              <w:left w:val="nil"/>
              <w:bottom w:val="single" w:sz="4" w:space="0" w:color="000000"/>
              <w:right w:val="single" w:sz="4" w:space="0" w:color="000000"/>
            </w:tcBorders>
            <w:noWrap/>
            <w:vAlign w:val="center"/>
            <w:hideMark/>
          </w:tcPr>
          <w:p w14:paraId="2E615BB2"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6807768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360" w:type="dxa"/>
            <w:tcBorders>
              <w:top w:val="nil"/>
              <w:left w:val="nil"/>
              <w:bottom w:val="single" w:sz="4" w:space="0" w:color="000000"/>
              <w:right w:val="single" w:sz="4" w:space="0" w:color="000000"/>
            </w:tcBorders>
            <w:noWrap/>
            <w:vAlign w:val="center"/>
            <w:hideMark/>
          </w:tcPr>
          <w:p w14:paraId="015C1CF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360" w:type="dxa"/>
            <w:tcBorders>
              <w:top w:val="nil"/>
              <w:left w:val="nil"/>
              <w:bottom w:val="single" w:sz="4" w:space="0" w:color="000000"/>
              <w:right w:val="single" w:sz="4" w:space="0" w:color="000000"/>
            </w:tcBorders>
            <w:noWrap/>
            <w:vAlign w:val="center"/>
            <w:hideMark/>
          </w:tcPr>
          <w:p w14:paraId="45CF575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1360" w:type="dxa"/>
            <w:tcBorders>
              <w:top w:val="nil"/>
              <w:left w:val="nil"/>
              <w:bottom w:val="single" w:sz="4" w:space="0" w:color="000000"/>
              <w:right w:val="single" w:sz="4" w:space="0" w:color="000000"/>
            </w:tcBorders>
            <w:noWrap/>
            <w:vAlign w:val="center"/>
            <w:hideMark/>
          </w:tcPr>
          <w:p w14:paraId="3E558B6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18.38 </w:t>
            </w:r>
          </w:p>
        </w:tc>
      </w:tr>
      <w:tr w:rsidR="00B42029" w:rsidRPr="00B42029" w14:paraId="14BD6104"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5197F54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1360" w:type="dxa"/>
            <w:tcBorders>
              <w:top w:val="nil"/>
              <w:left w:val="nil"/>
              <w:bottom w:val="single" w:sz="4" w:space="0" w:color="000000"/>
              <w:right w:val="single" w:sz="4" w:space="0" w:color="000000"/>
            </w:tcBorders>
            <w:noWrap/>
            <w:vAlign w:val="center"/>
            <w:hideMark/>
          </w:tcPr>
          <w:p w14:paraId="4DA9BB7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c>
          <w:tcPr>
            <w:tcW w:w="1360" w:type="dxa"/>
            <w:tcBorders>
              <w:top w:val="nil"/>
              <w:left w:val="nil"/>
              <w:bottom w:val="single" w:sz="4" w:space="0" w:color="000000"/>
              <w:right w:val="single" w:sz="4" w:space="0" w:color="000000"/>
            </w:tcBorders>
            <w:noWrap/>
            <w:vAlign w:val="center"/>
            <w:hideMark/>
          </w:tcPr>
          <w:p w14:paraId="0389F58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5E9C734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32FFA96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1360" w:type="dxa"/>
            <w:tcBorders>
              <w:top w:val="nil"/>
              <w:left w:val="nil"/>
              <w:bottom w:val="single" w:sz="4" w:space="0" w:color="000000"/>
              <w:right w:val="single" w:sz="4" w:space="0" w:color="000000"/>
            </w:tcBorders>
            <w:noWrap/>
            <w:vAlign w:val="center"/>
            <w:hideMark/>
          </w:tcPr>
          <w:p w14:paraId="1512FE9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3.40 </w:t>
            </w:r>
          </w:p>
        </w:tc>
      </w:tr>
      <w:tr w:rsidR="00B42029" w:rsidRPr="00B42029" w14:paraId="5FA40C41" w14:textId="77777777" w:rsidTr="00B42029">
        <w:trPr>
          <w:trHeight w:val="720"/>
        </w:trPr>
        <w:tc>
          <w:tcPr>
            <w:tcW w:w="8160" w:type="dxa"/>
            <w:gridSpan w:val="6"/>
            <w:tcBorders>
              <w:top w:val="single" w:sz="4" w:space="0" w:color="000000"/>
              <w:left w:val="single" w:sz="4" w:space="0" w:color="000000"/>
              <w:bottom w:val="single" w:sz="4" w:space="0" w:color="000000"/>
              <w:right w:val="single" w:sz="4" w:space="0" w:color="000000"/>
            </w:tcBorders>
            <w:vAlign w:val="center"/>
            <w:hideMark/>
          </w:tcPr>
          <w:p w14:paraId="403F837C"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NPV = (£50) + £4.63 + £8.57 + £15.86 + £18.38 + £3.4, NPV = (£50) + £50.83, NPV = £0.83</w:t>
            </w:r>
          </w:p>
        </w:tc>
      </w:tr>
    </w:tbl>
    <w:p w14:paraId="01DB26CA" w14:textId="77777777" w:rsidR="00B42029" w:rsidRPr="00B42029" w:rsidRDefault="00B42029" w:rsidP="00B8765D">
      <w:pPr>
        <w:spacing w:before="240" w:after="240" w:line="360" w:lineRule="auto"/>
        <w:jc w:val="both"/>
        <w:rPr>
          <w:sz w:val="24"/>
          <w:szCs w:val="24"/>
          <w:lang w:val="en-IN"/>
        </w:rPr>
      </w:pPr>
    </w:p>
    <w:p w14:paraId="06BC224F" w14:textId="77777777" w:rsidR="00B42029" w:rsidRPr="00B42029" w:rsidRDefault="00B42029">
      <w:pPr>
        <w:rPr>
          <w:b/>
          <w:bCs/>
          <w:sz w:val="24"/>
          <w:szCs w:val="24"/>
          <w:lang w:val="en-IN"/>
        </w:rPr>
      </w:pPr>
      <w:r w:rsidRPr="00B42029">
        <w:rPr>
          <w:b/>
          <w:bCs/>
          <w:sz w:val="24"/>
          <w:szCs w:val="24"/>
          <w:lang w:val="en-IN"/>
        </w:rPr>
        <w:br w:type="page"/>
      </w:r>
    </w:p>
    <w:p w14:paraId="2A59B7C5" w14:textId="51996B0C" w:rsidR="00B8765D" w:rsidRPr="00B42029" w:rsidRDefault="00B8765D" w:rsidP="00B42029">
      <w:pPr>
        <w:pStyle w:val="Heading2"/>
        <w:rPr>
          <w:lang w:val="en-IN"/>
        </w:rPr>
      </w:pPr>
      <w:bookmarkStart w:id="54" w:name="_Toc237451757"/>
      <w:r w:rsidRPr="00B42029">
        <w:rPr>
          <w:lang w:val="en-IN"/>
        </w:rPr>
        <w:lastRenderedPageBreak/>
        <w:t xml:space="preserve">Appendix </w:t>
      </w:r>
      <w:r w:rsidR="00B42029" w:rsidRPr="00B42029">
        <w:rPr>
          <w:lang w:val="en-IN"/>
        </w:rPr>
        <w:t xml:space="preserve">E: </w:t>
      </w:r>
      <w:r w:rsidRPr="00B42029">
        <w:rPr>
          <w:lang w:val="en-IN"/>
        </w:rPr>
        <w:t>PI calculations</w:t>
      </w:r>
      <w:bookmarkEnd w:id="54"/>
    </w:p>
    <w:tbl>
      <w:tblPr>
        <w:tblW w:w="8160" w:type="dxa"/>
        <w:tblLook w:val="04A0" w:firstRow="1" w:lastRow="0" w:firstColumn="1" w:lastColumn="0" w:noHBand="0" w:noVBand="1"/>
      </w:tblPr>
      <w:tblGrid>
        <w:gridCol w:w="1360"/>
        <w:gridCol w:w="1484"/>
        <w:gridCol w:w="1360"/>
        <w:gridCol w:w="1510"/>
        <w:gridCol w:w="1360"/>
        <w:gridCol w:w="1360"/>
      </w:tblGrid>
      <w:tr w:rsidR="00B42029" w:rsidRPr="00B42029" w14:paraId="43F23FF0" w14:textId="77777777" w:rsidTr="00B42029">
        <w:trPr>
          <w:trHeight w:val="480"/>
        </w:trPr>
        <w:tc>
          <w:tcPr>
            <w:tcW w:w="8160" w:type="dxa"/>
            <w:gridSpan w:val="6"/>
            <w:tcBorders>
              <w:top w:val="single" w:sz="4" w:space="0" w:color="000000"/>
              <w:left w:val="single" w:sz="4" w:space="0" w:color="000000"/>
              <w:bottom w:val="single" w:sz="4" w:space="0" w:color="000000"/>
              <w:right w:val="single" w:sz="4" w:space="0" w:color="000000"/>
            </w:tcBorders>
            <w:noWrap/>
            <w:vAlign w:val="center"/>
            <w:hideMark/>
          </w:tcPr>
          <w:p w14:paraId="6CF6679F"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Profitability Index (PI) Project A</w:t>
            </w:r>
          </w:p>
        </w:tc>
      </w:tr>
      <w:tr w:rsidR="00B42029" w:rsidRPr="00B42029" w14:paraId="0BD5A8E0" w14:textId="77777777" w:rsidTr="00B42029">
        <w:trPr>
          <w:trHeight w:val="705"/>
        </w:trPr>
        <w:tc>
          <w:tcPr>
            <w:tcW w:w="1360" w:type="dxa"/>
            <w:tcBorders>
              <w:top w:val="nil"/>
              <w:left w:val="single" w:sz="4" w:space="0" w:color="000000"/>
              <w:bottom w:val="single" w:sz="4" w:space="0" w:color="000000"/>
              <w:right w:val="single" w:sz="4" w:space="0" w:color="000000"/>
            </w:tcBorders>
            <w:vAlign w:val="center"/>
            <w:hideMark/>
          </w:tcPr>
          <w:p w14:paraId="3F8BB9B9"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1360" w:type="dxa"/>
            <w:tcBorders>
              <w:top w:val="nil"/>
              <w:left w:val="nil"/>
              <w:bottom w:val="single" w:sz="4" w:space="0" w:color="000000"/>
              <w:right w:val="single" w:sz="4" w:space="0" w:color="000000"/>
            </w:tcBorders>
            <w:vAlign w:val="center"/>
            <w:hideMark/>
          </w:tcPr>
          <w:p w14:paraId="6E60B86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Investment</w:t>
            </w:r>
          </w:p>
        </w:tc>
        <w:tc>
          <w:tcPr>
            <w:tcW w:w="1360" w:type="dxa"/>
            <w:tcBorders>
              <w:top w:val="nil"/>
              <w:left w:val="nil"/>
              <w:bottom w:val="single" w:sz="4" w:space="0" w:color="000000"/>
              <w:right w:val="single" w:sz="4" w:space="0" w:color="000000"/>
            </w:tcBorders>
            <w:vAlign w:val="center"/>
            <w:hideMark/>
          </w:tcPr>
          <w:p w14:paraId="0F8E8110"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360" w:type="dxa"/>
            <w:tcBorders>
              <w:top w:val="nil"/>
              <w:left w:val="nil"/>
              <w:bottom w:val="single" w:sz="4" w:space="0" w:color="000000"/>
              <w:right w:val="single" w:sz="4" w:space="0" w:color="000000"/>
            </w:tcBorders>
            <w:vAlign w:val="center"/>
            <w:hideMark/>
          </w:tcPr>
          <w:p w14:paraId="68FA073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Cumulative Cash Flows</w:t>
            </w:r>
          </w:p>
        </w:tc>
        <w:tc>
          <w:tcPr>
            <w:tcW w:w="1360" w:type="dxa"/>
            <w:tcBorders>
              <w:top w:val="nil"/>
              <w:left w:val="nil"/>
              <w:bottom w:val="single" w:sz="4" w:space="0" w:color="000000"/>
              <w:right w:val="single" w:sz="4" w:space="0" w:color="000000"/>
            </w:tcBorders>
            <w:vAlign w:val="center"/>
            <w:hideMark/>
          </w:tcPr>
          <w:p w14:paraId="5AF3E95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Discount Factors 8%</w:t>
            </w:r>
          </w:p>
        </w:tc>
        <w:tc>
          <w:tcPr>
            <w:tcW w:w="1360" w:type="dxa"/>
            <w:tcBorders>
              <w:top w:val="nil"/>
              <w:left w:val="nil"/>
              <w:bottom w:val="single" w:sz="4" w:space="0" w:color="000000"/>
              <w:right w:val="single" w:sz="4" w:space="0" w:color="000000"/>
            </w:tcBorders>
            <w:vAlign w:val="center"/>
            <w:hideMark/>
          </w:tcPr>
          <w:p w14:paraId="5A4B0A44"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Present Value</w:t>
            </w:r>
          </w:p>
        </w:tc>
      </w:tr>
      <w:tr w:rsidR="00B42029" w:rsidRPr="00B42029" w14:paraId="6D362093"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1EBC488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1360" w:type="dxa"/>
            <w:tcBorders>
              <w:top w:val="nil"/>
              <w:left w:val="nil"/>
              <w:bottom w:val="single" w:sz="4" w:space="0" w:color="000000"/>
              <w:right w:val="single" w:sz="4" w:space="0" w:color="000000"/>
            </w:tcBorders>
            <w:noWrap/>
            <w:vAlign w:val="center"/>
            <w:hideMark/>
          </w:tcPr>
          <w:p w14:paraId="3836605E" w14:textId="70A6D126"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191BD862"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5C48E019" w14:textId="6C4C04BD"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72C9F74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1360" w:type="dxa"/>
            <w:tcBorders>
              <w:top w:val="nil"/>
              <w:left w:val="nil"/>
              <w:bottom w:val="single" w:sz="4" w:space="0" w:color="000000"/>
              <w:right w:val="single" w:sz="4" w:space="0" w:color="000000"/>
            </w:tcBorders>
            <w:noWrap/>
            <w:vAlign w:val="center"/>
            <w:hideMark/>
          </w:tcPr>
          <w:p w14:paraId="49200A40" w14:textId="64E1BBE2"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r>
      <w:tr w:rsidR="00B42029" w:rsidRPr="00B42029" w14:paraId="1195F358"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508C93B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1360" w:type="dxa"/>
            <w:tcBorders>
              <w:top w:val="nil"/>
              <w:left w:val="nil"/>
              <w:bottom w:val="single" w:sz="4" w:space="0" w:color="000000"/>
              <w:right w:val="single" w:sz="4" w:space="0" w:color="000000"/>
            </w:tcBorders>
            <w:noWrap/>
            <w:vAlign w:val="center"/>
            <w:hideMark/>
          </w:tcPr>
          <w:p w14:paraId="3C0CF967"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58C8B74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272C67A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6D9230D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1360" w:type="dxa"/>
            <w:tcBorders>
              <w:top w:val="nil"/>
              <w:left w:val="nil"/>
              <w:bottom w:val="single" w:sz="4" w:space="0" w:color="000000"/>
              <w:right w:val="single" w:sz="4" w:space="0" w:color="000000"/>
            </w:tcBorders>
            <w:noWrap/>
            <w:vAlign w:val="center"/>
            <w:hideMark/>
          </w:tcPr>
          <w:p w14:paraId="1C69600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9.25 </w:t>
            </w:r>
          </w:p>
        </w:tc>
      </w:tr>
      <w:tr w:rsidR="00B42029" w:rsidRPr="00B42029" w14:paraId="5334BB0C"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40A521A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1360" w:type="dxa"/>
            <w:tcBorders>
              <w:top w:val="nil"/>
              <w:left w:val="nil"/>
              <w:bottom w:val="single" w:sz="4" w:space="0" w:color="000000"/>
              <w:right w:val="single" w:sz="4" w:space="0" w:color="000000"/>
            </w:tcBorders>
            <w:noWrap/>
            <w:vAlign w:val="center"/>
            <w:hideMark/>
          </w:tcPr>
          <w:p w14:paraId="1A09D838"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06B8A52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12.00 </w:t>
            </w:r>
          </w:p>
        </w:tc>
        <w:tc>
          <w:tcPr>
            <w:tcW w:w="1360" w:type="dxa"/>
            <w:tcBorders>
              <w:top w:val="nil"/>
              <w:left w:val="nil"/>
              <w:bottom w:val="single" w:sz="4" w:space="0" w:color="000000"/>
              <w:right w:val="single" w:sz="4" w:space="0" w:color="000000"/>
            </w:tcBorders>
            <w:noWrap/>
            <w:vAlign w:val="center"/>
            <w:hideMark/>
          </w:tcPr>
          <w:p w14:paraId="74A5781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12.00 </w:t>
            </w:r>
          </w:p>
        </w:tc>
        <w:tc>
          <w:tcPr>
            <w:tcW w:w="1360" w:type="dxa"/>
            <w:tcBorders>
              <w:top w:val="nil"/>
              <w:left w:val="nil"/>
              <w:bottom w:val="single" w:sz="4" w:space="0" w:color="000000"/>
              <w:right w:val="single" w:sz="4" w:space="0" w:color="000000"/>
            </w:tcBorders>
            <w:noWrap/>
            <w:vAlign w:val="center"/>
            <w:hideMark/>
          </w:tcPr>
          <w:p w14:paraId="0AFD659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1360" w:type="dxa"/>
            <w:tcBorders>
              <w:top w:val="nil"/>
              <w:left w:val="nil"/>
              <w:bottom w:val="single" w:sz="4" w:space="0" w:color="000000"/>
              <w:right w:val="single" w:sz="4" w:space="0" w:color="000000"/>
            </w:tcBorders>
            <w:noWrap/>
            <w:vAlign w:val="center"/>
            <w:hideMark/>
          </w:tcPr>
          <w:p w14:paraId="362F64A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10.28 </w:t>
            </w:r>
          </w:p>
        </w:tc>
      </w:tr>
      <w:tr w:rsidR="00B42029" w:rsidRPr="00B42029" w14:paraId="61428597"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28F8A28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1360" w:type="dxa"/>
            <w:tcBorders>
              <w:top w:val="nil"/>
              <w:left w:val="nil"/>
              <w:bottom w:val="single" w:sz="4" w:space="0" w:color="000000"/>
              <w:right w:val="single" w:sz="4" w:space="0" w:color="000000"/>
            </w:tcBorders>
            <w:noWrap/>
            <w:vAlign w:val="center"/>
            <w:hideMark/>
          </w:tcPr>
          <w:p w14:paraId="6580402D"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042AF97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14.00 </w:t>
            </w:r>
          </w:p>
        </w:tc>
        <w:tc>
          <w:tcPr>
            <w:tcW w:w="1360" w:type="dxa"/>
            <w:tcBorders>
              <w:top w:val="nil"/>
              <w:left w:val="nil"/>
              <w:bottom w:val="single" w:sz="4" w:space="0" w:color="000000"/>
              <w:right w:val="single" w:sz="4" w:space="0" w:color="000000"/>
            </w:tcBorders>
            <w:noWrap/>
            <w:vAlign w:val="center"/>
            <w:hideMark/>
          </w:tcPr>
          <w:p w14:paraId="7FB0C1A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14.00 </w:t>
            </w:r>
          </w:p>
        </w:tc>
        <w:tc>
          <w:tcPr>
            <w:tcW w:w="1360" w:type="dxa"/>
            <w:tcBorders>
              <w:top w:val="nil"/>
              <w:left w:val="nil"/>
              <w:bottom w:val="single" w:sz="4" w:space="0" w:color="000000"/>
              <w:right w:val="single" w:sz="4" w:space="0" w:color="000000"/>
            </w:tcBorders>
            <w:noWrap/>
            <w:vAlign w:val="center"/>
            <w:hideMark/>
          </w:tcPr>
          <w:p w14:paraId="3B03620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1360" w:type="dxa"/>
            <w:tcBorders>
              <w:top w:val="nil"/>
              <w:left w:val="nil"/>
              <w:bottom w:val="single" w:sz="4" w:space="0" w:color="000000"/>
              <w:right w:val="single" w:sz="4" w:space="0" w:color="000000"/>
            </w:tcBorders>
            <w:noWrap/>
            <w:vAlign w:val="center"/>
            <w:hideMark/>
          </w:tcPr>
          <w:p w14:paraId="0BD40EA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11.10 </w:t>
            </w:r>
          </w:p>
        </w:tc>
      </w:tr>
      <w:tr w:rsidR="00B42029" w:rsidRPr="00B42029" w14:paraId="3785E13B"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500BCDCB"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1360" w:type="dxa"/>
            <w:tcBorders>
              <w:top w:val="nil"/>
              <w:left w:val="nil"/>
              <w:bottom w:val="single" w:sz="4" w:space="0" w:color="000000"/>
              <w:right w:val="single" w:sz="4" w:space="0" w:color="000000"/>
            </w:tcBorders>
            <w:noWrap/>
            <w:vAlign w:val="center"/>
            <w:hideMark/>
          </w:tcPr>
          <w:p w14:paraId="6FE2B9B6"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67FB7A9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359A0BD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71C4A73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1360" w:type="dxa"/>
            <w:tcBorders>
              <w:top w:val="nil"/>
              <w:left w:val="nil"/>
              <w:bottom w:val="single" w:sz="4" w:space="0" w:color="000000"/>
              <w:right w:val="single" w:sz="4" w:space="0" w:color="000000"/>
            </w:tcBorders>
            <w:noWrap/>
            <w:vAlign w:val="center"/>
            <w:hideMark/>
          </w:tcPr>
          <w:p w14:paraId="204FFC1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7.35 </w:t>
            </w:r>
          </w:p>
        </w:tc>
      </w:tr>
      <w:tr w:rsidR="00B42029" w:rsidRPr="00B42029" w14:paraId="35E4F4F6"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261E7219"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1360" w:type="dxa"/>
            <w:tcBorders>
              <w:top w:val="nil"/>
              <w:left w:val="nil"/>
              <w:bottom w:val="single" w:sz="4" w:space="0" w:color="000000"/>
              <w:right w:val="single" w:sz="4" w:space="0" w:color="000000"/>
            </w:tcBorders>
            <w:noWrap/>
            <w:vAlign w:val="center"/>
            <w:hideMark/>
          </w:tcPr>
          <w:p w14:paraId="790BDE8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c>
          <w:tcPr>
            <w:tcW w:w="1360" w:type="dxa"/>
            <w:tcBorders>
              <w:top w:val="nil"/>
              <w:left w:val="nil"/>
              <w:bottom w:val="single" w:sz="4" w:space="0" w:color="000000"/>
              <w:right w:val="single" w:sz="4" w:space="0" w:color="000000"/>
            </w:tcBorders>
            <w:noWrap/>
            <w:vAlign w:val="center"/>
            <w:hideMark/>
          </w:tcPr>
          <w:p w14:paraId="5763E84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8.00 </w:t>
            </w:r>
          </w:p>
        </w:tc>
        <w:tc>
          <w:tcPr>
            <w:tcW w:w="1360" w:type="dxa"/>
            <w:tcBorders>
              <w:top w:val="nil"/>
              <w:left w:val="nil"/>
              <w:bottom w:val="single" w:sz="4" w:space="0" w:color="000000"/>
              <w:right w:val="single" w:sz="4" w:space="0" w:color="000000"/>
            </w:tcBorders>
            <w:noWrap/>
            <w:vAlign w:val="center"/>
            <w:hideMark/>
          </w:tcPr>
          <w:p w14:paraId="2ED20D4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8.00 </w:t>
            </w:r>
          </w:p>
        </w:tc>
        <w:tc>
          <w:tcPr>
            <w:tcW w:w="1360" w:type="dxa"/>
            <w:tcBorders>
              <w:top w:val="nil"/>
              <w:left w:val="nil"/>
              <w:bottom w:val="single" w:sz="4" w:space="0" w:color="000000"/>
              <w:right w:val="single" w:sz="4" w:space="0" w:color="000000"/>
            </w:tcBorders>
            <w:noWrap/>
            <w:vAlign w:val="center"/>
            <w:hideMark/>
          </w:tcPr>
          <w:p w14:paraId="4B5567A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1360" w:type="dxa"/>
            <w:tcBorders>
              <w:top w:val="nil"/>
              <w:left w:val="nil"/>
              <w:bottom w:val="single" w:sz="4" w:space="0" w:color="000000"/>
              <w:right w:val="single" w:sz="4" w:space="0" w:color="000000"/>
            </w:tcBorders>
            <w:noWrap/>
            <w:vAlign w:val="center"/>
            <w:hideMark/>
          </w:tcPr>
          <w:p w14:paraId="2676C80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5.44 </w:t>
            </w:r>
          </w:p>
        </w:tc>
      </w:tr>
      <w:tr w:rsidR="00B42029" w:rsidRPr="00B42029" w14:paraId="3F10F623" w14:textId="77777777" w:rsidTr="00B42029">
        <w:trPr>
          <w:trHeight w:val="915"/>
        </w:trPr>
        <w:tc>
          <w:tcPr>
            <w:tcW w:w="8160" w:type="dxa"/>
            <w:gridSpan w:val="6"/>
            <w:tcBorders>
              <w:top w:val="single" w:sz="4" w:space="0" w:color="000000"/>
              <w:left w:val="single" w:sz="4" w:space="0" w:color="000000"/>
              <w:bottom w:val="single" w:sz="4" w:space="0" w:color="000000"/>
              <w:right w:val="single" w:sz="4" w:space="0" w:color="000000"/>
            </w:tcBorders>
            <w:vAlign w:val="center"/>
            <w:hideMark/>
          </w:tcPr>
          <w:p w14:paraId="2B96463A"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Formula: Profitability Index (PI) = Present Value of Cash Inflows / Initial Investment, PI = £43.43 / £50, PI = 0.87</w:t>
            </w:r>
          </w:p>
        </w:tc>
      </w:tr>
    </w:tbl>
    <w:p w14:paraId="450ED7C1" w14:textId="77777777" w:rsidR="00B42029" w:rsidRPr="00B42029" w:rsidRDefault="00B42029" w:rsidP="00B8765D">
      <w:pPr>
        <w:spacing w:before="240" w:after="240" w:line="360" w:lineRule="auto"/>
        <w:jc w:val="both"/>
        <w:rPr>
          <w:sz w:val="24"/>
          <w:szCs w:val="24"/>
          <w:lang w:val="en-IN"/>
        </w:rPr>
      </w:pPr>
    </w:p>
    <w:tbl>
      <w:tblPr>
        <w:tblW w:w="8160" w:type="dxa"/>
        <w:tblLook w:val="04A0" w:firstRow="1" w:lastRow="0" w:firstColumn="1" w:lastColumn="0" w:noHBand="0" w:noVBand="1"/>
      </w:tblPr>
      <w:tblGrid>
        <w:gridCol w:w="1360"/>
        <w:gridCol w:w="1484"/>
        <w:gridCol w:w="1360"/>
        <w:gridCol w:w="1510"/>
        <w:gridCol w:w="1360"/>
        <w:gridCol w:w="1360"/>
      </w:tblGrid>
      <w:tr w:rsidR="00B42029" w:rsidRPr="00B42029" w14:paraId="7AC0D654" w14:textId="77777777" w:rsidTr="00B42029">
        <w:trPr>
          <w:trHeight w:val="480"/>
        </w:trPr>
        <w:tc>
          <w:tcPr>
            <w:tcW w:w="8160" w:type="dxa"/>
            <w:gridSpan w:val="6"/>
            <w:tcBorders>
              <w:top w:val="single" w:sz="4" w:space="0" w:color="000000"/>
              <w:left w:val="single" w:sz="4" w:space="0" w:color="000000"/>
              <w:bottom w:val="single" w:sz="4" w:space="0" w:color="000000"/>
              <w:right w:val="single" w:sz="4" w:space="0" w:color="000000"/>
            </w:tcBorders>
            <w:noWrap/>
            <w:vAlign w:val="center"/>
            <w:hideMark/>
          </w:tcPr>
          <w:p w14:paraId="04A64C11"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Profitability Index (PI) Project B</w:t>
            </w:r>
          </w:p>
        </w:tc>
      </w:tr>
      <w:tr w:rsidR="00B42029" w:rsidRPr="00B42029" w14:paraId="79180878" w14:textId="77777777" w:rsidTr="00B42029">
        <w:trPr>
          <w:trHeight w:val="705"/>
        </w:trPr>
        <w:tc>
          <w:tcPr>
            <w:tcW w:w="1360" w:type="dxa"/>
            <w:tcBorders>
              <w:top w:val="nil"/>
              <w:left w:val="single" w:sz="4" w:space="0" w:color="000000"/>
              <w:bottom w:val="single" w:sz="4" w:space="0" w:color="000000"/>
              <w:right w:val="single" w:sz="4" w:space="0" w:color="000000"/>
            </w:tcBorders>
            <w:vAlign w:val="center"/>
            <w:hideMark/>
          </w:tcPr>
          <w:p w14:paraId="52EB508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Year</w:t>
            </w:r>
          </w:p>
        </w:tc>
        <w:tc>
          <w:tcPr>
            <w:tcW w:w="1360" w:type="dxa"/>
            <w:tcBorders>
              <w:top w:val="nil"/>
              <w:left w:val="nil"/>
              <w:bottom w:val="single" w:sz="4" w:space="0" w:color="000000"/>
              <w:right w:val="single" w:sz="4" w:space="0" w:color="000000"/>
            </w:tcBorders>
            <w:vAlign w:val="center"/>
            <w:hideMark/>
          </w:tcPr>
          <w:p w14:paraId="287CEFD6"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Investment</w:t>
            </w:r>
          </w:p>
        </w:tc>
        <w:tc>
          <w:tcPr>
            <w:tcW w:w="1360" w:type="dxa"/>
            <w:tcBorders>
              <w:top w:val="nil"/>
              <w:left w:val="nil"/>
              <w:bottom w:val="single" w:sz="4" w:space="0" w:color="000000"/>
              <w:right w:val="single" w:sz="4" w:space="0" w:color="000000"/>
            </w:tcBorders>
            <w:vAlign w:val="center"/>
            <w:hideMark/>
          </w:tcPr>
          <w:p w14:paraId="5C099F56"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360" w:type="dxa"/>
            <w:tcBorders>
              <w:top w:val="nil"/>
              <w:left w:val="nil"/>
              <w:bottom w:val="single" w:sz="4" w:space="0" w:color="000000"/>
              <w:right w:val="single" w:sz="4" w:space="0" w:color="000000"/>
            </w:tcBorders>
            <w:vAlign w:val="center"/>
            <w:hideMark/>
          </w:tcPr>
          <w:p w14:paraId="783281B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Cumulative Cash Flows</w:t>
            </w:r>
          </w:p>
        </w:tc>
        <w:tc>
          <w:tcPr>
            <w:tcW w:w="1360" w:type="dxa"/>
            <w:tcBorders>
              <w:top w:val="nil"/>
              <w:left w:val="nil"/>
              <w:bottom w:val="single" w:sz="4" w:space="0" w:color="000000"/>
              <w:right w:val="single" w:sz="4" w:space="0" w:color="000000"/>
            </w:tcBorders>
            <w:vAlign w:val="center"/>
            <w:hideMark/>
          </w:tcPr>
          <w:p w14:paraId="44A7B47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Discount Factors 8%</w:t>
            </w:r>
          </w:p>
        </w:tc>
        <w:tc>
          <w:tcPr>
            <w:tcW w:w="1360" w:type="dxa"/>
            <w:tcBorders>
              <w:top w:val="nil"/>
              <w:left w:val="nil"/>
              <w:bottom w:val="single" w:sz="4" w:space="0" w:color="000000"/>
              <w:right w:val="single" w:sz="4" w:space="0" w:color="000000"/>
            </w:tcBorders>
            <w:vAlign w:val="center"/>
            <w:hideMark/>
          </w:tcPr>
          <w:p w14:paraId="70C2B7F4"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Present Value</w:t>
            </w:r>
          </w:p>
        </w:tc>
      </w:tr>
      <w:tr w:rsidR="00B42029" w:rsidRPr="00B42029" w14:paraId="455F2BCD"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2A09D51D"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1360" w:type="dxa"/>
            <w:tcBorders>
              <w:top w:val="nil"/>
              <w:left w:val="nil"/>
              <w:bottom w:val="single" w:sz="4" w:space="0" w:color="000000"/>
              <w:right w:val="single" w:sz="4" w:space="0" w:color="000000"/>
            </w:tcBorders>
            <w:noWrap/>
            <w:vAlign w:val="center"/>
            <w:hideMark/>
          </w:tcPr>
          <w:p w14:paraId="56417434" w14:textId="44EB4C84"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2813D159"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1B5310BC" w14:textId="63B3D83F"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5CB5C81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1360" w:type="dxa"/>
            <w:tcBorders>
              <w:top w:val="nil"/>
              <w:left w:val="nil"/>
              <w:bottom w:val="single" w:sz="4" w:space="0" w:color="000000"/>
              <w:right w:val="single" w:sz="4" w:space="0" w:color="000000"/>
            </w:tcBorders>
            <w:noWrap/>
            <w:vAlign w:val="center"/>
            <w:hideMark/>
          </w:tcPr>
          <w:p w14:paraId="44CB4692" w14:textId="49380316"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r>
      <w:tr w:rsidR="00B42029" w:rsidRPr="00B42029" w14:paraId="513F4EDD"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6F202C5D"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1360" w:type="dxa"/>
            <w:tcBorders>
              <w:top w:val="nil"/>
              <w:left w:val="nil"/>
              <w:bottom w:val="single" w:sz="4" w:space="0" w:color="000000"/>
              <w:right w:val="single" w:sz="4" w:space="0" w:color="000000"/>
            </w:tcBorders>
            <w:noWrap/>
            <w:vAlign w:val="center"/>
            <w:hideMark/>
          </w:tcPr>
          <w:p w14:paraId="4052E445"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470C07E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339804C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69FC3AA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1360" w:type="dxa"/>
            <w:tcBorders>
              <w:top w:val="nil"/>
              <w:left w:val="nil"/>
              <w:bottom w:val="single" w:sz="4" w:space="0" w:color="000000"/>
              <w:right w:val="single" w:sz="4" w:space="0" w:color="000000"/>
            </w:tcBorders>
            <w:noWrap/>
            <w:vAlign w:val="center"/>
            <w:hideMark/>
          </w:tcPr>
          <w:p w14:paraId="0C631C3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10.18 </w:t>
            </w:r>
          </w:p>
        </w:tc>
      </w:tr>
      <w:tr w:rsidR="00B42029" w:rsidRPr="00B42029" w14:paraId="4434F593"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04C1540C"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1360" w:type="dxa"/>
            <w:tcBorders>
              <w:top w:val="nil"/>
              <w:left w:val="nil"/>
              <w:bottom w:val="single" w:sz="4" w:space="0" w:color="000000"/>
              <w:right w:val="single" w:sz="4" w:space="0" w:color="000000"/>
            </w:tcBorders>
            <w:noWrap/>
            <w:vAlign w:val="center"/>
            <w:hideMark/>
          </w:tcPr>
          <w:p w14:paraId="07C20915"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39E3315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5BE9823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28366CF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1360" w:type="dxa"/>
            <w:tcBorders>
              <w:top w:val="nil"/>
              <w:left w:val="nil"/>
              <w:bottom w:val="single" w:sz="4" w:space="0" w:color="000000"/>
              <w:right w:val="single" w:sz="4" w:space="0" w:color="000000"/>
            </w:tcBorders>
            <w:noWrap/>
            <w:vAlign w:val="center"/>
            <w:hideMark/>
          </w:tcPr>
          <w:p w14:paraId="4AFF6E3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9.43 </w:t>
            </w:r>
          </w:p>
        </w:tc>
      </w:tr>
      <w:tr w:rsidR="00B42029" w:rsidRPr="00B42029" w14:paraId="71DD60CA"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3EBDD2F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1360" w:type="dxa"/>
            <w:tcBorders>
              <w:top w:val="nil"/>
              <w:left w:val="nil"/>
              <w:bottom w:val="single" w:sz="4" w:space="0" w:color="000000"/>
              <w:right w:val="single" w:sz="4" w:space="0" w:color="000000"/>
            </w:tcBorders>
            <w:noWrap/>
            <w:vAlign w:val="center"/>
            <w:hideMark/>
          </w:tcPr>
          <w:p w14:paraId="1352D095"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6B1893D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28ED2D7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2DF5560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1360" w:type="dxa"/>
            <w:tcBorders>
              <w:top w:val="nil"/>
              <w:left w:val="nil"/>
              <w:bottom w:val="single" w:sz="4" w:space="0" w:color="000000"/>
              <w:right w:val="single" w:sz="4" w:space="0" w:color="000000"/>
            </w:tcBorders>
            <w:noWrap/>
            <w:vAlign w:val="center"/>
            <w:hideMark/>
          </w:tcPr>
          <w:p w14:paraId="37F29F7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8.72 </w:t>
            </w:r>
          </w:p>
        </w:tc>
      </w:tr>
      <w:tr w:rsidR="00B42029" w:rsidRPr="00B42029" w14:paraId="4C4F2BE4"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54D7122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1360" w:type="dxa"/>
            <w:tcBorders>
              <w:top w:val="nil"/>
              <w:left w:val="nil"/>
              <w:bottom w:val="single" w:sz="4" w:space="0" w:color="000000"/>
              <w:right w:val="single" w:sz="4" w:space="0" w:color="000000"/>
            </w:tcBorders>
            <w:noWrap/>
            <w:vAlign w:val="center"/>
            <w:hideMark/>
          </w:tcPr>
          <w:p w14:paraId="59E13EA8"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312DABF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402B030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4D1F739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1360" w:type="dxa"/>
            <w:tcBorders>
              <w:top w:val="nil"/>
              <w:left w:val="nil"/>
              <w:bottom w:val="single" w:sz="4" w:space="0" w:color="000000"/>
              <w:right w:val="single" w:sz="4" w:space="0" w:color="000000"/>
            </w:tcBorders>
            <w:noWrap/>
            <w:vAlign w:val="center"/>
            <w:hideMark/>
          </w:tcPr>
          <w:p w14:paraId="4AA2381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8.09 </w:t>
            </w:r>
          </w:p>
        </w:tc>
      </w:tr>
      <w:tr w:rsidR="00B42029" w:rsidRPr="00B42029" w14:paraId="7BF35F3F"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145399A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1360" w:type="dxa"/>
            <w:tcBorders>
              <w:top w:val="nil"/>
              <w:left w:val="nil"/>
              <w:bottom w:val="single" w:sz="4" w:space="0" w:color="000000"/>
              <w:right w:val="single" w:sz="4" w:space="0" w:color="000000"/>
            </w:tcBorders>
            <w:noWrap/>
            <w:vAlign w:val="center"/>
            <w:hideMark/>
          </w:tcPr>
          <w:p w14:paraId="66397A1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c>
          <w:tcPr>
            <w:tcW w:w="1360" w:type="dxa"/>
            <w:tcBorders>
              <w:top w:val="nil"/>
              <w:left w:val="nil"/>
              <w:bottom w:val="single" w:sz="4" w:space="0" w:color="000000"/>
              <w:right w:val="single" w:sz="4" w:space="0" w:color="000000"/>
            </w:tcBorders>
            <w:noWrap/>
            <w:vAlign w:val="center"/>
            <w:hideMark/>
          </w:tcPr>
          <w:p w14:paraId="460EDFC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43AC0AC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1360" w:type="dxa"/>
            <w:tcBorders>
              <w:top w:val="nil"/>
              <w:left w:val="nil"/>
              <w:bottom w:val="single" w:sz="4" w:space="0" w:color="000000"/>
              <w:right w:val="single" w:sz="4" w:space="0" w:color="000000"/>
            </w:tcBorders>
            <w:noWrap/>
            <w:vAlign w:val="center"/>
            <w:hideMark/>
          </w:tcPr>
          <w:p w14:paraId="3A25FED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1360" w:type="dxa"/>
            <w:tcBorders>
              <w:top w:val="nil"/>
              <w:left w:val="nil"/>
              <w:bottom w:val="single" w:sz="4" w:space="0" w:color="000000"/>
              <w:right w:val="single" w:sz="4" w:space="0" w:color="000000"/>
            </w:tcBorders>
            <w:noWrap/>
            <w:vAlign w:val="center"/>
            <w:hideMark/>
          </w:tcPr>
          <w:p w14:paraId="5EAF08D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7.48 </w:t>
            </w:r>
          </w:p>
        </w:tc>
      </w:tr>
      <w:tr w:rsidR="00B42029" w:rsidRPr="00B42029" w14:paraId="238FB236" w14:textId="77777777" w:rsidTr="00B42029">
        <w:trPr>
          <w:trHeight w:val="915"/>
        </w:trPr>
        <w:tc>
          <w:tcPr>
            <w:tcW w:w="8160" w:type="dxa"/>
            <w:gridSpan w:val="6"/>
            <w:tcBorders>
              <w:top w:val="single" w:sz="4" w:space="0" w:color="000000"/>
              <w:left w:val="single" w:sz="4" w:space="0" w:color="000000"/>
              <w:bottom w:val="single" w:sz="4" w:space="0" w:color="000000"/>
              <w:right w:val="single" w:sz="4" w:space="0" w:color="000000"/>
            </w:tcBorders>
            <w:vAlign w:val="center"/>
            <w:hideMark/>
          </w:tcPr>
          <w:p w14:paraId="4299DBBD"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Formula: Profitability Index (PI) = Present Value of Cash Inflows / Initial Investment, PI = £43.89 / £50, PI = 0.88</w:t>
            </w:r>
          </w:p>
        </w:tc>
      </w:tr>
    </w:tbl>
    <w:p w14:paraId="51CBA106" w14:textId="77777777" w:rsidR="00B42029" w:rsidRPr="00B42029" w:rsidRDefault="00B42029" w:rsidP="00B8765D">
      <w:pPr>
        <w:spacing w:before="240" w:after="240" w:line="360" w:lineRule="auto"/>
        <w:jc w:val="both"/>
        <w:rPr>
          <w:sz w:val="24"/>
          <w:szCs w:val="24"/>
          <w:lang w:val="en-IN"/>
        </w:rPr>
      </w:pPr>
    </w:p>
    <w:tbl>
      <w:tblPr>
        <w:tblW w:w="8160" w:type="dxa"/>
        <w:tblLook w:val="04A0" w:firstRow="1" w:lastRow="0" w:firstColumn="1" w:lastColumn="0" w:noHBand="0" w:noVBand="1"/>
      </w:tblPr>
      <w:tblGrid>
        <w:gridCol w:w="1360"/>
        <w:gridCol w:w="1484"/>
        <w:gridCol w:w="1360"/>
        <w:gridCol w:w="1510"/>
        <w:gridCol w:w="1360"/>
        <w:gridCol w:w="1360"/>
      </w:tblGrid>
      <w:tr w:rsidR="00B42029" w:rsidRPr="00B42029" w14:paraId="03691C50" w14:textId="77777777" w:rsidTr="00B42029">
        <w:trPr>
          <w:trHeight w:val="480"/>
        </w:trPr>
        <w:tc>
          <w:tcPr>
            <w:tcW w:w="8160" w:type="dxa"/>
            <w:gridSpan w:val="6"/>
            <w:tcBorders>
              <w:top w:val="single" w:sz="4" w:space="0" w:color="000000"/>
              <w:left w:val="single" w:sz="4" w:space="0" w:color="000000"/>
              <w:bottom w:val="single" w:sz="4" w:space="0" w:color="000000"/>
              <w:right w:val="single" w:sz="4" w:space="0" w:color="000000"/>
            </w:tcBorders>
            <w:noWrap/>
            <w:vAlign w:val="center"/>
            <w:hideMark/>
          </w:tcPr>
          <w:p w14:paraId="74FC056D"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Profitability Index (PI) Project C</w:t>
            </w:r>
          </w:p>
        </w:tc>
      </w:tr>
      <w:tr w:rsidR="00B42029" w:rsidRPr="00B42029" w14:paraId="4BCD7CE1" w14:textId="77777777" w:rsidTr="00B42029">
        <w:trPr>
          <w:trHeight w:val="705"/>
        </w:trPr>
        <w:tc>
          <w:tcPr>
            <w:tcW w:w="1360" w:type="dxa"/>
            <w:tcBorders>
              <w:top w:val="nil"/>
              <w:left w:val="single" w:sz="4" w:space="0" w:color="000000"/>
              <w:bottom w:val="single" w:sz="4" w:space="0" w:color="000000"/>
              <w:right w:val="single" w:sz="4" w:space="0" w:color="000000"/>
            </w:tcBorders>
            <w:vAlign w:val="center"/>
            <w:hideMark/>
          </w:tcPr>
          <w:p w14:paraId="726FEA5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lastRenderedPageBreak/>
              <w:t>Year</w:t>
            </w:r>
          </w:p>
        </w:tc>
        <w:tc>
          <w:tcPr>
            <w:tcW w:w="1360" w:type="dxa"/>
            <w:tcBorders>
              <w:top w:val="nil"/>
              <w:left w:val="nil"/>
              <w:bottom w:val="single" w:sz="4" w:space="0" w:color="000000"/>
              <w:right w:val="single" w:sz="4" w:space="0" w:color="000000"/>
            </w:tcBorders>
            <w:vAlign w:val="center"/>
            <w:hideMark/>
          </w:tcPr>
          <w:p w14:paraId="4A7D540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Investment</w:t>
            </w:r>
          </w:p>
        </w:tc>
        <w:tc>
          <w:tcPr>
            <w:tcW w:w="1360" w:type="dxa"/>
            <w:tcBorders>
              <w:top w:val="nil"/>
              <w:left w:val="nil"/>
              <w:bottom w:val="single" w:sz="4" w:space="0" w:color="000000"/>
              <w:right w:val="single" w:sz="4" w:space="0" w:color="000000"/>
            </w:tcBorders>
            <w:vAlign w:val="center"/>
            <w:hideMark/>
          </w:tcPr>
          <w:p w14:paraId="450CB34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Cash Flows</w:t>
            </w:r>
          </w:p>
        </w:tc>
        <w:tc>
          <w:tcPr>
            <w:tcW w:w="1360" w:type="dxa"/>
            <w:tcBorders>
              <w:top w:val="nil"/>
              <w:left w:val="nil"/>
              <w:bottom w:val="single" w:sz="4" w:space="0" w:color="000000"/>
              <w:right w:val="single" w:sz="4" w:space="0" w:color="000000"/>
            </w:tcBorders>
            <w:vAlign w:val="center"/>
            <w:hideMark/>
          </w:tcPr>
          <w:p w14:paraId="1345BF59"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Cumulative Cash Flows</w:t>
            </w:r>
          </w:p>
        </w:tc>
        <w:tc>
          <w:tcPr>
            <w:tcW w:w="1360" w:type="dxa"/>
            <w:tcBorders>
              <w:top w:val="nil"/>
              <w:left w:val="nil"/>
              <w:bottom w:val="single" w:sz="4" w:space="0" w:color="000000"/>
              <w:right w:val="single" w:sz="4" w:space="0" w:color="000000"/>
            </w:tcBorders>
            <w:vAlign w:val="center"/>
            <w:hideMark/>
          </w:tcPr>
          <w:p w14:paraId="75CA8109"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Discount Factors 8%</w:t>
            </w:r>
          </w:p>
        </w:tc>
        <w:tc>
          <w:tcPr>
            <w:tcW w:w="1360" w:type="dxa"/>
            <w:tcBorders>
              <w:top w:val="nil"/>
              <w:left w:val="nil"/>
              <w:bottom w:val="single" w:sz="4" w:space="0" w:color="000000"/>
              <w:right w:val="single" w:sz="4" w:space="0" w:color="000000"/>
            </w:tcBorders>
            <w:vAlign w:val="center"/>
            <w:hideMark/>
          </w:tcPr>
          <w:p w14:paraId="74C52FF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Present Value</w:t>
            </w:r>
          </w:p>
        </w:tc>
      </w:tr>
      <w:tr w:rsidR="00B42029" w:rsidRPr="00B42029" w14:paraId="0E9EA624"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253CAA7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1360" w:type="dxa"/>
            <w:tcBorders>
              <w:top w:val="nil"/>
              <w:left w:val="nil"/>
              <w:bottom w:val="single" w:sz="4" w:space="0" w:color="000000"/>
              <w:right w:val="single" w:sz="4" w:space="0" w:color="000000"/>
            </w:tcBorders>
            <w:noWrap/>
            <w:vAlign w:val="center"/>
            <w:hideMark/>
          </w:tcPr>
          <w:p w14:paraId="23647232" w14:textId="1419F6D5"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5F7DAF45"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73B9D25D" w14:textId="0F0C1AD6"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1360" w:type="dxa"/>
            <w:tcBorders>
              <w:top w:val="nil"/>
              <w:left w:val="nil"/>
              <w:bottom w:val="single" w:sz="4" w:space="0" w:color="000000"/>
              <w:right w:val="single" w:sz="4" w:space="0" w:color="000000"/>
            </w:tcBorders>
            <w:noWrap/>
            <w:vAlign w:val="center"/>
            <w:hideMark/>
          </w:tcPr>
          <w:p w14:paraId="3AC833F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1360" w:type="dxa"/>
            <w:tcBorders>
              <w:top w:val="nil"/>
              <w:left w:val="nil"/>
              <w:bottom w:val="single" w:sz="4" w:space="0" w:color="000000"/>
              <w:right w:val="single" w:sz="4" w:space="0" w:color="000000"/>
            </w:tcBorders>
            <w:noWrap/>
            <w:vAlign w:val="center"/>
            <w:hideMark/>
          </w:tcPr>
          <w:p w14:paraId="2D7F7B01" w14:textId="5F7BCCCB"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r>
      <w:tr w:rsidR="00B42029" w:rsidRPr="00B42029" w14:paraId="789CDCF9"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77585F3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1360" w:type="dxa"/>
            <w:tcBorders>
              <w:top w:val="nil"/>
              <w:left w:val="nil"/>
              <w:bottom w:val="single" w:sz="4" w:space="0" w:color="000000"/>
              <w:right w:val="single" w:sz="4" w:space="0" w:color="000000"/>
            </w:tcBorders>
            <w:noWrap/>
            <w:vAlign w:val="center"/>
            <w:hideMark/>
          </w:tcPr>
          <w:p w14:paraId="144973EF"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60F15F1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26D9788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7FF0B87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1360" w:type="dxa"/>
            <w:tcBorders>
              <w:top w:val="nil"/>
              <w:left w:val="nil"/>
              <w:bottom w:val="single" w:sz="4" w:space="0" w:color="000000"/>
              <w:right w:val="single" w:sz="4" w:space="0" w:color="000000"/>
            </w:tcBorders>
            <w:noWrap/>
            <w:vAlign w:val="center"/>
            <w:hideMark/>
          </w:tcPr>
          <w:p w14:paraId="50E191A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4.63 </w:t>
            </w:r>
          </w:p>
        </w:tc>
      </w:tr>
      <w:tr w:rsidR="00B42029" w:rsidRPr="00B42029" w14:paraId="3510FE0D"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34D63697"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1360" w:type="dxa"/>
            <w:tcBorders>
              <w:top w:val="nil"/>
              <w:left w:val="nil"/>
              <w:bottom w:val="single" w:sz="4" w:space="0" w:color="000000"/>
              <w:right w:val="single" w:sz="4" w:space="0" w:color="000000"/>
            </w:tcBorders>
            <w:noWrap/>
            <w:vAlign w:val="center"/>
            <w:hideMark/>
          </w:tcPr>
          <w:p w14:paraId="18F91BB2"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27A8312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7A72E64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1360" w:type="dxa"/>
            <w:tcBorders>
              <w:top w:val="nil"/>
              <w:left w:val="nil"/>
              <w:bottom w:val="single" w:sz="4" w:space="0" w:color="000000"/>
              <w:right w:val="single" w:sz="4" w:space="0" w:color="000000"/>
            </w:tcBorders>
            <w:noWrap/>
            <w:vAlign w:val="center"/>
            <w:hideMark/>
          </w:tcPr>
          <w:p w14:paraId="24F84F3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1360" w:type="dxa"/>
            <w:tcBorders>
              <w:top w:val="nil"/>
              <w:left w:val="nil"/>
              <w:bottom w:val="single" w:sz="4" w:space="0" w:color="000000"/>
              <w:right w:val="single" w:sz="4" w:space="0" w:color="000000"/>
            </w:tcBorders>
            <w:noWrap/>
            <w:vAlign w:val="center"/>
            <w:hideMark/>
          </w:tcPr>
          <w:p w14:paraId="6502BCC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8.57 </w:t>
            </w:r>
          </w:p>
        </w:tc>
      </w:tr>
      <w:tr w:rsidR="00B42029" w:rsidRPr="00B42029" w14:paraId="1DBD631F"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67EF17C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1360" w:type="dxa"/>
            <w:tcBorders>
              <w:top w:val="nil"/>
              <w:left w:val="nil"/>
              <w:bottom w:val="single" w:sz="4" w:space="0" w:color="000000"/>
              <w:right w:val="single" w:sz="4" w:space="0" w:color="000000"/>
            </w:tcBorders>
            <w:noWrap/>
            <w:vAlign w:val="center"/>
            <w:hideMark/>
          </w:tcPr>
          <w:p w14:paraId="5A7126EE"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41EF644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1360" w:type="dxa"/>
            <w:tcBorders>
              <w:top w:val="nil"/>
              <w:left w:val="nil"/>
              <w:bottom w:val="single" w:sz="4" w:space="0" w:color="000000"/>
              <w:right w:val="single" w:sz="4" w:space="0" w:color="000000"/>
            </w:tcBorders>
            <w:noWrap/>
            <w:vAlign w:val="center"/>
            <w:hideMark/>
          </w:tcPr>
          <w:p w14:paraId="17E7069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1360" w:type="dxa"/>
            <w:tcBorders>
              <w:top w:val="nil"/>
              <w:left w:val="nil"/>
              <w:bottom w:val="single" w:sz="4" w:space="0" w:color="000000"/>
              <w:right w:val="single" w:sz="4" w:space="0" w:color="000000"/>
            </w:tcBorders>
            <w:noWrap/>
            <w:vAlign w:val="center"/>
            <w:hideMark/>
          </w:tcPr>
          <w:p w14:paraId="14F54A1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1360" w:type="dxa"/>
            <w:tcBorders>
              <w:top w:val="nil"/>
              <w:left w:val="nil"/>
              <w:bottom w:val="single" w:sz="4" w:space="0" w:color="000000"/>
              <w:right w:val="single" w:sz="4" w:space="0" w:color="000000"/>
            </w:tcBorders>
            <w:noWrap/>
            <w:vAlign w:val="center"/>
            <w:hideMark/>
          </w:tcPr>
          <w:p w14:paraId="21282FC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15.86 </w:t>
            </w:r>
          </w:p>
        </w:tc>
      </w:tr>
      <w:tr w:rsidR="00B42029" w:rsidRPr="00B42029" w14:paraId="3A9145AA"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05906BD7"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1360" w:type="dxa"/>
            <w:tcBorders>
              <w:top w:val="nil"/>
              <w:left w:val="nil"/>
              <w:bottom w:val="single" w:sz="4" w:space="0" w:color="000000"/>
              <w:right w:val="single" w:sz="4" w:space="0" w:color="000000"/>
            </w:tcBorders>
            <w:noWrap/>
            <w:vAlign w:val="center"/>
            <w:hideMark/>
          </w:tcPr>
          <w:p w14:paraId="1085C6D7" w14:textId="77777777" w:rsidR="00B42029" w:rsidRPr="00B42029" w:rsidRDefault="00B42029" w:rsidP="00B42029">
            <w:pPr>
              <w:spacing w:line="240" w:lineRule="auto"/>
              <w:rPr>
                <w:rFonts w:eastAsia="Times New Roman"/>
                <w:color w:val="000000"/>
                <w:sz w:val="20"/>
                <w:szCs w:val="20"/>
                <w:lang w:val="en-IN"/>
              </w:rPr>
            </w:pPr>
            <w:r w:rsidRPr="00B42029">
              <w:rPr>
                <w:rFonts w:eastAsia="Times New Roman"/>
                <w:color w:val="000000"/>
                <w:sz w:val="20"/>
                <w:szCs w:val="20"/>
                <w:lang w:val="en-IN"/>
              </w:rPr>
              <w:t> </w:t>
            </w:r>
          </w:p>
        </w:tc>
        <w:tc>
          <w:tcPr>
            <w:tcW w:w="1360" w:type="dxa"/>
            <w:tcBorders>
              <w:top w:val="nil"/>
              <w:left w:val="nil"/>
              <w:bottom w:val="single" w:sz="4" w:space="0" w:color="000000"/>
              <w:right w:val="single" w:sz="4" w:space="0" w:color="000000"/>
            </w:tcBorders>
            <w:noWrap/>
            <w:vAlign w:val="center"/>
            <w:hideMark/>
          </w:tcPr>
          <w:p w14:paraId="7729CE4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360" w:type="dxa"/>
            <w:tcBorders>
              <w:top w:val="nil"/>
              <w:left w:val="nil"/>
              <w:bottom w:val="single" w:sz="4" w:space="0" w:color="000000"/>
              <w:right w:val="single" w:sz="4" w:space="0" w:color="000000"/>
            </w:tcBorders>
            <w:noWrap/>
            <w:vAlign w:val="center"/>
            <w:hideMark/>
          </w:tcPr>
          <w:p w14:paraId="19DAEE5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1360" w:type="dxa"/>
            <w:tcBorders>
              <w:top w:val="nil"/>
              <w:left w:val="nil"/>
              <w:bottom w:val="single" w:sz="4" w:space="0" w:color="000000"/>
              <w:right w:val="single" w:sz="4" w:space="0" w:color="000000"/>
            </w:tcBorders>
            <w:noWrap/>
            <w:vAlign w:val="center"/>
            <w:hideMark/>
          </w:tcPr>
          <w:p w14:paraId="7EF5EE7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1360" w:type="dxa"/>
            <w:tcBorders>
              <w:top w:val="nil"/>
              <w:left w:val="nil"/>
              <w:bottom w:val="single" w:sz="4" w:space="0" w:color="000000"/>
              <w:right w:val="single" w:sz="4" w:space="0" w:color="000000"/>
            </w:tcBorders>
            <w:noWrap/>
            <w:vAlign w:val="center"/>
            <w:hideMark/>
          </w:tcPr>
          <w:p w14:paraId="3BC974C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18.38 </w:t>
            </w:r>
          </w:p>
        </w:tc>
      </w:tr>
      <w:tr w:rsidR="00B42029" w:rsidRPr="00B42029" w14:paraId="57994BAB" w14:textId="77777777" w:rsidTr="00B42029">
        <w:trPr>
          <w:trHeight w:val="312"/>
        </w:trPr>
        <w:tc>
          <w:tcPr>
            <w:tcW w:w="1360" w:type="dxa"/>
            <w:tcBorders>
              <w:top w:val="nil"/>
              <w:left w:val="single" w:sz="4" w:space="0" w:color="000000"/>
              <w:bottom w:val="single" w:sz="4" w:space="0" w:color="000000"/>
              <w:right w:val="single" w:sz="4" w:space="0" w:color="000000"/>
            </w:tcBorders>
            <w:noWrap/>
            <w:vAlign w:val="center"/>
            <w:hideMark/>
          </w:tcPr>
          <w:p w14:paraId="722A6904"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1360" w:type="dxa"/>
            <w:tcBorders>
              <w:top w:val="nil"/>
              <w:left w:val="nil"/>
              <w:bottom w:val="single" w:sz="4" w:space="0" w:color="000000"/>
              <w:right w:val="single" w:sz="4" w:space="0" w:color="000000"/>
            </w:tcBorders>
            <w:noWrap/>
            <w:vAlign w:val="center"/>
            <w:hideMark/>
          </w:tcPr>
          <w:p w14:paraId="600BAB9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   </w:t>
            </w:r>
          </w:p>
        </w:tc>
        <w:tc>
          <w:tcPr>
            <w:tcW w:w="1360" w:type="dxa"/>
            <w:tcBorders>
              <w:top w:val="nil"/>
              <w:left w:val="nil"/>
              <w:bottom w:val="single" w:sz="4" w:space="0" w:color="000000"/>
              <w:right w:val="single" w:sz="4" w:space="0" w:color="000000"/>
            </w:tcBorders>
            <w:noWrap/>
            <w:vAlign w:val="center"/>
            <w:hideMark/>
          </w:tcPr>
          <w:p w14:paraId="3AC3E5A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084D166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1360" w:type="dxa"/>
            <w:tcBorders>
              <w:top w:val="nil"/>
              <w:left w:val="nil"/>
              <w:bottom w:val="single" w:sz="4" w:space="0" w:color="000000"/>
              <w:right w:val="single" w:sz="4" w:space="0" w:color="000000"/>
            </w:tcBorders>
            <w:noWrap/>
            <w:vAlign w:val="center"/>
            <w:hideMark/>
          </w:tcPr>
          <w:p w14:paraId="10620B4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1360" w:type="dxa"/>
            <w:tcBorders>
              <w:top w:val="nil"/>
              <w:left w:val="nil"/>
              <w:bottom w:val="single" w:sz="4" w:space="0" w:color="000000"/>
              <w:right w:val="single" w:sz="4" w:space="0" w:color="000000"/>
            </w:tcBorders>
            <w:noWrap/>
            <w:vAlign w:val="center"/>
            <w:hideMark/>
          </w:tcPr>
          <w:p w14:paraId="1C572E5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3.40 </w:t>
            </w:r>
          </w:p>
        </w:tc>
      </w:tr>
      <w:tr w:rsidR="00B42029" w:rsidRPr="00B42029" w14:paraId="1843D6E0" w14:textId="77777777" w:rsidTr="00B42029">
        <w:trPr>
          <w:trHeight w:val="915"/>
        </w:trPr>
        <w:tc>
          <w:tcPr>
            <w:tcW w:w="8160" w:type="dxa"/>
            <w:gridSpan w:val="6"/>
            <w:tcBorders>
              <w:top w:val="single" w:sz="4" w:space="0" w:color="000000"/>
              <w:left w:val="single" w:sz="4" w:space="0" w:color="000000"/>
              <w:bottom w:val="single" w:sz="4" w:space="0" w:color="000000"/>
              <w:right w:val="single" w:sz="4" w:space="0" w:color="000000"/>
            </w:tcBorders>
            <w:vAlign w:val="center"/>
            <w:hideMark/>
          </w:tcPr>
          <w:p w14:paraId="2EF8C254"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Formula: Profitability Index (PI) = Present Value of Cash Inflows / Initial Investment, PI = £50.83 / £50, PI = 1.02</w:t>
            </w:r>
          </w:p>
        </w:tc>
      </w:tr>
    </w:tbl>
    <w:p w14:paraId="38A744BE" w14:textId="77777777" w:rsidR="00B42029" w:rsidRPr="00B42029" w:rsidRDefault="00B42029" w:rsidP="00B8765D">
      <w:pPr>
        <w:spacing w:before="240" w:after="240" w:line="360" w:lineRule="auto"/>
        <w:jc w:val="both"/>
        <w:rPr>
          <w:sz w:val="24"/>
          <w:szCs w:val="24"/>
          <w:lang w:val="en-IN"/>
        </w:rPr>
      </w:pPr>
    </w:p>
    <w:p w14:paraId="005F032E" w14:textId="77777777" w:rsidR="00B42029" w:rsidRPr="00B42029" w:rsidRDefault="00B42029">
      <w:pPr>
        <w:rPr>
          <w:b/>
          <w:bCs/>
          <w:sz w:val="24"/>
          <w:szCs w:val="24"/>
          <w:lang w:val="en-IN"/>
        </w:rPr>
      </w:pPr>
      <w:r w:rsidRPr="00B42029">
        <w:rPr>
          <w:b/>
          <w:bCs/>
          <w:sz w:val="24"/>
          <w:szCs w:val="24"/>
          <w:lang w:val="en-IN"/>
        </w:rPr>
        <w:br w:type="page"/>
      </w:r>
    </w:p>
    <w:p w14:paraId="48CA9D97" w14:textId="0D352E36" w:rsidR="00B8765D" w:rsidRPr="00B42029" w:rsidRDefault="00B8765D" w:rsidP="00B42029">
      <w:pPr>
        <w:pStyle w:val="Heading2"/>
        <w:rPr>
          <w:lang w:val="en-IN"/>
        </w:rPr>
      </w:pPr>
      <w:bookmarkStart w:id="55" w:name="_Toc237451758"/>
      <w:r w:rsidRPr="00B42029">
        <w:rPr>
          <w:lang w:val="en-IN"/>
        </w:rPr>
        <w:lastRenderedPageBreak/>
        <w:t xml:space="preserve">Appendix </w:t>
      </w:r>
      <w:r w:rsidR="00B42029" w:rsidRPr="00B42029">
        <w:rPr>
          <w:lang w:val="en-IN"/>
        </w:rPr>
        <w:t xml:space="preserve">F: </w:t>
      </w:r>
      <w:r w:rsidRPr="00B42029">
        <w:rPr>
          <w:lang w:val="en-IN"/>
        </w:rPr>
        <w:t>IRR calculations</w:t>
      </w:r>
      <w:bookmarkEnd w:id="55"/>
    </w:p>
    <w:tbl>
      <w:tblPr>
        <w:tblW w:w="5000" w:type="pct"/>
        <w:tblLook w:val="04A0" w:firstRow="1" w:lastRow="0" w:firstColumn="1" w:lastColumn="0" w:noHBand="0" w:noVBand="1"/>
      </w:tblPr>
      <w:tblGrid>
        <w:gridCol w:w="1935"/>
        <w:gridCol w:w="850"/>
        <w:gridCol w:w="1039"/>
        <w:gridCol w:w="1039"/>
        <w:gridCol w:w="1039"/>
        <w:gridCol w:w="1039"/>
        <w:gridCol w:w="1039"/>
        <w:gridCol w:w="1039"/>
      </w:tblGrid>
      <w:tr w:rsidR="00B42029" w:rsidRPr="00B42029" w14:paraId="2A1BF3A8" w14:textId="77777777" w:rsidTr="00B42029">
        <w:trPr>
          <w:trHeight w:val="348"/>
        </w:trPr>
        <w:tc>
          <w:tcPr>
            <w:tcW w:w="5000" w:type="pct"/>
            <w:gridSpan w:val="8"/>
            <w:tcBorders>
              <w:top w:val="single" w:sz="4" w:space="0" w:color="000000"/>
              <w:left w:val="single" w:sz="4" w:space="0" w:color="000000"/>
              <w:bottom w:val="single" w:sz="4" w:space="0" w:color="000000"/>
              <w:right w:val="single" w:sz="4" w:space="0" w:color="000000"/>
            </w:tcBorders>
            <w:noWrap/>
            <w:vAlign w:val="center"/>
            <w:hideMark/>
          </w:tcPr>
          <w:p w14:paraId="4372E730"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Internal Rate of Return (Project A)</w:t>
            </w:r>
          </w:p>
        </w:tc>
      </w:tr>
      <w:tr w:rsidR="00B42029" w:rsidRPr="00B42029" w14:paraId="0D8C18E9"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D5F37F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Element</w:t>
            </w:r>
          </w:p>
        </w:tc>
        <w:tc>
          <w:tcPr>
            <w:tcW w:w="563" w:type="pct"/>
            <w:tcBorders>
              <w:top w:val="nil"/>
              <w:left w:val="nil"/>
              <w:bottom w:val="single" w:sz="4" w:space="0" w:color="000000"/>
              <w:right w:val="single" w:sz="4" w:space="0" w:color="000000"/>
            </w:tcBorders>
            <w:noWrap/>
            <w:vAlign w:val="center"/>
            <w:hideMark/>
          </w:tcPr>
          <w:p w14:paraId="18F3DB7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546" w:type="pct"/>
            <w:tcBorders>
              <w:top w:val="nil"/>
              <w:left w:val="nil"/>
              <w:bottom w:val="single" w:sz="4" w:space="0" w:color="000000"/>
              <w:right w:val="single" w:sz="4" w:space="0" w:color="000000"/>
            </w:tcBorders>
            <w:noWrap/>
            <w:vAlign w:val="center"/>
            <w:hideMark/>
          </w:tcPr>
          <w:p w14:paraId="5E368BE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6DA17DBF"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546" w:type="pct"/>
            <w:tcBorders>
              <w:top w:val="nil"/>
              <w:left w:val="nil"/>
              <w:bottom w:val="single" w:sz="4" w:space="0" w:color="000000"/>
              <w:right w:val="single" w:sz="4" w:space="0" w:color="000000"/>
            </w:tcBorders>
            <w:noWrap/>
            <w:vAlign w:val="center"/>
            <w:hideMark/>
          </w:tcPr>
          <w:p w14:paraId="6761F30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546" w:type="pct"/>
            <w:tcBorders>
              <w:top w:val="nil"/>
              <w:left w:val="nil"/>
              <w:bottom w:val="single" w:sz="4" w:space="0" w:color="000000"/>
              <w:right w:val="single" w:sz="4" w:space="0" w:color="000000"/>
            </w:tcBorders>
            <w:noWrap/>
            <w:vAlign w:val="center"/>
            <w:hideMark/>
          </w:tcPr>
          <w:p w14:paraId="33B47FD9"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546" w:type="pct"/>
            <w:tcBorders>
              <w:top w:val="nil"/>
              <w:left w:val="nil"/>
              <w:bottom w:val="single" w:sz="4" w:space="0" w:color="000000"/>
              <w:right w:val="single" w:sz="4" w:space="0" w:color="000000"/>
            </w:tcBorders>
            <w:noWrap/>
            <w:vAlign w:val="center"/>
            <w:hideMark/>
          </w:tcPr>
          <w:p w14:paraId="2E9985CB"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563" w:type="pct"/>
            <w:tcBorders>
              <w:top w:val="nil"/>
              <w:left w:val="nil"/>
              <w:bottom w:val="single" w:sz="4" w:space="0" w:color="000000"/>
              <w:right w:val="single" w:sz="4" w:space="0" w:color="000000"/>
            </w:tcBorders>
            <w:noWrap/>
            <w:vAlign w:val="center"/>
            <w:hideMark/>
          </w:tcPr>
          <w:p w14:paraId="52AE8E0B"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Total</w:t>
            </w:r>
          </w:p>
        </w:tc>
      </w:tr>
      <w:tr w:rsidR="00B42029" w:rsidRPr="00B42029" w14:paraId="2D61CDA9"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2A45F1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06E1A56B" w14:textId="7A634A0B"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546" w:type="pct"/>
            <w:tcBorders>
              <w:top w:val="nil"/>
              <w:left w:val="nil"/>
              <w:bottom w:val="single" w:sz="4" w:space="0" w:color="000000"/>
              <w:right w:val="single" w:sz="4" w:space="0" w:color="000000"/>
            </w:tcBorders>
            <w:noWrap/>
            <w:vAlign w:val="center"/>
            <w:hideMark/>
          </w:tcPr>
          <w:p w14:paraId="1993B11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546" w:type="pct"/>
            <w:tcBorders>
              <w:top w:val="nil"/>
              <w:left w:val="nil"/>
              <w:bottom w:val="single" w:sz="4" w:space="0" w:color="000000"/>
              <w:right w:val="single" w:sz="4" w:space="0" w:color="000000"/>
            </w:tcBorders>
            <w:noWrap/>
            <w:vAlign w:val="center"/>
            <w:hideMark/>
          </w:tcPr>
          <w:p w14:paraId="51FDBA8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12.00 </w:t>
            </w:r>
          </w:p>
        </w:tc>
        <w:tc>
          <w:tcPr>
            <w:tcW w:w="546" w:type="pct"/>
            <w:tcBorders>
              <w:top w:val="nil"/>
              <w:left w:val="nil"/>
              <w:bottom w:val="single" w:sz="4" w:space="0" w:color="000000"/>
              <w:right w:val="single" w:sz="4" w:space="0" w:color="000000"/>
            </w:tcBorders>
            <w:noWrap/>
            <w:vAlign w:val="center"/>
            <w:hideMark/>
          </w:tcPr>
          <w:p w14:paraId="0DEA0B4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14.00 </w:t>
            </w:r>
          </w:p>
        </w:tc>
        <w:tc>
          <w:tcPr>
            <w:tcW w:w="546" w:type="pct"/>
            <w:tcBorders>
              <w:top w:val="nil"/>
              <w:left w:val="nil"/>
              <w:bottom w:val="single" w:sz="4" w:space="0" w:color="000000"/>
              <w:right w:val="single" w:sz="4" w:space="0" w:color="000000"/>
            </w:tcBorders>
            <w:noWrap/>
            <w:vAlign w:val="center"/>
            <w:hideMark/>
          </w:tcPr>
          <w:p w14:paraId="66BFD07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546" w:type="pct"/>
            <w:tcBorders>
              <w:top w:val="nil"/>
              <w:left w:val="nil"/>
              <w:bottom w:val="single" w:sz="4" w:space="0" w:color="000000"/>
              <w:right w:val="single" w:sz="4" w:space="0" w:color="000000"/>
            </w:tcBorders>
            <w:noWrap/>
            <w:vAlign w:val="center"/>
            <w:hideMark/>
          </w:tcPr>
          <w:p w14:paraId="67ADB3C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8.00 </w:t>
            </w:r>
          </w:p>
        </w:tc>
        <w:tc>
          <w:tcPr>
            <w:tcW w:w="563" w:type="pct"/>
            <w:tcBorders>
              <w:top w:val="nil"/>
              <w:left w:val="nil"/>
              <w:bottom w:val="single" w:sz="4" w:space="0" w:color="000000"/>
              <w:right w:val="single" w:sz="4" w:space="0" w:color="000000"/>
            </w:tcBorders>
            <w:noWrap/>
            <w:vAlign w:val="center"/>
            <w:hideMark/>
          </w:tcPr>
          <w:p w14:paraId="0DD7DDB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4.00 </w:t>
            </w:r>
          </w:p>
        </w:tc>
      </w:tr>
      <w:tr w:rsidR="00B42029" w:rsidRPr="00B42029" w14:paraId="36388B55" w14:textId="77777777" w:rsidTr="00B42029">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1C1BA2DD"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Discount Factor (DF) 2%</w:t>
            </w:r>
          </w:p>
        </w:tc>
        <w:tc>
          <w:tcPr>
            <w:tcW w:w="563" w:type="pct"/>
            <w:tcBorders>
              <w:top w:val="nil"/>
              <w:left w:val="nil"/>
              <w:bottom w:val="single" w:sz="4" w:space="0" w:color="000000"/>
              <w:right w:val="single" w:sz="4" w:space="0" w:color="000000"/>
            </w:tcBorders>
            <w:noWrap/>
            <w:vAlign w:val="center"/>
            <w:hideMark/>
          </w:tcPr>
          <w:p w14:paraId="6B43C34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21A7C0E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0.98</w:t>
            </w:r>
          </w:p>
        </w:tc>
        <w:tc>
          <w:tcPr>
            <w:tcW w:w="546" w:type="pct"/>
            <w:tcBorders>
              <w:top w:val="nil"/>
              <w:left w:val="nil"/>
              <w:bottom w:val="single" w:sz="4" w:space="0" w:color="000000"/>
              <w:right w:val="single" w:sz="4" w:space="0" w:color="000000"/>
            </w:tcBorders>
            <w:noWrap/>
            <w:vAlign w:val="center"/>
            <w:hideMark/>
          </w:tcPr>
          <w:p w14:paraId="3BA041A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0.961</w:t>
            </w:r>
          </w:p>
        </w:tc>
        <w:tc>
          <w:tcPr>
            <w:tcW w:w="546" w:type="pct"/>
            <w:tcBorders>
              <w:top w:val="nil"/>
              <w:left w:val="nil"/>
              <w:bottom w:val="single" w:sz="4" w:space="0" w:color="000000"/>
              <w:right w:val="single" w:sz="4" w:space="0" w:color="000000"/>
            </w:tcBorders>
            <w:noWrap/>
            <w:vAlign w:val="center"/>
            <w:hideMark/>
          </w:tcPr>
          <w:p w14:paraId="0E034E1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0.942</w:t>
            </w:r>
          </w:p>
        </w:tc>
        <w:tc>
          <w:tcPr>
            <w:tcW w:w="546" w:type="pct"/>
            <w:tcBorders>
              <w:top w:val="nil"/>
              <w:left w:val="nil"/>
              <w:bottom w:val="single" w:sz="4" w:space="0" w:color="000000"/>
              <w:right w:val="single" w:sz="4" w:space="0" w:color="000000"/>
            </w:tcBorders>
            <w:noWrap/>
            <w:vAlign w:val="center"/>
            <w:hideMark/>
          </w:tcPr>
          <w:p w14:paraId="2FD727C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0.923</w:t>
            </w:r>
          </w:p>
        </w:tc>
        <w:tc>
          <w:tcPr>
            <w:tcW w:w="546" w:type="pct"/>
            <w:tcBorders>
              <w:top w:val="nil"/>
              <w:left w:val="nil"/>
              <w:bottom w:val="single" w:sz="4" w:space="0" w:color="000000"/>
              <w:right w:val="single" w:sz="4" w:space="0" w:color="000000"/>
            </w:tcBorders>
            <w:noWrap/>
            <w:vAlign w:val="center"/>
            <w:hideMark/>
          </w:tcPr>
          <w:p w14:paraId="6C1D3D2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0.905</w:t>
            </w:r>
          </w:p>
        </w:tc>
        <w:tc>
          <w:tcPr>
            <w:tcW w:w="563" w:type="pct"/>
            <w:tcBorders>
              <w:top w:val="nil"/>
              <w:left w:val="nil"/>
              <w:bottom w:val="single" w:sz="4" w:space="0" w:color="000000"/>
              <w:right w:val="single" w:sz="4" w:space="0" w:color="000000"/>
            </w:tcBorders>
            <w:noWrap/>
            <w:vAlign w:val="center"/>
            <w:hideMark/>
          </w:tcPr>
          <w:p w14:paraId="38BFEEC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48369AC1"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32460E7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44A5320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107E52F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9.80</w:t>
            </w:r>
          </w:p>
        </w:tc>
        <w:tc>
          <w:tcPr>
            <w:tcW w:w="546" w:type="pct"/>
            <w:tcBorders>
              <w:top w:val="nil"/>
              <w:left w:val="nil"/>
              <w:bottom w:val="single" w:sz="4" w:space="0" w:color="000000"/>
              <w:right w:val="single" w:sz="4" w:space="0" w:color="000000"/>
            </w:tcBorders>
            <w:noWrap/>
            <w:vAlign w:val="center"/>
            <w:hideMark/>
          </w:tcPr>
          <w:p w14:paraId="5941048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11.53</w:t>
            </w:r>
          </w:p>
        </w:tc>
        <w:tc>
          <w:tcPr>
            <w:tcW w:w="546" w:type="pct"/>
            <w:tcBorders>
              <w:top w:val="nil"/>
              <w:left w:val="nil"/>
              <w:bottom w:val="single" w:sz="4" w:space="0" w:color="000000"/>
              <w:right w:val="single" w:sz="4" w:space="0" w:color="000000"/>
            </w:tcBorders>
            <w:noWrap/>
            <w:vAlign w:val="center"/>
            <w:hideMark/>
          </w:tcPr>
          <w:p w14:paraId="2E57772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13.19</w:t>
            </w:r>
          </w:p>
        </w:tc>
        <w:tc>
          <w:tcPr>
            <w:tcW w:w="546" w:type="pct"/>
            <w:tcBorders>
              <w:top w:val="nil"/>
              <w:left w:val="nil"/>
              <w:bottom w:val="single" w:sz="4" w:space="0" w:color="000000"/>
              <w:right w:val="single" w:sz="4" w:space="0" w:color="000000"/>
            </w:tcBorders>
            <w:noWrap/>
            <w:vAlign w:val="center"/>
            <w:hideMark/>
          </w:tcPr>
          <w:p w14:paraId="6C81D66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9.23</w:t>
            </w:r>
          </w:p>
        </w:tc>
        <w:tc>
          <w:tcPr>
            <w:tcW w:w="546" w:type="pct"/>
            <w:tcBorders>
              <w:top w:val="nil"/>
              <w:left w:val="nil"/>
              <w:bottom w:val="single" w:sz="4" w:space="0" w:color="000000"/>
              <w:right w:val="single" w:sz="4" w:space="0" w:color="000000"/>
            </w:tcBorders>
            <w:noWrap/>
            <w:vAlign w:val="center"/>
            <w:hideMark/>
          </w:tcPr>
          <w:p w14:paraId="4C0BD83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7.24</w:t>
            </w:r>
          </w:p>
        </w:tc>
        <w:tc>
          <w:tcPr>
            <w:tcW w:w="563" w:type="pct"/>
            <w:tcBorders>
              <w:top w:val="nil"/>
              <w:left w:val="nil"/>
              <w:bottom w:val="single" w:sz="4" w:space="0" w:color="000000"/>
              <w:right w:val="single" w:sz="4" w:space="0" w:color="000000"/>
            </w:tcBorders>
            <w:noWrap/>
            <w:vAlign w:val="center"/>
            <w:hideMark/>
          </w:tcPr>
          <w:p w14:paraId="7D7337F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0.99 </w:t>
            </w:r>
          </w:p>
        </w:tc>
      </w:tr>
      <w:tr w:rsidR="00B42029" w:rsidRPr="00B42029" w14:paraId="56D01BCE"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71DBB58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14D0E17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2C65E31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BC62C9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5CAA90D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1684B54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7C2BE8D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3B9178B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08D4B0F5"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8C7913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6B19D91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59AA54D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546" w:type="pct"/>
            <w:tcBorders>
              <w:top w:val="nil"/>
              <w:left w:val="nil"/>
              <w:bottom w:val="single" w:sz="4" w:space="0" w:color="000000"/>
              <w:right w:val="single" w:sz="4" w:space="0" w:color="000000"/>
            </w:tcBorders>
            <w:noWrap/>
            <w:vAlign w:val="center"/>
            <w:hideMark/>
          </w:tcPr>
          <w:p w14:paraId="7684D3B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12.00</w:t>
            </w:r>
          </w:p>
        </w:tc>
        <w:tc>
          <w:tcPr>
            <w:tcW w:w="546" w:type="pct"/>
            <w:tcBorders>
              <w:top w:val="nil"/>
              <w:left w:val="nil"/>
              <w:bottom w:val="single" w:sz="4" w:space="0" w:color="000000"/>
              <w:right w:val="single" w:sz="4" w:space="0" w:color="000000"/>
            </w:tcBorders>
            <w:noWrap/>
            <w:vAlign w:val="center"/>
            <w:hideMark/>
          </w:tcPr>
          <w:p w14:paraId="60BB85C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14.00</w:t>
            </w:r>
          </w:p>
        </w:tc>
        <w:tc>
          <w:tcPr>
            <w:tcW w:w="546" w:type="pct"/>
            <w:tcBorders>
              <w:top w:val="nil"/>
              <w:left w:val="nil"/>
              <w:bottom w:val="single" w:sz="4" w:space="0" w:color="000000"/>
              <w:right w:val="single" w:sz="4" w:space="0" w:color="000000"/>
            </w:tcBorders>
            <w:noWrap/>
            <w:vAlign w:val="center"/>
            <w:hideMark/>
          </w:tcPr>
          <w:p w14:paraId="1508CD7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546" w:type="pct"/>
            <w:tcBorders>
              <w:top w:val="nil"/>
              <w:left w:val="nil"/>
              <w:bottom w:val="single" w:sz="4" w:space="0" w:color="000000"/>
              <w:right w:val="single" w:sz="4" w:space="0" w:color="000000"/>
            </w:tcBorders>
            <w:noWrap/>
            <w:vAlign w:val="center"/>
            <w:hideMark/>
          </w:tcPr>
          <w:p w14:paraId="0DBDEB8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8.00</w:t>
            </w:r>
          </w:p>
        </w:tc>
        <w:tc>
          <w:tcPr>
            <w:tcW w:w="563" w:type="pct"/>
            <w:tcBorders>
              <w:top w:val="nil"/>
              <w:left w:val="nil"/>
              <w:bottom w:val="single" w:sz="4" w:space="0" w:color="000000"/>
              <w:right w:val="single" w:sz="4" w:space="0" w:color="000000"/>
            </w:tcBorders>
            <w:noWrap/>
            <w:vAlign w:val="center"/>
            <w:hideMark/>
          </w:tcPr>
          <w:p w14:paraId="4A004E9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4.00 </w:t>
            </w:r>
          </w:p>
        </w:tc>
      </w:tr>
      <w:tr w:rsidR="00B42029" w:rsidRPr="00B42029" w14:paraId="1D5C867F" w14:textId="77777777" w:rsidTr="00B42029">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62956B43"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Discount Factor (DF) 8%</w:t>
            </w:r>
          </w:p>
        </w:tc>
        <w:tc>
          <w:tcPr>
            <w:tcW w:w="563" w:type="pct"/>
            <w:tcBorders>
              <w:top w:val="nil"/>
              <w:left w:val="nil"/>
              <w:bottom w:val="single" w:sz="4" w:space="0" w:color="000000"/>
              <w:right w:val="single" w:sz="4" w:space="0" w:color="000000"/>
            </w:tcBorders>
            <w:noWrap/>
            <w:vAlign w:val="center"/>
            <w:hideMark/>
          </w:tcPr>
          <w:p w14:paraId="1940D56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546" w:type="pct"/>
            <w:tcBorders>
              <w:top w:val="nil"/>
              <w:left w:val="nil"/>
              <w:bottom w:val="single" w:sz="4" w:space="0" w:color="000000"/>
              <w:right w:val="single" w:sz="4" w:space="0" w:color="000000"/>
            </w:tcBorders>
            <w:noWrap/>
            <w:vAlign w:val="center"/>
            <w:hideMark/>
          </w:tcPr>
          <w:p w14:paraId="67470DF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546" w:type="pct"/>
            <w:tcBorders>
              <w:top w:val="nil"/>
              <w:left w:val="nil"/>
              <w:bottom w:val="single" w:sz="4" w:space="0" w:color="000000"/>
              <w:right w:val="single" w:sz="4" w:space="0" w:color="000000"/>
            </w:tcBorders>
            <w:noWrap/>
            <w:vAlign w:val="center"/>
            <w:hideMark/>
          </w:tcPr>
          <w:p w14:paraId="2BEF456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546" w:type="pct"/>
            <w:tcBorders>
              <w:top w:val="nil"/>
              <w:left w:val="nil"/>
              <w:bottom w:val="single" w:sz="4" w:space="0" w:color="000000"/>
              <w:right w:val="single" w:sz="4" w:space="0" w:color="000000"/>
            </w:tcBorders>
            <w:noWrap/>
            <w:vAlign w:val="center"/>
            <w:hideMark/>
          </w:tcPr>
          <w:p w14:paraId="15471CC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546" w:type="pct"/>
            <w:tcBorders>
              <w:top w:val="nil"/>
              <w:left w:val="nil"/>
              <w:bottom w:val="single" w:sz="4" w:space="0" w:color="000000"/>
              <w:right w:val="single" w:sz="4" w:space="0" w:color="000000"/>
            </w:tcBorders>
            <w:noWrap/>
            <w:vAlign w:val="center"/>
            <w:hideMark/>
          </w:tcPr>
          <w:p w14:paraId="642797E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546" w:type="pct"/>
            <w:tcBorders>
              <w:top w:val="nil"/>
              <w:left w:val="nil"/>
              <w:bottom w:val="single" w:sz="4" w:space="0" w:color="000000"/>
              <w:right w:val="single" w:sz="4" w:space="0" w:color="000000"/>
            </w:tcBorders>
            <w:noWrap/>
            <w:vAlign w:val="center"/>
            <w:hideMark/>
          </w:tcPr>
          <w:p w14:paraId="5DFBF0D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563" w:type="pct"/>
            <w:tcBorders>
              <w:top w:val="nil"/>
              <w:left w:val="nil"/>
              <w:bottom w:val="single" w:sz="4" w:space="0" w:color="000000"/>
              <w:right w:val="single" w:sz="4" w:space="0" w:color="000000"/>
            </w:tcBorders>
            <w:noWrap/>
            <w:vAlign w:val="center"/>
            <w:hideMark/>
          </w:tcPr>
          <w:p w14:paraId="2553DD4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028D915A"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1A0753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03BE09A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6" w:type="pct"/>
            <w:tcBorders>
              <w:top w:val="nil"/>
              <w:left w:val="nil"/>
              <w:bottom w:val="single" w:sz="4" w:space="0" w:color="000000"/>
              <w:right w:val="single" w:sz="4" w:space="0" w:color="000000"/>
            </w:tcBorders>
            <w:noWrap/>
            <w:vAlign w:val="center"/>
            <w:hideMark/>
          </w:tcPr>
          <w:p w14:paraId="2C857F3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9.25</w:t>
            </w:r>
          </w:p>
        </w:tc>
        <w:tc>
          <w:tcPr>
            <w:tcW w:w="546" w:type="pct"/>
            <w:tcBorders>
              <w:top w:val="nil"/>
              <w:left w:val="nil"/>
              <w:bottom w:val="single" w:sz="4" w:space="0" w:color="000000"/>
              <w:right w:val="single" w:sz="4" w:space="0" w:color="000000"/>
            </w:tcBorders>
            <w:noWrap/>
            <w:vAlign w:val="center"/>
            <w:hideMark/>
          </w:tcPr>
          <w:p w14:paraId="186D8E9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10.28</w:t>
            </w:r>
          </w:p>
        </w:tc>
        <w:tc>
          <w:tcPr>
            <w:tcW w:w="546" w:type="pct"/>
            <w:tcBorders>
              <w:top w:val="nil"/>
              <w:left w:val="nil"/>
              <w:bottom w:val="single" w:sz="4" w:space="0" w:color="000000"/>
              <w:right w:val="single" w:sz="4" w:space="0" w:color="000000"/>
            </w:tcBorders>
            <w:noWrap/>
            <w:vAlign w:val="center"/>
            <w:hideMark/>
          </w:tcPr>
          <w:p w14:paraId="3E04273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11.10</w:t>
            </w:r>
          </w:p>
        </w:tc>
        <w:tc>
          <w:tcPr>
            <w:tcW w:w="546" w:type="pct"/>
            <w:tcBorders>
              <w:top w:val="nil"/>
              <w:left w:val="nil"/>
              <w:bottom w:val="single" w:sz="4" w:space="0" w:color="000000"/>
              <w:right w:val="single" w:sz="4" w:space="0" w:color="000000"/>
            </w:tcBorders>
            <w:noWrap/>
            <w:vAlign w:val="center"/>
            <w:hideMark/>
          </w:tcPr>
          <w:p w14:paraId="4061177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7.35</w:t>
            </w:r>
          </w:p>
        </w:tc>
        <w:tc>
          <w:tcPr>
            <w:tcW w:w="546" w:type="pct"/>
            <w:tcBorders>
              <w:top w:val="nil"/>
              <w:left w:val="nil"/>
              <w:bottom w:val="single" w:sz="4" w:space="0" w:color="000000"/>
              <w:right w:val="single" w:sz="4" w:space="0" w:color="000000"/>
            </w:tcBorders>
            <w:noWrap/>
            <w:vAlign w:val="center"/>
            <w:hideMark/>
          </w:tcPr>
          <w:p w14:paraId="67CE5ED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5.44</w:t>
            </w:r>
          </w:p>
        </w:tc>
        <w:tc>
          <w:tcPr>
            <w:tcW w:w="563" w:type="pct"/>
            <w:tcBorders>
              <w:top w:val="nil"/>
              <w:left w:val="nil"/>
              <w:bottom w:val="single" w:sz="4" w:space="0" w:color="000000"/>
              <w:right w:val="single" w:sz="4" w:space="0" w:color="000000"/>
            </w:tcBorders>
            <w:noWrap/>
            <w:vAlign w:val="center"/>
            <w:hideMark/>
          </w:tcPr>
          <w:p w14:paraId="731833F1" w14:textId="3268F04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(6.57)</w:t>
            </w:r>
          </w:p>
        </w:tc>
      </w:tr>
      <w:tr w:rsidR="00B42029" w:rsidRPr="00B42029" w14:paraId="78AEE134"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C0DD34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096F43B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0C862DD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1299AF0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2CDBB61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03E62B5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6" w:type="pct"/>
            <w:tcBorders>
              <w:top w:val="nil"/>
              <w:left w:val="nil"/>
              <w:bottom w:val="single" w:sz="4" w:space="0" w:color="000000"/>
              <w:right w:val="single" w:sz="4" w:space="0" w:color="000000"/>
            </w:tcBorders>
            <w:noWrap/>
            <w:vAlign w:val="center"/>
            <w:hideMark/>
          </w:tcPr>
          <w:p w14:paraId="3018D48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39CFD5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79C6804B" w14:textId="77777777" w:rsidTr="00B42029">
        <w:trPr>
          <w:trHeight w:val="585"/>
        </w:trPr>
        <w:tc>
          <w:tcPr>
            <w:tcW w:w="1146" w:type="pct"/>
            <w:tcBorders>
              <w:top w:val="nil"/>
              <w:left w:val="single" w:sz="4" w:space="0" w:color="000000"/>
              <w:bottom w:val="single" w:sz="4" w:space="0" w:color="000000"/>
              <w:right w:val="single" w:sz="4" w:space="0" w:color="000000"/>
            </w:tcBorders>
            <w:noWrap/>
            <w:vAlign w:val="center"/>
            <w:hideMark/>
          </w:tcPr>
          <w:p w14:paraId="6802891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3854" w:type="pct"/>
            <w:gridSpan w:val="7"/>
            <w:tcBorders>
              <w:top w:val="single" w:sz="4" w:space="0" w:color="000000"/>
              <w:left w:val="nil"/>
              <w:bottom w:val="single" w:sz="4" w:space="0" w:color="000000"/>
              <w:right w:val="single" w:sz="4" w:space="0" w:color="000000"/>
            </w:tcBorders>
            <w:vAlign w:val="center"/>
            <w:hideMark/>
          </w:tcPr>
          <w:p w14:paraId="445130B6"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Low % + [(Positive NPV / Total Range in NPVs) * (High % - Low %)]</w:t>
            </w:r>
          </w:p>
        </w:tc>
      </w:tr>
      <w:tr w:rsidR="00B42029" w:rsidRPr="00B42029" w14:paraId="6571FE7C" w14:textId="77777777" w:rsidTr="00B42029">
        <w:trPr>
          <w:trHeight w:val="540"/>
        </w:trPr>
        <w:tc>
          <w:tcPr>
            <w:tcW w:w="1146" w:type="pct"/>
            <w:tcBorders>
              <w:top w:val="nil"/>
              <w:left w:val="single" w:sz="4" w:space="0" w:color="000000"/>
              <w:bottom w:val="single" w:sz="4" w:space="0" w:color="000000"/>
              <w:right w:val="single" w:sz="4" w:space="0" w:color="000000"/>
            </w:tcBorders>
            <w:noWrap/>
            <w:vAlign w:val="center"/>
            <w:hideMark/>
          </w:tcPr>
          <w:p w14:paraId="4F34B6B4"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Internal Rate of Return</w:t>
            </w:r>
          </w:p>
        </w:tc>
        <w:tc>
          <w:tcPr>
            <w:tcW w:w="563" w:type="pct"/>
            <w:tcBorders>
              <w:top w:val="nil"/>
              <w:left w:val="nil"/>
              <w:bottom w:val="single" w:sz="4" w:space="0" w:color="000000"/>
              <w:right w:val="single" w:sz="4" w:space="0" w:color="000000"/>
            </w:tcBorders>
            <w:noWrap/>
            <w:vAlign w:val="center"/>
            <w:hideMark/>
          </w:tcPr>
          <w:p w14:paraId="3452022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0.94%</w:t>
            </w:r>
          </w:p>
        </w:tc>
        <w:tc>
          <w:tcPr>
            <w:tcW w:w="3291" w:type="pct"/>
            <w:gridSpan w:val="6"/>
            <w:tcBorders>
              <w:top w:val="single" w:sz="4" w:space="0" w:color="000000"/>
              <w:left w:val="nil"/>
              <w:bottom w:val="single" w:sz="4" w:space="0" w:color="000000"/>
              <w:right w:val="single" w:sz="4" w:space="0" w:color="000000"/>
            </w:tcBorders>
            <w:vAlign w:val="center"/>
            <w:hideMark/>
          </w:tcPr>
          <w:p w14:paraId="4929D8E1" w14:textId="250151B9"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 + (0.99 / (0.99 + (- 6.57))) * (8% - 2%)</w:t>
            </w:r>
          </w:p>
        </w:tc>
      </w:tr>
    </w:tbl>
    <w:p w14:paraId="7E31C7F6" w14:textId="77777777" w:rsidR="00B42029" w:rsidRPr="00B42029" w:rsidRDefault="00B42029" w:rsidP="00B8765D">
      <w:pPr>
        <w:spacing w:before="240" w:after="240" w:line="360" w:lineRule="auto"/>
        <w:jc w:val="both"/>
        <w:rPr>
          <w:sz w:val="24"/>
          <w:szCs w:val="24"/>
          <w:lang w:val="en-IN"/>
        </w:rPr>
      </w:pPr>
    </w:p>
    <w:tbl>
      <w:tblPr>
        <w:tblW w:w="5000" w:type="pct"/>
        <w:tblLook w:val="04A0" w:firstRow="1" w:lastRow="0" w:firstColumn="1" w:lastColumn="0" w:noHBand="0" w:noVBand="1"/>
      </w:tblPr>
      <w:tblGrid>
        <w:gridCol w:w="1935"/>
        <w:gridCol w:w="850"/>
        <w:gridCol w:w="1039"/>
        <w:gridCol w:w="1039"/>
        <w:gridCol w:w="1039"/>
        <w:gridCol w:w="1039"/>
        <w:gridCol w:w="1039"/>
        <w:gridCol w:w="1039"/>
      </w:tblGrid>
      <w:tr w:rsidR="00B42029" w:rsidRPr="00B42029" w14:paraId="3FBB8FB0" w14:textId="77777777" w:rsidTr="00B42029">
        <w:trPr>
          <w:trHeight w:val="348"/>
        </w:trPr>
        <w:tc>
          <w:tcPr>
            <w:tcW w:w="5000" w:type="pct"/>
            <w:gridSpan w:val="8"/>
            <w:tcBorders>
              <w:top w:val="single" w:sz="4" w:space="0" w:color="000000"/>
              <w:left w:val="single" w:sz="4" w:space="0" w:color="000000"/>
              <w:bottom w:val="single" w:sz="4" w:space="0" w:color="000000"/>
              <w:right w:val="single" w:sz="4" w:space="0" w:color="000000"/>
            </w:tcBorders>
            <w:noWrap/>
            <w:vAlign w:val="center"/>
            <w:hideMark/>
          </w:tcPr>
          <w:p w14:paraId="3497D462"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Internal Rate of Return (Project B)</w:t>
            </w:r>
          </w:p>
        </w:tc>
      </w:tr>
      <w:tr w:rsidR="00B42029" w:rsidRPr="00B42029" w14:paraId="64639058"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198435D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Element</w:t>
            </w:r>
          </w:p>
        </w:tc>
        <w:tc>
          <w:tcPr>
            <w:tcW w:w="563" w:type="pct"/>
            <w:tcBorders>
              <w:top w:val="nil"/>
              <w:left w:val="nil"/>
              <w:bottom w:val="single" w:sz="4" w:space="0" w:color="000000"/>
              <w:right w:val="single" w:sz="4" w:space="0" w:color="000000"/>
            </w:tcBorders>
            <w:noWrap/>
            <w:vAlign w:val="center"/>
            <w:hideMark/>
          </w:tcPr>
          <w:p w14:paraId="0012705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545" w:type="pct"/>
            <w:tcBorders>
              <w:top w:val="nil"/>
              <w:left w:val="nil"/>
              <w:bottom w:val="single" w:sz="4" w:space="0" w:color="000000"/>
              <w:right w:val="single" w:sz="4" w:space="0" w:color="000000"/>
            </w:tcBorders>
            <w:noWrap/>
            <w:vAlign w:val="center"/>
            <w:hideMark/>
          </w:tcPr>
          <w:p w14:paraId="5E6BACE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545" w:type="pct"/>
            <w:tcBorders>
              <w:top w:val="nil"/>
              <w:left w:val="nil"/>
              <w:bottom w:val="single" w:sz="4" w:space="0" w:color="000000"/>
              <w:right w:val="single" w:sz="4" w:space="0" w:color="000000"/>
            </w:tcBorders>
            <w:noWrap/>
            <w:vAlign w:val="center"/>
            <w:hideMark/>
          </w:tcPr>
          <w:p w14:paraId="63D47C05"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545" w:type="pct"/>
            <w:tcBorders>
              <w:top w:val="nil"/>
              <w:left w:val="nil"/>
              <w:bottom w:val="single" w:sz="4" w:space="0" w:color="000000"/>
              <w:right w:val="single" w:sz="4" w:space="0" w:color="000000"/>
            </w:tcBorders>
            <w:noWrap/>
            <w:vAlign w:val="center"/>
            <w:hideMark/>
          </w:tcPr>
          <w:p w14:paraId="69A6C77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545" w:type="pct"/>
            <w:tcBorders>
              <w:top w:val="nil"/>
              <w:left w:val="nil"/>
              <w:bottom w:val="single" w:sz="4" w:space="0" w:color="000000"/>
              <w:right w:val="single" w:sz="4" w:space="0" w:color="000000"/>
            </w:tcBorders>
            <w:noWrap/>
            <w:vAlign w:val="center"/>
            <w:hideMark/>
          </w:tcPr>
          <w:p w14:paraId="3E3E5561"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545" w:type="pct"/>
            <w:tcBorders>
              <w:top w:val="nil"/>
              <w:left w:val="nil"/>
              <w:bottom w:val="single" w:sz="4" w:space="0" w:color="000000"/>
              <w:right w:val="single" w:sz="4" w:space="0" w:color="000000"/>
            </w:tcBorders>
            <w:noWrap/>
            <w:vAlign w:val="center"/>
            <w:hideMark/>
          </w:tcPr>
          <w:p w14:paraId="785E3277"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563" w:type="pct"/>
            <w:tcBorders>
              <w:top w:val="nil"/>
              <w:left w:val="nil"/>
              <w:bottom w:val="single" w:sz="4" w:space="0" w:color="000000"/>
              <w:right w:val="single" w:sz="4" w:space="0" w:color="000000"/>
            </w:tcBorders>
            <w:noWrap/>
            <w:vAlign w:val="center"/>
            <w:hideMark/>
          </w:tcPr>
          <w:p w14:paraId="50C30354"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Total</w:t>
            </w:r>
          </w:p>
        </w:tc>
      </w:tr>
      <w:tr w:rsidR="00B42029" w:rsidRPr="00B42029" w14:paraId="1573F850"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AA5703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17CEA535" w14:textId="1593D2ED"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545" w:type="pct"/>
            <w:tcBorders>
              <w:top w:val="nil"/>
              <w:left w:val="nil"/>
              <w:bottom w:val="single" w:sz="4" w:space="0" w:color="000000"/>
              <w:right w:val="single" w:sz="4" w:space="0" w:color="000000"/>
            </w:tcBorders>
            <w:noWrap/>
            <w:vAlign w:val="center"/>
            <w:hideMark/>
          </w:tcPr>
          <w:p w14:paraId="6DA490B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545" w:type="pct"/>
            <w:tcBorders>
              <w:top w:val="nil"/>
              <w:left w:val="nil"/>
              <w:bottom w:val="single" w:sz="4" w:space="0" w:color="000000"/>
              <w:right w:val="single" w:sz="4" w:space="0" w:color="000000"/>
            </w:tcBorders>
            <w:noWrap/>
            <w:vAlign w:val="center"/>
            <w:hideMark/>
          </w:tcPr>
          <w:p w14:paraId="5D50614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545" w:type="pct"/>
            <w:tcBorders>
              <w:top w:val="nil"/>
              <w:left w:val="nil"/>
              <w:bottom w:val="single" w:sz="4" w:space="0" w:color="000000"/>
              <w:right w:val="single" w:sz="4" w:space="0" w:color="000000"/>
            </w:tcBorders>
            <w:noWrap/>
            <w:vAlign w:val="center"/>
            <w:hideMark/>
          </w:tcPr>
          <w:p w14:paraId="6FB0751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545" w:type="pct"/>
            <w:tcBorders>
              <w:top w:val="nil"/>
              <w:left w:val="nil"/>
              <w:bottom w:val="single" w:sz="4" w:space="0" w:color="000000"/>
              <w:right w:val="single" w:sz="4" w:space="0" w:color="000000"/>
            </w:tcBorders>
            <w:noWrap/>
            <w:vAlign w:val="center"/>
            <w:hideMark/>
          </w:tcPr>
          <w:p w14:paraId="5F89228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545" w:type="pct"/>
            <w:tcBorders>
              <w:top w:val="nil"/>
              <w:left w:val="nil"/>
              <w:bottom w:val="single" w:sz="4" w:space="0" w:color="000000"/>
              <w:right w:val="single" w:sz="4" w:space="0" w:color="000000"/>
            </w:tcBorders>
            <w:noWrap/>
            <w:vAlign w:val="center"/>
            <w:hideMark/>
          </w:tcPr>
          <w:p w14:paraId="2AFED5A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11.00 </w:t>
            </w:r>
          </w:p>
        </w:tc>
        <w:tc>
          <w:tcPr>
            <w:tcW w:w="563" w:type="pct"/>
            <w:tcBorders>
              <w:top w:val="nil"/>
              <w:left w:val="nil"/>
              <w:bottom w:val="single" w:sz="4" w:space="0" w:color="000000"/>
              <w:right w:val="single" w:sz="4" w:space="0" w:color="000000"/>
            </w:tcBorders>
            <w:noWrap/>
            <w:vAlign w:val="center"/>
            <w:hideMark/>
          </w:tcPr>
          <w:p w14:paraId="0D58745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r>
      <w:tr w:rsidR="00B42029" w:rsidRPr="00B42029" w14:paraId="0A284F50" w14:textId="77777777" w:rsidTr="00B42029">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1D09CC36"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Discount Factor (DF) 2%</w:t>
            </w:r>
          </w:p>
        </w:tc>
        <w:tc>
          <w:tcPr>
            <w:tcW w:w="563" w:type="pct"/>
            <w:tcBorders>
              <w:top w:val="nil"/>
              <w:left w:val="nil"/>
              <w:bottom w:val="single" w:sz="4" w:space="0" w:color="000000"/>
              <w:right w:val="single" w:sz="4" w:space="0" w:color="000000"/>
            </w:tcBorders>
            <w:noWrap/>
            <w:vAlign w:val="center"/>
            <w:hideMark/>
          </w:tcPr>
          <w:p w14:paraId="1BEC017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545" w:type="pct"/>
            <w:tcBorders>
              <w:top w:val="nil"/>
              <w:left w:val="nil"/>
              <w:bottom w:val="single" w:sz="4" w:space="0" w:color="000000"/>
              <w:right w:val="single" w:sz="4" w:space="0" w:color="000000"/>
            </w:tcBorders>
            <w:noWrap/>
            <w:vAlign w:val="center"/>
            <w:hideMark/>
          </w:tcPr>
          <w:p w14:paraId="480127D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0.98</w:t>
            </w:r>
          </w:p>
        </w:tc>
        <w:tc>
          <w:tcPr>
            <w:tcW w:w="545" w:type="pct"/>
            <w:tcBorders>
              <w:top w:val="nil"/>
              <w:left w:val="nil"/>
              <w:bottom w:val="single" w:sz="4" w:space="0" w:color="000000"/>
              <w:right w:val="single" w:sz="4" w:space="0" w:color="000000"/>
            </w:tcBorders>
            <w:noWrap/>
            <w:vAlign w:val="center"/>
            <w:hideMark/>
          </w:tcPr>
          <w:p w14:paraId="6F63503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0.961</w:t>
            </w:r>
          </w:p>
        </w:tc>
        <w:tc>
          <w:tcPr>
            <w:tcW w:w="545" w:type="pct"/>
            <w:tcBorders>
              <w:top w:val="nil"/>
              <w:left w:val="nil"/>
              <w:bottom w:val="single" w:sz="4" w:space="0" w:color="000000"/>
              <w:right w:val="single" w:sz="4" w:space="0" w:color="000000"/>
            </w:tcBorders>
            <w:noWrap/>
            <w:vAlign w:val="center"/>
            <w:hideMark/>
          </w:tcPr>
          <w:p w14:paraId="5009C67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0.942</w:t>
            </w:r>
          </w:p>
        </w:tc>
        <w:tc>
          <w:tcPr>
            <w:tcW w:w="545" w:type="pct"/>
            <w:tcBorders>
              <w:top w:val="nil"/>
              <w:left w:val="nil"/>
              <w:bottom w:val="single" w:sz="4" w:space="0" w:color="000000"/>
              <w:right w:val="single" w:sz="4" w:space="0" w:color="000000"/>
            </w:tcBorders>
            <w:noWrap/>
            <w:vAlign w:val="center"/>
            <w:hideMark/>
          </w:tcPr>
          <w:p w14:paraId="220EC32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0.923</w:t>
            </w:r>
          </w:p>
        </w:tc>
        <w:tc>
          <w:tcPr>
            <w:tcW w:w="545" w:type="pct"/>
            <w:tcBorders>
              <w:top w:val="nil"/>
              <w:left w:val="nil"/>
              <w:bottom w:val="single" w:sz="4" w:space="0" w:color="000000"/>
              <w:right w:val="single" w:sz="4" w:space="0" w:color="000000"/>
            </w:tcBorders>
            <w:noWrap/>
            <w:vAlign w:val="center"/>
            <w:hideMark/>
          </w:tcPr>
          <w:p w14:paraId="2B62854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0.905</w:t>
            </w:r>
          </w:p>
        </w:tc>
        <w:tc>
          <w:tcPr>
            <w:tcW w:w="563" w:type="pct"/>
            <w:tcBorders>
              <w:top w:val="nil"/>
              <w:left w:val="nil"/>
              <w:bottom w:val="single" w:sz="4" w:space="0" w:color="000000"/>
              <w:right w:val="single" w:sz="4" w:space="0" w:color="000000"/>
            </w:tcBorders>
            <w:noWrap/>
            <w:vAlign w:val="center"/>
            <w:hideMark/>
          </w:tcPr>
          <w:p w14:paraId="7DA04FF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5750D8FB"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4777535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47C592B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5" w:type="pct"/>
            <w:tcBorders>
              <w:top w:val="nil"/>
              <w:left w:val="nil"/>
              <w:bottom w:val="single" w:sz="4" w:space="0" w:color="000000"/>
              <w:right w:val="single" w:sz="4" w:space="0" w:color="000000"/>
            </w:tcBorders>
            <w:noWrap/>
            <w:vAlign w:val="center"/>
            <w:hideMark/>
          </w:tcPr>
          <w:p w14:paraId="019B3DD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10.78</w:t>
            </w:r>
          </w:p>
        </w:tc>
        <w:tc>
          <w:tcPr>
            <w:tcW w:w="545" w:type="pct"/>
            <w:tcBorders>
              <w:top w:val="nil"/>
              <w:left w:val="nil"/>
              <w:bottom w:val="single" w:sz="4" w:space="0" w:color="000000"/>
              <w:right w:val="single" w:sz="4" w:space="0" w:color="000000"/>
            </w:tcBorders>
            <w:noWrap/>
            <w:vAlign w:val="center"/>
            <w:hideMark/>
          </w:tcPr>
          <w:p w14:paraId="3BA0518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10.57</w:t>
            </w:r>
          </w:p>
        </w:tc>
        <w:tc>
          <w:tcPr>
            <w:tcW w:w="545" w:type="pct"/>
            <w:tcBorders>
              <w:top w:val="nil"/>
              <w:left w:val="nil"/>
              <w:bottom w:val="single" w:sz="4" w:space="0" w:color="000000"/>
              <w:right w:val="single" w:sz="4" w:space="0" w:color="000000"/>
            </w:tcBorders>
            <w:noWrap/>
            <w:vAlign w:val="center"/>
            <w:hideMark/>
          </w:tcPr>
          <w:p w14:paraId="106360A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10.36</w:t>
            </w:r>
          </w:p>
        </w:tc>
        <w:tc>
          <w:tcPr>
            <w:tcW w:w="545" w:type="pct"/>
            <w:tcBorders>
              <w:top w:val="nil"/>
              <w:left w:val="nil"/>
              <w:bottom w:val="single" w:sz="4" w:space="0" w:color="000000"/>
              <w:right w:val="single" w:sz="4" w:space="0" w:color="000000"/>
            </w:tcBorders>
            <w:noWrap/>
            <w:vAlign w:val="center"/>
            <w:hideMark/>
          </w:tcPr>
          <w:p w14:paraId="4F800B6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10.15</w:t>
            </w:r>
          </w:p>
        </w:tc>
        <w:tc>
          <w:tcPr>
            <w:tcW w:w="545" w:type="pct"/>
            <w:tcBorders>
              <w:top w:val="nil"/>
              <w:left w:val="nil"/>
              <w:bottom w:val="single" w:sz="4" w:space="0" w:color="000000"/>
              <w:right w:val="single" w:sz="4" w:space="0" w:color="000000"/>
            </w:tcBorders>
            <w:noWrap/>
            <w:vAlign w:val="center"/>
            <w:hideMark/>
          </w:tcPr>
          <w:p w14:paraId="7E438B9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9.96</w:t>
            </w:r>
          </w:p>
        </w:tc>
        <w:tc>
          <w:tcPr>
            <w:tcW w:w="563" w:type="pct"/>
            <w:tcBorders>
              <w:top w:val="nil"/>
              <w:left w:val="nil"/>
              <w:bottom w:val="single" w:sz="4" w:space="0" w:color="000000"/>
              <w:right w:val="single" w:sz="4" w:space="0" w:color="000000"/>
            </w:tcBorders>
            <w:noWrap/>
            <w:vAlign w:val="center"/>
            <w:hideMark/>
          </w:tcPr>
          <w:p w14:paraId="004E4F9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1.82 </w:t>
            </w:r>
          </w:p>
        </w:tc>
      </w:tr>
      <w:tr w:rsidR="00B42029" w:rsidRPr="00B42029" w14:paraId="4A0FAC5B"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3A0EFB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6018781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25C346C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4F7ED38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4F8695D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792F869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2F4A2F4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C03D50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68240ECF"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5653F7D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Cash Flows</w:t>
            </w:r>
          </w:p>
        </w:tc>
        <w:tc>
          <w:tcPr>
            <w:tcW w:w="563" w:type="pct"/>
            <w:tcBorders>
              <w:top w:val="nil"/>
              <w:left w:val="nil"/>
              <w:bottom w:val="single" w:sz="4" w:space="0" w:color="000000"/>
              <w:right w:val="single" w:sz="4" w:space="0" w:color="000000"/>
            </w:tcBorders>
            <w:noWrap/>
            <w:vAlign w:val="center"/>
            <w:hideMark/>
          </w:tcPr>
          <w:p w14:paraId="6E58230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5" w:type="pct"/>
            <w:tcBorders>
              <w:top w:val="nil"/>
              <w:left w:val="nil"/>
              <w:bottom w:val="single" w:sz="4" w:space="0" w:color="000000"/>
              <w:right w:val="single" w:sz="4" w:space="0" w:color="000000"/>
            </w:tcBorders>
            <w:noWrap/>
            <w:vAlign w:val="center"/>
            <w:hideMark/>
          </w:tcPr>
          <w:p w14:paraId="4644FCF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11.00</w:t>
            </w:r>
          </w:p>
        </w:tc>
        <w:tc>
          <w:tcPr>
            <w:tcW w:w="545" w:type="pct"/>
            <w:tcBorders>
              <w:top w:val="nil"/>
              <w:left w:val="nil"/>
              <w:bottom w:val="single" w:sz="4" w:space="0" w:color="000000"/>
              <w:right w:val="single" w:sz="4" w:space="0" w:color="000000"/>
            </w:tcBorders>
            <w:noWrap/>
            <w:vAlign w:val="center"/>
            <w:hideMark/>
          </w:tcPr>
          <w:p w14:paraId="5FAA655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11.00</w:t>
            </w:r>
          </w:p>
        </w:tc>
        <w:tc>
          <w:tcPr>
            <w:tcW w:w="545" w:type="pct"/>
            <w:tcBorders>
              <w:top w:val="nil"/>
              <w:left w:val="nil"/>
              <w:bottom w:val="single" w:sz="4" w:space="0" w:color="000000"/>
              <w:right w:val="single" w:sz="4" w:space="0" w:color="000000"/>
            </w:tcBorders>
            <w:noWrap/>
            <w:vAlign w:val="center"/>
            <w:hideMark/>
          </w:tcPr>
          <w:p w14:paraId="26FE252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11.00</w:t>
            </w:r>
          </w:p>
        </w:tc>
        <w:tc>
          <w:tcPr>
            <w:tcW w:w="545" w:type="pct"/>
            <w:tcBorders>
              <w:top w:val="nil"/>
              <w:left w:val="nil"/>
              <w:bottom w:val="single" w:sz="4" w:space="0" w:color="000000"/>
              <w:right w:val="single" w:sz="4" w:space="0" w:color="000000"/>
            </w:tcBorders>
            <w:noWrap/>
            <w:vAlign w:val="center"/>
            <w:hideMark/>
          </w:tcPr>
          <w:p w14:paraId="7EE50B2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11.00</w:t>
            </w:r>
          </w:p>
        </w:tc>
        <w:tc>
          <w:tcPr>
            <w:tcW w:w="545" w:type="pct"/>
            <w:tcBorders>
              <w:top w:val="nil"/>
              <w:left w:val="nil"/>
              <w:bottom w:val="single" w:sz="4" w:space="0" w:color="000000"/>
              <w:right w:val="single" w:sz="4" w:space="0" w:color="000000"/>
            </w:tcBorders>
            <w:noWrap/>
            <w:vAlign w:val="center"/>
            <w:hideMark/>
          </w:tcPr>
          <w:p w14:paraId="33E904B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11.00</w:t>
            </w:r>
          </w:p>
        </w:tc>
        <w:tc>
          <w:tcPr>
            <w:tcW w:w="563" w:type="pct"/>
            <w:tcBorders>
              <w:top w:val="nil"/>
              <w:left w:val="nil"/>
              <w:bottom w:val="single" w:sz="4" w:space="0" w:color="000000"/>
              <w:right w:val="single" w:sz="4" w:space="0" w:color="000000"/>
            </w:tcBorders>
            <w:noWrap/>
            <w:vAlign w:val="center"/>
            <w:hideMark/>
          </w:tcPr>
          <w:p w14:paraId="0D67F4B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r>
      <w:tr w:rsidR="00B42029" w:rsidRPr="00B42029" w14:paraId="22F06A3E" w14:textId="77777777" w:rsidTr="00B42029">
        <w:trPr>
          <w:trHeight w:val="324"/>
        </w:trPr>
        <w:tc>
          <w:tcPr>
            <w:tcW w:w="1146" w:type="pct"/>
            <w:tcBorders>
              <w:top w:val="nil"/>
              <w:left w:val="single" w:sz="4" w:space="0" w:color="000000"/>
              <w:bottom w:val="single" w:sz="4" w:space="0" w:color="000000"/>
              <w:right w:val="single" w:sz="4" w:space="0" w:color="000000"/>
            </w:tcBorders>
            <w:noWrap/>
            <w:vAlign w:val="center"/>
            <w:hideMark/>
          </w:tcPr>
          <w:p w14:paraId="4A58FE7B"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Discount Factor (DF) 8%</w:t>
            </w:r>
          </w:p>
        </w:tc>
        <w:tc>
          <w:tcPr>
            <w:tcW w:w="563" w:type="pct"/>
            <w:tcBorders>
              <w:top w:val="nil"/>
              <w:left w:val="nil"/>
              <w:bottom w:val="single" w:sz="4" w:space="0" w:color="000000"/>
              <w:right w:val="single" w:sz="4" w:space="0" w:color="000000"/>
            </w:tcBorders>
            <w:noWrap/>
            <w:vAlign w:val="center"/>
            <w:hideMark/>
          </w:tcPr>
          <w:p w14:paraId="5327820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545" w:type="pct"/>
            <w:tcBorders>
              <w:top w:val="nil"/>
              <w:left w:val="nil"/>
              <w:bottom w:val="single" w:sz="4" w:space="0" w:color="000000"/>
              <w:right w:val="single" w:sz="4" w:space="0" w:color="000000"/>
            </w:tcBorders>
            <w:noWrap/>
            <w:vAlign w:val="center"/>
            <w:hideMark/>
          </w:tcPr>
          <w:p w14:paraId="2DB371F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545" w:type="pct"/>
            <w:tcBorders>
              <w:top w:val="nil"/>
              <w:left w:val="nil"/>
              <w:bottom w:val="single" w:sz="4" w:space="0" w:color="000000"/>
              <w:right w:val="single" w:sz="4" w:space="0" w:color="000000"/>
            </w:tcBorders>
            <w:noWrap/>
            <w:vAlign w:val="center"/>
            <w:hideMark/>
          </w:tcPr>
          <w:p w14:paraId="58274E5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545" w:type="pct"/>
            <w:tcBorders>
              <w:top w:val="nil"/>
              <w:left w:val="nil"/>
              <w:bottom w:val="single" w:sz="4" w:space="0" w:color="000000"/>
              <w:right w:val="single" w:sz="4" w:space="0" w:color="000000"/>
            </w:tcBorders>
            <w:noWrap/>
            <w:vAlign w:val="center"/>
            <w:hideMark/>
          </w:tcPr>
          <w:p w14:paraId="76F5625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545" w:type="pct"/>
            <w:tcBorders>
              <w:top w:val="nil"/>
              <w:left w:val="nil"/>
              <w:bottom w:val="single" w:sz="4" w:space="0" w:color="000000"/>
              <w:right w:val="single" w:sz="4" w:space="0" w:color="000000"/>
            </w:tcBorders>
            <w:noWrap/>
            <w:vAlign w:val="center"/>
            <w:hideMark/>
          </w:tcPr>
          <w:p w14:paraId="3ECB157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545" w:type="pct"/>
            <w:tcBorders>
              <w:top w:val="nil"/>
              <w:left w:val="nil"/>
              <w:bottom w:val="single" w:sz="4" w:space="0" w:color="000000"/>
              <w:right w:val="single" w:sz="4" w:space="0" w:color="000000"/>
            </w:tcBorders>
            <w:noWrap/>
            <w:vAlign w:val="center"/>
            <w:hideMark/>
          </w:tcPr>
          <w:p w14:paraId="1003A9B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563" w:type="pct"/>
            <w:tcBorders>
              <w:top w:val="nil"/>
              <w:left w:val="nil"/>
              <w:bottom w:val="single" w:sz="4" w:space="0" w:color="000000"/>
              <w:right w:val="single" w:sz="4" w:space="0" w:color="000000"/>
            </w:tcBorders>
            <w:noWrap/>
            <w:vAlign w:val="center"/>
            <w:hideMark/>
          </w:tcPr>
          <w:p w14:paraId="7791798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25E9695B"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7C288E8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Present Value</w:t>
            </w:r>
          </w:p>
        </w:tc>
        <w:tc>
          <w:tcPr>
            <w:tcW w:w="563" w:type="pct"/>
            <w:tcBorders>
              <w:top w:val="nil"/>
              <w:left w:val="nil"/>
              <w:bottom w:val="single" w:sz="4" w:space="0" w:color="000000"/>
              <w:right w:val="single" w:sz="4" w:space="0" w:color="000000"/>
            </w:tcBorders>
            <w:noWrap/>
            <w:vAlign w:val="center"/>
            <w:hideMark/>
          </w:tcPr>
          <w:p w14:paraId="3AF0F89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5" w:type="pct"/>
            <w:tcBorders>
              <w:top w:val="nil"/>
              <w:left w:val="nil"/>
              <w:bottom w:val="single" w:sz="4" w:space="0" w:color="000000"/>
              <w:right w:val="single" w:sz="4" w:space="0" w:color="000000"/>
            </w:tcBorders>
            <w:noWrap/>
            <w:vAlign w:val="center"/>
            <w:hideMark/>
          </w:tcPr>
          <w:p w14:paraId="497D4BA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10.18</w:t>
            </w:r>
          </w:p>
        </w:tc>
        <w:tc>
          <w:tcPr>
            <w:tcW w:w="545" w:type="pct"/>
            <w:tcBorders>
              <w:top w:val="nil"/>
              <w:left w:val="nil"/>
              <w:bottom w:val="single" w:sz="4" w:space="0" w:color="000000"/>
              <w:right w:val="single" w:sz="4" w:space="0" w:color="000000"/>
            </w:tcBorders>
            <w:noWrap/>
            <w:vAlign w:val="center"/>
            <w:hideMark/>
          </w:tcPr>
          <w:p w14:paraId="66CC82E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9.43</w:t>
            </w:r>
          </w:p>
        </w:tc>
        <w:tc>
          <w:tcPr>
            <w:tcW w:w="545" w:type="pct"/>
            <w:tcBorders>
              <w:top w:val="nil"/>
              <w:left w:val="nil"/>
              <w:bottom w:val="single" w:sz="4" w:space="0" w:color="000000"/>
              <w:right w:val="single" w:sz="4" w:space="0" w:color="000000"/>
            </w:tcBorders>
            <w:noWrap/>
            <w:vAlign w:val="center"/>
            <w:hideMark/>
          </w:tcPr>
          <w:p w14:paraId="4EC8044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8.72</w:t>
            </w:r>
          </w:p>
        </w:tc>
        <w:tc>
          <w:tcPr>
            <w:tcW w:w="545" w:type="pct"/>
            <w:tcBorders>
              <w:top w:val="nil"/>
              <w:left w:val="nil"/>
              <w:bottom w:val="single" w:sz="4" w:space="0" w:color="000000"/>
              <w:right w:val="single" w:sz="4" w:space="0" w:color="000000"/>
            </w:tcBorders>
            <w:noWrap/>
            <w:vAlign w:val="center"/>
            <w:hideMark/>
          </w:tcPr>
          <w:p w14:paraId="6A5928D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8.09</w:t>
            </w:r>
          </w:p>
        </w:tc>
        <w:tc>
          <w:tcPr>
            <w:tcW w:w="545" w:type="pct"/>
            <w:tcBorders>
              <w:top w:val="nil"/>
              <w:left w:val="nil"/>
              <w:bottom w:val="single" w:sz="4" w:space="0" w:color="000000"/>
              <w:right w:val="single" w:sz="4" w:space="0" w:color="000000"/>
            </w:tcBorders>
            <w:noWrap/>
            <w:vAlign w:val="center"/>
            <w:hideMark/>
          </w:tcPr>
          <w:p w14:paraId="7981263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7.48</w:t>
            </w:r>
          </w:p>
        </w:tc>
        <w:tc>
          <w:tcPr>
            <w:tcW w:w="563" w:type="pct"/>
            <w:tcBorders>
              <w:top w:val="nil"/>
              <w:left w:val="nil"/>
              <w:bottom w:val="single" w:sz="4" w:space="0" w:color="000000"/>
              <w:right w:val="single" w:sz="4" w:space="0" w:color="000000"/>
            </w:tcBorders>
            <w:noWrap/>
            <w:vAlign w:val="center"/>
            <w:hideMark/>
          </w:tcPr>
          <w:p w14:paraId="6AA3B87C" w14:textId="3964430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(6.11)</w:t>
            </w:r>
          </w:p>
        </w:tc>
      </w:tr>
      <w:tr w:rsidR="00B42029" w:rsidRPr="00B42029" w14:paraId="69A9C49C" w14:textId="77777777" w:rsidTr="00B42029">
        <w:trPr>
          <w:trHeight w:val="312"/>
        </w:trPr>
        <w:tc>
          <w:tcPr>
            <w:tcW w:w="1146" w:type="pct"/>
            <w:tcBorders>
              <w:top w:val="nil"/>
              <w:left w:val="single" w:sz="4" w:space="0" w:color="000000"/>
              <w:bottom w:val="single" w:sz="4" w:space="0" w:color="000000"/>
              <w:right w:val="single" w:sz="4" w:space="0" w:color="000000"/>
            </w:tcBorders>
            <w:noWrap/>
            <w:vAlign w:val="center"/>
            <w:hideMark/>
          </w:tcPr>
          <w:p w14:paraId="067B88A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4C3611C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5156134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6E2F80C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2F6B821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4A6BAB9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5" w:type="pct"/>
            <w:tcBorders>
              <w:top w:val="nil"/>
              <w:left w:val="nil"/>
              <w:bottom w:val="single" w:sz="4" w:space="0" w:color="000000"/>
              <w:right w:val="single" w:sz="4" w:space="0" w:color="000000"/>
            </w:tcBorders>
            <w:noWrap/>
            <w:vAlign w:val="center"/>
            <w:hideMark/>
          </w:tcPr>
          <w:p w14:paraId="1FA3836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5EF49FF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4EA81FFB" w14:textId="77777777" w:rsidTr="00B42029">
        <w:trPr>
          <w:trHeight w:val="585"/>
        </w:trPr>
        <w:tc>
          <w:tcPr>
            <w:tcW w:w="1146" w:type="pct"/>
            <w:tcBorders>
              <w:top w:val="nil"/>
              <w:left w:val="single" w:sz="4" w:space="0" w:color="000000"/>
              <w:bottom w:val="single" w:sz="4" w:space="0" w:color="000000"/>
              <w:right w:val="single" w:sz="4" w:space="0" w:color="000000"/>
            </w:tcBorders>
            <w:noWrap/>
            <w:vAlign w:val="center"/>
            <w:hideMark/>
          </w:tcPr>
          <w:p w14:paraId="30E8748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3854" w:type="pct"/>
            <w:gridSpan w:val="7"/>
            <w:tcBorders>
              <w:top w:val="single" w:sz="4" w:space="0" w:color="000000"/>
              <w:left w:val="nil"/>
              <w:bottom w:val="single" w:sz="4" w:space="0" w:color="000000"/>
              <w:right w:val="single" w:sz="4" w:space="0" w:color="000000"/>
            </w:tcBorders>
            <w:vAlign w:val="center"/>
            <w:hideMark/>
          </w:tcPr>
          <w:p w14:paraId="60CA5EE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Low % + [(Positive NPV / Total Range in NPVs) * (High % - Low %)]</w:t>
            </w:r>
          </w:p>
        </w:tc>
      </w:tr>
      <w:tr w:rsidR="00B42029" w:rsidRPr="00B42029" w14:paraId="10DB4F8C" w14:textId="77777777" w:rsidTr="00B42029">
        <w:trPr>
          <w:trHeight w:val="540"/>
        </w:trPr>
        <w:tc>
          <w:tcPr>
            <w:tcW w:w="1146" w:type="pct"/>
            <w:tcBorders>
              <w:top w:val="nil"/>
              <w:left w:val="single" w:sz="4" w:space="0" w:color="000000"/>
              <w:bottom w:val="single" w:sz="4" w:space="0" w:color="000000"/>
              <w:right w:val="single" w:sz="4" w:space="0" w:color="000000"/>
            </w:tcBorders>
            <w:noWrap/>
            <w:vAlign w:val="center"/>
            <w:hideMark/>
          </w:tcPr>
          <w:p w14:paraId="22DFCC62"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Internal Rate of Return</w:t>
            </w:r>
          </w:p>
        </w:tc>
        <w:tc>
          <w:tcPr>
            <w:tcW w:w="563" w:type="pct"/>
            <w:tcBorders>
              <w:top w:val="nil"/>
              <w:left w:val="nil"/>
              <w:bottom w:val="single" w:sz="4" w:space="0" w:color="000000"/>
              <w:right w:val="single" w:sz="4" w:space="0" w:color="000000"/>
            </w:tcBorders>
            <w:noWrap/>
            <w:vAlign w:val="center"/>
            <w:hideMark/>
          </w:tcPr>
          <w:p w14:paraId="7EB08A2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-0.55%</w:t>
            </w:r>
          </w:p>
        </w:tc>
        <w:tc>
          <w:tcPr>
            <w:tcW w:w="3291" w:type="pct"/>
            <w:gridSpan w:val="6"/>
            <w:tcBorders>
              <w:top w:val="single" w:sz="4" w:space="0" w:color="000000"/>
              <w:left w:val="nil"/>
              <w:bottom w:val="single" w:sz="4" w:space="0" w:color="000000"/>
              <w:right w:val="single" w:sz="4" w:space="0" w:color="000000"/>
            </w:tcBorders>
            <w:vAlign w:val="center"/>
            <w:hideMark/>
          </w:tcPr>
          <w:p w14:paraId="55B160CC" w14:textId="5E815ECE"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 + (1.82 / (1.82 + ( -6.11))) * (8% - 2%)</w:t>
            </w:r>
          </w:p>
        </w:tc>
      </w:tr>
    </w:tbl>
    <w:p w14:paraId="77BD0482" w14:textId="77777777" w:rsidR="00B42029" w:rsidRPr="00B42029" w:rsidRDefault="00B42029" w:rsidP="00B8765D">
      <w:pPr>
        <w:spacing w:before="240" w:after="240" w:line="360" w:lineRule="auto"/>
        <w:jc w:val="both"/>
        <w:rPr>
          <w:sz w:val="24"/>
          <w:szCs w:val="24"/>
          <w:lang w:val="en-IN"/>
        </w:rPr>
      </w:pPr>
    </w:p>
    <w:tbl>
      <w:tblPr>
        <w:tblW w:w="5000" w:type="pct"/>
        <w:tblLook w:val="04A0" w:firstRow="1" w:lastRow="0" w:firstColumn="1" w:lastColumn="0" w:noHBand="0" w:noVBand="1"/>
      </w:tblPr>
      <w:tblGrid>
        <w:gridCol w:w="1935"/>
        <w:gridCol w:w="850"/>
        <w:gridCol w:w="1039"/>
        <w:gridCol w:w="1039"/>
        <w:gridCol w:w="1039"/>
        <w:gridCol w:w="1039"/>
        <w:gridCol w:w="1039"/>
        <w:gridCol w:w="1039"/>
      </w:tblGrid>
      <w:tr w:rsidR="00B42029" w:rsidRPr="00B42029" w14:paraId="46A07FF6" w14:textId="77777777" w:rsidTr="00B42029">
        <w:trPr>
          <w:trHeight w:val="348"/>
        </w:trPr>
        <w:tc>
          <w:tcPr>
            <w:tcW w:w="5000" w:type="pct"/>
            <w:gridSpan w:val="8"/>
            <w:tcBorders>
              <w:top w:val="single" w:sz="4" w:space="0" w:color="000000"/>
              <w:left w:val="single" w:sz="4" w:space="0" w:color="000000"/>
              <w:bottom w:val="single" w:sz="4" w:space="0" w:color="000000"/>
              <w:right w:val="single" w:sz="4" w:space="0" w:color="000000"/>
            </w:tcBorders>
            <w:noWrap/>
            <w:vAlign w:val="center"/>
            <w:hideMark/>
          </w:tcPr>
          <w:p w14:paraId="6BAC28A7" w14:textId="77777777" w:rsidR="00B42029" w:rsidRPr="00B42029" w:rsidRDefault="00B42029" w:rsidP="00B42029">
            <w:pPr>
              <w:spacing w:line="240" w:lineRule="auto"/>
              <w:jc w:val="center"/>
              <w:rPr>
                <w:rFonts w:eastAsia="Times New Roman"/>
                <w:b/>
                <w:bCs/>
                <w:color w:val="000000"/>
                <w:sz w:val="28"/>
                <w:szCs w:val="28"/>
                <w:lang w:val="en-IN"/>
              </w:rPr>
            </w:pPr>
            <w:r w:rsidRPr="00B42029">
              <w:rPr>
                <w:rFonts w:eastAsia="Times New Roman"/>
                <w:b/>
                <w:bCs/>
                <w:color w:val="000000"/>
                <w:sz w:val="28"/>
                <w:szCs w:val="28"/>
                <w:lang w:val="en-IN"/>
              </w:rPr>
              <w:t>Internal Rate of Return (Project C)</w:t>
            </w:r>
          </w:p>
        </w:tc>
      </w:tr>
      <w:tr w:rsidR="00B42029" w:rsidRPr="00B42029" w14:paraId="149DDD3D"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1659CC6C"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Element</w:t>
            </w:r>
          </w:p>
        </w:tc>
        <w:tc>
          <w:tcPr>
            <w:tcW w:w="565" w:type="pct"/>
            <w:tcBorders>
              <w:top w:val="nil"/>
              <w:left w:val="nil"/>
              <w:bottom w:val="single" w:sz="4" w:space="0" w:color="000000"/>
              <w:right w:val="single" w:sz="4" w:space="0" w:color="000000"/>
            </w:tcBorders>
            <w:noWrap/>
            <w:vAlign w:val="center"/>
            <w:hideMark/>
          </w:tcPr>
          <w:p w14:paraId="0E040CB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0</w:t>
            </w:r>
          </w:p>
        </w:tc>
        <w:tc>
          <w:tcPr>
            <w:tcW w:w="547" w:type="pct"/>
            <w:tcBorders>
              <w:top w:val="nil"/>
              <w:left w:val="nil"/>
              <w:bottom w:val="single" w:sz="4" w:space="0" w:color="000000"/>
              <w:right w:val="single" w:sz="4" w:space="0" w:color="000000"/>
            </w:tcBorders>
            <w:noWrap/>
            <w:vAlign w:val="center"/>
            <w:hideMark/>
          </w:tcPr>
          <w:p w14:paraId="4C68E59B"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1</w:t>
            </w:r>
          </w:p>
        </w:tc>
        <w:tc>
          <w:tcPr>
            <w:tcW w:w="547" w:type="pct"/>
            <w:tcBorders>
              <w:top w:val="nil"/>
              <w:left w:val="nil"/>
              <w:bottom w:val="single" w:sz="4" w:space="0" w:color="000000"/>
              <w:right w:val="single" w:sz="4" w:space="0" w:color="000000"/>
            </w:tcBorders>
            <w:noWrap/>
            <w:vAlign w:val="center"/>
            <w:hideMark/>
          </w:tcPr>
          <w:p w14:paraId="6F3D415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2</w:t>
            </w:r>
          </w:p>
        </w:tc>
        <w:tc>
          <w:tcPr>
            <w:tcW w:w="547" w:type="pct"/>
            <w:tcBorders>
              <w:top w:val="nil"/>
              <w:left w:val="nil"/>
              <w:bottom w:val="single" w:sz="4" w:space="0" w:color="000000"/>
              <w:right w:val="single" w:sz="4" w:space="0" w:color="000000"/>
            </w:tcBorders>
            <w:noWrap/>
            <w:vAlign w:val="center"/>
            <w:hideMark/>
          </w:tcPr>
          <w:p w14:paraId="1BFFFB1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3</w:t>
            </w:r>
          </w:p>
        </w:tc>
        <w:tc>
          <w:tcPr>
            <w:tcW w:w="547" w:type="pct"/>
            <w:tcBorders>
              <w:top w:val="nil"/>
              <w:left w:val="nil"/>
              <w:bottom w:val="single" w:sz="4" w:space="0" w:color="000000"/>
              <w:right w:val="single" w:sz="4" w:space="0" w:color="000000"/>
            </w:tcBorders>
            <w:noWrap/>
            <w:vAlign w:val="center"/>
            <w:hideMark/>
          </w:tcPr>
          <w:p w14:paraId="464FCD5C"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4</w:t>
            </w:r>
          </w:p>
        </w:tc>
        <w:tc>
          <w:tcPr>
            <w:tcW w:w="547" w:type="pct"/>
            <w:tcBorders>
              <w:top w:val="nil"/>
              <w:left w:val="nil"/>
              <w:bottom w:val="single" w:sz="4" w:space="0" w:color="000000"/>
              <w:right w:val="single" w:sz="4" w:space="0" w:color="000000"/>
            </w:tcBorders>
            <w:noWrap/>
            <w:vAlign w:val="center"/>
            <w:hideMark/>
          </w:tcPr>
          <w:p w14:paraId="7E862ADE"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5</w:t>
            </w:r>
          </w:p>
        </w:tc>
        <w:tc>
          <w:tcPr>
            <w:tcW w:w="547" w:type="pct"/>
            <w:tcBorders>
              <w:top w:val="nil"/>
              <w:left w:val="nil"/>
              <w:bottom w:val="single" w:sz="4" w:space="0" w:color="000000"/>
              <w:right w:val="single" w:sz="4" w:space="0" w:color="000000"/>
            </w:tcBorders>
            <w:noWrap/>
            <w:vAlign w:val="center"/>
            <w:hideMark/>
          </w:tcPr>
          <w:p w14:paraId="7C278ECA"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Total</w:t>
            </w:r>
          </w:p>
        </w:tc>
      </w:tr>
      <w:tr w:rsidR="00B42029" w:rsidRPr="00B42029" w14:paraId="2CC8F50C"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073D186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Cash Flows</w:t>
            </w:r>
          </w:p>
        </w:tc>
        <w:tc>
          <w:tcPr>
            <w:tcW w:w="565" w:type="pct"/>
            <w:tcBorders>
              <w:top w:val="nil"/>
              <w:left w:val="nil"/>
              <w:bottom w:val="single" w:sz="4" w:space="0" w:color="000000"/>
              <w:right w:val="single" w:sz="4" w:space="0" w:color="000000"/>
            </w:tcBorders>
            <w:noWrap/>
            <w:vAlign w:val="center"/>
            <w:hideMark/>
          </w:tcPr>
          <w:p w14:paraId="4DDDAD1D" w14:textId="06B5F9AB"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(50.00)</w:t>
            </w:r>
          </w:p>
        </w:tc>
        <w:tc>
          <w:tcPr>
            <w:tcW w:w="547" w:type="pct"/>
            <w:tcBorders>
              <w:top w:val="nil"/>
              <w:left w:val="nil"/>
              <w:bottom w:val="single" w:sz="4" w:space="0" w:color="000000"/>
              <w:right w:val="single" w:sz="4" w:space="0" w:color="000000"/>
            </w:tcBorders>
            <w:noWrap/>
            <w:vAlign w:val="center"/>
            <w:hideMark/>
          </w:tcPr>
          <w:p w14:paraId="4C4703E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547" w:type="pct"/>
            <w:tcBorders>
              <w:top w:val="nil"/>
              <w:left w:val="nil"/>
              <w:bottom w:val="single" w:sz="4" w:space="0" w:color="000000"/>
              <w:right w:val="single" w:sz="4" w:space="0" w:color="000000"/>
            </w:tcBorders>
            <w:noWrap/>
            <w:vAlign w:val="center"/>
            <w:hideMark/>
          </w:tcPr>
          <w:p w14:paraId="5B6CC07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10.00 </w:t>
            </w:r>
          </w:p>
        </w:tc>
        <w:tc>
          <w:tcPr>
            <w:tcW w:w="547" w:type="pct"/>
            <w:tcBorders>
              <w:top w:val="nil"/>
              <w:left w:val="nil"/>
              <w:bottom w:val="single" w:sz="4" w:space="0" w:color="000000"/>
              <w:right w:val="single" w:sz="4" w:space="0" w:color="000000"/>
            </w:tcBorders>
            <w:noWrap/>
            <w:vAlign w:val="center"/>
            <w:hideMark/>
          </w:tcPr>
          <w:p w14:paraId="7620FE2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20.00 </w:t>
            </w:r>
          </w:p>
        </w:tc>
        <w:tc>
          <w:tcPr>
            <w:tcW w:w="547" w:type="pct"/>
            <w:tcBorders>
              <w:top w:val="nil"/>
              <w:left w:val="nil"/>
              <w:bottom w:val="single" w:sz="4" w:space="0" w:color="000000"/>
              <w:right w:val="single" w:sz="4" w:space="0" w:color="000000"/>
            </w:tcBorders>
            <w:noWrap/>
            <w:vAlign w:val="center"/>
            <w:hideMark/>
          </w:tcPr>
          <w:p w14:paraId="6AC4203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25.00 </w:t>
            </w:r>
          </w:p>
        </w:tc>
        <w:tc>
          <w:tcPr>
            <w:tcW w:w="547" w:type="pct"/>
            <w:tcBorders>
              <w:top w:val="nil"/>
              <w:left w:val="nil"/>
              <w:bottom w:val="single" w:sz="4" w:space="0" w:color="000000"/>
              <w:right w:val="single" w:sz="4" w:space="0" w:color="000000"/>
            </w:tcBorders>
            <w:noWrap/>
            <w:vAlign w:val="center"/>
            <w:hideMark/>
          </w:tcPr>
          <w:p w14:paraId="0114172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5.00 </w:t>
            </w:r>
          </w:p>
        </w:tc>
        <w:tc>
          <w:tcPr>
            <w:tcW w:w="547" w:type="pct"/>
            <w:tcBorders>
              <w:top w:val="nil"/>
              <w:left w:val="nil"/>
              <w:bottom w:val="single" w:sz="4" w:space="0" w:color="000000"/>
              <w:right w:val="single" w:sz="4" w:space="0" w:color="000000"/>
            </w:tcBorders>
            <w:noWrap/>
            <w:vAlign w:val="center"/>
            <w:hideMark/>
          </w:tcPr>
          <w:p w14:paraId="7AC9DA4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15.00 </w:t>
            </w:r>
          </w:p>
        </w:tc>
      </w:tr>
      <w:tr w:rsidR="00B42029" w:rsidRPr="00B42029" w14:paraId="397FAB42" w14:textId="77777777" w:rsidTr="00B42029">
        <w:trPr>
          <w:trHeight w:val="324"/>
        </w:trPr>
        <w:tc>
          <w:tcPr>
            <w:tcW w:w="1150" w:type="pct"/>
            <w:tcBorders>
              <w:top w:val="nil"/>
              <w:left w:val="single" w:sz="4" w:space="0" w:color="000000"/>
              <w:bottom w:val="single" w:sz="4" w:space="0" w:color="000000"/>
              <w:right w:val="single" w:sz="4" w:space="0" w:color="000000"/>
            </w:tcBorders>
            <w:noWrap/>
            <w:vAlign w:val="center"/>
            <w:hideMark/>
          </w:tcPr>
          <w:p w14:paraId="346DA567"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Discount Factor (DF) 2%</w:t>
            </w:r>
          </w:p>
        </w:tc>
        <w:tc>
          <w:tcPr>
            <w:tcW w:w="565" w:type="pct"/>
            <w:tcBorders>
              <w:top w:val="nil"/>
              <w:left w:val="nil"/>
              <w:bottom w:val="single" w:sz="4" w:space="0" w:color="000000"/>
              <w:right w:val="single" w:sz="4" w:space="0" w:color="000000"/>
            </w:tcBorders>
            <w:noWrap/>
            <w:vAlign w:val="center"/>
            <w:hideMark/>
          </w:tcPr>
          <w:p w14:paraId="6D6F244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547" w:type="pct"/>
            <w:tcBorders>
              <w:top w:val="nil"/>
              <w:left w:val="nil"/>
              <w:bottom w:val="single" w:sz="4" w:space="0" w:color="000000"/>
              <w:right w:val="single" w:sz="4" w:space="0" w:color="000000"/>
            </w:tcBorders>
            <w:noWrap/>
            <w:vAlign w:val="center"/>
            <w:hideMark/>
          </w:tcPr>
          <w:p w14:paraId="5BD08D8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0.98</w:t>
            </w:r>
          </w:p>
        </w:tc>
        <w:tc>
          <w:tcPr>
            <w:tcW w:w="547" w:type="pct"/>
            <w:tcBorders>
              <w:top w:val="nil"/>
              <w:left w:val="nil"/>
              <w:bottom w:val="single" w:sz="4" w:space="0" w:color="000000"/>
              <w:right w:val="single" w:sz="4" w:space="0" w:color="000000"/>
            </w:tcBorders>
            <w:noWrap/>
            <w:vAlign w:val="center"/>
            <w:hideMark/>
          </w:tcPr>
          <w:p w14:paraId="6AD2D2CD"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0.961</w:t>
            </w:r>
          </w:p>
        </w:tc>
        <w:tc>
          <w:tcPr>
            <w:tcW w:w="547" w:type="pct"/>
            <w:tcBorders>
              <w:top w:val="nil"/>
              <w:left w:val="nil"/>
              <w:bottom w:val="single" w:sz="4" w:space="0" w:color="000000"/>
              <w:right w:val="single" w:sz="4" w:space="0" w:color="000000"/>
            </w:tcBorders>
            <w:noWrap/>
            <w:vAlign w:val="center"/>
            <w:hideMark/>
          </w:tcPr>
          <w:p w14:paraId="34EE035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0.942</w:t>
            </w:r>
          </w:p>
        </w:tc>
        <w:tc>
          <w:tcPr>
            <w:tcW w:w="547" w:type="pct"/>
            <w:tcBorders>
              <w:top w:val="nil"/>
              <w:left w:val="nil"/>
              <w:bottom w:val="single" w:sz="4" w:space="0" w:color="000000"/>
              <w:right w:val="single" w:sz="4" w:space="0" w:color="000000"/>
            </w:tcBorders>
            <w:noWrap/>
            <w:vAlign w:val="center"/>
            <w:hideMark/>
          </w:tcPr>
          <w:p w14:paraId="2A03575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0.923</w:t>
            </w:r>
          </w:p>
        </w:tc>
        <w:tc>
          <w:tcPr>
            <w:tcW w:w="547" w:type="pct"/>
            <w:tcBorders>
              <w:top w:val="nil"/>
              <w:left w:val="nil"/>
              <w:bottom w:val="single" w:sz="4" w:space="0" w:color="000000"/>
              <w:right w:val="single" w:sz="4" w:space="0" w:color="000000"/>
            </w:tcBorders>
            <w:noWrap/>
            <w:vAlign w:val="center"/>
            <w:hideMark/>
          </w:tcPr>
          <w:p w14:paraId="5D3B18B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0.905</w:t>
            </w:r>
          </w:p>
        </w:tc>
        <w:tc>
          <w:tcPr>
            <w:tcW w:w="547" w:type="pct"/>
            <w:tcBorders>
              <w:top w:val="nil"/>
              <w:left w:val="nil"/>
              <w:bottom w:val="single" w:sz="4" w:space="0" w:color="000000"/>
              <w:right w:val="single" w:sz="4" w:space="0" w:color="000000"/>
            </w:tcBorders>
            <w:noWrap/>
            <w:vAlign w:val="center"/>
            <w:hideMark/>
          </w:tcPr>
          <w:p w14:paraId="3F3042C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5FE7B864"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71D9D55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Present Value</w:t>
            </w:r>
          </w:p>
        </w:tc>
        <w:tc>
          <w:tcPr>
            <w:tcW w:w="565" w:type="pct"/>
            <w:tcBorders>
              <w:top w:val="nil"/>
              <w:left w:val="nil"/>
              <w:bottom w:val="single" w:sz="4" w:space="0" w:color="000000"/>
              <w:right w:val="single" w:sz="4" w:space="0" w:color="000000"/>
            </w:tcBorders>
            <w:noWrap/>
            <w:vAlign w:val="center"/>
            <w:hideMark/>
          </w:tcPr>
          <w:p w14:paraId="4CD99C8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7" w:type="pct"/>
            <w:tcBorders>
              <w:top w:val="nil"/>
              <w:left w:val="nil"/>
              <w:bottom w:val="single" w:sz="4" w:space="0" w:color="000000"/>
              <w:right w:val="single" w:sz="4" w:space="0" w:color="000000"/>
            </w:tcBorders>
            <w:noWrap/>
            <w:vAlign w:val="center"/>
            <w:hideMark/>
          </w:tcPr>
          <w:p w14:paraId="5356DD0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4.90</w:t>
            </w:r>
          </w:p>
        </w:tc>
        <w:tc>
          <w:tcPr>
            <w:tcW w:w="547" w:type="pct"/>
            <w:tcBorders>
              <w:top w:val="nil"/>
              <w:left w:val="nil"/>
              <w:bottom w:val="single" w:sz="4" w:space="0" w:color="000000"/>
              <w:right w:val="single" w:sz="4" w:space="0" w:color="000000"/>
            </w:tcBorders>
            <w:noWrap/>
            <w:vAlign w:val="center"/>
            <w:hideMark/>
          </w:tcPr>
          <w:p w14:paraId="466B3F2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9.61</w:t>
            </w:r>
          </w:p>
        </w:tc>
        <w:tc>
          <w:tcPr>
            <w:tcW w:w="547" w:type="pct"/>
            <w:tcBorders>
              <w:top w:val="nil"/>
              <w:left w:val="nil"/>
              <w:bottom w:val="single" w:sz="4" w:space="0" w:color="000000"/>
              <w:right w:val="single" w:sz="4" w:space="0" w:color="000000"/>
            </w:tcBorders>
            <w:noWrap/>
            <w:vAlign w:val="center"/>
            <w:hideMark/>
          </w:tcPr>
          <w:p w14:paraId="1B625F3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18.84</w:t>
            </w:r>
          </w:p>
        </w:tc>
        <w:tc>
          <w:tcPr>
            <w:tcW w:w="547" w:type="pct"/>
            <w:tcBorders>
              <w:top w:val="nil"/>
              <w:left w:val="nil"/>
              <w:bottom w:val="single" w:sz="4" w:space="0" w:color="000000"/>
              <w:right w:val="single" w:sz="4" w:space="0" w:color="000000"/>
            </w:tcBorders>
            <w:noWrap/>
            <w:vAlign w:val="center"/>
            <w:hideMark/>
          </w:tcPr>
          <w:p w14:paraId="27EB5C4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23.08</w:t>
            </w:r>
          </w:p>
        </w:tc>
        <w:tc>
          <w:tcPr>
            <w:tcW w:w="547" w:type="pct"/>
            <w:tcBorders>
              <w:top w:val="nil"/>
              <w:left w:val="nil"/>
              <w:bottom w:val="single" w:sz="4" w:space="0" w:color="000000"/>
              <w:right w:val="single" w:sz="4" w:space="0" w:color="000000"/>
            </w:tcBorders>
            <w:noWrap/>
            <w:vAlign w:val="center"/>
            <w:hideMark/>
          </w:tcPr>
          <w:p w14:paraId="0B3F07F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4.53</w:t>
            </w:r>
          </w:p>
        </w:tc>
        <w:tc>
          <w:tcPr>
            <w:tcW w:w="547" w:type="pct"/>
            <w:tcBorders>
              <w:top w:val="nil"/>
              <w:left w:val="nil"/>
              <w:bottom w:val="single" w:sz="4" w:space="0" w:color="000000"/>
              <w:right w:val="single" w:sz="4" w:space="0" w:color="000000"/>
            </w:tcBorders>
            <w:noWrap/>
            <w:vAlign w:val="center"/>
            <w:hideMark/>
          </w:tcPr>
          <w:p w14:paraId="0C20C30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10.95 </w:t>
            </w:r>
          </w:p>
        </w:tc>
      </w:tr>
      <w:tr w:rsidR="00B42029" w:rsidRPr="00B42029" w14:paraId="3F36BE27"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5799B90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5" w:type="pct"/>
            <w:tcBorders>
              <w:top w:val="nil"/>
              <w:left w:val="nil"/>
              <w:bottom w:val="single" w:sz="4" w:space="0" w:color="000000"/>
              <w:right w:val="single" w:sz="4" w:space="0" w:color="000000"/>
            </w:tcBorders>
            <w:noWrap/>
            <w:vAlign w:val="center"/>
            <w:hideMark/>
          </w:tcPr>
          <w:p w14:paraId="3F5C468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520B05C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0BE9A7D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1DD8C94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20AFAC4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0E6FD0D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72ABADC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27225C11"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3229B89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Net Cash Flows</w:t>
            </w:r>
          </w:p>
        </w:tc>
        <w:tc>
          <w:tcPr>
            <w:tcW w:w="565" w:type="pct"/>
            <w:tcBorders>
              <w:top w:val="nil"/>
              <w:left w:val="nil"/>
              <w:bottom w:val="single" w:sz="4" w:space="0" w:color="000000"/>
              <w:right w:val="single" w:sz="4" w:space="0" w:color="000000"/>
            </w:tcBorders>
            <w:noWrap/>
            <w:vAlign w:val="center"/>
            <w:hideMark/>
          </w:tcPr>
          <w:p w14:paraId="059BF55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7" w:type="pct"/>
            <w:tcBorders>
              <w:top w:val="nil"/>
              <w:left w:val="nil"/>
              <w:bottom w:val="single" w:sz="4" w:space="0" w:color="000000"/>
              <w:right w:val="single" w:sz="4" w:space="0" w:color="000000"/>
            </w:tcBorders>
            <w:noWrap/>
            <w:vAlign w:val="center"/>
            <w:hideMark/>
          </w:tcPr>
          <w:p w14:paraId="4B20CF9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w:t>
            </w:r>
          </w:p>
        </w:tc>
        <w:tc>
          <w:tcPr>
            <w:tcW w:w="547" w:type="pct"/>
            <w:tcBorders>
              <w:top w:val="nil"/>
              <w:left w:val="nil"/>
              <w:bottom w:val="single" w:sz="4" w:space="0" w:color="000000"/>
              <w:right w:val="single" w:sz="4" w:space="0" w:color="000000"/>
            </w:tcBorders>
            <w:noWrap/>
            <w:vAlign w:val="center"/>
            <w:hideMark/>
          </w:tcPr>
          <w:p w14:paraId="44C7E54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10.00</w:t>
            </w:r>
          </w:p>
        </w:tc>
        <w:tc>
          <w:tcPr>
            <w:tcW w:w="547" w:type="pct"/>
            <w:tcBorders>
              <w:top w:val="nil"/>
              <w:left w:val="nil"/>
              <w:bottom w:val="single" w:sz="4" w:space="0" w:color="000000"/>
              <w:right w:val="single" w:sz="4" w:space="0" w:color="000000"/>
            </w:tcBorders>
            <w:noWrap/>
            <w:vAlign w:val="center"/>
            <w:hideMark/>
          </w:tcPr>
          <w:p w14:paraId="43B31148"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20.00</w:t>
            </w:r>
          </w:p>
        </w:tc>
        <w:tc>
          <w:tcPr>
            <w:tcW w:w="547" w:type="pct"/>
            <w:tcBorders>
              <w:top w:val="nil"/>
              <w:left w:val="nil"/>
              <w:bottom w:val="single" w:sz="4" w:space="0" w:color="000000"/>
              <w:right w:val="single" w:sz="4" w:space="0" w:color="000000"/>
            </w:tcBorders>
            <w:noWrap/>
            <w:vAlign w:val="center"/>
            <w:hideMark/>
          </w:tcPr>
          <w:p w14:paraId="47AADE1C"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25.00</w:t>
            </w:r>
          </w:p>
        </w:tc>
        <w:tc>
          <w:tcPr>
            <w:tcW w:w="547" w:type="pct"/>
            <w:tcBorders>
              <w:top w:val="nil"/>
              <w:left w:val="nil"/>
              <w:bottom w:val="single" w:sz="4" w:space="0" w:color="000000"/>
              <w:right w:val="single" w:sz="4" w:space="0" w:color="000000"/>
            </w:tcBorders>
            <w:noWrap/>
            <w:vAlign w:val="center"/>
            <w:hideMark/>
          </w:tcPr>
          <w:p w14:paraId="0117A1A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w:t>
            </w:r>
          </w:p>
        </w:tc>
        <w:tc>
          <w:tcPr>
            <w:tcW w:w="547" w:type="pct"/>
            <w:tcBorders>
              <w:top w:val="nil"/>
              <w:left w:val="nil"/>
              <w:bottom w:val="single" w:sz="4" w:space="0" w:color="000000"/>
              <w:right w:val="single" w:sz="4" w:space="0" w:color="000000"/>
            </w:tcBorders>
            <w:noWrap/>
            <w:vAlign w:val="center"/>
            <w:hideMark/>
          </w:tcPr>
          <w:p w14:paraId="02A24AF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15.00 </w:t>
            </w:r>
          </w:p>
        </w:tc>
      </w:tr>
      <w:tr w:rsidR="00B42029" w:rsidRPr="00B42029" w14:paraId="76DEBC8C" w14:textId="77777777" w:rsidTr="00B42029">
        <w:trPr>
          <w:trHeight w:val="324"/>
        </w:trPr>
        <w:tc>
          <w:tcPr>
            <w:tcW w:w="1150" w:type="pct"/>
            <w:tcBorders>
              <w:top w:val="nil"/>
              <w:left w:val="single" w:sz="4" w:space="0" w:color="000000"/>
              <w:bottom w:val="single" w:sz="4" w:space="0" w:color="000000"/>
              <w:right w:val="single" w:sz="4" w:space="0" w:color="000000"/>
            </w:tcBorders>
            <w:noWrap/>
            <w:vAlign w:val="center"/>
            <w:hideMark/>
          </w:tcPr>
          <w:p w14:paraId="6C32CCF4" w14:textId="77777777" w:rsidR="00B42029" w:rsidRPr="00B42029" w:rsidRDefault="00B42029" w:rsidP="00B42029">
            <w:pPr>
              <w:spacing w:line="240" w:lineRule="auto"/>
              <w:jc w:val="center"/>
              <w:rPr>
                <w:rFonts w:eastAsia="Times New Roman"/>
                <w:b/>
                <w:bCs/>
                <w:i/>
                <w:iCs/>
                <w:color w:val="000000"/>
                <w:sz w:val="24"/>
                <w:szCs w:val="24"/>
                <w:lang w:val="en-IN"/>
              </w:rPr>
            </w:pPr>
            <w:r w:rsidRPr="00B42029">
              <w:rPr>
                <w:rFonts w:eastAsia="Times New Roman"/>
                <w:b/>
                <w:bCs/>
                <w:i/>
                <w:iCs/>
                <w:color w:val="000000"/>
                <w:sz w:val="24"/>
                <w:szCs w:val="24"/>
                <w:lang w:val="en-IN"/>
              </w:rPr>
              <w:t>Discount Factor (DF) 8%</w:t>
            </w:r>
          </w:p>
        </w:tc>
        <w:tc>
          <w:tcPr>
            <w:tcW w:w="565" w:type="pct"/>
            <w:tcBorders>
              <w:top w:val="nil"/>
              <w:left w:val="nil"/>
              <w:bottom w:val="single" w:sz="4" w:space="0" w:color="000000"/>
              <w:right w:val="single" w:sz="4" w:space="0" w:color="000000"/>
            </w:tcBorders>
            <w:noWrap/>
            <w:vAlign w:val="center"/>
            <w:hideMark/>
          </w:tcPr>
          <w:p w14:paraId="73ED96D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w:t>
            </w:r>
          </w:p>
        </w:tc>
        <w:tc>
          <w:tcPr>
            <w:tcW w:w="547" w:type="pct"/>
            <w:tcBorders>
              <w:top w:val="nil"/>
              <w:left w:val="nil"/>
              <w:bottom w:val="single" w:sz="4" w:space="0" w:color="000000"/>
              <w:right w:val="single" w:sz="4" w:space="0" w:color="000000"/>
            </w:tcBorders>
            <w:noWrap/>
            <w:vAlign w:val="center"/>
            <w:hideMark/>
          </w:tcPr>
          <w:p w14:paraId="7CC1022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0.925</w:t>
            </w:r>
          </w:p>
        </w:tc>
        <w:tc>
          <w:tcPr>
            <w:tcW w:w="547" w:type="pct"/>
            <w:tcBorders>
              <w:top w:val="nil"/>
              <w:left w:val="nil"/>
              <w:bottom w:val="single" w:sz="4" w:space="0" w:color="000000"/>
              <w:right w:val="single" w:sz="4" w:space="0" w:color="000000"/>
            </w:tcBorders>
            <w:noWrap/>
            <w:vAlign w:val="center"/>
            <w:hideMark/>
          </w:tcPr>
          <w:p w14:paraId="137BC39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0.857</w:t>
            </w:r>
          </w:p>
        </w:tc>
        <w:tc>
          <w:tcPr>
            <w:tcW w:w="547" w:type="pct"/>
            <w:tcBorders>
              <w:top w:val="nil"/>
              <w:left w:val="nil"/>
              <w:bottom w:val="single" w:sz="4" w:space="0" w:color="000000"/>
              <w:right w:val="single" w:sz="4" w:space="0" w:color="000000"/>
            </w:tcBorders>
            <w:noWrap/>
            <w:vAlign w:val="center"/>
            <w:hideMark/>
          </w:tcPr>
          <w:p w14:paraId="0E0A7D3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0.793</w:t>
            </w:r>
          </w:p>
        </w:tc>
        <w:tc>
          <w:tcPr>
            <w:tcW w:w="547" w:type="pct"/>
            <w:tcBorders>
              <w:top w:val="nil"/>
              <w:left w:val="nil"/>
              <w:bottom w:val="single" w:sz="4" w:space="0" w:color="000000"/>
              <w:right w:val="single" w:sz="4" w:space="0" w:color="000000"/>
            </w:tcBorders>
            <w:noWrap/>
            <w:vAlign w:val="center"/>
            <w:hideMark/>
          </w:tcPr>
          <w:p w14:paraId="4371DA1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0.735</w:t>
            </w:r>
          </w:p>
        </w:tc>
        <w:tc>
          <w:tcPr>
            <w:tcW w:w="547" w:type="pct"/>
            <w:tcBorders>
              <w:top w:val="nil"/>
              <w:left w:val="nil"/>
              <w:bottom w:val="single" w:sz="4" w:space="0" w:color="000000"/>
              <w:right w:val="single" w:sz="4" w:space="0" w:color="000000"/>
            </w:tcBorders>
            <w:noWrap/>
            <w:vAlign w:val="center"/>
            <w:hideMark/>
          </w:tcPr>
          <w:p w14:paraId="01C909B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0.680</w:t>
            </w:r>
          </w:p>
        </w:tc>
        <w:tc>
          <w:tcPr>
            <w:tcW w:w="547" w:type="pct"/>
            <w:tcBorders>
              <w:top w:val="nil"/>
              <w:left w:val="nil"/>
              <w:bottom w:val="single" w:sz="4" w:space="0" w:color="000000"/>
              <w:right w:val="single" w:sz="4" w:space="0" w:color="000000"/>
            </w:tcBorders>
            <w:noWrap/>
            <w:vAlign w:val="center"/>
            <w:hideMark/>
          </w:tcPr>
          <w:p w14:paraId="18866509"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3BB9DC43"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59F43321"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Present Value</w:t>
            </w:r>
          </w:p>
        </w:tc>
        <w:tc>
          <w:tcPr>
            <w:tcW w:w="565" w:type="pct"/>
            <w:tcBorders>
              <w:top w:val="nil"/>
              <w:left w:val="nil"/>
              <w:bottom w:val="single" w:sz="4" w:space="0" w:color="000000"/>
              <w:right w:val="single" w:sz="4" w:space="0" w:color="000000"/>
            </w:tcBorders>
            <w:noWrap/>
            <w:vAlign w:val="center"/>
            <w:hideMark/>
          </w:tcPr>
          <w:p w14:paraId="085A64F7"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(50.00)</w:t>
            </w:r>
          </w:p>
        </w:tc>
        <w:tc>
          <w:tcPr>
            <w:tcW w:w="547" w:type="pct"/>
            <w:tcBorders>
              <w:top w:val="nil"/>
              <w:left w:val="nil"/>
              <w:bottom w:val="single" w:sz="4" w:space="0" w:color="000000"/>
              <w:right w:val="single" w:sz="4" w:space="0" w:color="000000"/>
            </w:tcBorders>
            <w:noWrap/>
            <w:vAlign w:val="center"/>
            <w:hideMark/>
          </w:tcPr>
          <w:p w14:paraId="0EE00165"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4.63</w:t>
            </w:r>
          </w:p>
        </w:tc>
        <w:tc>
          <w:tcPr>
            <w:tcW w:w="547" w:type="pct"/>
            <w:tcBorders>
              <w:top w:val="nil"/>
              <w:left w:val="nil"/>
              <w:bottom w:val="single" w:sz="4" w:space="0" w:color="000000"/>
              <w:right w:val="single" w:sz="4" w:space="0" w:color="000000"/>
            </w:tcBorders>
            <w:noWrap/>
            <w:vAlign w:val="center"/>
            <w:hideMark/>
          </w:tcPr>
          <w:p w14:paraId="42A232DE"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8.57</w:t>
            </w:r>
          </w:p>
        </w:tc>
        <w:tc>
          <w:tcPr>
            <w:tcW w:w="547" w:type="pct"/>
            <w:tcBorders>
              <w:top w:val="nil"/>
              <w:left w:val="nil"/>
              <w:bottom w:val="single" w:sz="4" w:space="0" w:color="000000"/>
              <w:right w:val="single" w:sz="4" w:space="0" w:color="000000"/>
            </w:tcBorders>
            <w:noWrap/>
            <w:vAlign w:val="center"/>
            <w:hideMark/>
          </w:tcPr>
          <w:p w14:paraId="63864ACF"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15.86</w:t>
            </w:r>
          </w:p>
        </w:tc>
        <w:tc>
          <w:tcPr>
            <w:tcW w:w="547" w:type="pct"/>
            <w:tcBorders>
              <w:top w:val="nil"/>
              <w:left w:val="nil"/>
              <w:bottom w:val="single" w:sz="4" w:space="0" w:color="000000"/>
              <w:right w:val="single" w:sz="4" w:space="0" w:color="000000"/>
            </w:tcBorders>
            <w:noWrap/>
            <w:vAlign w:val="center"/>
            <w:hideMark/>
          </w:tcPr>
          <w:p w14:paraId="31F0D11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18.38</w:t>
            </w:r>
          </w:p>
        </w:tc>
        <w:tc>
          <w:tcPr>
            <w:tcW w:w="547" w:type="pct"/>
            <w:tcBorders>
              <w:top w:val="nil"/>
              <w:left w:val="nil"/>
              <w:bottom w:val="single" w:sz="4" w:space="0" w:color="000000"/>
              <w:right w:val="single" w:sz="4" w:space="0" w:color="000000"/>
            </w:tcBorders>
            <w:noWrap/>
            <w:vAlign w:val="center"/>
            <w:hideMark/>
          </w:tcPr>
          <w:p w14:paraId="7E9192A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3.40</w:t>
            </w:r>
          </w:p>
        </w:tc>
        <w:tc>
          <w:tcPr>
            <w:tcW w:w="547" w:type="pct"/>
            <w:tcBorders>
              <w:top w:val="nil"/>
              <w:left w:val="nil"/>
              <w:bottom w:val="single" w:sz="4" w:space="0" w:color="000000"/>
              <w:right w:val="single" w:sz="4" w:space="0" w:color="000000"/>
            </w:tcBorders>
            <w:noWrap/>
            <w:vAlign w:val="center"/>
            <w:hideMark/>
          </w:tcPr>
          <w:p w14:paraId="31B3045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xml:space="preserve"> £          0.83 </w:t>
            </w:r>
          </w:p>
        </w:tc>
      </w:tr>
      <w:tr w:rsidR="00B42029" w:rsidRPr="00B42029" w14:paraId="5C2E03A8" w14:textId="77777777" w:rsidTr="00B42029">
        <w:trPr>
          <w:trHeight w:val="312"/>
        </w:trPr>
        <w:tc>
          <w:tcPr>
            <w:tcW w:w="1150" w:type="pct"/>
            <w:tcBorders>
              <w:top w:val="nil"/>
              <w:left w:val="single" w:sz="4" w:space="0" w:color="000000"/>
              <w:bottom w:val="single" w:sz="4" w:space="0" w:color="000000"/>
              <w:right w:val="single" w:sz="4" w:space="0" w:color="000000"/>
            </w:tcBorders>
            <w:noWrap/>
            <w:vAlign w:val="center"/>
            <w:hideMark/>
          </w:tcPr>
          <w:p w14:paraId="6443D6B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65" w:type="pct"/>
            <w:tcBorders>
              <w:top w:val="nil"/>
              <w:left w:val="nil"/>
              <w:bottom w:val="single" w:sz="4" w:space="0" w:color="000000"/>
              <w:right w:val="single" w:sz="4" w:space="0" w:color="000000"/>
            </w:tcBorders>
            <w:noWrap/>
            <w:vAlign w:val="center"/>
            <w:hideMark/>
          </w:tcPr>
          <w:p w14:paraId="19905B22"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5204F37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22FD7E24"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71DCF75A"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450A3473"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338B0A40"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547" w:type="pct"/>
            <w:tcBorders>
              <w:top w:val="nil"/>
              <w:left w:val="nil"/>
              <w:bottom w:val="single" w:sz="4" w:space="0" w:color="000000"/>
              <w:right w:val="single" w:sz="4" w:space="0" w:color="000000"/>
            </w:tcBorders>
            <w:noWrap/>
            <w:vAlign w:val="center"/>
            <w:hideMark/>
          </w:tcPr>
          <w:p w14:paraId="7815175B"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r>
      <w:tr w:rsidR="00B42029" w:rsidRPr="00B42029" w14:paraId="22AD838D" w14:textId="77777777" w:rsidTr="00B42029">
        <w:trPr>
          <w:trHeight w:val="585"/>
        </w:trPr>
        <w:tc>
          <w:tcPr>
            <w:tcW w:w="1150" w:type="pct"/>
            <w:tcBorders>
              <w:top w:val="nil"/>
              <w:left w:val="single" w:sz="4" w:space="0" w:color="000000"/>
              <w:bottom w:val="single" w:sz="4" w:space="0" w:color="000000"/>
              <w:right w:val="single" w:sz="4" w:space="0" w:color="000000"/>
            </w:tcBorders>
            <w:noWrap/>
            <w:vAlign w:val="center"/>
            <w:hideMark/>
          </w:tcPr>
          <w:p w14:paraId="6C4F18C6" w14:textId="77777777"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 </w:t>
            </w:r>
          </w:p>
        </w:tc>
        <w:tc>
          <w:tcPr>
            <w:tcW w:w="3850" w:type="pct"/>
            <w:gridSpan w:val="7"/>
            <w:tcBorders>
              <w:top w:val="single" w:sz="4" w:space="0" w:color="000000"/>
              <w:left w:val="nil"/>
              <w:bottom w:val="single" w:sz="4" w:space="0" w:color="000000"/>
              <w:right w:val="single" w:sz="4" w:space="0" w:color="000000"/>
            </w:tcBorders>
            <w:vAlign w:val="center"/>
            <w:hideMark/>
          </w:tcPr>
          <w:p w14:paraId="31764E7B"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Low % + [(Positive NPV / Total Range in NPVs) * (High % - Low %)]</w:t>
            </w:r>
          </w:p>
        </w:tc>
      </w:tr>
      <w:tr w:rsidR="00B42029" w:rsidRPr="00B42029" w14:paraId="1C6EA722" w14:textId="77777777" w:rsidTr="00B42029">
        <w:trPr>
          <w:trHeight w:val="540"/>
        </w:trPr>
        <w:tc>
          <w:tcPr>
            <w:tcW w:w="1150" w:type="pct"/>
            <w:tcBorders>
              <w:top w:val="nil"/>
              <w:left w:val="single" w:sz="4" w:space="0" w:color="000000"/>
              <w:bottom w:val="single" w:sz="4" w:space="0" w:color="000000"/>
              <w:right w:val="single" w:sz="4" w:space="0" w:color="000000"/>
            </w:tcBorders>
            <w:noWrap/>
            <w:vAlign w:val="center"/>
            <w:hideMark/>
          </w:tcPr>
          <w:p w14:paraId="759C7AE8"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Internal Rate of Return</w:t>
            </w:r>
          </w:p>
        </w:tc>
        <w:tc>
          <w:tcPr>
            <w:tcW w:w="565" w:type="pct"/>
            <w:tcBorders>
              <w:top w:val="nil"/>
              <w:left w:val="nil"/>
              <w:bottom w:val="single" w:sz="4" w:space="0" w:color="000000"/>
              <w:right w:val="single" w:sz="4" w:space="0" w:color="000000"/>
            </w:tcBorders>
            <w:noWrap/>
            <w:vAlign w:val="center"/>
            <w:hideMark/>
          </w:tcPr>
          <w:p w14:paraId="0F240973" w14:textId="77777777" w:rsidR="00B42029" w:rsidRPr="00B42029" w:rsidRDefault="00B42029" w:rsidP="00B42029">
            <w:pPr>
              <w:spacing w:line="240" w:lineRule="auto"/>
              <w:jc w:val="center"/>
              <w:rPr>
                <w:rFonts w:eastAsia="Times New Roman"/>
                <w:b/>
                <w:bCs/>
                <w:color w:val="000000"/>
                <w:sz w:val="24"/>
                <w:szCs w:val="24"/>
                <w:lang w:val="en-IN"/>
              </w:rPr>
            </w:pPr>
            <w:r w:rsidRPr="00B42029">
              <w:rPr>
                <w:rFonts w:eastAsia="Times New Roman"/>
                <w:b/>
                <w:bCs/>
                <w:color w:val="000000"/>
                <w:sz w:val="24"/>
                <w:szCs w:val="24"/>
                <w:lang w:val="en-IN"/>
              </w:rPr>
              <w:t>7.58%</w:t>
            </w:r>
          </w:p>
        </w:tc>
        <w:tc>
          <w:tcPr>
            <w:tcW w:w="3284" w:type="pct"/>
            <w:gridSpan w:val="6"/>
            <w:tcBorders>
              <w:top w:val="single" w:sz="4" w:space="0" w:color="000000"/>
              <w:left w:val="nil"/>
              <w:bottom w:val="single" w:sz="4" w:space="0" w:color="000000"/>
              <w:right w:val="single" w:sz="4" w:space="0" w:color="000000"/>
            </w:tcBorders>
            <w:vAlign w:val="center"/>
            <w:hideMark/>
          </w:tcPr>
          <w:p w14:paraId="748B3B4B" w14:textId="2336C4A2" w:rsidR="00B42029" w:rsidRPr="00B42029" w:rsidRDefault="00B42029" w:rsidP="00B42029">
            <w:pPr>
              <w:spacing w:line="240" w:lineRule="auto"/>
              <w:jc w:val="center"/>
              <w:rPr>
                <w:rFonts w:eastAsia="Times New Roman"/>
                <w:color w:val="000000"/>
                <w:sz w:val="24"/>
                <w:szCs w:val="24"/>
                <w:lang w:val="en-IN"/>
              </w:rPr>
            </w:pPr>
            <w:r w:rsidRPr="00B42029">
              <w:rPr>
                <w:rFonts w:eastAsia="Times New Roman"/>
                <w:color w:val="000000"/>
                <w:sz w:val="24"/>
                <w:szCs w:val="24"/>
                <w:lang w:val="en-IN"/>
              </w:rPr>
              <w:t>2% + (10.95 / (10.95 + 0.83)) * (8% - 2%)</w:t>
            </w:r>
          </w:p>
        </w:tc>
      </w:tr>
    </w:tbl>
    <w:p w14:paraId="3064A258" w14:textId="77777777" w:rsidR="00B42029" w:rsidRPr="00B42029" w:rsidRDefault="00B42029" w:rsidP="00B8765D">
      <w:pPr>
        <w:spacing w:before="240" w:after="240" w:line="360" w:lineRule="auto"/>
        <w:jc w:val="both"/>
        <w:rPr>
          <w:sz w:val="24"/>
          <w:szCs w:val="24"/>
          <w:lang w:val="en-IN"/>
        </w:rPr>
      </w:pPr>
    </w:p>
    <w:p w14:paraId="78CF04EA" w14:textId="77777777" w:rsidR="00497211" w:rsidRPr="00B42029" w:rsidRDefault="00497211">
      <w:pPr>
        <w:spacing w:before="240" w:after="240" w:line="360" w:lineRule="auto"/>
        <w:jc w:val="both"/>
        <w:rPr>
          <w:sz w:val="24"/>
          <w:szCs w:val="24"/>
          <w:lang w:val="en-IN"/>
        </w:rPr>
      </w:pPr>
    </w:p>
    <w:p w14:paraId="75A55008" w14:textId="762B20FC" w:rsidR="00497211" w:rsidRPr="00B42029" w:rsidRDefault="00497211" w:rsidP="00B42029">
      <w:bookmarkStart w:id="56" w:name="_2pml8fkdii5m" w:colFirst="0" w:colLast="0"/>
      <w:bookmarkStart w:id="57" w:name="_sy9pkrpcov32" w:colFirst="0" w:colLast="0"/>
      <w:bookmarkEnd w:id="56"/>
      <w:bookmarkEnd w:id="57"/>
    </w:p>
    <w:sectPr w:rsidR="00497211" w:rsidRPr="00B42029">
      <w:footerReference w:type="default" r:id="rId4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B398F" w14:textId="77777777" w:rsidR="00ED5807" w:rsidRDefault="00ED5807" w:rsidP="00BA610D">
      <w:pPr>
        <w:spacing w:line="240" w:lineRule="auto"/>
      </w:pPr>
      <w:r>
        <w:separator/>
      </w:r>
    </w:p>
  </w:endnote>
  <w:endnote w:type="continuationSeparator" w:id="0">
    <w:p w14:paraId="23303C76" w14:textId="77777777" w:rsidR="00ED5807" w:rsidRDefault="00ED5807" w:rsidP="00BA61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8EE1080-0335-4535-B0F3-482CBC25CF71}"/>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FEF1F75E-EBB7-454C-BCF9-08C261165A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93738"/>
      <w:docPartObj>
        <w:docPartGallery w:val="Page Numbers (Bottom of Page)"/>
        <w:docPartUnique/>
      </w:docPartObj>
    </w:sdtPr>
    <w:sdtEndPr>
      <w:rPr>
        <w:noProof/>
      </w:rPr>
    </w:sdtEndPr>
    <w:sdtContent>
      <w:p w14:paraId="45B5FC71" w14:textId="7AED4884" w:rsidR="00BA610D" w:rsidRDefault="00BA61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FC966B" w14:textId="77777777" w:rsidR="00BA610D" w:rsidRDefault="00BA6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1D5C3" w14:textId="77777777" w:rsidR="00ED5807" w:rsidRDefault="00ED5807" w:rsidP="00BA610D">
      <w:pPr>
        <w:spacing w:line="240" w:lineRule="auto"/>
      </w:pPr>
      <w:r>
        <w:separator/>
      </w:r>
    </w:p>
  </w:footnote>
  <w:footnote w:type="continuationSeparator" w:id="0">
    <w:p w14:paraId="6F26E5FD" w14:textId="77777777" w:rsidR="00ED5807" w:rsidRDefault="00ED5807" w:rsidP="00BA61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11"/>
    <w:rsid w:val="000F2211"/>
    <w:rsid w:val="00120B8E"/>
    <w:rsid w:val="002645FF"/>
    <w:rsid w:val="00284315"/>
    <w:rsid w:val="002876F8"/>
    <w:rsid w:val="00330EE5"/>
    <w:rsid w:val="003A11DB"/>
    <w:rsid w:val="00497211"/>
    <w:rsid w:val="004D4570"/>
    <w:rsid w:val="00504E0D"/>
    <w:rsid w:val="005D38A7"/>
    <w:rsid w:val="007D0083"/>
    <w:rsid w:val="00AE213D"/>
    <w:rsid w:val="00B40F78"/>
    <w:rsid w:val="00B42029"/>
    <w:rsid w:val="00B8765D"/>
    <w:rsid w:val="00BA610D"/>
    <w:rsid w:val="00C5715E"/>
    <w:rsid w:val="00C71DAD"/>
    <w:rsid w:val="00D60FDF"/>
    <w:rsid w:val="00DE4644"/>
    <w:rsid w:val="00E3633D"/>
    <w:rsid w:val="00E833C2"/>
    <w:rsid w:val="00ED5807"/>
    <w:rsid w:val="00FB48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B9750"/>
  <w15:docId w15:val="{3CE16947-97D2-4757-B5D0-B857BE1C3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5715E"/>
    <w:pPr>
      <w:spacing w:before="240" w:after="240" w:line="360" w:lineRule="auto"/>
      <w:jc w:val="both"/>
      <w:outlineLvl w:val="0"/>
    </w:pPr>
    <w:rPr>
      <w:b/>
      <w:bCs/>
      <w:sz w:val="28"/>
      <w:szCs w:val="28"/>
    </w:rPr>
  </w:style>
  <w:style w:type="paragraph" w:styleId="Heading2">
    <w:name w:val="heading 2"/>
    <w:basedOn w:val="Normal"/>
    <w:next w:val="Normal"/>
    <w:uiPriority w:val="9"/>
    <w:unhideWhenUsed/>
    <w:qFormat/>
    <w:rsid w:val="00C5715E"/>
    <w:pPr>
      <w:spacing w:before="360" w:after="80" w:line="360" w:lineRule="auto"/>
      <w:jc w:val="both"/>
      <w:outlineLvl w:val="1"/>
    </w:pPr>
    <w:rPr>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character" w:styleId="Hyperlink">
    <w:name w:val="Hyperlink"/>
    <w:basedOn w:val="DefaultParagraphFont"/>
    <w:uiPriority w:val="99"/>
    <w:unhideWhenUsed/>
    <w:rsid w:val="00C5715E"/>
    <w:rPr>
      <w:color w:val="0000FF" w:themeColor="hyperlink"/>
      <w:u w:val="single"/>
    </w:rPr>
  </w:style>
  <w:style w:type="character" w:styleId="UnresolvedMention">
    <w:name w:val="Unresolved Mention"/>
    <w:basedOn w:val="DefaultParagraphFont"/>
    <w:uiPriority w:val="99"/>
    <w:semiHidden/>
    <w:unhideWhenUsed/>
    <w:rsid w:val="00C5715E"/>
    <w:rPr>
      <w:color w:val="605E5C"/>
      <w:shd w:val="clear" w:color="auto" w:fill="E1DFDD"/>
    </w:rPr>
  </w:style>
  <w:style w:type="paragraph" w:styleId="TOCHeading">
    <w:name w:val="TOC Heading"/>
    <w:basedOn w:val="Heading1"/>
    <w:next w:val="Normal"/>
    <w:uiPriority w:val="39"/>
    <w:unhideWhenUsed/>
    <w:qFormat/>
    <w:rsid w:val="00330EE5"/>
    <w:pPr>
      <w:keepNext/>
      <w:keepLines/>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30EE5"/>
    <w:pPr>
      <w:spacing w:after="100"/>
    </w:pPr>
  </w:style>
  <w:style w:type="paragraph" w:styleId="TOC2">
    <w:name w:val="toc 2"/>
    <w:basedOn w:val="Normal"/>
    <w:next w:val="Normal"/>
    <w:autoRedefine/>
    <w:uiPriority w:val="39"/>
    <w:unhideWhenUsed/>
    <w:rsid w:val="00330EE5"/>
    <w:pPr>
      <w:spacing w:after="100"/>
      <w:ind w:left="220"/>
    </w:pPr>
  </w:style>
  <w:style w:type="paragraph" w:styleId="Header">
    <w:name w:val="header"/>
    <w:basedOn w:val="Normal"/>
    <w:link w:val="HeaderChar"/>
    <w:uiPriority w:val="99"/>
    <w:unhideWhenUsed/>
    <w:rsid w:val="00BA610D"/>
    <w:pPr>
      <w:tabs>
        <w:tab w:val="center" w:pos="4513"/>
        <w:tab w:val="right" w:pos="9026"/>
      </w:tabs>
      <w:spacing w:line="240" w:lineRule="auto"/>
    </w:pPr>
  </w:style>
  <w:style w:type="character" w:customStyle="1" w:styleId="HeaderChar">
    <w:name w:val="Header Char"/>
    <w:basedOn w:val="DefaultParagraphFont"/>
    <w:link w:val="Header"/>
    <w:uiPriority w:val="99"/>
    <w:rsid w:val="00BA610D"/>
  </w:style>
  <w:style w:type="paragraph" w:styleId="Footer">
    <w:name w:val="footer"/>
    <w:basedOn w:val="Normal"/>
    <w:link w:val="FooterChar"/>
    <w:uiPriority w:val="99"/>
    <w:unhideWhenUsed/>
    <w:rsid w:val="00BA610D"/>
    <w:pPr>
      <w:tabs>
        <w:tab w:val="center" w:pos="4513"/>
        <w:tab w:val="right" w:pos="9026"/>
      </w:tabs>
      <w:spacing w:line="240" w:lineRule="auto"/>
    </w:pPr>
  </w:style>
  <w:style w:type="character" w:customStyle="1" w:styleId="FooterChar">
    <w:name w:val="Footer Char"/>
    <w:basedOn w:val="DefaultParagraphFont"/>
    <w:link w:val="Footer"/>
    <w:uiPriority w:val="99"/>
    <w:rsid w:val="00BA6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doi.org/10.1016/j.pirs.2025.100101" TargetMode="External"/><Relationship Id="rId39" Type="http://schemas.openxmlformats.org/officeDocument/2006/relationships/hyperlink" Target="https://doi.org/10.3390/tourhosp6020085" TargetMode="External"/><Relationship Id="rId21" Type="http://schemas.openxmlformats.org/officeDocument/2006/relationships/hyperlink" Target="https://ssrn.com/abstract=4125746" TargetMode="External"/><Relationship Id="rId34" Type="http://schemas.openxmlformats.org/officeDocument/2006/relationships/hyperlink" Target="https://365financialanalyst.com/knowledge-hub/corporate-finance/what-is-profitability-index/" TargetMode="External"/><Relationship Id="rId42" Type="http://schemas.openxmlformats.org/officeDocument/2006/relationships/hyperlink" Target="https://dx.doi.org/10.2139/ssrn.5240458" TargetMode="External"/><Relationship Id="rId47" Type="http://schemas.openxmlformats.org/officeDocument/2006/relationships/hyperlink" Target="https://finance.yahoo.com/quote/SHOT.ST/balance-sheet/"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7.xml"/><Relationship Id="rId29" Type="http://schemas.openxmlformats.org/officeDocument/2006/relationships/hyperlink" Target="https://pdfs.semanticscholar.org/b6db/13d72f9e39e0d2030f6d9613c7165cb8adc4.pdf" TargetMode="External"/><Relationship Id="rId11" Type="http://schemas.openxmlformats.org/officeDocument/2006/relationships/chart" Target="charts/chart2.xml"/><Relationship Id="rId24" Type="http://schemas.openxmlformats.org/officeDocument/2006/relationships/hyperlink" Target="https://dx.doi.org/10.2139/ssrn.5119836" TargetMode="External"/><Relationship Id="rId32" Type="http://schemas.openxmlformats.org/officeDocument/2006/relationships/hyperlink" Target="https://doi.org/10.32015/JIBM.2025.17.1.1" TargetMode="External"/><Relationship Id="rId37" Type="http://schemas.openxmlformats.org/officeDocument/2006/relationships/hyperlink" Target="https://doi.org/10.1080/1331677X.2023.2203208" TargetMode="External"/><Relationship Id="rId40" Type="http://schemas.openxmlformats.org/officeDocument/2006/relationships/hyperlink" Target="https://doi.org/10.35912/ijfam.v4i1.852" TargetMode="External"/><Relationship Id="rId45" Type="http://schemas.openxmlformats.org/officeDocument/2006/relationships/hyperlink" Target="https://dx.doi.org/10.2139/ssrn.4044719" TargetMode="External"/><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link.springer.com/article/10.1007/s11846-026-01043-8" TargetMode="External"/><Relationship Id="rId28" Type="http://schemas.openxmlformats.org/officeDocument/2006/relationships/hyperlink" Target="https://link.springer.com/article/10.1007/s11846-024-00830-5" TargetMode="External"/><Relationship Id="rId36" Type="http://schemas.openxmlformats.org/officeDocument/2006/relationships/hyperlink" Target="https://doi.org/10.3390/risks10030063" TargetMode="External"/><Relationship Id="rId49"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yperlink" Target="https://link.springer.com/article/10.1007/s10668-024-05570-w" TargetMode="External"/><Relationship Id="rId44" Type="http://schemas.openxmlformats.org/officeDocument/2006/relationships/hyperlink" Target="https://doi.org/10.3390/risks1304006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5.xml"/><Relationship Id="rId22" Type="http://schemas.openxmlformats.org/officeDocument/2006/relationships/hyperlink" Target="https://doi.org/10.1108/BFJ-05-2024-0428" TargetMode="External"/><Relationship Id="rId27" Type="http://schemas.openxmlformats.org/officeDocument/2006/relationships/hyperlink" Target="https://doi.org/10.1002/joom.1244" TargetMode="External"/><Relationship Id="rId30" Type="http://schemas.openxmlformats.org/officeDocument/2006/relationships/hyperlink" Target="https://doi.org/10.1016/j.chbah.2025.100142" TargetMode="External"/><Relationship Id="rId35" Type="http://schemas.openxmlformats.org/officeDocument/2006/relationships/hyperlink" Target="https://doi.org/10.2991/978-94-6463-811-0_106" TargetMode="External"/><Relationship Id="rId43" Type="http://schemas.openxmlformats.org/officeDocument/2006/relationships/hyperlink" Target="https://www.scandichotelsgroup.com/our-company/"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doi.org/10.1093/rfs/hhaf113" TargetMode="External"/><Relationship Id="rId33" Type="http://schemas.openxmlformats.org/officeDocument/2006/relationships/hyperlink" Target="https://doi.org/10.1108/AJEB-03-2022-0033" TargetMode="External"/><Relationship Id="rId38" Type="http://schemas.openxmlformats.org/officeDocument/2006/relationships/hyperlink" Target="https://www.preprints.org/manuscript/202601.1365" TargetMode="External"/><Relationship Id="rId46" Type="http://schemas.openxmlformats.org/officeDocument/2006/relationships/hyperlink" Target="https://doi.org/10.1287/mnsc.2024.08465" TargetMode="External"/><Relationship Id="rId20" Type="http://schemas.openxmlformats.org/officeDocument/2006/relationships/hyperlink" Target="https://www.accaglobal.com/gb/en/student/exam-support-resources/foundation-level-study-resources/ffm/ffm-technical-articles/rate-return.html" TargetMode="External"/><Relationship Id="rId41" Type="http://schemas.openxmlformats.org/officeDocument/2006/relationships/hyperlink" Target="https://papers.ssrn.com/sol3/papers.cfm?abstract_id=5076896"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Graphs!$A$3</c:f>
              <c:strCache>
                <c:ptCount val="1"/>
                <c:pt idx="0">
                  <c:v>Net Profit Margin</c:v>
                </c:pt>
              </c:strCache>
            </c:strRef>
          </c:tx>
          <c:spPr>
            <a:pattFill prst="ltDnDiag">
              <a:fgClr>
                <a:schemeClr val="accent6"/>
              </a:fgClr>
              <a:bgClr>
                <a:schemeClr val="accent6">
                  <a:lumMod val="20000"/>
                  <a:lumOff val="80000"/>
                </a:schemeClr>
              </a:bgClr>
            </a:pattFill>
            <a:ln>
              <a:solidFill>
                <a:schemeClr val="accent6"/>
              </a:solidFill>
            </a:ln>
            <a:effectLst/>
            <a:scene3d>
              <a:camera prst="orthographicFront"/>
              <a:lightRig rig="threePt" dir="t"/>
            </a:scene3d>
            <a:sp3d>
              <a:bevelT prst="angle"/>
              <a:contourClr>
                <a:schemeClr val="accent6"/>
              </a:contourClr>
            </a:sp3d>
          </c:spPr>
          <c:invertIfNegative val="0"/>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Graphs!$B$2:$F$2</c:f>
              <c:numCache>
                <c:formatCode>General</c:formatCode>
                <c:ptCount val="5"/>
                <c:pt idx="0">
                  <c:v>2021</c:v>
                </c:pt>
                <c:pt idx="1">
                  <c:v>2022</c:v>
                </c:pt>
                <c:pt idx="2">
                  <c:v>2023</c:v>
                </c:pt>
                <c:pt idx="3">
                  <c:v>2024</c:v>
                </c:pt>
                <c:pt idx="4">
                  <c:v>2025</c:v>
                </c:pt>
              </c:numCache>
            </c:numRef>
          </c:cat>
          <c:val>
            <c:numRef>
              <c:f>Graphs!$B$3:$F$3</c:f>
              <c:numCache>
                <c:formatCode>0.00%</c:formatCode>
                <c:ptCount val="5"/>
                <c:pt idx="0">
                  <c:v>0.15853899308983219</c:v>
                </c:pt>
                <c:pt idx="1">
                  <c:v>9.4005095408932565E-2</c:v>
                </c:pt>
                <c:pt idx="2">
                  <c:v>2.5916647688453656E-2</c:v>
                </c:pt>
                <c:pt idx="3">
                  <c:v>2.9691698164761603E-2</c:v>
                </c:pt>
                <c:pt idx="4">
                  <c:v>2.7995872403427699E-2</c:v>
                </c:pt>
              </c:numCache>
            </c:numRef>
          </c:val>
          <c:extLst>
            <c:ext xmlns:c16="http://schemas.microsoft.com/office/drawing/2014/chart" uri="{C3380CC4-5D6E-409C-BE32-E72D297353CC}">
              <c16:uniqueId val="{00000000-46E9-49D4-AAB4-064AF9BECAB9}"/>
            </c:ext>
          </c:extLst>
        </c:ser>
        <c:dLbls>
          <c:showLegendKey val="0"/>
          <c:showVal val="1"/>
          <c:showCatName val="0"/>
          <c:showSerName val="0"/>
          <c:showPercent val="0"/>
          <c:showBubbleSize val="0"/>
        </c:dLbls>
        <c:gapWidth val="150"/>
        <c:shape val="box"/>
        <c:axId val="325443136"/>
        <c:axId val="325455104"/>
        <c:axId val="326271056"/>
      </c:bar3DChart>
      <c:catAx>
        <c:axId val="325443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5455104"/>
        <c:crosses val="autoZero"/>
        <c:auto val="1"/>
        <c:lblAlgn val="ctr"/>
        <c:lblOffset val="100"/>
        <c:noMultiLvlLbl val="0"/>
      </c:catAx>
      <c:valAx>
        <c:axId val="325455104"/>
        <c:scaling>
          <c:orientation val="minMax"/>
        </c:scaling>
        <c:delete val="0"/>
        <c:axPos val="l"/>
        <c:majorGridlines>
          <c:spPr>
            <a:ln>
              <a:solidFill>
                <a:schemeClr val="tx1">
                  <a:lumMod val="15000"/>
                  <a:lumOff val="85000"/>
                </a:schemeClr>
              </a:solidFill>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5443136"/>
        <c:crosses val="autoZero"/>
        <c:crossBetween val="between"/>
      </c:valAx>
      <c:serAx>
        <c:axId val="326271056"/>
        <c:scaling>
          <c:orientation val="minMax"/>
        </c:scaling>
        <c:delete val="1"/>
        <c:axPos val="b"/>
        <c:majorTickMark val="none"/>
        <c:minorTickMark val="none"/>
        <c:tickLblPos val="nextTo"/>
        <c:crossAx val="325455104"/>
        <c:crosses val="autoZero"/>
      </c:ser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accent1">
                    <a:lumMod val="50000"/>
                  </a:schemeClr>
                </a:solidFill>
                <a:latin typeface="+mn-lt"/>
                <a:ea typeface="+mn-ea"/>
                <a:cs typeface="+mn-cs"/>
              </a:defRPr>
            </a:pPr>
            <a:endParaRPr lang="en-US"/>
          </a:p>
        </c:txPr>
      </c:dTable>
      <c:spPr>
        <a:noFill/>
        <a:ln>
          <a:noFill/>
        </a:ln>
        <a:effectLst>
          <a:glow rad="101600">
            <a:schemeClr val="accent6">
              <a:satMod val="175000"/>
              <a:alpha val="40000"/>
            </a:schemeClr>
          </a:glow>
          <a:outerShdw blurRad="50800" dist="38100" dir="2700000" algn="tl" rotWithShape="0">
            <a:prstClr val="black">
              <a:alpha val="40000"/>
            </a:prst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outerShdw blurRad="50800" dist="38100" dir="2700000" sx="101000" sy="101000" algn="tl" rotWithShape="0">
        <a:prstClr val="black">
          <a:alpha val="40000"/>
        </a:prstClr>
      </a:outerShd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accent1">
                  <a:lumMod val="50000"/>
                </a:schemeClr>
              </a:solidFill>
              <a:latin typeface="Agency FB" panose="020B0503020202020204" pitchFamily="34" charset="0"/>
              <a:ea typeface="+mn-ea"/>
              <a:cs typeface="+mn-cs"/>
            </a:defRPr>
          </a:pPr>
          <a:endParaRPr lang="en-US"/>
        </a:p>
      </c:txPr>
    </c:title>
    <c:autoTitleDeleted val="0"/>
    <c:plotArea>
      <c:layout/>
      <c:pieChart>
        <c:varyColors val="1"/>
        <c:ser>
          <c:idx val="0"/>
          <c:order val="0"/>
          <c:tx>
            <c:strRef>
              <c:f>Graphs!$A$6</c:f>
              <c:strCache>
                <c:ptCount val="1"/>
                <c:pt idx="0">
                  <c:v>Operating Profit Margin</c:v>
                </c:pt>
              </c:strCache>
            </c:strRef>
          </c:tx>
          <c:spPr>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1-4AF5-4041-91AE-34917BA8FC4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3-4AF5-4041-91AE-34917BA8FC4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5-4AF5-4041-91AE-34917BA8FC4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7-4AF5-4041-91AE-34917BA8FC4E}"/>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9-4AF5-4041-91AE-34917BA8FC4E}"/>
              </c:ext>
            </c:extLst>
          </c:dPt>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Graphs!$B$5:$F$5</c:f>
              <c:numCache>
                <c:formatCode>General</c:formatCode>
                <c:ptCount val="5"/>
                <c:pt idx="0">
                  <c:v>2021</c:v>
                </c:pt>
                <c:pt idx="1">
                  <c:v>2022</c:v>
                </c:pt>
                <c:pt idx="2">
                  <c:v>2023</c:v>
                </c:pt>
                <c:pt idx="3">
                  <c:v>2024</c:v>
                </c:pt>
                <c:pt idx="4">
                  <c:v>2025</c:v>
                </c:pt>
              </c:numCache>
            </c:numRef>
          </c:cat>
          <c:val>
            <c:numRef>
              <c:f>Graphs!$B$6:$F$6</c:f>
              <c:numCache>
                <c:formatCode>0.00%</c:formatCode>
                <c:ptCount val="5"/>
                <c:pt idx="0">
                  <c:v>0.26643632773938797</c:v>
                </c:pt>
                <c:pt idx="1">
                  <c:v>0.30307284355014819</c:v>
                </c:pt>
                <c:pt idx="2">
                  <c:v>0.12685037576861763</c:v>
                </c:pt>
                <c:pt idx="3">
                  <c:v>0.12914977913384035</c:v>
                </c:pt>
                <c:pt idx="4">
                  <c:v>0.11938624433577101</c:v>
                </c:pt>
              </c:numCache>
            </c:numRef>
          </c:val>
          <c:extLst>
            <c:ext xmlns:c16="http://schemas.microsoft.com/office/drawing/2014/chart" uri="{C3380CC4-5D6E-409C-BE32-E72D297353CC}">
              <c16:uniqueId val="{0000000A-4AF5-4041-91AE-34917BA8FC4E}"/>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1370778652668407"/>
          <c:y val="0.34817658209390495"/>
          <c:w val="9.7403324584426937E-2"/>
          <c:h val="0.36920202682997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accent1"/>
      </a:solidFill>
      <a:round/>
    </a:ln>
    <a:effectLst>
      <a:glow rad="139700">
        <a:schemeClr val="accent4">
          <a:satMod val="175000"/>
          <a:alpha val="33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plotArea>
      <c:layout/>
      <c:lineChart>
        <c:grouping val="standard"/>
        <c:varyColors val="0"/>
        <c:ser>
          <c:idx val="0"/>
          <c:order val="0"/>
          <c:tx>
            <c:strRef>
              <c:f>Graphs!$A$15</c:f>
              <c:strCache>
                <c:ptCount val="1"/>
                <c:pt idx="0">
                  <c:v>Current Ratio</c:v>
                </c:pt>
              </c:strCache>
            </c:strRef>
          </c:tx>
          <c:spPr>
            <a:ln w="22225" cap="rnd">
              <a:solidFill>
                <a:schemeClr val="accent1"/>
              </a:solidFill>
              <a:round/>
            </a:ln>
            <a:effectLst>
              <a:glow rad="139700">
                <a:schemeClr val="accent6">
                  <a:satMod val="175000"/>
                  <a:alpha val="40000"/>
                </a:schemeClr>
              </a:glow>
            </a:effectLst>
          </c:spPr>
          <c:marker>
            <c:symbol val="none"/>
          </c:marker>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Graphs!$B$14:$F$14</c:f>
              <c:numCache>
                <c:formatCode>General</c:formatCode>
                <c:ptCount val="5"/>
                <c:pt idx="0">
                  <c:v>2021</c:v>
                </c:pt>
                <c:pt idx="1">
                  <c:v>2022</c:v>
                </c:pt>
                <c:pt idx="2">
                  <c:v>2023</c:v>
                </c:pt>
                <c:pt idx="3">
                  <c:v>2024</c:v>
                </c:pt>
                <c:pt idx="4">
                  <c:v>2025</c:v>
                </c:pt>
              </c:numCache>
            </c:numRef>
          </c:cat>
          <c:val>
            <c:numRef>
              <c:f>Graphs!$B$15:$F$15</c:f>
              <c:numCache>
                <c:formatCode>#,##0.00</c:formatCode>
                <c:ptCount val="5"/>
                <c:pt idx="0">
                  <c:v>0.23610121168923734</c:v>
                </c:pt>
                <c:pt idx="1">
                  <c:v>0.2961418143899896</c:v>
                </c:pt>
                <c:pt idx="2">
                  <c:v>0.32444598337950137</c:v>
                </c:pt>
                <c:pt idx="3">
                  <c:v>0.30844881537773805</c:v>
                </c:pt>
                <c:pt idx="4">
                  <c:v>0.32240853658536583</c:v>
                </c:pt>
              </c:numCache>
            </c:numRef>
          </c:val>
          <c:smooth val="0"/>
          <c:extLst>
            <c:ext xmlns:c16="http://schemas.microsoft.com/office/drawing/2014/chart" uri="{C3380CC4-5D6E-409C-BE32-E72D297353CC}">
              <c16:uniqueId val="{00000000-D6A1-404B-AF9F-C5AF67C2FE9B}"/>
            </c:ext>
          </c:extLst>
        </c:ser>
        <c:dLbls>
          <c:dLblPos val="ctr"/>
          <c:showLegendKey val="0"/>
          <c:showVal val="1"/>
          <c:showCatName val="0"/>
          <c:showSerName val="0"/>
          <c:showPercent val="0"/>
          <c:showBubbleSize val="0"/>
        </c:dLbls>
        <c:smooth val="0"/>
        <c:axId val="329579344"/>
        <c:axId val="329578800"/>
      </c:lineChart>
      <c:catAx>
        <c:axId val="329579344"/>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accent1">
                    <a:lumMod val="50000"/>
                  </a:schemeClr>
                </a:solidFill>
                <a:latin typeface="+mn-lt"/>
                <a:ea typeface="+mn-ea"/>
                <a:cs typeface="+mn-cs"/>
              </a:defRPr>
            </a:pPr>
            <a:endParaRPr lang="en-US"/>
          </a:p>
        </c:txPr>
        <c:crossAx val="329578800"/>
        <c:crosses val="autoZero"/>
        <c:auto val="1"/>
        <c:lblAlgn val="ctr"/>
        <c:lblOffset val="100"/>
        <c:noMultiLvlLbl val="0"/>
      </c:catAx>
      <c:valAx>
        <c:axId val="329578800"/>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9579344"/>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accent1">
                    <a:lumMod val="50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a:glow rad="139700">
            <a:schemeClr val="accent6">
              <a:satMod val="175000"/>
              <a:alpha val="40000"/>
            </a:schemeClr>
          </a:glow>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accent1">
                    <a:lumMod val="50000"/>
                  </a:schemeClr>
                </a:solidFill>
                <a:latin typeface="Agency FB" panose="020B0503020202020204" pitchFamily="34" charset="0"/>
                <a:ea typeface="+mn-ea"/>
                <a:cs typeface="+mn-cs"/>
              </a:defRPr>
            </a:pPr>
            <a:r>
              <a:rPr lang="en-IN">
                <a:solidFill>
                  <a:schemeClr val="accent1">
                    <a:lumMod val="50000"/>
                  </a:schemeClr>
                </a:solidFill>
                <a:latin typeface="Agency FB" panose="020B0503020202020204" pitchFamily="34" charset="0"/>
              </a:rPr>
              <a:t>Cash Ratio</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pattFill prst="narHorz">
          <a:fgClr>
            <a:schemeClr val="accent1">
              <a:lumMod val="20000"/>
              <a:lumOff val="80000"/>
            </a:schemeClr>
          </a:fgClr>
          <a:bgClr>
            <a:schemeClr val="bg1"/>
          </a:bgClr>
        </a:pattFill>
        <a:ln>
          <a:noFill/>
        </a:ln>
        <a:effectLst/>
        <a:sp3d/>
      </c:spPr>
    </c:sideWall>
    <c:backWall>
      <c:thickness val="0"/>
      <c:spPr>
        <a:pattFill prst="narHorz">
          <a:fgClr>
            <a:schemeClr val="accent1">
              <a:lumMod val="20000"/>
              <a:lumOff val="80000"/>
            </a:schemeClr>
          </a:fgClr>
          <a:bgClr>
            <a:schemeClr val="bg1"/>
          </a:bgClr>
        </a:pattFill>
        <a:ln>
          <a:noFill/>
        </a:ln>
        <a:effectLst/>
        <a:scene3d>
          <a:camera prst="orthographicFront"/>
          <a:lightRig rig="threePt" dir="t"/>
        </a:scene3d>
        <a:sp3d>
          <a:bevelT w="139700" h="139700" prst="divot"/>
        </a:sp3d>
      </c:spPr>
    </c:backWall>
    <c:plotArea>
      <c:layout/>
      <c:bar3DChart>
        <c:barDir val="col"/>
        <c:grouping val="clustered"/>
        <c:varyColors val="0"/>
        <c:ser>
          <c:idx val="0"/>
          <c:order val="0"/>
          <c:tx>
            <c:strRef>
              <c:f>Graphs!$B$17</c:f>
              <c:strCache>
                <c:ptCount val="1"/>
                <c:pt idx="0">
                  <c:v>2021</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Graphs!$B$18</c:f>
              <c:numCache>
                <c:formatCode>#,##0.00</c:formatCode>
                <c:ptCount val="1"/>
                <c:pt idx="0">
                  <c:v>3.8488952245188883E-2</c:v>
                </c:pt>
              </c:numCache>
            </c:numRef>
          </c:val>
          <c:extLst>
            <c:ext xmlns:c16="http://schemas.microsoft.com/office/drawing/2014/chart" uri="{C3380CC4-5D6E-409C-BE32-E72D297353CC}">
              <c16:uniqueId val="{00000000-C18A-4BF8-B76F-ADD7043F9FF1}"/>
            </c:ext>
          </c:extLst>
        </c:ser>
        <c:ser>
          <c:idx val="1"/>
          <c:order val="1"/>
          <c:tx>
            <c:strRef>
              <c:f>Graphs!$C$17</c:f>
              <c:strCache>
                <c:ptCount val="1"/>
                <c:pt idx="0">
                  <c:v>2022</c:v>
                </c:pt>
              </c:strCache>
            </c:strRef>
          </c:tx>
          <c:spPr>
            <a:pattFill prst="ltDnDiag">
              <a:fgClr>
                <a:schemeClr val="accent2"/>
              </a:fgClr>
              <a:bgClr>
                <a:schemeClr val="accent2">
                  <a:lumMod val="20000"/>
                  <a:lumOff val="80000"/>
                </a:schemeClr>
              </a:bgClr>
            </a:pattFill>
            <a:ln>
              <a:solidFill>
                <a:schemeClr val="accent2"/>
              </a:solidFill>
            </a:ln>
            <a:effectLst/>
            <a:scene3d>
              <a:camera prst="orthographicFront"/>
              <a:lightRig rig="threePt" dir="t"/>
            </a:scene3d>
            <a:sp3d prstMaterial="flat">
              <a:contourClr>
                <a:schemeClr val="accent2"/>
              </a:contourClr>
            </a:sp3d>
          </c:spPr>
          <c:invertIfNegative val="0"/>
          <c:dLbls>
            <c:spPr>
              <a:solidFill>
                <a:schemeClr val="accent4">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Graphs!$C$18</c:f>
              <c:numCache>
                <c:formatCode>#,##0.00</c:formatCode>
                <c:ptCount val="1"/>
                <c:pt idx="0">
                  <c:v>4.7221808431401759E-2</c:v>
                </c:pt>
              </c:numCache>
            </c:numRef>
          </c:val>
          <c:extLst>
            <c:ext xmlns:c16="http://schemas.microsoft.com/office/drawing/2014/chart" uri="{C3380CC4-5D6E-409C-BE32-E72D297353CC}">
              <c16:uniqueId val="{00000001-C18A-4BF8-B76F-ADD7043F9FF1}"/>
            </c:ext>
          </c:extLst>
        </c:ser>
        <c:ser>
          <c:idx val="2"/>
          <c:order val="2"/>
          <c:tx>
            <c:strRef>
              <c:f>Graphs!$D$17</c:f>
              <c:strCache>
                <c:ptCount val="1"/>
                <c:pt idx="0">
                  <c:v>2023</c:v>
                </c:pt>
              </c:strCache>
            </c:strRef>
          </c:tx>
          <c:spPr>
            <a:pattFill prst="ltDnDiag">
              <a:fgClr>
                <a:schemeClr val="accent3"/>
              </a:fgClr>
              <a:bgClr>
                <a:schemeClr val="accent3">
                  <a:lumMod val="20000"/>
                  <a:lumOff val="80000"/>
                </a:schemeClr>
              </a:bgClr>
            </a:pattFill>
            <a:ln>
              <a:solidFill>
                <a:schemeClr val="accent3"/>
              </a:solidFill>
            </a:ln>
            <a:effectLst/>
            <a:sp3d>
              <a:contourClr>
                <a:schemeClr val="accent3"/>
              </a:contourClr>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Graphs!$D$18</c:f>
              <c:numCache>
                <c:formatCode>#,##0.00</c:formatCode>
                <c:ptCount val="1"/>
                <c:pt idx="0">
                  <c:v>0.15512465373961218</c:v>
                </c:pt>
              </c:numCache>
            </c:numRef>
          </c:val>
          <c:extLst>
            <c:ext xmlns:c16="http://schemas.microsoft.com/office/drawing/2014/chart" uri="{C3380CC4-5D6E-409C-BE32-E72D297353CC}">
              <c16:uniqueId val="{00000002-C18A-4BF8-B76F-ADD7043F9FF1}"/>
            </c:ext>
          </c:extLst>
        </c:ser>
        <c:ser>
          <c:idx val="3"/>
          <c:order val="3"/>
          <c:tx>
            <c:strRef>
              <c:f>Graphs!$E$17</c:f>
              <c:strCache>
                <c:ptCount val="1"/>
                <c:pt idx="0">
                  <c:v>2024</c:v>
                </c:pt>
              </c:strCache>
            </c:strRef>
          </c:tx>
          <c:spPr>
            <a:pattFill prst="ltDnDiag">
              <a:fgClr>
                <a:schemeClr val="accent4"/>
              </a:fgClr>
              <a:bgClr>
                <a:schemeClr val="accent4">
                  <a:lumMod val="20000"/>
                  <a:lumOff val="80000"/>
                </a:schemeClr>
              </a:bgClr>
            </a:pattFill>
            <a:ln>
              <a:solidFill>
                <a:schemeClr val="accent4"/>
              </a:solidFill>
            </a:ln>
            <a:effectLst/>
            <a:sp3d>
              <a:contourClr>
                <a:schemeClr val="accent4"/>
              </a:contourClr>
            </a:sp3d>
          </c:spPr>
          <c:invertIfNegative val="0"/>
          <c:dLbls>
            <c:spPr>
              <a:solidFill>
                <a:schemeClr val="bg2">
                  <a:lumMod val="95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Graphs!$E$18</c:f>
              <c:numCache>
                <c:formatCode>#,##0.00</c:formatCode>
                <c:ptCount val="1"/>
                <c:pt idx="0">
                  <c:v>0.12606168976307555</c:v>
                </c:pt>
              </c:numCache>
            </c:numRef>
          </c:val>
          <c:extLst>
            <c:ext xmlns:c16="http://schemas.microsoft.com/office/drawing/2014/chart" uri="{C3380CC4-5D6E-409C-BE32-E72D297353CC}">
              <c16:uniqueId val="{00000003-C18A-4BF8-B76F-ADD7043F9FF1}"/>
            </c:ext>
          </c:extLst>
        </c:ser>
        <c:ser>
          <c:idx val="4"/>
          <c:order val="4"/>
          <c:tx>
            <c:strRef>
              <c:f>Graphs!$F$17</c:f>
              <c:strCache>
                <c:ptCount val="1"/>
                <c:pt idx="0">
                  <c:v>2025</c:v>
                </c:pt>
              </c:strCache>
            </c:strRef>
          </c:tx>
          <c:spPr>
            <a:pattFill prst="ltDnDiag">
              <a:fgClr>
                <a:schemeClr val="accent5"/>
              </a:fgClr>
              <a:bgClr>
                <a:schemeClr val="accent5">
                  <a:lumMod val="20000"/>
                  <a:lumOff val="80000"/>
                </a:schemeClr>
              </a:bgClr>
            </a:pattFill>
            <a:ln>
              <a:solidFill>
                <a:schemeClr val="accent5"/>
              </a:solidFill>
            </a:ln>
            <a:effectLst/>
            <a:sp3d>
              <a:contourClr>
                <a:schemeClr val="accent5"/>
              </a:contourClr>
            </a:sp3d>
          </c:spPr>
          <c:invertIfNegative val="0"/>
          <c:dLbls>
            <c:spPr>
              <a:solidFill>
                <a:schemeClr val="accent1">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Graphs!$F$18</c:f>
              <c:numCache>
                <c:formatCode>#,##0.00</c:formatCode>
                <c:ptCount val="1"/>
                <c:pt idx="0">
                  <c:v>0.1448170731707317</c:v>
                </c:pt>
              </c:numCache>
            </c:numRef>
          </c:val>
          <c:extLst>
            <c:ext xmlns:c16="http://schemas.microsoft.com/office/drawing/2014/chart" uri="{C3380CC4-5D6E-409C-BE32-E72D297353CC}">
              <c16:uniqueId val="{00000004-C18A-4BF8-B76F-ADD7043F9FF1}"/>
            </c:ext>
          </c:extLst>
        </c:ser>
        <c:dLbls>
          <c:showLegendKey val="0"/>
          <c:showVal val="1"/>
          <c:showCatName val="0"/>
          <c:showSerName val="0"/>
          <c:showPercent val="0"/>
          <c:showBubbleSize val="0"/>
        </c:dLbls>
        <c:gapWidth val="160"/>
        <c:gapDepth val="0"/>
        <c:shape val="box"/>
        <c:axId val="329579888"/>
        <c:axId val="329580432"/>
        <c:axId val="0"/>
      </c:bar3DChart>
      <c:catAx>
        <c:axId val="329579888"/>
        <c:scaling>
          <c:orientation val="minMax"/>
        </c:scaling>
        <c:delete val="1"/>
        <c:axPos val="b"/>
        <c:numFmt formatCode="General" sourceLinked="1"/>
        <c:majorTickMark val="none"/>
        <c:minorTickMark val="none"/>
        <c:tickLblPos val="nextTo"/>
        <c:crossAx val="329580432"/>
        <c:crosses val="autoZero"/>
        <c:auto val="1"/>
        <c:lblAlgn val="ctr"/>
        <c:lblOffset val="100"/>
        <c:noMultiLvlLbl val="0"/>
      </c:catAx>
      <c:valAx>
        <c:axId val="32958043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95798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1" i="0" u="none" strike="noStrike" kern="1200" baseline="0">
              <a:solidFill>
                <a:schemeClr val="accent1">
                  <a:lumMod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accent1">
                  <a:lumMod val="50000"/>
                </a:schemeClr>
              </a:solidFill>
              <a:latin typeface="Agency FB" panose="020B0503020202020204" pitchFamily="34" charset="0"/>
              <a:ea typeface="+mn-ea"/>
              <a:cs typeface="+mn-cs"/>
            </a:defRPr>
          </a:pPr>
          <a:endParaRPr lang="en-US"/>
        </a:p>
      </c:txPr>
    </c:title>
    <c:autoTitleDeleted val="0"/>
    <c:plotArea>
      <c:layout/>
      <c:areaChart>
        <c:grouping val="stacked"/>
        <c:varyColors val="0"/>
        <c:ser>
          <c:idx val="0"/>
          <c:order val="0"/>
          <c:tx>
            <c:strRef>
              <c:f>Graphs!$A$9</c:f>
              <c:strCache>
                <c:ptCount val="1"/>
                <c:pt idx="0">
                  <c:v>Accounts Receivable Turnover</c:v>
                </c:pt>
              </c:strCache>
            </c:strRef>
          </c:tx>
          <c:spPr>
            <a:solidFill>
              <a:schemeClr val="accent6"/>
            </a:solidFill>
            <a:ln>
              <a:noFill/>
            </a:ln>
            <a:effectLst>
              <a:glow rad="139700">
                <a:schemeClr val="accent6">
                  <a:satMod val="175000"/>
                  <a:alpha val="40000"/>
                </a:schemeClr>
              </a:glow>
              <a:outerShdw blurRad="50800" dist="50800" dir="5400000" algn="ctr" rotWithShape="0">
                <a:srgbClr val="000000">
                  <a:alpha val="43137"/>
                </a:srgbClr>
              </a:outerShdw>
            </a:effectLst>
            <a:scene3d>
              <a:camera prst="orthographicFront"/>
              <a:lightRig rig="sunrise" dir="t">
                <a:rot lat="0" lon="0" rev="0"/>
              </a:lightRig>
            </a:scene3d>
            <a:sp3d prstMaterial="dkEdge">
              <a:bevelT prst="relaxedInset"/>
            </a:sp3d>
          </c:spPr>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Graphs!$B$8:$F$8</c:f>
              <c:numCache>
                <c:formatCode>General</c:formatCode>
                <c:ptCount val="5"/>
                <c:pt idx="0">
                  <c:v>2021</c:v>
                </c:pt>
                <c:pt idx="1">
                  <c:v>2022</c:v>
                </c:pt>
                <c:pt idx="2">
                  <c:v>2023</c:v>
                </c:pt>
                <c:pt idx="3">
                  <c:v>2024</c:v>
                </c:pt>
                <c:pt idx="4">
                  <c:v>2025</c:v>
                </c:pt>
              </c:numCache>
            </c:numRef>
          </c:cat>
          <c:val>
            <c:numRef>
              <c:f>Graphs!$B$9:$F$9</c:f>
              <c:numCache>
                <c:formatCode>#,##0</c:formatCode>
                <c:ptCount val="5"/>
                <c:pt idx="0">
                  <c:v>29.794117647058822</c:v>
                </c:pt>
                <c:pt idx="1">
                  <c:v>29.521105141980048</c:v>
                </c:pt>
                <c:pt idx="2">
                  <c:v>31.888162672476398</c:v>
                </c:pt>
                <c:pt idx="3">
                  <c:v>38.728395061728392</c:v>
                </c:pt>
                <c:pt idx="4">
                  <c:v>44.356218905472637</c:v>
                </c:pt>
              </c:numCache>
            </c:numRef>
          </c:val>
          <c:extLst>
            <c:ext xmlns:c16="http://schemas.microsoft.com/office/drawing/2014/chart" uri="{C3380CC4-5D6E-409C-BE32-E72D297353CC}">
              <c16:uniqueId val="{00000000-B8E7-4EBE-B688-AA64EC08D7D6}"/>
            </c:ext>
          </c:extLst>
        </c:ser>
        <c:dLbls>
          <c:showLegendKey val="0"/>
          <c:showVal val="1"/>
          <c:showCatName val="0"/>
          <c:showSerName val="0"/>
          <c:showPercent val="0"/>
          <c:showBubbleSize val="0"/>
        </c:dLbls>
        <c:axId val="325451840"/>
        <c:axId val="325452928"/>
      </c:areaChart>
      <c:catAx>
        <c:axId val="32545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452928"/>
        <c:crosses val="autoZero"/>
        <c:auto val="1"/>
        <c:lblAlgn val="ctr"/>
        <c:lblOffset val="100"/>
        <c:noMultiLvlLbl val="0"/>
      </c:catAx>
      <c:valAx>
        <c:axId val="325452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5451840"/>
        <c:crosses val="autoZero"/>
        <c:crossBetween val="midCat"/>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accent1">
                    <a:lumMod val="50000"/>
                  </a:schemeClr>
                </a:solidFill>
                <a:latin typeface="+mn-lt"/>
                <a:ea typeface="+mn-ea"/>
                <a:cs typeface="+mn-cs"/>
              </a:defRPr>
            </a:pPr>
            <a:endParaRPr lang="en-US"/>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a:glow rad="228600">
        <a:schemeClr val="accent4">
          <a:satMod val="175000"/>
          <a:alpha val="38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Graphs!$A$12</c:f>
              <c:strCache>
                <c:ptCount val="1"/>
                <c:pt idx="0">
                  <c:v>Total Asset Turnover</c:v>
                </c:pt>
              </c:strCache>
            </c:strRef>
          </c:tx>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invertIfNegative val="0"/>
          <c:dPt>
            <c:idx val="0"/>
            <c:invertIfNegative val="0"/>
            <c:bubble3D val="0"/>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1-55A8-45B1-865A-079FD34F1127}"/>
              </c:ext>
            </c:extLst>
          </c:dPt>
          <c:dPt>
            <c:idx val="1"/>
            <c:invertIfNegative val="0"/>
            <c:bubble3D val="0"/>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3-55A8-45B1-865A-079FD34F1127}"/>
              </c:ext>
            </c:extLst>
          </c:dPt>
          <c:dPt>
            <c:idx val="2"/>
            <c:invertIfNegative val="0"/>
            <c:bubble3D val="0"/>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5-55A8-45B1-865A-079FD34F1127}"/>
              </c:ext>
            </c:extLst>
          </c:dPt>
          <c:dPt>
            <c:idx val="3"/>
            <c:invertIfNegative val="0"/>
            <c:bubble3D val="0"/>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7-55A8-45B1-865A-079FD34F1127}"/>
              </c:ext>
            </c:extLst>
          </c:dPt>
          <c:dPt>
            <c:idx val="4"/>
            <c:invertIfNegative val="0"/>
            <c:bubble3D val="0"/>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9-55A8-45B1-865A-079FD34F1127}"/>
              </c:ext>
            </c:extLst>
          </c:dPt>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Graphs!$B$11:$F$11</c:f>
              <c:numCache>
                <c:formatCode>General</c:formatCode>
                <c:ptCount val="5"/>
                <c:pt idx="0">
                  <c:v>2021</c:v>
                </c:pt>
                <c:pt idx="1">
                  <c:v>2022</c:v>
                </c:pt>
                <c:pt idx="2">
                  <c:v>2023</c:v>
                </c:pt>
                <c:pt idx="3">
                  <c:v>2024</c:v>
                </c:pt>
                <c:pt idx="4">
                  <c:v>2025</c:v>
                </c:pt>
              </c:numCache>
            </c:numRef>
          </c:cat>
          <c:val>
            <c:numRef>
              <c:f>Graphs!$B$12:$F$12</c:f>
              <c:numCache>
                <c:formatCode>#,##0.00</c:formatCode>
                <c:ptCount val="5"/>
                <c:pt idx="0">
                  <c:v>0.24398468171198728</c:v>
                </c:pt>
                <c:pt idx="1">
                  <c:v>0.40193097395065985</c:v>
                </c:pt>
                <c:pt idx="2">
                  <c:v>0.41857317166170976</c:v>
                </c:pt>
                <c:pt idx="3">
                  <c:v>0.40741015603257946</c:v>
                </c:pt>
                <c:pt idx="4">
                  <c:v>0.41884019843656045</c:v>
                </c:pt>
              </c:numCache>
            </c:numRef>
          </c:val>
          <c:extLst>
            <c:ext xmlns:c16="http://schemas.microsoft.com/office/drawing/2014/chart" uri="{C3380CC4-5D6E-409C-BE32-E72D297353CC}">
              <c16:uniqueId val="{0000000A-55A8-45B1-865A-079FD34F1127}"/>
            </c:ext>
          </c:extLst>
        </c:ser>
        <c:dLbls>
          <c:showLegendKey val="0"/>
          <c:showVal val="0"/>
          <c:showCatName val="0"/>
          <c:showSerName val="0"/>
          <c:showPercent val="0"/>
          <c:showBubbleSize val="0"/>
        </c:dLbls>
        <c:gapWidth val="100"/>
        <c:shape val="box"/>
        <c:axId val="1994338095"/>
        <c:axId val="1929441519"/>
        <c:axId val="0"/>
      </c:bar3DChart>
      <c:catAx>
        <c:axId val="1994338095"/>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29441519"/>
        <c:crosses val="autoZero"/>
        <c:auto val="1"/>
        <c:lblAlgn val="ctr"/>
        <c:lblOffset val="100"/>
        <c:noMultiLvlLbl val="0"/>
      </c:catAx>
      <c:valAx>
        <c:axId val="1929441519"/>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94338095"/>
        <c:crosses val="autoZero"/>
        <c:crossBetween val="between"/>
      </c:valAx>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plotArea>
      <c:layout/>
      <c:areaChart>
        <c:grouping val="stacked"/>
        <c:varyColors val="0"/>
        <c:ser>
          <c:idx val="0"/>
          <c:order val="0"/>
          <c:tx>
            <c:strRef>
              <c:f>Graphs!$A$21</c:f>
              <c:strCache>
                <c:ptCount val="1"/>
                <c:pt idx="0">
                  <c:v>Earning Per Share (EPS)</c:v>
                </c:pt>
              </c:strCache>
            </c:strRef>
          </c:tx>
          <c:spPr>
            <a:solidFill>
              <a:schemeClr val="accent6"/>
            </a:solidFill>
            <a:ln>
              <a:noFill/>
            </a:ln>
            <a:effectLst>
              <a:glow rad="139700">
                <a:schemeClr val="accent6">
                  <a:satMod val="175000"/>
                  <a:alpha val="40000"/>
                </a:schemeClr>
              </a:glow>
            </a:effectLst>
            <a:scene3d>
              <a:camera prst="orthographicFront"/>
              <a:lightRig rig="threePt" dir="t"/>
            </a:scene3d>
            <a:sp3d>
              <a:bevelT w="139700" prst="cross"/>
            </a:sp3d>
          </c:spPr>
          <c:dLbls>
            <c:spPr>
              <a:solidFill>
                <a:schemeClr val="accent5">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Graphs!$B$20:$F$20</c:f>
              <c:numCache>
                <c:formatCode>General</c:formatCode>
                <c:ptCount val="5"/>
                <c:pt idx="0">
                  <c:v>2021</c:v>
                </c:pt>
                <c:pt idx="1">
                  <c:v>2022</c:v>
                </c:pt>
                <c:pt idx="2">
                  <c:v>2023</c:v>
                </c:pt>
                <c:pt idx="3">
                  <c:v>2024</c:v>
                </c:pt>
                <c:pt idx="4">
                  <c:v>2025</c:v>
                </c:pt>
              </c:numCache>
            </c:numRef>
          </c:cat>
          <c:val>
            <c:numRef>
              <c:f>Graphs!$B$21:$F$21</c:f>
              <c:numCache>
                <c:formatCode>0.00</c:formatCode>
                <c:ptCount val="5"/>
                <c:pt idx="0">
                  <c:v>8.397385620915033</c:v>
                </c:pt>
                <c:pt idx="1">
                  <c:v>9.4511238891792981</c:v>
                </c:pt>
                <c:pt idx="2">
                  <c:v>2.9743857814950339</c:v>
                </c:pt>
                <c:pt idx="3">
                  <c:v>2.9756743188352881</c:v>
                </c:pt>
                <c:pt idx="4">
                  <c:v>2.8941143731737857</c:v>
                </c:pt>
              </c:numCache>
            </c:numRef>
          </c:val>
          <c:extLst>
            <c:ext xmlns:c16="http://schemas.microsoft.com/office/drawing/2014/chart" uri="{C3380CC4-5D6E-409C-BE32-E72D297353CC}">
              <c16:uniqueId val="{00000000-E918-4A5F-B842-D10E765DACBA}"/>
            </c:ext>
          </c:extLst>
        </c:ser>
        <c:dLbls>
          <c:showLegendKey val="0"/>
          <c:showVal val="1"/>
          <c:showCatName val="0"/>
          <c:showSerName val="0"/>
          <c:showPercent val="0"/>
          <c:showBubbleSize val="0"/>
        </c:dLbls>
        <c:axId val="329583152"/>
        <c:axId val="329580976"/>
      </c:areaChart>
      <c:catAx>
        <c:axId val="329583152"/>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29580976"/>
        <c:crosses val="autoZero"/>
        <c:auto val="1"/>
        <c:lblAlgn val="ctr"/>
        <c:lblOffset val="100"/>
        <c:noMultiLvlLbl val="0"/>
      </c:catAx>
      <c:valAx>
        <c:axId val="329580976"/>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9583152"/>
        <c:crosses val="autoZero"/>
        <c:crossBetween val="midCat"/>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accent1">
                    <a:lumMod val="50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plotArea>
      <c:layout/>
      <c:areaChart>
        <c:grouping val="stacked"/>
        <c:varyColors val="0"/>
        <c:ser>
          <c:idx val="0"/>
          <c:order val="0"/>
          <c:tx>
            <c:strRef>
              <c:f>Graphs!$A$24</c:f>
              <c:strCache>
                <c:ptCount val="1"/>
                <c:pt idx="0">
                  <c:v>Price-to-Earnings (P/E) Ratio</c:v>
                </c:pt>
              </c:strCache>
            </c:strRef>
          </c:tx>
          <c:spPr>
            <a:solidFill>
              <a:schemeClr val="accent1"/>
            </a:solidFill>
            <a:ln>
              <a:noFill/>
            </a:ln>
            <a:effectLst>
              <a:glow rad="139700">
                <a:schemeClr val="accent6">
                  <a:satMod val="175000"/>
                  <a:alpha val="40000"/>
                </a:schemeClr>
              </a:glow>
            </a:effectLst>
            <a:scene3d>
              <a:camera prst="orthographicFront"/>
              <a:lightRig rig="threePt" dir="t"/>
            </a:scene3d>
            <a:sp3d>
              <a:bevelT prst="slope"/>
            </a:sp3d>
          </c:spPr>
          <c:dLbls>
            <c:spPr>
              <a:solidFill>
                <a:srgbClr val="FF6D01">
                  <a:lumMod val="20000"/>
                  <a:lumOff val="80000"/>
                </a:srgbClr>
              </a:solidFill>
              <a:ln>
                <a:solidFill>
                  <a:srgbClr val="000000">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Graphs!$B$23:$F$23</c:f>
              <c:numCache>
                <c:formatCode>General</c:formatCode>
                <c:ptCount val="5"/>
                <c:pt idx="0">
                  <c:v>2021</c:v>
                </c:pt>
                <c:pt idx="1">
                  <c:v>2022</c:v>
                </c:pt>
                <c:pt idx="2">
                  <c:v>2023</c:v>
                </c:pt>
                <c:pt idx="3">
                  <c:v>2024</c:v>
                </c:pt>
                <c:pt idx="4">
                  <c:v>2025</c:v>
                </c:pt>
              </c:numCache>
            </c:numRef>
          </c:cat>
          <c:val>
            <c:numRef>
              <c:f>Graphs!$B$24:$F$24</c:f>
              <c:numCache>
                <c:formatCode>#,##0.00</c:formatCode>
                <c:ptCount val="5"/>
                <c:pt idx="0">
                  <c:v>4.345400062266501</c:v>
                </c:pt>
                <c:pt idx="1">
                  <c:v>3.4091183628318587</c:v>
                </c:pt>
                <c:pt idx="2">
                  <c:v>15.606583479789105</c:v>
                </c:pt>
                <c:pt idx="3">
                  <c:v>23.087203987730064</c:v>
                </c:pt>
                <c:pt idx="4">
                  <c:v>33.619956730769232</c:v>
                </c:pt>
              </c:numCache>
            </c:numRef>
          </c:val>
          <c:extLst>
            <c:ext xmlns:c16="http://schemas.microsoft.com/office/drawing/2014/chart" uri="{C3380CC4-5D6E-409C-BE32-E72D297353CC}">
              <c16:uniqueId val="{00000000-594D-464C-A61D-6663128626C2}"/>
            </c:ext>
          </c:extLst>
        </c:ser>
        <c:dLbls>
          <c:showLegendKey val="0"/>
          <c:showVal val="0"/>
          <c:showCatName val="0"/>
          <c:showSerName val="0"/>
          <c:showPercent val="0"/>
          <c:showBubbleSize val="0"/>
        </c:dLbls>
        <c:axId val="329584784"/>
        <c:axId val="329585328"/>
      </c:areaChart>
      <c:catAx>
        <c:axId val="32958478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accent1">
                    <a:lumMod val="50000"/>
                  </a:schemeClr>
                </a:solidFill>
                <a:latin typeface="+mn-lt"/>
                <a:ea typeface="+mn-ea"/>
                <a:cs typeface="+mn-cs"/>
              </a:defRPr>
            </a:pPr>
            <a:endParaRPr lang="en-US"/>
          </a:p>
        </c:txPr>
        <c:crossAx val="329585328"/>
        <c:crosses val="autoZero"/>
        <c:auto val="1"/>
        <c:lblAlgn val="ctr"/>
        <c:lblOffset val="100"/>
        <c:noMultiLvlLbl val="0"/>
      </c:catAx>
      <c:valAx>
        <c:axId val="329585328"/>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9584784"/>
        <c:crosses val="autoZero"/>
        <c:crossBetween val="midCat"/>
      </c:valAx>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Graphs!$A$27</c:f>
              <c:strCache>
                <c:ptCount val="1"/>
                <c:pt idx="0">
                  <c:v>Operating Cash Flow Ratio</c:v>
                </c:pt>
              </c:strCache>
            </c:strRef>
          </c:tx>
          <c:spPr>
            <a:solidFill>
              <a:schemeClr val="accent6"/>
            </a:solidFill>
            <a:ln>
              <a:noFill/>
            </a:ln>
            <a:effectLst/>
            <a:scene3d>
              <a:camera prst="orthographicFront"/>
              <a:lightRig rig="threePt" dir="t"/>
            </a:scene3d>
            <a:sp3d>
              <a:bevelT w="152400" h="50800" prst="softRound"/>
            </a:sp3d>
          </c:spPr>
          <c:invertIfNegative val="0"/>
          <c:dLbls>
            <c:spPr>
              <a:solidFill>
                <a:schemeClr val="accent5">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Graphs!$B$26:$F$26</c:f>
              <c:numCache>
                <c:formatCode>General</c:formatCode>
                <c:ptCount val="5"/>
                <c:pt idx="0">
                  <c:v>2021</c:v>
                </c:pt>
                <c:pt idx="1">
                  <c:v>2022</c:v>
                </c:pt>
                <c:pt idx="2">
                  <c:v>2023</c:v>
                </c:pt>
                <c:pt idx="3">
                  <c:v>2024</c:v>
                </c:pt>
                <c:pt idx="4">
                  <c:v>2025</c:v>
                </c:pt>
              </c:numCache>
            </c:numRef>
          </c:cat>
          <c:val>
            <c:numRef>
              <c:f>Graphs!$B$27:$F$27</c:f>
              <c:numCache>
                <c:formatCode>#,##0.00</c:formatCode>
                <c:ptCount val="5"/>
                <c:pt idx="0">
                  <c:v>0.65947968638631504</c:v>
                </c:pt>
                <c:pt idx="1">
                  <c:v>0.95814092060181733</c:v>
                </c:pt>
                <c:pt idx="2">
                  <c:v>0.73799630655586335</c:v>
                </c:pt>
                <c:pt idx="3">
                  <c:v>0.95201907316346301</c:v>
                </c:pt>
                <c:pt idx="4">
                  <c:v>0.98460365853658538</c:v>
                </c:pt>
              </c:numCache>
            </c:numRef>
          </c:val>
          <c:extLst>
            <c:ext xmlns:c16="http://schemas.microsoft.com/office/drawing/2014/chart" uri="{C3380CC4-5D6E-409C-BE32-E72D297353CC}">
              <c16:uniqueId val="{00000000-5170-4434-A89E-7DC38DE4F525}"/>
            </c:ext>
          </c:extLst>
        </c:ser>
        <c:dLbls>
          <c:showLegendKey val="0"/>
          <c:showVal val="1"/>
          <c:showCatName val="0"/>
          <c:showSerName val="0"/>
          <c:showPercent val="0"/>
          <c:showBubbleSize val="0"/>
        </c:dLbls>
        <c:gapWidth val="150"/>
        <c:shape val="box"/>
        <c:axId val="329586960"/>
        <c:axId val="329591856"/>
        <c:axId val="326267312"/>
      </c:bar3DChart>
      <c:catAx>
        <c:axId val="329586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329591856"/>
        <c:crosses val="autoZero"/>
        <c:auto val="1"/>
        <c:lblAlgn val="ctr"/>
        <c:lblOffset val="100"/>
        <c:noMultiLvlLbl val="0"/>
      </c:catAx>
      <c:valAx>
        <c:axId val="3295918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329586960"/>
        <c:crosses val="autoZero"/>
        <c:crossBetween val="between"/>
      </c:valAx>
      <c:serAx>
        <c:axId val="326267312"/>
        <c:scaling>
          <c:orientation val="minMax"/>
        </c:scaling>
        <c:delete val="1"/>
        <c:axPos val="b"/>
        <c:majorTickMark val="none"/>
        <c:minorTickMark val="none"/>
        <c:tickLblPos val="nextTo"/>
        <c:crossAx val="329591856"/>
        <c:crosses val="autoZero"/>
      </c:serAx>
      <c:dTable>
        <c:showHorzBorder val="1"/>
        <c:showVertBorder val="1"/>
        <c:showOutline val="1"/>
        <c:showKeys val="0"/>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accent1">
                    <a:lumMod val="50000"/>
                  </a:schemeClr>
                </a:solidFill>
                <a:latin typeface="+mn-lt"/>
                <a:ea typeface="+mn-ea"/>
                <a:cs typeface="+mn-cs"/>
              </a:defRPr>
            </a:pPr>
            <a:endParaRPr lang="en-US"/>
          </a:p>
        </c:txPr>
      </c:dTable>
      <c:spPr>
        <a:noFill/>
        <a:ln>
          <a:noFill/>
        </a:ln>
        <a:effectLst>
          <a:glow rad="50800">
            <a:schemeClr val="accent6">
              <a:satMod val="175000"/>
              <a:alpha val="40000"/>
            </a:schemeClr>
          </a:glow>
          <a:softEdge rad="4826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Graphs!$A$30</c:f>
              <c:strCache>
                <c:ptCount val="1"/>
                <c:pt idx="0">
                  <c:v>Free Cash Flow Ratio</c:v>
                </c:pt>
              </c:strCache>
            </c:strRef>
          </c:tx>
          <c:spPr>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1-ADC9-4C2B-A00E-4A60428FB01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3-ADC9-4C2B-A00E-4A60428FB01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5-ADC9-4C2B-A00E-4A60428FB01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0800" dist="38100" algn="l" rotWithShape="0">
                  <a:prstClr val="black">
                    <a:alpha val="40000"/>
                  </a:prst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7-ADC9-4C2B-A00E-4A60428FB015}"/>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9-ADC9-4C2B-A00E-4A60428FB015}"/>
              </c:ext>
            </c:extLst>
          </c:dPt>
          <c:dLbls>
            <c:spPr>
              <a:solidFill>
                <a:schemeClr val="accent5">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Graphs!$B$29:$F$29</c:f>
              <c:numCache>
                <c:formatCode>General</c:formatCode>
                <c:ptCount val="5"/>
                <c:pt idx="0">
                  <c:v>2021</c:v>
                </c:pt>
                <c:pt idx="1">
                  <c:v>2022</c:v>
                </c:pt>
                <c:pt idx="2">
                  <c:v>2023</c:v>
                </c:pt>
                <c:pt idx="3">
                  <c:v>2024</c:v>
                </c:pt>
                <c:pt idx="4">
                  <c:v>2025</c:v>
                </c:pt>
              </c:numCache>
            </c:numRef>
          </c:cat>
          <c:val>
            <c:numRef>
              <c:f>Graphs!$B$30:$F$30</c:f>
              <c:numCache>
                <c:formatCode>#,##0.00</c:formatCode>
                <c:ptCount val="5"/>
                <c:pt idx="0">
                  <c:v>1.8262586377097729E-2</c:v>
                </c:pt>
                <c:pt idx="1">
                  <c:v>0.11449071907658712</c:v>
                </c:pt>
                <c:pt idx="2">
                  <c:v>7.9890685493053976E-2</c:v>
                </c:pt>
                <c:pt idx="3">
                  <c:v>4.1440867070449472E-2</c:v>
                </c:pt>
                <c:pt idx="4">
                  <c:v>4.1006774642200192E-2</c:v>
                </c:pt>
              </c:numCache>
            </c:numRef>
          </c:val>
          <c:extLst>
            <c:ext xmlns:c16="http://schemas.microsoft.com/office/drawing/2014/chart" uri="{C3380CC4-5D6E-409C-BE32-E72D297353CC}">
              <c16:uniqueId val="{0000000A-ADC9-4C2B-A00E-4A60428FB015}"/>
            </c:ext>
          </c:extLst>
        </c:ser>
        <c:dLbls>
          <c:dLblPos val="inEnd"/>
          <c:showLegendKey val="0"/>
          <c:showVal val="0"/>
          <c:showCatName val="0"/>
          <c:showSerName val="0"/>
          <c:showPercent val="1"/>
          <c:showBubbleSize val="0"/>
          <c:showLeaderLines val="1"/>
        </c:dLbls>
      </c:pie3DChart>
      <c:spPr>
        <a:noFill/>
        <a:ln>
          <a:noFill/>
        </a:ln>
        <a:effectLst/>
      </c:spPr>
    </c:plotArea>
    <c:legend>
      <c:legendPos val="b"/>
      <c:layout>
        <c:manualLayout>
          <c:xMode val="edge"/>
          <c:yMode val="edge"/>
          <c:x val="0.25779002624671915"/>
          <c:y val="0.87523366870807817"/>
          <c:w val="0.4844199475065617"/>
          <c:h val="7.384040536599591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effectLst>
    <a:scene3d>
      <a:camera prst="orthographicFront"/>
      <a:lightRig rig="threePt" dir="t"/>
    </a:scene3d>
    <a:sp3d>
      <a:bevelT prst="angle"/>
    </a:sp3d>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8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E1354-4084-42D1-B42A-EAE21CC1B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45</Pages>
  <Words>9413</Words>
  <Characters>53658</Characters>
  <Application>Microsoft Office Word</Application>
  <DocSecurity>0</DocSecurity>
  <Lines>447</Lines>
  <Paragraphs>125</Paragraphs>
  <ScaleCrop>false</ScaleCrop>
  <Company/>
  <LinksUpToDate>false</LinksUpToDate>
  <CharactersWithSpaces>62946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dc:creator>
  <cp:lastModifiedBy>Vivek Patel</cp:lastModifiedBy>
  <cp:revision>2</cp:revision>
  <dcterms:created xsi:type="dcterms:W3CDTF">2026-08-13T12:36:00Z</dcterms:created>
  <dcterms:modified xsi:type="dcterms:W3CDTF">2026-08-13T12:36:00Z</dcterms:modified>
</cp:coreProperties>
</file>