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A9FB3" w14:textId="4820DEB7" w:rsidR="009E2A81" w:rsidRPr="00A5081F" w:rsidRDefault="00901D93" w:rsidP="009E2A81">
      <w:pPr>
        <w:spacing w:before="100" w:beforeAutospacing="1" w:after="100" w:afterAutospacing="1" w:line="240" w:lineRule="auto"/>
        <w:rPr>
          <w:rFonts w:ascii="Times New Roman" w:eastAsia="Times New Roman" w:hAnsi="Times New Roman" w:cs="Times New Roman"/>
          <w:b/>
          <w:sz w:val="20"/>
          <w:lang w:eastAsia="en-GB"/>
        </w:rPr>
      </w:pPr>
      <w:r w:rsidRPr="00915AC6">
        <w:rPr>
          <w:rFonts w:ascii="Times New Roman" w:eastAsia="Times New Roman" w:hAnsi="Times New Roman" w:cs="Times New Roman"/>
          <w:b/>
          <w:sz w:val="20"/>
          <w:lang w:eastAsia="en-GB"/>
        </w:rPr>
        <w:t>Outline a Theology or Religious Studies or Islamic Studies paper that you would like to deliver at a student conference.</w:t>
      </w:r>
      <w:r w:rsidR="00F963EE">
        <w:rPr>
          <w:rFonts w:ascii="Times New Roman" w:eastAsia="Times New Roman" w:hAnsi="Times New Roman" w:cs="Times New Roman"/>
          <w:b/>
          <w:sz w:val="20"/>
          <w:lang w:eastAsia="en-GB"/>
        </w:rPr>
        <w:t xml:space="preserve"> </w:t>
      </w:r>
      <w:bookmarkStart w:id="0" w:name="_GoBack"/>
      <w:bookmarkEnd w:id="0"/>
    </w:p>
    <w:p w14:paraId="430D89F1" w14:textId="5C21E90D" w:rsidR="001E4E6B" w:rsidRPr="00C20900" w:rsidRDefault="00901D93" w:rsidP="009E2A81">
      <w:pPr>
        <w:spacing w:before="100" w:beforeAutospacing="1" w:after="100" w:afterAutospacing="1" w:line="240" w:lineRule="auto"/>
        <w:rPr>
          <w:rFonts w:ascii="Times New Roman" w:hAnsi="Times New Roman" w:cs="Times New Roman"/>
          <w:sz w:val="20"/>
        </w:rPr>
      </w:pPr>
      <w:r w:rsidRPr="00C20900">
        <w:rPr>
          <w:rFonts w:ascii="Times New Roman" w:hAnsi="Times New Roman" w:cs="Times New Roman"/>
          <w:sz w:val="20"/>
        </w:rPr>
        <w:t xml:space="preserve">The following shall outline a paper related to Religious studies that could be delivered at a student conference. It shall focus on Christian responses to the existence </w:t>
      </w:r>
      <w:r w:rsidRPr="00A86C34">
        <w:rPr>
          <w:rFonts w:ascii="Times New Roman" w:hAnsi="Times New Roman" w:cs="Times New Roman"/>
          <w:noProof/>
          <w:sz w:val="20"/>
        </w:rPr>
        <w:t>o</w:t>
      </w:r>
      <w:r w:rsidR="00A86C34">
        <w:rPr>
          <w:rFonts w:ascii="Times New Roman" w:hAnsi="Times New Roman" w:cs="Times New Roman"/>
          <w:noProof/>
          <w:sz w:val="20"/>
        </w:rPr>
        <w:t>f</w:t>
      </w:r>
      <w:r w:rsidRPr="00C20900">
        <w:rPr>
          <w:rFonts w:ascii="Times New Roman" w:hAnsi="Times New Roman" w:cs="Times New Roman"/>
          <w:sz w:val="20"/>
        </w:rPr>
        <w:t xml:space="preserve"> </w:t>
      </w:r>
      <w:r w:rsidRPr="00A86C34">
        <w:rPr>
          <w:rFonts w:ascii="Times New Roman" w:hAnsi="Times New Roman" w:cs="Times New Roman"/>
          <w:noProof/>
          <w:sz w:val="20"/>
        </w:rPr>
        <w:t>evil</w:t>
      </w:r>
      <w:r w:rsidRPr="00C20900">
        <w:rPr>
          <w:rFonts w:ascii="Times New Roman" w:hAnsi="Times New Roman" w:cs="Times New Roman"/>
          <w:sz w:val="20"/>
        </w:rPr>
        <w:t xml:space="preserve"> and will consider the types of sources that might be used, key themes, methods of research, and will also provide a summary of the subject.</w:t>
      </w:r>
    </w:p>
    <w:p w14:paraId="638B9BCD" w14:textId="4E867712" w:rsidR="00AD30BB" w:rsidRPr="00C20900" w:rsidRDefault="00C149AB" w:rsidP="009E2A81">
      <w:pPr>
        <w:spacing w:before="100" w:beforeAutospacing="1" w:after="100" w:afterAutospacing="1" w:line="240" w:lineRule="auto"/>
        <w:rPr>
          <w:rFonts w:ascii="Times New Roman" w:hAnsi="Times New Roman" w:cs="Times New Roman"/>
          <w:sz w:val="20"/>
        </w:rPr>
      </w:pPr>
      <w:r w:rsidRPr="00C20900">
        <w:rPr>
          <w:rFonts w:ascii="Times New Roman" w:hAnsi="Times New Roman" w:cs="Times New Roman"/>
          <w:sz w:val="20"/>
        </w:rPr>
        <w:t xml:space="preserve">Firstly, the paper would examine </w:t>
      </w:r>
      <w:r w:rsidR="00AD30BB" w:rsidRPr="00C20900">
        <w:rPr>
          <w:rFonts w:ascii="Times New Roman" w:hAnsi="Times New Roman" w:cs="Times New Roman"/>
          <w:sz w:val="20"/>
        </w:rPr>
        <w:t>the definition of evil from a religious perspective and suggest the different forms that evil may manifest itself through for example physical evil, manifesting itself usually through human beings as a direct result of the imperfections of creation which derive from God making autonomous and free beings.</w:t>
      </w:r>
      <w:r w:rsidR="000B27AE">
        <w:rPr>
          <w:rFonts w:ascii="Times New Roman" w:hAnsi="Times New Roman" w:cs="Times New Roman"/>
          <w:sz w:val="20"/>
        </w:rPr>
        <w:t xml:space="preserve"> The paper would also briefly analyse the effect of natural evil and the implications</w:t>
      </w:r>
      <w:r w:rsidR="00615177">
        <w:rPr>
          <w:rFonts w:ascii="Times New Roman" w:hAnsi="Times New Roman" w:cs="Times New Roman"/>
          <w:sz w:val="20"/>
        </w:rPr>
        <w:t xml:space="preserve"> this has on Christian responses to the existence of evil. One major example of this would be the Theologian Thomas Aquinas who believed that natural evil served as a higher good and that God could inflict such natural evil as</w:t>
      </w:r>
      <w:r w:rsidR="007D3BDD">
        <w:rPr>
          <w:rFonts w:ascii="Times New Roman" w:hAnsi="Times New Roman" w:cs="Times New Roman"/>
          <w:sz w:val="20"/>
        </w:rPr>
        <w:t xml:space="preserve"> punishment</w:t>
      </w:r>
      <w:r w:rsidR="00B61885">
        <w:rPr>
          <w:rFonts w:ascii="Times New Roman" w:hAnsi="Times New Roman" w:cs="Times New Roman"/>
          <w:sz w:val="20"/>
        </w:rPr>
        <w:t xml:space="preserve"> to maintain order</w:t>
      </w:r>
      <w:r w:rsidR="007D3BDD">
        <w:rPr>
          <w:rFonts w:ascii="Times New Roman" w:hAnsi="Times New Roman" w:cs="Times New Roman"/>
          <w:sz w:val="20"/>
        </w:rPr>
        <w:t>.</w:t>
      </w:r>
      <w:r w:rsidR="00FB329B">
        <w:rPr>
          <w:rStyle w:val="FootnoteReference"/>
          <w:rFonts w:ascii="Times New Roman" w:hAnsi="Times New Roman" w:cs="Times New Roman"/>
          <w:sz w:val="20"/>
        </w:rPr>
        <w:footnoteReference w:id="1"/>
      </w:r>
      <w:r w:rsidR="007D3BDD">
        <w:rPr>
          <w:rFonts w:ascii="Times New Roman" w:hAnsi="Times New Roman" w:cs="Times New Roman"/>
          <w:sz w:val="20"/>
        </w:rPr>
        <w:t xml:space="preserve"> </w:t>
      </w:r>
    </w:p>
    <w:p w14:paraId="70301BCB" w14:textId="13F226A1" w:rsidR="00766DC5" w:rsidRPr="00C20900" w:rsidRDefault="00D60D12" w:rsidP="009E2A81">
      <w:pPr>
        <w:spacing w:before="100" w:beforeAutospacing="1" w:after="100" w:afterAutospacing="1" w:line="240" w:lineRule="auto"/>
        <w:rPr>
          <w:rFonts w:ascii="Times New Roman" w:eastAsia="Times New Roman" w:hAnsi="Times New Roman" w:cs="Times New Roman"/>
          <w:sz w:val="20"/>
          <w:lang w:eastAsia="en-GB"/>
        </w:rPr>
      </w:pPr>
      <w:r w:rsidRPr="00C20900">
        <w:rPr>
          <w:rFonts w:ascii="Times New Roman" w:eastAsia="Times New Roman" w:hAnsi="Times New Roman" w:cs="Times New Roman"/>
          <w:sz w:val="20"/>
          <w:lang w:eastAsia="en-GB"/>
        </w:rPr>
        <w:t>Furthermore, t</w:t>
      </w:r>
      <w:r w:rsidR="00587958" w:rsidRPr="00C20900">
        <w:rPr>
          <w:rFonts w:ascii="Times New Roman" w:eastAsia="Times New Roman" w:hAnsi="Times New Roman" w:cs="Times New Roman"/>
          <w:sz w:val="20"/>
          <w:lang w:eastAsia="en-GB"/>
        </w:rPr>
        <w:t xml:space="preserve">he paper would consider issues such as the origin of sin within the context of original sin </w:t>
      </w:r>
      <w:r w:rsidR="00AC39D5" w:rsidRPr="00C20900">
        <w:rPr>
          <w:rFonts w:ascii="Times New Roman" w:eastAsia="Times New Roman" w:hAnsi="Times New Roman" w:cs="Times New Roman"/>
          <w:sz w:val="20"/>
          <w:lang w:eastAsia="en-GB"/>
        </w:rPr>
        <w:t xml:space="preserve">where Adam and Eve first sinned against God and would examine the implications that this event had on the subsequent sinful nature of humanity and the need for salvation. </w:t>
      </w:r>
      <w:r w:rsidR="00940BBD" w:rsidRPr="00C20900">
        <w:rPr>
          <w:rFonts w:ascii="Times New Roman" w:eastAsia="Times New Roman" w:hAnsi="Times New Roman" w:cs="Times New Roman"/>
          <w:sz w:val="20"/>
          <w:lang w:eastAsia="en-GB"/>
        </w:rPr>
        <w:t>In addition to this</w:t>
      </w:r>
      <w:r w:rsidR="00CE0AA0" w:rsidRPr="00C20900">
        <w:rPr>
          <w:rFonts w:ascii="Times New Roman" w:eastAsia="Times New Roman" w:hAnsi="Times New Roman" w:cs="Times New Roman"/>
          <w:sz w:val="20"/>
          <w:lang w:eastAsia="en-GB"/>
        </w:rPr>
        <w:t>, the paper would examine the figure of the Devil/Satan and the influence that such a figure has on the Christian outlook of evil including the popular belief that the Devil is actively working against God, often thought of as trying to tempt God’s people in to sin which draws parallels with the original sin narrative</w:t>
      </w:r>
      <w:r w:rsidR="008B2D06" w:rsidRPr="00C20900">
        <w:rPr>
          <w:rFonts w:ascii="Times New Roman" w:eastAsia="Times New Roman" w:hAnsi="Times New Roman" w:cs="Times New Roman"/>
          <w:sz w:val="20"/>
          <w:lang w:eastAsia="en-GB"/>
        </w:rPr>
        <w:t xml:space="preserve"> contained in the Bible</w:t>
      </w:r>
      <w:r w:rsidR="00CE0AA0" w:rsidRPr="00C20900">
        <w:rPr>
          <w:rFonts w:ascii="Times New Roman" w:eastAsia="Times New Roman" w:hAnsi="Times New Roman" w:cs="Times New Roman"/>
          <w:sz w:val="20"/>
          <w:lang w:eastAsia="en-GB"/>
        </w:rPr>
        <w:t>.</w:t>
      </w:r>
      <w:r w:rsidR="00587958" w:rsidRPr="00C20900">
        <w:rPr>
          <w:rFonts w:ascii="Times New Roman" w:eastAsia="Times New Roman" w:hAnsi="Times New Roman" w:cs="Times New Roman"/>
          <w:sz w:val="20"/>
          <w:lang w:eastAsia="en-GB"/>
        </w:rPr>
        <w:t xml:space="preserve"> </w:t>
      </w:r>
      <w:r w:rsidR="00271991" w:rsidRPr="00C20900">
        <w:rPr>
          <w:rFonts w:ascii="Times New Roman" w:eastAsia="Times New Roman" w:hAnsi="Times New Roman" w:cs="Times New Roman"/>
          <w:sz w:val="20"/>
          <w:lang w:eastAsia="en-GB"/>
        </w:rPr>
        <w:t>T</w:t>
      </w:r>
      <w:r w:rsidR="00286DCA" w:rsidRPr="00C20900">
        <w:rPr>
          <w:rFonts w:ascii="Times New Roman" w:eastAsia="Times New Roman" w:hAnsi="Times New Roman" w:cs="Times New Roman"/>
          <w:sz w:val="20"/>
          <w:lang w:eastAsia="en-GB"/>
        </w:rPr>
        <w:t>he paper would</w:t>
      </w:r>
      <w:r w:rsidR="00271991" w:rsidRPr="00C20900">
        <w:rPr>
          <w:rFonts w:ascii="Times New Roman" w:eastAsia="Times New Roman" w:hAnsi="Times New Roman" w:cs="Times New Roman"/>
          <w:sz w:val="20"/>
          <w:lang w:eastAsia="en-GB"/>
        </w:rPr>
        <w:t xml:space="preserve"> also</w:t>
      </w:r>
      <w:r w:rsidR="00286DCA" w:rsidRPr="00C20900">
        <w:rPr>
          <w:rFonts w:ascii="Times New Roman" w:eastAsia="Times New Roman" w:hAnsi="Times New Roman" w:cs="Times New Roman"/>
          <w:sz w:val="20"/>
          <w:lang w:eastAsia="en-GB"/>
        </w:rPr>
        <w:t xml:space="preserve"> consider</w:t>
      </w:r>
      <w:r w:rsidR="00271991" w:rsidRPr="00C20900">
        <w:rPr>
          <w:rFonts w:ascii="Times New Roman" w:eastAsia="Times New Roman" w:hAnsi="Times New Roman" w:cs="Times New Roman"/>
          <w:sz w:val="20"/>
          <w:lang w:eastAsia="en-GB"/>
        </w:rPr>
        <w:t xml:space="preserve"> themes around the </w:t>
      </w:r>
      <w:r w:rsidR="0070206A" w:rsidRPr="00C20900">
        <w:rPr>
          <w:rFonts w:ascii="Times New Roman" w:eastAsia="Times New Roman" w:hAnsi="Times New Roman" w:cs="Times New Roman"/>
          <w:sz w:val="20"/>
          <w:lang w:eastAsia="en-GB"/>
        </w:rPr>
        <w:t>topic of evil such as</w:t>
      </w:r>
      <w:r w:rsidR="00286DCA" w:rsidRPr="00C20900">
        <w:rPr>
          <w:rFonts w:ascii="Times New Roman" w:eastAsia="Times New Roman" w:hAnsi="Times New Roman" w:cs="Times New Roman"/>
          <w:sz w:val="20"/>
          <w:lang w:eastAsia="en-GB"/>
        </w:rPr>
        <w:t xml:space="preserve"> the implication that </w:t>
      </w:r>
      <w:r w:rsidR="0015080C" w:rsidRPr="00C20900">
        <w:rPr>
          <w:rFonts w:ascii="Times New Roman" w:eastAsia="Times New Roman" w:hAnsi="Times New Roman" w:cs="Times New Roman"/>
          <w:sz w:val="20"/>
          <w:lang w:eastAsia="en-GB"/>
        </w:rPr>
        <w:t>free will has on humankind’s ability to be sinful beings</w:t>
      </w:r>
      <w:r w:rsidR="003F1E97" w:rsidRPr="00C20900">
        <w:rPr>
          <w:rFonts w:ascii="Times New Roman" w:eastAsia="Times New Roman" w:hAnsi="Times New Roman" w:cs="Times New Roman"/>
          <w:sz w:val="20"/>
          <w:lang w:eastAsia="en-GB"/>
        </w:rPr>
        <w:t xml:space="preserve"> with the </w:t>
      </w:r>
      <w:r w:rsidR="00937132">
        <w:rPr>
          <w:rFonts w:ascii="Times New Roman" w:eastAsia="Times New Roman" w:hAnsi="Times New Roman" w:cs="Times New Roman"/>
          <w:sz w:val="20"/>
          <w:lang w:eastAsia="en-GB"/>
        </w:rPr>
        <w:t>capability</w:t>
      </w:r>
      <w:r w:rsidR="003F1E97" w:rsidRPr="00C20900">
        <w:rPr>
          <w:rFonts w:ascii="Times New Roman" w:eastAsia="Times New Roman" w:hAnsi="Times New Roman" w:cs="Times New Roman"/>
          <w:sz w:val="20"/>
          <w:lang w:eastAsia="en-GB"/>
        </w:rPr>
        <w:t xml:space="preserve"> of committing evil acts</w:t>
      </w:r>
      <w:r w:rsidR="00E90639">
        <w:rPr>
          <w:rFonts w:ascii="Times New Roman" w:eastAsia="Times New Roman" w:hAnsi="Times New Roman" w:cs="Times New Roman"/>
          <w:sz w:val="20"/>
          <w:lang w:eastAsia="en-GB"/>
        </w:rPr>
        <w:t xml:space="preserve">. It would also consider Christian </w:t>
      </w:r>
      <w:r w:rsidR="006262EB" w:rsidRPr="00C20900">
        <w:rPr>
          <w:rFonts w:ascii="Times New Roman" w:eastAsia="Times New Roman" w:hAnsi="Times New Roman" w:cs="Times New Roman"/>
          <w:sz w:val="20"/>
          <w:lang w:eastAsia="en-GB"/>
        </w:rPr>
        <w:t>responses to the scope of God’s Salvation</w:t>
      </w:r>
      <w:r w:rsidR="00E90639">
        <w:rPr>
          <w:rFonts w:ascii="Times New Roman" w:eastAsia="Times New Roman" w:hAnsi="Times New Roman" w:cs="Times New Roman"/>
          <w:sz w:val="20"/>
          <w:lang w:eastAsia="en-GB"/>
        </w:rPr>
        <w:t xml:space="preserve"> when</w:t>
      </w:r>
      <w:r w:rsidR="004D4DC6" w:rsidRPr="00C20900">
        <w:rPr>
          <w:rFonts w:ascii="Times New Roman" w:eastAsia="Times New Roman" w:hAnsi="Times New Roman" w:cs="Times New Roman"/>
          <w:sz w:val="20"/>
          <w:lang w:eastAsia="en-GB"/>
        </w:rPr>
        <w:t xml:space="preserve"> </w:t>
      </w:r>
      <w:r w:rsidR="00E90639">
        <w:rPr>
          <w:rFonts w:ascii="Times New Roman" w:eastAsia="Times New Roman" w:hAnsi="Times New Roman" w:cs="Times New Roman"/>
          <w:sz w:val="20"/>
          <w:lang w:eastAsia="en-GB"/>
        </w:rPr>
        <w:t>analysing</w:t>
      </w:r>
      <w:r w:rsidR="006262EB" w:rsidRPr="00C20900">
        <w:rPr>
          <w:rFonts w:ascii="Times New Roman" w:eastAsia="Times New Roman" w:hAnsi="Times New Roman" w:cs="Times New Roman"/>
          <w:sz w:val="20"/>
          <w:lang w:eastAsia="en-GB"/>
        </w:rPr>
        <w:t xml:space="preserve"> issues such as whether</w:t>
      </w:r>
      <w:r w:rsidR="004D4DC6" w:rsidRPr="00C20900">
        <w:rPr>
          <w:rFonts w:ascii="Times New Roman" w:eastAsia="Times New Roman" w:hAnsi="Times New Roman" w:cs="Times New Roman"/>
          <w:sz w:val="20"/>
          <w:lang w:eastAsia="en-GB"/>
        </w:rPr>
        <w:t xml:space="preserve"> Jesus’ sacrifice when dying on the cross as an atonement for sin means that</w:t>
      </w:r>
      <w:r w:rsidR="006262EB" w:rsidRPr="00C20900">
        <w:rPr>
          <w:rFonts w:ascii="Times New Roman" w:eastAsia="Times New Roman" w:hAnsi="Times New Roman" w:cs="Times New Roman"/>
          <w:sz w:val="20"/>
          <w:lang w:eastAsia="en-GB"/>
        </w:rPr>
        <w:t xml:space="preserve"> anyone can be saved</w:t>
      </w:r>
      <w:r w:rsidR="004D4DC6" w:rsidRPr="00C20900">
        <w:rPr>
          <w:rFonts w:ascii="Times New Roman" w:eastAsia="Times New Roman" w:hAnsi="Times New Roman" w:cs="Times New Roman"/>
          <w:sz w:val="20"/>
          <w:lang w:eastAsia="en-GB"/>
        </w:rPr>
        <w:t xml:space="preserve"> or whether Salvation is limited for some people</w:t>
      </w:r>
      <w:r w:rsidR="00A86C34">
        <w:rPr>
          <w:rFonts w:ascii="Times New Roman" w:eastAsia="Times New Roman" w:hAnsi="Times New Roman" w:cs="Times New Roman"/>
          <w:sz w:val="20"/>
          <w:lang w:eastAsia="en-GB"/>
        </w:rPr>
        <w:t>, for example,</w:t>
      </w:r>
      <w:r w:rsidR="004D4DC6" w:rsidRPr="00C20900">
        <w:rPr>
          <w:rFonts w:ascii="Times New Roman" w:eastAsia="Times New Roman" w:hAnsi="Times New Roman" w:cs="Times New Roman"/>
          <w:sz w:val="20"/>
          <w:lang w:eastAsia="en-GB"/>
        </w:rPr>
        <w:t xml:space="preserve"> those who commit the most heinous crimes</w:t>
      </w:r>
      <w:r w:rsidR="00607E0A">
        <w:rPr>
          <w:rFonts w:ascii="Times New Roman" w:eastAsia="Times New Roman" w:hAnsi="Times New Roman" w:cs="Times New Roman"/>
          <w:sz w:val="20"/>
          <w:lang w:eastAsia="en-GB"/>
        </w:rPr>
        <w:t xml:space="preserve"> as it may be argued by some Christians that although Salvation is solely dependant on God, there are surely some evil acts that are beyond the redemptive power of God</w:t>
      </w:r>
      <w:r w:rsidR="008B04E6">
        <w:rPr>
          <w:rFonts w:ascii="Times New Roman" w:eastAsia="Times New Roman" w:hAnsi="Times New Roman" w:cs="Times New Roman"/>
          <w:sz w:val="20"/>
          <w:lang w:eastAsia="en-GB"/>
        </w:rPr>
        <w:t>.</w:t>
      </w:r>
    </w:p>
    <w:p w14:paraId="1A4E6CB5" w14:textId="700D55EE" w:rsidR="00C5245B" w:rsidRPr="00C20900" w:rsidRDefault="00EF3175" w:rsidP="009E2A81">
      <w:pPr>
        <w:spacing w:before="100" w:beforeAutospacing="1" w:after="100" w:afterAutospacing="1" w:line="240" w:lineRule="auto"/>
        <w:rPr>
          <w:rFonts w:ascii="Times New Roman" w:eastAsia="Times New Roman" w:hAnsi="Times New Roman" w:cs="Times New Roman"/>
          <w:sz w:val="20"/>
          <w:lang w:eastAsia="en-GB"/>
        </w:rPr>
      </w:pPr>
      <w:r w:rsidRPr="00C20900">
        <w:rPr>
          <w:rFonts w:ascii="Times New Roman" w:eastAsia="Times New Roman" w:hAnsi="Times New Roman" w:cs="Times New Roman"/>
          <w:sz w:val="20"/>
          <w:lang w:eastAsia="en-GB"/>
        </w:rPr>
        <w:t xml:space="preserve">When preparing the paper, I would consider different types of sources for example when examining the implications of Adam and Eve’s fall from grace one might </w:t>
      </w:r>
      <w:r w:rsidR="00CB26D6" w:rsidRPr="00C20900">
        <w:rPr>
          <w:rFonts w:ascii="Times New Roman" w:eastAsia="Times New Roman" w:hAnsi="Times New Roman" w:cs="Times New Roman"/>
          <w:sz w:val="20"/>
          <w:lang w:eastAsia="en-GB"/>
        </w:rPr>
        <w:t>focus on</w:t>
      </w:r>
      <w:r w:rsidRPr="00C20900">
        <w:rPr>
          <w:rFonts w:ascii="Times New Roman" w:eastAsia="Times New Roman" w:hAnsi="Times New Roman" w:cs="Times New Roman"/>
          <w:sz w:val="20"/>
          <w:lang w:eastAsia="en-GB"/>
        </w:rPr>
        <w:t xml:space="preserve"> the primary </w:t>
      </w:r>
      <w:r w:rsidR="00CB26D6" w:rsidRPr="00C20900">
        <w:rPr>
          <w:rFonts w:ascii="Times New Roman" w:eastAsia="Times New Roman" w:hAnsi="Times New Roman" w:cs="Times New Roman"/>
          <w:sz w:val="20"/>
          <w:lang w:eastAsia="en-GB"/>
        </w:rPr>
        <w:t>B</w:t>
      </w:r>
      <w:r w:rsidRPr="00C20900">
        <w:rPr>
          <w:rFonts w:ascii="Times New Roman" w:eastAsia="Times New Roman" w:hAnsi="Times New Roman" w:cs="Times New Roman"/>
          <w:sz w:val="20"/>
          <w:lang w:eastAsia="en-GB"/>
        </w:rPr>
        <w:t xml:space="preserve">iblical accounts found in Genesis </w:t>
      </w:r>
      <w:r w:rsidR="00CB26D6" w:rsidRPr="00C20900">
        <w:rPr>
          <w:rFonts w:ascii="Times New Roman" w:eastAsia="Times New Roman" w:hAnsi="Times New Roman" w:cs="Times New Roman"/>
          <w:sz w:val="20"/>
          <w:lang w:eastAsia="en-GB"/>
        </w:rPr>
        <w:t>chapters two and three.</w:t>
      </w:r>
      <w:r w:rsidR="00611440" w:rsidRPr="00C20900">
        <w:rPr>
          <w:rFonts w:ascii="Times New Roman" w:eastAsia="Times New Roman" w:hAnsi="Times New Roman" w:cs="Times New Roman"/>
          <w:sz w:val="20"/>
          <w:lang w:eastAsia="en-GB"/>
        </w:rPr>
        <w:t xml:space="preserve"> Furthermore, other source</w:t>
      </w:r>
      <w:r w:rsidR="00DD27BF" w:rsidRPr="00C20900">
        <w:rPr>
          <w:rFonts w:ascii="Times New Roman" w:eastAsia="Times New Roman" w:hAnsi="Times New Roman" w:cs="Times New Roman"/>
          <w:sz w:val="20"/>
          <w:lang w:eastAsia="en-GB"/>
        </w:rPr>
        <w:t xml:space="preserve"> such as </w:t>
      </w:r>
      <w:r w:rsidR="00611440" w:rsidRPr="00C20900">
        <w:rPr>
          <w:rFonts w:ascii="Times New Roman" w:eastAsia="Times New Roman" w:hAnsi="Times New Roman" w:cs="Times New Roman"/>
          <w:sz w:val="20"/>
          <w:lang w:eastAsia="en-GB"/>
        </w:rPr>
        <w:t xml:space="preserve">academic sources might be used when delivering such a paper and could be used to add academic weight to the influence of free will on human’s </w:t>
      </w:r>
      <w:r w:rsidR="004B4989" w:rsidRPr="00C20900">
        <w:rPr>
          <w:rFonts w:ascii="Times New Roman" w:eastAsia="Times New Roman" w:hAnsi="Times New Roman" w:cs="Times New Roman"/>
          <w:sz w:val="20"/>
          <w:lang w:eastAsia="en-GB"/>
        </w:rPr>
        <w:t>choice</w:t>
      </w:r>
      <w:r w:rsidR="00611440" w:rsidRPr="00C20900">
        <w:rPr>
          <w:rFonts w:ascii="Times New Roman" w:eastAsia="Times New Roman" w:hAnsi="Times New Roman" w:cs="Times New Roman"/>
          <w:sz w:val="20"/>
          <w:lang w:eastAsia="en-GB"/>
        </w:rPr>
        <w:t xml:space="preserve"> to commit acts of evil</w:t>
      </w:r>
      <w:r w:rsidR="00984726" w:rsidRPr="00C20900">
        <w:rPr>
          <w:rFonts w:ascii="Times New Roman" w:eastAsia="Times New Roman" w:hAnsi="Times New Roman" w:cs="Times New Roman"/>
          <w:sz w:val="20"/>
          <w:lang w:eastAsia="en-GB"/>
        </w:rPr>
        <w:t xml:space="preserve"> for example Christian Theology: An Introduction to its traditions and tasks edited by Peter Hodgson and Robert King provides a clear example of a theological explanation of sin from Augustine’s perspective and notes that creation and hence human beings are created in a natural order where they seek supreme good (found through God). Due to the nature of human beings according to </w:t>
      </w:r>
      <w:r w:rsidR="00984726" w:rsidRPr="00C20900">
        <w:rPr>
          <w:rFonts w:ascii="Times New Roman" w:eastAsia="Times New Roman" w:hAnsi="Times New Roman" w:cs="Times New Roman"/>
          <w:noProof/>
          <w:sz w:val="20"/>
          <w:lang w:eastAsia="en-GB"/>
        </w:rPr>
        <w:t>Augustine</w:t>
      </w:r>
      <w:r w:rsidR="0060293B" w:rsidRPr="00C20900">
        <w:rPr>
          <w:rFonts w:ascii="Times New Roman" w:eastAsia="Times New Roman" w:hAnsi="Times New Roman" w:cs="Times New Roman"/>
          <w:noProof/>
          <w:sz w:val="20"/>
          <w:lang w:eastAsia="en-GB"/>
        </w:rPr>
        <w:t>,</w:t>
      </w:r>
      <w:r w:rsidR="00984726" w:rsidRPr="00C20900">
        <w:rPr>
          <w:rFonts w:ascii="Times New Roman" w:eastAsia="Times New Roman" w:hAnsi="Times New Roman" w:cs="Times New Roman"/>
          <w:sz w:val="20"/>
          <w:lang w:eastAsia="en-GB"/>
        </w:rPr>
        <w:t xml:space="preserve"> there is no clear explanation of evil however, it can be described as a voluntary diversion from the divine path and natural order.</w:t>
      </w:r>
      <w:r w:rsidR="00996546">
        <w:rPr>
          <w:rStyle w:val="FootnoteReference"/>
          <w:rFonts w:ascii="Times New Roman" w:eastAsia="Times New Roman" w:hAnsi="Times New Roman" w:cs="Times New Roman"/>
          <w:sz w:val="20"/>
          <w:lang w:eastAsia="en-GB"/>
        </w:rPr>
        <w:footnoteReference w:id="2"/>
      </w:r>
      <w:r w:rsidR="00984726" w:rsidRPr="00C20900">
        <w:rPr>
          <w:rFonts w:ascii="Times New Roman" w:eastAsia="Times New Roman" w:hAnsi="Times New Roman" w:cs="Times New Roman"/>
          <w:sz w:val="20"/>
          <w:lang w:eastAsia="en-GB"/>
        </w:rPr>
        <w:t xml:space="preserve"> </w:t>
      </w:r>
    </w:p>
    <w:p w14:paraId="4B263FBB" w14:textId="08B2A68E" w:rsidR="00A25162" w:rsidRPr="00C20900" w:rsidRDefault="002927AE" w:rsidP="009E2A81">
      <w:pPr>
        <w:spacing w:before="100" w:beforeAutospacing="1" w:after="100" w:afterAutospacing="1" w:line="240" w:lineRule="auto"/>
        <w:rPr>
          <w:rFonts w:ascii="Times New Roman" w:eastAsia="Times New Roman" w:hAnsi="Times New Roman" w:cs="Times New Roman"/>
          <w:sz w:val="20"/>
          <w:lang w:eastAsia="en-GB"/>
        </w:rPr>
      </w:pPr>
      <w:r w:rsidRPr="00C20900">
        <w:rPr>
          <w:rFonts w:ascii="Times New Roman" w:eastAsia="Times New Roman" w:hAnsi="Times New Roman" w:cs="Times New Roman"/>
          <w:sz w:val="20"/>
          <w:lang w:eastAsia="en-GB"/>
        </w:rPr>
        <w:t xml:space="preserve">Moreover, </w:t>
      </w:r>
      <w:r w:rsidR="00C5245B" w:rsidRPr="00C20900">
        <w:rPr>
          <w:rFonts w:ascii="Times New Roman" w:eastAsia="Times New Roman" w:hAnsi="Times New Roman" w:cs="Times New Roman"/>
          <w:sz w:val="20"/>
          <w:lang w:eastAsia="en-GB"/>
        </w:rPr>
        <w:t>one would utilise a range of internet sources when researching the paper</w:t>
      </w:r>
      <w:r w:rsidR="00A86C34">
        <w:rPr>
          <w:rFonts w:ascii="Times New Roman" w:eastAsia="Times New Roman" w:hAnsi="Times New Roman" w:cs="Times New Roman"/>
          <w:sz w:val="20"/>
          <w:lang w:eastAsia="en-GB"/>
        </w:rPr>
        <w:t>, for example,</w:t>
      </w:r>
      <w:r w:rsidR="00C5245B" w:rsidRPr="00C20900">
        <w:rPr>
          <w:rFonts w:ascii="Times New Roman" w:eastAsia="Times New Roman" w:hAnsi="Times New Roman" w:cs="Times New Roman"/>
          <w:sz w:val="20"/>
          <w:lang w:eastAsia="en-GB"/>
        </w:rPr>
        <w:t xml:space="preserve"> one could access websites of different Christian denominations and may attain a deeper understanding as to their responses to the existence of evil. One example of this is the </w:t>
      </w:r>
      <w:r w:rsidR="00BC1865">
        <w:rPr>
          <w:rFonts w:ascii="Times New Roman" w:eastAsia="Times New Roman" w:hAnsi="Times New Roman" w:cs="Times New Roman"/>
          <w:sz w:val="20"/>
          <w:lang w:eastAsia="en-GB"/>
        </w:rPr>
        <w:t>website of the Jehovah’s Witnesses which contains several articles, books and other publications which express their beliefs. One of which is titled ‘Why Does God Allow Evil and Suffering’. It comments on how evil on earth began with Satan tempting Adam and Eve which resulted in suffering and sin and goes on to stipulate that God has allowed suffering to show that without the rule of God and the willing surrender to the will of God, there will be no true peace as this cannot exist through human reign.</w:t>
      </w:r>
      <w:r w:rsidR="00FD57F1">
        <w:rPr>
          <w:rStyle w:val="FootnoteReference"/>
          <w:rFonts w:ascii="Times New Roman" w:eastAsia="Times New Roman" w:hAnsi="Times New Roman" w:cs="Times New Roman"/>
          <w:sz w:val="20"/>
          <w:lang w:eastAsia="en-GB"/>
        </w:rPr>
        <w:footnoteReference w:id="3"/>
      </w:r>
    </w:p>
    <w:p w14:paraId="2B78BF44" w14:textId="5F036C76" w:rsidR="00842E21" w:rsidRDefault="003D4F58" w:rsidP="009E2A81">
      <w:pPr>
        <w:spacing w:before="100" w:beforeAutospacing="1" w:after="100" w:afterAutospacing="1" w:line="240" w:lineRule="auto"/>
        <w:rPr>
          <w:rFonts w:ascii="Times New Roman" w:eastAsia="Times New Roman" w:hAnsi="Times New Roman" w:cs="Times New Roman"/>
          <w:sz w:val="20"/>
          <w:lang w:eastAsia="en-GB"/>
        </w:rPr>
      </w:pPr>
      <w:r w:rsidRPr="00C20900">
        <w:rPr>
          <w:rFonts w:ascii="Times New Roman" w:eastAsia="Times New Roman" w:hAnsi="Times New Roman" w:cs="Times New Roman"/>
          <w:sz w:val="20"/>
          <w:lang w:eastAsia="en-GB"/>
        </w:rPr>
        <w:t xml:space="preserve">Furthermore, I would examine different Christian denominations and their responses to the existence of evil. For example, I may look at the Catechism of the Roman Catholic church and consider their </w:t>
      </w:r>
      <w:r w:rsidR="00B025CE" w:rsidRPr="00C20900">
        <w:rPr>
          <w:rFonts w:ascii="Times New Roman" w:eastAsia="Times New Roman" w:hAnsi="Times New Roman" w:cs="Times New Roman"/>
          <w:sz w:val="20"/>
          <w:lang w:eastAsia="en-GB"/>
        </w:rPr>
        <w:t xml:space="preserve">key teachings with </w:t>
      </w:r>
      <w:r w:rsidR="00B025CE" w:rsidRPr="00C20900">
        <w:rPr>
          <w:rFonts w:ascii="Times New Roman" w:eastAsia="Times New Roman" w:hAnsi="Times New Roman" w:cs="Times New Roman"/>
          <w:sz w:val="20"/>
          <w:lang w:eastAsia="en-GB"/>
        </w:rPr>
        <w:lastRenderedPageBreak/>
        <w:t xml:space="preserve">regards to the origin of evil where it states that God, in infinite </w:t>
      </w:r>
      <w:r w:rsidR="00B025CE" w:rsidRPr="00C20900">
        <w:rPr>
          <w:rFonts w:ascii="Times New Roman" w:eastAsia="Times New Roman" w:hAnsi="Times New Roman" w:cs="Times New Roman"/>
          <w:noProof/>
          <w:sz w:val="20"/>
          <w:lang w:eastAsia="en-GB"/>
        </w:rPr>
        <w:t>wisdom</w:t>
      </w:r>
      <w:r w:rsidR="0060293B" w:rsidRPr="00C20900">
        <w:rPr>
          <w:rFonts w:ascii="Times New Roman" w:eastAsia="Times New Roman" w:hAnsi="Times New Roman" w:cs="Times New Roman"/>
          <w:noProof/>
          <w:sz w:val="20"/>
          <w:lang w:eastAsia="en-GB"/>
        </w:rPr>
        <w:t>,</w:t>
      </w:r>
      <w:r w:rsidR="00B025CE" w:rsidRPr="00C20900">
        <w:rPr>
          <w:rFonts w:ascii="Times New Roman" w:eastAsia="Times New Roman" w:hAnsi="Times New Roman" w:cs="Times New Roman"/>
          <w:sz w:val="20"/>
          <w:lang w:eastAsia="en-GB"/>
        </w:rPr>
        <w:t xml:space="preserve"> created a free world in a state of striving towards ultimate perfection, and until that perfection has been sought, there exists good and physical evil.</w:t>
      </w:r>
      <w:r w:rsidR="00FE67A8">
        <w:rPr>
          <w:rStyle w:val="FootnoteReference"/>
          <w:rFonts w:ascii="Times New Roman" w:eastAsia="Times New Roman" w:hAnsi="Times New Roman" w:cs="Times New Roman"/>
          <w:sz w:val="20"/>
          <w:lang w:eastAsia="en-GB"/>
        </w:rPr>
        <w:footnoteReference w:id="4"/>
      </w:r>
      <w:r w:rsidR="00E35D5D" w:rsidRPr="00C20900">
        <w:rPr>
          <w:rFonts w:ascii="Times New Roman" w:eastAsia="Times New Roman" w:hAnsi="Times New Roman" w:cs="Times New Roman"/>
          <w:sz w:val="20"/>
          <w:lang w:eastAsia="en-GB"/>
        </w:rPr>
        <w:t xml:space="preserve"> </w:t>
      </w:r>
      <w:r w:rsidR="00946070" w:rsidRPr="00C20900">
        <w:rPr>
          <w:rFonts w:ascii="Times New Roman" w:eastAsia="Times New Roman" w:hAnsi="Times New Roman" w:cs="Times New Roman"/>
          <w:sz w:val="20"/>
          <w:lang w:eastAsia="en-GB"/>
        </w:rPr>
        <w:t>Further m</w:t>
      </w:r>
      <w:r w:rsidR="002824D8" w:rsidRPr="00C20900">
        <w:rPr>
          <w:rFonts w:ascii="Times New Roman" w:eastAsia="Times New Roman" w:hAnsi="Times New Roman" w:cs="Times New Roman"/>
          <w:sz w:val="20"/>
          <w:lang w:eastAsia="en-GB"/>
        </w:rPr>
        <w:t>ethods of research for the proposed pa</w:t>
      </w:r>
      <w:r w:rsidR="00946070" w:rsidRPr="00C20900">
        <w:rPr>
          <w:rFonts w:ascii="Times New Roman" w:eastAsia="Times New Roman" w:hAnsi="Times New Roman" w:cs="Times New Roman"/>
          <w:sz w:val="20"/>
          <w:lang w:eastAsia="en-GB"/>
        </w:rPr>
        <w:t xml:space="preserve">per would include </w:t>
      </w:r>
      <w:r w:rsidR="00E35D5D" w:rsidRPr="00C20900">
        <w:rPr>
          <w:rFonts w:ascii="Times New Roman" w:eastAsia="Times New Roman" w:hAnsi="Times New Roman" w:cs="Times New Roman"/>
          <w:sz w:val="20"/>
          <w:lang w:eastAsia="en-GB"/>
        </w:rPr>
        <w:t>the possibility of interviews with a variety of Christian denominations to provide a deeper understanding of the different responses to the existence of evil within denominations.</w:t>
      </w:r>
    </w:p>
    <w:p w14:paraId="5E0C561F" w14:textId="4A08CA97" w:rsidR="001A52D5" w:rsidRDefault="001A52D5" w:rsidP="009E2A81">
      <w:pPr>
        <w:spacing w:before="100" w:beforeAutospacing="1" w:after="100" w:afterAutospacing="1" w:line="240" w:lineRule="auto"/>
        <w:rPr>
          <w:rFonts w:ascii="Times New Roman" w:eastAsia="Times New Roman" w:hAnsi="Times New Roman" w:cs="Times New Roman"/>
          <w:sz w:val="20"/>
          <w:lang w:eastAsia="en-GB"/>
        </w:rPr>
      </w:pPr>
      <w:r>
        <w:rPr>
          <w:rFonts w:ascii="Times New Roman" w:eastAsia="Times New Roman" w:hAnsi="Times New Roman" w:cs="Times New Roman"/>
          <w:sz w:val="20"/>
          <w:lang w:eastAsia="en-GB"/>
        </w:rPr>
        <w:t xml:space="preserve">Another example of a source which would be useful when preparing the conference would be the Salvation Army </w:t>
      </w:r>
      <w:r w:rsidRPr="00C20900">
        <w:rPr>
          <w:rFonts w:ascii="Times New Roman" w:eastAsia="Times New Roman" w:hAnsi="Times New Roman" w:cs="Times New Roman"/>
          <w:sz w:val="20"/>
          <w:lang w:eastAsia="en-GB"/>
        </w:rPr>
        <w:t>Handbook of Doctrine which in chapter two wrestles with the problem of evil</w:t>
      </w:r>
      <w:r>
        <w:rPr>
          <w:rFonts w:ascii="Times New Roman" w:eastAsia="Times New Roman" w:hAnsi="Times New Roman" w:cs="Times New Roman"/>
          <w:sz w:val="20"/>
          <w:lang w:eastAsia="en-GB"/>
        </w:rPr>
        <w:t>.</w:t>
      </w:r>
      <w:r w:rsidRPr="00C20900">
        <w:rPr>
          <w:rFonts w:ascii="Times New Roman" w:eastAsia="Times New Roman" w:hAnsi="Times New Roman" w:cs="Times New Roman"/>
          <w:sz w:val="20"/>
          <w:lang w:eastAsia="en-GB"/>
        </w:rPr>
        <w:t xml:space="preserve">  </w:t>
      </w:r>
      <w:r>
        <w:rPr>
          <w:rFonts w:ascii="Times New Roman" w:eastAsia="Times New Roman" w:hAnsi="Times New Roman" w:cs="Times New Roman"/>
          <w:sz w:val="20"/>
          <w:lang w:eastAsia="en-GB"/>
        </w:rPr>
        <w:t xml:space="preserve">The handbook states </w:t>
      </w:r>
      <w:r w:rsidRPr="00C20900">
        <w:rPr>
          <w:rFonts w:ascii="Times New Roman" w:eastAsia="Times New Roman" w:hAnsi="Times New Roman" w:cs="Times New Roman"/>
          <w:sz w:val="20"/>
          <w:lang w:eastAsia="en-GB"/>
        </w:rPr>
        <w:t>that one cannot fully explain the existence of evil in a universe that was created by an omnibenevolent God. It also stipulates that evil which comes as a direct result of humans is a consequence of the nature of creation as free, autonomous beings with the freedom to refuse God’s loving plan.</w:t>
      </w:r>
      <w:r w:rsidR="002C5E3E">
        <w:rPr>
          <w:rStyle w:val="FootnoteReference"/>
          <w:rFonts w:ascii="Times New Roman" w:eastAsia="Times New Roman" w:hAnsi="Times New Roman" w:cs="Times New Roman"/>
          <w:sz w:val="20"/>
          <w:lang w:eastAsia="en-GB"/>
        </w:rPr>
        <w:footnoteReference w:id="5"/>
      </w:r>
    </w:p>
    <w:p w14:paraId="480FFD4C" w14:textId="4933E9B6" w:rsidR="00562EB6" w:rsidRPr="00562EB6" w:rsidRDefault="00562EB6" w:rsidP="009E2A81">
      <w:pPr>
        <w:spacing w:before="100" w:beforeAutospacing="1" w:after="100" w:afterAutospacing="1" w:line="240" w:lineRule="auto"/>
        <w:rPr>
          <w:rFonts w:ascii="Times New Roman" w:eastAsia="Times New Roman" w:hAnsi="Times New Roman" w:cs="Times New Roman"/>
          <w:sz w:val="20"/>
          <w:lang w:eastAsia="en-GB"/>
        </w:rPr>
      </w:pPr>
      <w:r>
        <w:rPr>
          <w:rFonts w:ascii="Times New Roman" w:eastAsia="Times New Roman" w:hAnsi="Times New Roman" w:cs="Times New Roman"/>
          <w:sz w:val="20"/>
          <w:lang w:eastAsia="en-GB"/>
        </w:rPr>
        <w:t>When executing the paper, audience engagement may be achieved through several means including the use of technology (presentation, an interactive video), the asking and answering of questions</w:t>
      </w:r>
      <w:r w:rsidR="006536D6">
        <w:rPr>
          <w:rFonts w:ascii="Times New Roman" w:eastAsia="Times New Roman" w:hAnsi="Times New Roman" w:cs="Times New Roman"/>
          <w:sz w:val="20"/>
          <w:lang w:eastAsia="en-GB"/>
        </w:rPr>
        <w:t>,</w:t>
      </w:r>
      <w:r>
        <w:rPr>
          <w:rFonts w:ascii="Times New Roman" w:eastAsia="Times New Roman" w:hAnsi="Times New Roman" w:cs="Times New Roman"/>
          <w:sz w:val="20"/>
          <w:lang w:eastAsia="en-GB"/>
        </w:rPr>
        <w:t xml:space="preserve"> (e.g. Is the existence of evil damaging in a Christian worldview that was created by a perfect God?)</w:t>
      </w:r>
      <w:r w:rsidR="006536D6">
        <w:rPr>
          <w:rFonts w:ascii="Times New Roman" w:eastAsia="Times New Roman" w:hAnsi="Times New Roman" w:cs="Times New Roman"/>
          <w:sz w:val="20"/>
          <w:lang w:eastAsia="en-GB"/>
        </w:rPr>
        <w:t xml:space="preserve"> and through involving the audience in the discussion of Christian responses to the existence of evil.</w:t>
      </w:r>
    </w:p>
    <w:p w14:paraId="0705C94C" w14:textId="47ACA7A8" w:rsidR="00B46AAF" w:rsidRDefault="00B46AAF" w:rsidP="009E2A81">
      <w:pPr>
        <w:spacing w:before="100" w:beforeAutospacing="1" w:after="100" w:afterAutospacing="1" w:line="240" w:lineRule="auto"/>
        <w:rPr>
          <w:rFonts w:ascii="Times New Roman" w:eastAsia="Times New Roman" w:hAnsi="Times New Roman" w:cs="Times New Roman"/>
          <w:sz w:val="20"/>
          <w:lang w:eastAsia="en-GB"/>
        </w:rPr>
      </w:pPr>
      <w:r w:rsidRPr="00C20900">
        <w:rPr>
          <w:rFonts w:ascii="Times New Roman" w:eastAsia="Times New Roman" w:hAnsi="Times New Roman" w:cs="Times New Roman"/>
          <w:sz w:val="20"/>
          <w:lang w:eastAsia="en-GB"/>
        </w:rPr>
        <w:t xml:space="preserve">In conclusion, the paper would focus on Christian responses to the existence of evil and would utilise different academic sources as well as primary sources such as the bible to explain the responses </w:t>
      </w:r>
      <w:r w:rsidRPr="000158EF">
        <w:rPr>
          <w:rFonts w:ascii="Times New Roman" w:eastAsia="Times New Roman" w:hAnsi="Times New Roman" w:cs="Times New Roman"/>
          <w:noProof/>
          <w:sz w:val="20"/>
          <w:lang w:eastAsia="en-GB"/>
        </w:rPr>
        <w:t>within</w:t>
      </w:r>
      <w:r w:rsidRPr="00C20900">
        <w:rPr>
          <w:rFonts w:ascii="Times New Roman" w:eastAsia="Times New Roman" w:hAnsi="Times New Roman" w:cs="Times New Roman"/>
          <w:sz w:val="20"/>
          <w:lang w:eastAsia="en-GB"/>
        </w:rPr>
        <w:t xml:space="preserve"> Christianity.</w:t>
      </w:r>
      <w:r w:rsidR="001D2AE3" w:rsidRPr="00C20900">
        <w:rPr>
          <w:rFonts w:ascii="Times New Roman" w:eastAsia="Times New Roman" w:hAnsi="Times New Roman" w:cs="Times New Roman"/>
          <w:sz w:val="20"/>
          <w:lang w:eastAsia="en-GB"/>
        </w:rPr>
        <w:t xml:space="preserve"> Key themes include the origin of evil within the context of Adam and Eve, the existence of the devil and the impact that this has on the presence of evil, denominational responses to the existence of evil and Jesus’ defeat of sin on the cross one of the most symbolic events in Christian history.</w:t>
      </w:r>
    </w:p>
    <w:p w14:paraId="45A8B65E" w14:textId="746901EC"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7B7BA966" w14:textId="521EB932"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7FB398D7" w14:textId="27FB5C9A"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711C5A62" w14:textId="67C444A8"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6F8ABFF6" w14:textId="38F345E4"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67CD09AD" w14:textId="3FF9277C"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546CA0A1" w14:textId="665B1F7F"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50D43143" w14:textId="7772C748"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0953FD3C" w14:textId="7626A5CF"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43B3ED2F" w14:textId="689F0EFF"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390F2E32" w14:textId="166BFAAD"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7524754E" w14:textId="12B51751"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484C3A25" w14:textId="2F5F6E5E" w:rsidR="00C007FE" w:rsidRDefault="00C007FE" w:rsidP="009E2A81">
      <w:pPr>
        <w:spacing w:before="100" w:beforeAutospacing="1" w:after="100" w:afterAutospacing="1" w:line="240" w:lineRule="auto"/>
        <w:rPr>
          <w:rFonts w:ascii="Times New Roman" w:eastAsia="Times New Roman" w:hAnsi="Times New Roman" w:cs="Times New Roman"/>
          <w:sz w:val="20"/>
          <w:lang w:eastAsia="en-GB"/>
        </w:rPr>
      </w:pPr>
    </w:p>
    <w:p w14:paraId="00198808" w14:textId="7FBF6824" w:rsidR="00C007FE" w:rsidRDefault="00C007FE" w:rsidP="009E2A81">
      <w:pPr>
        <w:spacing w:before="100" w:beforeAutospacing="1" w:after="100" w:afterAutospacing="1" w:line="240" w:lineRule="auto"/>
        <w:rPr>
          <w:rFonts w:ascii="Times New Roman" w:eastAsia="Times New Roman" w:hAnsi="Times New Roman" w:cs="Times New Roman"/>
          <w:b/>
          <w:sz w:val="20"/>
          <w:lang w:eastAsia="en-GB"/>
        </w:rPr>
      </w:pPr>
      <w:r>
        <w:rPr>
          <w:rFonts w:ascii="Times New Roman" w:eastAsia="Times New Roman" w:hAnsi="Times New Roman" w:cs="Times New Roman"/>
          <w:b/>
          <w:sz w:val="20"/>
          <w:lang w:eastAsia="en-GB"/>
        </w:rPr>
        <w:lastRenderedPageBreak/>
        <w:t xml:space="preserve">Bibliography </w:t>
      </w:r>
    </w:p>
    <w:p w14:paraId="74DB0CFC" w14:textId="7D168CD3" w:rsidR="00C007FE" w:rsidRDefault="00C007FE" w:rsidP="00C007FE">
      <w:pPr>
        <w:pStyle w:val="FootnoteText"/>
      </w:pPr>
      <w:r w:rsidRPr="00FB329B">
        <w:t>Beattie</w:t>
      </w:r>
      <w:r>
        <w:t>,</w:t>
      </w:r>
      <w:r w:rsidR="00EF337E">
        <w:t xml:space="preserve"> Tina.</w:t>
      </w:r>
      <w:r>
        <w:t xml:space="preserve"> ‘Thomas Aquinas, part 7: the question of evil’, </w:t>
      </w:r>
      <w:hyperlink r:id="rId8" w:history="1">
        <w:r w:rsidRPr="0002791C">
          <w:rPr>
            <w:rStyle w:val="Hyperlink"/>
          </w:rPr>
          <w:t>https://www.theguardian.com/commentisfree/2012/mar/12/thomas-aquinas-question-evil</w:t>
        </w:r>
      </w:hyperlink>
      <w:r>
        <w:t>, 06 January 2018.</w:t>
      </w:r>
    </w:p>
    <w:p w14:paraId="276EE985" w14:textId="77777777" w:rsidR="00EF337E" w:rsidRDefault="00EF337E" w:rsidP="00EF337E">
      <w:pPr>
        <w:pStyle w:val="FootnoteText"/>
      </w:pPr>
    </w:p>
    <w:p w14:paraId="1FB51181" w14:textId="265F6EB0" w:rsidR="00EF337E" w:rsidRDefault="00EF337E" w:rsidP="00EF337E">
      <w:pPr>
        <w:pStyle w:val="FootnoteText"/>
      </w:pPr>
      <w:r w:rsidRPr="00FE67A8">
        <w:t xml:space="preserve">Catholic Truth Society, </w:t>
      </w:r>
      <w:r w:rsidRPr="00847F72">
        <w:rPr>
          <w:i/>
        </w:rPr>
        <w:t>Catechism of the Catholic Church</w:t>
      </w:r>
      <w:r w:rsidRPr="00FE67A8">
        <w:t xml:space="preserve"> (</w:t>
      </w:r>
      <w:r>
        <w:t>London: Catholic Truth Society</w:t>
      </w:r>
      <w:r w:rsidRPr="00FE67A8">
        <w:t>, 2016)</w:t>
      </w:r>
    </w:p>
    <w:p w14:paraId="013B9AED" w14:textId="77777777" w:rsidR="00EF337E" w:rsidRDefault="00EF337E" w:rsidP="00EF337E">
      <w:pPr>
        <w:pStyle w:val="FootnoteText"/>
      </w:pPr>
    </w:p>
    <w:p w14:paraId="640C957E" w14:textId="024B996F" w:rsidR="00EF337E" w:rsidRDefault="00C007FE" w:rsidP="00EF337E">
      <w:pPr>
        <w:pStyle w:val="FootnoteText"/>
      </w:pPr>
      <w:r>
        <w:t>Hodgson</w:t>
      </w:r>
      <w:r w:rsidRPr="00815361">
        <w:t xml:space="preserve"> </w:t>
      </w:r>
      <w:r w:rsidR="00EF337E">
        <w:t xml:space="preserve">Peter C. </w:t>
      </w:r>
      <w:r w:rsidRPr="00815361">
        <w:t xml:space="preserve">and </w:t>
      </w:r>
      <w:r>
        <w:t>Robert H. King</w:t>
      </w:r>
      <w:r w:rsidRPr="00815361">
        <w:t xml:space="preserve">, </w:t>
      </w:r>
      <w:proofErr w:type="spellStart"/>
      <w:r w:rsidRPr="00815361">
        <w:t>eds</w:t>
      </w:r>
      <w:proofErr w:type="spellEnd"/>
      <w:r w:rsidRPr="00815361">
        <w:t>,</w:t>
      </w:r>
      <w:r>
        <w:t xml:space="preserve"> </w:t>
      </w:r>
      <w:r w:rsidRPr="000E3E8B">
        <w:rPr>
          <w:i/>
        </w:rPr>
        <w:t>Christian Theology: An introduction to its Traditions and Tasks</w:t>
      </w:r>
      <w:r w:rsidRPr="00815361">
        <w:t xml:space="preserve"> (London: </w:t>
      </w:r>
      <w:r>
        <w:t>SPCK</w:t>
      </w:r>
      <w:r w:rsidRPr="00815361">
        <w:t>, 19</w:t>
      </w:r>
      <w:r>
        <w:t>83</w:t>
      </w:r>
      <w:r w:rsidRPr="00815361">
        <w:t>)</w:t>
      </w:r>
    </w:p>
    <w:p w14:paraId="009CB19C" w14:textId="77777777" w:rsidR="00EF337E" w:rsidRDefault="00EF337E" w:rsidP="00EF337E">
      <w:pPr>
        <w:pStyle w:val="FootnoteText"/>
      </w:pPr>
    </w:p>
    <w:p w14:paraId="6D0B384B" w14:textId="4B0D9410" w:rsidR="00C007FE" w:rsidRDefault="00C007FE" w:rsidP="00EF337E">
      <w:pPr>
        <w:pStyle w:val="FootnoteText"/>
      </w:pPr>
      <w:r>
        <w:t>Jehovah’s Witnesses, ‘</w:t>
      </w:r>
      <w:r w:rsidRPr="00FD57F1">
        <w:t>Why Does God Allow Evil and Suffering?</w:t>
      </w:r>
      <w:r>
        <w:t xml:space="preserve">’, </w:t>
      </w:r>
      <w:hyperlink r:id="rId9" w:history="1">
        <w:r w:rsidRPr="0002791C">
          <w:rPr>
            <w:rStyle w:val="Hyperlink"/>
          </w:rPr>
          <w:t>https://www.jw.org/en/publications/books/good-news-from-god/why-god-allows-evil-and-suffering/</w:t>
        </w:r>
      </w:hyperlink>
      <w:r>
        <w:t>, 06 January 2018</w:t>
      </w:r>
    </w:p>
    <w:p w14:paraId="62F5F424" w14:textId="10A3EA1D" w:rsidR="003B427F" w:rsidRDefault="003B427F" w:rsidP="00EF337E">
      <w:pPr>
        <w:pStyle w:val="FootnoteText"/>
        <w:rPr>
          <w:i/>
        </w:rPr>
      </w:pPr>
    </w:p>
    <w:p w14:paraId="7B5916A0" w14:textId="5EA6A462" w:rsidR="003B427F" w:rsidRPr="003B427F" w:rsidRDefault="003B427F" w:rsidP="00EF337E">
      <w:pPr>
        <w:pStyle w:val="FootnoteText"/>
      </w:pPr>
      <w:r>
        <w:t xml:space="preserve">McGrath, Alister E., </w:t>
      </w:r>
      <w:r>
        <w:rPr>
          <w:i/>
        </w:rPr>
        <w:t>An Introduction to Christianity (</w:t>
      </w:r>
      <w:r>
        <w:t>Oxford: Blackwell Publishers Ltd, 1997)</w:t>
      </w:r>
    </w:p>
    <w:p w14:paraId="5AB0087E" w14:textId="77777777" w:rsidR="00EF337E" w:rsidRDefault="00EF337E" w:rsidP="00C007FE">
      <w:pPr>
        <w:pStyle w:val="FootnoteText"/>
        <w:rPr>
          <w:rFonts w:ascii="Times New Roman" w:eastAsia="Times New Roman" w:hAnsi="Times New Roman" w:cs="Times New Roman"/>
          <w:szCs w:val="22"/>
          <w:lang w:eastAsia="en-GB"/>
        </w:rPr>
      </w:pPr>
    </w:p>
    <w:p w14:paraId="686FC3A3" w14:textId="44407CCF" w:rsidR="00C007FE" w:rsidRPr="00EF337E" w:rsidRDefault="00C007FE" w:rsidP="00EF337E">
      <w:pPr>
        <w:pStyle w:val="FootnoteText"/>
      </w:pPr>
      <w:r w:rsidRPr="002C5E3E">
        <w:t xml:space="preserve">The General of the Salvation Army, </w:t>
      </w:r>
      <w:r w:rsidRPr="002C5E3E">
        <w:rPr>
          <w:i/>
          <w:iCs/>
        </w:rPr>
        <w:t>The Salvation Army Handbook of Doctrine (</w:t>
      </w:r>
      <w:r w:rsidRPr="002C5E3E">
        <w:t>London: Salvation Books, 2013)</w:t>
      </w:r>
    </w:p>
    <w:sectPr w:rsidR="00C007FE" w:rsidRPr="00EF337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59FC0" w14:textId="77777777" w:rsidR="005D3E11" w:rsidRDefault="005D3E11" w:rsidP="00901D93">
      <w:pPr>
        <w:spacing w:after="0" w:line="240" w:lineRule="auto"/>
      </w:pPr>
      <w:r>
        <w:separator/>
      </w:r>
    </w:p>
  </w:endnote>
  <w:endnote w:type="continuationSeparator" w:id="0">
    <w:p w14:paraId="687D7C7D" w14:textId="77777777" w:rsidR="005D3E11" w:rsidRDefault="005D3E11" w:rsidP="00901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920FD" w14:textId="77777777" w:rsidR="005D3E11" w:rsidRDefault="005D3E11" w:rsidP="00901D93">
      <w:pPr>
        <w:spacing w:after="0" w:line="240" w:lineRule="auto"/>
      </w:pPr>
      <w:r>
        <w:separator/>
      </w:r>
    </w:p>
  </w:footnote>
  <w:footnote w:type="continuationSeparator" w:id="0">
    <w:p w14:paraId="074797BD" w14:textId="77777777" w:rsidR="005D3E11" w:rsidRDefault="005D3E11" w:rsidP="00901D93">
      <w:pPr>
        <w:spacing w:after="0" w:line="240" w:lineRule="auto"/>
      </w:pPr>
      <w:r>
        <w:continuationSeparator/>
      </w:r>
    </w:p>
  </w:footnote>
  <w:footnote w:id="1">
    <w:p w14:paraId="1792C38F" w14:textId="66FE8097" w:rsidR="00FB329B" w:rsidRDefault="00FB329B" w:rsidP="00FB329B">
      <w:pPr>
        <w:pStyle w:val="FootnoteText"/>
      </w:pPr>
      <w:r>
        <w:rPr>
          <w:rStyle w:val="FootnoteReference"/>
        </w:rPr>
        <w:footnoteRef/>
      </w:r>
      <w:r w:rsidRPr="00FB329B">
        <w:t>Tina Beattie</w:t>
      </w:r>
      <w:r>
        <w:t>, ‘</w:t>
      </w:r>
      <w:r>
        <w:t>Thomas Aquinas, part 7: the question of evil</w:t>
      </w:r>
      <w:r>
        <w:t xml:space="preserve">’, </w:t>
      </w:r>
      <w:hyperlink r:id="rId1" w:history="1">
        <w:r w:rsidRPr="0002791C">
          <w:rPr>
            <w:rStyle w:val="Hyperlink"/>
          </w:rPr>
          <w:t>https://www.theguardian.com/commentisfree/2012/mar/12/thomas-aquinas-question-evil</w:t>
        </w:r>
      </w:hyperlink>
      <w:r>
        <w:t>, 06 January 2018.</w:t>
      </w:r>
    </w:p>
  </w:footnote>
  <w:footnote w:id="2">
    <w:p w14:paraId="4AA68E49" w14:textId="39987DD4" w:rsidR="00996546" w:rsidRPr="00996546" w:rsidRDefault="00996546">
      <w:pPr>
        <w:pStyle w:val="FootnoteText"/>
        <w:rPr>
          <w:i/>
        </w:rPr>
      </w:pPr>
      <w:r>
        <w:rPr>
          <w:rStyle w:val="FootnoteReference"/>
        </w:rPr>
        <w:footnoteRef/>
      </w:r>
      <w:r>
        <w:t xml:space="preserve"> </w:t>
      </w:r>
      <w:r w:rsidR="00815361">
        <w:t>Peter C. Hodgson</w:t>
      </w:r>
      <w:r w:rsidR="00815361" w:rsidRPr="00815361">
        <w:t xml:space="preserve"> and </w:t>
      </w:r>
      <w:r w:rsidR="00815361">
        <w:t>Robert H. King</w:t>
      </w:r>
      <w:r w:rsidR="00815361" w:rsidRPr="00815361">
        <w:t xml:space="preserve">, </w:t>
      </w:r>
      <w:proofErr w:type="spellStart"/>
      <w:r w:rsidR="00815361" w:rsidRPr="00815361">
        <w:t>eds</w:t>
      </w:r>
      <w:proofErr w:type="spellEnd"/>
      <w:r w:rsidR="00815361" w:rsidRPr="00815361">
        <w:t>,</w:t>
      </w:r>
      <w:r w:rsidR="00815361">
        <w:t xml:space="preserve"> </w:t>
      </w:r>
      <w:r w:rsidR="00815361" w:rsidRPr="000E3E8B">
        <w:rPr>
          <w:i/>
        </w:rPr>
        <w:t>Christian Theology: An introduction to its Traditions and Tasks</w:t>
      </w:r>
      <w:r w:rsidR="00815361" w:rsidRPr="00815361">
        <w:t xml:space="preserve"> (London: </w:t>
      </w:r>
      <w:r w:rsidR="00815361">
        <w:t>SPCK</w:t>
      </w:r>
      <w:r w:rsidR="00815361" w:rsidRPr="00815361">
        <w:t>, 19</w:t>
      </w:r>
      <w:r w:rsidR="00815361">
        <w:t>83</w:t>
      </w:r>
      <w:r w:rsidR="00815361" w:rsidRPr="00815361">
        <w:t>), p</w:t>
      </w:r>
      <w:r w:rsidR="009A46F4">
        <w:t>p</w:t>
      </w:r>
      <w:r w:rsidR="00815361" w:rsidRPr="00815361">
        <w:t xml:space="preserve">. </w:t>
      </w:r>
      <w:r w:rsidR="009A46F4">
        <w:t>172-73.</w:t>
      </w:r>
    </w:p>
  </w:footnote>
  <w:footnote w:id="3">
    <w:p w14:paraId="48AC42FE" w14:textId="63579777" w:rsidR="00FD57F1" w:rsidRDefault="00FD57F1">
      <w:pPr>
        <w:pStyle w:val="FootnoteText"/>
      </w:pPr>
      <w:r>
        <w:rPr>
          <w:rStyle w:val="FootnoteReference"/>
        </w:rPr>
        <w:footnoteRef/>
      </w:r>
      <w:r>
        <w:t xml:space="preserve"> Jehovah’s Witnesses, ‘</w:t>
      </w:r>
      <w:r w:rsidRPr="00FD57F1">
        <w:t>Why Does God Allow Evil and Suffering?</w:t>
      </w:r>
      <w:r>
        <w:t xml:space="preserve">’, </w:t>
      </w:r>
      <w:hyperlink r:id="rId2" w:history="1">
        <w:r w:rsidRPr="0002791C">
          <w:rPr>
            <w:rStyle w:val="Hyperlink"/>
          </w:rPr>
          <w:t>https://www.jw.org/en/publications/books/good-news-from-god/why-god-allows-evil-and-suffering/</w:t>
        </w:r>
      </w:hyperlink>
      <w:r>
        <w:t>, 06 January 2018.</w:t>
      </w:r>
    </w:p>
  </w:footnote>
  <w:footnote w:id="4">
    <w:p w14:paraId="2164D6B1" w14:textId="7BF827E7" w:rsidR="00FE67A8" w:rsidRDefault="00FE67A8">
      <w:pPr>
        <w:pStyle w:val="FootnoteText"/>
      </w:pPr>
      <w:r>
        <w:rPr>
          <w:rStyle w:val="FootnoteReference"/>
        </w:rPr>
        <w:footnoteRef/>
      </w:r>
      <w:r>
        <w:t xml:space="preserve"> </w:t>
      </w:r>
      <w:r w:rsidRPr="00FE67A8">
        <w:t xml:space="preserve">Catholic Truth Society, </w:t>
      </w:r>
      <w:r w:rsidRPr="00847F72">
        <w:rPr>
          <w:i/>
        </w:rPr>
        <w:t>Catechism of the Catholic Church</w:t>
      </w:r>
      <w:r w:rsidRPr="00FE67A8">
        <w:t xml:space="preserve"> (</w:t>
      </w:r>
      <w:r w:rsidR="00E4574F">
        <w:t>London: Catholic Truth Society</w:t>
      </w:r>
      <w:r w:rsidRPr="00FE67A8">
        <w:t>, 2016) p</w:t>
      </w:r>
      <w:r>
        <w:t>p</w:t>
      </w:r>
      <w:r w:rsidRPr="00FE67A8">
        <w:t xml:space="preserve">. </w:t>
      </w:r>
      <w:r>
        <w:t>78-9</w:t>
      </w:r>
      <w:r w:rsidRPr="00FE67A8">
        <w:t>. (</w:t>
      </w:r>
      <w:r>
        <w:t>310</w:t>
      </w:r>
      <w:r w:rsidRPr="00FE67A8">
        <w:t>)</w:t>
      </w:r>
    </w:p>
  </w:footnote>
  <w:footnote w:id="5">
    <w:p w14:paraId="76F1FDF3" w14:textId="7C262918" w:rsidR="002C5E3E" w:rsidRPr="002C5E3E" w:rsidRDefault="002C5E3E" w:rsidP="002C5E3E">
      <w:pPr>
        <w:pStyle w:val="FootnoteText"/>
      </w:pPr>
      <w:r>
        <w:rPr>
          <w:rStyle w:val="FootnoteReference"/>
        </w:rPr>
        <w:footnoteRef/>
      </w:r>
      <w:r>
        <w:t xml:space="preserve"> </w:t>
      </w:r>
      <w:r w:rsidRPr="002C5E3E">
        <w:t xml:space="preserve">The General of the Salvation Army, </w:t>
      </w:r>
      <w:r w:rsidRPr="002C5E3E">
        <w:rPr>
          <w:i/>
          <w:iCs/>
        </w:rPr>
        <w:t>The Salvation Army Handbook of Doctrine (</w:t>
      </w:r>
      <w:r w:rsidRPr="002C5E3E">
        <w:t xml:space="preserve">London: Salvation Books, 2013), p. </w:t>
      </w:r>
      <w:r w:rsidR="00FE67A8">
        <w:t>32</w:t>
      </w:r>
      <w:r w:rsidRPr="002C5E3E">
        <w:t>.</w:t>
      </w:r>
    </w:p>
    <w:p w14:paraId="4E50CED5" w14:textId="782CB8DB" w:rsidR="002C5E3E" w:rsidRDefault="002C5E3E">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51700" w14:textId="77777777" w:rsidR="00901D93" w:rsidRDefault="00901D93">
    <w:pPr>
      <w:pStyle w:val="Header"/>
    </w:pPr>
    <w:r>
      <w:t>TRSK5001</w:t>
    </w:r>
    <w:r>
      <w:ptab w:relativeTo="margin" w:alignment="center" w:leader="none"/>
    </w:r>
    <w:r>
      <w:t>Assignment 2- Conference Proposal (1000 words)</w:t>
    </w:r>
    <w:r>
      <w:ptab w:relativeTo="margin" w:alignment="right" w:leader="none"/>
    </w:r>
    <w:r>
      <w:t>1600551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884AA9"/>
    <w:multiLevelType w:val="multilevel"/>
    <w:tmpl w:val="02748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TQytzAzMTM3MDIBAiUdpeDU4uLM/DyQAtNaAHOf3G4sAAAA"/>
  </w:docVars>
  <w:rsids>
    <w:rsidRoot w:val="00901D93"/>
    <w:rsid w:val="000158EF"/>
    <w:rsid w:val="000164ED"/>
    <w:rsid w:val="00020F9B"/>
    <w:rsid w:val="00022889"/>
    <w:rsid w:val="0007305C"/>
    <w:rsid w:val="00083B2D"/>
    <w:rsid w:val="00085A83"/>
    <w:rsid w:val="000B0A0F"/>
    <w:rsid w:val="000B27AE"/>
    <w:rsid w:val="000E3E8B"/>
    <w:rsid w:val="00144B51"/>
    <w:rsid w:val="0015080C"/>
    <w:rsid w:val="00176719"/>
    <w:rsid w:val="001A52D5"/>
    <w:rsid w:val="001D2AE3"/>
    <w:rsid w:val="001E2CD3"/>
    <w:rsid w:val="001E4E6B"/>
    <w:rsid w:val="001F309E"/>
    <w:rsid w:val="001F478C"/>
    <w:rsid w:val="00220353"/>
    <w:rsid w:val="002324A7"/>
    <w:rsid w:val="00234169"/>
    <w:rsid w:val="00245C83"/>
    <w:rsid w:val="00256FCC"/>
    <w:rsid w:val="00270891"/>
    <w:rsid w:val="00271991"/>
    <w:rsid w:val="002824D8"/>
    <w:rsid w:val="00286DCA"/>
    <w:rsid w:val="002927AE"/>
    <w:rsid w:val="002A296D"/>
    <w:rsid w:val="002C5E3E"/>
    <w:rsid w:val="002E6A5E"/>
    <w:rsid w:val="00312AE2"/>
    <w:rsid w:val="00324F1A"/>
    <w:rsid w:val="00336809"/>
    <w:rsid w:val="00355D30"/>
    <w:rsid w:val="00365BE1"/>
    <w:rsid w:val="00394AC1"/>
    <w:rsid w:val="003B427F"/>
    <w:rsid w:val="003B6B50"/>
    <w:rsid w:val="003D4F58"/>
    <w:rsid w:val="003E5C59"/>
    <w:rsid w:val="003F1E97"/>
    <w:rsid w:val="00400B26"/>
    <w:rsid w:val="004245B5"/>
    <w:rsid w:val="00481BD1"/>
    <w:rsid w:val="00494213"/>
    <w:rsid w:val="004B4989"/>
    <w:rsid w:val="004D4DC6"/>
    <w:rsid w:val="004D52F8"/>
    <w:rsid w:val="004E27BB"/>
    <w:rsid w:val="00560889"/>
    <w:rsid w:val="00562EB6"/>
    <w:rsid w:val="00587958"/>
    <w:rsid w:val="005D1D5C"/>
    <w:rsid w:val="005D3E11"/>
    <w:rsid w:val="0060293B"/>
    <w:rsid w:val="00607E0A"/>
    <w:rsid w:val="00611440"/>
    <w:rsid w:val="00615177"/>
    <w:rsid w:val="006262EB"/>
    <w:rsid w:val="0062674F"/>
    <w:rsid w:val="0064037C"/>
    <w:rsid w:val="00644858"/>
    <w:rsid w:val="006461E9"/>
    <w:rsid w:val="006536D6"/>
    <w:rsid w:val="00672153"/>
    <w:rsid w:val="00691E99"/>
    <w:rsid w:val="0070206A"/>
    <w:rsid w:val="007342CE"/>
    <w:rsid w:val="007460A9"/>
    <w:rsid w:val="0074658A"/>
    <w:rsid w:val="0076408F"/>
    <w:rsid w:val="00766DC5"/>
    <w:rsid w:val="00792173"/>
    <w:rsid w:val="007A3E81"/>
    <w:rsid w:val="007D3BDD"/>
    <w:rsid w:val="007E3CF6"/>
    <w:rsid w:val="00815361"/>
    <w:rsid w:val="0082003B"/>
    <w:rsid w:val="00842E21"/>
    <w:rsid w:val="00847F72"/>
    <w:rsid w:val="00885703"/>
    <w:rsid w:val="00894179"/>
    <w:rsid w:val="008B04E6"/>
    <w:rsid w:val="008B2D06"/>
    <w:rsid w:val="008D638A"/>
    <w:rsid w:val="00901D93"/>
    <w:rsid w:val="00915AC6"/>
    <w:rsid w:val="00915CBE"/>
    <w:rsid w:val="00937132"/>
    <w:rsid w:val="00940BBD"/>
    <w:rsid w:val="00946070"/>
    <w:rsid w:val="00984726"/>
    <w:rsid w:val="00996546"/>
    <w:rsid w:val="009A46F4"/>
    <w:rsid w:val="009A7429"/>
    <w:rsid w:val="009E2A81"/>
    <w:rsid w:val="009F05C5"/>
    <w:rsid w:val="00A25162"/>
    <w:rsid w:val="00A5081F"/>
    <w:rsid w:val="00A86C34"/>
    <w:rsid w:val="00A96C30"/>
    <w:rsid w:val="00AC39D5"/>
    <w:rsid w:val="00AD30BB"/>
    <w:rsid w:val="00B0024B"/>
    <w:rsid w:val="00B025CE"/>
    <w:rsid w:val="00B46AAF"/>
    <w:rsid w:val="00B61885"/>
    <w:rsid w:val="00B66A4A"/>
    <w:rsid w:val="00B84D5F"/>
    <w:rsid w:val="00B85DC7"/>
    <w:rsid w:val="00B91B10"/>
    <w:rsid w:val="00BA6F71"/>
    <w:rsid w:val="00BB6C0C"/>
    <w:rsid w:val="00BC1865"/>
    <w:rsid w:val="00BC4F83"/>
    <w:rsid w:val="00BC74A2"/>
    <w:rsid w:val="00BF509E"/>
    <w:rsid w:val="00C007FE"/>
    <w:rsid w:val="00C00870"/>
    <w:rsid w:val="00C12889"/>
    <w:rsid w:val="00C12FC9"/>
    <w:rsid w:val="00C149AB"/>
    <w:rsid w:val="00C20900"/>
    <w:rsid w:val="00C4181E"/>
    <w:rsid w:val="00C5076A"/>
    <w:rsid w:val="00C5245B"/>
    <w:rsid w:val="00C54ACC"/>
    <w:rsid w:val="00C61B40"/>
    <w:rsid w:val="00CB26D6"/>
    <w:rsid w:val="00CE0AA0"/>
    <w:rsid w:val="00CF6578"/>
    <w:rsid w:val="00D07D73"/>
    <w:rsid w:val="00D1653A"/>
    <w:rsid w:val="00D246BA"/>
    <w:rsid w:val="00D60D12"/>
    <w:rsid w:val="00D660D9"/>
    <w:rsid w:val="00D931A8"/>
    <w:rsid w:val="00D93E3C"/>
    <w:rsid w:val="00DD27BF"/>
    <w:rsid w:val="00DF13F6"/>
    <w:rsid w:val="00E35D5D"/>
    <w:rsid w:val="00E4574F"/>
    <w:rsid w:val="00E90639"/>
    <w:rsid w:val="00EA0299"/>
    <w:rsid w:val="00EB7343"/>
    <w:rsid w:val="00EF3175"/>
    <w:rsid w:val="00EF337E"/>
    <w:rsid w:val="00F448E0"/>
    <w:rsid w:val="00F63076"/>
    <w:rsid w:val="00F6556D"/>
    <w:rsid w:val="00F963EE"/>
    <w:rsid w:val="00FB329B"/>
    <w:rsid w:val="00FD57F1"/>
    <w:rsid w:val="00FE5D7D"/>
    <w:rsid w:val="00FE6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CE5CA"/>
  <w15:chartTrackingRefBased/>
  <w15:docId w15:val="{2AFFACBB-F8E7-461C-8C3D-00A934717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1D9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D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D93"/>
  </w:style>
  <w:style w:type="paragraph" w:styleId="Footer">
    <w:name w:val="footer"/>
    <w:basedOn w:val="Normal"/>
    <w:link w:val="FooterChar"/>
    <w:uiPriority w:val="99"/>
    <w:unhideWhenUsed/>
    <w:rsid w:val="00901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D93"/>
  </w:style>
  <w:style w:type="paragraph" w:styleId="FootnoteText">
    <w:name w:val="footnote text"/>
    <w:basedOn w:val="Normal"/>
    <w:link w:val="FootnoteTextChar"/>
    <w:uiPriority w:val="99"/>
    <w:unhideWhenUsed/>
    <w:rsid w:val="00FB329B"/>
    <w:pPr>
      <w:spacing w:after="0" w:line="240" w:lineRule="auto"/>
    </w:pPr>
    <w:rPr>
      <w:sz w:val="20"/>
      <w:szCs w:val="20"/>
    </w:rPr>
  </w:style>
  <w:style w:type="character" w:customStyle="1" w:styleId="FootnoteTextChar">
    <w:name w:val="Footnote Text Char"/>
    <w:basedOn w:val="DefaultParagraphFont"/>
    <w:link w:val="FootnoteText"/>
    <w:uiPriority w:val="99"/>
    <w:rsid w:val="00FB329B"/>
    <w:rPr>
      <w:sz w:val="20"/>
      <w:szCs w:val="20"/>
    </w:rPr>
  </w:style>
  <w:style w:type="character" w:styleId="FootnoteReference">
    <w:name w:val="footnote reference"/>
    <w:basedOn w:val="DefaultParagraphFont"/>
    <w:uiPriority w:val="99"/>
    <w:semiHidden/>
    <w:unhideWhenUsed/>
    <w:rsid w:val="00FB329B"/>
    <w:rPr>
      <w:vertAlign w:val="superscript"/>
    </w:rPr>
  </w:style>
  <w:style w:type="character" w:styleId="Hyperlink">
    <w:name w:val="Hyperlink"/>
    <w:basedOn w:val="DefaultParagraphFont"/>
    <w:uiPriority w:val="99"/>
    <w:unhideWhenUsed/>
    <w:rsid w:val="00FB329B"/>
    <w:rPr>
      <w:color w:val="0563C1" w:themeColor="hyperlink"/>
      <w:u w:val="single"/>
    </w:rPr>
  </w:style>
  <w:style w:type="character" w:styleId="UnresolvedMention">
    <w:name w:val="Unresolved Mention"/>
    <w:basedOn w:val="DefaultParagraphFont"/>
    <w:uiPriority w:val="99"/>
    <w:semiHidden/>
    <w:unhideWhenUsed/>
    <w:rsid w:val="00FB329B"/>
    <w:rPr>
      <w:color w:val="808080"/>
      <w:shd w:val="clear" w:color="auto" w:fill="E6E6E6"/>
    </w:rPr>
  </w:style>
  <w:style w:type="paragraph" w:styleId="NormalWeb">
    <w:name w:val="Normal (Web)"/>
    <w:basedOn w:val="Normal"/>
    <w:uiPriority w:val="99"/>
    <w:semiHidden/>
    <w:unhideWhenUsed/>
    <w:rsid w:val="002C5E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994313">
      <w:bodyDiv w:val="1"/>
      <w:marLeft w:val="0"/>
      <w:marRight w:val="0"/>
      <w:marTop w:val="0"/>
      <w:marBottom w:val="0"/>
      <w:divBdr>
        <w:top w:val="none" w:sz="0" w:space="0" w:color="auto"/>
        <w:left w:val="none" w:sz="0" w:space="0" w:color="auto"/>
        <w:bottom w:val="none" w:sz="0" w:space="0" w:color="auto"/>
        <w:right w:val="none" w:sz="0" w:space="0" w:color="auto"/>
      </w:divBdr>
      <w:divsChild>
        <w:div w:id="649407018">
          <w:marLeft w:val="-3600"/>
          <w:marRight w:val="0"/>
          <w:marTop w:val="0"/>
          <w:marBottom w:val="180"/>
          <w:divBdr>
            <w:top w:val="none" w:sz="0" w:space="0" w:color="auto"/>
            <w:left w:val="none" w:sz="0" w:space="0" w:color="auto"/>
            <w:bottom w:val="none" w:sz="0" w:space="0" w:color="auto"/>
            <w:right w:val="none" w:sz="0" w:space="0" w:color="auto"/>
          </w:divBdr>
          <w:divsChild>
            <w:div w:id="101962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13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2/mar/12/thomas-aquinas-question-evi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jw.org/en/publications/books/good-news-from-god/why-god-allows-evil-and-suffering/"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jw.org/en/publications/books/good-news-from-god/why-god-allows-evil-and-suffering/" TargetMode="External"/><Relationship Id="rId1" Type="http://schemas.openxmlformats.org/officeDocument/2006/relationships/hyperlink" Target="https://www.theguardian.com/commentisfree/2012/mar/12/thomas-aquinas-question-ev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69DDA-BF61-456D-92EA-EDC690E8B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TotalTime>
  <Pages>3</Pages>
  <Words>1089</Words>
  <Characters>6209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134</cp:revision>
  <dcterms:created xsi:type="dcterms:W3CDTF">2017-12-19T22:45:00Z</dcterms:created>
  <dcterms:modified xsi:type="dcterms:W3CDTF">2018-01-06T18:58:00Z</dcterms:modified>
</cp:coreProperties>
</file>