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F104F4" w14:textId="77777777" w:rsidR="00E127AE" w:rsidRDefault="00877E66">
      <w:pPr>
        <w:rPr>
          <w:b/>
          <w:bCs/>
          <w:sz w:val="36"/>
          <w:szCs w:val="36"/>
        </w:rPr>
      </w:pPr>
      <w:r>
        <w:t xml:space="preserve"> </w:t>
      </w:r>
      <w:r>
        <w:rPr>
          <w:b/>
          <w:bCs/>
          <w:sz w:val="36"/>
          <w:szCs w:val="36"/>
        </w:rPr>
        <w:t>Assessment three: Gobbet on “The Condition of the Working Class in England in 1844”</w:t>
      </w:r>
    </w:p>
    <w:p w14:paraId="6957F242" w14:textId="77777777" w:rsidR="00877E66" w:rsidRDefault="00877E66" w:rsidP="00877E66">
      <w:pPr>
        <w:jc w:val="center"/>
        <w:rPr>
          <w:sz w:val="28"/>
          <w:szCs w:val="28"/>
        </w:rPr>
      </w:pPr>
      <w:r>
        <w:rPr>
          <w:sz w:val="28"/>
          <w:szCs w:val="28"/>
        </w:rPr>
        <w:t>By Bradley Sloanes</w:t>
      </w:r>
    </w:p>
    <w:p w14:paraId="6DF5C449" w14:textId="73103ECE" w:rsidR="00877E66" w:rsidRDefault="00332914" w:rsidP="00877E66">
      <w:pPr>
        <w:rPr>
          <w:sz w:val="24"/>
          <w:szCs w:val="24"/>
        </w:rPr>
      </w:pPr>
      <w:r>
        <w:rPr>
          <w:sz w:val="24"/>
          <w:szCs w:val="24"/>
        </w:rPr>
        <w:t xml:space="preserve">The Industrial Revolution was one of the most significant events in history, completely transforming global societies at the time, and to some extent, is still shaping and evolving </w:t>
      </w:r>
      <w:r w:rsidR="00230927">
        <w:rPr>
          <w:sz w:val="24"/>
          <w:szCs w:val="24"/>
        </w:rPr>
        <w:t xml:space="preserve">our society </w:t>
      </w:r>
      <w:r>
        <w:rPr>
          <w:sz w:val="24"/>
          <w:szCs w:val="24"/>
        </w:rPr>
        <w:t xml:space="preserve">today. Things like capitalism, the working class, utilitarianism, union’s, factories, strikes, socialism, scientists and engineers all exist today because of this pivotal </w:t>
      </w:r>
      <w:r w:rsidR="008C13A7">
        <w:rPr>
          <w:sz w:val="24"/>
          <w:szCs w:val="24"/>
        </w:rPr>
        <w:t>moment in human history. “To imagine the Modern world without these words is to measure the profundity of the revolution which broke out between 1789 and 1848”.</w:t>
      </w:r>
      <w:r w:rsidR="008C13A7">
        <w:rPr>
          <w:rStyle w:val="FootnoteReference"/>
          <w:sz w:val="24"/>
          <w:szCs w:val="24"/>
        </w:rPr>
        <w:footnoteReference w:id="1"/>
      </w:r>
      <w:r w:rsidR="004C04F0">
        <w:rPr>
          <w:sz w:val="24"/>
          <w:szCs w:val="24"/>
        </w:rPr>
        <w:t xml:space="preserve"> Having such a far-reaching effect on society as a whole, it inspired the creation of new ideologies like “communism” and “capitalism” through literary works by writers and philosophers such as Friedrich Enge</w:t>
      </w:r>
      <w:r w:rsidR="00BC2C27">
        <w:rPr>
          <w:sz w:val="24"/>
          <w:szCs w:val="24"/>
        </w:rPr>
        <w:t>l</w:t>
      </w:r>
      <w:r w:rsidR="004C04F0">
        <w:rPr>
          <w:sz w:val="24"/>
          <w:szCs w:val="24"/>
        </w:rPr>
        <w:t>s. One such piece of literature is Engels’ “</w:t>
      </w:r>
      <w:r w:rsidR="004C04F0" w:rsidRPr="00BC2C27">
        <w:rPr>
          <w:i/>
          <w:iCs/>
          <w:sz w:val="24"/>
          <w:szCs w:val="24"/>
        </w:rPr>
        <w:t>The Condition of the Working Class in England</w:t>
      </w:r>
      <w:r w:rsidR="004C04F0">
        <w:rPr>
          <w:sz w:val="24"/>
          <w:szCs w:val="24"/>
        </w:rPr>
        <w:t xml:space="preserve">”. </w:t>
      </w:r>
    </w:p>
    <w:p w14:paraId="22959918" w14:textId="2E3045D8" w:rsidR="004C04F0" w:rsidRDefault="00CA2C72" w:rsidP="00877E66">
      <w:pPr>
        <w:rPr>
          <w:sz w:val="24"/>
          <w:szCs w:val="24"/>
        </w:rPr>
      </w:pPr>
      <w:r>
        <w:rPr>
          <w:sz w:val="24"/>
          <w:szCs w:val="24"/>
        </w:rPr>
        <w:t xml:space="preserve">Engels was a German </w:t>
      </w:r>
      <w:r w:rsidR="00BC2C27">
        <w:rPr>
          <w:sz w:val="24"/>
          <w:szCs w:val="24"/>
        </w:rPr>
        <w:t>p</w:t>
      </w:r>
      <w:r>
        <w:rPr>
          <w:sz w:val="24"/>
          <w:szCs w:val="24"/>
        </w:rPr>
        <w:t>hilosopher</w:t>
      </w:r>
      <w:r w:rsidR="00BC2C27">
        <w:rPr>
          <w:sz w:val="24"/>
          <w:szCs w:val="24"/>
        </w:rPr>
        <w:t xml:space="preserve">, and socialist, who co-authored the famous </w:t>
      </w:r>
      <w:r w:rsidR="00BC2C27" w:rsidRPr="00BC2C27">
        <w:rPr>
          <w:i/>
          <w:iCs/>
          <w:sz w:val="24"/>
          <w:szCs w:val="24"/>
        </w:rPr>
        <w:t>Communist Manifesto</w:t>
      </w:r>
      <w:r w:rsidR="00BC2C27">
        <w:rPr>
          <w:i/>
          <w:iCs/>
          <w:sz w:val="24"/>
          <w:szCs w:val="24"/>
        </w:rPr>
        <w:t xml:space="preserve"> </w:t>
      </w:r>
      <w:r w:rsidR="00BC2C27">
        <w:rPr>
          <w:sz w:val="24"/>
          <w:szCs w:val="24"/>
        </w:rPr>
        <w:t xml:space="preserve">with Karl Marx. Importantly, he was sent to Manchester to work which allowed Engels to observe and conduct research in English cities, </w:t>
      </w:r>
      <w:r w:rsidR="00332B8E">
        <w:rPr>
          <w:sz w:val="24"/>
          <w:szCs w:val="24"/>
        </w:rPr>
        <w:t>affected</w:t>
      </w:r>
      <w:r w:rsidR="00BC2C27">
        <w:rPr>
          <w:sz w:val="24"/>
          <w:szCs w:val="24"/>
        </w:rPr>
        <w:t xml:space="preserve"> most by the Industrial Revolution, inspiring his first book “</w:t>
      </w:r>
      <w:r w:rsidR="00BC2C27">
        <w:rPr>
          <w:i/>
          <w:iCs/>
          <w:sz w:val="24"/>
          <w:szCs w:val="24"/>
        </w:rPr>
        <w:t>The Condition of the Working Class in England</w:t>
      </w:r>
      <w:r w:rsidR="00BC2C27">
        <w:rPr>
          <w:sz w:val="24"/>
          <w:szCs w:val="24"/>
        </w:rPr>
        <w:t>”.</w:t>
      </w:r>
      <w:r w:rsidR="00BC2C27">
        <w:rPr>
          <w:rStyle w:val="FootnoteReference"/>
          <w:sz w:val="24"/>
          <w:szCs w:val="24"/>
        </w:rPr>
        <w:footnoteReference w:id="2"/>
      </w:r>
    </w:p>
    <w:p w14:paraId="20179BBC" w14:textId="162AB8D7" w:rsidR="00B976CB" w:rsidRDefault="00B976CB" w:rsidP="00877E66">
      <w:pPr>
        <w:rPr>
          <w:sz w:val="24"/>
          <w:szCs w:val="24"/>
        </w:rPr>
      </w:pPr>
      <w:r>
        <w:rPr>
          <w:sz w:val="24"/>
          <w:szCs w:val="24"/>
        </w:rPr>
        <w:t xml:space="preserve">Engels begins by </w:t>
      </w:r>
      <w:r w:rsidR="004E3F15">
        <w:rPr>
          <w:sz w:val="24"/>
          <w:szCs w:val="24"/>
        </w:rPr>
        <w:t>exploring the lives led by the working class prior to the Industrial Revolution. “These weaver families… could get on fairly well with their wages… and stood one step higher than the English workman of today”.</w:t>
      </w:r>
      <w:r w:rsidR="004E3F15">
        <w:rPr>
          <w:rStyle w:val="FootnoteReference"/>
          <w:sz w:val="24"/>
          <w:szCs w:val="24"/>
        </w:rPr>
        <w:footnoteReference w:id="3"/>
      </w:r>
      <w:r w:rsidR="00713F4C">
        <w:rPr>
          <w:sz w:val="24"/>
          <w:szCs w:val="24"/>
        </w:rPr>
        <w:t>We can see that Engels claims that the lives of workers were slightly better prior to the Industrial Revolution. Workers were able to work from home, essentially being able to pick and choose working hours that suited them. Often, they owned land and grew their own crops living in relative rural peace. They were able to live healthier lives, devoting enough time for leisure in their gardens and fields, not needing to overwork, and being able to spend time with their families.</w:t>
      </w:r>
      <w:r w:rsidR="005B0A08">
        <w:rPr>
          <w:rStyle w:val="FootnoteReference"/>
          <w:sz w:val="24"/>
          <w:szCs w:val="24"/>
        </w:rPr>
        <w:footnoteReference w:id="4"/>
      </w:r>
    </w:p>
    <w:p w14:paraId="59F9CDDE" w14:textId="70027514" w:rsidR="00337C63" w:rsidRDefault="005B0A08" w:rsidP="00877E66">
      <w:pPr>
        <w:rPr>
          <w:sz w:val="24"/>
          <w:szCs w:val="24"/>
        </w:rPr>
      </w:pPr>
      <w:r>
        <w:rPr>
          <w:sz w:val="24"/>
          <w:szCs w:val="24"/>
        </w:rPr>
        <w:t>However, while Engels argues that the Industrial Revolution led to lower wages and poorer working and living conditions, he also states that it ended “unquestioning humility…towards the “superior” classes”.</w:t>
      </w:r>
      <w:r>
        <w:rPr>
          <w:rStyle w:val="FootnoteReference"/>
          <w:sz w:val="24"/>
          <w:szCs w:val="24"/>
        </w:rPr>
        <w:footnoteReference w:id="5"/>
      </w:r>
      <w:r>
        <w:rPr>
          <w:sz w:val="24"/>
          <w:szCs w:val="24"/>
        </w:rPr>
        <w:t>Furthermore, he goes on to state that prior to the Industrial Revolution workers “could rarely read or write, never talked politics, never conspired, never thought… intellectually they were dead… but for the industrial revolution they would never have emerged from this existence”.</w:t>
      </w:r>
      <w:r>
        <w:rPr>
          <w:rStyle w:val="FootnoteReference"/>
          <w:sz w:val="24"/>
          <w:szCs w:val="24"/>
        </w:rPr>
        <w:footnoteReference w:id="6"/>
      </w:r>
      <w:r w:rsidR="00337C63">
        <w:rPr>
          <w:sz w:val="24"/>
          <w:szCs w:val="24"/>
        </w:rPr>
        <w:t>Indeed, as a result of this</w:t>
      </w:r>
      <w:r w:rsidR="00C1428D">
        <w:rPr>
          <w:sz w:val="24"/>
          <w:szCs w:val="24"/>
        </w:rPr>
        <w:t>,</w:t>
      </w:r>
      <w:r w:rsidR="00337C63">
        <w:rPr>
          <w:sz w:val="24"/>
          <w:szCs w:val="24"/>
        </w:rPr>
        <w:t xml:space="preserve"> social revolutions by the </w:t>
      </w:r>
    </w:p>
    <w:p w14:paraId="3DAEFC85" w14:textId="444A2391" w:rsidR="005B0A08" w:rsidRDefault="00337C63" w:rsidP="00877E66">
      <w:pPr>
        <w:rPr>
          <w:sz w:val="24"/>
          <w:szCs w:val="24"/>
        </w:rPr>
      </w:pPr>
      <w:r>
        <w:rPr>
          <w:sz w:val="24"/>
          <w:szCs w:val="24"/>
        </w:rPr>
        <w:lastRenderedPageBreak/>
        <w:t>working classes did break out across the country. One such example, is the</w:t>
      </w:r>
      <w:r w:rsidR="00C705FB">
        <w:rPr>
          <w:sz w:val="24"/>
          <w:szCs w:val="24"/>
        </w:rPr>
        <w:t>,</w:t>
      </w:r>
      <w:r>
        <w:rPr>
          <w:sz w:val="24"/>
          <w:szCs w:val="24"/>
        </w:rPr>
        <w:t xml:space="preserve"> Welsh originated</w:t>
      </w:r>
      <w:r w:rsidR="00C705FB">
        <w:rPr>
          <w:sz w:val="24"/>
          <w:szCs w:val="24"/>
        </w:rPr>
        <w:t>,</w:t>
      </w:r>
      <w:r>
        <w:rPr>
          <w:sz w:val="24"/>
          <w:szCs w:val="24"/>
        </w:rPr>
        <w:t xml:space="preserve"> Chartist movement.</w:t>
      </w:r>
      <w:r>
        <w:rPr>
          <w:rStyle w:val="FootnoteReference"/>
          <w:sz w:val="24"/>
          <w:szCs w:val="24"/>
        </w:rPr>
        <w:footnoteReference w:id="7"/>
      </w:r>
      <w:r w:rsidR="00CA6C06">
        <w:rPr>
          <w:sz w:val="24"/>
          <w:szCs w:val="24"/>
        </w:rPr>
        <w:t>Engels makes the interesting point that the Industrial Revolution was a key part, therefore, in waking up the masses to the oppressive reign of the ruling classes. The fact that conditions got worse for the working class as a result of the revolution, was the spark that ignited the spontaneous risings which occurred throughout the UK.</w:t>
      </w:r>
      <w:r w:rsidR="0059607D">
        <w:rPr>
          <w:sz w:val="24"/>
          <w:szCs w:val="24"/>
        </w:rPr>
        <w:t xml:space="preserve"> “Hence also the deep wrath of the whole working-class… a wrath which… must break out into a revolution</w:t>
      </w:r>
      <w:r w:rsidR="005A36F1">
        <w:rPr>
          <w:sz w:val="24"/>
          <w:szCs w:val="24"/>
        </w:rPr>
        <w:t xml:space="preserve"> in comparison</w:t>
      </w:r>
      <w:r w:rsidR="0059607D">
        <w:rPr>
          <w:sz w:val="24"/>
          <w:szCs w:val="24"/>
        </w:rPr>
        <w:t xml:space="preserve"> with which the French Revolution will prove to have been child’s play”.</w:t>
      </w:r>
      <w:r w:rsidR="0059607D">
        <w:rPr>
          <w:rStyle w:val="FootnoteReference"/>
          <w:sz w:val="24"/>
          <w:szCs w:val="24"/>
        </w:rPr>
        <w:footnoteReference w:id="8"/>
      </w:r>
    </w:p>
    <w:p w14:paraId="31FAD849" w14:textId="1626D632" w:rsidR="00CA6C06" w:rsidRDefault="00CA6C06" w:rsidP="00877E66">
      <w:pPr>
        <w:rPr>
          <w:sz w:val="24"/>
          <w:szCs w:val="24"/>
        </w:rPr>
      </w:pPr>
      <w:r>
        <w:rPr>
          <w:sz w:val="24"/>
          <w:szCs w:val="24"/>
        </w:rPr>
        <w:t xml:space="preserve">In conclusion, Engels’ </w:t>
      </w:r>
      <w:r>
        <w:rPr>
          <w:i/>
          <w:iCs/>
          <w:sz w:val="24"/>
          <w:szCs w:val="24"/>
        </w:rPr>
        <w:t xml:space="preserve">The Condition of the Working Class </w:t>
      </w:r>
      <w:r>
        <w:rPr>
          <w:sz w:val="24"/>
          <w:szCs w:val="24"/>
        </w:rPr>
        <w:t xml:space="preserve">offers a telling and important account of the condition of the industrial working class across the globe. </w:t>
      </w:r>
      <w:r w:rsidR="00534D3D">
        <w:rPr>
          <w:sz w:val="24"/>
          <w:szCs w:val="24"/>
        </w:rPr>
        <w:t xml:space="preserve">It explores the ways in which the Industrial Revolution was a necessary key to the enlightenment of subjugated </w:t>
      </w:r>
      <w:r w:rsidR="007C3AC4">
        <w:rPr>
          <w:sz w:val="24"/>
          <w:szCs w:val="24"/>
        </w:rPr>
        <w:t>masses</w:t>
      </w:r>
      <w:r w:rsidR="00D05549">
        <w:rPr>
          <w:sz w:val="24"/>
          <w:szCs w:val="24"/>
        </w:rPr>
        <w:t>,</w:t>
      </w:r>
      <w:r w:rsidR="007C3AC4">
        <w:rPr>
          <w:sz w:val="24"/>
          <w:szCs w:val="24"/>
        </w:rPr>
        <w:t xml:space="preserve"> and</w:t>
      </w:r>
      <w:r w:rsidR="00534D3D">
        <w:rPr>
          <w:sz w:val="24"/>
          <w:szCs w:val="24"/>
        </w:rPr>
        <w:t xml:space="preserve"> offers an account (if a slightly biased one) of the awful conditions faced by the working class during this period. </w:t>
      </w:r>
    </w:p>
    <w:p w14:paraId="68C5E4BB" w14:textId="0DA85EE9" w:rsidR="00684A5A" w:rsidRPr="00684A5A" w:rsidRDefault="00684A5A" w:rsidP="00877E66">
      <w:pPr>
        <w:rPr>
          <w:b/>
          <w:bCs/>
          <w:sz w:val="32"/>
          <w:szCs w:val="32"/>
          <w:u w:val="single"/>
        </w:rPr>
      </w:pPr>
      <w:r w:rsidRPr="00684A5A">
        <w:rPr>
          <w:b/>
          <w:bCs/>
          <w:sz w:val="32"/>
          <w:szCs w:val="32"/>
          <w:u w:val="single"/>
        </w:rPr>
        <w:t>Bibliography</w:t>
      </w:r>
    </w:p>
    <w:p w14:paraId="0F4DB5E3" w14:textId="40E7519F" w:rsidR="00684A5A" w:rsidRDefault="00684A5A" w:rsidP="00877E66">
      <w:pPr>
        <w:rPr>
          <w:b/>
          <w:bCs/>
          <w:sz w:val="28"/>
          <w:szCs w:val="28"/>
        </w:rPr>
      </w:pPr>
      <w:r>
        <w:rPr>
          <w:b/>
          <w:bCs/>
          <w:sz w:val="28"/>
          <w:szCs w:val="28"/>
        </w:rPr>
        <w:t>Primary Source</w:t>
      </w:r>
    </w:p>
    <w:p w14:paraId="053312D0" w14:textId="2C29A332" w:rsidR="00684A5A" w:rsidRDefault="00684A5A" w:rsidP="00877E66">
      <w:pPr>
        <w:rPr>
          <w:b/>
          <w:bCs/>
          <w:sz w:val="28"/>
          <w:szCs w:val="28"/>
        </w:rPr>
      </w:pPr>
      <w:r w:rsidRPr="004E3F15">
        <w:rPr>
          <w:rFonts w:ascii="Arial" w:eastAsia="Times New Roman" w:hAnsi="Arial" w:cs="Arial"/>
          <w:color w:val="000000"/>
          <w:sz w:val="19"/>
          <w:szCs w:val="19"/>
          <w:lang w:eastAsia="en-GB"/>
        </w:rPr>
        <w:t>Engels</w:t>
      </w:r>
      <w:r>
        <w:rPr>
          <w:rFonts w:ascii="Arial" w:eastAsia="Times New Roman" w:hAnsi="Arial" w:cs="Arial"/>
          <w:color w:val="000000"/>
          <w:sz w:val="19"/>
          <w:szCs w:val="19"/>
          <w:lang w:eastAsia="en-GB"/>
        </w:rPr>
        <w:t xml:space="preserve"> Friedrich</w:t>
      </w:r>
      <w:r w:rsidRPr="004E3F15">
        <w:rPr>
          <w:rFonts w:ascii="Arial" w:eastAsia="Times New Roman" w:hAnsi="Arial" w:cs="Arial"/>
          <w:color w:val="000000"/>
          <w:sz w:val="19"/>
          <w:szCs w:val="19"/>
          <w:lang w:eastAsia="en-GB"/>
        </w:rPr>
        <w:t xml:space="preserve">, </w:t>
      </w:r>
      <w:r w:rsidRPr="004E3F15">
        <w:rPr>
          <w:rFonts w:ascii="Arial" w:eastAsia="Times New Roman" w:hAnsi="Arial" w:cs="Arial"/>
          <w:i/>
          <w:iCs/>
          <w:color w:val="000000"/>
          <w:sz w:val="19"/>
          <w:szCs w:val="19"/>
          <w:lang w:eastAsia="en-GB"/>
        </w:rPr>
        <w:t>The Condition of the Working Class in England in 1844</w:t>
      </w:r>
      <w:r w:rsidRPr="004E3F15">
        <w:rPr>
          <w:rFonts w:ascii="Arial" w:eastAsia="Times New Roman" w:hAnsi="Arial" w:cs="Arial"/>
          <w:color w:val="000000"/>
          <w:sz w:val="19"/>
          <w:szCs w:val="19"/>
          <w:lang w:eastAsia="en-GB"/>
        </w:rPr>
        <w:t>, trans. by Florence Wischnewetzky (London: Penguin, 2005)</w:t>
      </w:r>
    </w:p>
    <w:p w14:paraId="1A1CD2C6" w14:textId="7C312F94" w:rsidR="00684A5A" w:rsidRDefault="00684A5A" w:rsidP="00877E66">
      <w:pPr>
        <w:rPr>
          <w:b/>
          <w:bCs/>
          <w:sz w:val="28"/>
          <w:szCs w:val="28"/>
        </w:rPr>
      </w:pPr>
      <w:r>
        <w:rPr>
          <w:b/>
          <w:bCs/>
          <w:sz w:val="28"/>
          <w:szCs w:val="28"/>
        </w:rPr>
        <w:t>Secondary Sources</w:t>
      </w:r>
    </w:p>
    <w:p w14:paraId="05FB417F" w14:textId="37C0D7C8" w:rsidR="00684A5A" w:rsidRDefault="00684A5A" w:rsidP="00877E66">
      <w:pPr>
        <w:rPr>
          <w:b/>
          <w:bCs/>
          <w:sz w:val="28"/>
          <w:szCs w:val="28"/>
        </w:rPr>
      </w:pPr>
      <w:r w:rsidRPr="00BC2C27">
        <w:rPr>
          <w:rFonts w:ascii="Arial" w:eastAsia="Times New Roman" w:hAnsi="Arial" w:cs="Arial"/>
          <w:color w:val="000000"/>
          <w:sz w:val="19"/>
          <w:szCs w:val="19"/>
          <w:lang w:eastAsia="en-GB"/>
        </w:rPr>
        <w:t>Carver</w:t>
      </w:r>
      <w:r>
        <w:rPr>
          <w:rFonts w:ascii="Arial" w:eastAsia="Times New Roman" w:hAnsi="Arial" w:cs="Arial"/>
          <w:color w:val="000000"/>
          <w:sz w:val="19"/>
          <w:szCs w:val="19"/>
          <w:lang w:eastAsia="en-GB"/>
        </w:rPr>
        <w:t xml:space="preserve"> Terrell</w:t>
      </w:r>
      <w:r w:rsidRPr="00BC2C27">
        <w:rPr>
          <w:rFonts w:ascii="Arial" w:eastAsia="Times New Roman" w:hAnsi="Arial" w:cs="Arial"/>
          <w:color w:val="000000"/>
          <w:sz w:val="19"/>
          <w:szCs w:val="19"/>
          <w:lang w:eastAsia="en-GB"/>
        </w:rPr>
        <w:t xml:space="preserve">, </w:t>
      </w:r>
      <w:r w:rsidRPr="00BC2C27">
        <w:rPr>
          <w:rFonts w:ascii="Arial" w:eastAsia="Times New Roman" w:hAnsi="Arial" w:cs="Arial"/>
          <w:i/>
          <w:iCs/>
          <w:color w:val="000000"/>
          <w:sz w:val="19"/>
          <w:szCs w:val="19"/>
          <w:lang w:eastAsia="en-GB"/>
        </w:rPr>
        <w:t>Friedrich Engels: His Life and Thought</w:t>
      </w:r>
      <w:r w:rsidRPr="00BC2C27">
        <w:rPr>
          <w:rFonts w:ascii="Arial" w:eastAsia="Times New Roman" w:hAnsi="Arial" w:cs="Arial"/>
          <w:color w:val="000000"/>
          <w:sz w:val="19"/>
          <w:szCs w:val="19"/>
          <w:lang w:eastAsia="en-GB"/>
        </w:rPr>
        <w:t xml:space="preserve"> (New York: Palgrave Macmillan , 1990).</w:t>
      </w:r>
    </w:p>
    <w:p w14:paraId="04F8A21D" w14:textId="5F5CA9EB" w:rsidR="00684A5A" w:rsidRPr="00684A5A" w:rsidRDefault="00684A5A" w:rsidP="00877E66">
      <w:pPr>
        <w:rPr>
          <w:b/>
          <w:bCs/>
          <w:sz w:val="28"/>
          <w:szCs w:val="28"/>
        </w:rPr>
      </w:pPr>
      <w:r>
        <w:rPr>
          <w:rFonts w:ascii="Arial" w:hAnsi="Arial" w:cs="Arial"/>
          <w:color w:val="000000"/>
          <w:sz w:val="19"/>
          <w:szCs w:val="19"/>
          <w:shd w:val="clear" w:color="auto" w:fill="FFFFFF"/>
        </w:rPr>
        <w:t>Hobsbawm</w:t>
      </w:r>
      <w:r>
        <w:rPr>
          <w:rFonts w:ascii="Arial" w:hAnsi="Arial" w:cs="Arial"/>
          <w:color w:val="000000"/>
          <w:sz w:val="19"/>
          <w:szCs w:val="19"/>
          <w:shd w:val="clear" w:color="auto" w:fill="FFFFFF"/>
        </w:rPr>
        <w:t xml:space="preserve"> E</w:t>
      </w:r>
      <w:r>
        <w:rPr>
          <w:rFonts w:ascii="Arial" w:hAnsi="Arial" w:cs="Arial"/>
          <w:color w:val="000000"/>
          <w:sz w:val="19"/>
          <w:szCs w:val="19"/>
          <w:shd w:val="clear" w:color="auto" w:fill="FFFFFF"/>
        </w:rPr>
        <w:t>, </w:t>
      </w:r>
      <w:r>
        <w:rPr>
          <w:rFonts w:ascii="Arial" w:hAnsi="Arial" w:cs="Arial"/>
          <w:i/>
          <w:iCs/>
          <w:color w:val="000000"/>
          <w:sz w:val="19"/>
          <w:szCs w:val="19"/>
          <w:shd w:val="clear" w:color="auto" w:fill="FFFFFF"/>
        </w:rPr>
        <w:t>The Age Of Revolution 1789-1848</w:t>
      </w:r>
      <w:r>
        <w:rPr>
          <w:rFonts w:ascii="Arial" w:hAnsi="Arial" w:cs="Arial"/>
          <w:color w:val="000000"/>
          <w:sz w:val="19"/>
          <w:szCs w:val="19"/>
          <w:shd w:val="clear" w:color="auto" w:fill="FFFFFF"/>
        </w:rPr>
        <w:t> (London: Abacus, 1977)</w:t>
      </w:r>
    </w:p>
    <w:sectPr w:rsidR="00684A5A" w:rsidRPr="00684A5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41862E" w14:textId="77777777" w:rsidR="008C13A7" w:rsidRDefault="008C13A7" w:rsidP="008C13A7">
      <w:pPr>
        <w:spacing w:after="0" w:line="240" w:lineRule="auto"/>
      </w:pPr>
      <w:r>
        <w:separator/>
      </w:r>
    </w:p>
  </w:endnote>
  <w:endnote w:type="continuationSeparator" w:id="0">
    <w:p w14:paraId="2D2782D0" w14:textId="77777777" w:rsidR="008C13A7" w:rsidRDefault="008C13A7" w:rsidP="008C13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92AF7F" w14:textId="77777777" w:rsidR="008C13A7" w:rsidRDefault="008C13A7" w:rsidP="008C13A7">
      <w:pPr>
        <w:spacing w:after="0" w:line="240" w:lineRule="auto"/>
      </w:pPr>
      <w:r>
        <w:separator/>
      </w:r>
    </w:p>
  </w:footnote>
  <w:footnote w:type="continuationSeparator" w:id="0">
    <w:p w14:paraId="31A54B54" w14:textId="77777777" w:rsidR="008C13A7" w:rsidRDefault="008C13A7" w:rsidP="008C13A7">
      <w:pPr>
        <w:spacing w:after="0" w:line="240" w:lineRule="auto"/>
      </w:pPr>
      <w:r>
        <w:continuationSeparator/>
      </w:r>
    </w:p>
  </w:footnote>
  <w:footnote w:id="1">
    <w:p w14:paraId="398D19FD" w14:textId="77777777" w:rsidR="008C13A7" w:rsidRDefault="008C13A7">
      <w:pPr>
        <w:pStyle w:val="FootnoteText"/>
      </w:pPr>
      <w:r>
        <w:rPr>
          <w:rStyle w:val="FootnoteReference"/>
        </w:rPr>
        <w:footnoteRef/>
      </w:r>
      <w:r>
        <w:t xml:space="preserve"> </w:t>
      </w:r>
      <w:r>
        <w:rPr>
          <w:rFonts w:ascii="Arial" w:hAnsi="Arial" w:cs="Arial"/>
          <w:color w:val="000000"/>
          <w:sz w:val="19"/>
          <w:szCs w:val="19"/>
          <w:shd w:val="clear" w:color="auto" w:fill="FFFFFF"/>
        </w:rPr>
        <w:t>E Hobsbawm, </w:t>
      </w:r>
      <w:r>
        <w:rPr>
          <w:rFonts w:ascii="Arial" w:hAnsi="Arial" w:cs="Arial"/>
          <w:i/>
          <w:iCs/>
          <w:color w:val="000000"/>
          <w:sz w:val="19"/>
          <w:szCs w:val="19"/>
          <w:shd w:val="clear" w:color="auto" w:fill="FFFFFF"/>
        </w:rPr>
        <w:t>The Age Of Revolution 1789-1848</w:t>
      </w:r>
      <w:r>
        <w:rPr>
          <w:rFonts w:ascii="Arial" w:hAnsi="Arial" w:cs="Arial"/>
          <w:color w:val="000000"/>
          <w:sz w:val="19"/>
          <w:szCs w:val="19"/>
          <w:shd w:val="clear" w:color="auto" w:fill="FFFFFF"/>
        </w:rPr>
        <w:t xml:space="preserve"> (London: Abacus, 1977), p. </w:t>
      </w:r>
      <w:r>
        <w:rPr>
          <w:rFonts w:ascii="Arial" w:hAnsi="Arial" w:cs="Arial"/>
          <w:color w:val="000000"/>
          <w:sz w:val="19"/>
          <w:szCs w:val="19"/>
          <w:shd w:val="clear" w:color="auto" w:fill="FFFFFF"/>
        </w:rPr>
        <w:t>1</w:t>
      </w:r>
    </w:p>
  </w:footnote>
  <w:footnote w:id="2">
    <w:p w14:paraId="615F175B" w14:textId="72524B90" w:rsidR="00BC2C27" w:rsidRPr="00BC2C27" w:rsidRDefault="00BC2C27" w:rsidP="00BC2C27">
      <w:pPr>
        <w:rPr>
          <w:rFonts w:ascii="Arial" w:eastAsia="Times New Roman" w:hAnsi="Arial" w:cs="Arial"/>
          <w:color w:val="000000"/>
          <w:sz w:val="19"/>
          <w:szCs w:val="19"/>
          <w:lang w:eastAsia="en-GB"/>
        </w:rPr>
      </w:pPr>
      <w:r>
        <w:rPr>
          <w:rStyle w:val="FootnoteReference"/>
        </w:rPr>
        <w:footnoteRef/>
      </w:r>
      <w:r>
        <w:t xml:space="preserve"> </w:t>
      </w:r>
      <w:r w:rsidRPr="00BC2C27">
        <w:rPr>
          <w:rFonts w:ascii="Arial" w:eastAsia="Times New Roman" w:hAnsi="Arial" w:cs="Arial"/>
          <w:color w:val="000000"/>
          <w:sz w:val="19"/>
          <w:szCs w:val="19"/>
          <w:lang w:eastAsia="en-GB"/>
        </w:rPr>
        <w:t xml:space="preserve">Terrell Carver, </w:t>
      </w:r>
      <w:r w:rsidRPr="00BC2C27">
        <w:rPr>
          <w:rFonts w:ascii="Arial" w:eastAsia="Times New Roman" w:hAnsi="Arial" w:cs="Arial"/>
          <w:i/>
          <w:iCs/>
          <w:color w:val="000000"/>
          <w:sz w:val="19"/>
          <w:szCs w:val="19"/>
          <w:lang w:eastAsia="en-GB"/>
        </w:rPr>
        <w:t>Friedrich Engels: His Life and Thought</w:t>
      </w:r>
      <w:r w:rsidRPr="00BC2C27">
        <w:rPr>
          <w:rFonts w:ascii="Arial" w:eastAsia="Times New Roman" w:hAnsi="Arial" w:cs="Arial"/>
          <w:color w:val="000000"/>
          <w:sz w:val="19"/>
          <w:szCs w:val="19"/>
          <w:lang w:eastAsia="en-GB"/>
        </w:rPr>
        <w:t xml:space="preserve"> (New York: Palgrave Macmillan , 1990).</w:t>
      </w:r>
    </w:p>
  </w:footnote>
  <w:footnote w:id="3">
    <w:p w14:paraId="4441DE86" w14:textId="58724F65" w:rsidR="004E3F15" w:rsidRPr="005B0A08" w:rsidRDefault="004E3F15" w:rsidP="005B0A08">
      <w:pPr>
        <w:rPr>
          <w:rFonts w:ascii="Arial" w:eastAsia="Times New Roman" w:hAnsi="Arial" w:cs="Arial"/>
          <w:color w:val="000000"/>
          <w:sz w:val="19"/>
          <w:szCs w:val="19"/>
          <w:lang w:eastAsia="en-GB"/>
        </w:rPr>
      </w:pPr>
      <w:r>
        <w:rPr>
          <w:rStyle w:val="FootnoteReference"/>
        </w:rPr>
        <w:footnoteRef/>
      </w:r>
      <w:r>
        <w:t xml:space="preserve"> </w:t>
      </w:r>
      <w:r w:rsidRPr="004E3F15">
        <w:rPr>
          <w:rFonts w:ascii="Arial" w:eastAsia="Times New Roman" w:hAnsi="Arial" w:cs="Arial"/>
          <w:color w:val="000000"/>
          <w:sz w:val="19"/>
          <w:szCs w:val="19"/>
          <w:lang w:eastAsia="en-GB"/>
        </w:rPr>
        <w:t xml:space="preserve">Friedrich Engels, </w:t>
      </w:r>
      <w:r w:rsidRPr="004E3F15">
        <w:rPr>
          <w:rFonts w:ascii="Arial" w:eastAsia="Times New Roman" w:hAnsi="Arial" w:cs="Arial"/>
          <w:i/>
          <w:iCs/>
          <w:color w:val="000000"/>
          <w:sz w:val="19"/>
          <w:szCs w:val="19"/>
          <w:lang w:eastAsia="en-GB"/>
        </w:rPr>
        <w:t>The Condition of the Working Class in England in 1844</w:t>
      </w:r>
      <w:r w:rsidRPr="004E3F15">
        <w:rPr>
          <w:rFonts w:ascii="Arial" w:eastAsia="Times New Roman" w:hAnsi="Arial" w:cs="Arial"/>
          <w:color w:val="000000"/>
          <w:sz w:val="19"/>
          <w:szCs w:val="19"/>
          <w:lang w:eastAsia="en-GB"/>
        </w:rPr>
        <w:t>, trans. by Florence Wischnewetzky (London: Penguin, 2005), p. 50-51.</w:t>
      </w:r>
    </w:p>
  </w:footnote>
  <w:footnote w:id="4">
    <w:p w14:paraId="0001C3A9" w14:textId="632FC0B8" w:rsidR="005B0A08" w:rsidRDefault="005B0A08">
      <w:pPr>
        <w:pStyle w:val="FootnoteText"/>
      </w:pPr>
      <w:r>
        <w:rPr>
          <w:rStyle w:val="FootnoteReference"/>
        </w:rPr>
        <w:footnoteRef/>
      </w:r>
      <w:r>
        <w:t xml:space="preserve"> </w:t>
      </w:r>
      <w:r w:rsidRPr="004E3F15">
        <w:rPr>
          <w:rFonts w:ascii="Arial" w:eastAsia="Times New Roman" w:hAnsi="Arial" w:cs="Arial"/>
          <w:color w:val="000000"/>
          <w:sz w:val="19"/>
          <w:szCs w:val="19"/>
          <w:lang w:eastAsia="en-GB"/>
        </w:rPr>
        <w:t xml:space="preserve">Engels, </w:t>
      </w:r>
      <w:r w:rsidRPr="004E3F15">
        <w:rPr>
          <w:rFonts w:ascii="Arial" w:eastAsia="Times New Roman" w:hAnsi="Arial" w:cs="Arial"/>
          <w:i/>
          <w:iCs/>
          <w:color w:val="000000"/>
          <w:sz w:val="19"/>
          <w:szCs w:val="19"/>
          <w:lang w:eastAsia="en-GB"/>
        </w:rPr>
        <w:t>The Condition of the Working Class in England in 1844</w:t>
      </w:r>
    </w:p>
  </w:footnote>
  <w:footnote w:id="5">
    <w:p w14:paraId="3560EB86" w14:textId="386D9B97" w:rsidR="005B0A08" w:rsidRDefault="005B0A08">
      <w:pPr>
        <w:pStyle w:val="FootnoteText"/>
      </w:pPr>
      <w:bookmarkStart w:id="0" w:name="_GoBack"/>
      <w:r>
        <w:rPr>
          <w:rStyle w:val="FootnoteReference"/>
        </w:rPr>
        <w:footnoteRef/>
      </w:r>
      <w:r>
        <w:t xml:space="preserve"> </w:t>
      </w:r>
      <w:r w:rsidRPr="004E3F15">
        <w:rPr>
          <w:rFonts w:ascii="Arial" w:eastAsia="Times New Roman" w:hAnsi="Arial" w:cs="Arial"/>
          <w:color w:val="000000"/>
          <w:sz w:val="19"/>
          <w:szCs w:val="19"/>
          <w:lang w:eastAsia="en-GB"/>
        </w:rPr>
        <w:t xml:space="preserve">Engels, </w:t>
      </w:r>
      <w:r w:rsidRPr="004E3F15">
        <w:rPr>
          <w:rFonts w:ascii="Arial" w:eastAsia="Times New Roman" w:hAnsi="Arial" w:cs="Arial"/>
          <w:i/>
          <w:iCs/>
          <w:color w:val="000000"/>
          <w:sz w:val="19"/>
          <w:szCs w:val="19"/>
          <w:lang w:eastAsia="en-GB"/>
        </w:rPr>
        <w:t>The Condition of the Working Class in England in 1844</w:t>
      </w:r>
      <w:bookmarkEnd w:id="0"/>
    </w:p>
  </w:footnote>
  <w:footnote w:id="6">
    <w:p w14:paraId="6C9A1050" w14:textId="77777777" w:rsidR="005B0A08" w:rsidRDefault="005B0A08" w:rsidP="005B0A08">
      <w:pPr>
        <w:pStyle w:val="FootnoteText"/>
      </w:pPr>
      <w:r>
        <w:rPr>
          <w:rStyle w:val="FootnoteReference"/>
        </w:rPr>
        <w:footnoteRef/>
      </w:r>
      <w:r>
        <w:t xml:space="preserve"> </w:t>
      </w:r>
      <w:r w:rsidRPr="004E3F15">
        <w:rPr>
          <w:rFonts w:ascii="Arial" w:eastAsia="Times New Roman" w:hAnsi="Arial" w:cs="Arial"/>
          <w:color w:val="000000"/>
          <w:sz w:val="19"/>
          <w:szCs w:val="19"/>
          <w:lang w:eastAsia="en-GB"/>
        </w:rPr>
        <w:t xml:space="preserve">Engels, </w:t>
      </w:r>
      <w:r w:rsidRPr="004E3F15">
        <w:rPr>
          <w:rFonts w:ascii="Arial" w:eastAsia="Times New Roman" w:hAnsi="Arial" w:cs="Arial"/>
          <w:i/>
          <w:iCs/>
          <w:color w:val="000000"/>
          <w:sz w:val="19"/>
          <w:szCs w:val="19"/>
          <w:lang w:eastAsia="en-GB"/>
        </w:rPr>
        <w:t>The Condition of the Working Class in England in 1844</w:t>
      </w:r>
    </w:p>
    <w:p w14:paraId="6BF793F2" w14:textId="6D70B5E3" w:rsidR="005B0A08" w:rsidRDefault="005B0A08">
      <w:pPr>
        <w:pStyle w:val="FootnoteText"/>
      </w:pPr>
    </w:p>
  </w:footnote>
  <w:footnote w:id="7">
    <w:p w14:paraId="1911FC24" w14:textId="28F0FEA5" w:rsidR="00337C63" w:rsidRDefault="00337C63">
      <w:pPr>
        <w:pStyle w:val="FootnoteText"/>
      </w:pPr>
      <w:r>
        <w:rPr>
          <w:rStyle w:val="FootnoteReference"/>
        </w:rPr>
        <w:footnoteRef/>
      </w:r>
      <w:r>
        <w:t xml:space="preserve"> </w:t>
      </w:r>
      <w:r>
        <w:rPr>
          <w:rFonts w:ascii="Arial" w:hAnsi="Arial" w:cs="Arial"/>
          <w:color w:val="000000"/>
          <w:sz w:val="19"/>
          <w:szCs w:val="19"/>
          <w:shd w:val="clear" w:color="auto" w:fill="FFFFFF"/>
        </w:rPr>
        <w:t>Hobsbawm, </w:t>
      </w:r>
      <w:r>
        <w:rPr>
          <w:rFonts w:ascii="Arial" w:hAnsi="Arial" w:cs="Arial"/>
          <w:i/>
          <w:iCs/>
          <w:color w:val="000000"/>
          <w:sz w:val="19"/>
          <w:szCs w:val="19"/>
          <w:shd w:val="clear" w:color="auto" w:fill="FFFFFF"/>
        </w:rPr>
        <w:t>The Age Of Revolution 1789-1848</w:t>
      </w:r>
      <w:r>
        <w:rPr>
          <w:rFonts w:ascii="Arial" w:hAnsi="Arial" w:cs="Arial"/>
          <w:color w:val="000000"/>
          <w:sz w:val="19"/>
          <w:szCs w:val="19"/>
          <w:shd w:val="clear" w:color="auto" w:fill="FFFFFF"/>
        </w:rPr>
        <w:t xml:space="preserve">, </w:t>
      </w:r>
      <w:r>
        <w:rPr>
          <w:rFonts w:ascii="Arial" w:hAnsi="Arial" w:cs="Arial"/>
          <w:color w:val="000000"/>
          <w:sz w:val="19"/>
          <w:szCs w:val="19"/>
          <w:shd w:val="clear" w:color="auto" w:fill="FFFFFF"/>
        </w:rPr>
        <w:t xml:space="preserve">p. </w:t>
      </w:r>
      <w:r>
        <w:rPr>
          <w:rFonts w:ascii="Arial" w:hAnsi="Arial" w:cs="Arial"/>
          <w:color w:val="000000"/>
          <w:sz w:val="19"/>
          <w:szCs w:val="19"/>
          <w:shd w:val="clear" w:color="auto" w:fill="FFFFFF"/>
        </w:rPr>
        <w:t>38</w:t>
      </w:r>
    </w:p>
  </w:footnote>
  <w:footnote w:id="8">
    <w:p w14:paraId="1BEF4CED" w14:textId="36E19CEA" w:rsidR="0059607D" w:rsidRDefault="0059607D">
      <w:pPr>
        <w:pStyle w:val="FootnoteText"/>
      </w:pPr>
      <w:r>
        <w:rPr>
          <w:rStyle w:val="FootnoteReference"/>
        </w:rPr>
        <w:footnoteRef/>
      </w:r>
      <w:r>
        <w:t xml:space="preserve"> </w:t>
      </w:r>
      <w:r w:rsidRPr="004E3F15">
        <w:rPr>
          <w:rFonts w:ascii="Arial" w:eastAsia="Times New Roman" w:hAnsi="Arial" w:cs="Arial"/>
          <w:color w:val="000000"/>
          <w:sz w:val="19"/>
          <w:szCs w:val="19"/>
          <w:lang w:eastAsia="en-GB"/>
        </w:rPr>
        <w:t xml:space="preserve">Engels, </w:t>
      </w:r>
      <w:r w:rsidRPr="004E3F15">
        <w:rPr>
          <w:rFonts w:ascii="Arial" w:eastAsia="Times New Roman" w:hAnsi="Arial" w:cs="Arial"/>
          <w:i/>
          <w:iCs/>
          <w:color w:val="000000"/>
          <w:sz w:val="19"/>
          <w:szCs w:val="19"/>
          <w:lang w:eastAsia="en-GB"/>
        </w:rPr>
        <w:t>The Condition of the Working Class in England in 1844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E66"/>
    <w:rsid w:val="00230927"/>
    <w:rsid w:val="00332914"/>
    <w:rsid w:val="00332B8E"/>
    <w:rsid w:val="00337C63"/>
    <w:rsid w:val="004C04F0"/>
    <w:rsid w:val="004E3F15"/>
    <w:rsid w:val="00534D3D"/>
    <w:rsid w:val="0059607D"/>
    <w:rsid w:val="005A36F1"/>
    <w:rsid w:val="005B0A08"/>
    <w:rsid w:val="006567D9"/>
    <w:rsid w:val="00684A5A"/>
    <w:rsid w:val="00713F4C"/>
    <w:rsid w:val="007C3AC4"/>
    <w:rsid w:val="00877E66"/>
    <w:rsid w:val="008C13A7"/>
    <w:rsid w:val="00B976CB"/>
    <w:rsid w:val="00BC2C27"/>
    <w:rsid w:val="00C1428D"/>
    <w:rsid w:val="00C705FB"/>
    <w:rsid w:val="00CA2C72"/>
    <w:rsid w:val="00CA6C06"/>
    <w:rsid w:val="00D05549"/>
    <w:rsid w:val="00E127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F8CF0"/>
  <w15:chartTrackingRefBased/>
  <w15:docId w15:val="{0392A2C9-AC6B-4A02-AA11-78B3FA1A5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C13A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C13A7"/>
    <w:rPr>
      <w:sz w:val="20"/>
      <w:szCs w:val="20"/>
    </w:rPr>
  </w:style>
  <w:style w:type="character" w:styleId="FootnoteReference">
    <w:name w:val="footnote reference"/>
    <w:basedOn w:val="DefaultParagraphFont"/>
    <w:uiPriority w:val="99"/>
    <w:semiHidden/>
    <w:unhideWhenUsed/>
    <w:rsid w:val="008C13A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7199662">
      <w:bodyDiv w:val="1"/>
      <w:marLeft w:val="0"/>
      <w:marRight w:val="0"/>
      <w:marTop w:val="0"/>
      <w:marBottom w:val="0"/>
      <w:divBdr>
        <w:top w:val="none" w:sz="0" w:space="0" w:color="auto"/>
        <w:left w:val="none" w:sz="0" w:space="0" w:color="auto"/>
        <w:bottom w:val="none" w:sz="0" w:space="0" w:color="auto"/>
        <w:right w:val="none" w:sz="0" w:space="0" w:color="auto"/>
      </w:divBdr>
    </w:div>
    <w:div w:id="467862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42AB63-B192-4693-BA05-C242BFE34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584</Words>
  <Characters>3331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Sloanes</dc:creator>
  <cp:keywords/>
  <dc:description/>
  <cp:lastModifiedBy>Bradley Sloanes</cp:lastModifiedBy>
  <cp:revision>9</cp:revision>
  <dcterms:created xsi:type="dcterms:W3CDTF">2019-11-17T21:51:00Z</dcterms:created>
  <dcterms:modified xsi:type="dcterms:W3CDTF">2019-11-17T21:56:00Z</dcterms:modified>
</cp:coreProperties>
</file>