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108D" w:rsidRPr="009E7826" w:rsidRDefault="009E7826">
      <w:pPr>
        <w:rPr>
          <w:b/>
          <w:sz w:val="32"/>
          <w:szCs w:val="32"/>
        </w:rPr>
      </w:pPr>
      <w:r w:rsidRPr="009E7826">
        <w:rPr>
          <w:b/>
          <w:sz w:val="32"/>
          <w:szCs w:val="32"/>
        </w:rPr>
        <w:t xml:space="preserve">                        PERSONNEL RESOURCING AND DEVELOPMENT</w:t>
      </w:r>
    </w:p>
    <w:p w:rsidR="009E7826" w:rsidRDefault="009E7826">
      <w:pPr>
        <w:rPr>
          <w:sz w:val="28"/>
          <w:szCs w:val="28"/>
        </w:rPr>
      </w:pPr>
      <w:r>
        <w:rPr>
          <w:sz w:val="28"/>
          <w:szCs w:val="28"/>
        </w:rPr>
        <w:t xml:space="preserve"> </w:t>
      </w:r>
    </w:p>
    <w:p w:rsidR="009E7826" w:rsidRDefault="009E7826" w:rsidP="009E7826">
      <w:pPr>
        <w:rPr>
          <w:sz w:val="28"/>
          <w:szCs w:val="28"/>
        </w:rPr>
      </w:pPr>
    </w:p>
    <w:p w:rsidR="009E7826" w:rsidRDefault="009E7826" w:rsidP="009E7826">
      <w:pPr>
        <w:tabs>
          <w:tab w:val="left" w:pos="1890"/>
        </w:tabs>
        <w:rPr>
          <w:sz w:val="28"/>
          <w:szCs w:val="28"/>
        </w:rPr>
      </w:pPr>
      <w:r>
        <w:rPr>
          <w:sz w:val="28"/>
          <w:szCs w:val="28"/>
        </w:rPr>
        <w:tab/>
        <w:t>MODULE CODE :M5X01921</w:t>
      </w:r>
    </w:p>
    <w:p w:rsidR="009E7826" w:rsidRDefault="009E7826" w:rsidP="009E7826">
      <w:pPr>
        <w:tabs>
          <w:tab w:val="left" w:pos="1890"/>
        </w:tabs>
        <w:rPr>
          <w:sz w:val="28"/>
          <w:szCs w:val="28"/>
        </w:rPr>
      </w:pPr>
      <w:r>
        <w:rPr>
          <w:sz w:val="28"/>
          <w:szCs w:val="28"/>
        </w:rPr>
        <w:t xml:space="preserve">                              STUDENT NAME :EMILIAN TULUCA</w:t>
      </w:r>
    </w:p>
    <w:p w:rsidR="009E7826" w:rsidRDefault="009E7826" w:rsidP="009E7826">
      <w:pPr>
        <w:tabs>
          <w:tab w:val="left" w:pos="1890"/>
        </w:tabs>
        <w:rPr>
          <w:sz w:val="28"/>
          <w:szCs w:val="28"/>
        </w:rPr>
      </w:pPr>
      <w:r>
        <w:rPr>
          <w:sz w:val="28"/>
          <w:szCs w:val="28"/>
        </w:rPr>
        <w:t xml:space="preserve">                              STUDENT ID NUMBER:1814973</w:t>
      </w:r>
    </w:p>
    <w:p w:rsidR="009E7826" w:rsidRDefault="009E7826" w:rsidP="009E7826">
      <w:pPr>
        <w:tabs>
          <w:tab w:val="left" w:pos="1890"/>
        </w:tabs>
        <w:rPr>
          <w:sz w:val="28"/>
          <w:szCs w:val="28"/>
        </w:rPr>
      </w:pPr>
      <w:r>
        <w:rPr>
          <w:sz w:val="28"/>
          <w:szCs w:val="28"/>
        </w:rPr>
        <w:t xml:space="preserve">                              LECTURER:DALE CLARKE</w:t>
      </w:r>
    </w:p>
    <w:p w:rsidR="009E7826" w:rsidRDefault="009E7826" w:rsidP="009E7826">
      <w:pPr>
        <w:tabs>
          <w:tab w:val="left" w:pos="1890"/>
        </w:tabs>
        <w:rPr>
          <w:sz w:val="28"/>
          <w:szCs w:val="28"/>
        </w:rPr>
      </w:pPr>
      <w:r>
        <w:rPr>
          <w:sz w:val="28"/>
          <w:szCs w:val="28"/>
        </w:rPr>
        <w:t xml:space="preserve">                                        </w:t>
      </w:r>
    </w:p>
    <w:p w:rsidR="009E7826" w:rsidRDefault="009E7826" w:rsidP="009E7826">
      <w:pPr>
        <w:tabs>
          <w:tab w:val="left" w:pos="3285"/>
        </w:tabs>
        <w:rPr>
          <w:b/>
          <w:sz w:val="32"/>
          <w:szCs w:val="32"/>
        </w:rPr>
      </w:pPr>
      <w:r>
        <w:rPr>
          <w:sz w:val="28"/>
          <w:szCs w:val="28"/>
        </w:rPr>
        <w:tab/>
      </w:r>
      <w:r w:rsidRPr="009E7826">
        <w:rPr>
          <w:b/>
          <w:sz w:val="32"/>
          <w:szCs w:val="32"/>
        </w:rPr>
        <w:t>TITLE:</w:t>
      </w:r>
      <w:r>
        <w:rPr>
          <w:b/>
          <w:sz w:val="32"/>
          <w:szCs w:val="32"/>
        </w:rPr>
        <w:t xml:space="preserve">  </w:t>
      </w:r>
    </w:p>
    <w:p w:rsidR="009E7826" w:rsidRDefault="009E7826" w:rsidP="009E7826">
      <w:pPr>
        <w:tabs>
          <w:tab w:val="left" w:pos="3285"/>
        </w:tabs>
        <w:rPr>
          <w:b/>
          <w:sz w:val="32"/>
          <w:szCs w:val="32"/>
        </w:rPr>
      </w:pPr>
      <w:r>
        <w:rPr>
          <w:b/>
          <w:sz w:val="32"/>
          <w:szCs w:val="32"/>
        </w:rPr>
        <w:t xml:space="preserve">                              </w:t>
      </w:r>
      <w:r w:rsidRPr="009E7826">
        <w:rPr>
          <w:b/>
          <w:sz w:val="32"/>
          <w:szCs w:val="32"/>
        </w:rPr>
        <w:t>THE PROJECT PROPOSAL</w:t>
      </w: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r>
        <w:rPr>
          <w:b/>
          <w:sz w:val="32"/>
          <w:szCs w:val="32"/>
        </w:rPr>
        <w:lastRenderedPageBreak/>
        <w:t xml:space="preserve">CONTENTS: </w:t>
      </w:r>
    </w:p>
    <w:p w:rsidR="00E83554" w:rsidRDefault="00E83554" w:rsidP="009E7826">
      <w:pPr>
        <w:tabs>
          <w:tab w:val="left" w:pos="3285"/>
        </w:tabs>
        <w:rPr>
          <w:b/>
          <w:sz w:val="32"/>
          <w:szCs w:val="32"/>
        </w:rPr>
      </w:pPr>
      <w:r>
        <w:rPr>
          <w:b/>
          <w:sz w:val="32"/>
          <w:szCs w:val="32"/>
        </w:rPr>
        <w:t>1.INTRODUCTION………………………………………………….3</w:t>
      </w:r>
    </w:p>
    <w:p w:rsidR="009E7826" w:rsidRDefault="00E83554" w:rsidP="009E7826">
      <w:pPr>
        <w:tabs>
          <w:tab w:val="left" w:pos="3285"/>
        </w:tabs>
        <w:rPr>
          <w:b/>
          <w:sz w:val="32"/>
          <w:szCs w:val="32"/>
        </w:rPr>
      </w:pPr>
      <w:r>
        <w:rPr>
          <w:b/>
          <w:sz w:val="32"/>
          <w:szCs w:val="32"/>
        </w:rPr>
        <w:t>2.FOUNDATION……………………………………………………..4-5</w:t>
      </w:r>
    </w:p>
    <w:p w:rsidR="00E83554" w:rsidRDefault="00E83554" w:rsidP="009E7826">
      <w:pPr>
        <w:tabs>
          <w:tab w:val="left" w:pos="3285"/>
        </w:tabs>
        <w:rPr>
          <w:b/>
          <w:sz w:val="32"/>
          <w:szCs w:val="32"/>
        </w:rPr>
      </w:pPr>
      <w:r>
        <w:rPr>
          <w:b/>
          <w:sz w:val="32"/>
          <w:szCs w:val="32"/>
        </w:rPr>
        <w:t>3.WRITING SURVEY…………………………………………………5</w:t>
      </w:r>
    </w:p>
    <w:p w:rsidR="00E83554" w:rsidRDefault="00E83554" w:rsidP="009E7826">
      <w:pPr>
        <w:tabs>
          <w:tab w:val="left" w:pos="3285"/>
        </w:tabs>
        <w:rPr>
          <w:b/>
          <w:sz w:val="32"/>
          <w:szCs w:val="32"/>
        </w:rPr>
      </w:pPr>
      <w:r>
        <w:rPr>
          <w:b/>
          <w:sz w:val="32"/>
          <w:szCs w:val="32"/>
        </w:rPr>
        <w:t>4.RESEARCH TEHNIQUE……………………………………………6-7</w:t>
      </w:r>
    </w:p>
    <w:p w:rsidR="00E83554" w:rsidRPr="00416904" w:rsidRDefault="00E83554" w:rsidP="00E83554">
      <w:pPr>
        <w:tabs>
          <w:tab w:val="left" w:pos="3285"/>
        </w:tabs>
        <w:rPr>
          <w:b/>
          <w:sz w:val="32"/>
          <w:szCs w:val="32"/>
        </w:rPr>
      </w:pPr>
      <w:r>
        <w:rPr>
          <w:b/>
          <w:sz w:val="32"/>
          <w:szCs w:val="32"/>
        </w:rPr>
        <w:t>5</w:t>
      </w:r>
      <w:r w:rsidRPr="00416904">
        <w:rPr>
          <w:b/>
          <w:sz w:val="32"/>
          <w:szCs w:val="32"/>
        </w:rPr>
        <w:t xml:space="preserve">. Variable estimation </w:t>
      </w:r>
      <w:r>
        <w:rPr>
          <w:b/>
          <w:sz w:val="32"/>
          <w:szCs w:val="32"/>
        </w:rPr>
        <w:t>……………………………………………7</w:t>
      </w:r>
      <w:r w:rsidR="00EC4FAD">
        <w:rPr>
          <w:b/>
          <w:sz w:val="32"/>
          <w:szCs w:val="32"/>
        </w:rPr>
        <w:t>-8</w:t>
      </w:r>
    </w:p>
    <w:p w:rsidR="00E83554" w:rsidRPr="00EC4FAD" w:rsidRDefault="00E83554" w:rsidP="00E83554">
      <w:pPr>
        <w:tabs>
          <w:tab w:val="left" w:pos="3285"/>
        </w:tabs>
        <w:rPr>
          <w:sz w:val="28"/>
          <w:szCs w:val="28"/>
        </w:rPr>
      </w:pPr>
      <w:r w:rsidRPr="00EC4FAD">
        <w:rPr>
          <w:sz w:val="28"/>
          <w:szCs w:val="28"/>
        </w:rPr>
        <w:t xml:space="preserve">5.1. Inn proprietor contribution in the capital planning process </w:t>
      </w:r>
    </w:p>
    <w:p w:rsidR="00E83554" w:rsidRPr="00EC4FAD" w:rsidRDefault="00E83554" w:rsidP="009E7826">
      <w:pPr>
        <w:tabs>
          <w:tab w:val="left" w:pos="3285"/>
        </w:tabs>
        <w:rPr>
          <w:sz w:val="28"/>
          <w:szCs w:val="28"/>
        </w:rPr>
      </w:pPr>
      <w:r w:rsidRPr="00EC4FAD">
        <w:rPr>
          <w:sz w:val="28"/>
          <w:szCs w:val="28"/>
        </w:rPr>
        <w:t>5.2</w:t>
      </w:r>
      <w:r w:rsidR="00EC4FAD" w:rsidRPr="00EC4FAD">
        <w:rPr>
          <w:sz w:val="28"/>
          <w:szCs w:val="28"/>
        </w:rPr>
        <w:t xml:space="preserve"> Hotel size</w:t>
      </w:r>
    </w:p>
    <w:p w:rsidR="00EC4FAD" w:rsidRDefault="00EC4FAD" w:rsidP="009E7826">
      <w:pPr>
        <w:tabs>
          <w:tab w:val="left" w:pos="3285"/>
        </w:tabs>
        <w:rPr>
          <w:sz w:val="28"/>
          <w:szCs w:val="28"/>
        </w:rPr>
      </w:pPr>
      <w:r w:rsidRPr="00EC4FAD">
        <w:rPr>
          <w:sz w:val="28"/>
          <w:szCs w:val="28"/>
        </w:rPr>
        <w:t>5.3.Hotel propietor size</w:t>
      </w:r>
    </w:p>
    <w:p w:rsidR="00EC4FAD" w:rsidRDefault="00EC4FAD" w:rsidP="009E7826">
      <w:pPr>
        <w:tabs>
          <w:tab w:val="left" w:pos="3285"/>
        </w:tabs>
        <w:rPr>
          <w:b/>
          <w:sz w:val="28"/>
          <w:szCs w:val="28"/>
        </w:rPr>
      </w:pPr>
      <w:r w:rsidRPr="00EC4FAD">
        <w:rPr>
          <w:b/>
          <w:sz w:val="28"/>
          <w:szCs w:val="28"/>
        </w:rPr>
        <w:t>6.CONCLUSION</w:t>
      </w:r>
      <w:r>
        <w:rPr>
          <w:b/>
          <w:sz w:val="28"/>
          <w:szCs w:val="28"/>
        </w:rPr>
        <w:t>……………………………………………………………………9</w:t>
      </w:r>
    </w:p>
    <w:p w:rsidR="00EC4FAD" w:rsidRPr="00EC4FAD" w:rsidRDefault="00EC4FAD" w:rsidP="009E7826">
      <w:pPr>
        <w:tabs>
          <w:tab w:val="left" w:pos="3285"/>
        </w:tabs>
        <w:rPr>
          <w:b/>
          <w:sz w:val="28"/>
          <w:szCs w:val="28"/>
        </w:rPr>
      </w:pPr>
      <w:r>
        <w:rPr>
          <w:b/>
          <w:sz w:val="28"/>
          <w:szCs w:val="28"/>
        </w:rPr>
        <w:t>REFERENCES   ……………………………………………………………………..10-11</w:t>
      </w: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9E7826" w:rsidRDefault="009E7826" w:rsidP="009E7826">
      <w:pPr>
        <w:tabs>
          <w:tab w:val="left" w:pos="3285"/>
        </w:tabs>
        <w:rPr>
          <w:b/>
          <w:sz w:val="32"/>
          <w:szCs w:val="32"/>
        </w:rPr>
      </w:pPr>
    </w:p>
    <w:p w:rsidR="003C748F" w:rsidRDefault="003C748F" w:rsidP="003C748F">
      <w:pPr>
        <w:tabs>
          <w:tab w:val="left" w:pos="3285"/>
        </w:tabs>
        <w:rPr>
          <w:b/>
          <w:sz w:val="32"/>
          <w:szCs w:val="32"/>
        </w:rPr>
      </w:pPr>
      <w:r>
        <w:rPr>
          <w:b/>
          <w:sz w:val="32"/>
          <w:szCs w:val="32"/>
        </w:rPr>
        <w:t>1. INTRODUCTION</w:t>
      </w:r>
      <w:r w:rsidRPr="003C748F">
        <w:rPr>
          <w:b/>
          <w:sz w:val="32"/>
          <w:szCs w:val="32"/>
        </w:rPr>
        <w:t xml:space="preserve"> </w:t>
      </w:r>
    </w:p>
    <w:p w:rsidR="00BA4B67" w:rsidRPr="00BA4B67" w:rsidRDefault="009341EC" w:rsidP="003C748F">
      <w:pPr>
        <w:tabs>
          <w:tab w:val="left" w:pos="3285"/>
        </w:tabs>
        <w:rPr>
          <w:sz w:val="28"/>
          <w:szCs w:val="28"/>
        </w:rPr>
      </w:pPr>
      <w:r w:rsidRPr="009341EC">
        <w:t xml:space="preserve"> </w:t>
      </w:r>
      <w:r w:rsidRPr="009341EC">
        <w:rPr>
          <w:sz w:val="28"/>
          <w:szCs w:val="28"/>
        </w:rPr>
        <w:t>Affiliations face a lot of troubles as the world interconnects through the strategy of globalization. To proceed with appropriateness and produce advantage, affiliations must develop an overall correspondence method. Social capacities ought to be made at all degrees of the relationship, from a sensible mission statement to particular agent improvement. Affiliations need overall pioneers, prepared for moving in and through divergent social circumstances. Perceiving and setting up these future heads is a trailblazer to achievement in the overall business place. This paper offers a useful model to coordinate relationship as they face continuously multifaceted, socially differing circumstances</w:t>
      </w:r>
      <w:r>
        <w:rPr>
          <w:sz w:val="28"/>
          <w:szCs w:val="28"/>
        </w:rPr>
        <w:t>.</w:t>
      </w:r>
    </w:p>
    <w:p w:rsidR="003C748F" w:rsidRPr="003C748F" w:rsidRDefault="003C748F" w:rsidP="003C748F">
      <w:pPr>
        <w:tabs>
          <w:tab w:val="left" w:pos="3285"/>
        </w:tabs>
        <w:rPr>
          <w:b/>
          <w:sz w:val="32"/>
          <w:szCs w:val="32"/>
        </w:rPr>
      </w:pPr>
    </w:p>
    <w:p w:rsidR="003C748F" w:rsidRPr="003C748F" w:rsidRDefault="0002765C" w:rsidP="003C748F">
      <w:pPr>
        <w:tabs>
          <w:tab w:val="left" w:pos="3285"/>
        </w:tabs>
        <w:rPr>
          <w:sz w:val="28"/>
          <w:szCs w:val="28"/>
        </w:rPr>
      </w:pPr>
      <w:r>
        <w:rPr>
          <w:sz w:val="28"/>
          <w:szCs w:val="28"/>
        </w:rPr>
        <w:t>N</w:t>
      </w:r>
      <w:r w:rsidR="003C748F" w:rsidRPr="003C748F">
        <w:rPr>
          <w:sz w:val="28"/>
          <w:szCs w:val="28"/>
        </w:rPr>
        <w:t>umerous lodging the board organizations welcome the potential for capital use financing difficulties, as they will in general unmistakably illuminate capital use escrow finance desires, the capital use endorsement procedure, and cures accessible to the two administrators and proprietors in the event of contentions. Brand norms and a tranquil delight proviso are likewise normally remembered for the executives contracts. P</w:t>
      </w:r>
      <w:r w:rsidR="00B2164B">
        <w:rPr>
          <w:sz w:val="28"/>
          <w:szCs w:val="28"/>
        </w:rPr>
        <w:t>roprietors not just hold supervision</w:t>
      </w:r>
      <w:r w:rsidR="003C748F" w:rsidRPr="003C748F">
        <w:rPr>
          <w:sz w:val="28"/>
          <w:szCs w:val="28"/>
        </w:rPr>
        <w:t xml:space="preserve"> of the capital </w:t>
      </w:r>
      <w:r w:rsidR="00B2164B">
        <w:rPr>
          <w:sz w:val="28"/>
          <w:szCs w:val="28"/>
        </w:rPr>
        <w:t xml:space="preserve">use escrow account, they for </w:t>
      </w:r>
      <w:r w:rsidR="003C748F" w:rsidRPr="003C748F">
        <w:rPr>
          <w:sz w:val="28"/>
          <w:szCs w:val="28"/>
        </w:rPr>
        <w:t xml:space="preserve"> most part additionally hold the fixed resources bookkeeping record. </w:t>
      </w:r>
    </w:p>
    <w:p w:rsidR="003C748F" w:rsidRPr="003C748F" w:rsidRDefault="003C748F" w:rsidP="003C748F">
      <w:pPr>
        <w:tabs>
          <w:tab w:val="left" w:pos="3285"/>
        </w:tabs>
        <w:rPr>
          <w:sz w:val="28"/>
          <w:szCs w:val="28"/>
        </w:rPr>
      </w:pPr>
    </w:p>
    <w:p w:rsidR="003C748F" w:rsidRPr="003C748F" w:rsidRDefault="003C748F" w:rsidP="003C748F">
      <w:pPr>
        <w:tabs>
          <w:tab w:val="left" w:pos="3285"/>
        </w:tabs>
        <w:rPr>
          <w:sz w:val="28"/>
          <w:szCs w:val="28"/>
        </w:rPr>
      </w:pPr>
      <w:r w:rsidRPr="003C748F">
        <w:rPr>
          <w:sz w:val="28"/>
          <w:szCs w:val="28"/>
        </w:rPr>
        <w:lastRenderedPageBreak/>
        <w:t>It is eminent that lodging proprietors and administrators won't generally have significant standard congruency</w:t>
      </w:r>
      <w:r w:rsidR="00EF4379">
        <w:rPr>
          <w:sz w:val="28"/>
          <w:szCs w:val="28"/>
        </w:rPr>
        <w:t>.</w:t>
      </w:r>
    </w:p>
    <w:p w:rsidR="00AE4306" w:rsidRPr="00563B0C" w:rsidRDefault="00AE4306" w:rsidP="00AE4306">
      <w:pPr>
        <w:tabs>
          <w:tab w:val="left" w:pos="3285"/>
        </w:tabs>
        <w:rPr>
          <w:b/>
          <w:sz w:val="32"/>
          <w:szCs w:val="32"/>
        </w:rPr>
      </w:pPr>
      <w:r w:rsidRPr="00563B0C">
        <w:rPr>
          <w:b/>
          <w:sz w:val="32"/>
          <w:szCs w:val="32"/>
        </w:rPr>
        <w:t xml:space="preserve">2. Foundation </w:t>
      </w:r>
    </w:p>
    <w:p w:rsidR="00AE4306" w:rsidRPr="00563B0C" w:rsidRDefault="00AE4306" w:rsidP="00AE4306">
      <w:pPr>
        <w:tabs>
          <w:tab w:val="left" w:pos="3285"/>
        </w:tabs>
        <w:rPr>
          <w:sz w:val="28"/>
          <w:szCs w:val="28"/>
        </w:rPr>
      </w:pPr>
    </w:p>
    <w:p w:rsidR="00AE4306" w:rsidRPr="00563B0C" w:rsidRDefault="00AE4306" w:rsidP="00AE4306">
      <w:pPr>
        <w:tabs>
          <w:tab w:val="left" w:pos="3285"/>
        </w:tabs>
        <w:rPr>
          <w:sz w:val="28"/>
          <w:szCs w:val="28"/>
        </w:rPr>
      </w:pPr>
      <w:r w:rsidRPr="00563B0C">
        <w:rPr>
          <w:sz w:val="28"/>
          <w:szCs w:val="28"/>
        </w:rPr>
        <w:t>It has been guaranteed that administration contracts have demonstrated well known with proprietors since they can get advantage fro</w:t>
      </w:r>
      <w:r w:rsidR="00F65B52">
        <w:rPr>
          <w:sz w:val="28"/>
          <w:szCs w:val="28"/>
        </w:rPr>
        <w:t xml:space="preserve">m owning an inn  to build up </w:t>
      </w:r>
      <w:r w:rsidRPr="00563B0C">
        <w:rPr>
          <w:sz w:val="28"/>
          <w:szCs w:val="28"/>
        </w:rPr>
        <w:t xml:space="preserve"> mast</w:t>
      </w:r>
      <w:r w:rsidR="00F65B52">
        <w:rPr>
          <w:sz w:val="28"/>
          <w:szCs w:val="28"/>
        </w:rPr>
        <w:t>er skill useful</w:t>
      </w:r>
      <w:r w:rsidRPr="00563B0C">
        <w:rPr>
          <w:sz w:val="28"/>
          <w:szCs w:val="28"/>
        </w:rPr>
        <w:t xml:space="preserve"> to work it (Horwath and Horw</w:t>
      </w:r>
      <w:r w:rsidR="00B907DA">
        <w:rPr>
          <w:sz w:val="28"/>
          <w:szCs w:val="28"/>
        </w:rPr>
        <w:t>ath Ltd, 1988). The link means  the proprietor expect the absolut</w:t>
      </w:r>
      <w:r w:rsidRPr="00563B0C">
        <w:rPr>
          <w:sz w:val="28"/>
          <w:szCs w:val="28"/>
        </w:rPr>
        <w:t xml:space="preserve"> monet</w:t>
      </w:r>
      <w:r w:rsidR="00B907DA">
        <w:rPr>
          <w:sz w:val="28"/>
          <w:szCs w:val="28"/>
        </w:rPr>
        <w:t xml:space="preserve">ary hazard related in his possession, in the administrator was answerable in </w:t>
      </w:r>
      <w:r w:rsidRPr="00563B0C">
        <w:rPr>
          <w:sz w:val="28"/>
          <w:szCs w:val="28"/>
        </w:rPr>
        <w:t>overseeing inn tasks (Schlup</w:t>
      </w:r>
      <w:r w:rsidR="00B907DA">
        <w:rPr>
          <w:sz w:val="28"/>
          <w:szCs w:val="28"/>
        </w:rPr>
        <w:t>, 2004). The middle person quality of the agreement shapes in office connection in</w:t>
      </w:r>
      <w:r w:rsidRPr="00563B0C">
        <w:rPr>
          <w:sz w:val="28"/>
          <w:szCs w:val="28"/>
        </w:rPr>
        <w:t xml:space="preserve"> a lodging proprietor (he</w:t>
      </w:r>
      <w:r w:rsidR="00465453">
        <w:rPr>
          <w:sz w:val="28"/>
          <w:szCs w:val="28"/>
        </w:rPr>
        <w:t>ad) in</w:t>
      </w:r>
      <w:r w:rsidR="00B907DA">
        <w:rPr>
          <w:sz w:val="28"/>
          <w:szCs w:val="28"/>
        </w:rPr>
        <w:t xml:space="preserve"> administrator </w:t>
      </w:r>
      <w:r w:rsidRPr="00563B0C">
        <w:rPr>
          <w:sz w:val="28"/>
          <w:szCs w:val="28"/>
        </w:rPr>
        <w:t xml:space="preserve"> (Beals, 1995, Eyster, 1997b, Field, 1995). Court cases have prompted the accompany</w:t>
      </w:r>
      <w:r w:rsidR="00563B0C" w:rsidRPr="00563B0C">
        <w:rPr>
          <w:sz w:val="28"/>
          <w:szCs w:val="28"/>
        </w:rPr>
        <w:t>ing comprehension:</w:t>
      </w:r>
    </w:p>
    <w:p w:rsidR="00EF4379" w:rsidRPr="00EF4379" w:rsidRDefault="00AE4306" w:rsidP="00EF4379">
      <w:pPr>
        <w:tabs>
          <w:tab w:val="left" w:pos="3285"/>
        </w:tabs>
        <w:rPr>
          <w:sz w:val="28"/>
          <w:szCs w:val="28"/>
        </w:rPr>
      </w:pPr>
      <w:r w:rsidRPr="00563B0C">
        <w:rPr>
          <w:sz w:val="28"/>
          <w:szCs w:val="28"/>
        </w:rPr>
        <w:t>Specialists owe their principals customary law guardian obligations – explicitly, the obligations of dedication, great confidence, reasonable managing, to be completely forthright, and due care. Operators should likewise shun cer</w:t>
      </w:r>
      <w:r w:rsidR="00465453">
        <w:rPr>
          <w:sz w:val="28"/>
          <w:szCs w:val="28"/>
        </w:rPr>
        <w:t>tain exercises. They are constrained not to contend with his rules</w:t>
      </w:r>
      <w:r w:rsidRPr="00563B0C">
        <w:rPr>
          <w:sz w:val="28"/>
          <w:szCs w:val="28"/>
        </w:rPr>
        <w:t>,</w:t>
      </w:r>
      <w:r w:rsidR="00465453">
        <w:rPr>
          <w:sz w:val="28"/>
          <w:szCs w:val="28"/>
        </w:rPr>
        <w:t xml:space="preserve"> not to take part in his managing, not to left unapproved in secret</w:t>
      </w:r>
      <w:r w:rsidRPr="00563B0C">
        <w:rPr>
          <w:sz w:val="28"/>
          <w:szCs w:val="28"/>
        </w:rPr>
        <w:t xml:space="preserve"> benefits, and not to utilize or fitting the primary's property (counting the proprietor's private data) without approval to do as such. (Renard and Motley, 2003) </w:t>
      </w:r>
    </w:p>
    <w:p w:rsidR="00AE4306" w:rsidRPr="00563B0C" w:rsidRDefault="00EF4379" w:rsidP="00EF4379">
      <w:pPr>
        <w:tabs>
          <w:tab w:val="left" w:pos="3285"/>
        </w:tabs>
        <w:rPr>
          <w:sz w:val="28"/>
          <w:szCs w:val="28"/>
        </w:rPr>
      </w:pPr>
      <w:r w:rsidRPr="00EF4379">
        <w:rPr>
          <w:sz w:val="28"/>
          <w:szCs w:val="28"/>
        </w:rPr>
        <w:t xml:space="preserve">Considering the tremendousness of the board contracting in the hotel business, it is somewhat bewildering that there has been an absence of precise composing stressed </w:t>
      </w:r>
      <w:r w:rsidR="00AE4306" w:rsidRPr="00563B0C">
        <w:rPr>
          <w:sz w:val="28"/>
          <w:szCs w:val="28"/>
        </w:rPr>
        <w:t>about the dispersion of intensity between lodging proprietors and admin</w:t>
      </w:r>
      <w:r w:rsidR="004C1552">
        <w:rPr>
          <w:sz w:val="28"/>
          <w:szCs w:val="28"/>
        </w:rPr>
        <w:t>istrators.  During in 1970s, the strong</w:t>
      </w:r>
      <w:r w:rsidR="00AE4306" w:rsidRPr="00563B0C">
        <w:rPr>
          <w:sz w:val="28"/>
          <w:szCs w:val="28"/>
        </w:rPr>
        <w:t xml:space="preserve"> balance favored adm</w:t>
      </w:r>
      <w:r w:rsidR="004C1552">
        <w:rPr>
          <w:sz w:val="28"/>
          <w:szCs w:val="28"/>
        </w:rPr>
        <w:t>inistrators, because in</w:t>
      </w:r>
      <w:r w:rsidR="00D052D9">
        <w:rPr>
          <w:sz w:val="28"/>
          <w:szCs w:val="28"/>
        </w:rPr>
        <w:t xml:space="preserve"> unrivaled worth information and skill</w:t>
      </w:r>
      <w:r w:rsidR="004B7C6D">
        <w:rPr>
          <w:sz w:val="28"/>
          <w:szCs w:val="28"/>
        </w:rPr>
        <w:t xml:space="preserve"> (Armitstead, 2004</w:t>
      </w:r>
      <w:r w:rsidR="00D052D9">
        <w:rPr>
          <w:sz w:val="28"/>
          <w:szCs w:val="28"/>
        </w:rPr>
        <w:t>). In 1990s proprietors  verified  advantage in sale</w:t>
      </w:r>
      <w:r w:rsidR="00AE4306" w:rsidRPr="00563B0C">
        <w:rPr>
          <w:sz w:val="28"/>
          <w:szCs w:val="28"/>
        </w:rPr>
        <w:t xml:space="preserve"> arrangements (Eyster, 1</w:t>
      </w:r>
      <w:r w:rsidR="004B7C6D">
        <w:rPr>
          <w:sz w:val="28"/>
          <w:szCs w:val="28"/>
        </w:rPr>
        <w:t>993, Hart ,</w:t>
      </w:r>
      <w:r w:rsidR="00041F5D">
        <w:rPr>
          <w:sz w:val="28"/>
          <w:szCs w:val="28"/>
        </w:rPr>
        <w:t xml:space="preserve"> Connor, 1994). The</w:t>
      </w:r>
      <w:r w:rsidR="00AE4306" w:rsidRPr="00563B0C">
        <w:rPr>
          <w:sz w:val="28"/>
          <w:szCs w:val="28"/>
        </w:rPr>
        <w:t xml:space="preserve"> contracts </w:t>
      </w:r>
      <w:r w:rsidR="00041F5D">
        <w:rPr>
          <w:sz w:val="28"/>
          <w:szCs w:val="28"/>
        </w:rPr>
        <w:t>made  in the mid-2000s, that</w:t>
      </w:r>
      <w:r w:rsidR="00AE4306" w:rsidRPr="00563B0C">
        <w:rPr>
          <w:sz w:val="28"/>
          <w:szCs w:val="28"/>
        </w:rPr>
        <w:t xml:space="preserve"> has all the earmarks of being a generally evenhanded level of influence among propr</w:t>
      </w:r>
      <w:r w:rsidR="00E12487">
        <w:rPr>
          <w:sz w:val="28"/>
          <w:szCs w:val="28"/>
        </w:rPr>
        <w:t>ietors and administrators (Beal</w:t>
      </w:r>
      <w:bookmarkStart w:id="0" w:name="_GoBack"/>
      <w:bookmarkEnd w:id="0"/>
      <w:r w:rsidR="00AE4306" w:rsidRPr="00563B0C">
        <w:rPr>
          <w:sz w:val="28"/>
          <w:szCs w:val="28"/>
        </w:rPr>
        <w:t xml:space="preserve"> and Denton, 2005). </w:t>
      </w:r>
    </w:p>
    <w:p w:rsidR="000468B9" w:rsidRPr="000468B9" w:rsidRDefault="00AE4306" w:rsidP="00AE4306">
      <w:pPr>
        <w:tabs>
          <w:tab w:val="left" w:pos="3285"/>
        </w:tabs>
        <w:rPr>
          <w:b/>
          <w:sz w:val="32"/>
          <w:szCs w:val="32"/>
        </w:rPr>
      </w:pPr>
      <w:r w:rsidRPr="00563B0C">
        <w:rPr>
          <w:b/>
          <w:sz w:val="32"/>
          <w:szCs w:val="32"/>
        </w:rPr>
        <w:t>3. Writing survey</w:t>
      </w:r>
      <w:r w:rsidR="00563B0C">
        <w:rPr>
          <w:b/>
          <w:sz w:val="32"/>
          <w:szCs w:val="32"/>
        </w:rPr>
        <w:t xml:space="preserve">  </w:t>
      </w:r>
    </w:p>
    <w:p w:rsidR="009E7826" w:rsidRPr="000468B9" w:rsidRDefault="004E1879" w:rsidP="009E7826">
      <w:pPr>
        <w:tabs>
          <w:tab w:val="left" w:pos="3285"/>
        </w:tabs>
        <w:rPr>
          <w:sz w:val="28"/>
          <w:szCs w:val="28"/>
        </w:rPr>
      </w:pPr>
      <w:r w:rsidRPr="004E1879">
        <w:t xml:space="preserve"> </w:t>
      </w:r>
      <w:r w:rsidRPr="004E1879">
        <w:rPr>
          <w:sz w:val="28"/>
          <w:szCs w:val="28"/>
        </w:rPr>
        <w:t xml:space="preserve">Making great proposition is basic to the accomplishment of numerous associations. Notwithstanding this, proposition age is ordinarily specially appointed, regularly wasteful and depends vigorously on shrewdness, aptitudes and assets that members gather casually after some time. We </w:t>
      </w:r>
      <w:r w:rsidRPr="004E1879">
        <w:rPr>
          <w:sz w:val="28"/>
          <w:szCs w:val="28"/>
        </w:rPr>
        <w:lastRenderedPageBreak/>
        <w:t>contemplated the strategies that sources accepted were useful and how past substance and effective systems can be reused to build the proficiency of community oriented proposition composing ventures. Be that as it may, there appear to be barely any devices being used that assist associations with catching these gainful regularities. Right now, most proposition journalists just have an incomplete image of them and, in any event, when they know about them, frequently can't misuse them, bringing about unending spontaneous creation, asset rummaging and oversights. We distinguish chances to address such issues by supporting reuse of substance and methods and upgrading hierarchical learning.</w:t>
      </w:r>
      <w:r w:rsidRPr="004E1879">
        <w:t xml:space="preserve"> </w:t>
      </w:r>
      <w:r w:rsidRPr="004E1879">
        <w:rPr>
          <w:sz w:val="28"/>
          <w:szCs w:val="28"/>
        </w:rPr>
        <w:t>https://ieeexplore.ieee.org/xpl/conhome/5875054/proceeding</w:t>
      </w:r>
    </w:p>
    <w:p w:rsidR="000468B9" w:rsidRPr="000468B9" w:rsidRDefault="00AB5B67" w:rsidP="000468B9">
      <w:pPr>
        <w:tabs>
          <w:tab w:val="left" w:pos="3285"/>
        </w:tabs>
        <w:rPr>
          <w:b/>
          <w:sz w:val="32"/>
          <w:szCs w:val="32"/>
        </w:rPr>
      </w:pPr>
      <w:r>
        <w:rPr>
          <w:b/>
          <w:sz w:val="32"/>
          <w:szCs w:val="32"/>
        </w:rPr>
        <w:t>4</w:t>
      </w:r>
      <w:r w:rsidR="000468B9" w:rsidRPr="000468B9">
        <w:rPr>
          <w:b/>
          <w:sz w:val="32"/>
          <w:szCs w:val="32"/>
        </w:rPr>
        <w:t xml:space="preserve">. Research technique </w:t>
      </w:r>
    </w:p>
    <w:p w:rsidR="00272380" w:rsidRPr="00272380" w:rsidRDefault="009341EC" w:rsidP="00272380">
      <w:pPr>
        <w:tabs>
          <w:tab w:val="left" w:pos="3285"/>
        </w:tabs>
        <w:rPr>
          <w:sz w:val="28"/>
          <w:szCs w:val="28"/>
        </w:rPr>
      </w:pPr>
      <w:r w:rsidRPr="009341EC">
        <w:t xml:space="preserve"> </w:t>
      </w:r>
      <w:r w:rsidRPr="009341EC">
        <w:rPr>
          <w:sz w:val="28"/>
          <w:szCs w:val="28"/>
        </w:rPr>
        <w:t>Ease of use issues anticipated by assessment methods are valuable contribution to frameworks improvement; it is questionable whether upgrade recommendations planned for mitigating those issues are similarly helpful. We present an investigation of how engineers of a huge web application survey convenience issues and update recommendations as contribution to their frameworks improvement. Issues and overhaul proposition were produced by 43 evaluators utilizing an assessment system and verbally process testing. Designers surveyed update proposition to have higher utility in their work than ease of use issues. In interviews they clarified how update recommendations gave them new thoughts for handling notable issues. Overhaul recommendations were additionally observed as helpful and solid information. Not many ease of use issues were new to engineers, yet the issues upheld organizing progressing advancement of the application and taking plan choices. No designers, be that as it may, needed to get just issues or overhauls. We recommend creating and utilizing update proposition as an indispensable piece of ease of use assessment</w:t>
      </w:r>
      <w:r>
        <w:rPr>
          <w:sz w:val="28"/>
          <w:szCs w:val="28"/>
        </w:rPr>
        <w:t>.</w:t>
      </w:r>
    </w:p>
    <w:p w:rsidR="00272380" w:rsidRPr="00272380" w:rsidRDefault="00272380" w:rsidP="00272380">
      <w:pPr>
        <w:tabs>
          <w:tab w:val="left" w:pos="3285"/>
        </w:tabs>
        <w:rPr>
          <w:b/>
          <w:bCs/>
          <w:i/>
          <w:iCs/>
          <w:sz w:val="28"/>
          <w:szCs w:val="28"/>
        </w:rPr>
      </w:pPr>
    </w:p>
    <w:p w:rsidR="009E7826" w:rsidRPr="00AB5B67" w:rsidRDefault="009E7826" w:rsidP="000468B9">
      <w:pPr>
        <w:tabs>
          <w:tab w:val="left" w:pos="3285"/>
        </w:tabs>
        <w:rPr>
          <w:sz w:val="28"/>
          <w:szCs w:val="28"/>
        </w:rPr>
      </w:pPr>
    </w:p>
    <w:p w:rsidR="00AB5B67" w:rsidRDefault="00AB5B67" w:rsidP="00AB5B67">
      <w:pPr>
        <w:tabs>
          <w:tab w:val="left" w:pos="3285"/>
        </w:tabs>
        <w:rPr>
          <w:b/>
          <w:sz w:val="32"/>
          <w:szCs w:val="32"/>
        </w:rPr>
      </w:pPr>
      <w:r w:rsidRPr="00416904">
        <w:rPr>
          <w:b/>
          <w:sz w:val="32"/>
          <w:szCs w:val="32"/>
        </w:rPr>
        <w:t xml:space="preserve">5. Variable estimation </w:t>
      </w:r>
    </w:p>
    <w:p w:rsidR="004E1879" w:rsidRPr="001B5EC7" w:rsidRDefault="009341EC" w:rsidP="00AB5B67">
      <w:pPr>
        <w:tabs>
          <w:tab w:val="left" w:pos="3285"/>
        </w:tabs>
        <w:rPr>
          <w:sz w:val="32"/>
          <w:szCs w:val="32"/>
        </w:rPr>
      </w:pPr>
      <w:r w:rsidRPr="009341EC">
        <w:rPr>
          <w:sz w:val="32"/>
          <w:szCs w:val="32"/>
        </w:rPr>
        <w:t xml:space="preserve">Logically genuine conditions have focused housing executives' thought on expanding high ground by growing the ability of their customer base. This paper gives the delayed consequences of an </w:t>
      </w:r>
      <w:r w:rsidRPr="009341EC">
        <w:rPr>
          <w:sz w:val="32"/>
          <w:szCs w:val="32"/>
        </w:rPr>
        <w:lastRenderedPageBreak/>
        <w:t>examination of the usage and forerunners of customer accounting and promoting execution measures in the Australian housing industry.</w:t>
      </w:r>
      <w:r w:rsidR="004E1879" w:rsidRPr="001B5EC7">
        <w:rPr>
          <w:sz w:val="32"/>
          <w:szCs w:val="32"/>
        </w:rPr>
        <w:t>The discoveries of a study of 165 Australian inn chiefs give proof that huge, exceptionally showcase orientated inns with a decentralized structure utilize more client centered bookkeeping and promoting rehearses. Furthermore, support was additionally found for a critical positive connection between advertise direction and a miner type methodology, just as market direction and both budgetary and non-monetary execution.</w:t>
      </w:r>
    </w:p>
    <w:p w:rsidR="00AB5B67" w:rsidRPr="001B5EC7" w:rsidRDefault="00AB5B67" w:rsidP="00AB5B67">
      <w:pPr>
        <w:tabs>
          <w:tab w:val="left" w:pos="3285"/>
        </w:tabs>
        <w:rPr>
          <w:sz w:val="28"/>
          <w:szCs w:val="28"/>
        </w:rPr>
      </w:pPr>
      <w:r w:rsidRPr="001B5EC7">
        <w:rPr>
          <w:sz w:val="28"/>
          <w:szCs w:val="28"/>
        </w:rPr>
        <w:t xml:space="preserve">5.1. Inn proprietor contribution in the capital planning process </w:t>
      </w:r>
    </w:p>
    <w:p w:rsidR="009E7826" w:rsidRPr="001B5EC7" w:rsidRDefault="00AB5B67" w:rsidP="00AB5B67">
      <w:pPr>
        <w:tabs>
          <w:tab w:val="left" w:pos="3285"/>
        </w:tabs>
        <w:rPr>
          <w:sz w:val="28"/>
          <w:szCs w:val="28"/>
        </w:rPr>
      </w:pPr>
      <w:r w:rsidRPr="001B5EC7">
        <w:rPr>
          <w:sz w:val="28"/>
          <w:szCs w:val="28"/>
        </w:rPr>
        <w:t>A broad writing search neglected to distinguish any earlier examinations that have estimated the degree of lodging proprietor inclusion in the capital planning process. With regards to annualized planning, be that as it may, Milani's (1975) six thing budgetary support poll instrument, which quantifies the measure of impact an individual has on the monetary allowance just as their contribution during the time spent building up the financial backing, has been broadly utilized in examines concentrated on budgetary investment (for example Agbejule and Saarikoski, 2006, Bento and White, 2006, Parker and Kyj, 2006</w:t>
      </w:r>
      <w:r w:rsidR="00416904" w:rsidRPr="001B5EC7">
        <w:rPr>
          <w:sz w:val="28"/>
          <w:szCs w:val="28"/>
        </w:rPr>
        <w:t>.</w:t>
      </w:r>
    </w:p>
    <w:p w:rsidR="00416904" w:rsidRPr="001B5EC7" w:rsidRDefault="00416904" w:rsidP="00416904">
      <w:pPr>
        <w:tabs>
          <w:tab w:val="left" w:pos="3285"/>
        </w:tabs>
        <w:rPr>
          <w:sz w:val="28"/>
          <w:szCs w:val="28"/>
        </w:rPr>
      </w:pPr>
      <w:r w:rsidRPr="001B5EC7">
        <w:rPr>
          <w:sz w:val="28"/>
          <w:szCs w:val="28"/>
        </w:rPr>
        <w:t>5.2. Hotel size</w:t>
      </w:r>
    </w:p>
    <w:p w:rsidR="00416904" w:rsidRPr="001B5EC7" w:rsidRDefault="00416904" w:rsidP="00416904">
      <w:pPr>
        <w:tabs>
          <w:tab w:val="left" w:pos="3285"/>
        </w:tabs>
        <w:rPr>
          <w:sz w:val="28"/>
          <w:szCs w:val="28"/>
        </w:rPr>
      </w:pPr>
    </w:p>
    <w:p w:rsidR="00416904" w:rsidRPr="00416904" w:rsidRDefault="00416904" w:rsidP="00416904">
      <w:pPr>
        <w:tabs>
          <w:tab w:val="left" w:pos="3285"/>
        </w:tabs>
        <w:rPr>
          <w:sz w:val="28"/>
          <w:szCs w:val="28"/>
        </w:rPr>
      </w:pPr>
      <w:r w:rsidRPr="00416904">
        <w:rPr>
          <w:sz w:val="28"/>
          <w:szCs w:val="28"/>
        </w:rPr>
        <w:t xml:space="preserve">As for lodging size, it could be contended that bigger proprietors will keep an eye on claim bigger inns. This would recommend that proprietor control is more prominent in bigger lodgings. Then again, in any case, it is in huge lodgings where we will in general discover enormous global inn the board organizations (for example Hilton, Hyatt, Marriott, and so forth.). This factor recommends that power in huge lodgings could well rest with the administrator. The potential noteworthiness of inn size has brought about it being incorporated as a control variable in the examinations attempted. In spite of the fact that there are different potential outcomes, for example, sections of land of land, number of workers, yearly deals turnover or net benefits (Vallen and Vallen, 2005), the quantity of rooms in an inn is the most generally acknowledged proportion of a lodging's size (Garcia-Falcon and Medina-Munoz, 1999, Vallen and Vallen, 2005). To decide the quantity of </w:t>
      </w:r>
      <w:r w:rsidRPr="00416904">
        <w:rPr>
          <w:sz w:val="28"/>
          <w:szCs w:val="28"/>
        </w:rPr>
        <w:lastRenderedPageBreak/>
        <w:t>rooms in an inn, survey measures are normally downright (for example Kasavana and Brooks, 1995, Vallen and Vallen, 2005) or discrete (for example Guilding and Lamminmaki, 2007). Considering the benefits of discrete information, respondents were solicited to show the n</w:t>
      </w:r>
      <w:r>
        <w:rPr>
          <w:sz w:val="28"/>
          <w:szCs w:val="28"/>
        </w:rPr>
        <w:t xml:space="preserve">umber from rooms in their inn. </w:t>
      </w:r>
    </w:p>
    <w:p w:rsidR="00416904" w:rsidRPr="00416904" w:rsidRDefault="00416904" w:rsidP="00416904">
      <w:pPr>
        <w:tabs>
          <w:tab w:val="left" w:pos="3285"/>
        </w:tabs>
        <w:rPr>
          <w:sz w:val="28"/>
          <w:szCs w:val="28"/>
        </w:rPr>
      </w:pPr>
      <w:r>
        <w:rPr>
          <w:sz w:val="28"/>
          <w:szCs w:val="28"/>
        </w:rPr>
        <w:t xml:space="preserve">5.3. Hotel proprietor size </w:t>
      </w:r>
    </w:p>
    <w:p w:rsidR="009E7826" w:rsidRDefault="00416904" w:rsidP="00416904">
      <w:pPr>
        <w:tabs>
          <w:tab w:val="left" w:pos="3285"/>
        </w:tabs>
        <w:rPr>
          <w:sz w:val="28"/>
          <w:szCs w:val="28"/>
        </w:rPr>
      </w:pPr>
      <w:r w:rsidRPr="00416904">
        <w:rPr>
          <w:sz w:val="28"/>
          <w:szCs w:val="28"/>
        </w:rPr>
        <w:t>Inn proprietor size has been remembered for the examination as a control variable. As noted before, a factor influencing the power balance is the overall size of an inn proprietor, with bigger lodging proprietors tending to hold more power (Beals and Denton, 2005), i.e., enormous proprietors have a more noteworthy ability to use control. Considering the potential significance of proprietor size regarding an examination concentrated on control, we felt it judicious to control for lodging proprietor size in the relapse definitions depicted beneath. There seems to have been minimal experimental scholastic research that has looked to quantify lodging proprietor size. The poll review requested that respondents demonstrate the inexact number of lodgings that their proprietor claims around the world</w:t>
      </w:r>
      <w:r>
        <w:rPr>
          <w:sz w:val="28"/>
          <w:szCs w:val="28"/>
        </w:rPr>
        <w:t>.</w:t>
      </w:r>
    </w:p>
    <w:p w:rsidR="00416904" w:rsidRPr="00416904" w:rsidRDefault="00416904" w:rsidP="00416904">
      <w:pPr>
        <w:tabs>
          <w:tab w:val="left" w:pos="3285"/>
        </w:tabs>
        <w:rPr>
          <w:b/>
          <w:sz w:val="32"/>
          <w:szCs w:val="32"/>
        </w:rPr>
      </w:pPr>
      <w:r w:rsidRPr="00416904">
        <w:rPr>
          <w:b/>
          <w:sz w:val="32"/>
          <w:szCs w:val="32"/>
        </w:rPr>
        <w:t>6. CONCLUSION</w:t>
      </w:r>
    </w:p>
    <w:p w:rsidR="00416904" w:rsidRPr="00416904" w:rsidRDefault="00416904" w:rsidP="00416904">
      <w:pPr>
        <w:tabs>
          <w:tab w:val="left" w:pos="3285"/>
        </w:tabs>
        <w:rPr>
          <w:sz w:val="28"/>
          <w:szCs w:val="28"/>
        </w:rPr>
      </w:pPr>
      <w:r w:rsidRPr="00416904">
        <w:rPr>
          <w:sz w:val="28"/>
          <w:szCs w:val="28"/>
        </w:rPr>
        <w:t>The wide goal of this examination has been to reveal insight into the significance of intensity between inn proprietors and administrators interceded by an administration contract. All the more explicitly, the investigation has created and tried theories worried about how the locus of lodging proprietor/administrator control infl</w:t>
      </w:r>
      <w:r w:rsidR="00272380">
        <w:rPr>
          <w:sz w:val="28"/>
          <w:szCs w:val="28"/>
        </w:rPr>
        <w:t xml:space="preserve">uences capital planning </w:t>
      </w:r>
      <w:r w:rsidRPr="00416904">
        <w:rPr>
          <w:sz w:val="28"/>
          <w:szCs w:val="28"/>
        </w:rPr>
        <w:t xml:space="preserve"> in Australia and New Zealand. </w:t>
      </w:r>
    </w:p>
    <w:p w:rsidR="00416904" w:rsidRPr="00416904" w:rsidRDefault="00416904" w:rsidP="00416904">
      <w:pPr>
        <w:tabs>
          <w:tab w:val="left" w:pos="3285"/>
        </w:tabs>
        <w:rPr>
          <w:sz w:val="28"/>
          <w:szCs w:val="28"/>
        </w:rPr>
      </w:pPr>
    </w:p>
    <w:p w:rsidR="00416904" w:rsidRPr="00416904" w:rsidRDefault="00416904" w:rsidP="00416904">
      <w:pPr>
        <w:tabs>
          <w:tab w:val="left" w:pos="3285"/>
        </w:tabs>
        <w:rPr>
          <w:sz w:val="28"/>
          <w:szCs w:val="28"/>
        </w:rPr>
      </w:pPr>
      <w:r w:rsidRPr="00416904">
        <w:rPr>
          <w:sz w:val="28"/>
          <w:szCs w:val="28"/>
        </w:rPr>
        <w:t xml:space="preserve">Backing has been accommodated the view that more prominent proprietor control is related with more noteworthy proprietor association in the capital planning process. Perception of this relationship offers motivation to foresee the presence of a few problematical inn the executives contracting issues. Administrators, for instance, frequently whine that in the event that their administration expense is dependent upon execution, at that point, "shouldn't they be given the privilege to deal with the lodging free from the proprietor?" (Goddard and Standish-Wilkinson, 2002), as proprietor impedance may convey the possibility to lessen charge levels earned (Schlup, 2004). A further worry from an administrator's viewpoint concerns whether more noteworthy </w:t>
      </w:r>
      <w:r w:rsidRPr="00416904">
        <w:rPr>
          <w:sz w:val="28"/>
          <w:szCs w:val="28"/>
        </w:rPr>
        <w:lastRenderedPageBreak/>
        <w:t xml:space="preserve">proprietor association may bargain their ability to upgrade the estimation of their image. Schlup (2004) claims that for an administrator to amplify the estimation of its image, it needs full authority over everyday tasks. This factor underscores the potential for more noteworthy proprietor contribution offering ascend to more prominent bitterness in the proprietor/administrator relationship. To be sure, a proprietor's commitment of a benefit chief has been found to regularly trigger an increasingly threatening connection among proprietor and administrator (Eyster, 1997a). Numerous administrators respond to the nearness of a benefit director by endeavoring to avoid the advantage chief as much as possible and not well-educated as for senior inn basic leadership (Feldman, 1995). Where sharpness in the inn proprietor/administrator relationship emerges, it is probably going to unfavorably influence an inn's presentation. Further research examining factors identifying with proprietor association in lodgings oversaw through an administration contract is to be invited. It could well be the situation that there will in general be more prominent proprietor contribution in inns encountering low degrees of productivity and inns where the administrator isn't unequivocally marked. It is remarkable that in as of late arranged administration contracts, there gives off an impression of being an expanding frequency of 'non-unsettling influence' provisions, whereby proprietors give a confirmation that they won't hamper or keep the administrator from undertaking the activity that they have been contracted to perform (Crandell et al., 2004). </w:t>
      </w:r>
    </w:p>
    <w:p w:rsidR="00416904" w:rsidRPr="00416904" w:rsidRDefault="00416904" w:rsidP="00416904">
      <w:pPr>
        <w:tabs>
          <w:tab w:val="left" w:pos="3285"/>
        </w:tabs>
        <w:rPr>
          <w:sz w:val="28"/>
          <w:szCs w:val="28"/>
        </w:rPr>
      </w:pPr>
    </w:p>
    <w:p w:rsidR="00E83554" w:rsidRPr="00E83554" w:rsidRDefault="00E83554" w:rsidP="00E83554">
      <w:pPr>
        <w:spacing w:before="100" w:beforeAutospacing="1" w:after="240" w:line="330" w:lineRule="atLeast"/>
        <w:outlineLvl w:val="1"/>
        <w:rPr>
          <w:rFonts w:ascii="Arial" w:eastAsia="Times New Roman" w:hAnsi="Arial" w:cs="Arial"/>
          <w:b/>
          <w:bCs/>
          <w:color w:val="505050"/>
          <w:sz w:val="36"/>
          <w:szCs w:val="36"/>
          <w:lang w:eastAsia="en-GB"/>
        </w:rPr>
      </w:pPr>
      <w:r w:rsidRPr="00E83554">
        <w:rPr>
          <w:rFonts w:ascii="Arial" w:eastAsia="Times New Roman" w:hAnsi="Arial" w:cs="Arial"/>
          <w:b/>
          <w:bCs/>
          <w:color w:val="505050"/>
          <w:sz w:val="36"/>
          <w:szCs w:val="36"/>
          <w:lang w:eastAsia="en-GB"/>
        </w:rPr>
        <w:t>References</w:t>
      </w:r>
    </w:p>
    <w:p w:rsidR="005635AE" w:rsidRPr="005635AE" w:rsidRDefault="005635AE" w:rsidP="005635AE">
      <w:pPr>
        <w:tabs>
          <w:tab w:val="left" w:pos="3285"/>
        </w:tabs>
        <w:rPr>
          <w:b/>
          <w:sz w:val="32"/>
          <w:szCs w:val="32"/>
        </w:rPr>
      </w:pPr>
      <w:r w:rsidRPr="005635AE">
        <w:rPr>
          <w:b/>
          <w:sz w:val="32"/>
          <w:szCs w:val="32"/>
        </w:rPr>
        <w:t>C. Akrivos, A. Ladkin, P. ReklitisHotel managers’ career strategies for success</w:t>
      </w:r>
    </w:p>
    <w:p w:rsidR="005635AE" w:rsidRPr="005635AE" w:rsidRDefault="005635AE" w:rsidP="005635AE">
      <w:pPr>
        <w:tabs>
          <w:tab w:val="left" w:pos="3285"/>
        </w:tabs>
        <w:rPr>
          <w:b/>
          <w:sz w:val="32"/>
          <w:szCs w:val="32"/>
        </w:rPr>
      </w:pPr>
      <w:r w:rsidRPr="005635AE">
        <w:rPr>
          <w:b/>
          <w:sz w:val="32"/>
          <w:szCs w:val="32"/>
        </w:rPr>
        <w:t>International Journal of Contemporary Hospitality Management, 19 (2) (2007), pp. 107-119</w:t>
      </w:r>
    </w:p>
    <w:p w:rsidR="005635AE" w:rsidRPr="005635AE" w:rsidRDefault="005635AE" w:rsidP="005635AE">
      <w:pPr>
        <w:tabs>
          <w:tab w:val="left" w:pos="3285"/>
        </w:tabs>
        <w:rPr>
          <w:b/>
          <w:sz w:val="32"/>
          <w:szCs w:val="32"/>
        </w:rPr>
      </w:pPr>
      <w:r w:rsidRPr="005635AE">
        <w:rPr>
          <w:b/>
          <w:sz w:val="32"/>
          <w:szCs w:val="32"/>
        </w:rPr>
        <w:t>CrossRefView Record in ScopusGoogle Scholar</w:t>
      </w:r>
    </w:p>
    <w:p w:rsidR="005635AE" w:rsidRPr="005635AE" w:rsidRDefault="005635AE" w:rsidP="005635AE">
      <w:pPr>
        <w:tabs>
          <w:tab w:val="left" w:pos="3285"/>
        </w:tabs>
        <w:rPr>
          <w:b/>
          <w:sz w:val="32"/>
          <w:szCs w:val="32"/>
        </w:rPr>
      </w:pPr>
      <w:r w:rsidRPr="005635AE">
        <w:rPr>
          <w:b/>
          <w:sz w:val="32"/>
          <w:szCs w:val="32"/>
        </w:rPr>
        <w:t>Allison, 2004</w:t>
      </w:r>
    </w:p>
    <w:p w:rsidR="005635AE" w:rsidRPr="005635AE" w:rsidRDefault="005635AE" w:rsidP="005635AE">
      <w:pPr>
        <w:tabs>
          <w:tab w:val="left" w:pos="3285"/>
        </w:tabs>
        <w:rPr>
          <w:b/>
          <w:sz w:val="32"/>
          <w:szCs w:val="32"/>
        </w:rPr>
      </w:pPr>
      <w:r w:rsidRPr="005635AE">
        <w:rPr>
          <w:b/>
          <w:sz w:val="32"/>
          <w:szCs w:val="32"/>
        </w:rPr>
        <w:t>S. AllisonInward investment into the European hotel investment market</w:t>
      </w:r>
    </w:p>
    <w:p w:rsidR="005635AE" w:rsidRPr="005635AE" w:rsidRDefault="005635AE" w:rsidP="005635AE">
      <w:pPr>
        <w:tabs>
          <w:tab w:val="left" w:pos="3285"/>
        </w:tabs>
        <w:rPr>
          <w:b/>
          <w:sz w:val="32"/>
          <w:szCs w:val="32"/>
        </w:rPr>
      </w:pPr>
      <w:r w:rsidRPr="005635AE">
        <w:rPr>
          <w:b/>
          <w:sz w:val="32"/>
          <w:szCs w:val="32"/>
        </w:rPr>
        <w:lastRenderedPageBreak/>
        <w:t>Journal of Retail &amp; Leisure Property, 4 (1) (2004), pp. 50-60</w:t>
      </w:r>
    </w:p>
    <w:p w:rsidR="005635AE" w:rsidRPr="005635AE" w:rsidRDefault="005635AE" w:rsidP="005635AE">
      <w:pPr>
        <w:tabs>
          <w:tab w:val="left" w:pos="3285"/>
        </w:tabs>
        <w:rPr>
          <w:b/>
          <w:sz w:val="32"/>
          <w:szCs w:val="32"/>
        </w:rPr>
      </w:pPr>
      <w:r w:rsidRPr="005635AE">
        <w:rPr>
          <w:b/>
          <w:sz w:val="32"/>
          <w:szCs w:val="32"/>
        </w:rPr>
        <w:t>CrossRefGoogle Scholar</w:t>
      </w:r>
    </w:p>
    <w:p w:rsidR="005635AE" w:rsidRPr="005635AE" w:rsidRDefault="005635AE" w:rsidP="005635AE">
      <w:pPr>
        <w:tabs>
          <w:tab w:val="left" w:pos="3285"/>
        </w:tabs>
        <w:rPr>
          <w:b/>
          <w:sz w:val="32"/>
          <w:szCs w:val="32"/>
        </w:rPr>
      </w:pPr>
      <w:r w:rsidRPr="005635AE">
        <w:rPr>
          <w:b/>
          <w:sz w:val="32"/>
          <w:szCs w:val="32"/>
        </w:rPr>
        <w:t>Antle et al., 1999</w:t>
      </w:r>
    </w:p>
    <w:p w:rsidR="005635AE" w:rsidRPr="005635AE" w:rsidRDefault="005635AE" w:rsidP="005635AE">
      <w:pPr>
        <w:tabs>
          <w:tab w:val="left" w:pos="3285"/>
        </w:tabs>
        <w:rPr>
          <w:b/>
          <w:sz w:val="32"/>
          <w:szCs w:val="32"/>
        </w:rPr>
      </w:pPr>
      <w:r w:rsidRPr="005635AE">
        <w:rPr>
          <w:b/>
          <w:sz w:val="32"/>
          <w:szCs w:val="32"/>
        </w:rPr>
        <w:t>R. Antle, P.B. Bogetoft, A.W. StarkSelection from many investments with managerial private information</w:t>
      </w:r>
    </w:p>
    <w:p w:rsidR="005635AE" w:rsidRPr="005635AE" w:rsidRDefault="005635AE" w:rsidP="005635AE">
      <w:pPr>
        <w:tabs>
          <w:tab w:val="left" w:pos="3285"/>
        </w:tabs>
        <w:rPr>
          <w:b/>
          <w:sz w:val="32"/>
          <w:szCs w:val="32"/>
        </w:rPr>
      </w:pPr>
      <w:r w:rsidRPr="005635AE">
        <w:rPr>
          <w:b/>
          <w:sz w:val="32"/>
          <w:szCs w:val="32"/>
        </w:rPr>
        <w:t>Contemporary Accounting Research, 16 (3) (1999), pp. 397-418</w:t>
      </w:r>
    </w:p>
    <w:p w:rsidR="005635AE" w:rsidRPr="005635AE" w:rsidRDefault="005635AE" w:rsidP="005635AE">
      <w:pPr>
        <w:tabs>
          <w:tab w:val="left" w:pos="3285"/>
        </w:tabs>
        <w:rPr>
          <w:b/>
          <w:sz w:val="32"/>
          <w:szCs w:val="32"/>
        </w:rPr>
      </w:pPr>
      <w:r w:rsidRPr="005635AE">
        <w:rPr>
          <w:b/>
          <w:sz w:val="32"/>
          <w:szCs w:val="32"/>
        </w:rPr>
        <w:t>CrossRefView Record in ScopusGoogle Scholar</w:t>
      </w:r>
    </w:p>
    <w:p w:rsidR="005635AE" w:rsidRPr="005635AE" w:rsidRDefault="005635AE" w:rsidP="005635AE">
      <w:pPr>
        <w:tabs>
          <w:tab w:val="left" w:pos="3285"/>
        </w:tabs>
        <w:rPr>
          <w:b/>
          <w:sz w:val="32"/>
          <w:szCs w:val="32"/>
        </w:rPr>
      </w:pPr>
      <w:r w:rsidRPr="005635AE">
        <w:rPr>
          <w:b/>
          <w:sz w:val="32"/>
          <w:szCs w:val="32"/>
        </w:rPr>
        <w:t>Argyle, 1990</w:t>
      </w:r>
    </w:p>
    <w:p w:rsidR="005635AE" w:rsidRPr="005635AE" w:rsidRDefault="005635AE" w:rsidP="005635AE">
      <w:pPr>
        <w:tabs>
          <w:tab w:val="left" w:pos="3285"/>
        </w:tabs>
        <w:rPr>
          <w:b/>
          <w:sz w:val="32"/>
          <w:szCs w:val="32"/>
        </w:rPr>
      </w:pPr>
      <w:r w:rsidRPr="005635AE">
        <w:rPr>
          <w:b/>
          <w:sz w:val="32"/>
          <w:szCs w:val="32"/>
        </w:rPr>
        <w:t>M. ArgyleSoziale Beziehungen [Social relationships]</w:t>
      </w:r>
    </w:p>
    <w:p w:rsidR="005635AE" w:rsidRPr="005635AE" w:rsidRDefault="005635AE" w:rsidP="005635AE">
      <w:pPr>
        <w:tabs>
          <w:tab w:val="left" w:pos="3285"/>
        </w:tabs>
        <w:rPr>
          <w:b/>
          <w:sz w:val="32"/>
          <w:szCs w:val="32"/>
        </w:rPr>
      </w:pPr>
      <w:r w:rsidRPr="005635AE">
        <w:rPr>
          <w:b/>
          <w:sz w:val="32"/>
          <w:szCs w:val="32"/>
        </w:rPr>
        <w:t>W. Stroebe, M. Hewstone, J.P. Codol, G.M. Stephenson (Eds.), Sozialpsychologie. Eine einfuhrung, Springer, Berlin, Germany (1990), pp. 232-257</w:t>
      </w:r>
    </w:p>
    <w:p w:rsidR="005635AE" w:rsidRPr="005635AE" w:rsidRDefault="005635AE" w:rsidP="005635AE">
      <w:pPr>
        <w:tabs>
          <w:tab w:val="left" w:pos="3285"/>
        </w:tabs>
        <w:rPr>
          <w:b/>
          <w:sz w:val="32"/>
          <w:szCs w:val="32"/>
        </w:rPr>
      </w:pPr>
      <w:r w:rsidRPr="005635AE">
        <w:rPr>
          <w:b/>
          <w:sz w:val="32"/>
          <w:szCs w:val="32"/>
        </w:rPr>
        <w:t>CrossRefGoogle Scholar</w:t>
      </w:r>
    </w:p>
    <w:p w:rsidR="005635AE" w:rsidRPr="005635AE" w:rsidRDefault="005635AE" w:rsidP="005635AE">
      <w:pPr>
        <w:tabs>
          <w:tab w:val="left" w:pos="3285"/>
        </w:tabs>
        <w:rPr>
          <w:b/>
          <w:sz w:val="32"/>
          <w:szCs w:val="32"/>
        </w:rPr>
      </w:pPr>
      <w:r w:rsidRPr="005635AE">
        <w:rPr>
          <w:b/>
          <w:sz w:val="32"/>
          <w:szCs w:val="32"/>
        </w:rPr>
        <w:t>Armitstead, 2004</w:t>
      </w:r>
    </w:p>
    <w:p w:rsidR="005635AE" w:rsidRPr="005635AE" w:rsidRDefault="005635AE" w:rsidP="005635AE">
      <w:pPr>
        <w:tabs>
          <w:tab w:val="left" w:pos="3285"/>
        </w:tabs>
        <w:rPr>
          <w:b/>
          <w:sz w:val="32"/>
          <w:szCs w:val="32"/>
        </w:rPr>
      </w:pPr>
      <w:r w:rsidRPr="005635AE">
        <w:rPr>
          <w:b/>
          <w:sz w:val="32"/>
          <w:szCs w:val="32"/>
        </w:rPr>
        <w:t>M. ArmitsteadHotel management and operations options: intellectual capital versus financial capital</w:t>
      </w:r>
    </w:p>
    <w:p w:rsidR="005635AE" w:rsidRPr="005635AE" w:rsidRDefault="005635AE" w:rsidP="005635AE">
      <w:pPr>
        <w:tabs>
          <w:tab w:val="left" w:pos="3285"/>
        </w:tabs>
        <w:rPr>
          <w:b/>
          <w:sz w:val="32"/>
          <w:szCs w:val="32"/>
        </w:rPr>
      </w:pPr>
      <w:r w:rsidRPr="005635AE">
        <w:rPr>
          <w:b/>
          <w:sz w:val="32"/>
          <w:szCs w:val="32"/>
        </w:rPr>
        <w:t>Journal of Retail &amp; Leisure Property, 3 (4) (2004), pp. 299-307</w:t>
      </w:r>
    </w:p>
    <w:p w:rsidR="005635AE" w:rsidRPr="005635AE" w:rsidRDefault="005635AE" w:rsidP="005635AE">
      <w:pPr>
        <w:tabs>
          <w:tab w:val="left" w:pos="3285"/>
        </w:tabs>
        <w:rPr>
          <w:b/>
          <w:sz w:val="32"/>
          <w:szCs w:val="32"/>
        </w:rPr>
      </w:pPr>
      <w:r w:rsidRPr="005635AE">
        <w:rPr>
          <w:b/>
          <w:sz w:val="32"/>
          <w:szCs w:val="32"/>
        </w:rPr>
        <w:t>View Record in ScopusGoogle Scholar</w:t>
      </w:r>
    </w:p>
    <w:p w:rsidR="005635AE" w:rsidRPr="005635AE" w:rsidRDefault="005635AE" w:rsidP="005635AE">
      <w:pPr>
        <w:tabs>
          <w:tab w:val="left" w:pos="3285"/>
        </w:tabs>
        <w:rPr>
          <w:b/>
          <w:sz w:val="32"/>
          <w:szCs w:val="32"/>
        </w:rPr>
      </w:pPr>
      <w:r w:rsidRPr="005635AE">
        <w:rPr>
          <w:b/>
          <w:sz w:val="32"/>
          <w:szCs w:val="32"/>
        </w:rPr>
        <w:t>Bachman et al., 1966</w:t>
      </w:r>
    </w:p>
    <w:p w:rsidR="005635AE" w:rsidRPr="005635AE" w:rsidRDefault="005635AE" w:rsidP="005635AE">
      <w:pPr>
        <w:tabs>
          <w:tab w:val="left" w:pos="3285"/>
        </w:tabs>
        <w:rPr>
          <w:b/>
          <w:sz w:val="32"/>
          <w:szCs w:val="32"/>
        </w:rPr>
      </w:pPr>
      <w:r w:rsidRPr="005635AE">
        <w:rPr>
          <w:b/>
          <w:sz w:val="32"/>
          <w:szCs w:val="32"/>
        </w:rPr>
        <w:t>J.G. Bachman, C.W. Smith, J.A. SlesingerControl, performance, and satisfaction: an analysis of structural and individual effects</w:t>
      </w:r>
    </w:p>
    <w:p w:rsidR="005635AE" w:rsidRPr="005635AE" w:rsidRDefault="005635AE" w:rsidP="005635AE">
      <w:pPr>
        <w:tabs>
          <w:tab w:val="left" w:pos="3285"/>
        </w:tabs>
        <w:rPr>
          <w:b/>
          <w:sz w:val="32"/>
          <w:szCs w:val="32"/>
        </w:rPr>
      </w:pPr>
      <w:r w:rsidRPr="005635AE">
        <w:rPr>
          <w:b/>
          <w:sz w:val="32"/>
          <w:szCs w:val="32"/>
        </w:rPr>
        <w:t>Journal of Personality and Social Psychology, 4 (2) (1966), pp. 127-136</w:t>
      </w:r>
    </w:p>
    <w:p w:rsidR="005635AE" w:rsidRPr="005635AE" w:rsidRDefault="005635AE" w:rsidP="005635AE">
      <w:pPr>
        <w:tabs>
          <w:tab w:val="left" w:pos="3285"/>
        </w:tabs>
        <w:rPr>
          <w:b/>
          <w:sz w:val="32"/>
          <w:szCs w:val="32"/>
        </w:rPr>
      </w:pPr>
      <w:r w:rsidRPr="005635AE">
        <w:rPr>
          <w:b/>
          <w:sz w:val="32"/>
          <w:szCs w:val="32"/>
        </w:rPr>
        <w:t>CrossRefView Record in ScopusGoogle Scholar</w:t>
      </w:r>
    </w:p>
    <w:p w:rsidR="005635AE" w:rsidRPr="005635AE" w:rsidRDefault="005635AE" w:rsidP="005635AE">
      <w:pPr>
        <w:tabs>
          <w:tab w:val="left" w:pos="3285"/>
        </w:tabs>
        <w:rPr>
          <w:b/>
          <w:sz w:val="32"/>
          <w:szCs w:val="32"/>
        </w:rPr>
      </w:pPr>
      <w:r w:rsidRPr="005635AE">
        <w:rPr>
          <w:b/>
          <w:sz w:val="32"/>
          <w:szCs w:val="32"/>
        </w:rPr>
        <w:t>Bader and Lababedi, 2007</w:t>
      </w:r>
    </w:p>
    <w:p w:rsidR="005635AE" w:rsidRPr="005635AE" w:rsidRDefault="005635AE" w:rsidP="005635AE">
      <w:pPr>
        <w:tabs>
          <w:tab w:val="left" w:pos="3285"/>
        </w:tabs>
        <w:rPr>
          <w:b/>
          <w:sz w:val="32"/>
          <w:szCs w:val="32"/>
        </w:rPr>
      </w:pPr>
      <w:r w:rsidRPr="005635AE">
        <w:rPr>
          <w:b/>
          <w:sz w:val="32"/>
          <w:szCs w:val="32"/>
        </w:rPr>
        <w:lastRenderedPageBreak/>
        <w:t>E.E. Bader, A. LababediHotel management contracts in Europe</w:t>
      </w:r>
    </w:p>
    <w:p w:rsidR="005635AE" w:rsidRPr="005635AE" w:rsidRDefault="005635AE" w:rsidP="005635AE">
      <w:pPr>
        <w:tabs>
          <w:tab w:val="left" w:pos="3285"/>
        </w:tabs>
        <w:rPr>
          <w:b/>
          <w:sz w:val="32"/>
          <w:szCs w:val="32"/>
        </w:rPr>
      </w:pPr>
      <w:r w:rsidRPr="005635AE">
        <w:rPr>
          <w:b/>
          <w:sz w:val="32"/>
          <w:szCs w:val="32"/>
        </w:rPr>
        <w:t>Journal of Retail &amp; Leisure Property, 6 (2) (2007), pp. 171-179</w:t>
      </w:r>
    </w:p>
    <w:p w:rsidR="005635AE" w:rsidRPr="005635AE" w:rsidRDefault="005635AE" w:rsidP="005635AE">
      <w:pPr>
        <w:tabs>
          <w:tab w:val="left" w:pos="3285"/>
        </w:tabs>
        <w:rPr>
          <w:b/>
          <w:sz w:val="32"/>
          <w:szCs w:val="32"/>
        </w:rPr>
      </w:pPr>
      <w:r w:rsidRPr="005635AE">
        <w:rPr>
          <w:b/>
          <w:sz w:val="32"/>
          <w:szCs w:val="32"/>
        </w:rPr>
        <w:t>CrossRefView Record in ScopusGoogle Scholar</w:t>
      </w:r>
    </w:p>
    <w:p w:rsidR="005635AE" w:rsidRPr="005635AE" w:rsidRDefault="005635AE" w:rsidP="005635AE">
      <w:pPr>
        <w:tabs>
          <w:tab w:val="left" w:pos="3285"/>
        </w:tabs>
        <w:rPr>
          <w:b/>
          <w:sz w:val="32"/>
          <w:szCs w:val="32"/>
        </w:rPr>
      </w:pPr>
      <w:r w:rsidRPr="005635AE">
        <w:rPr>
          <w:b/>
          <w:sz w:val="32"/>
          <w:szCs w:val="32"/>
        </w:rPr>
        <w:t>Baldwin and Clark, 1994</w:t>
      </w:r>
    </w:p>
    <w:p w:rsidR="005635AE" w:rsidRPr="005635AE" w:rsidRDefault="005635AE" w:rsidP="005635AE">
      <w:pPr>
        <w:tabs>
          <w:tab w:val="left" w:pos="3285"/>
        </w:tabs>
        <w:rPr>
          <w:b/>
          <w:sz w:val="32"/>
          <w:szCs w:val="32"/>
        </w:rPr>
      </w:pPr>
      <w:r w:rsidRPr="005635AE">
        <w:rPr>
          <w:b/>
          <w:sz w:val="32"/>
          <w:szCs w:val="32"/>
        </w:rPr>
        <w:t>C. Baldwin, K. ClarkCapital-budgeting systems and capabilities investments in U.S. companies after the Second World War</w:t>
      </w:r>
    </w:p>
    <w:p w:rsidR="005635AE" w:rsidRPr="005635AE" w:rsidRDefault="005635AE" w:rsidP="005635AE">
      <w:pPr>
        <w:tabs>
          <w:tab w:val="left" w:pos="3285"/>
        </w:tabs>
        <w:rPr>
          <w:b/>
          <w:sz w:val="32"/>
          <w:szCs w:val="32"/>
        </w:rPr>
      </w:pPr>
      <w:r w:rsidRPr="005635AE">
        <w:rPr>
          <w:b/>
          <w:sz w:val="32"/>
          <w:szCs w:val="32"/>
        </w:rPr>
        <w:t>Business History Review, 68 (1994), pp. 73-109</w:t>
      </w:r>
    </w:p>
    <w:p w:rsidR="005635AE" w:rsidRPr="005635AE" w:rsidRDefault="005635AE" w:rsidP="005635AE">
      <w:pPr>
        <w:tabs>
          <w:tab w:val="left" w:pos="3285"/>
        </w:tabs>
        <w:rPr>
          <w:b/>
          <w:sz w:val="32"/>
          <w:szCs w:val="32"/>
        </w:rPr>
      </w:pPr>
      <w:r w:rsidRPr="005635AE">
        <w:rPr>
          <w:b/>
          <w:sz w:val="32"/>
          <w:szCs w:val="32"/>
        </w:rPr>
        <w:t>CrossRefGoogle Scholar</w:t>
      </w:r>
    </w:p>
    <w:p w:rsidR="005635AE" w:rsidRPr="005635AE" w:rsidRDefault="005635AE" w:rsidP="005635AE">
      <w:pPr>
        <w:tabs>
          <w:tab w:val="left" w:pos="3285"/>
        </w:tabs>
        <w:rPr>
          <w:b/>
          <w:sz w:val="32"/>
          <w:szCs w:val="32"/>
        </w:rPr>
      </w:pPr>
      <w:r w:rsidRPr="005635AE">
        <w:rPr>
          <w:b/>
          <w:sz w:val="32"/>
          <w:szCs w:val="32"/>
        </w:rPr>
        <w:t>Barry and Watson, 1996</w:t>
      </w:r>
    </w:p>
    <w:p w:rsidR="005635AE" w:rsidRPr="005635AE" w:rsidRDefault="005635AE" w:rsidP="005635AE">
      <w:pPr>
        <w:tabs>
          <w:tab w:val="left" w:pos="3285"/>
        </w:tabs>
        <w:rPr>
          <w:b/>
          <w:sz w:val="32"/>
          <w:szCs w:val="32"/>
        </w:rPr>
      </w:pPr>
      <w:r w:rsidRPr="005635AE">
        <w:rPr>
          <w:b/>
          <w:sz w:val="32"/>
          <w:szCs w:val="32"/>
        </w:rPr>
        <w:t>B. Barry, M.R. WatsonCommunications aspects of dyadic social influence in organizations: a review and integration of conceptual and empirical development</w:t>
      </w:r>
    </w:p>
    <w:p w:rsidR="005635AE" w:rsidRPr="005635AE" w:rsidRDefault="005635AE" w:rsidP="005635AE">
      <w:pPr>
        <w:tabs>
          <w:tab w:val="left" w:pos="3285"/>
        </w:tabs>
        <w:rPr>
          <w:b/>
          <w:sz w:val="32"/>
          <w:szCs w:val="32"/>
        </w:rPr>
      </w:pPr>
    </w:p>
    <w:p w:rsidR="009E7826" w:rsidRPr="009E7826" w:rsidRDefault="009E7826" w:rsidP="009E7826">
      <w:pPr>
        <w:tabs>
          <w:tab w:val="left" w:pos="3285"/>
        </w:tabs>
        <w:rPr>
          <w:b/>
          <w:sz w:val="32"/>
          <w:szCs w:val="32"/>
        </w:rPr>
      </w:pPr>
    </w:p>
    <w:sectPr w:rsidR="009E7826" w:rsidRPr="009E78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4AB"/>
    <w:rsid w:val="0002765C"/>
    <w:rsid w:val="00041F5D"/>
    <w:rsid w:val="000468B9"/>
    <w:rsid w:val="001B5EC7"/>
    <w:rsid w:val="001D44AB"/>
    <w:rsid w:val="00272380"/>
    <w:rsid w:val="003C748F"/>
    <w:rsid w:val="00416904"/>
    <w:rsid w:val="00465453"/>
    <w:rsid w:val="004B7C6D"/>
    <w:rsid w:val="004C1552"/>
    <w:rsid w:val="004E1879"/>
    <w:rsid w:val="005635AE"/>
    <w:rsid w:val="00563B0C"/>
    <w:rsid w:val="009341EC"/>
    <w:rsid w:val="009D6ADE"/>
    <w:rsid w:val="009E7826"/>
    <w:rsid w:val="00AB5493"/>
    <w:rsid w:val="00AB5B67"/>
    <w:rsid w:val="00AC108D"/>
    <w:rsid w:val="00AE4306"/>
    <w:rsid w:val="00B2164B"/>
    <w:rsid w:val="00B22CEF"/>
    <w:rsid w:val="00B907DA"/>
    <w:rsid w:val="00BA4B67"/>
    <w:rsid w:val="00D052D9"/>
    <w:rsid w:val="00E12487"/>
    <w:rsid w:val="00E83554"/>
    <w:rsid w:val="00EC4FAD"/>
    <w:rsid w:val="00EF4379"/>
    <w:rsid w:val="00F65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756E5"/>
  <w15:chartTrackingRefBased/>
  <w15:docId w15:val="{AFB4604D-A7FD-4E8D-B617-CAA7A85B8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4B67"/>
    <w:pPr>
      <w:ind w:left="720"/>
      <w:contextualSpacing/>
    </w:pPr>
  </w:style>
  <w:style w:type="paragraph" w:styleId="NormalWeb">
    <w:name w:val="Normal (Web)"/>
    <w:basedOn w:val="Normal"/>
    <w:uiPriority w:val="99"/>
    <w:semiHidden/>
    <w:unhideWhenUsed/>
    <w:rsid w:val="0027238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840417">
      <w:bodyDiv w:val="1"/>
      <w:marLeft w:val="0"/>
      <w:marRight w:val="0"/>
      <w:marTop w:val="0"/>
      <w:marBottom w:val="0"/>
      <w:divBdr>
        <w:top w:val="none" w:sz="0" w:space="0" w:color="auto"/>
        <w:left w:val="none" w:sz="0" w:space="0" w:color="auto"/>
        <w:bottom w:val="none" w:sz="0" w:space="0" w:color="auto"/>
        <w:right w:val="none" w:sz="0" w:space="0" w:color="auto"/>
      </w:divBdr>
      <w:divsChild>
        <w:div w:id="389840507">
          <w:marLeft w:val="0"/>
          <w:marRight w:val="0"/>
          <w:marTop w:val="0"/>
          <w:marBottom w:val="0"/>
          <w:divBdr>
            <w:top w:val="none" w:sz="0" w:space="0" w:color="auto"/>
            <w:left w:val="none" w:sz="0" w:space="0" w:color="auto"/>
            <w:bottom w:val="none" w:sz="0" w:space="0" w:color="auto"/>
            <w:right w:val="none" w:sz="0" w:space="0" w:color="auto"/>
          </w:divBdr>
          <w:divsChild>
            <w:div w:id="1994675493">
              <w:marLeft w:val="0"/>
              <w:marRight w:val="0"/>
              <w:marTop w:val="0"/>
              <w:marBottom w:val="0"/>
              <w:divBdr>
                <w:top w:val="none" w:sz="0" w:space="0" w:color="auto"/>
                <w:left w:val="none" w:sz="0" w:space="0" w:color="auto"/>
                <w:bottom w:val="none" w:sz="0" w:space="0" w:color="auto"/>
                <w:right w:val="none" w:sz="0" w:space="0" w:color="auto"/>
              </w:divBdr>
            </w:div>
          </w:divsChild>
        </w:div>
        <w:div w:id="884374219">
          <w:marLeft w:val="0"/>
          <w:marRight w:val="0"/>
          <w:marTop w:val="375"/>
          <w:marBottom w:val="675"/>
          <w:divBdr>
            <w:top w:val="none" w:sz="0" w:space="0" w:color="auto"/>
            <w:left w:val="none" w:sz="0" w:space="0" w:color="auto"/>
            <w:bottom w:val="none" w:sz="0" w:space="0" w:color="auto"/>
            <w:right w:val="none" w:sz="0" w:space="0" w:color="auto"/>
          </w:divBdr>
          <w:divsChild>
            <w:div w:id="189970242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91803-75F1-4C10-9030-AC043D622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Pages>
  <Words>2170</Words>
  <Characters>12371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 tuluca</dc:creator>
  <cp:keywords/>
  <dc:description/>
  <cp:lastModifiedBy>emil tuluca</cp:lastModifiedBy>
  <cp:revision>24</cp:revision>
  <dcterms:created xsi:type="dcterms:W3CDTF">2019-11-21T18:29:00Z</dcterms:created>
  <dcterms:modified xsi:type="dcterms:W3CDTF">2020-03-05T22:03:00Z</dcterms:modified>
</cp:coreProperties>
</file>