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80B861" w14:textId="77777777" w:rsidR="007A7D1B" w:rsidRDefault="0032684D">
      <w:r>
        <w:rPr>
          <w:noProof/>
        </w:rPr>
        <w:drawing>
          <wp:inline distT="0" distB="0" distL="0" distR="0" wp14:anchorId="0B6E3452" wp14:editId="1DD9E5FD">
            <wp:extent cx="2038350" cy="704850"/>
            <wp:effectExtent l="0" t="0" r="0" b="0"/>
            <wp:docPr id="10547589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38350" cy="704850"/>
                    </a:xfrm>
                    <a:prstGeom prst="rect">
                      <a:avLst/>
                    </a:prstGeom>
                    <a:ln/>
                  </pic:spPr>
                </pic:pic>
              </a:graphicData>
            </a:graphic>
          </wp:inline>
        </w:drawing>
      </w:r>
    </w:p>
    <w:p w14:paraId="1B2E1C82" w14:textId="77777777" w:rsidR="007A7D1B" w:rsidRDefault="007A7D1B"/>
    <w:p w14:paraId="530874B4" w14:textId="77777777" w:rsidR="007A7D1B" w:rsidRDefault="0032684D">
      <w:pPr>
        <w:rPr>
          <w:rFonts w:ascii="Arial" w:eastAsia="Arial" w:hAnsi="Arial" w:cs="Arial"/>
          <w:b/>
          <w:sz w:val="28"/>
          <w:szCs w:val="28"/>
        </w:rPr>
      </w:pPr>
      <w:r>
        <w:rPr>
          <w:rFonts w:ascii="Arial" w:eastAsia="Arial" w:hAnsi="Arial" w:cs="Arial"/>
          <w:b/>
          <w:sz w:val="28"/>
          <w:szCs w:val="28"/>
        </w:rPr>
        <w:t>BSc Professional Investigation 2025/2026</w:t>
      </w:r>
    </w:p>
    <w:p w14:paraId="0671F031" w14:textId="77777777" w:rsidR="007A7D1B" w:rsidRDefault="0032684D">
      <w:pPr>
        <w:rPr>
          <w:rFonts w:ascii="Arial" w:eastAsia="Arial" w:hAnsi="Arial" w:cs="Arial"/>
          <w:color w:val="000000"/>
          <w:sz w:val="28"/>
          <w:szCs w:val="28"/>
        </w:rPr>
      </w:pPr>
      <w:r>
        <w:rPr>
          <w:rFonts w:ascii="Arial" w:eastAsia="Arial" w:hAnsi="Arial" w:cs="Arial"/>
          <w:b/>
          <w:color w:val="000000"/>
          <w:sz w:val="28"/>
          <w:szCs w:val="28"/>
        </w:rPr>
        <w:t>LEVEL 6 - 40 Credits</w:t>
      </w:r>
    </w:p>
    <w:p w14:paraId="5C183043" w14:textId="77777777" w:rsidR="007A7D1B" w:rsidRDefault="007A7D1B">
      <w:pPr>
        <w:rPr>
          <w:rFonts w:ascii="Arial" w:eastAsia="Arial" w:hAnsi="Arial" w:cs="Arial"/>
          <w:b/>
          <w:color w:val="000000"/>
          <w:sz w:val="28"/>
          <w:szCs w:val="28"/>
        </w:rPr>
      </w:pPr>
    </w:p>
    <w:p w14:paraId="2700577A" w14:textId="77777777" w:rsidR="007A7D1B" w:rsidRDefault="007A7D1B">
      <w:pPr>
        <w:rPr>
          <w:rFonts w:ascii="Arial" w:eastAsia="Arial" w:hAnsi="Arial" w:cs="Arial"/>
          <w:b/>
          <w:color w:val="000000"/>
          <w:sz w:val="28"/>
          <w:szCs w:val="28"/>
        </w:rPr>
      </w:pPr>
    </w:p>
    <w:p w14:paraId="5328B4B1" w14:textId="77777777" w:rsidR="007A7D1B" w:rsidRDefault="007A7D1B">
      <w:pPr>
        <w:rPr>
          <w:rFonts w:ascii="Arial" w:eastAsia="Arial" w:hAnsi="Arial" w:cs="Arial"/>
          <w:b/>
          <w:color w:val="000000"/>
          <w:sz w:val="28"/>
          <w:szCs w:val="28"/>
        </w:rPr>
      </w:pPr>
    </w:p>
    <w:p w14:paraId="5BA8CE2E" w14:textId="77777777" w:rsidR="007A7D1B" w:rsidRDefault="0032684D">
      <w:pPr>
        <w:pBdr>
          <w:top w:val="single" w:sz="4" w:space="4" w:color="000000"/>
          <w:left w:val="single" w:sz="4" w:space="4" w:color="000000"/>
          <w:bottom w:val="single" w:sz="4" w:space="4" w:color="000000"/>
          <w:right w:val="single" w:sz="4" w:space="4" w:color="000000"/>
        </w:pBdr>
        <w:ind w:right="237"/>
        <w:jc w:val="center"/>
        <w:rPr>
          <w:rFonts w:ascii="Arial" w:eastAsia="Arial" w:hAnsi="Arial" w:cs="Arial"/>
          <w:b/>
          <w:color w:val="000000"/>
          <w:sz w:val="28"/>
          <w:szCs w:val="28"/>
        </w:rPr>
      </w:pPr>
      <w:r>
        <w:rPr>
          <w:rFonts w:ascii="Arial" w:eastAsia="Arial" w:hAnsi="Arial" w:cs="Arial"/>
          <w:b/>
          <w:color w:val="000000"/>
          <w:sz w:val="28"/>
          <w:szCs w:val="28"/>
        </w:rPr>
        <w:t xml:space="preserve">Submission Deadline: 23:59hrs Friday </w:t>
      </w:r>
      <w:r>
        <w:rPr>
          <w:rFonts w:ascii="Arial" w:eastAsia="Arial" w:hAnsi="Arial" w:cs="Arial"/>
          <w:b/>
          <w:sz w:val="28"/>
          <w:szCs w:val="28"/>
        </w:rPr>
        <w:t>7</w:t>
      </w:r>
      <w:r>
        <w:rPr>
          <w:rFonts w:ascii="Arial" w:eastAsia="Arial" w:hAnsi="Arial" w:cs="Arial"/>
          <w:b/>
          <w:color w:val="000000"/>
          <w:sz w:val="28"/>
          <w:szCs w:val="28"/>
          <w:vertAlign w:val="superscript"/>
        </w:rPr>
        <w:t>th</w:t>
      </w:r>
      <w:r>
        <w:rPr>
          <w:rFonts w:ascii="Arial" w:eastAsia="Arial" w:hAnsi="Arial" w:cs="Arial"/>
          <w:b/>
          <w:color w:val="000000"/>
          <w:sz w:val="28"/>
          <w:szCs w:val="28"/>
        </w:rPr>
        <w:t xml:space="preserve"> May 202</w:t>
      </w:r>
      <w:r>
        <w:rPr>
          <w:rFonts w:ascii="Arial" w:eastAsia="Arial" w:hAnsi="Arial" w:cs="Arial"/>
          <w:b/>
          <w:sz w:val="28"/>
          <w:szCs w:val="28"/>
        </w:rPr>
        <w:t>6</w:t>
      </w:r>
    </w:p>
    <w:p w14:paraId="75FA996B" w14:textId="77777777" w:rsidR="007A7D1B" w:rsidRDefault="007A7D1B">
      <w:pPr>
        <w:ind w:right="237"/>
        <w:jc w:val="center"/>
        <w:rPr>
          <w:rFonts w:ascii="Arial" w:eastAsia="Arial" w:hAnsi="Arial" w:cs="Arial"/>
          <w:b/>
          <w:color w:val="000000"/>
          <w:sz w:val="28"/>
          <w:szCs w:val="28"/>
        </w:rPr>
      </w:pPr>
    </w:p>
    <w:p w14:paraId="29DC8E7D" w14:textId="77777777" w:rsidR="007A7D1B" w:rsidRDefault="007A7D1B">
      <w:pPr>
        <w:ind w:right="237"/>
        <w:jc w:val="center"/>
        <w:rPr>
          <w:rFonts w:ascii="Arial" w:eastAsia="Arial" w:hAnsi="Arial" w:cs="Arial"/>
          <w:b/>
          <w:color w:val="000000"/>
          <w:sz w:val="28"/>
          <w:szCs w:val="28"/>
        </w:rPr>
      </w:pPr>
    </w:p>
    <w:p w14:paraId="0D532B8D" w14:textId="77777777" w:rsidR="007A7D1B" w:rsidRDefault="0032684D">
      <w:pPr>
        <w:ind w:right="237"/>
        <w:jc w:val="center"/>
        <w:rPr>
          <w:rFonts w:ascii="Arial" w:eastAsia="Arial" w:hAnsi="Arial" w:cs="Arial"/>
          <w:b/>
          <w:color w:val="000000"/>
          <w:sz w:val="28"/>
          <w:szCs w:val="28"/>
        </w:rPr>
      </w:pPr>
      <w:r>
        <w:rPr>
          <w:rFonts w:ascii="Arial" w:eastAsia="Arial" w:hAnsi="Arial" w:cs="Arial"/>
          <w:b/>
          <w:color w:val="000000"/>
          <w:sz w:val="28"/>
          <w:szCs w:val="28"/>
        </w:rPr>
        <w:t>Workbook title: Competency Based Workbook 2</w:t>
      </w:r>
    </w:p>
    <w:p w14:paraId="4ABA8767" w14:textId="77777777" w:rsidR="007A7D1B" w:rsidRDefault="0032684D">
      <w:pPr>
        <w:ind w:right="237"/>
        <w:jc w:val="center"/>
        <w:rPr>
          <w:rFonts w:ascii="Arial" w:eastAsia="Arial" w:hAnsi="Arial" w:cs="Arial"/>
          <w:b/>
          <w:i/>
          <w:color w:val="0070C0"/>
          <w:sz w:val="32"/>
          <w:szCs w:val="32"/>
        </w:rPr>
      </w:pPr>
      <w:r>
        <w:rPr>
          <w:rFonts w:ascii="Arial" w:eastAsia="Arial" w:hAnsi="Arial" w:cs="Arial"/>
          <w:b/>
          <w:i/>
          <w:color w:val="0070C0"/>
          <w:sz w:val="32"/>
          <w:szCs w:val="32"/>
        </w:rPr>
        <w:t>Module BMPI6002D – Professional Investigative Practice</w:t>
      </w:r>
    </w:p>
    <w:p w14:paraId="70E969AF" w14:textId="77777777" w:rsidR="007A7D1B" w:rsidRDefault="007A7D1B">
      <w:pPr>
        <w:ind w:right="237"/>
        <w:rPr>
          <w:rFonts w:ascii="Arial" w:eastAsia="Arial" w:hAnsi="Arial" w:cs="Arial"/>
          <w:b/>
          <w:color w:val="000000"/>
          <w:sz w:val="32"/>
          <w:szCs w:val="32"/>
        </w:rPr>
      </w:pPr>
    </w:p>
    <w:p w14:paraId="458854A9" w14:textId="77777777" w:rsidR="007A7D1B" w:rsidRDefault="007A7D1B">
      <w:pPr>
        <w:rPr>
          <w:rFonts w:ascii="Arial" w:eastAsia="Arial" w:hAnsi="Arial" w:cs="Arial"/>
          <w:sz w:val="36"/>
          <w:szCs w:val="36"/>
        </w:rPr>
      </w:pPr>
    </w:p>
    <w:tbl>
      <w:tblPr>
        <w:tblStyle w:val="a"/>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7A7D1B" w14:paraId="268A8EDE" w14:textId="77777777">
        <w:trPr>
          <w:trHeight w:val="1980"/>
        </w:trPr>
        <w:tc>
          <w:tcPr>
            <w:tcW w:w="9015" w:type="dxa"/>
          </w:tcPr>
          <w:p w14:paraId="1A24BB6D" w14:textId="750E3DFE" w:rsidR="007A7D1B" w:rsidRDefault="0032684D">
            <w:pPr>
              <w:ind w:right="237"/>
              <w:rPr>
                <w:rFonts w:ascii="Arial" w:eastAsia="Arial" w:hAnsi="Arial" w:cs="Arial"/>
                <w:color w:val="000000"/>
                <w:sz w:val="28"/>
                <w:szCs w:val="28"/>
              </w:rPr>
            </w:pPr>
            <w:r>
              <w:rPr>
                <w:rFonts w:ascii="Arial" w:eastAsia="Arial" w:hAnsi="Arial" w:cs="Arial"/>
                <w:b/>
                <w:color w:val="000000"/>
                <w:sz w:val="28"/>
                <w:szCs w:val="28"/>
              </w:rPr>
              <w:t xml:space="preserve">Student name: </w:t>
            </w:r>
            <w:r w:rsidR="002244E3">
              <w:rPr>
                <w:rFonts w:ascii="Arial" w:eastAsia="Arial" w:hAnsi="Arial" w:cs="Arial"/>
                <w:b/>
                <w:color w:val="000000"/>
                <w:sz w:val="28"/>
                <w:szCs w:val="28"/>
              </w:rPr>
              <w:t>Mark BURGE</w:t>
            </w:r>
          </w:p>
          <w:p w14:paraId="0E370AE2" w14:textId="77777777" w:rsidR="007A7D1B" w:rsidRDefault="007A7D1B">
            <w:pPr>
              <w:ind w:right="237"/>
              <w:rPr>
                <w:rFonts w:ascii="Arial" w:eastAsia="Arial" w:hAnsi="Arial" w:cs="Arial"/>
                <w:color w:val="000000"/>
                <w:sz w:val="28"/>
                <w:szCs w:val="28"/>
              </w:rPr>
            </w:pPr>
          </w:p>
          <w:p w14:paraId="70A9421C" w14:textId="77777777" w:rsidR="007A7D1B" w:rsidRDefault="0032684D">
            <w:pPr>
              <w:ind w:right="237"/>
              <w:rPr>
                <w:rFonts w:ascii="Arial" w:eastAsia="Arial" w:hAnsi="Arial" w:cs="Arial"/>
                <w:color w:val="000000"/>
                <w:sz w:val="28"/>
                <w:szCs w:val="28"/>
              </w:rPr>
            </w:pPr>
            <w:r>
              <w:rPr>
                <w:rFonts w:ascii="Arial" w:eastAsia="Arial" w:hAnsi="Arial" w:cs="Arial"/>
                <w:b/>
                <w:color w:val="000000"/>
                <w:sz w:val="28"/>
                <w:szCs w:val="28"/>
              </w:rPr>
              <w:t>Student’s University Registration Number:</w:t>
            </w:r>
          </w:p>
          <w:p w14:paraId="285A2D5A" w14:textId="75D73C65" w:rsidR="007A7D1B" w:rsidRDefault="002244E3">
            <w:pPr>
              <w:ind w:right="237"/>
              <w:rPr>
                <w:rFonts w:ascii="Arial" w:eastAsia="Arial" w:hAnsi="Arial" w:cs="Arial"/>
                <w:color w:val="000000"/>
                <w:sz w:val="28"/>
                <w:szCs w:val="28"/>
              </w:rPr>
            </w:pPr>
            <w:r>
              <w:rPr>
                <w:rFonts w:ascii="Arial" w:eastAsia="Arial" w:hAnsi="Arial" w:cs="Arial"/>
                <w:b/>
                <w:color w:val="000000"/>
                <w:sz w:val="28"/>
                <w:szCs w:val="28"/>
              </w:rPr>
              <w:t>2522676</w:t>
            </w:r>
          </w:p>
        </w:tc>
      </w:tr>
    </w:tbl>
    <w:p w14:paraId="2C97A4D4" w14:textId="77777777" w:rsidR="007A7D1B" w:rsidRDefault="007A7D1B">
      <w:pPr>
        <w:ind w:right="237"/>
        <w:rPr>
          <w:rFonts w:ascii="Arial" w:eastAsia="Arial" w:hAnsi="Arial" w:cs="Arial"/>
          <w:color w:val="000000"/>
          <w:sz w:val="32"/>
          <w:szCs w:val="32"/>
        </w:rPr>
      </w:pPr>
    </w:p>
    <w:p w14:paraId="509B2C1C" w14:textId="77777777" w:rsidR="007A7D1B" w:rsidRDefault="007A7D1B">
      <w:pPr>
        <w:ind w:right="237"/>
        <w:rPr>
          <w:rFonts w:ascii="Arial" w:eastAsia="Arial" w:hAnsi="Arial" w:cs="Arial"/>
          <w:color w:val="000000"/>
          <w:sz w:val="32"/>
          <w:szCs w:val="32"/>
        </w:rPr>
      </w:pPr>
    </w:p>
    <w:p w14:paraId="6BF818DE" w14:textId="77777777" w:rsidR="007A7D1B" w:rsidRDefault="007A7D1B">
      <w:pPr>
        <w:ind w:right="237"/>
        <w:rPr>
          <w:rFonts w:ascii="Arial" w:eastAsia="Arial" w:hAnsi="Arial" w:cs="Arial"/>
          <w:color w:val="000000"/>
          <w:sz w:val="32"/>
          <w:szCs w:val="32"/>
        </w:rPr>
      </w:pPr>
    </w:p>
    <w:p w14:paraId="27DEEFAA" w14:textId="77777777" w:rsidR="007A7D1B" w:rsidRDefault="007A7D1B">
      <w:pPr>
        <w:ind w:right="237"/>
        <w:rPr>
          <w:rFonts w:ascii="Arial" w:eastAsia="Arial" w:hAnsi="Arial" w:cs="Arial"/>
          <w:color w:val="000000"/>
          <w:sz w:val="32"/>
          <w:szCs w:val="32"/>
        </w:rPr>
      </w:pPr>
    </w:p>
    <w:p w14:paraId="2E9D1FB4" w14:textId="77777777" w:rsidR="007A7D1B" w:rsidRDefault="007A7D1B">
      <w:pPr>
        <w:ind w:right="237"/>
        <w:rPr>
          <w:rFonts w:ascii="Arial" w:eastAsia="Arial" w:hAnsi="Arial" w:cs="Arial"/>
          <w:color w:val="000000"/>
          <w:sz w:val="32"/>
          <w:szCs w:val="32"/>
        </w:rPr>
      </w:pPr>
    </w:p>
    <w:p w14:paraId="5CD61927" w14:textId="77777777" w:rsidR="007A7D1B" w:rsidRDefault="0032684D">
      <w:pPr>
        <w:ind w:right="237"/>
        <w:rPr>
          <w:rFonts w:ascii="Arial" w:eastAsia="Arial" w:hAnsi="Arial" w:cs="Arial"/>
          <w:b/>
          <w:i/>
          <w:color w:val="000000"/>
          <w:sz w:val="24"/>
          <w:szCs w:val="24"/>
        </w:rPr>
      </w:pPr>
      <w:r>
        <w:rPr>
          <w:rFonts w:ascii="Arial" w:eastAsia="Arial" w:hAnsi="Arial" w:cs="Arial"/>
          <w:b/>
          <w:i/>
          <w:color w:val="000000"/>
          <w:sz w:val="28"/>
          <w:szCs w:val="28"/>
        </w:rPr>
        <w:t>I</w:t>
      </w:r>
      <w:r>
        <w:rPr>
          <w:rFonts w:ascii="Arial" w:eastAsia="Arial" w:hAnsi="Arial" w:cs="Arial"/>
          <w:b/>
          <w:i/>
          <w:color w:val="000000"/>
          <w:sz w:val="24"/>
          <w:szCs w:val="24"/>
        </w:rPr>
        <w:t>nstitute of Management &amp; Health (IMH)</w:t>
      </w:r>
    </w:p>
    <w:p w14:paraId="1C8FC210" w14:textId="77777777" w:rsidR="007A7D1B" w:rsidRDefault="0032684D">
      <w:pPr>
        <w:ind w:right="237"/>
        <w:rPr>
          <w:rFonts w:ascii="Arial" w:eastAsia="Arial" w:hAnsi="Arial" w:cs="Arial"/>
          <w:b/>
          <w:i/>
          <w:color w:val="000000"/>
          <w:sz w:val="24"/>
          <w:szCs w:val="24"/>
        </w:rPr>
      </w:pPr>
      <w:r>
        <w:rPr>
          <w:rFonts w:ascii="Arial" w:eastAsia="Arial" w:hAnsi="Arial" w:cs="Arial"/>
          <w:b/>
          <w:i/>
          <w:color w:val="000000"/>
          <w:sz w:val="24"/>
          <w:szCs w:val="24"/>
        </w:rPr>
        <w:t>Law, Criminology &amp; Policing</w:t>
      </w:r>
    </w:p>
    <w:p w14:paraId="5214B1EF" w14:textId="77777777" w:rsidR="007A7D1B" w:rsidRDefault="007A7D1B">
      <w:pPr>
        <w:ind w:right="237"/>
        <w:jc w:val="center"/>
        <w:rPr>
          <w:rFonts w:ascii="Arial" w:eastAsia="Arial" w:hAnsi="Arial" w:cs="Arial"/>
          <w:b/>
          <w:color w:val="000000"/>
          <w:sz w:val="28"/>
          <w:szCs w:val="28"/>
        </w:rPr>
      </w:pPr>
    </w:p>
    <w:p w14:paraId="7EFAFAA8" w14:textId="77777777" w:rsidR="007A7D1B" w:rsidRDefault="0032684D">
      <w:pPr>
        <w:ind w:right="237"/>
        <w:jc w:val="center"/>
        <w:rPr>
          <w:rFonts w:ascii="Arial" w:eastAsia="Arial" w:hAnsi="Arial" w:cs="Arial"/>
          <w:color w:val="000000"/>
          <w:sz w:val="28"/>
          <w:szCs w:val="28"/>
        </w:rPr>
      </w:pPr>
      <w:r>
        <w:rPr>
          <w:rFonts w:ascii="Arial" w:eastAsia="Arial" w:hAnsi="Arial" w:cs="Arial"/>
          <w:b/>
          <w:color w:val="000000"/>
          <w:sz w:val="28"/>
          <w:szCs w:val="28"/>
        </w:rPr>
        <w:t>Workbook Guidance</w:t>
      </w:r>
    </w:p>
    <w:p w14:paraId="7D6F0141" w14:textId="77777777" w:rsidR="007A7D1B" w:rsidRDefault="007A7D1B">
      <w:pPr>
        <w:ind w:right="237"/>
        <w:jc w:val="center"/>
        <w:rPr>
          <w:rFonts w:ascii="Arial" w:eastAsia="Arial" w:hAnsi="Arial" w:cs="Arial"/>
          <w:b/>
          <w:color w:val="000000"/>
          <w:sz w:val="28"/>
          <w:szCs w:val="28"/>
        </w:rPr>
      </w:pPr>
    </w:p>
    <w:p w14:paraId="26900F21" w14:textId="77777777" w:rsidR="007A7D1B" w:rsidRDefault="0032684D">
      <w:pPr>
        <w:ind w:right="237"/>
        <w:jc w:val="both"/>
        <w:rPr>
          <w:rFonts w:ascii="Arial" w:eastAsia="Arial" w:hAnsi="Arial" w:cs="Arial"/>
          <w:color w:val="000000"/>
          <w:sz w:val="24"/>
          <w:szCs w:val="24"/>
        </w:rPr>
      </w:pPr>
      <w:r>
        <w:rPr>
          <w:rFonts w:ascii="Arial" w:eastAsia="Arial" w:hAnsi="Arial" w:cs="Arial"/>
          <w:color w:val="000000"/>
          <w:sz w:val="24"/>
          <w:szCs w:val="24"/>
        </w:rPr>
        <w:t>Please read these notes carefully. They provide essential information in relation to your assessment. The documents you will use in developing your workbook are on the following pages.</w:t>
      </w:r>
    </w:p>
    <w:p w14:paraId="7FA129D8" w14:textId="77777777" w:rsidR="007A7D1B" w:rsidRDefault="0032684D">
      <w:pPr>
        <w:ind w:right="237"/>
        <w:jc w:val="both"/>
        <w:rPr>
          <w:rFonts w:ascii="Arial" w:eastAsia="Arial" w:hAnsi="Arial" w:cs="Arial"/>
          <w:color w:val="000000"/>
          <w:sz w:val="24"/>
          <w:szCs w:val="24"/>
        </w:rPr>
      </w:pPr>
      <w:r>
        <w:rPr>
          <w:rFonts w:ascii="Arial" w:eastAsia="Arial" w:hAnsi="Arial" w:cs="Arial"/>
          <w:b/>
          <w:color w:val="000000"/>
          <w:sz w:val="24"/>
          <w:szCs w:val="24"/>
        </w:rPr>
        <w:t>What is the workbook for?</w:t>
      </w:r>
    </w:p>
    <w:p w14:paraId="64CF40E6" w14:textId="77777777" w:rsidR="007A7D1B" w:rsidRDefault="0032684D">
      <w:pPr>
        <w:ind w:right="237"/>
        <w:jc w:val="both"/>
        <w:rPr>
          <w:rFonts w:ascii="Arial" w:eastAsia="Arial" w:hAnsi="Arial" w:cs="Arial"/>
          <w:color w:val="000000"/>
          <w:sz w:val="24"/>
          <w:szCs w:val="24"/>
        </w:rPr>
      </w:pPr>
      <w:r>
        <w:rPr>
          <w:rFonts w:ascii="Arial" w:eastAsia="Arial" w:hAnsi="Arial" w:cs="Arial"/>
          <w:color w:val="000000"/>
          <w:sz w:val="24"/>
          <w:szCs w:val="24"/>
        </w:rPr>
        <w:t xml:space="preserve">The purpose of this workbook is to enable learners to demonstrate and provide evidence of how they meet the learning outcomes for the BSc Professional Investigation. You are being asked to outline your experiential learning based upon your theoretical understanding in a range of operational situations. </w:t>
      </w:r>
    </w:p>
    <w:p w14:paraId="7DF99416" w14:textId="77777777" w:rsidR="007A7D1B" w:rsidRDefault="0032684D">
      <w:pPr>
        <w:ind w:right="237"/>
        <w:jc w:val="both"/>
        <w:rPr>
          <w:rFonts w:ascii="Arial" w:eastAsia="Arial" w:hAnsi="Arial" w:cs="Arial"/>
          <w:color w:val="000000"/>
          <w:sz w:val="24"/>
          <w:szCs w:val="24"/>
        </w:rPr>
      </w:pPr>
      <w:r>
        <w:rPr>
          <w:rFonts w:ascii="Arial" w:eastAsia="Arial" w:hAnsi="Arial" w:cs="Arial"/>
          <w:b/>
          <w:color w:val="000000"/>
          <w:sz w:val="24"/>
          <w:szCs w:val="24"/>
        </w:rPr>
        <w:t>How should the workbook be presented?</w:t>
      </w:r>
    </w:p>
    <w:p w14:paraId="6AB31CB5" w14:textId="77777777" w:rsidR="007A7D1B" w:rsidRDefault="0032684D">
      <w:pPr>
        <w:jc w:val="both"/>
        <w:rPr>
          <w:rFonts w:ascii="Arial" w:eastAsia="Arial" w:hAnsi="Arial" w:cs="Arial"/>
          <w:color w:val="000000"/>
          <w:sz w:val="24"/>
          <w:szCs w:val="24"/>
        </w:rPr>
      </w:pPr>
      <w:r>
        <w:rPr>
          <w:rFonts w:ascii="Arial" w:eastAsia="Arial" w:hAnsi="Arial" w:cs="Arial"/>
          <w:color w:val="000000"/>
          <w:sz w:val="24"/>
          <w:szCs w:val="24"/>
        </w:rPr>
        <w:t>Blank electronic copies of this workbook can be found on Moodle. You must submit your assessment document electronically once completed, therefore it is important that you save your work regularly and upload the final typed version through Turnitin on Moodle. Further guidance will be provided by your tutor.</w:t>
      </w:r>
    </w:p>
    <w:p w14:paraId="74612A63" w14:textId="77777777" w:rsidR="007A7D1B" w:rsidRDefault="0032684D">
      <w:pPr>
        <w:jc w:val="both"/>
        <w:rPr>
          <w:rFonts w:ascii="Arial" w:eastAsia="Arial" w:hAnsi="Arial" w:cs="Arial"/>
          <w:color w:val="000000"/>
          <w:sz w:val="24"/>
          <w:szCs w:val="24"/>
        </w:rPr>
      </w:pPr>
      <w:r>
        <w:rPr>
          <w:rFonts w:ascii="Arial" w:eastAsia="Arial" w:hAnsi="Arial" w:cs="Arial"/>
          <w:b/>
          <w:color w:val="000000"/>
          <w:sz w:val="24"/>
          <w:szCs w:val="24"/>
        </w:rPr>
        <w:t>The word count policy</w:t>
      </w:r>
      <w:r>
        <w:rPr>
          <w:rFonts w:ascii="Arial" w:eastAsia="Arial" w:hAnsi="Arial" w:cs="Arial"/>
          <w:color w:val="000000"/>
          <w:sz w:val="24"/>
          <w:szCs w:val="24"/>
        </w:rPr>
        <w:t xml:space="preserve"> can be found in chapter 7 of the Academic Quality Handbook under section 7.7 (this applies to presenting work above and under the specified word count).  </w:t>
      </w:r>
    </w:p>
    <w:p w14:paraId="4EA4019D" w14:textId="77777777" w:rsidR="007A7D1B" w:rsidRDefault="0032684D">
      <w:pPr>
        <w:jc w:val="both"/>
        <w:rPr>
          <w:rFonts w:ascii="Arial" w:eastAsia="Arial" w:hAnsi="Arial" w:cs="Arial"/>
          <w:color w:val="0000FF"/>
          <w:sz w:val="20"/>
          <w:szCs w:val="20"/>
        </w:rPr>
      </w:pPr>
      <w:r>
        <w:rPr>
          <w:rFonts w:ascii="Arial" w:eastAsia="Arial" w:hAnsi="Arial" w:cs="Arial"/>
          <w:color w:val="000000"/>
          <w:sz w:val="20"/>
          <w:szCs w:val="20"/>
        </w:rPr>
        <w:t>(</w:t>
      </w:r>
      <w:hyperlink r:id="rId8">
        <w:r>
          <w:rPr>
            <w:rFonts w:ascii="Arial" w:eastAsia="Arial" w:hAnsi="Arial" w:cs="Arial"/>
            <w:color w:val="0563C1"/>
            <w:sz w:val="20"/>
            <w:szCs w:val="20"/>
            <w:u w:val="single"/>
          </w:rPr>
          <w:t>https://www.uwtsd.ac.uk/media/uwtsd-website/content-assets/documents/academic-office/aqh-chapters/chapters---en/Chapter_07_Assessment_Taught_Programmes_Pages_72-79-UPDATED-05-11-2019.pdf</w:t>
        </w:r>
      </w:hyperlink>
      <w:r>
        <w:rPr>
          <w:rFonts w:ascii="Arial" w:eastAsia="Arial" w:hAnsi="Arial" w:cs="Arial"/>
          <w:color w:val="0000FF"/>
          <w:sz w:val="20"/>
          <w:szCs w:val="20"/>
          <w:u w:val="single"/>
        </w:rPr>
        <w:t xml:space="preserve">) </w:t>
      </w:r>
    </w:p>
    <w:p w14:paraId="04DEC260" w14:textId="77777777" w:rsidR="007A7D1B" w:rsidRDefault="0032684D">
      <w:pPr>
        <w:jc w:val="both"/>
        <w:rPr>
          <w:rFonts w:ascii="Arial" w:eastAsia="Arial" w:hAnsi="Arial" w:cs="Arial"/>
          <w:color w:val="000000"/>
          <w:sz w:val="24"/>
          <w:szCs w:val="24"/>
        </w:rPr>
      </w:pPr>
      <w:r>
        <w:rPr>
          <w:rFonts w:ascii="Arial" w:eastAsia="Arial" w:hAnsi="Arial" w:cs="Arial"/>
          <w:b/>
          <w:color w:val="000000"/>
          <w:sz w:val="24"/>
          <w:szCs w:val="24"/>
        </w:rPr>
        <w:t>Reflective practice</w:t>
      </w:r>
      <w:r>
        <w:rPr>
          <w:rFonts w:ascii="Arial" w:eastAsia="Arial" w:hAnsi="Arial" w:cs="Arial"/>
          <w:color w:val="000000"/>
          <w:sz w:val="24"/>
          <w:szCs w:val="24"/>
        </w:rPr>
        <w:t xml:space="preserve"> is a core aspect for your workbooks and although there is a variety of useful resources on Moodle, there is one book, that is specifically based on reflective practice in policing, here is a link to one chapter from Selina Copley’s Reflective Practice for Policing Students: </w:t>
      </w:r>
    </w:p>
    <w:p w14:paraId="70D38449" w14:textId="77777777" w:rsidR="007A7D1B" w:rsidRDefault="0032684D">
      <w:pPr>
        <w:jc w:val="both"/>
        <w:rPr>
          <w:rFonts w:ascii="Arial" w:eastAsia="Arial" w:hAnsi="Arial" w:cs="Arial"/>
          <w:color w:val="000000"/>
          <w:sz w:val="20"/>
          <w:szCs w:val="20"/>
        </w:rPr>
      </w:pPr>
      <w:hyperlink r:id="rId9">
        <w:r>
          <w:rPr>
            <w:rFonts w:ascii="Arial" w:eastAsia="Arial" w:hAnsi="Arial" w:cs="Arial"/>
            <w:color w:val="0563C1"/>
            <w:sz w:val="20"/>
            <w:szCs w:val="20"/>
            <w:u w:val="single"/>
          </w:rPr>
          <w:t>https://moodle.uwtsd.ac.uk/pluginfile.php/298870/mod_resource/content/1/Reflective%20Practice%20for%20Policing%20Students%20-%20Selina%20Copley%20Chapter5.pdf</w:t>
        </w:r>
      </w:hyperlink>
    </w:p>
    <w:p w14:paraId="7D86D32F" w14:textId="77777777" w:rsidR="007A7D1B" w:rsidRDefault="0032684D">
      <w:pPr>
        <w:jc w:val="both"/>
        <w:rPr>
          <w:rFonts w:ascii="Arial" w:eastAsia="Arial" w:hAnsi="Arial" w:cs="Arial"/>
          <w:color w:val="000000"/>
          <w:sz w:val="24"/>
          <w:szCs w:val="24"/>
        </w:rPr>
      </w:pPr>
      <w:r>
        <w:rPr>
          <w:rFonts w:ascii="Arial" w:eastAsia="Arial" w:hAnsi="Arial" w:cs="Arial"/>
          <w:b/>
          <w:color w:val="000000"/>
          <w:sz w:val="24"/>
          <w:szCs w:val="24"/>
        </w:rPr>
        <w:t>How is the workbook assessed?</w:t>
      </w:r>
    </w:p>
    <w:p w14:paraId="3860BD38" w14:textId="77777777" w:rsidR="007A7D1B" w:rsidRDefault="0032684D">
      <w:pPr>
        <w:jc w:val="both"/>
        <w:rPr>
          <w:rFonts w:ascii="Arial" w:eastAsia="Arial" w:hAnsi="Arial" w:cs="Arial"/>
          <w:color w:val="000000"/>
          <w:sz w:val="24"/>
          <w:szCs w:val="24"/>
        </w:rPr>
      </w:pPr>
      <w:r>
        <w:rPr>
          <w:rFonts w:ascii="Arial" w:eastAsia="Arial" w:hAnsi="Arial" w:cs="Arial"/>
          <w:color w:val="000000"/>
          <w:sz w:val="24"/>
          <w:szCs w:val="24"/>
        </w:rPr>
        <w:t xml:space="preserve">Advice and support about the completion of this workbook is available to you. Please contact your tutor with any questions or queries you may have if you are unsure. </w:t>
      </w:r>
    </w:p>
    <w:p w14:paraId="7247CCA8" w14:textId="77777777" w:rsidR="007A7D1B" w:rsidRDefault="0032684D">
      <w:pPr>
        <w:jc w:val="both"/>
        <w:rPr>
          <w:rFonts w:ascii="Arial" w:eastAsia="Arial" w:hAnsi="Arial" w:cs="Arial"/>
          <w:color w:val="000000"/>
          <w:sz w:val="24"/>
          <w:szCs w:val="24"/>
        </w:rPr>
      </w:pPr>
      <w:r>
        <w:rPr>
          <w:rFonts w:ascii="Arial" w:eastAsia="Arial" w:hAnsi="Arial" w:cs="Arial"/>
          <w:color w:val="000000"/>
          <w:sz w:val="24"/>
          <w:szCs w:val="24"/>
        </w:rPr>
        <w:t xml:space="preserve">Once submitted your workbook will be assessed and marked independently. You will be provided with individual feedback once the work has been marked. </w:t>
      </w:r>
    </w:p>
    <w:p w14:paraId="47833587" w14:textId="77777777" w:rsidR="007A7D1B" w:rsidRDefault="0032684D">
      <w:pPr>
        <w:ind w:right="237"/>
        <w:jc w:val="both"/>
        <w:rPr>
          <w:rFonts w:ascii="Arial" w:eastAsia="Arial" w:hAnsi="Arial" w:cs="Arial"/>
          <w:color w:val="000000"/>
          <w:sz w:val="24"/>
          <w:szCs w:val="24"/>
        </w:rPr>
      </w:pPr>
      <w:r>
        <w:rPr>
          <w:rFonts w:ascii="Arial" w:eastAsia="Arial" w:hAnsi="Arial" w:cs="Arial"/>
          <w:b/>
          <w:color w:val="000000"/>
          <w:sz w:val="24"/>
          <w:szCs w:val="24"/>
        </w:rPr>
        <w:t>Confidentiality</w:t>
      </w:r>
    </w:p>
    <w:p w14:paraId="0FA9567C" w14:textId="77777777" w:rsidR="007A7D1B" w:rsidRDefault="0032684D">
      <w:pPr>
        <w:ind w:right="237"/>
        <w:jc w:val="both"/>
        <w:rPr>
          <w:rFonts w:ascii="Arial" w:eastAsia="Arial" w:hAnsi="Arial" w:cs="Arial"/>
          <w:color w:val="000000"/>
          <w:sz w:val="24"/>
          <w:szCs w:val="24"/>
        </w:rPr>
      </w:pPr>
      <w:r>
        <w:rPr>
          <w:rFonts w:ascii="Arial" w:eastAsia="Arial" w:hAnsi="Arial" w:cs="Arial"/>
          <w:color w:val="000000"/>
          <w:sz w:val="24"/>
          <w:szCs w:val="24"/>
        </w:rPr>
        <w:t>It is important that no individual can be identified either directly or indirectly from the information in the workbook. You must therefore:</w:t>
      </w:r>
    </w:p>
    <w:p w14:paraId="6E678FBC" w14:textId="77777777" w:rsidR="007A7D1B" w:rsidRDefault="0032684D">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Adhere to guidance in the Candidate Handbook about confidentiality.</w:t>
      </w:r>
    </w:p>
    <w:p w14:paraId="16022473" w14:textId="77777777" w:rsidR="007A7D1B" w:rsidRDefault="0032684D">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Not identify individuals including witnesses, victims, or offenders by name.</w:t>
      </w:r>
    </w:p>
    <w:p w14:paraId="6B3CFAB5" w14:textId="77777777" w:rsidR="007A7D1B" w:rsidRDefault="0032684D">
      <w:pPr>
        <w:numPr>
          <w:ilvl w:val="0"/>
          <w:numId w:val="2"/>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lastRenderedPageBreak/>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D6AF508" w14:textId="77777777" w:rsidR="007A7D1B" w:rsidRDefault="0032684D">
      <w:pPr>
        <w:numPr>
          <w:ilvl w:val="0"/>
          <w:numId w:val="2"/>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 xml:space="preserve">Take personal responsibility for adhering to confidentiality rules. </w:t>
      </w:r>
    </w:p>
    <w:p w14:paraId="2B46F060" w14:textId="77777777" w:rsidR="007A7D1B" w:rsidRDefault="0032684D">
      <w:pPr>
        <w:numPr>
          <w:ilvl w:val="0"/>
          <w:numId w:val="2"/>
        </w:numPr>
        <w:pBdr>
          <w:top w:val="nil"/>
          <w:left w:val="nil"/>
          <w:bottom w:val="nil"/>
          <w:right w:val="nil"/>
          <w:between w:val="nil"/>
        </w:pBdr>
        <w:ind w:right="237"/>
        <w:jc w:val="both"/>
        <w:rPr>
          <w:rFonts w:ascii="Arial" w:eastAsia="Arial" w:hAnsi="Arial" w:cs="Arial"/>
          <w:color w:val="000000"/>
          <w:sz w:val="24"/>
          <w:szCs w:val="24"/>
        </w:rPr>
      </w:pPr>
      <w:r>
        <w:rPr>
          <w:rFonts w:ascii="Arial" w:eastAsia="Arial" w:hAnsi="Arial" w:cs="Arial"/>
          <w:color w:val="000000"/>
          <w:sz w:val="24"/>
          <w:szCs w:val="24"/>
        </w:rPr>
        <w:t>Not include any dates of any incidents or anything that specifically identifies an actual incident.</w:t>
      </w:r>
    </w:p>
    <w:p w14:paraId="5B805CC1" w14:textId="77777777" w:rsidR="007A7D1B" w:rsidRDefault="0032684D">
      <w:pPr>
        <w:ind w:right="237"/>
        <w:jc w:val="both"/>
        <w:rPr>
          <w:rFonts w:ascii="Arial" w:eastAsia="Arial" w:hAnsi="Arial" w:cs="Arial"/>
          <w:color w:val="000000"/>
          <w:sz w:val="24"/>
          <w:szCs w:val="24"/>
        </w:rPr>
      </w:pPr>
      <w:r>
        <w:rPr>
          <w:rFonts w:ascii="Arial" w:eastAsia="Arial" w:hAnsi="Arial" w:cs="Arial"/>
          <w:b/>
          <w:color w:val="000000"/>
          <w:sz w:val="24"/>
          <w:szCs w:val="24"/>
        </w:rPr>
        <w:t>NOTE:</w:t>
      </w:r>
    </w:p>
    <w:p w14:paraId="667335B2" w14:textId="77777777" w:rsidR="007A7D1B" w:rsidRDefault="0032684D">
      <w:pPr>
        <w:ind w:right="237"/>
        <w:jc w:val="both"/>
        <w:rPr>
          <w:rFonts w:ascii="Arial" w:eastAsia="Arial" w:hAnsi="Arial" w:cs="Arial"/>
          <w:color w:val="000000"/>
          <w:sz w:val="24"/>
          <w:szCs w:val="24"/>
        </w:rPr>
      </w:pPr>
      <w:r>
        <w:rPr>
          <w:rFonts w:ascii="Arial" w:eastAsia="Arial" w:hAnsi="Arial" w:cs="Arial"/>
          <w:color w:val="000000"/>
          <w:sz w:val="24"/>
          <w:szCs w:val="24"/>
        </w:rPr>
        <w:t xml:space="preserve">Your workbook will be submitted electronically via Turnitin on Moodle. Guidance on this is in the student handbook and within Moodle. </w:t>
      </w:r>
    </w:p>
    <w:p w14:paraId="6CDFE8D8" w14:textId="77777777" w:rsidR="007A7D1B" w:rsidRDefault="0032684D">
      <w:pPr>
        <w:ind w:right="237"/>
        <w:jc w:val="both"/>
        <w:rPr>
          <w:rFonts w:ascii="Arial" w:eastAsia="Arial" w:hAnsi="Arial" w:cs="Arial"/>
          <w:color w:val="000000"/>
          <w:sz w:val="24"/>
          <w:szCs w:val="24"/>
        </w:rPr>
      </w:pPr>
      <w:r>
        <w:rPr>
          <w:rFonts w:ascii="Arial" w:eastAsia="Arial" w:hAnsi="Arial" w:cs="Arial"/>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64F497FC" w14:textId="77777777" w:rsidR="007A7D1B" w:rsidRDefault="007A7D1B">
      <w:pPr>
        <w:ind w:right="237"/>
        <w:jc w:val="both"/>
        <w:rPr>
          <w:rFonts w:ascii="Arial" w:eastAsia="Arial" w:hAnsi="Arial" w:cs="Arial"/>
          <w:b/>
          <w:i/>
          <w:color w:val="000000"/>
          <w:sz w:val="24"/>
          <w:szCs w:val="24"/>
        </w:rPr>
      </w:pPr>
    </w:p>
    <w:p w14:paraId="16777F95" w14:textId="77777777" w:rsidR="007A7D1B" w:rsidRDefault="007A7D1B">
      <w:pPr>
        <w:ind w:right="237"/>
        <w:jc w:val="both"/>
        <w:rPr>
          <w:rFonts w:ascii="Arial" w:eastAsia="Arial" w:hAnsi="Arial" w:cs="Arial"/>
          <w:color w:val="000000"/>
          <w:sz w:val="24"/>
          <w:szCs w:val="24"/>
        </w:rPr>
      </w:pPr>
    </w:p>
    <w:p w14:paraId="0166333A" w14:textId="77777777" w:rsidR="007A7D1B" w:rsidRDefault="007A7D1B">
      <w:pPr>
        <w:ind w:right="237"/>
        <w:jc w:val="both"/>
        <w:rPr>
          <w:rFonts w:ascii="Arial" w:eastAsia="Arial" w:hAnsi="Arial" w:cs="Arial"/>
          <w:color w:val="000000"/>
          <w:sz w:val="24"/>
          <w:szCs w:val="24"/>
        </w:rPr>
      </w:pPr>
    </w:p>
    <w:p w14:paraId="48C7DF1C" w14:textId="77777777" w:rsidR="007A7D1B" w:rsidRDefault="007A7D1B">
      <w:pPr>
        <w:spacing w:after="200" w:line="240" w:lineRule="auto"/>
        <w:rPr>
          <w:rFonts w:ascii="Arial" w:eastAsia="Arial" w:hAnsi="Arial" w:cs="Arial"/>
          <w:color w:val="000000"/>
        </w:rPr>
      </w:pPr>
    </w:p>
    <w:p w14:paraId="36C70100" w14:textId="77777777" w:rsidR="007A7D1B" w:rsidRDefault="007A7D1B">
      <w:pPr>
        <w:spacing w:after="200" w:line="240" w:lineRule="auto"/>
        <w:rPr>
          <w:rFonts w:ascii="Arial" w:eastAsia="Arial" w:hAnsi="Arial" w:cs="Arial"/>
          <w:color w:val="000000"/>
        </w:rPr>
      </w:pPr>
    </w:p>
    <w:p w14:paraId="0B7E3B6A" w14:textId="77777777" w:rsidR="007A7D1B" w:rsidRDefault="007A7D1B">
      <w:pPr>
        <w:spacing w:before="120" w:after="200" w:line="240" w:lineRule="auto"/>
        <w:rPr>
          <w:rFonts w:ascii="Arial" w:eastAsia="Arial" w:hAnsi="Arial" w:cs="Arial"/>
          <w:color w:val="000000"/>
        </w:rPr>
      </w:pPr>
    </w:p>
    <w:p w14:paraId="04B9FFE4" w14:textId="77777777" w:rsidR="007A7D1B" w:rsidRDefault="007A7D1B">
      <w:pPr>
        <w:spacing w:after="200" w:line="240" w:lineRule="auto"/>
        <w:rPr>
          <w:rFonts w:ascii="Arial" w:eastAsia="Arial" w:hAnsi="Arial" w:cs="Arial"/>
          <w:color w:val="000000"/>
        </w:rPr>
      </w:pPr>
    </w:p>
    <w:p w14:paraId="6E9A9203" w14:textId="77777777" w:rsidR="007A7D1B" w:rsidRDefault="007A7D1B">
      <w:pPr>
        <w:spacing w:after="200" w:line="240" w:lineRule="auto"/>
        <w:rPr>
          <w:rFonts w:ascii="Arial" w:eastAsia="Arial" w:hAnsi="Arial" w:cs="Arial"/>
          <w:color w:val="000000"/>
        </w:rPr>
      </w:pPr>
    </w:p>
    <w:p w14:paraId="3AE0622B" w14:textId="77777777" w:rsidR="007A7D1B" w:rsidRDefault="007A7D1B">
      <w:pPr>
        <w:spacing w:after="200" w:line="240" w:lineRule="auto"/>
        <w:rPr>
          <w:rFonts w:ascii="Arial" w:eastAsia="Arial" w:hAnsi="Arial" w:cs="Arial"/>
          <w:color w:val="000000"/>
        </w:rPr>
      </w:pPr>
    </w:p>
    <w:p w14:paraId="4D22E6CF" w14:textId="77777777" w:rsidR="007A7D1B" w:rsidRDefault="007A7D1B">
      <w:pPr>
        <w:spacing w:after="200" w:line="240" w:lineRule="auto"/>
        <w:rPr>
          <w:rFonts w:ascii="Arial" w:eastAsia="Arial" w:hAnsi="Arial" w:cs="Arial"/>
          <w:color w:val="000000"/>
        </w:rPr>
      </w:pPr>
    </w:p>
    <w:p w14:paraId="4EFD6F36" w14:textId="77777777" w:rsidR="007A7D1B" w:rsidRDefault="007A7D1B">
      <w:pPr>
        <w:spacing w:after="200" w:line="240" w:lineRule="auto"/>
        <w:rPr>
          <w:rFonts w:ascii="Arial" w:eastAsia="Arial" w:hAnsi="Arial" w:cs="Arial"/>
          <w:color w:val="000000"/>
        </w:rPr>
      </w:pPr>
    </w:p>
    <w:p w14:paraId="6BA0468D" w14:textId="77777777" w:rsidR="007A7D1B" w:rsidRDefault="007A7D1B">
      <w:pPr>
        <w:spacing w:after="200" w:line="240" w:lineRule="auto"/>
        <w:rPr>
          <w:rFonts w:ascii="Arial" w:eastAsia="Arial" w:hAnsi="Arial" w:cs="Arial"/>
          <w:color w:val="000000"/>
        </w:rPr>
      </w:pPr>
    </w:p>
    <w:p w14:paraId="7EBF8A8D" w14:textId="77777777" w:rsidR="007A7D1B" w:rsidRDefault="007A7D1B">
      <w:pPr>
        <w:spacing w:after="200" w:line="240" w:lineRule="auto"/>
        <w:rPr>
          <w:rFonts w:ascii="Arial" w:eastAsia="Arial" w:hAnsi="Arial" w:cs="Arial"/>
          <w:color w:val="000000"/>
        </w:rPr>
      </w:pPr>
    </w:p>
    <w:p w14:paraId="153342D4" w14:textId="77777777" w:rsidR="007A7D1B" w:rsidRDefault="007A7D1B">
      <w:pPr>
        <w:spacing w:after="200" w:line="240" w:lineRule="auto"/>
        <w:rPr>
          <w:rFonts w:ascii="Arial" w:eastAsia="Arial" w:hAnsi="Arial" w:cs="Arial"/>
          <w:color w:val="000000"/>
        </w:rPr>
      </w:pPr>
    </w:p>
    <w:p w14:paraId="6A977F60" w14:textId="77777777" w:rsidR="007A7D1B" w:rsidRDefault="007A7D1B">
      <w:pPr>
        <w:spacing w:before="120" w:after="0" w:line="240" w:lineRule="auto"/>
        <w:rPr>
          <w:rFonts w:ascii="Arial" w:eastAsia="Arial" w:hAnsi="Arial" w:cs="Arial"/>
          <w:b/>
          <w:color w:val="000000"/>
        </w:rPr>
      </w:pPr>
    </w:p>
    <w:p w14:paraId="50FE8733" w14:textId="77777777" w:rsidR="007A7D1B" w:rsidRDefault="007A7D1B">
      <w:pPr>
        <w:spacing w:before="120" w:after="0" w:line="240" w:lineRule="auto"/>
        <w:rPr>
          <w:rFonts w:ascii="Arial" w:eastAsia="Arial" w:hAnsi="Arial" w:cs="Arial"/>
          <w:b/>
          <w:color w:val="000000"/>
        </w:rPr>
      </w:pPr>
    </w:p>
    <w:p w14:paraId="4F959CFF" w14:textId="77777777" w:rsidR="007A7D1B" w:rsidRDefault="007A7D1B">
      <w:pPr>
        <w:spacing w:before="120" w:after="0" w:line="240" w:lineRule="auto"/>
        <w:rPr>
          <w:rFonts w:ascii="Arial" w:eastAsia="Arial" w:hAnsi="Arial" w:cs="Arial"/>
          <w:b/>
          <w:color w:val="000000"/>
        </w:rPr>
      </w:pPr>
    </w:p>
    <w:p w14:paraId="39B4CAF0" w14:textId="77777777" w:rsidR="007A7D1B" w:rsidRDefault="007A7D1B">
      <w:pPr>
        <w:spacing w:before="120" w:after="0" w:line="240" w:lineRule="auto"/>
        <w:rPr>
          <w:rFonts w:ascii="Arial" w:eastAsia="Arial" w:hAnsi="Arial" w:cs="Arial"/>
          <w:b/>
          <w:color w:val="000000"/>
        </w:rPr>
      </w:pPr>
    </w:p>
    <w:p w14:paraId="67DA2D08" w14:textId="77777777" w:rsidR="007A7D1B" w:rsidRDefault="007A7D1B">
      <w:pPr>
        <w:spacing w:before="120" w:after="0" w:line="240" w:lineRule="auto"/>
        <w:rPr>
          <w:rFonts w:ascii="Arial" w:eastAsia="Arial" w:hAnsi="Arial" w:cs="Arial"/>
          <w:b/>
          <w:color w:val="000000"/>
        </w:rPr>
      </w:pPr>
    </w:p>
    <w:p w14:paraId="37FE6F90" w14:textId="77777777" w:rsidR="007A7D1B" w:rsidRDefault="0032684D">
      <w:pPr>
        <w:spacing w:before="120" w:after="0" w:line="240" w:lineRule="auto"/>
        <w:rPr>
          <w:rFonts w:ascii="Arial" w:eastAsia="Arial" w:hAnsi="Arial" w:cs="Arial"/>
          <w:b/>
          <w:color w:val="000000"/>
        </w:rPr>
      </w:pPr>
      <w:r>
        <w:rPr>
          <w:rFonts w:ascii="Arial" w:eastAsia="Arial" w:hAnsi="Arial" w:cs="Arial"/>
          <w:b/>
          <w:color w:val="000000"/>
        </w:rPr>
        <w:t>Module Aim(s):</w:t>
      </w:r>
    </w:p>
    <w:p w14:paraId="370AB11E" w14:textId="77777777" w:rsidR="007A7D1B" w:rsidRDefault="007A7D1B">
      <w:pPr>
        <w:spacing w:before="120" w:after="0" w:line="240" w:lineRule="auto"/>
        <w:rPr>
          <w:rFonts w:ascii="Arial" w:eastAsia="Arial" w:hAnsi="Arial" w:cs="Arial"/>
          <w:b/>
          <w:color w:val="000000"/>
        </w:rPr>
      </w:pPr>
    </w:p>
    <w:p w14:paraId="3039A284" w14:textId="77777777" w:rsidR="007A7D1B" w:rsidRDefault="0032684D">
      <w:pPr>
        <w:numPr>
          <w:ilvl w:val="0"/>
          <w:numId w:val="3"/>
        </w:numPr>
        <w:pBdr>
          <w:top w:val="nil"/>
          <w:left w:val="nil"/>
          <w:bottom w:val="nil"/>
          <w:right w:val="nil"/>
          <w:between w:val="nil"/>
        </w:pBdr>
        <w:rPr>
          <w:color w:val="000000"/>
        </w:rPr>
      </w:pPr>
      <w:r>
        <w:rPr>
          <w:rFonts w:ascii="Arial" w:eastAsia="Arial" w:hAnsi="Arial" w:cs="Arial"/>
          <w:color w:val="000000"/>
        </w:rPr>
        <w:t>To provide learners with an opportunity to gain credit for their workplace practice by reflecting on National Occupational Standards (NOS) and other competencies related to their professional role as an investigator.</w:t>
      </w:r>
    </w:p>
    <w:p w14:paraId="2E1C7AE5" w14:textId="77777777" w:rsidR="007A7D1B" w:rsidRDefault="007A7D1B">
      <w:pPr>
        <w:spacing w:before="120" w:after="0" w:line="240" w:lineRule="auto"/>
        <w:rPr>
          <w:rFonts w:ascii="Arial" w:eastAsia="Arial" w:hAnsi="Arial" w:cs="Arial"/>
          <w:b/>
          <w:color w:val="000000"/>
        </w:rPr>
      </w:pPr>
    </w:p>
    <w:p w14:paraId="15A36DF9" w14:textId="77777777" w:rsidR="007A7D1B" w:rsidRDefault="007A7D1B">
      <w:pPr>
        <w:spacing w:before="120" w:after="0" w:line="240" w:lineRule="auto"/>
        <w:ind w:left="720"/>
        <w:jc w:val="center"/>
        <w:rPr>
          <w:rFonts w:ascii="Arial" w:eastAsia="Arial" w:hAnsi="Arial" w:cs="Arial"/>
          <w:color w:val="000000"/>
        </w:rPr>
      </w:pPr>
    </w:p>
    <w:p w14:paraId="39BEA793" w14:textId="77777777" w:rsidR="007A7D1B" w:rsidRDefault="0032684D">
      <w:pPr>
        <w:rPr>
          <w:rFonts w:ascii="Arial" w:eastAsia="Arial" w:hAnsi="Arial" w:cs="Arial"/>
          <w:b/>
          <w:sz w:val="24"/>
          <w:szCs w:val="24"/>
        </w:rPr>
      </w:pPr>
      <w:r>
        <w:rPr>
          <w:rFonts w:ascii="Arial" w:eastAsia="Arial" w:hAnsi="Arial" w:cs="Arial"/>
          <w:b/>
          <w:sz w:val="24"/>
          <w:szCs w:val="24"/>
        </w:rPr>
        <w:t>Content of Workbook:</w:t>
      </w:r>
    </w:p>
    <w:p w14:paraId="622F7C21" w14:textId="77777777" w:rsidR="007A7D1B" w:rsidRDefault="007A7D1B">
      <w:pPr>
        <w:rPr>
          <w:rFonts w:ascii="Arial" w:eastAsia="Arial" w:hAnsi="Arial" w:cs="Arial"/>
          <w:b/>
          <w:sz w:val="28"/>
          <w:szCs w:val="28"/>
        </w:rPr>
      </w:pPr>
    </w:p>
    <w:tbl>
      <w:tblPr>
        <w:tblStyle w:val="a0"/>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05"/>
        <w:gridCol w:w="3005"/>
        <w:gridCol w:w="3005"/>
      </w:tblGrid>
      <w:tr w:rsidR="007A7D1B" w14:paraId="503DDEFB" w14:textId="77777777">
        <w:tc>
          <w:tcPr>
            <w:tcW w:w="3005" w:type="dxa"/>
            <w:shd w:val="clear" w:color="auto" w:fill="5B9BD5"/>
          </w:tcPr>
          <w:p w14:paraId="52B9F400" w14:textId="77777777" w:rsidR="007A7D1B" w:rsidRDefault="0032684D">
            <w:pPr>
              <w:rPr>
                <w:rFonts w:ascii="Arial" w:eastAsia="Arial" w:hAnsi="Arial" w:cs="Arial"/>
                <w:b/>
                <w:sz w:val="28"/>
                <w:szCs w:val="28"/>
              </w:rPr>
            </w:pPr>
            <w:r>
              <w:rPr>
                <w:rFonts w:ascii="Arial" w:eastAsia="Arial" w:hAnsi="Arial" w:cs="Arial"/>
                <w:b/>
                <w:sz w:val="28"/>
                <w:szCs w:val="28"/>
              </w:rPr>
              <w:t>Task</w:t>
            </w:r>
          </w:p>
        </w:tc>
        <w:tc>
          <w:tcPr>
            <w:tcW w:w="3005" w:type="dxa"/>
            <w:shd w:val="clear" w:color="auto" w:fill="5B9BD5"/>
          </w:tcPr>
          <w:p w14:paraId="42D28110" w14:textId="77777777" w:rsidR="007A7D1B" w:rsidRDefault="0032684D">
            <w:pPr>
              <w:rPr>
                <w:rFonts w:ascii="Arial" w:eastAsia="Arial" w:hAnsi="Arial" w:cs="Arial"/>
                <w:b/>
                <w:sz w:val="24"/>
                <w:szCs w:val="24"/>
              </w:rPr>
            </w:pPr>
            <w:r>
              <w:rPr>
                <w:rFonts w:ascii="Arial" w:eastAsia="Arial" w:hAnsi="Arial" w:cs="Arial"/>
                <w:b/>
                <w:sz w:val="24"/>
                <w:szCs w:val="24"/>
              </w:rPr>
              <w:t>Relevant Investigative Area</w:t>
            </w:r>
          </w:p>
        </w:tc>
        <w:tc>
          <w:tcPr>
            <w:tcW w:w="3005" w:type="dxa"/>
            <w:shd w:val="clear" w:color="auto" w:fill="5B9BD5"/>
          </w:tcPr>
          <w:p w14:paraId="20AE0D38" w14:textId="77777777" w:rsidR="007A7D1B" w:rsidRDefault="0032684D">
            <w:pPr>
              <w:jc w:val="center"/>
              <w:rPr>
                <w:rFonts w:ascii="Arial" w:eastAsia="Arial" w:hAnsi="Arial" w:cs="Arial"/>
                <w:b/>
                <w:sz w:val="24"/>
                <w:szCs w:val="24"/>
              </w:rPr>
            </w:pPr>
            <w:r>
              <w:rPr>
                <w:rFonts w:ascii="Arial" w:eastAsia="Arial" w:hAnsi="Arial" w:cs="Arial"/>
                <w:b/>
                <w:sz w:val="24"/>
                <w:szCs w:val="24"/>
              </w:rPr>
              <w:t>Word Count</w:t>
            </w:r>
          </w:p>
        </w:tc>
      </w:tr>
      <w:tr w:rsidR="007A7D1B" w14:paraId="19D508A1" w14:textId="77777777">
        <w:tc>
          <w:tcPr>
            <w:tcW w:w="3005" w:type="dxa"/>
          </w:tcPr>
          <w:p w14:paraId="70A02184" w14:textId="77777777" w:rsidR="007A7D1B" w:rsidRDefault="0032684D">
            <w:pPr>
              <w:rPr>
                <w:rFonts w:ascii="Arial" w:eastAsia="Arial" w:hAnsi="Arial" w:cs="Arial"/>
                <w:sz w:val="24"/>
                <w:szCs w:val="24"/>
              </w:rPr>
            </w:pPr>
            <w:r>
              <w:rPr>
                <w:rFonts w:ascii="Arial" w:eastAsia="Arial" w:hAnsi="Arial" w:cs="Arial"/>
                <w:sz w:val="24"/>
                <w:szCs w:val="24"/>
              </w:rPr>
              <w:t>Task 1</w:t>
            </w:r>
          </w:p>
        </w:tc>
        <w:tc>
          <w:tcPr>
            <w:tcW w:w="3005" w:type="dxa"/>
          </w:tcPr>
          <w:p w14:paraId="4A32B917" w14:textId="77777777" w:rsidR="007A7D1B" w:rsidRDefault="0032684D">
            <w:pPr>
              <w:rPr>
                <w:rFonts w:ascii="Arial" w:eastAsia="Arial" w:hAnsi="Arial" w:cs="Arial"/>
                <w:b/>
              </w:rPr>
            </w:pPr>
            <w:r>
              <w:rPr>
                <w:rFonts w:ascii="Arial" w:eastAsia="Arial" w:hAnsi="Arial" w:cs="Arial"/>
                <w:b/>
              </w:rPr>
              <w:t xml:space="preserve">Information, intelligence &amp; evidence gathering </w:t>
            </w:r>
          </w:p>
        </w:tc>
        <w:tc>
          <w:tcPr>
            <w:tcW w:w="3005" w:type="dxa"/>
          </w:tcPr>
          <w:p w14:paraId="16F3962D" w14:textId="77777777" w:rsidR="007A7D1B" w:rsidRDefault="0032684D">
            <w:pPr>
              <w:jc w:val="center"/>
              <w:rPr>
                <w:rFonts w:ascii="Arial" w:eastAsia="Arial" w:hAnsi="Arial" w:cs="Arial"/>
              </w:rPr>
            </w:pPr>
            <w:r>
              <w:rPr>
                <w:rFonts w:ascii="Arial" w:eastAsia="Arial" w:hAnsi="Arial" w:cs="Arial"/>
              </w:rPr>
              <w:t>2000</w:t>
            </w:r>
          </w:p>
        </w:tc>
      </w:tr>
      <w:tr w:rsidR="007A7D1B" w14:paraId="2180762D" w14:textId="77777777">
        <w:tc>
          <w:tcPr>
            <w:tcW w:w="3005" w:type="dxa"/>
          </w:tcPr>
          <w:p w14:paraId="1CB8B885" w14:textId="77777777" w:rsidR="007A7D1B" w:rsidRDefault="0032684D">
            <w:pPr>
              <w:rPr>
                <w:rFonts w:ascii="Arial" w:eastAsia="Arial" w:hAnsi="Arial" w:cs="Arial"/>
              </w:rPr>
            </w:pPr>
            <w:r>
              <w:rPr>
                <w:rFonts w:ascii="Arial" w:eastAsia="Arial" w:hAnsi="Arial" w:cs="Arial"/>
              </w:rPr>
              <w:t>Task 2</w:t>
            </w:r>
          </w:p>
        </w:tc>
        <w:tc>
          <w:tcPr>
            <w:tcW w:w="3005" w:type="dxa"/>
          </w:tcPr>
          <w:p w14:paraId="758B8A59" w14:textId="77777777" w:rsidR="007A7D1B" w:rsidRDefault="0032684D">
            <w:pPr>
              <w:rPr>
                <w:rFonts w:ascii="Arial" w:eastAsia="Arial" w:hAnsi="Arial" w:cs="Arial"/>
                <w:b/>
              </w:rPr>
            </w:pPr>
            <w:r>
              <w:rPr>
                <w:rFonts w:ascii="Arial" w:eastAsia="Arial" w:hAnsi="Arial" w:cs="Arial"/>
                <w:b/>
              </w:rPr>
              <w:t>Safeguarding and Risk assessment</w:t>
            </w:r>
          </w:p>
        </w:tc>
        <w:tc>
          <w:tcPr>
            <w:tcW w:w="3005" w:type="dxa"/>
          </w:tcPr>
          <w:p w14:paraId="054775D7" w14:textId="77777777" w:rsidR="007A7D1B" w:rsidRDefault="0032684D">
            <w:pPr>
              <w:jc w:val="center"/>
              <w:rPr>
                <w:rFonts w:ascii="Arial" w:eastAsia="Arial" w:hAnsi="Arial" w:cs="Arial"/>
              </w:rPr>
            </w:pPr>
            <w:r>
              <w:rPr>
                <w:rFonts w:ascii="Arial" w:eastAsia="Arial" w:hAnsi="Arial" w:cs="Arial"/>
              </w:rPr>
              <w:t>2000</w:t>
            </w:r>
          </w:p>
        </w:tc>
      </w:tr>
      <w:tr w:rsidR="007A7D1B" w14:paraId="4B689693" w14:textId="77777777">
        <w:tc>
          <w:tcPr>
            <w:tcW w:w="3005" w:type="dxa"/>
          </w:tcPr>
          <w:p w14:paraId="5842513F" w14:textId="77777777" w:rsidR="007A7D1B" w:rsidRDefault="0032684D">
            <w:pPr>
              <w:rPr>
                <w:rFonts w:ascii="Arial" w:eastAsia="Arial" w:hAnsi="Arial" w:cs="Arial"/>
                <w:sz w:val="24"/>
                <w:szCs w:val="24"/>
              </w:rPr>
            </w:pPr>
            <w:r>
              <w:rPr>
                <w:rFonts w:ascii="Arial" w:eastAsia="Arial" w:hAnsi="Arial" w:cs="Arial"/>
                <w:sz w:val="24"/>
                <w:szCs w:val="24"/>
              </w:rPr>
              <w:t>Task 3</w:t>
            </w:r>
          </w:p>
        </w:tc>
        <w:tc>
          <w:tcPr>
            <w:tcW w:w="3005" w:type="dxa"/>
          </w:tcPr>
          <w:p w14:paraId="0333C0DF" w14:textId="77777777" w:rsidR="007A7D1B" w:rsidRDefault="0032684D">
            <w:pPr>
              <w:rPr>
                <w:rFonts w:ascii="Arial" w:eastAsia="Arial" w:hAnsi="Arial" w:cs="Arial"/>
                <w:b/>
              </w:rPr>
            </w:pPr>
            <w:r>
              <w:rPr>
                <w:rFonts w:ascii="Arial" w:eastAsia="Arial" w:hAnsi="Arial" w:cs="Arial"/>
                <w:b/>
              </w:rPr>
              <w:t>Interview and custody processes</w:t>
            </w:r>
          </w:p>
        </w:tc>
        <w:tc>
          <w:tcPr>
            <w:tcW w:w="3005" w:type="dxa"/>
          </w:tcPr>
          <w:p w14:paraId="737ADC76" w14:textId="77777777" w:rsidR="007A7D1B" w:rsidRDefault="0032684D">
            <w:pPr>
              <w:jc w:val="center"/>
              <w:rPr>
                <w:rFonts w:ascii="Arial" w:eastAsia="Arial" w:hAnsi="Arial" w:cs="Arial"/>
              </w:rPr>
            </w:pPr>
            <w:r>
              <w:rPr>
                <w:rFonts w:ascii="Arial" w:eastAsia="Arial" w:hAnsi="Arial" w:cs="Arial"/>
              </w:rPr>
              <w:t>2000</w:t>
            </w:r>
          </w:p>
        </w:tc>
      </w:tr>
      <w:tr w:rsidR="007A7D1B" w14:paraId="4930DA94" w14:textId="77777777">
        <w:tc>
          <w:tcPr>
            <w:tcW w:w="3005" w:type="dxa"/>
          </w:tcPr>
          <w:p w14:paraId="066571FA" w14:textId="77777777" w:rsidR="007A7D1B" w:rsidRDefault="0032684D">
            <w:pPr>
              <w:rPr>
                <w:rFonts w:ascii="Arial" w:eastAsia="Arial" w:hAnsi="Arial" w:cs="Arial"/>
                <w:sz w:val="24"/>
                <w:szCs w:val="24"/>
              </w:rPr>
            </w:pPr>
            <w:r>
              <w:rPr>
                <w:rFonts w:ascii="Arial" w:eastAsia="Arial" w:hAnsi="Arial" w:cs="Arial"/>
                <w:sz w:val="24"/>
                <w:szCs w:val="24"/>
              </w:rPr>
              <w:t>Task 4</w:t>
            </w:r>
          </w:p>
        </w:tc>
        <w:tc>
          <w:tcPr>
            <w:tcW w:w="3005" w:type="dxa"/>
          </w:tcPr>
          <w:p w14:paraId="7CD23EDC" w14:textId="77777777" w:rsidR="007A7D1B" w:rsidRDefault="0032684D">
            <w:pPr>
              <w:rPr>
                <w:rFonts w:ascii="Arial" w:eastAsia="Arial" w:hAnsi="Arial" w:cs="Arial"/>
                <w:b/>
              </w:rPr>
            </w:pPr>
            <w:r>
              <w:rPr>
                <w:rFonts w:ascii="Arial" w:eastAsia="Arial" w:hAnsi="Arial" w:cs="Arial"/>
                <w:b/>
              </w:rPr>
              <w:t xml:space="preserve">Investigation documentation processes. </w:t>
            </w:r>
          </w:p>
        </w:tc>
        <w:tc>
          <w:tcPr>
            <w:tcW w:w="3005" w:type="dxa"/>
          </w:tcPr>
          <w:p w14:paraId="28C28339" w14:textId="77777777" w:rsidR="007A7D1B" w:rsidRDefault="0032684D">
            <w:pPr>
              <w:spacing w:after="160" w:line="259" w:lineRule="auto"/>
              <w:jc w:val="center"/>
              <w:rPr>
                <w:rFonts w:ascii="Arial" w:eastAsia="Arial" w:hAnsi="Arial" w:cs="Arial"/>
              </w:rPr>
            </w:pPr>
            <w:r>
              <w:rPr>
                <w:rFonts w:ascii="Arial" w:eastAsia="Arial" w:hAnsi="Arial" w:cs="Arial"/>
              </w:rPr>
              <w:t>2000</w:t>
            </w:r>
          </w:p>
        </w:tc>
      </w:tr>
      <w:tr w:rsidR="007A7D1B" w14:paraId="1C1B10AC" w14:textId="77777777">
        <w:trPr>
          <w:trHeight w:val="1020"/>
        </w:trPr>
        <w:tc>
          <w:tcPr>
            <w:tcW w:w="3005" w:type="dxa"/>
          </w:tcPr>
          <w:p w14:paraId="723E346F" w14:textId="77777777" w:rsidR="007A7D1B" w:rsidRDefault="0032684D">
            <w:pPr>
              <w:rPr>
                <w:rFonts w:ascii="Arial" w:eastAsia="Arial" w:hAnsi="Arial" w:cs="Arial"/>
                <w:sz w:val="24"/>
                <w:szCs w:val="24"/>
              </w:rPr>
            </w:pPr>
            <w:r>
              <w:rPr>
                <w:rFonts w:ascii="Arial" w:eastAsia="Arial" w:hAnsi="Arial" w:cs="Arial"/>
                <w:sz w:val="24"/>
                <w:szCs w:val="24"/>
              </w:rPr>
              <w:t>Task 5</w:t>
            </w:r>
          </w:p>
          <w:p w14:paraId="576E69E7" w14:textId="77777777" w:rsidR="007A7D1B" w:rsidRDefault="007A7D1B">
            <w:pPr>
              <w:rPr>
                <w:rFonts w:ascii="Arial" w:eastAsia="Arial" w:hAnsi="Arial" w:cs="Arial"/>
                <w:sz w:val="24"/>
                <w:szCs w:val="24"/>
              </w:rPr>
            </w:pPr>
          </w:p>
        </w:tc>
        <w:tc>
          <w:tcPr>
            <w:tcW w:w="3005" w:type="dxa"/>
          </w:tcPr>
          <w:p w14:paraId="41E1AC31" w14:textId="77777777" w:rsidR="007A7D1B" w:rsidRDefault="0032684D">
            <w:pPr>
              <w:jc w:val="both"/>
              <w:rPr>
                <w:rFonts w:ascii="Arial" w:eastAsia="Arial" w:hAnsi="Arial" w:cs="Arial"/>
              </w:rPr>
            </w:pPr>
            <w:r>
              <w:rPr>
                <w:rFonts w:ascii="Arial" w:eastAsia="Arial" w:hAnsi="Arial" w:cs="Arial"/>
                <w:b/>
                <w:color w:val="000000"/>
              </w:rPr>
              <w:t>Personal study/learning plan</w:t>
            </w:r>
          </w:p>
        </w:tc>
        <w:tc>
          <w:tcPr>
            <w:tcW w:w="3005" w:type="dxa"/>
          </w:tcPr>
          <w:p w14:paraId="0997B583" w14:textId="77777777" w:rsidR="007A7D1B" w:rsidRDefault="0032684D">
            <w:pPr>
              <w:jc w:val="center"/>
              <w:rPr>
                <w:rFonts w:ascii="Arial" w:eastAsia="Arial" w:hAnsi="Arial" w:cs="Arial"/>
              </w:rPr>
            </w:pPr>
            <w:r>
              <w:rPr>
                <w:rFonts w:ascii="Arial" w:eastAsia="Arial" w:hAnsi="Arial" w:cs="Arial"/>
              </w:rPr>
              <w:t>2000</w:t>
            </w:r>
          </w:p>
        </w:tc>
      </w:tr>
      <w:tr w:rsidR="007A7D1B" w14:paraId="3A6F0D7B" w14:textId="77777777">
        <w:tc>
          <w:tcPr>
            <w:tcW w:w="3005" w:type="dxa"/>
          </w:tcPr>
          <w:p w14:paraId="555B6528" w14:textId="77777777" w:rsidR="007A7D1B" w:rsidRDefault="007A7D1B">
            <w:pPr>
              <w:rPr>
                <w:rFonts w:ascii="Arial" w:eastAsia="Arial" w:hAnsi="Arial" w:cs="Arial"/>
                <w:b/>
                <w:sz w:val="28"/>
                <w:szCs w:val="28"/>
              </w:rPr>
            </w:pPr>
          </w:p>
        </w:tc>
        <w:tc>
          <w:tcPr>
            <w:tcW w:w="3005" w:type="dxa"/>
          </w:tcPr>
          <w:p w14:paraId="2E44A518" w14:textId="77777777" w:rsidR="007A7D1B" w:rsidRDefault="0032684D">
            <w:pPr>
              <w:rPr>
                <w:rFonts w:ascii="Arial" w:eastAsia="Arial" w:hAnsi="Arial" w:cs="Arial"/>
                <w:b/>
                <w:color w:val="000000"/>
                <w:sz w:val="24"/>
                <w:szCs w:val="24"/>
              </w:rPr>
            </w:pPr>
            <w:r>
              <w:rPr>
                <w:rFonts w:ascii="Arial" w:eastAsia="Arial" w:hAnsi="Arial" w:cs="Arial"/>
                <w:b/>
                <w:color w:val="000000"/>
                <w:sz w:val="24"/>
                <w:szCs w:val="24"/>
              </w:rPr>
              <w:t>Reference list</w:t>
            </w:r>
          </w:p>
          <w:p w14:paraId="1A7E6356" w14:textId="77777777" w:rsidR="007A7D1B" w:rsidRDefault="007A7D1B">
            <w:pPr>
              <w:jc w:val="center"/>
              <w:rPr>
                <w:rFonts w:ascii="Arial" w:eastAsia="Arial" w:hAnsi="Arial" w:cs="Arial"/>
                <w:b/>
                <w:color w:val="000000"/>
                <w:sz w:val="24"/>
                <w:szCs w:val="24"/>
              </w:rPr>
            </w:pPr>
          </w:p>
        </w:tc>
        <w:tc>
          <w:tcPr>
            <w:tcW w:w="3005" w:type="dxa"/>
          </w:tcPr>
          <w:p w14:paraId="7DB59701" w14:textId="77777777" w:rsidR="007A7D1B" w:rsidRDefault="007A7D1B">
            <w:pPr>
              <w:rPr>
                <w:rFonts w:ascii="Arial" w:eastAsia="Arial" w:hAnsi="Arial" w:cs="Arial"/>
                <w:b/>
                <w:sz w:val="24"/>
                <w:szCs w:val="24"/>
              </w:rPr>
            </w:pPr>
          </w:p>
        </w:tc>
      </w:tr>
    </w:tbl>
    <w:p w14:paraId="5164F4EF" w14:textId="77777777" w:rsidR="007A7D1B" w:rsidRDefault="007A7D1B"/>
    <w:p w14:paraId="29155914" w14:textId="77777777" w:rsidR="007A7D1B" w:rsidRDefault="007A7D1B">
      <w:pPr>
        <w:rPr>
          <w:rFonts w:ascii="Arial" w:eastAsia="Arial" w:hAnsi="Arial" w:cs="Arial"/>
          <w:b/>
          <w:sz w:val="28"/>
          <w:szCs w:val="28"/>
        </w:rPr>
      </w:pPr>
    </w:p>
    <w:p w14:paraId="33072F74" w14:textId="77777777" w:rsidR="007A7D1B" w:rsidRDefault="007A7D1B">
      <w:pPr>
        <w:rPr>
          <w:rFonts w:ascii="Arial" w:eastAsia="Arial" w:hAnsi="Arial" w:cs="Arial"/>
          <w:b/>
          <w:sz w:val="28"/>
          <w:szCs w:val="28"/>
        </w:rPr>
      </w:pPr>
    </w:p>
    <w:p w14:paraId="35B45127" w14:textId="77777777" w:rsidR="007A7D1B" w:rsidRDefault="007A7D1B">
      <w:pPr>
        <w:ind w:left="3600" w:right="107" w:firstLine="720"/>
        <w:jc w:val="both"/>
        <w:rPr>
          <w:rFonts w:ascii="Arial" w:eastAsia="Arial" w:hAnsi="Arial" w:cs="Arial"/>
          <w:b/>
          <w:color w:val="000000"/>
          <w:sz w:val="24"/>
          <w:szCs w:val="24"/>
        </w:rPr>
      </w:pPr>
    </w:p>
    <w:p w14:paraId="619A211A" w14:textId="77777777" w:rsidR="007A7D1B" w:rsidRDefault="007A7D1B">
      <w:pPr>
        <w:ind w:left="3600" w:right="107" w:firstLine="720"/>
        <w:jc w:val="both"/>
        <w:rPr>
          <w:rFonts w:ascii="Arial" w:eastAsia="Arial" w:hAnsi="Arial" w:cs="Arial"/>
          <w:b/>
          <w:color w:val="000000"/>
          <w:sz w:val="24"/>
          <w:szCs w:val="24"/>
        </w:rPr>
      </w:pPr>
    </w:p>
    <w:p w14:paraId="70F4DDC6" w14:textId="77777777" w:rsidR="007A7D1B" w:rsidRDefault="007A7D1B">
      <w:pPr>
        <w:rPr>
          <w:rFonts w:ascii="Arial" w:eastAsia="Arial" w:hAnsi="Arial" w:cs="Arial"/>
          <w:b/>
          <w:sz w:val="24"/>
          <w:szCs w:val="24"/>
        </w:rPr>
      </w:pPr>
    </w:p>
    <w:p w14:paraId="7CECF461" w14:textId="77777777" w:rsidR="007A7D1B" w:rsidRDefault="007A7D1B">
      <w:pPr>
        <w:rPr>
          <w:rFonts w:ascii="Arial" w:eastAsia="Arial" w:hAnsi="Arial" w:cs="Arial"/>
          <w:b/>
          <w:sz w:val="24"/>
          <w:szCs w:val="24"/>
        </w:rPr>
      </w:pPr>
    </w:p>
    <w:p w14:paraId="29682C65" w14:textId="77777777" w:rsidR="007A7D1B" w:rsidRDefault="007A7D1B">
      <w:pPr>
        <w:rPr>
          <w:rFonts w:ascii="Arial" w:eastAsia="Arial" w:hAnsi="Arial" w:cs="Arial"/>
          <w:b/>
          <w:sz w:val="24"/>
          <w:szCs w:val="24"/>
        </w:rPr>
      </w:pPr>
    </w:p>
    <w:p w14:paraId="1C7BDB9C" w14:textId="77777777" w:rsidR="007A7D1B" w:rsidRDefault="007A7D1B">
      <w:pPr>
        <w:rPr>
          <w:rFonts w:ascii="Arial" w:eastAsia="Arial" w:hAnsi="Arial" w:cs="Arial"/>
          <w:b/>
          <w:sz w:val="24"/>
          <w:szCs w:val="24"/>
        </w:rPr>
      </w:pPr>
    </w:p>
    <w:p w14:paraId="56A4BCFF" w14:textId="77777777" w:rsidR="007A7D1B" w:rsidRDefault="007A7D1B">
      <w:pPr>
        <w:rPr>
          <w:rFonts w:ascii="Arial" w:eastAsia="Arial" w:hAnsi="Arial" w:cs="Arial"/>
          <w:b/>
          <w:sz w:val="24"/>
          <w:szCs w:val="24"/>
        </w:rPr>
      </w:pPr>
    </w:p>
    <w:p w14:paraId="4F901D76" w14:textId="77777777" w:rsidR="002244E3" w:rsidRDefault="002244E3">
      <w:pPr>
        <w:rPr>
          <w:rFonts w:ascii="Arial" w:eastAsia="Arial" w:hAnsi="Arial" w:cs="Arial"/>
          <w:b/>
          <w:sz w:val="24"/>
          <w:szCs w:val="24"/>
        </w:rPr>
      </w:pPr>
    </w:p>
    <w:p w14:paraId="08F36DDD" w14:textId="77777777" w:rsidR="007A7D1B" w:rsidRDefault="007A7D1B">
      <w:pPr>
        <w:rPr>
          <w:rFonts w:ascii="Arial" w:eastAsia="Arial" w:hAnsi="Arial" w:cs="Arial"/>
          <w:b/>
          <w:sz w:val="24"/>
          <w:szCs w:val="24"/>
        </w:rPr>
      </w:pPr>
    </w:p>
    <w:p w14:paraId="7DCA67FC" w14:textId="77777777" w:rsidR="007A7D1B" w:rsidRDefault="007A7D1B">
      <w:pPr>
        <w:rPr>
          <w:rFonts w:ascii="Arial" w:eastAsia="Arial" w:hAnsi="Arial" w:cs="Arial"/>
          <w:b/>
          <w:sz w:val="24"/>
          <w:szCs w:val="24"/>
        </w:rPr>
      </w:pPr>
    </w:p>
    <w:p w14:paraId="5904314C" w14:textId="77777777" w:rsidR="007A7D1B" w:rsidRDefault="007A7D1B">
      <w:pPr>
        <w:rPr>
          <w:rFonts w:ascii="Arial" w:eastAsia="Arial" w:hAnsi="Arial" w:cs="Arial"/>
          <w:b/>
          <w:sz w:val="24"/>
          <w:szCs w:val="24"/>
        </w:rPr>
      </w:pPr>
    </w:p>
    <w:p w14:paraId="10E4091A" w14:textId="77777777" w:rsidR="007A7D1B" w:rsidRDefault="007A7D1B">
      <w:pPr>
        <w:rPr>
          <w:rFonts w:ascii="Arial" w:eastAsia="Arial" w:hAnsi="Arial" w:cs="Arial"/>
          <w:b/>
          <w:sz w:val="24"/>
          <w:szCs w:val="24"/>
        </w:rPr>
      </w:pPr>
    </w:p>
    <w:p w14:paraId="173DF1C8" w14:textId="77777777" w:rsidR="007A7D1B" w:rsidRDefault="0032684D">
      <w:pPr>
        <w:rPr>
          <w:rFonts w:ascii="Arial" w:eastAsia="Arial" w:hAnsi="Arial" w:cs="Arial"/>
          <w:b/>
          <w:i/>
          <w:color w:val="000000"/>
          <w:sz w:val="24"/>
          <w:szCs w:val="24"/>
        </w:rPr>
      </w:pPr>
      <w:r>
        <w:rPr>
          <w:rFonts w:ascii="Arial" w:eastAsia="Arial" w:hAnsi="Arial" w:cs="Arial"/>
          <w:b/>
          <w:i/>
          <w:sz w:val="24"/>
          <w:szCs w:val="24"/>
        </w:rPr>
        <w:lastRenderedPageBreak/>
        <w:t xml:space="preserve">Task </w:t>
      </w:r>
      <w:r>
        <w:rPr>
          <w:rFonts w:ascii="Arial" w:eastAsia="Arial" w:hAnsi="Arial" w:cs="Arial"/>
          <w:b/>
          <w:i/>
          <w:color w:val="000000"/>
          <w:sz w:val="24"/>
          <w:szCs w:val="24"/>
        </w:rPr>
        <w:t>1: Information, Intelligence &amp; Evidence Gathering</w:t>
      </w:r>
    </w:p>
    <w:tbl>
      <w:tblPr>
        <w:tblStyle w:val="a1"/>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7A7D1B" w14:paraId="509BCCF1" w14:textId="77777777">
        <w:tc>
          <w:tcPr>
            <w:tcW w:w="9015" w:type="dxa"/>
          </w:tcPr>
          <w:p w14:paraId="3E713623" w14:textId="77777777" w:rsidR="007A7D1B" w:rsidRDefault="007A7D1B">
            <w:pPr>
              <w:rPr>
                <w:rFonts w:ascii="Arial" w:eastAsia="Arial" w:hAnsi="Arial" w:cs="Arial"/>
                <w:color w:val="000000"/>
                <w:sz w:val="24"/>
                <w:szCs w:val="24"/>
              </w:rPr>
            </w:pPr>
          </w:p>
          <w:p w14:paraId="1836A433" w14:textId="77777777" w:rsidR="007A7D1B" w:rsidRDefault="0032684D">
            <w:pPr>
              <w:rPr>
                <w:rFonts w:ascii="Arial" w:eastAsia="Arial" w:hAnsi="Arial" w:cs="Arial"/>
                <w:color w:val="000000"/>
                <w:sz w:val="24"/>
                <w:szCs w:val="24"/>
              </w:rPr>
            </w:pPr>
            <w:r>
              <w:rPr>
                <w:rFonts w:ascii="Arial" w:eastAsia="Arial" w:hAnsi="Arial" w:cs="Arial"/>
                <w:color w:val="000000"/>
                <w:sz w:val="24"/>
                <w:szCs w:val="24"/>
              </w:rPr>
              <w:t xml:space="preserve">a. Choose one of the below areas and </w:t>
            </w:r>
            <w:r>
              <w:rPr>
                <w:rFonts w:ascii="Arial" w:eastAsia="Arial" w:hAnsi="Arial" w:cs="Arial"/>
                <w:b/>
                <w:color w:val="000000"/>
                <w:sz w:val="24"/>
                <w:szCs w:val="24"/>
              </w:rPr>
              <w:t>outline</w:t>
            </w:r>
            <w:r>
              <w:rPr>
                <w:rFonts w:ascii="Arial" w:eastAsia="Arial" w:hAnsi="Arial" w:cs="Arial"/>
                <w:color w:val="000000"/>
                <w:sz w:val="24"/>
                <w:szCs w:val="24"/>
              </w:rPr>
              <w:t xml:space="preserve"> its relevance to your current role and investigative practice</w:t>
            </w:r>
          </w:p>
          <w:p w14:paraId="0345F6F2" w14:textId="77777777" w:rsidR="007A7D1B" w:rsidRDefault="0032684D">
            <w:pPr>
              <w:numPr>
                <w:ilvl w:val="0"/>
                <w:numId w:val="6"/>
              </w:numPr>
              <w:pBdr>
                <w:top w:val="nil"/>
                <w:left w:val="nil"/>
                <w:bottom w:val="nil"/>
                <w:right w:val="nil"/>
                <w:between w:val="nil"/>
              </w:pBdr>
              <w:spacing w:line="259" w:lineRule="auto"/>
              <w:rPr>
                <w:rFonts w:ascii="Arial" w:eastAsia="Arial" w:hAnsi="Arial" w:cs="Arial"/>
                <w:b/>
                <w:color w:val="000000"/>
                <w:sz w:val="24"/>
                <w:szCs w:val="24"/>
              </w:rPr>
            </w:pPr>
            <w:r>
              <w:rPr>
                <w:rFonts w:ascii="Arial" w:eastAsia="Arial" w:hAnsi="Arial" w:cs="Arial"/>
                <w:b/>
                <w:color w:val="000000"/>
                <w:sz w:val="24"/>
                <w:szCs w:val="24"/>
              </w:rPr>
              <w:t xml:space="preserve">Information </w:t>
            </w:r>
          </w:p>
          <w:p w14:paraId="2E1F6128" w14:textId="77777777" w:rsidR="007A7D1B" w:rsidRDefault="0032684D">
            <w:pPr>
              <w:numPr>
                <w:ilvl w:val="0"/>
                <w:numId w:val="6"/>
              </w:numPr>
              <w:pBdr>
                <w:top w:val="nil"/>
                <w:left w:val="nil"/>
                <w:bottom w:val="nil"/>
                <w:right w:val="nil"/>
                <w:between w:val="nil"/>
              </w:pBdr>
              <w:spacing w:line="259" w:lineRule="auto"/>
              <w:rPr>
                <w:rFonts w:ascii="Arial" w:eastAsia="Arial" w:hAnsi="Arial" w:cs="Arial"/>
                <w:b/>
                <w:color w:val="000000"/>
                <w:sz w:val="24"/>
                <w:szCs w:val="24"/>
              </w:rPr>
            </w:pPr>
            <w:r>
              <w:rPr>
                <w:rFonts w:ascii="Arial" w:eastAsia="Arial" w:hAnsi="Arial" w:cs="Arial"/>
                <w:b/>
                <w:color w:val="000000"/>
                <w:sz w:val="24"/>
                <w:szCs w:val="24"/>
              </w:rPr>
              <w:t>Intelligence</w:t>
            </w:r>
          </w:p>
          <w:p w14:paraId="04DEFAB4" w14:textId="77777777" w:rsidR="007A7D1B" w:rsidRDefault="0032684D">
            <w:pPr>
              <w:numPr>
                <w:ilvl w:val="0"/>
                <w:numId w:val="6"/>
              </w:numPr>
              <w:pBdr>
                <w:top w:val="nil"/>
                <w:left w:val="nil"/>
                <w:bottom w:val="nil"/>
                <w:right w:val="nil"/>
                <w:between w:val="nil"/>
              </w:pBdr>
              <w:spacing w:after="160" w:line="259" w:lineRule="auto"/>
              <w:rPr>
                <w:rFonts w:ascii="Arial" w:eastAsia="Arial" w:hAnsi="Arial" w:cs="Arial"/>
                <w:b/>
                <w:color w:val="000000"/>
                <w:sz w:val="24"/>
                <w:szCs w:val="24"/>
              </w:rPr>
            </w:pPr>
            <w:r>
              <w:rPr>
                <w:rFonts w:ascii="Arial" w:eastAsia="Arial" w:hAnsi="Arial" w:cs="Arial"/>
                <w:b/>
                <w:color w:val="000000"/>
                <w:sz w:val="24"/>
                <w:szCs w:val="24"/>
              </w:rPr>
              <w:t>Evidence gathering</w:t>
            </w:r>
          </w:p>
          <w:p w14:paraId="79447439" w14:textId="77777777" w:rsidR="007A7D1B" w:rsidRDefault="007A7D1B">
            <w:pPr>
              <w:rPr>
                <w:rFonts w:ascii="Arial" w:eastAsia="Arial" w:hAnsi="Arial" w:cs="Arial"/>
                <w:color w:val="000000"/>
                <w:sz w:val="24"/>
                <w:szCs w:val="24"/>
              </w:rPr>
            </w:pPr>
          </w:p>
          <w:p w14:paraId="522BAEAF" w14:textId="77777777" w:rsidR="007A7D1B" w:rsidRDefault="0032684D">
            <w:pPr>
              <w:rPr>
                <w:rFonts w:ascii="Arial" w:eastAsia="Arial" w:hAnsi="Arial" w:cs="Arial"/>
                <w:color w:val="000000"/>
                <w:sz w:val="24"/>
                <w:szCs w:val="24"/>
              </w:rPr>
            </w:pPr>
            <w:r>
              <w:rPr>
                <w:rFonts w:ascii="Arial" w:eastAsia="Arial" w:hAnsi="Arial" w:cs="Arial"/>
                <w:color w:val="000000"/>
                <w:sz w:val="24"/>
                <w:szCs w:val="24"/>
              </w:rPr>
              <w:t xml:space="preserve">b. </w:t>
            </w:r>
            <w:r>
              <w:rPr>
                <w:rFonts w:ascii="Arial" w:eastAsia="Arial" w:hAnsi="Arial" w:cs="Arial"/>
                <w:b/>
                <w:color w:val="000000"/>
                <w:sz w:val="24"/>
                <w:szCs w:val="24"/>
              </w:rPr>
              <w:t>Critically discuss</w:t>
            </w:r>
            <w:r>
              <w:rPr>
                <w:rFonts w:ascii="Arial" w:eastAsia="Arial" w:hAnsi="Arial" w:cs="Arial"/>
                <w:color w:val="000000"/>
                <w:sz w:val="24"/>
                <w:szCs w:val="24"/>
              </w:rPr>
              <w:t xml:space="preserve"> the challenges and obstacles that the chosen area presents to you as an investigator and how it impacts upon investigative practice.</w:t>
            </w:r>
          </w:p>
          <w:p w14:paraId="70D952B4" w14:textId="77777777" w:rsidR="007A7D1B" w:rsidRDefault="007A7D1B">
            <w:pPr>
              <w:rPr>
                <w:rFonts w:ascii="Arial" w:eastAsia="Arial" w:hAnsi="Arial" w:cs="Arial"/>
              </w:rPr>
            </w:pPr>
          </w:p>
          <w:p w14:paraId="5C46A924" w14:textId="77777777" w:rsidR="007A7D1B" w:rsidRDefault="0032684D">
            <w:pPr>
              <w:rPr>
                <w:rFonts w:ascii="Arial" w:eastAsia="Arial" w:hAnsi="Arial" w:cs="Arial"/>
                <w:sz w:val="24"/>
                <w:szCs w:val="24"/>
              </w:rPr>
            </w:pPr>
            <w:r>
              <w:rPr>
                <w:rFonts w:ascii="Arial" w:eastAsia="Arial" w:hAnsi="Arial" w:cs="Arial"/>
                <w:sz w:val="24"/>
                <w:szCs w:val="24"/>
              </w:rPr>
              <w:t>(You may draw upon examples from your own investigative experience to support your discussion).</w:t>
            </w:r>
          </w:p>
          <w:p w14:paraId="1DD3BDB2" w14:textId="77777777" w:rsidR="007A7D1B" w:rsidRDefault="007A7D1B">
            <w:pPr>
              <w:rPr>
                <w:rFonts w:ascii="Arial" w:eastAsia="Arial" w:hAnsi="Arial" w:cs="Arial"/>
                <w:sz w:val="24"/>
                <w:szCs w:val="24"/>
              </w:rPr>
            </w:pPr>
          </w:p>
          <w:p w14:paraId="5F21138E" w14:textId="77777777" w:rsidR="007A7D1B" w:rsidRDefault="0032684D">
            <w:pPr>
              <w:ind w:right="237"/>
              <w:jc w:val="both"/>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3607844A" w14:textId="77777777" w:rsidR="007A7D1B" w:rsidRDefault="007A7D1B">
            <w:pPr>
              <w:ind w:right="237"/>
              <w:jc w:val="both"/>
              <w:rPr>
                <w:rFonts w:ascii="Arial" w:eastAsia="Arial" w:hAnsi="Arial" w:cs="Arial"/>
                <w:iCs/>
                <w:color w:val="000000"/>
                <w:sz w:val="24"/>
                <w:szCs w:val="24"/>
              </w:rPr>
            </w:pPr>
          </w:p>
          <w:p w14:paraId="731AB2CB" w14:textId="77777777" w:rsidR="008223F9" w:rsidRDefault="008223F9">
            <w:pPr>
              <w:ind w:right="237"/>
              <w:jc w:val="both"/>
              <w:rPr>
                <w:rFonts w:ascii="Arial" w:eastAsia="Arial" w:hAnsi="Arial" w:cs="Arial"/>
                <w:iCs/>
                <w:color w:val="000000"/>
                <w:sz w:val="24"/>
                <w:szCs w:val="24"/>
              </w:rPr>
            </w:pPr>
          </w:p>
          <w:p w14:paraId="4C86FC10" w14:textId="77777777" w:rsidR="008223F9" w:rsidRDefault="008223F9">
            <w:pPr>
              <w:ind w:right="237"/>
              <w:jc w:val="both"/>
              <w:rPr>
                <w:rFonts w:ascii="Arial" w:eastAsia="Arial" w:hAnsi="Arial" w:cs="Arial"/>
                <w:iCs/>
                <w:color w:val="000000"/>
                <w:sz w:val="24"/>
                <w:szCs w:val="24"/>
              </w:rPr>
            </w:pPr>
          </w:p>
          <w:p w14:paraId="7180C9C7" w14:textId="77777777"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Workbook 2: Intelligence in Counter-Terrorism Investigations and Investigative Practice</w:t>
            </w:r>
          </w:p>
          <w:p w14:paraId="5C46E69F"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b/>
                <w:bCs/>
                <w:color w:val="000000"/>
                <w:sz w:val="24"/>
                <w:szCs w:val="24"/>
              </w:rPr>
              <w:t>Task A:</w:t>
            </w:r>
            <w:r w:rsidRPr="003D62F0">
              <w:rPr>
                <w:rFonts w:ascii="Aptos" w:eastAsia="Times New Roman" w:hAnsi="Aptos" w:cs="Aptos"/>
                <w:color w:val="000000"/>
                <w:sz w:val="24"/>
                <w:szCs w:val="24"/>
              </w:rPr>
              <w:t xml:space="preserve"> Relevance of Intelligence to Current Investigative Practice</w:t>
            </w:r>
          </w:p>
          <w:p w14:paraId="270A5BAC" w14:textId="55A7B70B" w:rsidR="008223F9" w:rsidRPr="003D62F0" w:rsidRDefault="008223F9" w:rsidP="008223F9">
            <w:pPr>
              <w:rPr>
                <w:rFonts w:ascii="Aptos" w:eastAsia="Times New Roman" w:hAnsi="Aptos" w:cs="Aptos"/>
                <w:color w:val="000000"/>
                <w:sz w:val="24"/>
                <w:szCs w:val="24"/>
              </w:rPr>
            </w:pPr>
          </w:p>
          <w:p w14:paraId="536B9D44"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 xml:space="preserve">Intelligence is a foundational element of contemporary UK </w:t>
            </w:r>
            <w:proofErr w:type="gramStart"/>
            <w:r w:rsidRPr="003D62F0">
              <w:rPr>
                <w:rFonts w:ascii="Aptos" w:eastAsia="Times New Roman" w:hAnsi="Aptos" w:cs="Aptos"/>
                <w:color w:val="000000"/>
                <w:sz w:val="24"/>
                <w:szCs w:val="24"/>
              </w:rPr>
              <w:t>counter-terrorism</w:t>
            </w:r>
            <w:proofErr w:type="gramEnd"/>
            <w:r w:rsidRPr="003D62F0">
              <w:rPr>
                <w:rFonts w:ascii="Aptos" w:eastAsia="Times New Roman" w:hAnsi="Aptos" w:cs="Aptos"/>
                <w:color w:val="000000"/>
                <w:sz w:val="24"/>
                <w:szCs w:val="24"/>
              </w:rPr>
              <w:t xml:space="preserve"> (CT) policing and constitutes the primary mechanism through which threat detection, risk prioritisation, and operational decision-making are undertaken. Within my current investigative practice, intelligence is not simply a supporting function but forms the structural basis upon which investigative direction, resource allocation, and intervention decisions are made. This reflects the principles of intelligence-led policing (ILP) and the National Intelligence Model (NIM), both of which position intelligence as the driver of policing activity rather than a reactive output of enforcement (College of Policing, 2022).</w:t>
            </w:r>
          </w:p>
          <w:p w14:paraId="627D13FD"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In CT policing, intelligence operates within the UK Government’s CONTEST strategy (Home Office, 2023), particularly under the “Pursue” strand, which focuses on identifying and disrupting terrorist activity at the earliest possible stage. This requires intelligence to be forward-looking, interpretive, and probabilistic rather than evidentially conclusive. As such, intelligence is central to pre-emptive safeguarding of national security rather than retrospective investigation.</w:t>
            </w:r>
          </w:p>
          <w:p w14:paraId="7374CC64"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Ratcliffe (2016) defines intelligence-led policing as a structured decision-making model in which analysis informs prioritisation and operational deployment. However, this linear conceptualisation has been increasingly challenged by contemporary scholarship that emphasises the institutional and organisational mediation of intelligence. Intelligence does not flow directly into action; rather, it is filtered through supervisory interpretation, policy frameworks, and organisational hierarchies.</w:t>
            </w:r>
          </w:p>
          <w:p w14:paraId="62D1FF5A"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 xml:space="preserve">Prince, Roper and Lum (2021) significantly advance this critique by arguing that investigative outcomes are shaped not only by intelligence quality but by policy design, organisational structure, and supervisory control mechanisms. Their research in Policing: An International Journal demonstrates that intelligence is </w:t>
            </w:r>
            <w:r w:rsidRPr="003D62F0">
              <w:rPr>
                <w:rFonts w:ascii="Aptos" w:eastAsia="Times New Roman" w:hAnsi="Aptos" w:cs="Aptos"/>
                <w:color w:val="000000"/>
                <w:sz w:val="24"/>
                <w:szCs w:val="24"/>
              </w:rPr>
              <w:lastRenderedPageBreak/>
              <w:t>operationally effective only when embedded within coherent organisational systems. Where supervisory structures are fragmented or inconsistent, intelligence interpretation becomes uneven, resulting in variability in decision-making outcomes.</w:t>
            </w:r>
          </w:p>
          <w:p w14:paraId="2D3E169C"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This is particularly relevant in CT policing, where intelligence is processed through multiple institutional layers including regional Counter Terrorism Units (CTUs), national intelligence coordination hubs, and strategic oversight bodies. These layers create a governance structure in which intelligence is not simply assessed on evidential value but also on organisational priority, risk appetite, and operational feasibility. As a result, intelligence is inherently shaped by institutional context rather than existing as an objective input.</w:t>
            </w:r>
          </w:p>
          <w:p w14:paraId="41F61C43" w14:textId="1EAE0D92"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Innes et al. (200</w:t>
            </w:r>
            <w:r w:rsidR="00B0598E" w:rsidRPr="003D62F0">
              <w:rPr>
                <w:rFonts w:ascii="Aptos" w:eastAsia="Times New Roman" w:hAnsi="Aptos" w:cs="Aptos"/>
                <w:color w:val="000000"/>
                <w:sz w:val="24"/>
                <w:szCs w:val="24"/>
              </w:rPr>
              <w:t>5</w:t>
            </w:r>
            <w:r w:rsidRPr="003D62F0">
              <w:rPr>
                <w:rFonts w:ascii="Aptos" w:eastAsia="Times New Roman" w:hAnsi="Aptos" w:cs="Aptos"/>
                <w:color w:val="000000"/>
                <w:sz w:val="24"/>
                <w:szCs w:val="24"/>
              </w:rPr>
              <w:t>; 2019–2020) further develop this understanding through their conceptualisation of intelligence-led policing as a distributed risk governance system, particularly within CT environments. Their “</w:t>
            </w:r>
            <w:r w:rsidR="00F11209" w:rsidRPr="003D62F0">
              <w:rPr>
                <w:rFonts w:ascii="Aptos" w:eastAsia="Times New Roman" w:hAnsi="Aptos" w:cs="Aptos"/>
                <w:color w:val="000000"/>
                <w:sz w:val="24"/>
                <w:szCs w:val="24"/>
              </w:rPr>
              <w:t>T</w:t>
            </w:r>
            <w:r w:rsidRPr="003D62F0">
              <w:rPr>
                <w:rFonts w:ascii="Aptos" w:eastAsia="Times New Roman" w:hAnsi="Aptos" w:cs="Aptos"/>
                <w:color w:val="000000"/>
                <w:sz w:val="24"/>
                <w:szCs w:val="24"/>
              </w:rPr>
              <w:t xml:space="preserve">en </w:t>
            </w:r>
            <w:proofErr w:type="gramStart"/>
            <w:r w:rsidRPr="003D62F0">
              <w:rPr>
                <w:rFonts w:ascii="Aptos" w:eastAsia="Times New Roman" w:hAnsi="Aptos" w:cs="Aptos"/>
                <w:color w:val="000000"/>
                <w:sz w:val="24"/>
                <w:szCs w:val="24"/>
              </w:rPr>
              <w:t>R’s</w:t>
            </w:r>
            <w:proofErr w:type="gramEnd"/>
            <w:r w:rsidRPr="003D62F0">
              <w:rPr>
                <w:rFonts w:ascii="Aptos" w:eastAsia="Times New Roman" w:hAnsi="Aptos" w:cs="Aptos"/>
                <w:color w:val="000000"/>
                <w:sz w:val="24"/>
                <w:szCs w:val="24"/>
              </w:rPr>
              <w:t xml:space="preserve"> of intelligence-led policing” framework includes:</w:t>
            </w:r>
          </w:p>
          <w:p w14:paraId="19A71C05" w14:textId="77777777" w:rsidR="008223F9" w:rsidRPr="003D62F0" w:rsidRDefault="008223F9" w:rsidP="008223F9">
            <w:pPr>
              <w:pStyle w:val="ListParagraph"/>
              <w:numPr>
                <w:ilvl w:val="0"/>
                <w:numId w:val="8"/>
              </w:numPr>
              <w:rPr>
                <w:rFonts w:ascii="Aptos" w:eastAsia="Times New Roman" w:hAnsi="Aptos" w:cs="Aptos"/>
                <w:color w:val="000000"/>
                <w:sz w:val="24"/>
                <w:szCs w:val="24"/>
              </w:rPr>
            </w:pPr>
            <w:r w:rsidRPr="003D62F0">
              <w:rPr>
                <w:rFonts w:ascii="Aptos" w:eastAsia="Times New Roman" w:hAnsi="Aptos" w:cs="Aptos"/>
                <w:color w:val="000000"/>
                <w:sz w:val="24"/>
                <w:szCs w:val="24"/>
              </w:rPr>
              <w:t>Risk identification</w:t>
            </w:r>
          </w:p>
          <w:p w14:paraId="3AEAB1F3" w14:textId="77777777" w:rsidR="008223F9" w:rsidRPr="003D62F0" w:rsidRDefault="008223F9" w:rsidP="008223F9">
            <w:pPr>
              <w:pStyle w:val="ListParagraph"/>
              <w:numPr>
                <w:ilvl w:val="0"/>
                <w:numId w:val="8"/>
              </w:numPr>
              <w:rPr>
                <w:rFonts w:ascii="Aptos" w:eastAsia="Times New Roman" w:hAnsi="Aptos" w:cs="Aptos"/>
                <w:color w:val="000000"/>
                <w:sz w:val="24"/>
                <w:szCs w:val="24"/>
              </w:rPr>
            </w:pPr>
            <w:r w:rsidRPr="003D62F0">
              <w:rPr>
                <w:rFonts w:ascii="Aptos" w:eastAsia="Times New Roman" w:hAnsi="Aptos" w:cs="Aptos"/>
                <w:color w:val="000000"/>
                <w:sz w:val="24"/>
                <w:szCs w:val="24"/>
              </w:rPr>
              <w:t>Risk reduction</w:t>
            </w:r>
          </w:p>
          <w:p w14:paraId="58B991B7" w14:textId="77777777" w:rsidR="008223F9" w:rsidRPr="003D62F0" w:rsidRDefault="008223F9" w:rsidP="008223F9">
            <w:pPr>
              <w:pStyle w:val="ListParagraph"/>
              <w:numPr>
                <w:ilvl w:val="0"/>
                <w:numId w:val="8"/>
              </w:numPr>
              <w:rPr>
                <w:rFonts w:ascii="Aptos" w:eastAsia="Times New Roman" w:hAnsi="Aptos" w:cs="Aptos"/>
                <w:color w:val="000000"/>
                <w:sz w:val="24"/>
                <w:szCs w:val="24"/>
              </w:rPr>
            </w:pPr>
            <w:r w:rsidRPr="003D62F0">
              <w:rPr>
                <w:rFonts w:ascii="Aptos" w:eastAsia="Times New Roman" w:hAnsi="Aptos" w:cs="Aptos"/>
                <w:color w:val="000000"/>
                <w:sz w:val="24"/>
                <w:szCs w:val="24"/>
              </w:rPr>
              <w:t>Risk responsiveness</w:t>
            </w:r>
          </w:p>
          <w:p w14:paraId="6217FC89" w14:textId="77777777" w:rsidR="008223F9" w:rsidRPr="003D62F0" w:rsidRDefault="008223F9" w:rsidP="008223F9">
            <w:pPr>
              <w:pStyle w:val="ListParagraph"/>
              <w:numPr>
                <w:ilvl w:val="0"/>
                <w:numId w:val="8"/>
              </w:numPr>
              <w:rPr>
                <w:rFonts w:ascii="Aptos" w:eastAsia="Times New Roman" w:hAnsi="Aptos" w:cs="Aptos"/>
                <w:color w:val="000000"/>
                <w:sz w:val="24"/>
                <w:szCs w:val="24"/>
              </w:rPr>
            </w:pPr>
            <w:r w:rsidRPr="003D62F0">
              <w:rPr>
                <w:rFonts w:ascii="Aptos" w:eastAsia="Times New Roman" w:hAnsi="Aptos" w:cs="Aptos"/>
                <w:color w:val="000000"/>
                <w:sz w:val="24"/>
                <w:szCs w:val="24"/>
              </w:rPr>
              <w:t>Risk refinement</w:t>
            </w:r>
          </w:p>
          <w:p w14:paraId="4D3FF28E" w14:textId="06DF8F31" w:rsidR="008223F9" w:rsidRPr="003D62F0" w:rsidRDefault="008223F9" w:rsidP="008223F9">
            <w:pPr>
              <w:pStyle w:val="ListParagraph"/>
              <w:numPr>
                <w:ilvl w:val="0"/>
                <w:numId w:val="8"/>
              </w:numPr>
              <w:rPr>
                <w:rFonts w:ascii="Aptos" w:eastAsia="Times New Roman" w:hAnsi="Aptos" w:cs="Aptos"/>
                <w:color w:val="000000"/>
                <w:sz w:val="24"/>
                <w:szCs w:val="24"/>
              </w:rPr>
            </w:pPr>
            <w:r w:rsidRPr="003D62F0">
              <w:rPr>
                <w:rFonts w:ascii="Aptos" w:eastAsia="Times New Roman" w:hAnsi="Aptos" w:cs="Aptos"/>
                <w:color w:val="000000"/>
                <w:sz w:val="24"/>
                <w:szCs w:val="24"/>
              </w:rPr>
              <w:t>Risk redistribution across agencies</w:t>
            </w:r>
          </w:p>
          <w:p w14:paraId="3603696C" w14:textId="77777777" w:rsidR="008223F9" w:rsidRPr="003D62F0" w:rsidRDefault="008223F9" w:rsidP="008223F9">
            <w:pPr>
              <w:pStyle w:val="ListParagraph"/>
              <w:rPr>
                <w:rFonts w:ascii="Aptos" w:eastAsia="Times New Roman" w:hAnsi="Aptos" w:cs="Aptos"/>
                <w:color w:val="000000"/>
                <w:sz w:val="24"/>
                <w:szCs w:val="24"/>
              </w:rPr>
            </w:pPr>
          </w:p>
          <w:p w14:paraId="294902CF"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This framework is critical because it reframes intelligence not as a police-centric process but as a networked governance mechanism involving multiple institutional actors, including MI5, police CT units, local authorities, and safeguarding partnerships. Intelligence is therefore not owned by a single organisation but shared across a distributed system of risk management.</w:t>
            </w:r>
          </w:p>
          <w:p w14:paraId="70FD9524"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Within my investigative practice, intelligence is operationalised through the National Decision Model (NDM), particularly at the “information and intelligence” stage. This ensures that decision-making is grounded in structured risk assessment, balancing legality, necessity, proportionality, and ethical considerations (College of Policing, 2022). However, in practice, this stage is not purely technical; it is shaped by organisational interpretation and supervisory influence.</w:t>
            </w:r>
          </w:p>
          <w:p w14:paraId="0ED69310" w14:textId="77777777" w:rsidR="008223F9" w:rsidRPr="003D62F0" w:rsidRDefault="008223F9" w:rsidP="008223F9">
            <w:pPr>
              <w:rPr>
                <w:rFonts w:ascii="Aptos" w:eastAsia="Times New Roman" w:hAnsi="Aptos" w:cs="Aptos"/>
                <w:color w:val="000000"/>
                <w:sz w:val="24"/>
                <w:szCs w:val="24"/>
              </w:rPr>
            </w:pPr>
          </w:p>
          <w:p w14:paraId="4B4F6D07"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A further critical function of intelligence is the protection of covert methodologies and sensitive sources. CT policing relies heavily on covert human intelligence sources (CHIS), surveillance technologies, and digital interception capabilities. Innes (2019) highlights that modern intelligence systems depend on maintaining “secure intelligence ecosystems” in which information is tightly controlled to prevent compromise of operational capability or endangerment of assets. This introduces an inherent tension between intelligence sharing and operational security.</w:t>
            </w:r>
          </w:p>
          <w:p w14:paraId="41169590"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Intelligence also plays a central role in hypothesis generation and investigative direction. Analysts and investigators collaboratively construct intelligence assessments that guide investigative focus, prioritise suspects, and determine lines of enquiry. This reduces investigative drift and mitigates cognitive bias by introducing structured analytical reasoning. However, as later discussed, intelligence interpretation remains vulnerable to organisational and cognitive distortion.</w:t>
            </w:r>
          </w:p>
          <w:p w14:paraId="1A747DFF" w14:textId="3571D156"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Finally, intelligence contributes to legitimacy and public confidence. Loader and Walker (20</w:t>
            </w:r>
            <w:r w:rsidR="003E7158" w:rsidRPr="003D62F0">
              <w:rPr>
                <w:rFonts w:ascii="Aptos" w:eastAsia="Times New Roman" w:hAnsi="Aptos" w:cs="Aptos"/>
                <w:color w:val="000000"/>
                <w:sz w:val="24"/>
                <w:szCs w:val="24"/>
              </w:rPr>
              <w:t>09</w:t>
            </w:r>
            <w:r w:rsidRPr="003D62F0">
              <w:rPr>
                <w:rFonts w:ascii="Aptos" w:eastAsia="Times New Roman" w:hAnsi="Aptos" w:cs="Aptos"/>
                <w:color w:val="000000"/>
                <w:sz w:val="24"/>
                <w:szCs w:val="24"/>
              </w:rPr>
              <w:t xml:space="preserve">) argue that policing legitimacy depends on balancing security </w:t>
            </w:r>
            <w:r w:rsidRPr="003D62F0">
              <w:rPr>
                <w:rFonts w:ascii="Aptos" w:eastAsia="Times New Roman" w:hAnsi="Aptos" w:cs="Aptos"/>
                <w:color w:val="000000"/>
                <w:sz w:val="24"/>
                <w:szCs w:val="24"/>
              </w:rPr>
              <w:lastRenderedPageBreak/>
              <w:t>outcomes with democratic accountability. Intelligence-led policing supports this by ensuring interventions are evidence-informed, proportionate, and justifiable. However, the covert nature of CT intelligence work introduces inherent tensions between transparency and operational necessity.</w:t>
            </w:r>
          </w:p>
          <w:p w14:paraId="02125A76"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Overall, intelligence is best understood not as a neutral operational tool but as a structurally embedded governance mechanism shaped by organisational design, supervisory interpretation, and inter-agency coordination frameworks.</w:t>
            </w:r>
          </w:p>
          <w:p w14:paraId="32E2D3D6" w14:textId="77777777" w:rsidR="008223F9" w:rsidRPr="003D62F0" w:rsidRDefault="008223F9" w:rsidP="008223F9">
            <w:pPr>
              <w:rPr>
                <w:rFonts w:ascii="Aptos" w:eastAsia="Times New Roman" w:hAnsi="Aptos" w:cs="Aptos"/>
                <w:color w:val="000000"/>
                <w:sz w:val="24"/>
                <w:szCs w:val="24"/>
              </w:rPr>
            </w:pPr>
          </w:p>
          <w:p w14:paraId="7A97426C" w14:textId="77777777" w:rsidR="008223F9" w:rsidRPr="003D62F0" w:rsidRDefault="008223F9" w:rsidP="008223F9">
            <w:pPr>
              <w:rPr>
                <w:rFonts w:ascii="Aptos" w:eastAsia="Times New Roman" w:hAnsi="Aptos" w:cs="Aptos"/>
                <w:color w:val="000000"/>
                <w:sz w:val="24"/>
                <w:szCs w:val="24"/>
              </w:rPr>
            </w:pPr>
          </w:p>
          <w:p w14:paraId="74C9BA92" w14:textId="58D48083"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b/>
                <w:bCs/>
                <w:color w:val="000000"/>
                <w:sz w:val="24"/>
                <w:szCs w:val="24"/>
              </w:rPr>
              <w:t>Task B</w:t>
            </w:r>
            <w:r w:rsidRPr="003D62F0">
              <w:rPr>
                <w:rFonts w:ascii="Aptos" w:eastAsia="Times New Roman" w:hAnsi="Aptos" w:cs="Aptos"/>
                <w:color w:val="000000"/>
                <w:sz w:val="24"/>
                <w:szCs w:val="24"/>
              </w:rPr>
              <w:t>: Critical Discussion – Challenges, Obstacles, and Intelligence Governance in CT Policing.</w:t>
            </w:r>
          </w:p>
          <w:p w14:paraId="1A70E087" w14:textId="77777777" w:rsidR="008223F9" w:rsidRPr="003D62F0" w:rsidRDefault="008223F9" w:rsidP="008223F9">
            <w:pPr>
              <w:rPr>
                <w:rFonts w:ascii="Aptos" w:eastAsia="Times New Roman" w:hAnsi="Aptos" w:cs="Aptos"/>
                <w:color w:val="000000"/>
                <w:sz w:val="24"/>
                <w:szCs w:val="24"/>
              </w:rPr>
            </w:pPr>
          </w:p>
          <w:p w14:paraId="7A0766CD" w14:textId="0A525A61"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 xml:space="preserve">Manchester Arena Case Study (2017): Deep Intelligence Failure Analysis. </w:t>
            </w:r>
          </w:p>
          <w:p w14:paraId="08FFB8BE"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The Manchester Arena attack represents one of the most significant and extensively analysed intelligence failures in modern UK counter-terrorism policing. The public inquiry (Saunders, 2023) identified that MI5 held prior intelligence on Salman Abedi but failed to fully interpret, escalate, or operationalise that intelligence effectively. Critically, MI5 concluded that there was a “realistic possibility” that the attack could have been prevented had intelligence been properly acted upon (MI5, 2023). However, the inquiry also emphasised that prevention was not certain, reinforcing the probabilistic nature of intelligence work.</w:t>
            </w:r>
          </w:p>
          <w:p w14:paraId="555F04A6"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This case is not simply an operational failure but a systemic breakdown across multiple stages of the intelligence cycle, including collection, evaluation, analysis, dissemination, and operational response.</w:t>
            </w:r>
          </w:p>
          <w:p w14:paraId="4DBB1963" w14:textId="77777777" w:rsidR="008223F9" w:rsidRPr="003D62F0" w:rsidRDefault="008223F9" w:rsidP="008223F9">
            <w:pPr>
              <w:rPr>
                <w:rFonts w:ascii="Aptos" w:eastAsia="Times New Roman" w:hAnsi="Aptos" w:cs="Aptos"/>
                <w:color w:val="000000"/>
                <w:sz w:val="24"/>
                <w:szCs w:val="24"/>
              </w:rPr>
            </w:pPr>
          </w:p>
          <w:p w14:paraId="394233EA" w14:textId="0BD0D950"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Intelligence Collection: Fragmentation and Partial Visibility.</w:t>
            </w:r>
          </w:p>
          <w:p w14:paraId="3BCE6928"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The inquiry established that intelligence relating to Abedi existed in fragmented form across different systems. MI5 and Counter Terrorism Policing had separate intelligence holdings relating to his travel patterns, associations, and overseas links.</w:t>
            </w:r>
          </w:p>
          <w:p w14:paraId="78A4F281" w14:textId="50F704A5"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However, critically, this intelligence was not consolidated into a coherent threat picture. Innes et al. (200</w:t>
            </w:r>
            <w:r w:rsidR="00B0598E" w:rsidRPr="003D62F0">
              <w:rPr>
                <w:rFonts w:ascii="Aptos" w:eastAsia="Times New Roman" w:hAnsi="Aptos" w:cs="Aptos"/>
                <w:color w:val="000000"/>
                <w:sz w:val="24"/>
                <w:szCs w:val="24"/>
              </w:rPr>
              <w:t>5</w:t>
            </w:r>
            <w:r w:rsidRPr="003D62F0">
              <w:rPr>
                <w:rFonts w:ascii="Aptos" w:eastAsia="Times New Roman" w:hAnsi="Aptos" w:cs="Aptos"/>
                <w:color w:val="000000"/>
                <w:sz w:val="24"/>
                <w:szCs w:val="24"/>
              </w:rPr>
              <w:t>) argue that intelligence systems often fail not due to absence of data but due to fragmentation across organisational silos, where partial information exists but is never fully integrated.</w:t>
            </w:r>
          </w:p>
          <w:p w14:paraId="6AF829EF"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In Manchester, this fragmentation meant that no single agency held a complete situational understanding of Abedi’s threat profile at the time.</w:t>
            </w:r>
          </w:p>
          <w:p w14:paraId="630E07CC" w14:textId="77777777" w:rsidR="008223F9" w:rsidRPr="003D62F0" w:rsidRDefault="008223F9" w:rsidP="008223F9">
            <w:pPr>
              <w:rPr>
                <w:rFonts w:ascii="Aptos" w:eastAsia="Times New Roman" w:hAnsi="Aptos" w:cs="Aptos"/>
                <w:color w:val="000000"/>
                <w:sz w:val="24"/>
                <w:szCs w:val="24"/>
              </w:rPr>
            </w:pPr>
          </w:p>
          <w:p w14:paraId="4D6DA564" w14:textId="277342A7"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Intelligence Evaluation Failure: Misclassification of Risk.</w:t>
            </w:r>
          </w:p>
          <w:p w14:paraId="026ED901"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A key failure occurred at the evaluation stage, where intelligence was assessed as lower priority than it arguably warranted. One intelligence package was not escalated beyond initial assessment levels, and another was categorised in a way that reduced its perceived counter-terrorism relevance.</w:t>
            </w:r>
          </w:p>
          <w:p w14:paraId="7187AF83"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Gill and Phythian (2018) argue that intelligence is inherently interpretive, meaning its value is not fixed but constructed through analytical judgement. In Manchester, this interpretive process appears to have resulted in systematic underestimation of cumulative risk indicators.</w:t>
            </w:r>
          </w:p>
          <w:p w14:paraId="7D651E9D"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From an ILP perspective, this reflects a failure of analytical synthesis rather than individual negligence.</w:t>
            </w:r>
          </w:p>
          <w:p w14:paraId="7AB978B1" w14:textId="77777777" w:rsidR="008223F9" w:rsidRPr="003D62F0" w:rsidRDefault="008223F9" w:rsidP="008223F9">
            <w:pPr>
              <w:rPr>
                <w:rFonts w:ascii="Aptos" w:eastAsia="Times New Roman" w:hAnsi="Aptos" w:cs="Aptos"/>
                <w:color w:val="000000"/>
                <w:sz w:val="24"/>
                <w:szCs w:val="24"/>
              </w:rPr>
            </w:pPr>
          </w:p>
          <w:p w14:paraId="2B545EB4" w14:textId="2785694D"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Supervisory Filtering and Organisational Gatekeeping.</w:t>
            </w:r>
          </w:p>
          <w:p w14:paraId="5EC1E7FF"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One of the most critical findings from the inquiry relates to supervisory decision-making. Intelligence passed through multiple layers of review within MI5, where decisions were made about whether information should be escalated to operational CT policing teams.</w:t>
            </w:r>
          </w:p>
          <w:p w14:paraId="4FEDFBDA"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Prince, Roper and Lum (2021) provide a key explanatory framework for this, arguing that organisational structure and supervisory systems are primary determinants of investigative outcomes. In Manchester, supervisory filtering acted as a gatekeeping mechanism that shaped whether intelligence reached operational decision-makers.</w:t>
            </w:r>
          </w:p>
          <w:p w14:paraId="77E3A858"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This introduces a structural issue within ILP systems: intelligence is not simply analysed but institutionally moderated, meaning risk visibility depends on organisational thresholds rather than purely evidential strength.</w:t>
            </w:r>
          </w:p>
          <w:p w14:paraId="6E2F6E8B" w14:textId="77777777" w:rsidR="008223F9" w:rsidRPr="003D62F0" w:rsidRDefault="008223F9" w:rsidP="008223F9">
            <w:pPr>
              <w:rPr>
                <w:rFonts w:ascii="Aptos" w:eastAsia="Times New Roman" w:hAnsi="Aptos" w:cs="Aptos"/>
                <w:color w:val="000000"/>
                <w:sz w:val="24"/>
                <w:szCs w:val="24"/>
              </w:rPr>
            </w:pPr>
          </w:p>
          <w:p w14:paraId="73BE231D" w14:textId="0C2CA9A5"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Breakdown in Intelligence Sharing Between MI5 and CT Policing.</w:t>
            </w:r>
          </w:p>
          <w:p w14:paraId="60560625"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 xml:space="preserve">A major systemic issue identified in the inquiry was the failure of timely intelligence sharing between MI5 and Counter Terrorism Policing </w:t>
            </w:r>
            <w:proofErr w:type="gramStart"/>
            <w:r w:rsidRPr="003D62F0">
              <w:rPr>
                <w:rFonts w:ascii="Aptos" w:eastAsia="Times New Roman" w:hAnsi="Aptos" w:cs="Aptos"/>
                <w:color w:val="000000"/>
                <w:sz w:val="24"/>
                <w:szCs w:val="24"/>
              </w:rPr>
              <w:t>North West</w:t>
            </w:r>
            <w:proofErr w:type="gramEnd"/>
            <w:r w:rsidRPr="003D62F0">
              <w:rPr>
                <w:rFonts w:ascii="Aptos" w:eastAsia="Times New Roman" w:hAnsi="Aptos" w:cs="Aptos"/>
                <w:color w:val="000000"/>
                <w:sz w:val="24"/>
                <w:szCs w:val="24"/>
              </w:rPr>
              <w:t>.</w:t>
            </w:r>
          </w:p>
          <w:p w14:paraId="5F36A7F6"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Although intelligence was held within MI5 systems, it was not fully disseminated to operational officers who could have undertaken further disruption activity or investigative action.</w:t>
            </w:r>
          </w:p>
          <w:p w14:paraId="4ED65F22"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This reflects a long-standing issue in UK intelligence governance identified in earlier counter-terrorism failures, including the 7/7 bombings, where inter-agency communication breakdowns contributed to missed opportunities.</w:t>
            </w:r>
          </w:p>
          <w:p w14:paraId="110C823B" w14:textId="79EAB9E8"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Innes et al. (200</w:t>
            </w:r>
            <w:r w:rsidR="00B0598E" w:rsidRPr="003D62F0">
              <w:rPr>
                <w:rFonts w:ascii="Aptos" w:eastAsia="Times New Roman" w:hAnsi="Aptos" w:cs="Aptos"/>
                <w:color w:val="000000"/>
                <w:sz w:val="24"/>
                <w:szCs w:val="24"/>
              </w:rPr>
              <w:t>5</w:t>
            </w:r>
            <w:r w:rsidRPr="003D62F0">
              <w:rPr>
                <w:rFonts w:ascii="Aptos" w:eastAsia="Times New Roman" w:hAnsi="Aptos" w:cs="Aptos"/>
                <w:color w:val="000000"/>
                <w:sz w:val="24"/>
                <w:szCs w:val="24"/>
              </w:rPr>
              <w:t>) describe this as a failure of “intelligence synthesis across distributed networks”, where agencies possess partial knowledge but fail to construct a unified operational picture.</w:t>
            </w:r>
          </w:p>
          <w:p w14:paraId="271D6900" w14:textId="77777777" w:rsidR="008223F9" w:rsidRPr="003D62F0" w:rsidRDefault="008223F9" w:rsidP="008223F9">
            <w:pPr>
              <w:rPr>
                <w:rFonts w:ascii="Aptos" w:eastAsia="Times New Roman" w:hAnsi="Aptos" w:cs="Aptos"/>
                <w:color w:val="000000"/>
                <w:sz w:val="24"/>
                <w:szCs w:val="24"/>
              </w:rPr>
            </w:pPr>
          </w:p>
          <w:p w14:paraId="27ECD3F9" w14:textId="080D6599"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Timing, Latency, and the Problem of “Actionability”.</w:t>
            </w:r>
          </w:p>
          <w:p w14:paraId="438CB652"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 xml:space="preserve">A critical analytical issue in Manchester was the timing of intelligence action. Intelligence was </w:t>
            </w:r>
            <w:proofErr w:type="gramStart"/>
            <w:r w:rsidRPr="003D62F0">
              <w:rPr>
                <w:rFonts w:ascii="Aptos" w:eastAsia="Times New Roman" w:hAnsi="Aptos" w:cs="Aptos"/>
                <w:color w:val="000000"/>
                <w:sz w:val="24"/>
                <w:szCs w:val="24"/>
              </w:rPr>
              <w:t>available, but</w:t>
            </w:r>
            <w:proofErr w:type="gramEnd"/>
            <w:r w:rsidRPr="003D62F0">
              <w:rPr>
                <w:rFonts w:ascii="Aptos" w:eastAsia="Times New Roman" w:hAnsi="Aptos" w:cs="Aptos"/>
                <w:color w:val="000000"/>
                <w:sz w:val="24"/>
                <w:szCs w:val="24"/>
              </w:rPr>
              <w:t xml:space="preserve"> not acted upon within a timeframe that would have allowed disruption.</w:t>
            </w:r>
          </w:p>
          <w:p w14:paraId="083B50D8"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Ratcliffe (2016) highlights that intelligence-led policing is fundamentally time-sensitive and probabilistic, meaning delayed action can render intelligence operationally obsolete.</w:t>
            </w:r>
          </w:p>
          <w:p w14:paraId="669914E8"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The inquiry’s finding of a “realistic possibility” of prevention underscores this uncertainty. Intelligence failure is therefore not binary but exists on a spectrum of delayed interpretation and missed temporal opportunity.</w:t>
            </w:r>
          </w:p>
          <w:p w14:paraId="24C44FCB" w14:textId="77777777" w:rsidR="008223F9" w:rsidRPr="003D62F0" w:rsidRDefault="008223F9" w:rsidP="008223F9">
            <w:pPr>
              <w:rPr>
                <w:rFonts w:ascii="Aptos" w:eastAsia="Times New Roman" w:hAnsi="Aptos" w:cs="Aptos"/>
                <w:color w:val="000000"/>
                <w:sz w:val="24"/>
                <w:szCs w:val="24"/>
              </w:rPr>
            </w:pPr>
          </w:p>
          <w:p w14:paraId="19C3E917" w14:textId="1A35E9C0"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Cognitive Overload and Competing Threat Priorities.</w:t>
            </w:r>
          </w:p>
          <w:p w14:paraId="0BD1E4E9"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The inquiry also acknowledged contextual pressures faced by MI5 at the time, including multiple concurrent terrorism investigations linked to Islamic State-inspired threats.</w:t>
            </w:r>
          </w:p>
          <w:p w14:paraId="0E47720C"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This created an environment of cognitive and operational overload, where analysts were required to prioritise between multiple emerging threats.</w:t>
            </w:r>
          </w:p>
          <w:p w14:paraId="65EF0110"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HMICFRS (2021) identifies such overload conditions as a structural risk factor in CT policing, where intelligence analysts may experience reduced analytical depth due to workload pressure and competing priorities.</w:t>
            </w:r>
          </w:p>
          <w:p w14:paraId="1D08A053"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lastRenderedPageBreak/>
              <w:t>In Manchester, this likely contributed to prioritisation bias, where Abedi’s intelligence signals were not elevated above other more active threat streams.</w:t>
            </w:r>
          </w:p>
          <w:p w14:paraId="5E2F924B" w14:textId="77777777" w:rsidR="008223F9" w:rsidRPr="003D62F0" w:rsidRDefault="008223F9" w:rsidP="008223F9">
            <w:pPr>
              <w:rPr>
                <w:rFonts w:ascii="Aptos" w:eastAsia="Times New Roman" w:hAnsi="Aptos" w:cs="Aptos"/>
                <w:color w:val="000000"/>
                <w:sz w:val="24"/>
                <w:szCs w:val="24"/>
              </w:rPr>
            </w:pPr>
          </w:p>
          <w:p w14:paraId="6EFB5E00" w14:textId="0AC2081A"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Structural vs Individual Failure: Academic Synthesis.</w:t>
            </w:r>
          </w:p>
          <w:p w14:paraId="3C521BA3"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A critical academic question arising from the Manchester case is whether the failure was individual, procedural, or structural.</w:t>
            </w:r>
          </w:p>
          <w:p w14:paraId="34FB1CF3"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Three key academic positions provide a synthesis:</w:t>
            </w:r>
          </w:p>
          <w:p w14:paraId="20925CDD"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Ratcliffe (2016): failure occurred in the translation of intelligence into operational decision-making</w:t>
            </w:r>
          </w:p>
          <w:p w14:paraId="2A0141CF"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Gill &amp; Phythian (2018): failure rooted in interpretive ambiguity and analytical subjectivity</w:t>
            </w:r>
          </w:p>
          <w:p w14:paraId="0D466C88"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Prince, Roper &amp; Lum (2021): failure primarily structural, driven by organisational design and supervisory filtering</w:t>
            </w:r>
          </w:p>
          <w:p w14:paraId="61BE5813"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When synthesised, these perspectives suggest that Manchester was not an isolated analytical failure but a systemic breakdown across multiple governance layers of the intelligence cycle.</w:t>
            </w:r>
          </w:p>
          <w:p w14:paraId="10F39051" w14:textId="77777777" w:rsidR="008223F9" w:rsidRPr="003D62F0" w:rsidRDefault="008223F9" w:rsidP="008223F9">
            <w:pPr>
              <w:rPr>
                <w:rFonts w:ascii="Aptos" w:eastAsia="Times New Roman" w:hAnsi="Aptos" w:cs="Aptos"/>
                <w:color w:val="000000"/>
                <w:sz w:val="24"/>
                <w:szCs w:val="24"/>
              </w:rPr>
            </w:pPr>
          </w:p>
          <w:p w14:paraId="5E45B35B" w14:textId="2265881B"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Risk Ownership and Systemic Diffusion of Responsibility.</w:t>
            </w:r>
          </w:p>
          <w:p w14:paraId="32FE9DD3"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A particularly important dimension of the Manchester case is the issue of risk ownership ambiguity.</w:t>
            </w:r>
          </w:p>
          <w:p w14:paraId="6CF9737A"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Intelligence relating to Abedi was held centrally within MI5 but operational responsibility for intervention was distributed across multiple agencies.</w:t>
            </w:r>
          </w:p>
          <w:p w14:paraId="38D008A1" w14:textId="7047AAA3"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This reflects Innes et al.’s (2019–2020) “Ten R’s” framework, which conceptualises intelligence as distributed across a networked risk system. However, Manchester demonstrates the structural risk of this model: distributed risk can become diffused risk when accountability is unclear.</w:t>
            </w:r>
          </w:p>
          <w:p w14:paraId="1FE7E554"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As a result, no single agency fully “owned” the decision to escalate intelligence to disruption.</w:t>
            </w:r>
          </w:p>
          <w:p w14:paraId="5C2287A1" w14:textId="77777777" w:rsidR="008223F9" w:rsidRPr="003D62F0" w:rsidRDefault="008223F9" w:rsidP="008223F9">
            <w:pPr>
              <w:rPr>
                <w:rFonts w:ascii="Aptos" w:eastAsia="Times New Roman" w:hAnsi="Aptos" w:cs="Aptos"/>
                <w:color w:val="000000"/>
                <w:sz w:val="24"/>
                <w:szCs w:val="24"/>
              </w:rPr>
            </w:pPr>
          </w:p>
          <w:p w14:paraId="1E557D04" w14:textId="4C967504"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Critical Evaluation: What the Case Reveals About ILP Failure.</w:t>
            </w:r>
          </w:p>
          <w:p w14:paraId="50A9D074"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The Manchester Arena attack demonstrates that intelligence failure in CT policing is not primarily about absence of intelligence, but about:</w:t>
            </w:r>
          </w:p>
          <w:p w14:paraId="1DAECF5B"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failure to integrate fragmented intelligence</w:t>
            </w:r>
          </w:p>
          <w:p w14:paraId="56558809"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supervisory filtering and organisational gatekeeping</w:t>
            </w:r>
          </w:p>
          <w:p w14:paraId="2A50A108"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delayed escalation and timing misalignment</w:t>
            </w:r>
          </w:p>
          <w:p w14:paraId="723E68A0"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structural ambiguity in risk ownership</w:t>
            </w:r>
          </w:p>
          <w:p w14:paraId="5F40AF38"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overload within analytical systems</w:t>
            </w:r>
          </w:p>
          <w:p w14:paraId="4F8EE32A"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This fundamentally challenges traditional ILP assumptions that intelligence flows smoothly into decision-making. Instead, Manchester illustrates intelligence as a governed, mediated, and structurally constrained process.</w:t>
            </w:r>
          </w:p>
          <w:p w14:paraId="6D50A61D" w14:textId="77777777" w:rsidR="008223F9" w:rsidRPr="003D62F0" w:rsidRDefault="008223F9" w:rsidP="008223F9">
            <w:pPr>
              <w:rPr>
                <w:rFonts w:ascii="Aptos" w:eastAsia="Times New Roman" w:hAnsi="Aptos" w:cs="Aptos"/>
                <w:color w:val="000000"/>
                <w:sz w:val="24"/>
                <w:szCs w:val="24"/>
              </w:rPr>
            </w:pPr>
          </w:p>
          <w:p w14:paraId="37ADAAB5" w14:textId="246A03E1"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Link to Wider CT Intelligence Governance.</w:t>
            </w:r>
          </w:p>
          <w:p w14:paraId="1C7AC38A"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The case also reflects broader systemic issues in UK counter-terrorism policing:</w:t>
            </w:r>
          </w:p>
          <w:p w14:paraId="2CAC3A2F"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separation between intelligence collection (MI5) and operational disruption (police)</w:t>
            </w:r>
          </w:p>
          <w:p w14:paraId="6640E7A0"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legal constraints on intelligence sharing</w:t>
            </w:r>
          </w:p>
          <w:p w14:paraId="6302DB0F"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differing thresholds for “actionability”</w:t>
            </w:r>
          </w:p>
          <w:p w14:paraId="7F9ACAE7"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institutional risk aversion in borderline cases</w:t>
            </w:r>
          </w:p>
          <w:p w14:paraId="7066F4CE" w14:textId="391C9C13"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lastRenderedPageBreak/>
              <w:t>Loader and Walker (20</w:t>
            </w:r>
            <w:r w:rsidR="003E7158" w:rsidRPr="003D62F0">
              <w:rPr>
                <w:rFonts w:ascii="Aptos" w:eastAsia="Times New Roman" w:hAnsi="Aptos" w:cs="Aptos"/>
                <w:color w:val="000000"/>
                <w:sz w:val="24"/>
                <w:szCs w:val="24"/>
              </w:rPr>
              <w:t>09</w:t>
            </w:r>
            <w:r w:rsidRPr="003D62F0">
              <w:rPr>
                <w:rFonts w:ascii="Aptos" w:eastAsia="Times New Roman" w:hAnsi="Aptos" w:cs="Aptos"/>
                <w:color w:val="000000"/>
                <w:sz w:val="24"/>
                <w:szCs w:val="24"/>
              </w:rPr>
              <w:t>) argue that modern security governance is inherently tensioned between effectiveness and accountability. Manchester exemplifies this tension in practice: excessive caution reduces risk of wrongful intervention but increases risk of missed threats.</w:t>
            </w:r>
          </w:p>
          <w:p w14:paraId="7B213D4A" w14:textId="77777777" w:rsidR="008223F9" w:rsidRPr="003D62F0" w:rsidRDefault="008223F9" w:rsidP="008223F9">
            <w:pPr>
              <w:rPr>
                <w:rFonts w:ascii="Aptos" w:eastAsia="Times New Roman" w:hAnsi="Aptos" w:cs="Aptos"/>
                <w:color w:val="000000"/>
                <w:sz w:val="24"/>
                <w:szCs w:val="24"/>
              </w:rPr>
            </w:pPr>
          </w:p>
          <w:p w14:paraId="38CA6A76" w14:textId="2E77E499" w:rsidR="008223F9" w:rsidRPr="003D62F0" w:rsidRDefault="008223F9" w:rsidP="008223F9">
            <w:pPr>
              <w:rPr>
                <w:rFonts w:ascii="Aptos" w:eastAsia="Times New Roman" w:hAnsi="Aptos" w:cs="Aptos"/>
                <w:b/>
                <w:bCs/>
                <w:color w:val="000000"/>
                <w:sz w:val="24"/>
                <w:szCs w:val="24"/>
              </w:rPr>
            </w:pPr>
            <w:r w:rsidRPr="003D62F0">
              <w:rPr>
                <w:rFonts w:ascii="Aptos" w:eastAsia="Times New Roman" w:hAnsi="Aptos" w:cs="Aptos"/>
                <w:b/>
                <w:bCs/>
                <w:color w:val="000000"/>
                <w:sz w:val="24"/>
                <w:szCs w:val="24"/>
              </w:rPr>
              <w:t>Overall Conclusion.</w:t>
            </w:r>
          </w:p>
          <w:p w14:paraId="486312CC"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Intelligence remains the core mechanism of counter-terrorism policing, enabling risk identification, operational planning, and early intervention. However, its effectiveness is fundamentally shaped by structural governance, supervisory interpretation, and inter-agency coordination systems.</w:t>
            </w:r>
          </w:p>
          <w:p w14:paraId="1BD50576"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The Manchester Arena case demonstrates that intelligence failure is rarely caused by missing information, but by systemic breakdowns in interpretation, escalation, timing, and organisational integration.</w:t>
            </w:r>
          </w:p>
          <w:p w14:paraId="563F422D"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Across the literature, a consistent pattern emerges:</w:t>
            </w:r>
          </w:p>
          <w:p w14:paraId="53DAAF08" w14:textId="77777777" w:rsidR="008223F9" w:rsidRPr="003D62F0" w:rsidRDefault="008223F9" w:rsidP="008223F9">
            <w:pPr>
              <w:numPr>
                <w:ilvl w:val="0"/>
                <w:numId w:val="7"/>
              </w:numPr>
              <w:spacing w:line="278" w:lineRule="auto"/>
              <w:contextualSpacing/>
              <w:rPr>
                <w:rFonts w:ascii="Aptos" w:eastAsia="Times New Roman" w:hAnsi="Aptos" w:cs="Times New Roman"/>
                <w:color w:val="000000"/>
                <w:kern w:val="2"/>
                <w:sz w:val="24"/>
                <w:szCs w:val="24"/>
                <w:lang w:eastAsia="en-US"/>
                <w14:ligatures w14:val="standardContextual"/>
              </w:rPr>
            </w:pPr>
            <w:r w:rsidRPr="003D62F0">
              <w:rPr>
                <w:rFonts w:ascii="Aptos" w:eastAsia="Times New Roman" w:hAnsi="Aptos" w:cs="Times New Roman"/>
                <w:color w:val="000000"/>
                <w:kern w:val="2"/>
                <w:sz w:val="24"/>
                <w:szCs w:val="24"/>
                <w:lang w:eastAsia="en-US"/>
                <w14:ligatures w14:val="standardContextual"/>
              </w:rPr>
              <w:t>Ratcliffe: intelligence-to-decision failure</w:t>
            </w:r>
          </w:p>
          <w:p w14:paraId="0779BB53" w14:textId="77777777" w:rsidR="008223F9" w:rsidRPr="003D62F0" w:rsidRDefault="008223F9" w:rsidP="008223F9">
            <w:pPr>
              <w:numPr>
                <w:ilvl w:val="0"/>
                <w:numId w:val="7"/>
              </w:numPr>
              <w:spacing w:line="278" w:lineRule="auto"/>
              <w:contextualSpacing/>
              <w:rPr>
                <w:rFonts w:ascii="Aptos" w:eastAsia="Times New Roman" w:hAnsi="Aptos" w:cs="Times New Roman"/>
                <w:color w:val="000000"/>
                <w:kern w:val="2"/>
                <w:sz w:val="24"/>
                <w:szCs w:val="24"/>
                <w:lang w:eastAsia="en-US"/>
                <w14:ligatures w14:val="standardContextual"/>
              </w:rPr>
            </w:pPr>
            <w:r w:rsidRPr="003D62F0">
              <w:rPr>
                <w:rFonts w:ascii="Aptos" w:eastAsia="Times New Roman" w:hAnsi="Aptos" w:cs="Times New Roman"/>
                <w:color w:val="000000"/>
                <w:kern w:val="2"/>
                <w:sz w:val="24"/>
                <w:szCs w:val="24"/>
                <w:lang w:eastAsia="en-US"/>
                <w14:ligatures w14:val="standardContextual"/>
              </w:rPr>
              <w:t>Innes et al.: fragmentation across distributed intelligence systems</w:t>
            </w:r>
          </w:p>
          <w:p w14:paraId="64140477" w14:textId="77777777" w:rsidR="008223F9" w:rsidRPr="003D62F0" w:rsidRDefault="008223F9" w:rsidP="008223F9">
            <w:pPr>
              <w:numPr>
                <w:ilvl w:val="0"/>
                <w:numId w:val="7"/>
              </w:numPr>
              <w:spacing w:line="278" w:lineRule="auto"/>
              <w:contextualSpacing/>
              <w:rPr>
                <w:rFonts w:ascii="Aptos" w:eastAsia="Times New Roman" w:hAnsi="Aptos" w:cs="Times New Roman"/>
                <w:color w:val="000000"/>
                <w:kern w:val="2"/>
                <w:sz w:val="24"/>
                <w:szCs w:val="24"/>
                <w:lang w:eastAsia="en-US"/>
                <w14:ligatures w14:val="standardContextual"/>
              </w:rPr>
            </w:pPr>
            <w:r w:rsidRPr="003D62F0">
              <w:rPr>
                <w:rFonts w:ascii="Aptos" w:eastAsia="Times New Roman" w:hAnsi="Aptos" w:cs="Times New Roman"/>
                <w:color w:val="000000"/>
                <w:kern w:val="2"/>
                <w:sz w:val="24"/>
                <w:szCs w:val="24"/>
                <w:lang w:eastAsia="en-US"/>
                <w14:ligatures w14:val="standardContextual"/>
              </w:rPr>
              <w:t>Prince, Roper &amp; Lum: organisational structure and supervision as primary determinants</w:t>
            </w:r>
          </w:p>
          <w:p w14:paraId="6EFC349A" w14:textId="77777777" w:rsidR="008223F9"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Ultimately, intelligence-led policing must be understood as a complex socio-organisational governance system, where outcomes depend on alignment across analytical, institutional, and inter-agency domains rather than intelligence alone.</w:t>
            </w:r>
          </w:p>
          <w:p w14:paraId="5C7ADCF2" w14:textId="77777777" w:rsidR="008223F9" w:rsidRPr="003D62F0" w:rsidRDefault="008223F9" w:rsidP="008223F9">
            <w:pPr>
              <w:rPr>
                <w:rFonts w:ascii="Aptos" w:eastAsia="Times New Roman" w:hAnsi="Aptos" w:cs="Aptos"/>
                <w:color w:val="000000"/>
                <w:sz w:val="24"/>
                <w:szCs w:val="24"/>
              </w:rPr>
            </w:pPr>
          </w:p>
          <w:p w14:paraId="5F262EF7" w14:textId="77777777" w:rsidR="0012795A" w:rsidRPr="003D62F0" w:rsidRDefault="008223F9"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 xml:space="preserve">In my experience the tragic events of 2017 not only tested the nations resilience and operational </w:t>
            </w:r>
            <w:r w:rsidR="0012795A" w:rsidRPr="003D62F0">
              <w:rPr>
                <w:rFonts w:ascii="Aptos" w:eastAsia="Times New Roman" w:hAnsi="Aptos" w:cs="Aptos"/>
                <w:color w:val="000000"/>
                <w:sz w:val="24"/>
                <w:szCs w:val="24"/>
              </w:rPr>
              <w:t xml:space="preserve">response </w:t>
            </w:r>
            <w:r w:rsidRPr="003D62F0">
              <w:rPr>
                <w:rFonts w:ascii="Aptos" w:eastAsia="Times New Roman" w:hAnsi="Aptos" w:cs="Aptos"/>
                <w:color w:val="000000"/>
                <w:sz w:val="24"/>
                <w:szCs w:val="24"/>
              </w:rPr>
              <w:t xml:space="preserve">but the above issues have moulded and formed new practices that have reformed partner relationships and improved intelligence </w:t>
            </w:r>
            <w:r w:rsidR="0012795A" w:rsidRPr="003D62F0">
              <w:rPr>
                <w:rFonts w:ascii="Aptos" w:eastAsia="Times New Roman" w:hAnsi="Aptos" w:cs="Aptos"/>
                <w:color w:val="000000"/>
                <w:sz w:val="24"/>
                <w:szCs w:val="24"/>
              </w:rPr>
              <w:t xml:space="preserve">processes </w:t>
            </w:r>
            <w:r w:rsidRPr="003D62F0">
              <w:rPr>
                <w:rFonts w:ascii="Aptos" w:eastAsia="Times New Roman" w:hAnsi="Aptos" w:cs="Aptos"/>
                <w:color w:val="000000"/>
                <w:sz w:val="24"/>
                <w:szCs w:val="24"/>
              </w:rPr>
              <w:t xml:space="preserve">that feed into threat assessments mitigating lack of preparedness to provide improved protective security as reflected in the Terrorism (Protection of premises) Act 2025 – known as </w:t>
            </w:r>
            <w:proofErr w:type="spellStart"/>
            <w:r w:rsidRPr="003D62F0">
              <w:rPr>
                <w:rFonts w:ascii="Aptos" w:eastAsia="Times New Roman" w:hAnsi="Aptos" w:cs="Aptos"/>
                <w:color w:val="000000"/>
                <w:sz w:val="24"/>
                <w:szCs w:val="24"/>
              </w:rPr>
              <w:t>Martyns</w:t>
            </w:r>
            <w:proofErr w:type="spellEnd"/>
            <w:r w:rsidRPr="003D62F0">
              <w:rPr>
                <w:rFonts w:ascii="Aptos" w:eastAsia="Times New Roman" w:hAnsi="Aptos" w:cs="Aptos"/>
                <w:color w:val="000000"/>
                <w:sz w:val="24"/>
                <w:szCs w:val="24"/>
              </w:rPr>
              <w:t xml:space="preserve"> Law. </w:t>
            </w:r>
          </w:p>
          <w:p w14:paraId="707B2A6B" w14:textId="7BC98100" w:rsidR="008223F9" w:rsidRPr="003D62F0" w:rsidRDefault="0012795A" w:rsidP="008223F9">
            <w:pPr>
              <w:rPr>
                <w:rFonts w:ascii="Aptos" w:eastAsia="Times New Roman" w:hAnsi="Aptos" w:cs="Aptos"/>
                <w:color w:val="000000"/>
                <w:sz w:val="24"/>
                <w:szCs w:val="24"/>
              </w:rPr>
            </w:pPr>
            <w:r w:rsidRPr="003D62F0">
              <w:rPr>
                <w:rFonts w:ascii="Aptos" w:eastAsia="Times New Roman" w:hAnsi="Aptos" w:cs="Aptos"/>
                <w:color w:val="000000"/>
                <w:sz w:val="24"/>
                <w:szCs w:val="24"/>
              </w:rPr>
              <w:t xml:space="preserve">However, </w:t>
            </w:r>
            <w:r w:rsidR="00CB3319" w:rsidRPr="003D62F0">
              <w:rPr>
                <w:rFonts w:ascii="Aptos" w:eastAsia="Times New Roman" w:hAnsi="Aptos" w:cs="Aptos"/>
                <w:color w:val="000000"/>
                <w:sz w:val="24"/>
                <w:szCs w:val="24"/>
              </w:rPr>
              <w:t>Failings still occur as cited by Wise</w:t>
            </w:r>
            <w:r w:rsidRPr="003D62F0">
              <w:rPr>
                <w:rFonts w:ascii="Aptos" w:eastAsia="Times New Roman" w:hAnsi="Aptos" w:cs="Aptos"/>
                <w:color w:val="000000"/>
                <w:sz w:val="24"/>
                <w:szCs w:val="24"/>
              </w:rPr>
              <w:t xml:space="preserve">, </w:t>
            </w:r>
            <w:r w:rsidR="00CB3319" w:rsidRPr="003D62F0">
              <w:rPr>
                <w:rFonts w:ascii="Aptos" w:eastAsia="Times New Roman" w:hAnsi="Aptos" w:cs="Aptos"/>
                <w:color w:val="000000"/>
                <w:sz w:val="24"/>
                <w:szCs w:val="24"/>
              </w:rPr>
              <w:t>J</w:t>
            </w:r>
            <w:r w:rsidRPr="003D62F0">
              <w:rPr>
                <w:rFonts w:ascii="Aptos" w:eastAsia="Times New Roman" w:hAnsi="Aptos" w:cs="Aptos"/>
                <w:color w:val="000000"/>
                <w:sz w:val="24"/>
                <w:szCs w:val="24"/>
              </w:rPr>
              <w:t xml:space="preserve"> (2026)</w:t>
            </w:r>
            <w:r w:rsidR="00CB3319" w:rsidRPr="003D62F0">
              <w:rPr>
                <w:rFonts w:ascii="Aptos" w:eastAsia="Times New Roman" w:hAnsi="Aptos" w:cs="Aptos"/>
                <w:color w:val="000000"/>
                <w:sz w:val="24"/>
                <w:szCs w:val="24"/>
              </w:rPr>
              <w:t>,</w:t>
            </w:r>
            <w:r w:rsidRPr="003D62F0">
              <w:rPr>
                <w:rFonts w:ascii="Aptos" w:eastAsia="Times New Roman" w:hAnsi="Aptos" w:cs="Aptos"/>
                <w:color w:val="000000"/>
                <w:sz w:val="24"/>
                <w:szCs w:val="24"/>
              </w:rPr>
              <w:t xml:space="preserve"> highlights failed interventions with Axel Rud</w:t>
            </w:r>
            <w:r w:rsidR="00CB3319" w:rsidRPr="003D62F0">
              <w:rPr>
                <w:rFonts w:ascii="Aptos" w:eastAsia="Times New Roman" w:hAnsi="Aptos" w:cs="Aptos"/>
                <w:color w:val="000000"/>
                <w:sz w:val="24"/>
                <w:szCs w:val="24"/>
              </w:rPr>
              <w:t xml:space="preserve">akubana </w:t>
            </w:r>
            <w:r w:rsidRPr="003D62F0">
              <w:rPr>
                <w:rFonts w:ascii="Aptos" w:eastAsia="Times New Roman" w:hAnsi="Aptos" w:cs="Aptos"/>
                <w:color w:val="000000"/>
                <w:sz w:val="24"/>
                <w:szCs w:val="24"/>
              </w:rPr>
              <w:t>due to an Autism diagnosis used to minimise warning signs of violent behaviour prior to the Southport atrocity.</w:t>
            </w:r>
          </w:p>
          <w:p w14:paraId="4A1ED39D" w14:textId="77777777" w:rsidR="008223F9" w:rsidRDefault="008223F9">
            <w:pPr>
              <w:ind w:right="237"/>
              <w:jc w:val="both"/>
              <w:rPr>
                <w:rFonts w:ascii="Arial" w:eastAsia="Arial" w:hAnsi="Arial" w:cs="Arial"/>
                <w:iCs/>
                <w:color w:val="000000"/>
                <w:sz w:val="24"/>
                <w:szCs w:val="24"/>
              </w:rPr>
            </w:pPr>
          </w:p>
          <w:p w14:paraId="12F809C7" w14:textId="0EDCA143" w:rsidR="00CB3319" w:rsidRPr="008223F9" w:rsidRDefault="00CB3319">
            <w:pPr>
              <w:ind w:right="237"/>
              <w:jc w:val="both"/>
              <w:rPr>
                <w:rFonts w:ascii="Arial" w:eastAsia="Arial" w:hAnsi="Arial" w:cs="Arial"/>
                <w:iCs/>
                <w:color w:val="000000"/>
                <w:sz w:val="24"/>
                <w:szCs w:val="24"/>
              </w:rPr>
            </w:pPr>
            <w:r>
              <w:rPr>
                <w:rFonts w:ascii="Arial" w:eastAsia="Arial" w:hAnsi="Arial" w:cs="Arial"/>
                <w:iCs/>
                <w:color w:val="000000"/>
                <w:sz w:val="24"/>
                <w:szCs w:val="24"/>
              </w:rPr>
              <w:t>Word count- 202</w:t>
            </w:r>
            <w:r w:rsidR="00F11209">
              <w:rPr>
                <w:rFonts w:ascii="Arial" w:eastAsia="Arial" w:hAnsi="Arial" w:cs="Arial"/>
                <w:iCs/>
                <w:color w:val="000000"/>
                <w:sz w:val="24"/>
                <w:szCs w:val="24"/>
              </w:rPr>
              <w:t>4</w:t>
            </w:r>
          </w:p>
        </w:tc>
      </w:tr>
    </w:tbl>
    <w:p w14:paraId="0412157E" w14:textId="77777777" w:rsidR="007A7D1B" w:rsidRDefault="007A7D1B">
      <w:pPr>
        <w:ind w:left="3600" w:right="107"/>
        <w:rPr>
          <w:rFonts w:ascii="Arial" w:eastAsia="Arial" w:hAnsi="Arial" w:cs="Arial"/>
          <w:b/>
          <w:color w:val="000000"/>
          <w:sz w:val="24"/>
          <w:szCs w:val="24"/>
        </w:rPr>
      </w:pPr>
    </w:p>
    <w:p w14:paraId="44CF3161" w14:textId="77777777" w:rsidR="007A7D1B" w:rsidRDefault="007A7D1B">
      <w:pPr>
        <w:ind w:left="3600" w:right="107"/>
        <w:rPr>
          <w:rFonts w:ascii="Arial" w:eastAsia="Arial" w:hAnsi="Arial" w:cs="Arial"/>
          <w:b/>
          <w:color w:val="000000"/>
          <w:sz w:val="24"/>
          <w:szCs w:val="24"/>
        </w:rPr>
      </w:pPr>
    </w:p>
    <w:p w14:paraId="5BA62F54" w14:textId="77777777" w:rsidR="007A7D1B" w:rsidRDefault="0032684D">
      <w:pPr>
        <w:rPr>
          <w:rFonts w:ascii="Arial" w:eastAsia="Arial" w:hAnsi="Arial" w:cs="Arial"/>
          <w:b/>
          <w:i/>
          <w:sz w:val="24"/>
          <w:szCs w:val="24"/>
        </w:rPr>
      </w:pPr>
      <w:r>
        <w:rPr>
          <w:rFonts w:ascii="Arial" w:eastAsia="Arial" w:hAnsi="Arial" w:cs="Arial"/>
          <w:b/>
          <w:i/>
          <w:sz w:val="24"/>
          <w:szCs w:val="24"/>
        </w:rPr>
        <w:t>Task 2: Safeguarding and Risk Assessment</w:t>
      </w:r>
    </w:p>
    <w:p w14:paraId="1172823C" w14:textId="77777777" w:rsidR="007A7D1B" w:rsidRDefault="007A7D1B"/>
    <w:tbl>
      <w:tblPr>
        <w:tblStyle w:val="a2"/>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7A7D1B" w14:paraId="5F7AD7FB" w14:textId="77777777">
        <w:tc>
          <w:tcPr>
            <w:tcW w:w="9015" w:type="dxa"/>
          </w:tcPr>
          <w:p w14:paraId="70FAEDAB" w14:textId="77777777" w:rsidR="007A7D1B" w:rsidRPr="008A22CA" w:rsidRDefault="0032684D" w:rsidP="007E5C88">
            <w:pPr>
              <w:contextualSpacing/>
              <w:rPr>
                <w:rFonts w:ascii="Aptos" w:eastAsia="Arial" w:hAnsi="Aptos" w:cs="Arial"/>
                <w:b/>
                <w:color w:val="000000"/>
                <w:sz w:val="24"/>
                <w:szCs w:val="24"/>
              </w:rPr>
            </w:pPr>
            <w:r w:rsidRPr="008A22CA">
              <w:rPr>
                <w:rFonts w:ascii="Aptos" w:eastAsia="Arial" w:hAnsi="Aptos" w:cs="Arial"/>
                <w:sz w:val="24"/>
                <w:szCs w:val="24"/>
              </w:rPr>
              <w:t>Choose an investigation from your practice in which you played a significant part where vulnerable people were exploited (either as victims, witnesses or both) and provide brief details of the incident.</w:t>
            </w:r>
          </w:p>
          <w:p w14:paraId="657CA9F6" w14:textId="77777777" w:rsidR="007A7D1B" w:rsidRPr="008A22CA" w:rsidRDefault="007A7D1B" w:rsidP="007E5C88">
            <w:pPr>
              <w:contextualSpacing/>
              <w:rPr>
                <w:rFonts w:ascii="Aptos" w:eastAsia="Arial" w:hAnsi="Aptos" w:cs="Arial"/>
                <w:sz w:val="24"/>
                <w:szCs w:val="24"/>
              </w:rPr>
            </w:pPr>
          </w:p>
          <w:p w14:paraId="7A91317C" w14:textId="77777777" w:rsidR="007A7D1B" w:rsidRPr="008A22CA" w:rsidRDefault="0032684D" w:rsidP="007E5C88">
            <w:pPr>
              <w:numPr>
                <w:ilvl w:val="0"/>
                <w:numId w:val="5"/>
              </w:numPr>
              <w:pBdr>
                <w:top w:val="nil"/>
                <w:left w:val="nil"/>
                <w:bottom w:val="nil"/>
                <w:right w:val="nil"/>
                <w:between w:val="nil"/>
              </w:pBdr>
              <w:contextualSpacing/>
              <w:rPr>
                <w:rFonts w:ascii="Aptos" w:eastAsia="Arial" w:hAnsi="Aptos" w:cs="Arial"/>
                <w:color w:val="000000"/>
                <w:sz w:val="24"/>
                <w:szCs w:val="24"/>
              </w:rPr>
            </w:pPr>
            <w:r w:rsidRPr="008A22CA">
              <w:rPr>
                <w:rFonts w:ascii="Aptos" w:eastAsia="Arial" w:hAnsi="Aptos" w:cs="Arial"/>
                <w:b/>
                <w:color w:val="000000"/>
                <w:sz w:val="24"/>
                <w:szCs w:val="24"/>
              </w:rPr>
              <w:t>Describe</w:t>
            </w:r>
            <w:r w:rsidRPr="008A22CA">
              <w:rPr>
                <w:rFonts w:ascii="Aptos" w:eastAsia="Arial" w:hAnsi="Aptos" w:cs="Arial"/>
                <w:color w:val="000000"/>
                <w:sz w:val="24"/>
                <w:szCs w:val="24"/>
              </w:rPr>
              <w:t xml:space="preserve"> the crime types involved and </w:t>
            </w:r>
            <w:r w:rsidRPr="008A22CA">
              <w:rPr>
                <w:rFonts w:ascii="Aptos" w:eastAsia="Arial" w:hAnsi="Aptos" w:cs="Arial"/>
                <w:b/>
                <w:color w:val="000000"/>
                <w:sz w:val="24"/>
                <w:szCs w:val="24"/>
              </w:rPr>
              <w:t>discuss</w:t>
            </w:r>
            <w:r w:rsidRPr="008A22CA">
              <w:rPr>
                <w:rFonts w:ascii="Aptos" w:eastAsia="Arial" w:hAnsi="Aptos" w:cs="Arial"/>
                <w:color w:val="000000"/>
                <w:sz w:val="24"/>
                <w:szCs w:val="24"/>
              </w:rPr>
              <w:t xml:space="preserve"> the difficulties and obstacles that you faced in identifying and investigating these crimes. </w:t>
            </w:r>
          </w:p>
          <w:p w14:paraId="2F244A33" w14:textId="77777777" w:rsidR="007A7D1B" w:rsidRPr="008A22CA" w:rsidRDefault="0032684D" w:rsidP="007E5C88">
            <w:pPr>
              <w:numPr>
                <w:ilvl w:val="0"/>
                <w:numId w:val="5"/>
              </w:numPr>
              <w:pBdr>
                <w:top w:val="nil"/>
                <w:left w:val="nil"/>
                <w:bottom w:val="nil"/>
                <w:right w:val="nil"/>
                <w:between w:val="nil"/>
              </w:pBdr>
              <w:contextualSpacing/>
              <w:rPr>
                <w:rFonts w:ascii="Aptos" w:eastAsia="Arial" w:hAnsi="Aptos" w:cs="Arial"/>
                <w:color w:val="000000"/>
                <w:sz w:val="24"/>
                <w:szCs w:val="24"/>
              </w:rPr>
            </w:pPr>
            <w:r w:rsidRPr="008A22CA">
              <w:rPr>
                <w:rFonts w:ascii="Aptos" w:eastAsia="Arial" w:hAnsi="Aptos" w:cs="Arial"/>
                <w:b/>
                <w:color w:val="000000"/>
                <w:sz w:val="24"/>
                <w:szCs w:val="24"/>
              </w:rPr>
              <w:lastRenderedPageBreak/>
              <w:t xml:space="preserve">Critically evaluate </w:t>
            </w:r>
            <w:r w:rsidRPr="008A22CA">
              <w:rPr>
                <w:rFonts w:ascii="Aptos" w:eastAsia="Arial" w:hAnsi="Aptos" w:cs="Arial"/>
                <w:color w:val="000000"/>
                <w:sz w:val="24"/>
                <w:szCs w:val="24"/>
              </w:rPr>
              <w:t xml:space="preserve">the effectiveness of the investigative methods and legal processes that can be used to overcome these obstacles </w:t>
            </w:r>
            <w:proofErr w:type="gramStart"/>
            <w:r w:rsidRPr="008A22CA">
              <w:rPr>
                <w:rFonts w:ascii="Aptos" w:eastAsia="Arial" w:hAnsi="Aptos" w:cs="Arial"/>
                <w:color w:val="000000"/>
                <w:sz w:val="24"/>
                <w:szCs w:val="24"/>
              </w:rPr>
              <w:t>in order to</w:t>
            </w:r>
            <w:proofErr w:type="gramEnd"/>
            <w:r w:rsidRPr="008A22CA">
              <w:rPr>
                <w:rFonts w:ascii="Aptos" w:eastAsia="Arial" w:hAnsi="Aptos" w:cs="Arial"/>
                <w:color w:val="000000"/>
                <w:sz w:val="24"/>
                <w:szCs w:val="24"/>
              </w:rPr>
              <w:t xml:space="preserve"> successfully support vulnerable victims and witnesses.</w:t>
            </w:r>
          </w:p>
          <w:p w14:paraId="1E3F4C96" w14:textId="77777777" w:rsidR="007A7D1B" w:rsidRPr="008A22CA" w:rsidRDefault="007A7D1B" w:rsidP="007E5C88">
            <w:pPr>
              <w:contextualSpacing/>
              <w:rPr>
                <w:rFonts w:ascii="Aptos" w:eastAsia="Arial" w:hAnsi="Aptos" w:cs="Arial"/>
                <w:color w:val="000000"/>
                <w:sz w:val="24"/>
                <w:szCs w:val="24"/>
              </w:rPr>
            </w:pPr>
          </w:p>
          <w:p w14:paraId="7D69E9F5" w14:textId="77777777" w:rsidR="007A7D1B" w:rsidRPr="008A22CA" w:rsidRDefault="0032684D" w:rsidP="007E5C88">
            <w:pPr>
              <w:contextualSpacing/>
              <w:rPr>
                <w:rFonts w:ascii="Aptos" w:eastAsia="Arial" w:hAnsi="Aptos" w:cs="Arial"/>
                <w:sz w:val="24"/>
                <w:szCs w:val="24"/>
              </w:rPr>
            </w:pPr>
            <w:r w:rsidRPr="008A22CA">
              <w:rPr>
                <w:rFonts w:ascii="Aptos" w:eastAsia="Arial" w:hAnsi="Aptos" w:cs="Arial"/>
                <w:b/>
                <w:color w:val="000000"/>
                <w:sz w:val="24"/>
                <w:szCs w:val="24"/>
              </w:rPr>
              <w:t>2000 words</w:t>
            </w:r>
            <w:r w:rsidRPr="008A22CA">
              <w:rPr>
                <w:rFonts w:ascii="Aptos" w:eastAsia="Arial" w:hAnsi="Aptos" w:cs="Arial"/>
                <w:color w:val="000000"/>
                <w:sz w:val="24"/>
                <w:szCs w:val="24"/>
              </w:rPr>
              <w:t xml:space="preserve"> </w:t>
            </w:r>
            <w:r w:rsidRPr="008A22CA">
              <w:rPr>
                <w:rFonts w:ascii="Aptos" w:eastAsia="Arial" w:hAnsi="Aptos" w:cs="Arial"/>
                <w:i/>
                <w:color w:val="000000"/>
                <w:sz w:val="24"/>
                <w:szCs w:val="24"/>
              </w:rPr>
              <w:t>(+/- 10%: include your actual word count at the end of each section)</w:t>
            </w:r>
          </w:p>
          <w:p w14:paraId="690F93DD" w14:textId="77777777" w:rsidR="007A7D1B" w:rsidRPr="008A22CA" w:rsidRDefault="007A7D1B" w:rsidP="007E5C88">
            <w:pPr>
              <w:contextualSpacing/>
              <w:rPr>
                <w:rFonts w:ascii="Aptos" w:eastAsia="Arial" w:hAnsi="Aptos" w:cs="Arial"/>
                <w:i/>
                <w:color w:val="000000"/>
                <w:sz w:val="24"/>
                <w:szCs w:val="24"/>
              </w:rPr>
            </w:pPr>
          </w:p>
          <w:p w14:paraId="2AD1AF26" w14:textId="64605B2D" w:rsidR="00B94159" w:rsidRPr="003D62F0" w:rsidRDefault="00B94159" w:rsidP="007E5C88">
            <w:pPr>
              <w:contextualSpacing/>
              <w:rPr>
                <w:rFonts w:ascii="Aptos" w:eastAsia="Times New Roman" w:hAnsi="Aptos" w:cs="Arial"/>
                <w:b/>
                <w:bCs/>
                <w:color w:val="000000"/>
                <w:kern w:val="36"/>
                <w:sz w:val="24"/>
                <w:szCs w:val="24"/>
              </w:rPr>
            </w:pPr>
            <w:r w:rsidRPr="00B94159">
              <w:rPr>
                <w:rFonts w:ascii="Aptos" w:eastAsia="Times New Roman" w:hAnsi="Aptos" w:cs="Arial"/>
                <w:b/>
                <w:bCs/>
                <w:color w:val="000000"/>
                <w:kern w:val="36"/>
                <w:sz w:val="24"/>
                <w:szCs w:val="24"/>
              </w:rPr>
              <w:t>A Critical Evaluation of Investigative Challenges, Safeguarding and Legal Processes in a UK Sexual Exploitation Operation</w:t>
            </w:r>
          </w:p>
          <w:p w14:paraId="2D4CA33F" w14:textId="77777777" w:rsidR="007E5C88" w:rsidRPr="00B94159" w:rsidRDefault="007E5C88" w:rsidP="007E5C88">
            <w:pPr>
              <w:contextualSpacing/>
              <w:rPr>
                <w:rFonts w:ascii="Aptos" w:eastAsia="Times New Roman" w:hAnsi="Aptos" w:cs="Arial"/>
                <w:b/>
                <w:bCs/>
                <w:color w:val="000000"/>
                <w:kern w:val="36"/>
                <w:sz w:val="24"/>
                <w:szCs w:val="24"/>
              </w:rPr>
            </w:pPr>
          </w:p>
          <w:p w14:paraId="2463AF67" w14:textId="78179DCA" w:rsidR="008A22CA" w:rsidRPr="003D62F0" w:rsidRDefault="008A22CA" w:rsidP="007E5C88">
            <w:pPr>
              <w:contextualSpacing/>
              <w:rPr>
                <w:rFonts w:ascii="Aptos" w:eastAsia="Times New Roman" w:hAnsi="Aptos" w:cs="Arial"/>
                <w:b/>
                <w:bCs/>
                <w:color w:val="000000"/>
                <w:sz w:val="24"/>
                <w:szCs w:val="24"/>
              </w:rPr>
            </w:pPr>
            <w:r w:rsidRPr="003D62F0">
              <w:rPr>
                <w:rFonts w:ascii="Aptos" w:eastAsia="Times New Roman" w:hAnsi="Aptos" w:cs="Arial"/>
                <w:b/>
                <w:bCs/>
                <w:color w:val="000000"/>
                <w:sz w:val="24"/>
                <w:szCs w:val="24"/>
              </w:rPr>
              <w:t xml:space="preserve">Task A, </w:t>
            </w:r>
            <w:r w:rsidR="00B94159" w:rsidRPr="00B94159">
              <w:rPr>
                <w:rFonts w:ascii="Aptos" w:eastAsia="Times New Roman" w:hAnsi="Aptos" w:cs="Arial"/>
                <w:b/>
                <w:bCs/>
                <w:color w:val="000000"/>
                <w:sz w:val="24"/>
                <w:szCs w:val="24"/>
              </w:rPr>
              <w:t>Introduction</w:t>
            </w:r>
          </w:p>
          <w:p w14:paraId="2E371EAD" w14:textId="4A651F04"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Modern slavery and human trafficking (MSHT) remain among the most complex forms of organised crime encountered by UK police services. Sexual exploitation investigations are particularly difficult because victims are frequently vulnerable migrants controlled through coercion, debt bondage, intimidation and psychological dependency rather than overt violence (Home Office, 2021). The Modern Slavery Act 2015 strengthened the legislative framework for tackling trafficking and exploitation, yet successful prosecutions remain comparatively limited due to evidential difficulties, victim disengagement and the hidden nature of offending.</w:t>
            </w:r>
          </w:p>
          <w:p w14:paraId="13A0A678" w14:textId="17622182"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This essay critically evaluates an investigation in which I acted as Deputy Senior Investigating Officer (SIO) during a UK-wide operation targeting a Chinese organised crime group (OCG) managing sex workers across the United Kingdom. During enforcement activity in Lancashire, dozens of mobile phones were recovered, each linked to activity in different UK locations. One active device related to a female operating in Fife, Scotland. Immediate safeguarding action was coordinated with Police Scotland, leading to the recovery of a vulnerable Chinese female national.</w:t>
            </w:r>
          </w:p>
          <w:p w14:paraId="151F1859"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investigation presented multiple challenges including language barriers, digital forensic demand, cross-border coordination and victim reluctance to support prosecution. Although the female admitted engaging in sex work through Language Line interpretation, she declined to support criminal proceedings. Digital evidence, financial investigation and scene examination ultimately enabled charges relating to money laundering and managing a brothel against principal suspects.</w:t>
            </w:r>
          </w:p>
          <w:p w14:paraId="64F5BE22" w14:textId="77777777" w:rsidR="00B94159" w:rsidRPr="003D62F0"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This essay critically examines the crime types involved, the investigative obstacles encountered and the effectiveness of investigative methods and legal processes used to support vulnerable victims and pursue offenders.</w:t>
            </w:r>
          </w:p>
          <w:p w14:paraId="02B81A25" w14:textId="77777777" w:rsidR="007E5C88" w:rsidRPr="00B94159" w:rsidRDefault="007E5C88" w:rsidP="007E5C88">
            <w:pPr>
              <w:contextualSpacing/>
              <w:rPr>
                <w:rFonts w:ascii="Aptos" w:eastAsia="Aptos" w:hAnsi="Aptos" w:cs="Arial"/>
                <w:color w:val="000000"/>
                <w:sz w:val="24"/>
                <w:szCs w:val="24"/>
              </w:rPr>
            </w:pPr>
          </w:p>
          <w:p w14:paraId="13D646C3" w14:textId="77777777" w:rsidR="00B94159" w:rsidRPr="00B94159" w:rsidRDefault="00B94159" w:rsidP="007E5C88">
            <w:pPr>
              <w:contextualSpacing/>
              <w:rPr>
                <w:rFonts w:ascii="Aptos" w:eastAsia="Times New Roman" w:hAnsi="Aptos" w:cs="Arial"/>
                <w:b/>
                <w:bCs/>
                <w:color w:val="000000"/>
                <w:sz w:val="24"/>
                <w:szCs w:val="24"/>
              </w:rPr>
            </w:pPr>
            <w:r w:rsidRPr="00B94159">
              <w:rPr>
                <w:rFonts w:ascii="Aptos" w:eastAsia="Times New Roman" w:hAnsi="Aptos" w:cs="Arial"/>
                <w:b/>
                <w:bCs/>
                <w:color w:val="000000"/>
                <w:sz w:val="24"/>
                <w:szCs w:val="24"/>
              </w:rPr>
              <w:t>Crime Types and Investigative Challenges</w:t>
            </w:r>
          </w:p>
          <w:p w14:paraId="1E6562B6"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investigation involved interconnected offences relating to organised prostitution management, suspected human trafficking and money laundering under the Proceeds of Crime Act 2002. The offending reflected contemporary organised criminality, where transnational OCGs utilise digital technology and vulnerable migrant victims to facilitate sexual exploitation across multiple jurisdictions.</w:t>
            </w:r>
          </w:p>
          <w:p w14:paraId="3288989D"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Research demonstrates that modern slavery investigations involving sexual exploitation are heavily associated with migrant vulnerability and hidden offending environments (</w:t>
            </w:r>
            <w:proofErr w:type="spellStart"/>
            <w:r w:rsidRPr="00B94159">
              <w:rPr>
                <w:rFonts w:ascii="Aptos" w:eastAsia="Aptos" w:hAnsi="Aptos" w:cs="Arial"/>
                <w:color w:val="000000"/>
                <w:sz w:val="24"/>
                <w:szCs w:val="24"/>
              </w:rPr>
              <w:t>Lightowlers</w:t>
            </w:r>
            <w:proofErr w:type="spellEnd"/>
            <w:r w:rsidRPr="00B94159">
              <w:rPr>
                <w:rFonts w:ascii="Aptos" w:eastAsia="Aptos" w:hAnsi="Aptos" w:cs="Arial"/>
                <w:color w:val="000000"/>
                <w:sz w:val="24"/>
                <w:szCs w:val="24"/>
              </w:rPr>
              <w:t xml:space="preserve">, Broad and Gadd, 2021). A major challenge is that victims frequently do not self-identify as exploited due to fear, dependency or immigration insecurity. Murphy (2021) argues that criminal justice agencies continue to rely too </w:t>
            </w:r>
            <w:r w:rsidRPr="00B94159">
              <w:rPr>
                <w:rFonts w:ascii="Aptos" w:eastAsia="Aptos" w:hAnsi="Aptos" w:cs="Arial"/>
                <w:color w:val="000000"/>
                <w:sz w:val="24"/>
                <w:szCs w:val="24"/>
              </w:rPr>
              <w:lastRenderedPageBreak/>
              <w:t>heavily upon visible indicators of coercion despite exploitation increasingly involving psychological control rather than physical restraint.</w:t>
            </w:r>
          </w:p>
          <w:p w14:paraId="3D53973A"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This was directly relevant within the present investigation. The female recovered in Scotland acknowledged involvement in sex work but did not initially present as a stereotypical trafficking victim. Without a trauma-informed approach, investigators may have incorrectly interpreted her reluctance as evidence that exploitation was absent.</w:t>
            </w:r>
          </w:p>
          <w:p w14:paraId="4ADD5DE4" w14:textId="77777777" w:rsidR="00B94159" w:rsidRPr="003D62F0"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Murphy’s analysis is particularly persuasive because it challenges outdated assumptions surrounding trafficking. However, a limitation of the argument is that prosecutors still require evidence capable of satisfying the criminal standard of proof. Consequently, although psychological coercion is recognised academically, evidential thresholds remain difficult to achieve operationally.</w:t>
            </w:r>
          </w:p>
          <w:p w14:paraId="190B0153" w14:textId="77777777" w:rsidR="007E5C88" w:rsidRPr="00B94159" w:rsidRDefault="007E5C88" w:rsidP="007E5C88">
            <w:pPr>
              <w:contextualSpacing/>
              <w:rPr>
                <w:rFonts w:ascii="Aptos" w:eastAsia="Aptos" w:hAnsi="Aptos" w:cs="Arial"/>
                <w:color w:val="000000"/>
                <w:sz w:val="24"/>
                <w:szCs w:val="24"/>
              </w:rPr>
            </w:pPr>
          </w:p>
          <w:p w14:paraId="2967DB28" w14:textId="77777777" w:rsidR="00B94159" w:rsidRPr="00B94159" w:rsidRDefault="00B94159" w:rsidP="007E5C88">
            <w:pPr>
              <w:contextualSpacing/>
              <w:rPr>
                <w:rFonts w:ascii="Aptos" w:eastAsia="Times New Roman" w:hAnsi="Aptos" w:cs="Arial"/>
                <w:b/>
                <w:bCs/>
                <w:color w:val="000000"/>
                <w:sz w:val="24"/>
                <w:szCs w:val="24"/>
              </w:rPr>
            </w:pPr>
            <w:r w:rsidRPr="00B94159">
              <w:rPr>
                <w:rFonts w:ascii="Aptos" w:eastAsia="Times New Roman" w:hAnsi="Aptos" w:cs="Arial"/>
                <w:b/>
                <w:bCs/>
                <w:color w:val="000000"/>
                <w:sz w:val="24"/>
                <w:szCs w:val="24"/>
              </w:rPr>
              <w:t>Language Barriers and Victim Engagement</w:t>
            </w:r>
          </w:p>
          <w:p w14:paraId="104F5384" w14:textId="0B3617B8" w:rsidR="00B94159" w:rsidRPr="00B94159" w:rsidRDefault="007E5C88" w:rsidP="007E5C88">
            <w:pPr>
              <w:contextualSpacing/>
              <w:rPr>
                <w:rFonts w:ascii="Aptos" w:eastAsia="Aptos" w:hAnsi="Aptos" w:cs="Arial"/>
                <w:color w:val="000000"/>
                <w:sz w:val="24"/>
                <w:szCs w:val="24"/>
              </w:rPr>
            </w:pPr>
            <w:r w:rsidRPr="003D62F0">
              <w:rPr>
                <w:rFonts w:ascii="Aptos" w:eastAsia="Aptos" w:hAnsi="Aptos" w:cs="Arial"/>
                <w:color w:val="000000"/>
                <w:sz w:val="24"/>
                <w:szCs w:val="24"/>
              </w:rPr>
              <w:t>The</w:t>
            </w:r>
            <w:r w:rsidR="00B94159" w:rsidRPr="00B94159">
              <w:rPr>
                <w:rFonts w:ascii="Aptos" w:eastAsia="Aptos" w:hAnsi="Aptos" w:cs="Arial"/>
                <w:color w:val="000000"/>
                <w:sz w:val="24"/>
                <w:szCs w:val="24"/>
              </w:rPr>
              <w:t xml:space="preserve"> greatest challenge involved communication with the victim. The female spoke limited English and investigators relied upon Language Line interpretation services during safeguarding and evidential processes.</w:t>
            </w:r>
          </w:p>
          <w:p w14:paraId="4E43BB74"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Broad and Turnbull (2019) argue that migrant victims may distrust authorities due to immigration fears and previous negative experiences of state agencies. A strength of this perspective is that it explains why vulnerable victims frequently disengage from criminal justice processes despite safeguarding interventions.</w:t>
            </w:r>
          </w:p>
          <w:p w14:paraId="177B3C71"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This was evident in the present operation, where the victim ultimately declined to support prosecution. Although immediate safeguarding was successful, long-term engagement remained limited.</w:t>
            </w:r>
          </w:p>
          <w:p w14:paraId="6DCA72B8"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However, Broad and Turnbull’s analysis focuses heavily upon structural criticism of immigration and anti-trafficking policy whilst providing limited practical consideration of operational policing realities. In practice, investigators must make rapid safeguarding decisions whilst simultaneously managing evidential opportunities and ongoing risks posed by organised criminals.</w:t>
            </w:r>
          </w:p>
          <w:p w14:paraId="0A9FFB7A"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Interpretation services themselves also presented limitations. Whilst Language Line enabled urgent communication, telephone interpretation lacks the rapport-building advantages associated with specialist face-to-face interpreters. Trauma-informed interviewing relies heavily upon trust and communication nuance, both of which may be reduced through remote interpretation.</w:t>
            </w:r>
          </w:p>
          <w:p w14:paraId="367F29E6" w14:textId="77777777" w:rsidR="00B94159" w:rsidRPr="003D62F0"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Nevertheless, the use of interpretation services remained operationally necessary. Delaying intervention until specialist interpreters became available could have exposed the victim to continued exploitation or relocation by the OCG.</w:t>
            </w:r>
          </w:p>
          <w:p w14:paraId="39859362" w14:textId="77777777" w:rsidR="007E5C88" w:rsidRPr="00B94159" w:rsidRDefault="007E5C88" w:rsidP="007E5C88">
            <w:pPr>
              <w:contextualSpacing/>
              <w:rPr>
                <w:rFonts w:ascii="Aptos" w:eastAsia="Aptos" w:hAnsi="Aptos" w:cs="Arial"/>
                <w:color w:val="000000"/>
                <w:sz w:val="24"/>
                <w:szCs w:val="24"/>
              </w:rPr>
            </w:pPr>
          </w:p>
          <w:p w14:paraId="47772755" w14:textId="77777777" w:rsidR="00B94159" w:rsidRPr="00B94159" w:rsidRDefault="00B94159" w:rsidP="007E5C88">
            <w:pPr>
              <w:contextualSpacing/>
              <w:rPr>
                <w:rFonts w:ascii="Aptos" w:eastAsia="Times New Roman" w:hAnsi="Aptos" w:cs="Arial"/>
                <w:b/>
                <w:bCs/>
                <w:color w:val="000000"/>
                <w:sz w:val="24"/>
                <w:szCs w:val="24"/>
              </w:rPr>
            </w:pPr>
            <w:r w:rsidRPr="00B94159">
              <w:rPr>
                <w:rFonts w:ascii="Aptos" w:eastAsia="Times New Roman" w:hAnsi="Aptos" w:cs="Arial"/>
                <w:b/>
                <w:bCs/>
                <w:color w:val="000000"/>
                <w:sz w:val="24"/>
                <w:szCs w:val="24"/>
              </w:rPr>
              <w:t>Digital Evidence and Forensic Pressures</w:t>
            </w:r>
          </w:p>
          <w:p w14:paraId="412CCC5C"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A major investigative challenge involved the recovery of dozens of mobile phones linked to prostitution activity across the UK. Digital devices were central to the investigation because they contained communications, contact networks and financial evidence.</w:t>
            </w:r>
          </w:p>
          <w:p w14:paraId="6EA8AF26"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 xml:space="preserve">Wilson-Kovacs (2021) argues that digital evidence has transformed modern policing whilst simultaneously creating significant organisational pressure due to forensic backlogs and escalating demand. The strength of Wilson-Kovacs’ research lies in its </w:t>
            </w:r>
            <w:r w:rsidRPr="00B94159">
              <w:rPr>
                <w:rFonts w:ascii="Aptos" w:eastAsia="Aptos" w:hAnsi="Aptos" w:cs="Arial"/>
                <w:color w:val="000000"/>
                <w:sz w:val="24"/>
                <w:szCs w:val="24"/>
              </w:rPr>
              <w:lastRenderedPageBreak/>
              <w:t>ethnographic methodology, which captures the lived experiences of digital investigators and reflects operational realities.</w:t>
            </w:r>
          </w:p>
          <w:p w14:paraId="58543AD1"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present investigation clearly reflected these pressures. Investigators had to rapidly prioritise devices to identify safeguarding opportunities. The active device linked to Fife demonstrated the importance of effective digital triage because timely analysis directly enabled victim recovery.</w:t>
            </w:r>
          </w:p>
          <w:p w14:paraId="32614110"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Wilson-Kovacs and Wilcox (2023) further argue that risk-based prioritisation models are increasingly necessary due to the unrealistic volume of digital material seized in modern investigations. This argument is convincing because policing resources remain finite and safeguarding priorities require urgent decision-making.</w:t>
            </w:r>
          </w:p>
          <w:p w14:paraId="5809D42F"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However, prioritisation also creates evidential risks. Lower-priority devices may contain important intelligence or corroborative evidence that remains unidentified. Consequently, whilst digital triage improves operational efficiency, it may undermine evidential completeness.</w:t>
            </w:r>
          </w:p>
          <w:p w14:paraId="0C1DF2F5"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investigation also demonstrated the financial and operational burden of translation. Many communications were written in Mandarin, requiring extensive translation services. Translation delays affected investigative progression and created additional disclosure considerations.</w:t>
            </w:r>
          </w:p>
          <w:p w14:paraId="73FE5959" w14:textId="1B778EED" w:rsidR="00B94159" w:rsidRPr="003D62F0"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 xml:space="preserve">Research concerning cross-border digital investigations also highlights legal complexity surrounding evidence sharing and procedural consistency (Casino et al., 2022). This became relevant when coordinating safeguarding and evidence gathering between </w:t>
            </w:r>
            <w:r w:rsidR="00CE382F" w:rsidRPr="003D62F0">
              <w:rPr>
                <w:rFonts w:ascii="Aptos" w:eastAsia="Aptos" w:hAnsi="Aptos" w:cs="Arial"/>
                <w:color w:val="000000"/>
                <w:sz w:val="24"/>
                <w:szCs w:val="24"/>
              </w:rPr>
              <w:t>England</w:t>
            </w:r>
            <w:r w:rsidRPr="00B94159">
              <w:rPr>
                <w:rFonts w:ascii="Aptos" w:eastAsia="Aptos" w:hAnsi="Aptos" w:cs="Arial"/>
                <w:color w:val="000000"/>
                <w:sz w:val="24"/>
                <w:szCs w:val="24"/>
              </w:rPr>
              <w:t xml:space="preserve"> and Scotland.</w:t>
            </w:r>
          </w:p>
          <w:p w14:paraId="7B891700" w14:textId="77777777" w:rsidR="007E5C88" w:rsidRPr="00B94159" w:rsidRDefault="007E5C88" w:rsidP="007E5C88">
            <w:pPr>
              <w:contextualSpacing/>
              <w:rPr>
                <w:rFonts w:ascii="Aptos" w:eastAsia="Aptos" w:hAnsi="Aptos" w:cs="Arial"/>
                <w:color w:val="000000"/>
                <w:sz w:val="24"/>
                <w:szCs w:val="24"/>
              </w:rPr>
            </w:pPr>
          </w:p>
          <w:p w14:paraId="7FB69BF2" w14:textId="77777777" w:rsidR="00B94159" w:rsidRPr="00B94159" w:rsidRDefault="00B94159" w:rsidP="007E5C88">
            <w:pPr>
              <w:contextualSpacing/>
              <w:rPr>
                <w:rFonts w:ascii="Aptos" w:eastAsia="Times New Roman" w:hAnsi="Aptos" w:cs="Arial"/>
                <w:b/>
                <w:bCs/>
                <w:color w:val="000000"/>
                <w:sz w:val="24"/>
                <w:szCs w:val="24"/>
              </w:rPr>
            </w:pPr>
            <w:r w:rsidRPr="00B94159">
              <w:rPr>
                <w:rFonts w:ascii="Aptos" w:eastAsia="Times New Roman" w:hAnsi="Aptos" w:cs="Arial"/>
                <w:b/>
                <w:bCs/>
                <w:color w:val="000000"/>
                <w:sz w:val="24"/>
                <w:szCs w:val="24"/>
              </w:rPr>
              <w:t>Cross-Border Coordination and Safeguarding</w:t>
            </w:r>
          </w:p>
          <w:p w14:paraId="1B89936B"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Cross-border policing represented another operational challenge. Once the active phone identified a vulnerable female in Scotland, immediate coordination with Police Scotland became necessary.</w:t>
            </w:r>
          </w:p>
          <w:p w14:paraId="07E93722"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Pajon and Walsh (2024) argue that modern slavery investigations frequently involve tensions between safeguarding vulnerable victims and securing prosecutable evidence against organised offenders. A major strength of their work is its operational relevance, as it directly analyses real trafficking investigations.</w:t>
            </w:r>
          </w:p>
          <w:p w14:paraId="18F4BCDD" w14:textId="62C2D545"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This tension was evident within the operation. Immediate safeguarding of the victim was ethically and operationally essential, yet rapid intervention risked disrupting wider intelligence opportunities.</w:t>
            </w:r>
          </w:p>
          <w:p w14:paraId="7FFE35E2"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study effectively reflects the balancing exercise required in modern slavery policing. However, its findings are based upon relatively small-scale qualitative case studies, limiting wider generalisability.</w:t>
            </w:r>
          </w:p>
          <w:p w14:paraId="566629DE" w14:textId="77777777" w:rsidR="00B94159" w:rsidRPr="003D62F0"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Despite these challenges, the safeguarding response demonstrated effective multi-agency coordination. Police Scotland rapidly secured the victim, whilst scene examination and digital seizure created evidential opportunities. The operation therefore highlighted the importance of intelligence-led safeguarding and national policing cooperation.</w:t>
            </w:r>
          </w:p>
          <w:p w14:paraId="392F79DD" w14:textId="77777777" w:rsidR="007E5C88" w:rsidRPr="00B94159" w:rsidRDefault="007E5C88" w:rsidP="007E5C88">
            <w:pPr>
              <w:contextualSpacing/>
              <w:rPr>
                <w:rFonts w:ascii="Aptos" w:eastAsia="Aptos" w:hAnsi="Aptos" w:cs="Arial"/>
                <w:color w:val="000000"/>
                <w:sz w:val="24"/>
                <w:szCs w:val="24"/>
              </w:rPr>
            </w:pPr>
          </w:p>
          <w:p w14:paraId="2F1A09B3" w14:textId="2626E0B1" w:rsidR="00B94159" w:rsidRPr="00B94159" w:rsidRDefault="008A22CA" w:rsidP="007E5C88">
            <w:pPr>
              <w:contextualSpacing/>
              <w:rPr>
                <w:rFonts w:ascii="Aptos" w:eastAsia="Times New Roman" w:hAnsi="Aptos" w:cs="Arial"/>
                <w:b/>
                <w:bCs/>
                <w:color w:val="000000"/>
                <w:sz w:val="24"/>
                <w:szCs w:val="24"/>
              </w:rPr>
            </w:pPr>
            <w:r w:rsidRPr="003D62F0">
              <w:rPr>
                <w:rFonts w:ascii="Aptos" w:eastAsia="Times New Roman" w:hAnsi="Aptos" w:cs="Arial"/>
                <w:b/>
                <w:bCs/>
                <w:color w:val="000000"/>
                <w:sz w:val="24"/>
                <w:szCs w:val="24"/>
              </w:rPr>
              <w:t xml:space="preserve">Task B, </w:t>
            </w:r>
            <w:r w:rsidR="00B94159" w:rsidRPr="00B94159">
              <w:rPr>
                <w:rFonts w:ascii="Aptos" w:eastAsia="Times New Roman" w:hAnsi="Aptos" w:cs="Arial"/>
                <w:b/>
                <w:bCs/>
                <w:color w:val="000000"/>
                <w:sz w:val="24"/>
                <w:szCs w:val="24"/>
              </w:rPr>
              <w:t>Investigative Methods and Legal Processes</w:t>
            </w:r>
          </w:p>
          <w:p w14:paraId="14F2F4B7" w14:textId="72B654A3" w:rsidR="00B94159" w:rsidRPr="00B94159" w:rsidRDefault="00B94159" w:rsidP="007E5C88">
            <w:pPr>
              <w:contextualSpacing/>
              <w:rPr>
                <w:rFonts w:ascii="Aptos" w:eastAsia="Times New Roman" w:hAnsi="Aptos" w:cs="Arial"/>
                <w:b/>
                <w:bCs/>
                <w:color w:val="000000"/>
                <w:sz w:val="24"/>
                <w:szCs w:val="24"/>
              </w:rPr>
            </w:pPr>
            <w:r w:rsidRPr="00B94159">
              <w:rPr>
                <w:rFonts w:ascii="Aptos" w:eastAsia="Times New Roman" w:hAnsi="Aptos" w:cs="Arial"/>
                <w:b/>
                <w:bCs/>
                <w:color w:val="000000"/>
                <w:sz w:val="24"/>
                <w:szCs w:val="24"/>
              </w:rPr>
              <w:t>Victim-Centred and Trauma-Informed Investigation</w:t>
            </w:r>
            <w:r w:rsidR="001E3B5F" w:rsidRPr="003D62F0">
              <w:rPr>
                <w:rFonts w:ascii="Aptos" w:eastAsia="Times New Roman" w:hAnsi="Aptos" w:cs="Arial"/>
                <w:b/>
                <w:bCs/>
                <w:color w:val="000000"/>
                <w:sz w:val="24"/>
                <w:szCs w:val="24"/>
              </w:rPr>
              <w:t>.</w:t>
            </w:r>
          </w:p>
          <w:p w14:paraId="47A2DE68"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 xml:space="preserve">One of the most effective aspects of the investigation was the prioritisation of safeguarding. Modern slavery investigations increasingly emphasise victim-centred </w:t>
            </w:r>
            <w:r w:rsidRPr="00B94159">
              <w:rPr>
                <w:rFonts w:ascii="Aptos" w:eastAsia="Aptos" w:hAnsi="Aptos" w:cs="Arial"/>
                <w:color w:val="000000"/>
                <w:sz w:val="24"/>
                <w:szCs w:val="24"/>
              </w:rPr>
              <w:lastRenderedPageBreak/>
              <w:t>policing because vulnerable individuals may remain under coercive control even when they appear outwardly compliant.</w:t>
            </w:r>
          </w:p>
          <w:p w14:paraId="4E3B1206"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immediate safeguarding referral to Police Scotland reflected effective operational decision-making and compliance with safeguarding obligations under the Modern Slavery Act 2015.</w:t>
            </w:r>
          </w:p>
          <w:p w14:paraId="4B2F4CA4" w14:textId="77777777" w:rsidR="00B94159" w:rsidRPr="00B94159" w:rsidRDefault="00B94159" w:rsidP="007E5C88">
            <w:pPr>
              <w:contextualSpacing/>
              <w:rPr>
                <w:rFonts w:ascii="Aptos" w:eastAsia="Aptos" w:hAnsi="Aptos" w:cs="Arial"/>
                <w:color w:val="000000"/>
                <w:sz w:val="24"/>
                <w:szCs w:val="24"/>
              </w:rPr>
            </w:pPr>
            <w:proofErr w:type="spellStart"/>
            <w:r w:rsidRPr="00B94159">
              <w:rPr>
                <w:rFonts w:ascii="Aptos" w:eastAsia="Aptos" w:hAnsi="Aptos" w:cs="Arial"/>
                <w:color w:val="000000"/>
                <w:sz w:val="24"/>
                <w:szCs w:val="24"/>
              </w:rPr>
              <w:t>Lightowlers</w:t>
            </w:r>
            <w:proofErr w:type="spellEnd"/>
            <w:r w:rsidRPr="00B94159">
              <w:rPr>
                <w:rFonts w:ascii="Aptos" w:eastAsia="Aptos" w:hAnsi="Aptos" w:cs="Arial"/>
                <w:color w:val="000000"/>
                <w:sz w:val="24"/>
                <w:szCs w:val="24"/>
              </w:rPr>
              <w:t>, Broad and Gadd (2021) argue that trafficking victims frequently fail to conform to stereotypical assumptions of vulnerability, making trauma-informed policing essential. The strength of their research lies in its empirical analysis of police-recorded data, which demonstrates the diversity of victim experiences.</w:t>
            </w:r>
          </w:p>
          <w:p w14:paraId="709C0EF6"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This was particularly relevant because the victim did not present as physically restrained or overtly controlled. A trauma-informed approach enabled investigators to recognise broader indicators of vulnerability rather than relying solely upon visible coercion.</w:t>
            </w:r>
          </w:p>
          <w:p w14:paraId="2DF6D5F9"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 xml:space="preserve">However, the study’s reliance upon police-recorded data means hidden victim populations </w:t>
            </w:r>
            <w:proofErr w:type="gramStart"/>
            <w:r w:rsidRPr="00B94159">
              <w:rPr>
                <w:rFonts w:ascii="Aptos" w:eastAsia="Aptos" w:hAnsi="Aptos" w:cs="Arial"/>
                <w:color w:val="000000"/>
                <w:sz w:val="24"/>
                <w:szCs w:val="24"/>
              </w:rPr>
              <w:t>remain</w:t>
            </w:r>
            <w:proofErr w:type="gramEnd"/>
            <w:r w:rsidRPr="00B94159">
              <w:rPr>
                <w:rFonts w:ascii="Aptos" w:eastAsia="Aptos" w:hAnsi="Aptos" w:cs="Arial"/>
                <w:color w:val="000000"/>
                <w:sz w:val="24"/>
                <w:szCs w:val="24"/>
              </w:rPr>
              <w:t xml:space="preserve"> underrepresented. Consequently, although the research is operationally useful, it may not fully capture the scale of unreported exploitation.</w:t>
            </w:r>
          </w:p>
          <w:p w14:paraId="717B8CCB"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National Referral Mechanism (NRM) also provided a framework for safeguarding and victim support. Referral pathways potentially offered accommodation, legal support and protection.</w:t>
            </w:r>
          </w:p>
          <w:p w14:paraId="2BD531B2"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Nevertheless, the effectiveness of the NRM remains contested. Critics argue that delays, inconsistent decision-making and uncertainty surrounding immigration status undermine victim confidence (Home Office, 2021). This was reflected in the present case, where the victim remained reluctant to support prosecution despite safeguarding measures.</w:t>
            </w:r>
          </w:p>
          <w:p w14:paraId="2CE04D83"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Carvalho et al. (2024) critically argue that modern slavery policy reflects a ‘punitive-humanitarian complex’ where victim protection rhetoric coexists alongside restrictive immigration environments. The strength of this argument is that it explains why some migrant victims may distrust authorities despite safeguarding intentions.</w:t>
            </w:r>
          </w:p>
          <w:p w14:paraId="340A57E2" w14:textId="77777777" w:rsidR="00B94159" w:rsidRPr="003D62F0"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However, the article adopts a highly theoretical perspective and arguably underestimates the practical efforts undertaken by frontline safeguarding professionals.</w:t>
            </w:r>
          </w:p>
          <w:p w14:paraId="071B9735" w14:textId="77777777" w:rsidR="007E5C88" w:rsidRPr="00B94159" w:rsidRDefault="007E5C88" w:rsidP="007E5C88">
            <w:pPr>
              <w:contextualSpacing/>
              <w:rPr>
                <w:rFonts w:ascii="Aptos" w:eastAsia="Aptos" w:hAnsi="Aptos" w:cs="Arial"/>
                <w:color w:val="000000"/>
                <w:sz w:val="24"/>
                <w:szCs w:val="24"/>
              </w:rPr>
            </w:pPr>
          </w:p>
          <w:p w14:paraId="0BDA42E9" w14:textId="77777777" w:rsidR="00B94159" w:rsidRPr="00B94159" w:rsidRDefault="00B94159" w:rsidP="007E5C88">
            <w:pPr>
              <w:contextualSpacing/>
              <w:rPr>
                <w:rFonts w:ascii="Aptos" w:eastAsia="Times New Roman" w:hAnsi="Aptos" w:cs="Arial"/>
                <w:b/>
                <w:bCs/>
                <w:color w:val="000000"/>
                <w:sz w:val="24"/>
                <w:szCs w:val="24"/>
              </w:rPr>
            </w:pPr>
            <w:r w:rsidRPr="00B94159">
              <w:rPr>
                <w:rFonts w:ascii="Aptos" w:eastAsia="Times New Roman" w:hAnsi="Aptos" w:cs="Arial"/>
                <w:b/>
                <w:bCs/>
                <w:color w:val="000000"/>
                <w:sz w:val="24"/>
                <w:szCs w:val="24"/>
              </w:rPr>
              <w:t>Evidence-Led Prosecution Strategies</w:t>
            </w:r>
          </w:p>
          <w:p w14:paraId="4F4594E6"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Given the victim’s unwillingness to support proceedings, investigators adopted an evidence-led approach relying upon corroborative material rather than victim testimony alone.</w:t>
            </w:r>
          </w:p>
          <w:p w14:paraId="3B6E147F"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This represented an effective investigative strategy because modern slavery prosecutions frequently collapse due to victim disengagement. Independent evidence including digital communications, scene examination and financial investigation therefore became essential.</w:t>
            </w:r>
          </w:p>
          <w:p w14:paraId="091516EB"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Financial investigation under the Proceeds of Crime Act 2002 proved particularly effective because organised sexual exploitation is fundamentally profit-driven. Charges relating to money laundering and managing a brothel ultimately disrupted the OCG despite the absence of direct trafficking charges.</w:t>
            </w:r>
          </w:p>
          <w:p w14:paraId="091CF37E"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 xml:space="preserve">This raises an important critical issue. Some academics argue that prosecuting associated offences rather than trafficking offences risks obscuring the true scale of modern slavery offending. However, from an operational policing perspective, </w:t>
            </w:r>
            <w:r w:rsidRPr="00B94159">
              <w:rPr>
                <w:rFonts w:ascii="Aptos" w:eastAsia="Aptos" w:hAnsi="Aptos" w:cs="Arial"/>
                <w:color w:val="000000"/>
                <w:sz w:val="24"/>
                <w:szCs w:val="24"/>
              </w:rPr>
              <w:lastRenderedPageBreak/>
              <w:t>disruption-focused prosecution may represent the most realistic outcome where victims remain unwilling to cooperate.</w:t>
            </w:r>
          </w:p>
          <w:p w14:paraId="36B5CC24"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Crown Prosecution Service increasingly supports evidence-led prosecutions in cases involving vulnerable victims. This reflects recognition that trauma, fear and dependency frequently undermine witness cooperation.</w:t>
            </w:r>
          </w:p>
          <w:p w14:paraId="776550B9" w14:textId="77777777" w:rsidR="00B94159" w:rsidRPr="003D62F0"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Nevertheless, evidence-led prosecutions remain resource intensive and may still struggle to demonstrate coercion without direct victim testimony. Murphy’s (2021) analysis remains important here because psychological exploitation can be difficult to evidence evidentially despite being operationally apparent.</w:t>
            </w:r>
          </w:p>
          <w:p w14:paraId="1CA98BAE" w14:textId="77777777" w:rsidR="007E5C88" w:rsidRPr="00B94159" w:rsidRDefault="007E5C88" w:rsidP="007E5C88">
            <w:pPr>
              <w:contextualSpacing/>
              <w:rPr>
                <w:rFonts w:ascii="Aptos" w:eastAsia="Aptos" w:hAnsi="Aptos" w:cs="Arial"/>
                <w:color w:val="000000"/>
                <w:sz w:val="24"/>
                <w:szCs w:val="24"/>
              </w:rPr>
            </w:pPr>
          </w:p>
          <w:p w14:paraId="04D6CCA3" w14:textId="77777777" w:rsidR="00B94159" w:rsidRPr="00B94159" w:rsidRDefault="00B94159" w:rsidP="007E5C88">
            <w:pPr>
              <w:contextualSpacing/>
              <w:rPr>
                <w:rFonts w:ascii="Aptos" w:eastAsia="Times New Roman" w:hAnsi="Aptos" w:cs="Arial"/>
                <w:b/>
                <w:bCs/>
                <w:color w:val="000000"/>
                <w:sz w:val="24"/>
                <w:szCs w:val="24"/>
              </w:rPr>
            </w:pPr>
            <w:r w:rsidRPr="00B94159">
              <w:rPr>
                <w:rFonts w:ascii="Aptos" w:eastAsia="Times New Roman" w:hAnsi="Aptos" w:cs="Arial"/>
                <w:b/>
                <w:bCs/>
                <w:color w:val="000000"/>
                <w:sz w:val="24"/>
                <w:szCs w:val="24"/>
              </w:rPr>
              <w:t>Digital Forensics and Organised Crime Disruption</w:t>
            </w:r>
          </w:p>
          <w:p w14:paraId="3F752D68"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Digital forensic investigation was one of the most effective methods used during the operation. Mobile devices enabled investigators to identify active victims, understand the national scale of offending and develop intelligence concerning the OCG structure.</w:t>
            </w:r>
          </w:p>
          <w:p w14:paraId="0D5BBE5C"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operation reflected broader policing trends in which organised crime investigations increasingly rely upon digital intelligence. Without timely digital analysis, the victim in Scotland may not have been identified.</w:t>
            </w:r>
          </w:p>
          <w:p w14:paraId="13A27F27"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However, digital forensic investigation also exposed systemic limitations within policing capability. Wilson-Kovacs (2021) highlights that growing forensic demand continues to exceed available resources nationally.</w:t>
            </w:r>
          </w:p>
          <w:p w14:paraId="5BF4C9B1"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present investigation reflected these pressures directly. The substantial number of devices created operational strain and required difficult prioritisation decisions. Whilst safeguarding was appropriately prioritised, there remained risks that broader exploitation evidence may not be fully identified.</w:t>
            </w:r>
          </w:p>
          <w:p w14:paraId="58EA72ED"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Despite these limitations, the investigation demonstrated the effectiveness of intelligence-led organised crime disruption. By targeting financial gain, digital infrastructure and brothel management offences, investigators successfully disrupted the OCG despite evidential difficulties surrounding trafficking offences.</w:t>
            </w:r>
          </w:p>
          <w:p w14:paraId="3547CFF4" w14:textId="77777777" w:rsidR="00B94159" w:rsidRPr="003D62F0"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This reflects a pragmatic policing reality. Whilst trafficking prosecutions remain important, organised crime disruption through alternative offences may still significantly reduce harm and exploitation opportunities.</w:t>
            </w:r>
          </w:p>
          <w:p w14:paraId="1C55777D" w14:textId="77777777" w:rsidR="007E5C88" w:rsidRPr="00B94159" w:rsidRDefault="007E5C88" w:rsidP="007E5C88">
            <w:pPr>
              <w:contextualSpacing/>
              <w:rPr>
                <w:rFonts w:ascii="Aptos" w:eastAsia="Aptos" w:hAnsi="Aptos" w:cs="Arial"/>
                <w:color w:val="000000"/>
                <w:sz w:val="24"/>
                <w:szCs w:val="24"/>
              </w:rPr>
            </w:pPr>
          </w:p>
          <w:p w14:paraId="1F01A606" w14:textId="77777777" w:rsidR="00B94159" w:rsidRPr="00B94159" w:rsidRDefault="00B94159" w:rsidP="007E5C88">
            <w:pPr>
              <w:contextualSpacing/>
              <w:rPr>
                <w:rFonts w:ascii="Aptos" w:eastAsia="Times New Roman" w:hAnsi="Aptos" w:cs="Arial"/>
                <w:b/>
                <w:bCs/>
                <w:color w:val="000000"/>
                <w:sz w:val="24"/>
                <w:szCs w:val="24"/>
              </w:rPr>
            </w:pPr>
            <w:r w:rsidRPr="00B94159">
              <w:rPr>
                <w:rFonts w:ascii="Aptos" w:eastAsia="Times New Roman" w:hAnsi="Aptos" w:cs="Arial"/>
                <w:b/>
                <w:bCs/>
                <w:color w:val="000000"/>
                <w:sz w:val="24"/>
                <w:szCs w:val="24"/>
              </w:rPr>
              <w:t>Legal Frameworks and Their Effectiveness</w:t>
            </w:r>
          </w:p>
          <w:p w14:paraId="1D4AFA9D"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Modern Slavery Act 2015 strengthened the legislative response to trafficking and exploitation within England and Wales. The legislation improved sentencing powers, introduced prevention orders and enhanced victim protection frameworks.</w:t>
            </w:r>
          </w:p>
          <w:p w14:paraId="607D28FB"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Act has undoubtedly improved awareness and investigative prioritisation of modern slavery. However, the present investigation demonstrated continuing practical limitations.</w:t>
            </w:r>
          </w:p>
          <w:p w14:paraId="3C9A1E1E"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Despite indicators of organised exploitation, evidential difficulties prevented direct trafficking charges. This reflects wider national trends where referrals to the NRM continue to rise whilst prosecution rates remain comparatively low.</w:t>
            </w:r>
          </w:p>
          <w:p w14:paraId="7F82452E"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Youth Justice and Criminal Evidence Act 1999 also provides special measures designed to support vulnerable witnesses through mechanisms such as video-recorded evidence and live links.</w:t>
            </w:r>
          </w:p>
          <w:p w14:paraId="43A4DF36"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lastRenderedPageBreak/>
              <w:t>However, such measures are only effective where victims engage with criminal proceedings. In cases involving vulnerable migrant victims, engagement may remain limited despite procedural protections.</w:t>
            </w:r>
          </w:p>
          <w:p w14:paraId="2713EADE" w14:textId="77777777" w:rsidR="00B94159" w:rsidRPr="003D62F0"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Consequently, whilst the UK legislative framework is comparatively robust, operational effectiveness remains constrained by victim vulnerability, evidential complexity and resource pressures.</w:t>
            </w:r>
          </w:p>
          <w:p w14:paraId="4533097A" w14:textId="77777777" w:rsidR="007E5C88" w:rsidRPr="00B94159" w:rsidRDefault="007E5C88" w:rsidP="007E5C88">
            <w:pPr>
              <w:contextualSpacing/>
              <w:rPr>
                <w:rFonts w:ascii="Aptos" w:eastAsia="Aptos" w:hAnsi="Aptos" w:cs="Arial"/>
                <w:color w:val="000000"/>
                <w:sz w:val="24"/>
                <w:szCs w:val="24"/>
              </w:rPr>
            </w:pPr>
          </w:p>
          <w:p w14:paraId="4507A99C" w14:textId="77777777" w:rsidR="008A22CA" w:rsidRPr="003D62F0" w:rsidRDefault="00B94159" w:rsidP="007E5C88">
            <w:pPr>
              <w:contextualSpacing/>
              <w:rPr>
                <w:rFonts w:ascii="Aptos" w:eastAsia="Times New Roman" w:hAnsi="Aptos" w:cs="Arial"/>
                <w:b/>
                <w:bCs/>
                <w:color w:val="000000"/>
                <w:sz w:val="24"/>
                <w:szCs w:val="24"/>
              </w:rPr>
            </w:pPr>
            <w:r w:rsidRPr="00B94159">
              <w:rPr>
                <w:rFonts w:ascii="Aptos" w:eastAsia="Times New Roman" w:hAnsi="Aptos" w:cs="Arial"/>
                <w:b/>
                <w:bCs/>
                <w:color w:val="000000"/>
                <w:sz w:val="24"/>
                <w:szCs w:val="24"/>
              </w:rPr>
              <w:t>Conclusion</w:t>
            </w:r>
          </w:p>
          <w:p w14:paraId="02D34FEF" w14:textId="062142AD"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This investigation demonstrated the complexity of modern slavery and sexual exploitation policing within the contemporary UK law enforcement environment. As Deputy SIO within a UK-wide operation targeting a Chinese organised crime group, significant challenges emerged relating to language barriers, victim vulnerability, digital evidence and cross-border coordination.</w:t>
            </w:r>
          </w:p>
          <w:p w14:paraId="7FAE45FB" w14:textId="62D6052D"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 xml:space="preserve">The investigation highlighted how </w:t>
            </w:r>
            <w:r w:rsidR="00CE382F" w:rsidRPr="003D62F0">
              <w:rPr>
                <w:rFonts w:ascii="Aptos" w:eastAsia="Aptos" w:hAnsi="Aptos" w:cs="Arial"/>
                <w:color w:val="000000"/>
                <w:sz w:val="24"/>
                <w:szCs w:val="24"/>
              </w:rPr>
              <w:t>OCG’s</w:t>
            </w:r>
            <w:r w:rsidRPr="00B94159">
              <w:rPr>
                <w:rFonts w:ascii="Aptos" w:eastAsia="Aptos" w:hAnsi="Aptos" w:cs="Arial"/>
                <w:color w:val="000000"/>
                <w:sz w:val="24"/>
                <w:szCs w:val="24"/>
              </w:rPr>
              <w:t xml:space="preserve"> exploit vulnerable migrant victims through technologically enabled and geographically dispersed offending. Victim reluctance, trauma and immigration insecurity created major evidential difficulties, whilst large volumes of digital evidence placed significant pressure upon forensic capability.</w:t>
            </w:r>
          </w:p>
          <w:p w14:paraId="5BBFBD4C"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Several investigative methods proved effective. Immediate safeguarding through Police Scotland enabled rapid victim protection, whilst digital forensic examination identified active exploitation opportunities and supported intelligence development. Evidence-led prosecution strategies focusing upon financial investigation and corroborative evidence ultimately enabled successful disruption of the organised crime group.</w:t>
            </w:r>
          </w:p>
          <w:p w14:paraId="65CDFAFA"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 xml:space="preserve">Critically, however, the operation also demonstrated wider systemic limitations. Trauma-informed policing and safeguarding frameworks remain constrained </w:t>
            </w:r>
            <w:proofErr w:type="gramStart"/>
            <w:r w:rsidRPr="00B94159">
              <w:rPr>
                <w:rFonts w:ascii="Aptos" w:eastAsia="Aptos" w:hAnsi="Aptos" w:cs="Arial"/>
                <w:color w:val="000000"/>
                <w:sz w:val="24"/>
                <w:szCs w:val="24"/>
              </w:rPr>
              <w:t>where</w:t>
            </w:r>
            <w:proofErr w:type="gramEnd"/>
            <w:r w:rsidRPr="00B94159">
              <w:rPr>
                <w:rFonts w:ascii="Aptos" w:eastAsia="Aptos" w:hAnsi="Aptos" w:cs="Arial"/>
                <w:color w:val="000000"/>
                <w:sz w:val="24"/>
                <w:szCs w:val="24"/>
              </w:rPr>
              <w:t xml:space="preserve"> victims distrust authorities or fear immigration consequences. Digital forensic demand continues to exceed policing resources, whilst psychological coercion remains difficult to evidence within criminal proceedings.</w:t>
            </w:r>
          </w:p>
          <w:p w14:paraId="2A223804" w14:textId="77777777" w:rsidR="00B94159" w:rsidRPr="00B94159" w:rsidRDefault="00B94159" w:rsidP="007E5C88">
            <w:pPr>
              <w:contextualSpacing/>
              <w:rPr>
                <w:rFonts w:ascii="Aptos" w:eastAsia="Aptos" w:hAnsi="Aptos" w:cs="Arial"/>
                <w:color w:val="000000"/>
                <w:sz w:val="24"/>
                <w:szCs w:val="24"/>
              </w:rPr>
            </w:pPr>
            <w:r w:rsidRPr="00B94159">
              <w:rPr>
                <w:rFonts w:ascii="Aptos" w:eastAsia="Aptos" w:hAnsi="Aptos" w:cs="Arial"/>
                <w:color w:val="000000"/>
                <w:sz w:val="24"/>
                <w:szCs w:val="24"/>
              </w:rPr>
              <w:t>The academic literature strongly supports the need for intelligence-led, trauma-informed and multi-agency approaches to modern slavery investigation. The strongest studies combine operational realism with victim-focused analysis, whilst weaker perspectives either overemphasise structural critique or underestimate evidential challenges faced by investigators.</w:t>
            </w:r>
          </w:p>
          <w:p w14:paraId="7E29F416" w14:textId="071FA743" w:rsidR="00B94159" w:rsidRPr="00B94159" w:rsidRDefault="00B94159" w:rsidP="007E5C88">
            <w:pPr>
              <w:contextualSpacing/>
              <w:rPr>
                <w:rFonts w:ascii="Aptos" w:eastAsia="Times New Roman" w:hAnsi="Aptos" w:cs="Arial"/>
                <w:sz w:val="24"/>
                <w:szCs w:val="24"/>
              </w:rPr>
            </w:pPr>
            <w:r w:rsidRPr="003D62F0">
              <w:rPr>
                <w:rFonts w:ascii="Aptos" w:eastAsia="Aptos" w:hAnsi="Aptos" w:cs="Arial"/>
                <w:color w:val="000000"/>
                <w:sz w:val="24"/>
                <w:szCs w:val="24"/>
              </w:rPr>
              <w:t>Ultimately, successful modern slavery investigations require policing strategies capable of balancing safeguarding, evidence gathering and disruption simultaneously. The present investigation demonstrated both the progress and continuing limitations of the UK criminal justice response to organised sexual exploitation.</w:t>
            </w:r>
          </w:p>
          <w:p w14:paraId="2A09EA95" w14:textId="77777777" w:rsidR="00B94159" w:rsidRDefault="00B94159" w:rsidP="007E5C88">
            <w:pPr>
              <w:contextualSpacing/>
              <w:rPr>
                <w:rFonts w:ascii="Aptos" w:eastAsia="Arial" w:hAnsi="Aptos" w:cs="Arial"/>
                <w:iCs/>
                <w:color w:val="000000"/>
                <w:sz w:val="24"/>
                <w:szCs w:val="24"/>
              </w:rPr>
            </w:pPr>
          </w:p>
          <w:p w14:paraId="6341698B" w14:textId="33AC7244" w:rsidR="001E3B5F" w:rsidRPr="008A22CA" w:rsidRDefault="001E3B5F" w:rsidP="007E5C88">
            <w:pPr>
              <w:contextualSpacing/>
              <w:rPr>
                <w:rFonts w:ascii="Aptos" w:eastAsia="Arial" w:hAnsi="Aptos" w:cs="Arial"/>
                <w:iCs/>
                <w:color w:val="000000"/>
                <w:sz w:val="24"/>
                <w:szCs w:val="24"/>
              </w:rPr>
            </w:pPr>
            <w:r>
              <w:rPr>
                <w:rFonts w:ascii="Aptos" w:eastAsia="Arial" w:hAnsi="Aptos" w:cs="Arial"/>
                <w:iCs/>
                <w:color w:val="000000"/>
                <w:sz w:val="24"/>
                <w:szCs w:val="24"/>
              </w:rPr>
              <w:t>Word count - 2199</w:t>
            </w:r>
          </w:p>
        </w:tc>
      </w:tr>
    </w:tbl>
    <w:p w14:paraId="06BC93E6" w14:textId="77777777" w:rsidR="007A7D1B" w:rsidRDefault="007A7D1B">
      <w:pPr>
        <w:ind w:left="3600" w:right="107"/>
        <w:jc w:val="both"/>
        <w:rPr>
          <w:rFonts w:ascii="Arial" w:eastAsia="Arial" w:hAnsi="Arial" w:cs="Arial"/>
          <w:b/>
          <w:color w:val="000000"/>
          <w:sz w:val="24"/>
          <w:szCs w:val="24"/>
        </w:rPr>
      </w:pPr>
    </w:p>
    <w:p w14:paraId="0B829E9F" w14:textId="77777777" w:rsidR="007A7D1B" w:rsidRDefault="007A7D1B">
      <w:pPr>
        <w:ind w:right="107"/>
        <w:rPr>
          <w:rFonts w:ascii="Arial" w:eastAsia="Arial" w:hAnsi="Arial" w:cs="Arial"/>
          <w:b/>
          <w:i/>
          <w:color w:val="000000"/>
          <w:sz w:val="24"/>
          <w:szCs w:val="24"/>
        </w:rPr>
      </w:pPr>
    </w:p>
    <w:p w14:paraId="2D0BF8DA" w14:textId="77777777" w:rsidR="007A7D1B" w:rsidRDefault="007A7D1B">
      <w:pPr>
        <w:ind w:right="107"/>
        <w:rPr>
          <w:rFonts w:ascii="Arial" w:eastAsia="Arial" w:hAnsi="Arial" w:cs="Arial"/>
          <w:b/>
          <w:i/>
          <w:color w:val="000000"/>
          <w:sz w:val="24"/>
          <w:szCs w:val="24"/>
        </w:rPr>
      </w:pPr>
    </w:p>
    <w:p w14:paraId="3F569AC9" w14:textId="77777777" w:rsidR="007A7D1B" w:rsidRDefault="007A7D1B">
      <w:pPr>
        <w:ind w:right="107"/>
        <w:rPr>
          <w:rFonts w:ascii="Arial" w:eastAsia="Arial" w:hAnsi="Arial" w:cs="Arial"/>
          <w:b/>
          <w:i/>
          <w:color w:val="000000"/>
          <w:sz w:val="24"/>
          <w:szCs w:val="24"/>
        </w:rPr>
      </w:pPr>
    </w:p>
    <w:p w14:paraId="787CF7D1" w14:textId="77777777" w:rsidR="007A7D1B" w:rsidRDefault="007A7D1B">
      <w:pPr>
        <w:ind w:right="107"/>
        <w:rPr>
          <w:rFonts w:ascii="Arial" w:eastAsia="Arial" w:hAnsi="Arial" w:cs="Arial"/>
          <w:b/>
          <w:i/>
          <w:color w:val="000000"/>
          <w:sz w:val="24"/>
          <w:szCs w:val="24"/>
        </w:rPr>
      </w:pPr>
    </w:p>
    <w:p w14:paraId="6D3C1538" w14:textId="77777777" w:rsidR="007A7D1B" w:rsidRDefault="007A7D1B">
      <w:pPr>
        <w:ind w:right="107"/>
        <w:rPr>
          <w:rFonts w:ascii="Arial" w:eastAsia="Arial" w:hAnsi="Arial" w:cs="Arial"/>
          <w:b/>
          <w:i/>
          <w:color w:val="000000"/>
          <w:sz w:val="24"/>
          <w:szCs w:val="24"/>
        </w:rPr>
      </w:pPr>
    </w:p>
    <w:p w14:paraId="3506EEC5" w14:textId="77777777" w:rsidR="007A7D1B" w:rsidRDefault="007A7D1B">
      <w:pPr>
        <w:ind w:right="107"/>
        <w:rPr>
          <w:rFonts w:ascii="Arial" w:eastAsia="Arial" w:hAnsi="Arial" w:cs="Arial"/>
          <w:b/>
          <w:i/>
          <w:color w:val="000000"/>
          <w:sz w:val="24"/>
          <w:szCs w:val="24"/>
        </w:rPr>
      </w:pPr>
    </w:p>
    <w:p w14:paraId="6602C4EB" w14:textId="77777777" w:rsidR="007A7D1B" w:rsidRDefault="007A7D1B">
      <w:pPr>
        <w:ind w:right="107"/>
        <w:rPr>
          <w:rFonts w:ascii="Arial" w:eastAsia="Arial" w:hAnsi="Arial" w:cs="Arial"/>
          <w:b/>
          <w:i/>
          <w:color w:val="000000"/>
          <w:sz w:val="24"/>
          <w:szCs w:val="24"/>
        </w:rPr>
      </w:pPr>
    </w:p>
    <w:p w14:paraId="134964E8" w14:textId="77777777" w:rsidR="007A7D1B" w:rsidRDefault="0032684D">
      <w:pPr>
        <w:ind w:right="107"/>
        <w:rPr>
          <w:rFonts w:ascii="Arial" w:eastAsia="Arial" w:hAnsi="Arial" w:cs="Arial"/>
          <w:b/>
          <w:i/>
          <w:color w:val="000000"/>
          <w:sz w:val="24"/>
          <w:szCs w:val="24"/>
        </w:rPr>
      </w:pPr>
      <w:r>
        <w:rPr>
          <w:rFonts w:ascii="Arial" w:eastAsia="Arial" w:hAnsi="Arial" w:cs="Arial"/>
          <w:b/>
          <w:i/>
          <w:color w:val="000000"/>
          <w:sz w:val="24"/>
          <w:szCs w:val="24"/>
        </w:rPr>
        <w:t>Task 3: Interview and Custody Processes</w:t>
      </w:r>
    </w:p>
    <w:tbl>
      <w:tblPr>
        <w:tblStyle w:val="a3"/>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7A7D1B" w14:paraId="2C93B3E9" w14:textId="77777777">
        <w:tc>
          <w:tcPr>
            <w:tcW w:w="9015" w:type="dxa"/>
          </w:tcPr>
          <w:p w14:paraId="01B0E397" w14:textId="77777777" w:rsidR="007A7D1B" w:rsidRDefault="0032684D">
            <w:pPr>
              <w:spacing w:line="259" w:lineRule="auto"/>
              <w:rPr>
                <w:rFonts w:ascii="Arial" w:eastAsia="Arial" w:hAnsi="Arial" w:cs="Arial"/>
                <w:b/>
                <w:color w:val="000000"/>
                <w:sz w:val="24"/>
                <w:szCs w:val="24"/>
              </w:rPr>
            </w:pPr>
            <w:r>
              <w:rPr>
                <w:rFonts w:ascii="Arial" w:eastAsia="Arial" w:hAnsi="Arial" w:cs="Arial"/>
                <w:color w:val="000000"/>
                <w:sz w:val="24"/>
                <w:szCs w:val="24"/>
              </w:rPr>
              <w:t>Choose a serious and complex investigation in which you played a significant role with</w:t>
            </w:r>
            <w:r>
              <w:rPr>
                <w:rFonts w:ascii="Arial" w:eastAsia="Arial" w:hAnsi="Arial" w:cs="Arial"/>
                <w:b/>
                <w:color w:val="000000"/>
                <w:sz w:val="24"/>
                <w:szCs w:val="24"/>
              </w:rPr>
              <w:t xml:space="preserve"> witnesses, victims and suspects. </w:t>
            </w:r>
            <w:r>
              <w:rPr>
                <w:rFonts w:ascii="Arial" w:eastAsia="Arial" w:hAnsi="Arial" w:cs="Arial"/>
                <w:color w:val="000000"/>
                <w:sz w:val="24"/>
                <w:szCs w:val="24"/>
              </w:rPr>
              <w:t xml:space="preserve">Give a brief description of the investigation. </w:t>
            </w:r>
            <w:r>
              <w:rPr>
                <w:rFonts w:ascii="Arial" w:eastAsia="Arial" w:hAnsi="Arial" w:cs="Arial"/>
                <w:sz w:val="24"/>
                <w:szCs w:val="24"/>
              </w:rPr>
              <w:t xml:space="preserve"> </w:t>
            </w:r>
          </w:p>
          <w:p w14:paraId="7A17BA05" w14:textId="77777777" w:rsidR="007A7D1B" w:rsidRDefault="007A7D1B">
            <w:pPr>
              <w:spacing w:line="259" w:lineRule="auto"/>
              <w:ind w:right="237"/>
              <w:jc w:val="both"/>
              <w:rPr>
                <w:rFonts w:ascii="Arial" w:eastAsia="Arial" w:hAnsi="Arial" w:cs="Arial"/>
                <w:sz w:val="24"/>
                <w:szCs w:val="24"/>
              </w:rPr>
            </w:pPr>
          </w:p>
          <w:p w14:paraId="7B484B6D" w14:textId="77777777" w:rsidR="007A7D1B" w:rsidRDefault="0032684D">
            <w:pPr>
              <w:numPr>
                <w:ilvl w:val="0"/>
                <w:numId w:val="1"/>
              </w:numPr>
              <w:pBdr>
                <w:top w:val="nil"/>
                <w:left w:val="nil"/>
                <w:bottom w:val="nil"/>
                <w:right w:val="nil"/>
                <w:between w:val="nil"/>
              </w:pBdr>
              <w:spacing w:after="160" w:line="259" w:lineRule="auto"/>
              <w:rPr>
                <w:rFonts w:ascii="Arial" w:eastAsia="Arial" w:hAnsi="Arial" w:cs="Arial"/>
                <w:color w:val="000000"/>
                <w:sz w:val="24"/>
                <w:szCs w:val="24"/>
              </w:rPr>
            </w:pPr>
            <w:r>
              <w:rPr>
                <w:rFonts w:ascii="Arial" w:eastAsia="Arial" w:hAnsi="Arial" w:cs="Arial"/>
                <w:b/>
                <w:color w:val="000000"/>
                <w:sz w:val="24"/>
                <w:szCs w:val="24"/>
              </w:rPr>
              <w:t xml:space="preserve">Critically evaluate </w:t>
            </w:r>
            <w:r>
              <w:rPr>
                <w:rFonts w:ascii="Arial" w:eastAsia="Arial" w:hAnsi="Arial" w:cs="Arial"/>
                <w:color w:val="000000"/>
                <w:sz w:val="24"/>
                <w:szCs w:val="24"/>
              </w:rPr>
              <w:t>the interview process of the witnesses and suspects in the case highlighting how professionalism and maintaining standards impacts upon the process.</w:t>
            </w:r>
          </w:p>
          <w:p w14:paraId="1F827DE0" w14:textId="77777777" w:rsidR="007A7D1B" w:rsidRDefault="007A7D1B">
            <w:pPr>
              <w:rPr>
                <w:rFonts w:ascii="Arial" w:eastAsia="Arial" w:hAnsi="Arial" w:cs="Arial"/>
                <w:color w:val="000000"/>
                <w:sz w:val="24"/>
                <w:szCs w:val="24"/>
              </w:rPr>
            </w:pPr>
          </w:p>
          <w:p w14:paraId="6C23B5CA" w14:textId="77777777" w:rsidR="007A7D1B" w:rsidRDefault="0032684D">
            <w:pPr>
              <w:numPr>
                <w:ilvl w:val="0"/>
                <w:numId w:val="1"/>
              </w:numPr>
              <w:pBdr>
                <w:top w:val="nil"/>
                <w:left w:val="nil"/>
                <w:bottom w:val="nil"/>
                <w:right w:val="nil"/>
                <w:between w:val="nil"/>
              </w:pBdr>
              <w:spacing w:after="160" w:line="259" w:lineRule="auto"/>
              <w:rPr>
                <w:rFonts w:ascii="Arial" w:eastAsia="Arial" w:hAnsi="Arial" w:cs="Arial"/>
                <w:color w:val="000000"/>
                <w:sz w:val="24"/>
                <w:szCs w:val="24"/>
              </w:rPr>
            </w:pPr>
            <w:r>
              <w:rPr>
                <w:rFonts w:ascii="Arial" w:eastAsia="Arial" w:hAnsi="Arial" w:cs="Arial"/>
                <w:b/>
                <w:color w:val="000000"/>
                <w:sz w:val="24"/>
                <w:szCs w:val="24"/>
              </w:rPr>
              <w:t xml:space="preserve">Critically reflect </w:t>
            </w:r>
            <w:r>
              <w:rPr>
                <w:rFonts w:ascii="Arial" w:eastAsia="Arial" w:hAnsi="Arial" w:cs="Arial"/>
                <w:color w:val="000000"/>
                <w:sz w:val="24"/>
                <w:szCs w:val="24"/>
              </w:rPr>
              <w:t>upon the planning that you undertook for the interviews and consider the benefits and challenges of doing so.</w:t>
            </w:r>
          </w:p>
          <w:p w14:paraId="31020829" w14:textId="77777777" w:rsidR="007A7D1B" w:rsidRDefault="007A7D1B">
            <w:pPr>
              <w:rPr>
                <w:rFonts w:ascii="Arial" w:eastAsia="Arial" w:hAnsi="Arial" w:cs="Arial"/>
                <w:b/>
                <w:color w:val="000000"/>
                <w:sz w:val="24"/>
                <w:szCs w:val="24"/>
              </w:rPr>
            </w:pPr>
          </w:p>
          <w:p w14:paraId="35FFD773" w14:textId="77777777" w:rsidR="007A7D1B" w:rsidRDefault="007A7D1B">
            <w:pPr>
              <w:rPr>
                <w:rFonts w:ascii="Arial" w:eastAsia="Arial" w:hAnsi="Arial" w:cs="Arial"/>
                <w:color w:val="000000"/>
                <w:sz w:val="24"/>
                <w:szCs w:val="24"/>
              </w:rPr>
            </w:pPr>
          </w:p>
          <w:p w14:paraId="32F9265A" w14:textId="77777777" w:rsidR="007A7D1B" w:rsidRDefault="0032684D">
            <w:pPr>
              <w:ind w:right="237"/>
              <w:jc w:val="both"/>
              <w:rPr>
                <w:rFonts w:ascii="Arial" w:eastAsia="Arial" w:hAnsi="Arial" w:cs="Arial"/>
                <w:sz w:val="24"/>
                <w:szCs w:val="24"/>
              </w:rPr>
            </w:pPr>
            <w:r>
              <w:rPr>
                <w:rFonts w:ascii="Arial" w:eastAsia="Arial" w:hAnsi="Arial" w:cs="Arial"/>
                <w:b/>
                <w:color w:val="000000"/>
                <w:sz w:val="24"/>
                <w:szCs w:val="24"/>
              </w:rPr>
              <w:t xml:space="preserve">2000 words </w:t>
            </w:r>
            <w:r>
              <w:rPr>
                <w:rFonts w:ascii="Arial" w:eastAsia="Arial" w:hAnsi="Arial" w:cs="Arial"/>
                <w:i/>
                <w:color w:val="000000"/>
                <w:sz w:val="24"/>
                <w:szCs w:val="24"/>
              </w:rPr>
              <w:t>(+/- 10%: include your actual word count at the end of each section)</w:t>
            </w:r>
          </w:p>
          <w:p w14:paraId="49EC92FB" w14:textId="77777777" w:rsidR="007A7D1B" w:rsidRDefault="007A7D1B">
            <w:pPr>
              <w:ind w:right="237"/>
              <w:jc w:val="both"/>
              <w:rPr>
                <w:rFonts w:ascii="Arial" w:eastAsia="Arial" w:hAnsi="Arial" w:cs="Arial"/>
                <w:i/>
                <w:color w:val="000000"/>
                <w:sz w:val="24"/>
                <w:szCs w:val="24"/>
              </w:rPr>
            </w:pPr>
          </w:p>
          <w:p w14:paraId="1DD72F59" w14:textId="77777777" w:rsidR="006005C6" w:rsidRDefault="006005C6">
            <w:pPr>
              <w:ind w:right="237"/>
              <w:jc w:val="both"/>
              <w:rPr>
                <w:rFonts w:ascii="Arial" w:eastAsia="Arial" w:hAnsi="Arial" w:cs="Arial"/>
                <w:i/>
                <w:color w:val="000000"/>
                <w:sz w:val="24"/>
                <w:szCs w:val="24"/>
              </w:rPr>
            </w:pPr>
          </w:p>
          <w:p w14:paraId="12CA2D7B" w14:textId="65D7BE1F" w:rsidR="006005C6" w:rsidRPr="003D62F0" w:rsidRDefault="006005C6" w:rsidP="006005C6">
            <w:pPr>
              <w:rPr>
                <w:rFonts w:ascii="Aptos" w:eastAsia="Times New Roman" w:hAnsi="Aptos" w:cs="Aptos"/>
                <w:b/>
                <w:bCs/>
                <w:color w:val="000000"/>
                <w:sz w:val="24"/>
                <w:szCs w:val="24"/>
              </w:rPr>
            </w:pPr>
            <w:r w:rsidRPr="006005C6">
              <w:rPr>
                <w:rFonts w:ascii="Aptos" w:eastAsia="Times New Roman" w:hAnsi="Aptos" w:cs="Aptos"/>
                <w:b/>
                <w:bCs/>
                <w:color w:val="000000"/>
                <w:sz w:val="24"/>
                <w:szCs w:val="24"/>
              </w:rPr>
              <w:t>Critical Evaluation of Interviewing and Planning within a Complex Organised Crime Investigation</w:t>
            </w:r>
            <w:r w:rsidRPr="003D62F0">
              <w:rPr>
                <w:rFonts w:ascii="Aptos" w:eastAsia="Times New Roman" w:hAnsi="Aptos" w:cs="Aptos"/>
                <w:b/>
                <w:bCs/>
                <w:color w:val="000000"/>
                <w:sz w:val="24"/>
                <w:szCs w:val="24"/>
              </w:rPr>
              <w:t>.</w:t>
            </w:r>
          </w:p>
          <w:p w14:paraId="0D0EF8A8" w14:textId="77777777" w:rsidR="006005C6" w:rsidRPr="006005C6" w:rsidRDefault="006005C6" w:rsidP="006005C6">
            <w:pPr>
              <w:rPr>
                <w:rFonts w:ascii="Aptos" w:eastAsia="Times New Roman" w:hAnsi="Aptos" w:cs="Aptos"/>
                <w:b/>
                <w:bCs/>
                <w:color w:val="000000"/>
                <w:sz w:val="24"/>
                <w:szCs w:val="24"/>
              </w:rPr>
            </w:pPr>
          </w:p>
          <w:p w14:paraId="713F7829" w14:textId="77777777" w:rsidR="006005C6" w:rsidRPr="006005C6" w:rsidRDefault="006005C6" w:rsidP="006005C6">
            <w:pPr>
              <w:rPr>
                <w:rFonts w:ascii="Aptos" w:eastAsia="Times New Roman" w:hAnsi="Aptos" w:cs="Aptos"/>
                <w:b/>
                <w:bCs/>
                <w:color w:val="000000"/>
                <w:sz w:val="24"/>
                <w:szCs w:val="24"/>
              </w:rPr>
            </w:pPr>
            <w:r w:rsidRPr="006005C6">
              <w:rPr>
                <w:rFonts w:ascii="Aptos" w:eastAsia="Times New Roman" w:hAnsi="Aptos" w:cs="Aptos"/>
                <w:b/>
                <w:bCs/>
                <w:color w:val="000000"/>
                <w:sz w:val="24"/>
                <w:szCs w:val="24"/>
              </w:rPr>
              <w:t>Introduction</w:t>
            </w:r>
          </w:p>
          <w:p w14:paraId="2AF1AABE" w14:textId="77777777" w:rsidR="006005C6" w:rsidRPr="003D62F0"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This paper critically evaluates my role as Senior Investigating Officer (SIO) in a complex multi-site organised crime investigation involving the coordinated seizure of heroin with an estimated street value of £7 million. The investigation resulted in arrests across Cardiff, Liverpool, Kirkcaldy, Blyth and Anstruther, culminating in custodial sentences totalling 57 years.</w:t>
            </w:r>
          </w:p>
          <w:p w14:paraId="18716B16" w14:textId="3746106C" w:rsidR="007A2F17" w:rsidRPr="006005C6" w:rsidRDefault="007A2F17" w:rsidP="006005C6">
            <w:pPr>
              <w:rPr>
                <w:rFonts w:ascii="Aptos" w:eastAsia="Times New Roman" w:hAnsi="Aptos" w:cs="Aptos"/>
                <w:color w:val="000000"/>
                <w:sz w:val="24"/>
                <w:szCs w:val="24"/>
              </w:rPr>
            </w:pPr>
            <w:r w:rsidRPr="003D62F0">
              <w:rPr>
                <w:rFonts w:ascii="Aptos" w:eastAsia="Times New Roman" w:hAnsi="Aptos" w:cs="Aptos"/>
                <w:color w:val="000000"/>
                <w:sz w:val="24"/>
                <w:szCs w:val="24"/>
              </w:rPr>
              <w:t>All Subjects of the investigation were conveyed back to South Wales Police Custody units for the interview process to be conducted.</w:t>
            </w:r>
          </w:p>
          <w:p w14:paraId="142FF997" w14:textId="0F64C6C5"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 xml:space="preserve">The criminal network demonstrated a high level of sophistication, employing professional couriers, burner mobile telephones, compartmentalised communication structures and counter-surveillance methods designed to frustrate attribution. </w:t>
            </w:r>
            <w:r w:rsidRPr="003D62F0">
              <w:rPr>
                <w:rFonts w:ascii="Aptos" w:eastAsia="Times New Roman" w:hAnsi="Aptos" w:cs="Aptos"/>
                <w:color w:val="000000"/>
                <w:sz w:val="24"/>
                <w:szCs w:val="24"/>
              </w:rPr>
              <w:t xml:space="preserve">Along with employment of a retired Police Officer and use of specially constructed ‘Hides’ within the vehicles. </w:t>
            </w:r>
            <w:r w:rsidRPr="006005C6">
              <w:rPr>
                <w:rFonts w:ascii="Aptos" w:eastAsia="Times New Roman" w:hAnsi="Aptos" w:cs="Aptos"/>
                <w:color w:val="000000"/>
                <w:sz w:val="24"/>
                <w:szCs w:val="24"/>
              </w:rPr>
              <w:t>The evidential environment was therefore highly fragmented, requiring integration of communications data, ANPR analysis, financial intelligence and seized property to construct a coherent evidential narrative.</w:t>
            </w:r>
          </w:p>
          <w:p w14:paraId="0F86E309" w14:textId="77777777" w:rsidR="006005C6" w:rsidRPr="003D62F0"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This paper critically evaluates two core dimensions of the investigation: firstly, the interview process with witnesses and suspects, focusing on professionalism, compliance with legal frameworks and evidential effectiveness; and secondly, the planning processes underpinning interview strategy development. It further incorporates structured reflective analysis using Gibbs’ Reflective Cycle and Kolb’s Experiential Learning Theory to critically examine leadership decisions, learning outcomes and professional development.</w:t>
            </w:r>
          </w:p>
          <w:p w14:paraId="703A1F85" w14:textId="77777777" w:rsidR="006005C6" w:rsidRPr="006005C6" w:rsidRDefault="006005C6" w:rsidP="006005C6">
            <w:pPr>
              <w:rPr>
                <w:rFonts w:ascii="Aptos" w:eastAsia="Times New Roman" w:hAnsi="Aptos" w:cs="Aptos"/>
                <w:color w:val="000000"/>
                <w:sz w:val="24"/>
                <w:szCs w:val="24"/>
              </w:rPr>
            </w:pPr>
          </w:p>
          <w:p w14:paraId="44C08731" w14:textId="77777777" w:rsidR="006005C6" w:rsidRPr="006005C6" w:rsidRDefault="006005C6" w:rsidP="006005C6">
            <w:pPr>
              <w:rPr>
                <w:rFonts w:ascii="Aptos" w:eastAsia="Times New Roman" w:hAnsi="Aptos" w:cs="Aptos"/>
                <w:b/>
                <w:bCs/>
                <w:color w:val="000000"/>
                <w:sz w:val="24"/>
                <w:szCs w:val="24"/>
              </w:rPr>
            </w:pPr>
            <w:r w:rsidRPr="006005C6">
              <w:rPr>
                <w:rFonts w:ascii="Aptos" w:eastAsia="Times New Roman" w:hAnsi="Aptos" w:cs="Aptos"/>
                <w:b/>
                <w:bCs/>
                <w:color w:val="000000"/>
                <w:sz w:val="24"/>
                <w:szCs w:val="24"/>
              </w:rPr>
              <w:t>Critical Evaluation of the Interview Process</w:t>
            </w:r>
          </w:p>
          <w:p w14:paraId="290F421C"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The investigative interviewing process was structured around the PEACE model, which remains the dominant framework within UK policing. Its central strength lies in its ethical foundation and its emphasis on information-gathering rather than confession-driven interrogation. Contemporary scholarship consistently reinforces that PEACE represents a significant improvement over earlier accusatorial models due to its reduced risk of coercion and increased evidential reliability (Bull and Milne, 2020).</w:t>
            </w:r>
          </w:p>
          <w:p w14:paraId="496807CF" w14:textId="3B51FE66"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However, while PEACE provides a robust structural framework, its effectiveness in practice is not inherent. Rather, it is contingent upon interviewer competence, cognitive flexibility and organisational reinforcement of professional standards. Walsh and Milne (20</w:t>
            </w:r>
            <w:r w:rsidR="00A645FD" w:rsidRPr="003D62F0">
              <w:rPr>
                <w:rFonts w:ascii="Aptos" w:eastAsia="Times New Roman" w:hAnsi="Aptos" w:cs="Aptos"/>
                <w:color w:val="000000"/>
                <w:sz w:val="24"/>
                <w:szCs w:val="24"/>
              </w:rPr>
              <w:t>08</w:t>
            </w:r>
            <w:r w:rsidRPr="006005C6">
              <w:rPr>
                <w:rFonts w:ascii="Aptos" w:eastAsia="Times New Roman" w:hAnsi="Aptos" w:cs="Aptos"/>
                <w:color w:val="000000"/>
                <w:sz w:val="24"/>
                <w:szCs w:val="24"/>
              </w:rPr>
              <w:t xml:space="preserve">) argue that PEACE is frequently misunderstood as a procedural checklist, when </w:t>
            </w:r>
            <w:proofErr w:type="gramStart"/>
            <w:r w:rsidRPr="006005C6">
              <w:rPr>
                <w:rFonts w:ascii="Aptos" w:eastAsia="Times New Roman" w:hAnsi="Aptos" w:cs="Aptos"/>
                <w:color w:val="000000"/>
                <w:sz w:val="24"/>
                <w:szCs w:val="24"/>
              </w:rPr>
              <w:t>in reality it</w:t>
            </w:r>
            <w:proofErr w:type="gramEnd"/>
            <w:r w:rsidRPr="006005C6">
              <w:rPr>
                <w:rFonts w:ascii="Aptos" w:eastAsia="Times New Roman" w:hAnsi="Aptos" w:cs="Aptos"/>
                <w:color w:val="000000"/>
                <w:sz w:val="24"/>
                <w:szCs w:val="24"/>
              </w:rPr>
              <w:t xml:space="preserve"> requires adaptive conversational skill and advanced cognitive interviewing capability. This distinction was evident throughout the investigation, where Tier 3 interview teams demonstrated high procedural compliance but varied in their ability to maintain fluid, responsive dialogue under evidential pressure.</w:t>
            </w:r>
          </w:p>
          <w:p w14:paraId="37006FA9" w14:textId="2D702683"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Professionalism was central to maintaining evidential integrity. In serious organised crime investigations, interview conduct is subject to intense scrutiny from defence counsel, disclosure specialists and ultimately the judiciary. As Milne, Shaw and Bull (20</w:t>
            </w:r>
            <w:r w:rsidR="009262D8" w:rsidRPr="003D62F0">
              <w:rPr>
                <w:rFonts w:ascii="Aptos" w:eastAsia="Times New Roman" w:hAnsi="Aptos" w:cs="Aptos"/>
                <w:color w:val="000000"/>
                <w:sz w:val="24"/>
                <w:szCs w:val="24"/>
              </w:rPr>
              <w:t>07</w:t>
            </w:r>
            <w:r w:rsidRPr="006005C6">
              <w:rPr>
                <w:rFonts w:ascii="Aptos" w:eastAsia="Times New Roman" w:hAnsi="Aptos" w:cs="Aptos"/>
                <w:color w:val="000000"/>
                <w:sz w:val="24"/>
                <w:szCs w:val="24"/>
              </w:rPr>
              <w:t>) emphasise, professionalism in investigative interviewing is not limited to courteous behaviour but extends to intellectual discipline, neutrality of questioning and strict avoidance of confirmation bias.</w:t>
            </w:r>
          </w:p>
          <w:p w14:paraId="26C8699B"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In this investigation, professionalism directly influenced both admissibility and credibility. Interviewers maintained consistent tone and structure despite dealing with high-value drug trafficking suspects who were often hostile, dismissive or legally defensive. This was particularly important given the adversarial context in which suspects frequently relied on “no comment” strategies. Gudjonsson (2018) argues that silence in interview settings should be interpreted as a strategic legal decision rather than passive non-cooperation. This was clearly evidenced, as many suspects demonstrated awareness of evidential limitations relating to burner phones and attribution challenges.</w:t>
            </w:r>
          </w:p>
          <w:p w14:paraId="71883686" w14:textId="275D7319"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 xml:space="preserve">Despite limited verbal engagement, interviews retained significant evidential value. Each suspect was formally presented with structured evidence, ensuring compliance with fairness obligations under the Police and Criminal Evidence Act 1984. This approach allowed investigators to rely upon adverse inference provisions where appropriate. </w:t>
            </w:r>
            <w:r w:rsidR="008403D5" w:rsidRPr="003D62F0">
              <w:rPr>
                <w:rFonts w:ascii="Aptos" w:eastAsia="Times New Roman" w:hAnsi="Aptos" w:cs="Aptos"/>
                <w:color w:val="000000"/>
                <w:sz w:val="24"/>
                <w:szCs w:val="24"/>
              </w:rPr>
              <w:t>Daly, Y., Dowd, C., &amp; Muirhead, A</w:t>
            </w:r>
            <w:r w:rsidR="008403D5" w:rsidRPr="003D62F0">
              <w:rPr>
                <w:rFonts w:ascii="Aptos" w:eastAsia="Times New Roman" w:hAnsi="Aptos" w:cs="Aptos"/>
                <w:color w:val="000000"/>
                <w:sz w:val="24"/>
                <w:szCs w:val="24"/>
              </w:rPr>
              <w:t xml:space="preserve">. </w:t>
            </w:r>
            <w:r w:rsidRPr="006005C6">
              <w:rPr>
                <w:rFonts w:ascii="Aptos" w:eastAsia="Times New Roman" w:hAnsi="Aptos" w:cs="Aptos"/>
                <w:color w:val="000000"/>
                <w:sz w:val="24"/>
                <w:szCs w:val="24"/>
              </w:rPr>
              <w:t>(202</w:t>
            </w:r>
            <w:r w:rsidR="008403D5" w:rsidRPr="003D62F0">
              <w:rPr>
                <w:rFonts w:ascii="Aptos" w:eastAsia="Times New Roman" w:hAnsi="Aptos" w:cs="Aptos"/>
                <w:color w:val="000000"/>
                <w:sz w:val="24"/>
                <w:szCs w:val="24"/>
              </w:rPr>
              <w:t>2</w:t>
            </w:r>
            <w:r w:rsidRPr="006005C6">
              <w:rPr>
                <w:rFonts w:ascii="Aptos" w:eastAsia="Times New Roman" w:hAnsi="Aptos" w:cs="Aptos"/>
                <w:color w:val="000000"/>
                <w:sz w:val="24"/>
                <w:szCs w:val="24"/>
              </w:rPr>
              <w:t>) note that the legal strength of interviews is not dependent upon admissions but upon procedural fairness and evidential opportunity, both of which were demonstrably present in this investigation.</w:t>
            </w:r>
          </w:p>
          <w:p w14:paraId="11A09D02" w14:textId="32480C40"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 xml:space="preserve">A key feature of the interview process was the strategic deployment of disclosure. Evidence was not presented in a linear or exhaustive manner; instead, it was sequenced to test suspect accounts and generate cognitive inconsistency. This approach aligns with </w:t>
            </w:r>
            <w:r w:rsidR="009900C2" w:rsidRPr="003D62F0">
              <w:rPr>
                <w:rFonts w:ascii="Aptos" w:eastAsia="Times New Roman" w:hAnsi="Aptos" w:cs="Aptos"/>
                <w:color w:val="000000"/>
                <w:sz w:val="24"/>
                <w:szCs w:val="24"/>
              </w:rPr>
              <w:t xml:space="preserve">Vaughan, M., Milne, R., &amp; Dalton, G. (2024). </w:t>
            </w:r>
            <w:r w:rsidRPr="006005C6">
              <w:rPr>
                <w:rFonts w:ascii="Aptos" w:eastAsia="Times New Roman" w:hAnsi="Aptos" w:cs="Aptos"/>
                <w:color w:val="000000"/>
                <w:sz w:val="24"/>
                <w:szCs w:val="24"/>
              </w:rPr>
              <w:t>who argue that phased disclosure increases cognitive load on suspects, thereby improving the likelihood of contradiction and deception detection without requiring coercive pressure.</w:t>
            </w:r>
          </w:p>
          <w:p w14:paraId="59B3FF9C" w14:textId="1E31A483"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lastRenderedPageBreak/>
              <w:t>In practice, this was particularly effective when confronting suspects with integrated ANPR data, mobile communications analysis and financial intelligence. The convergence of these datasets often exposed inconsistencies between claimed movements and objective evidence. However, Williamson (20</w:t>
            </w:r>
            <w:r w:rsidR="00A645FD" w:rsidRPr="003D62F0">
              <w:rPr>
                <w:rFonts w:ascii="Aptos" w:eastAsia="Times New Roman" w:hAnsi="Aptos" w:cs="Aptos"/>
                <w:color w:val="000000"/>
                <w:sz w:val="24"/>
                <w:szCs w:val="24"/>
              </w:rPr>
              <w:t>06</w:t>
            </w:r>
            <w:r w:rsidRPr="006005C6">
              <w:rPr>
                <w:rFonts w:ascii="Aptos" w:eastAsia="Times New Roman" w:hAnsi="Aptos" w:cs="Aptos"/>
                <w:color w:val="000000"/>
                <w:sz w:val="24"/>
                <w:szCs w:val="24"/>
              </w:rPr>
              <w:t>) cautions that excessive withholding of evidence may undermine perceptions of procedural fairness, particularly where suspects perceive interviews as predetermined rather than exploratory. This tension required careful balancing between investigative advantage and legal defensibility.</w:t>
            </w:r>
          </w:p>
          <w:p w14:paraId="6961F21D"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One of the more significant operational limitations was the prevalence of “no comment” interviews. While legally valid, such responses significantly reduce opportunities for spontaneous disclosure. Clarke and Milne (2019) note that organised crime suspects often adopt silence as part of a collective defence strategy influenced by group loyalty and legal advice structures. This was consistent with observations in this investigation, where suspects demonstrated coordinated non-engagement.</w:t>
            </w:r>
          </w:p>
          <w:p w14:paraId="6D9238B2"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Nevertheless, it is important to critically recognise that interview effectiveness should not be measured solely by confession rates. Bull and Milne (2020) argue that modern investigative interviewing is fundamentally an evidence-testing mechanism rather than a confession-seeking process. From this perspective, the interviews were successful because they enabled evidential triangulation, reinforced disclosure integrity and supported subsequent prosecution strategy.</w:t>
            </w:r>
          </w:p>
          <w:p w14:paraId="1D95EFAA"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The use of Tier 3 two-officer interview teams also contributed to operational effectiveness by distributing cognitive load and enabling one officer to focus on questioning while the other managed exhibits and behavioural observation. However, Dando and Bull (2020) highlight that dual-interviewer models can risk over-structuring interactions, potentially reducing conversational spontaneity. This limitation was occasionally evident, particularly in more rigid interview sequences where flexibility was reduced in favour of procedural control.</w:t>
            </w:r>
          </w:p>
          <w:p w14:paraId="1C180EEC" w14:textId="77777777" w:rsidR="006005C6" w:rsidRPr="003D62F0"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Overall, the interview process was professionally executed, legally compliant and evidentially robust. However, its effectiveness was shaped as much by preparatory planning and evidential integration as by the interviewing model itself, reinforcing the view that PEACE is a framework rather than a guarantee of success.</w:t>
            </w:r>
          </w:p>
          <w:p w14:paraId="009D30E5" w14:textId="77777777" w:rsidR="006005C6" w:rsidRPr="006005C6" w:rsidRDefault="006005C6" w:rsidP="006005C6">
            <w:pPr>
              <w:rPr>
                <w:rFonts w:ascii="Aptos" w:eastAsia="Times New Roman" w:hAnsi="Aptos" w:cs="Aptos"/>
                <w:color w:val="000000"/>
                <w:sz w:val="24"/>
                <w:szCs w:val="24"/>
              </w:rPr>
            </w:pPr>
          </w:p>
          <w:p w14:paraId="6201361E" w14:textId="77777777" w:rsidR="006005C6" w:rsidRPr="006005C6" w:rsidRDefault="006005C6" w:rsidP="006005C6">
            <w:pPr>
              <w:rPr>
                <w:rFonts w:ascii="Aptos" w:eastAsia="Times New Roman" w:hAnsi="Aptos" w:cs="Aptos"/>
                <w:b/>
                <w:bCs/>
                <w:color w:val="000000"/>
                <w:sz w:val="24"/>
                <w:szCs w:val="24"/>
              </w:rPr>
            </w:pPr>
            <w:r w:rsidRPr="006005C6">
              <w:rPr>
                <w:rFonts w:ascii="Aptos" w:eastAsia="Times New Roman" w:hAnsi="Aptos" w:cs="Aptos"/>
                <w:b/>
                <w:bCs/>
                <w:color w:val="000000"/>
                <w:sz w:val="24"/>
                <w:szCs w:val="24"/>
              </w:rPr>
              <w:t>Critical Evaluation of Interview Planning</w:t>
            </w:r>
          </w:p>
          <w:p w14:paraId="63861A8D" w14:textId="5F622E69"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Planning represented the most influential determinant of interview effectiveness. Walsh and Milne (20</w:t>
            </w:r>
            <w:r w:rsidR="00A645FD" w:rsidRPr="003D62F0">
              <w:rPr>
                <w:rFonts w:ascii="Aptos" w:eastAsia="Times New Roman" w:hAnsi="Aptos" w:cs="Aptos"/>
                <w:color w:val="000000"/>
                <w:sz w:val="24"/>
                <w:szCs w:val="24"/>
              </w:rPr>
              <w:t>08</w:t>
            </w:r>
            <w:r w:rsidRPr="006005C6">
              <w:rPr>
                <w:rFonts w:ascii="Aptos" w:eastAsia="Times New Roman" w:hAnsi="Aptos" w:cs="Aptos"/>
                <w:color w:val="000000"/>
                <w:sz w:val="24"/>
                <w:szCs w:val="24"/>
              </w:rPr>
              <w:t>) identify planning as the single strongest predictor of investigative interview quality, particularly in complex serious crime environments where evidential fragmentation is significant.</w:t>
            </w:r>
          </w:p>
          <w:p w14:paraId="2AB58484"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In this investigation, planning was led centrally and involved constructing detailed interview strategies incorporating communications data, financial intelligence, ANPR analysis and physical evidence from warrants. This ensured consistency across multiple force areas and interview teams while maintaining evidential coherence.</w:t>
            </w:r>
          </w:p>
          <w:p w14:paraId="10A98802"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 xml:space="preserve">However, planning must be understood as both an enabling and constraining mechanism. On one hand, it ensured that interviews were structured, legally compliant and strategically aligned with evidential priorities. On the other hand, overly detailed planning risked reducing interviewer flexibility and encouraging scripted questioning behaviours. This tension reflects a broader academic debate </w:t>
            </w:r>
            <w:r w:rsidRPr="006005C6">
              <w:rPr>
                <w:rFonts w:ascii="Aptos" w:eastAsia="Times New Roman" w:hAnsi="Aptos" w:cs="Aptos"/>
                <w:color w:val="000000"/>
                <w:sz w:val="24"/>
                <w:szCs w:val="24"/>
              </w:rPr>
              <w:lastRenderedPageBreak/>
              <w:t>regarding structure versus adaptability in investigative interviewing (Bull and Milne, 2020).</w:t>
            </w:r>
          </w:p>
          <w:p w14:paraId="52D37637"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The integration of multi-source intelligence was a significant strength. UNODC (2021) highlights that modern organised crime investigations require fusion of digital, financial and physical intelligence to establish coherent evidential narratives. This approach was clearly operationalised through the combination of burner phone attribution analysis, ANPR vehicle tracking and financial lifestyle assessments. The convergence of these datasets significantly strengthened interview strategy development by enabling targeted evidential challenges.</w:t>
            </w:r>
          </w:p>
          <w:p w14:paraId="156AEC62"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Nevertheless, the volume and complexity of digital evidence created cognitive overload risks. Dando and Bull (2020) note that excessive information density can impair interviewer decision-making and reduce cognitive flexibility during live interviews. This was particularly relevant where investigators were required to recall large volumes of communications data while maintaining conversational flow.</w:t>
            </w:r>
          </w:p>
          <w:p w14:paraId="41FB1B42"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A further limitation of planning was variability in interviewer execution. Although Tier 3 accreditation ensured baseline competence, individual differences in experience and communication style led to inconsistent pacing and evidential emphasis across interviews. Clarke and Milne (2019) argue that even well-designed interview strategies are vulnerable to interpretive variation at the implementation stage.</w:t>
            </w:r>
          </w:p>
          <w:p w14:paraId="59517A88"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Despite these limitations, planning significantly enhanced evidential integrity. It ensured that all suspects were exposed to consistent evidential themes and that key investigative hypotheses were systematically tested. It also strengthened disclosure management, ensuring compliance with PACE requirements while maintaining investigative advantage.</w:t>
            </w:r>
          </w:p>
          <w:p w14:paraId="25D69F28" w14:textId="77777777" w:rsidR="006005C6" w:rsidRPr="003D62F0"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Critically, planning also supported legal defensibility. Structured interview preparation ensured that disclosure decisions could be justified in court and that evidential sequencing was consistent with investigative necessity rather than tactical concealment. This balance between transparency and operational protection is central to modern investigative practice.</w:t>
            </w:r>
          </w:p>
          <w:p w14:paraId="4A9CE499" w14:textId="77777777" w:rsidR="006005C6" w:rsidRPr="006005C6" w:rsidRDefault="006005C6" w:rsidP="006005C6">
            <w:pPr>
              <w:rPr>
                <w:rFonts w:ascii="Aptos" w:eastAsia="Times New Roman" w:hAnsi="Aptos" w:cs="Aptos"/>
                <w:color w:val="000000"/>
                <w:sz w:val="24"/>
                <w:szCs w:val="24"/>
              </w:rPr>
            </w:pPr>
          </w:p>
          <w:p w14:paraId="35A47CA7" w14:textId="77777777" w:rsidR="006005C6" w:rsidRPr="006005C6" w:rsidRDefault="006005C6" w:rsidP="006005C6">
            <w:pPr>
              <w:rPr>
                <w:rFonts w:ascii="Aptos" w:eastAsia="Times New Roman" w:hAnsi="Aptos" w:cs="Aptos"/>
                <w:b/>
                <w:bCs/>
                <w:color w:val="000000"/>
                <w:sz w:val="24"/>
                <w:szCs w:val="24"/>
              </w:rPr>
            </w:pPr>
            <w:r w:rsidRPr="006005C6">
              <w:rPr>
                <w:rFonts w:ascii="Aptos" w:eastAsia="Times New Roman" w:hAnsi="Aptos" w:cs="Aptos"/>
                <w:b/>
                <w:bCs/>
                <w:color w:val="000000"/>
                <w:sz w:val="24"/>
                <w:szCs w:val="24"/>
              </w:rPr>
              <w:t>Reflective Analysis Using Gibbs and Kolb Models</w:t>
            </w:r>
          </w:p>
          <w:p w14:paraId="024ED236"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Reflective analysis of this investigation highlights both professional development and structural learning outcomes.</w:t>
            </w:r>
          </w:p>
          <w:p w14:paraId="24E3164B"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Using Gibbs’ Reflective Cycle, the initial experience of leading multi-site interview teams within a high-volume organised crime investigation was characterised by significant operational pressure and evidential complexity. The emotional and cognitive demands of coordinating interviews across multiple jurisdictions required sustained attention to both legal compliance and evidential coherence.</w:t>
            </w:r>
          </w:p>
          <w:p w14:paraId="36DB0953"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Evaluation of the process indicates that while interviews were legally robust and procedurally fair, there were limitations in adaptability. In particular, the level of planning occasionally constrained interviewer spontaneity, reducing opportunities to explore unexpected disclosures. Analysis suggests that this was a consequence of prioritising evidential control over conversational flexibility.</w:t>
            </w:r>
          </w:p>
          <w:p w14:paraId="0C0189FA" w14:textId="06D2F25D"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From a conceptual perspective, this reflects a broader tension within investigative interviewing literature between structure and adaptability. Walsh and Milne (20</w:t>
            </w:r>
            <w:r w:rsidR="00A645FD" w:rsidRPr="003D62F0">
              <w:rPr>
                <w:rFonts w:ascii="Aptos" w:eastAsia="Times New Roman" w:hAnsi="Aptos" w:cs="Aptos"/>
                <w:color w:val="000000"/>
                <w:sz w:val="24"/>
                <w:szCs w:val="24"/>
              </w:rPr>
              <w:t>08</w:t>
            </w:r>
            <w:r w:rsidRPr="006005C6">
              <w:rPr>
                <w:rFonts w:ascii="Aptos" w:eastAsia="Times New Roman" w:hAnsi="Aptos" w:cs="Aptos"/>
                <w:color w:val="000000"/>
                <w:sz w:val="24"/>
                <w:szCs w:val="24"/>
              </w:rPr>
              <w:t xml:space="preserve">) argue that while planning is essential, excessive rigidity can undermine the relational </w:t>
            </w:r>
            <w:r w:rsidRPr="006005C6">
              <w:rPr>
                <w:rFonts w:ascii="Aptos" w:eastAsia="Times New Roman" w:hAnsi="Aptos" w:cs="Aptos"/>
                <w:color w:val="000000"/>
                <w:sz w:val="24"/>
                <w:szCs w:val="24"/>
              </w:rPr>
              <w:lastRenderedPageBreak/>
              <w:t>and cognitive aspects of interviewing. This insight is particularly relevant in organised crime contexts where suspects are often resistant to engagement.</w:t>
            </w:r>
          </w:p>
          <w:p w14:paraId="3216E09C" w14:textId="77777777" w:rsidR="006005C6" w:rsidRPr="003D62F0"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Kolb’s Experiential Learning Theory further develops this reflection by framing the investigation as a cycle of concrete experience, reflective observation, abstract conceptualisation and active experimentation. The concrete experience involved managing complex interviews under evidential and legal constraints. Reflective observation identified limitations in flexibility and variability across interview teams. Abstract conceptualisation linked these observations to academic literature on cognitive load, disclosure strategy and structured interviewing. Finally, active experimentation informs future practice by emphasising the need for more adaptive planning frameworks that preserve structure while enabling interviewer discretion.</w:t>
            </w:r>
          </w:p>
          <w:p w14:paraId="4CB7998B" w14:textId="77777777" w:rsidR="006005C6" w:rsidRPr="006005C6" w:rsidRDefault="006005C6" w:rsidP="006005C6">
            <w:pPr>
              <w:rPr>
                <w:rFonts w:ascii="Aptos" w:eastAsia="Times New Roman" w:hAnsi="Aptos" w:cs="Aptos"/>
                <w:color w:val="000000"/>
                <w:sz w:val="24"/>
                <w:szCs w:val="24"/>
              </w:rPr>
            </w:pPr>
          </w:p>
          <w:p w14:paraId="32B3A1A1" w14:textId="77777777" w:rsidR="006005C6" w:rsidRPr="006005C6" w:rsidRDefault="006005C6" w:rsidP="006005C6">
            <w:pPr>
              <w:rPr>
                <w:rFonts w:ascii="Aptos" w:eastAsia="Times New Roman" w:hAnsi="Aptos" w:cs="Aptos"/>
                <w:b/>
                <w:bCs/>
                <w:color w:val="000000"/>
                <w:sz w:val="24"/>
                <w:szCs w:val="24"/>
              </w:rPr>
            </w:pPr>
            <w:r w:rsidRPr="006005C6">
              <w:rPr>
                <w:rFonts w:ascii="Aptos" w:eastAsia="Times New Roman" w:hAnsi="Aptos" w:cs="Aptos"/>
                <w:b/>
                <w:bCs/>
                <w:color w:val="000000"/>
                <w:sz w:val="24"/>
                <w:szCs w:val="24"/>
              </w:rPr>
              <w:t>Conclusion</w:t>
            </w:r>
          </w:p>
          <w:p w14:paraId="304C78FA"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This investigation demonstrates the complexity of interviewing within a high-level organised crime environment involving sophisticated drug trafficking networks. The PEACE model provided a robust ethical and procedural framework that ensured fairness, legal compliance and evidential integrity. However, its effectiveness was dependent upon the quality of planning, interviewer competence and organisational reinforcement of professional standards.</w:t>
            </w:r>
          </w:p>
          <w:p w14:paraId="00C9E059" w14:textId="282A3F52" w:rsidR="006005C6" w:rsidRPr="003D62F0"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Critically, interviews were not successful because they generated confessions, but because they systematically tested evidence, exposed inconsistencies and strengthened the evidential foundation for prosecution. Planning played a central role in this process, ensuring coherence across multiple jurisdictions and evidential domains.</w:t>
            </w:r>
            <w:r w:rsidRPr="003D62F0">
              <w:rPr>
                <w:rFonts w:ascii="Aptos" w:eastAsia="Times New Roman" w:hAnsi="Aptos" w:cs="Aptos"/>
                <w:color w:val="000000"/>
                <w:sz w:val="24"/>
                <w:szCs w:val="24"/>
              </w:rPr>
              <w:t xml:space="preserve"> </w:t>
            </w:r>
          </w:p>
          <w:p w14:paraId="67135815" w14:textId="3231071D" w:rsidR="006005C6" w:rsidRPr="003D62F0" w:rsidRDefault="006005C6" w:rsidP="006005C6">
            <w:pPr>
              <w:rPr>
                <w:rFonts w:ascii="Aptos" w:eastAsia="Times New Roman" w:hAnsi="Aptos" w:cs="Aptos"/>
                <w:color w:val="000000"/>
                <w:sz w:val="24"/>
                <w:szCs w:val="24"/>
              </w:rPr>
            </w:pPr>
            <w:r w:rsidRPr="003D62F0">
              <w:rPr>
                <w:rFonts w:ascii="Aptos" w:eastAsia="Times New Roman" w:hAnsi="Aptos" w:cs="Aptos"/>
                <w:color w:val="000000"/>
                <w:sz w:val="24"/>
                <w:szCs w:val="24"/>
              </w:rPr>
              <w:t xml:space="preserve">On reflection a Tier 5 Interview co-ordinator should have been allocated and would have benefitted the cohesion between interview teams and supported the SIO in this specific area </w:t>
            </w:r>
            <w:r w:rsidR="007A2F17" w:rsidRPr="003D62F0">
              <w:rPr>
                <w:rFonts w:ascii="Aptos" w:eastAsia="Times New Roman" w:hAnsi="Aptos" w:cs="Aptos"/>
                <w:color w:val="000000"/>
                <w:sz w:val="24"/>
                <w:szCs w:val="24"/>
              </w:rPr>
              <w:t xml:space="preserve">whilst managing the </w:t>
            </w:r>
            <w:r w:rsidRPr="003D62F0">
              <w:rPr>
                <w:rFonts w:ascii="Aptos" w:eastAsia="Times New Roman" w:hAnsi="Aptos" w:cs="Aptos"/>
                <w:color w:val="000000"/>
                <w:sz w:val="24"/>
                <w:szCs w:val="24"/>
              </w:rPr>
              <w:t>dema</w:t>
            </w:r>
            <w:r w:rsidR="007A2F17" w:rsidRPr="003D62F0">
              <w:rPr>
                <w:rFonts w:ascii="Aptos" w:eastAsia="Times New Roman" w:hAnsi="Aptos" w:cs="Aptos"/>
                <w:color w:val="000000"/>
                <w:sz w:val="24"/>
                <w:szCs w:val="24"/>
              </w:rPr>
              <w:t>nd of Custody reviews, expediting lines of enquiries and written requests for the Supt Extension authority to detention beyond the initial PACE 24 hours</w:t>
            </w:r>
            <w:r w:rsidRPr="003D62F0">
              <w:rPr>
                <w:rFonts w:ascii="Aptos" w:eastAsia="Times New Roman" w:hAnsi="Aptos" w:cs="Aptos"/>
                <w:color w:val="000000"/>
                <w:sz w:val="24"/>
                <w:szCs w:val="24"/>
              </w:rPr>
              <w:t>.</w:t>
            </w:r>
          </w:p>
          <w:p w14:paraId="72E9FDBF" w14:textId="4900BAD2" w:rsidR="009367F6" w:rsidRPr="003D62F0" w:rsidRDefault="009367F6" w:rsidP="009367F6">
            <w:pPr>
              <w:rPr>
                <w:rFonts w:ascii="Aptos" w:eastAsia="Times New Roman" w:hAnsi="Aptos" w:cs="Aptos"/>
                <w:color w:val="000000"/>
                <w:sz w:val="24"/>
                <w:szCs w:val="24"/>
              </w:rPr>
            </w:pPr>
            <w:r w:rsidRPr="003D62F0">
              <w:rPr>
                <w:rFonts w:ascii="Aptos" w:eastAsia="Times New Roman" w:hAnsi="Aptos" w:cs="Aptos"/>
                <w:color w:val="000000"/>
                <w:sz w:val="24"/>
                <w:szCs w:val="24"/>
              </w:rPr>
              <w:t>A further consideration arising from the post-interview phase relates to the use of statutory frameworks such as the Serious Organised Crime and Police Act 2005 (SOCPA), particularly sections 71–74 concerning assistance to offenders who provide cooperation or “Queen’s evidence” style arrangements</w:t>
            </w:r>
            <w:r w:rsidRPr="003D62F0">
              <w:rPr>
                <w:rFonts w:ascii="Aptos" w:eastAsia="Times New Roman" w:hAnsi="Aptos" w:cs="Aptos"/>
                <w:color w:val="000000"/>
                <w:sz w:val="24"/>
                <w:szCs w:val="24"/>
              </w:rPr>
              <w:t>. T</w:t>
            </w:r>
            <w:r w:rsidRPr="003D62F0">
              <w:rPr>
                <w:rFonts w:ascii="Aptos" w:eastAsia="Times New Roman" w:hAnsi="Aptos" w:cs="Aptos"/>
                <w:color w:val="000000"/>
                <w:sz w:val="24"/>
                <w:szCs w:val="24"/>
              </w:rPr>
              <w:t>he existence of SOCPA provisions has a material influence on suspect decision-making during interview processes in serious organised crime cases. Defendants are often aware, either through legal advice or prior exposure to the criminal justice system, that cooperation can potentially lead to reduced sentencing or immunity considerations.</w:t>
            </w:r>
          </w:p>
          <w:p w14:paraId="16776F30" w14:textId="3C0BD7B1" w:rsidR="009367F6" w:rsidRPr="006005C6" w:rsidRDefault="009367F6" w:rsidP="009367F6">
            <w:pPr>
              <w:rPr>
                <w:rFonts w:ascii="Aptos" w:eastAsia="Times New Roman" w:hAnsi="Aptos" w:cs="Aptos"/>
                <w:color w:val="000000"/>
                <w:sz w:val="24"/>
                <w:szCs w:val="24"/>
              </w:rPr>
            </w:pPr>
            <w:r w:rsidRPr="003D62F0">
              <w:rPr>
                <w:rFonts w:ascii="Aptos" w:eastAsia="Times New Roman" w:hAnsi="Aptos" w:cs="Aptos"/>
                <w:color w:val="000000"/>
                <w:sz w:val="24"/>
                <w:szCs w:val="24"/>
              </w:rPr>
              <w:t xml:space="preserve">From a critical perspective, this introduces an additional strategic dimension to investigative interviewing, as suspects may calibrate their level of engagement not solely on evidential strength, but also on perceived benefit from post-offence assistance mechanisms. As a result, “no comment” strategies may be maintained until later stages of proceedings when defendants assess the potential value of cooperation under SOCPA provisions. This reinforces the importance of robust, evidence-led interviews, as early-stage investigative decisions may significantly influence later prosecutorial negotiation dynamics. In this case, the strength of the evidential package reduced reliance on such mechanisms, ensuring that prosecution </w:t>
            </w:r>
            <w:r w:rsidRPr="003D62F0">
              <w:rPr>
                <w:rFonts w:ascii="Aptos" w:eastAsia="Times New Roman" w:hAnsi="Aptos" w:cs="Aptos"/>
                <w:color w:val="000000"/>
                <w:sz w:val="24"/>
                <w:szCs w:val="24"/>
              </w:rPr>
              <w:lastRenderedPageBreak/>
              <w:t>strategy remained grounded in objective corroboration rather than incentivised cooperation</w:t>
            </w:r>
            <w:r w:rsidRPr="003D62F0">
              <w:rPr>
                <w:rFonts w:ascii="Aptos" w:eastAsia="Times New Roman" w:hAnsi="Aptos" w:cs="Aptos"/>
                <w:color w:val="000000"/>
                <w:sz w:val="24"/>
                <w:szCs w:val="24"/>
              </w:rPr>
              <w:t>.</w:t>
            </w:r>
          </w:p>
          <w:p w14:paraId="5BB05B6C"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Reflective analysis highlights the importance of balancing structure with adaptability. While planning improved consistency and legal defensibility, excessive rigidity risked limiting conversational effectiveness. Future practice should therefore focus on enhancing dynamic decision-making within structured frameworks, ensuring that investigative interviewing remains both ethically sound and operationally responsive.</w:t>
            </w:r>
          </w:p>
          <w:p w14:paraId="17B014B5" w14:textId="77777777" w:rsidR="006005C6" w:rsidRPr="006005C6" w:rsidRDefault="006005C6" w:rsidP="006005C6">
            <w:pPr>
              <w:rPr>
                <w:rFonts w:ascii="Aptos" w:eastAsia="Times New Roman" w:hAnsi="Aptos" w:cs="Aptos"/>
                <w:color w:val="000000"/>
                <w:sz w:val="24"/>
                <w:szCs w:val="24"/>
              </w:rPr>
            </w:pPr>
            <w:r w:rsidRPr="006005C6">
              <w:rPr>
                <w:rFonts w:ascii="Aptos" w:eastAsia="Times New Roman" w:hAnsi="Aptos" w:cs="Aptos"/>
                <w:color w:val="000000"/>
                <w:sz w:val="24"/>
                <w:szCs w:val="24"/>
              </w:rPr>
              <w:t>Overall, the investigation reinforces that modern investigative success is defined not by admissions alone, but by the ability to integrate complex intelligence, maintain professional interviewing standards and construct legally sustainable evidential narratives within highly sophisticated criminal environments.</w:t>
            </w:r>
          </w:p>
          <w:p w14:paraId="7376DB09" w14:textId="77777777" w:rsidR="006005C6" w:rsidRPr="003D62F0" w:rsidRDefault="006005C6">
            <w:pPr>
              <w:ind w:right="237"/>
              <w:jc w:val="both"/>
              <w:rPr>
                <w:rFonts w:ascii="Aptos" w:eastAsia="Arial" w:hAnsi="Aptos" w:cs="Arial"/>
                <w:iCs/>
                <w:color w:val="000000"/>
                <w:sz w:val="24"/>
                <w:szCs w:val="24"/>
              </w:rPr>
            </w:pPr>
          </w:p>
          <w:p w14:paraId="1B4120CA" w14:textId="4C0A14B3" w:rsidR="00C71A58" w:rsidRPr="006005C6" w:rsidRDefault="00C71A58">
            <w:pPr>
              <w:ind w:right="237"/>
              <w:jc w:val="both"/>
              <w:rPr>
                <w:rFonts w:ascii="Arial" w:eastAsia="Arial" w:hAnsi="Arial" w:cs="Arial"/>
                <w:iCs/>
                <w:color w:val="000000"/>
                <w:sz w:val="24"/>
                <w:szCs w:val="24"/>
              </w:rPr>
            </w:pPr>
            <w:r w:rsidRPr="003D62F0">
              <w:rPr>
                <w:rFonts w:ascii="Aptos" w:eastAsia="Arial" w:hAnsi="Aptos" w:cs="Arial"/>
                <w:iCs/>
                <w:color w:val="000000"/>
                <w:sz w:val="24"/>
                <w:szCs w:val="24"/>
              </w:rPr>
              <w:t xml:space="preserve">Word Count - </w:t>
            </w:r>
            <w:r w:rsidR="009367F6" w:rsidRPr="003D62F0">
              <w:rPr>
                <w:rFonts w:ascii="Aptos" w:eastAsia="Arial" w:hAnsi="Aptos" w:cs="Arial"/>
                <w:iCs/>
                <w:color w:val="000000"/>
                <w:sz w:val="24"/>
                <w:szCs w:val="24"/>
              </w:rPr>
              <w:t>20</w:t>
            </w:r>
            <w:r w:rsidR="000B140F">
              <w:rPr>
                <w:rFonts w:ascii="Aptos" w:eastAsia="Arial" w:hAnsi="Aptos" w:cs="Arial"/>
                <w:iCs/>
                <w:color w:val="000000"/>
                <w:sz w:val="24"/>
                <w:szCs w:val="24"/>
              </w:rPr>
              <w:t>50</w:t>
            </w:r>
          </w:p>
        </w:tc>
      </w:tr>
    </w:tbl>
    <w:p w14:paraId="3969B2E8" w14:textId="77777777" w:rsidR="007A7D1B" w:rsidRDefault="007A7D1B">
      <w:pPr>
        <w:ind w:left="3600" w:right="107" w:firstLine="720"/>
        <w:jc w:val="both"/>
        <w:rPr>
          <w:rFonts w:ascii="Arial" w:eastAsia="Arial" w:hAnsi="Arial" w:cs="Arial"/>
          <w:b/>
          <w:color w:val="000000"/>
          <w:sz w:val="24"/>
          <w:szCs w:val="24"/>
        </w:rPr>
      </w:pPr>
    </w:p>
    <w:p w14:paraId="27015024" w14:textId="77777777" w:rsidR="007A7D1B" w:rsidRDefault="0032684D">
      <w:pPr>
        <w:ind w:right="107"/>
        <w:jc w:val="both"/>
        <w:rPr>
          <w:rFonts w:ascii="Arial" w:eastAsia="Arial" w:hAnsi="Arial" w:cs="Arial"/>
          <w:b/>
          <w:i/>
          <w:color w:val="000000"/>
          <w:sz w:val="24"/>
          <w:szCs w:val="24"/>
        </w:rPr>
      </w:pPr>
      <w:r>
        <w:rPr>
          <w:rFonts w:ascii="Arial" w:eastAsia="Arial" w:hAnsi="Arial" w:cs="Arial"/>
          <w:b/>
          <w:i/>
          <w:color w:val="000000"/>
          <w:sz w:val="24"/>
          <w:szCs w:val="24"/>
        </w:rPr>
        <w:t>Task 4: Investigation documentation processes</w:t>
      </w:r>
    </w:p>
    <w:p w14:paraId="786C3118" w14:textId="77777777" w:rsidR="007A7D1B" w:rsidRDefault="0032684D">
      <w:pPr>
        <w:rPr>
          <w:rFonts w:ascii="Arial" w:eastAsia="Arial" w:hAnsi="Arial" w:cs="Arial"/>
          <w:color w:val="000000"/>
          <w:sz w:val="24"/>
          <w:szCs w:val="24"/>
        </w:rPr>
      </w:pPr>
      <w:r>
        <w:rPr>
          <w:rFonts w:ascii="Arial" w:eastAsia="Arial" w:hAnsi="Arial" w:cs="Arial"/>
          <w:color w:val="000000"/>
          <w:sz w:val="24"/>
          <w:szCs w:val="24"/>
        </w:rPr>
        <w:t xml:space="preserve"> </w:t>
      </w:r>
    </w:p>
    <w:tbl>
      <w:tblPr>
        <w:tblStyle w:val="a4"/>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7A7D1B" w14:paraId="76AC59C7" w14:textId="77777777">
        <w:tc>
          <w:tcPr>
            <w:tcW w:w="9015" w:type="dxa"/>
          </w:tcPr>
          <w:p w14:paraId="69A45283" w14:textId="77777777" w:rsidR="007A7D1B" w:rsidRDefault="007A7D1B">
            <w:pPr>
              <w:rPr>
                <w:rFonts w:ascii="Arial" w:eastAsia="Arial" w:hAnsi="Arial" w:cs="Arial"/>
                <w:b/>
                <w:color w:val="000000"/>
                <w:sz w:val="24"/>
                <w:szCs w:val="24"/>
              </w:rPr>
            </w:pPr>
          </w:p>
          <w:p w14:paraId="5FFE61E6" w14:textId="77777777" w:rsidR="007A7D1B" w:rsidRDefault="0032684D">
            <w:pPr>
              <w:rPr>
                <w:rFonts w:ascii="Arial" w:eastAsia="Arial" w:hAnsi="Arial" w:cs="Arial"/>
                <w:color w:val="000000"/>
                <w:sz w:val="24"/>
                <w:szCs w:val="24"/>
              </w:rPr>
            </w:pPr>
            <w:r>
              <w:rPr>
                <w:rFonts w:ascii="Arial" w:eastAsia="Arial" w:hAnsi="Arial" w:cs="Arial"/>
                <w:b/>
                <w:color w:val="000000"/>
                <w:sz w:val="24"/>
                <w:szCs w:val="24"/>
              </w:rPr>
              <w:t>Outline</w:t>
            </w:r>
            <w:r>
              <w:rPr>
                <w:rFonts w:ascii="Arial" w:eastAsia="Arial" w:hAnsi="Arial" w:cs="Arial"/>
                <w:color w:val="000000"/>
                <w:sz w:val="24"/>
                <w:szCs w:val="24"/>
              </w:rPr>
              <w:t xml:space="preserve"> the statutory duties of disclosure within criminal investigations that investigators must adhere to.</w:t>
            </w:r>
          </w:p>
          <w:p w14:paraId="3CFEAD7D" w14:textId="77777777" w:rsidR="007A7D1B" w:rsidRDefault="007A7D1B">
            <w:pPr>
              <w:rPr>
                <w:rFonts w:ascii="Arial" w:eastAsia="Arial" w:hAnsi="Arial" w:cs="Arial"/>
                <w:color w:val="000000"/>
                <w:sz w:val="24"/>
                <w:szCs w:val="24"/>
              </w:rPr>
            </w:pPr>
          </w:p>
          <w:p w14:paraId="115274B2" w14:textId="77777777" w:rsidR="007A7D1B" w:rsidRDefault="0032684D">
            <w:pPr>
              <w:rPr>
                <w:rFonts w:ascii="Arial" w:eastAsia="Arial" w:hAnsi="Arial" w:cs="Arial"/>
                <w:color w:val="000000"/>
                <w:sz w:val="24"/>
                <w:szCs w:val="24"/>
              </w:rPr>
            </w:pPr>
            <w:r>
              <w:rPr>
                <w:rFonts w:ascii="Arial" w:eastAsia="Arial" w:hAnsi="Arial" w:cs="Arial"/>
                <w:b/>
                <w:color w:val="000000"/>
                <w:sz w:val="24"/>
                <w:szCs w:val="24"/>
              </w:rPr>
              <w:t>Critically explore</w:t>
            </w:r>
            <w:r>
              <w:rPr>
                <w:rFonts w:ascii="Arial" w:eastAsia="Arial" w:hAnsi="Arial" w:cs="Arial"/>
                <w:color w:val="000000"/>
                <w:sz w:val="24"/>
                <w:szCs w:val="24"/>
              </w:rPr>
              <w:t xml:space="preserve"> the challenges that disclosure presents to investigators, offering potential solutions where appropriate.</w:t>
            </w:r>
          </w:p>
          <w:p w14:paraId="235393CD" w14:textId="77777777" w:rsidR="007A7D1B" w:rsidRDefault="007A7D1B">
            <w:pPr>
              <w:rPr>
                <w:rFonts w:ascii="Arial" w:eastAsia="Arial" w:hAnsi="Arial" w:cs="Arial"/>
                <w:color w:val="000000"/>
                <w:sz w:val="24"/>
                <w:szCs w:val="24"/>
              </w:rPr>
            </w:pPr>
          </w:p>
          <w:p w14:paraId="5859EFB8" w14:textId="77777777" w:rsidR="007A7D1B" w:rsidRDefault="0032684D">
            <w:pPr>
              <w:rPr>
                <w:rFonts w:ascii="Arial" w:eastAsia="Arial" w:hAnsi="Arial" w:cs="Arial"/>
                <w:color w:val="000000"/>
                <w:sz w:val="24"/>
                <w:szCs w:val="24"/>
              </w:rPr>
            </w:pPr>
            <w:r>
              <w:rPr>
                <w:rFonts w:ascii="Arial" w:eastAsia="Arial" w:hAnsi="Arial" w:cs="Arial"/>
                <w:color w:val="000000"/>
                <w:sz w:val="24"/>
                <w:szCs w:val="24"/>
              </w:rPr>
              <w:t>You may draw upon examples from your own professional practice as illustration.</w:t>
            </w:r>
          </w:p>
          <w:p w14:paraId="0D4E544B" w14:textId="77777777" w:rsidR="007A7D1B" w:rsidRDefault="007A7D1B">
            <w:pPr>
              <w:rPr>
                <w:rFonts w:ascii="Arial" w:eastAsia="Arial" w:hAnsi="Arial" w:cs="Arial"/>
                <w:color w:val="000000"/>
                <w:sz w:val="24"/>
                <w:szCs w:val="24"/>
              </w:rPr>
            </w:pPr>
          </w:p>
          <w:p w14:paraId="11046AAF" w14:textId="77777777" w:rsidR="007A7D1B" w:rsidRDefault="0032684D">
            <w:pPr>
              <w:rPr>
                <w:rFonts w:ascii="Arial" w:eastAsia="Arial" w:hAnsi="Arial" w:cs="Arial"/>
                <w:sz w:val="24"/>
                <w:szCs w:val="24"/>
              </w:rPr>
            </w:pPr>
            <w:r>
              <w:rPr>
                <w:rFonts w:ascii="Arial" w:eastAsia="Arial" w:hAnsi="Arial" w:cs="Arial"/>
                <w:b/>
                <w:color w:val="000000"/>
                <w:sz w:val="24"/>
                <w:szCs w:val="24"/>
              </w:rPr>
              <w:t xml:space="preserve">2000 words </w:t>
            </w:r>
            <w:r>
              <w:rPr>
                <w:rFonts w:ascii="Arial" w:eastAsia="Arial" w:hAnsi="Arial" w:cs="Arial"/>
                <w:i/>
                <w:color w:val="000000"/>
                <w:sz w:val="24"/>
                <w:szCs w:val="24"/>
              </w:rPr>
              <w:t>(+/- 10%: include your actual word count at the end of each section)</w:t>
            </w:r>
          </w:p>
          <w:p w14:paraId="4C421EFF" w14:textId="77777777" w:rsidR="007A7D1B" w:rsidRDefault="007A7D1B">
            <w:pPr>
              <w:rPr>
                <w:rFonts w:ascii="Arial" w:eastAsia="Arial" w:hAnsi="Arial" w:cs="Arial"/>
                <w:i/>
                <w:color w:val="000000"/>
                <w:sz w:val="24"/>
                <w:szCs w:val="24"/>
              </w:rPr>
            </w:pPr>
          </w:p>
          <w:p w14:paraId="76D6D853" w14:textId="77777777" w:rsidR="00D157E9" w:rsidRPr="003D62F0" w:rsidRDefault="00D157E9" w:rsidP="00D157E9">
            <w:pPr>
              <w:rPr>
                <w:rFonts w:ascii="Aptos" w:eastAsia="Times New Roman" w:hAnsi="Aptos" w:cs="Aptos"/>
                <w:b/>
                <w:bCs/>
                <w:color w:val="000000"/>
                <w:sz w:val="24"/>
                <w:szCs w:val="24"/>
              </w:rPr>
            </w:pPr>
            <w:r w:rsidRPr="00D157E9">
              <w:rPr>
                <w:rFonts w:ascii="Aptos" w:eastAsia="Times New Roman" w:hAnsi="Aptos" w:cs="Aptos"/>
                <w:b/>
                <w:bCs/>
                <w:color w:val="000000"/>
                <w:sz w:val="24"/>
                <w:szCs w:val="24"/>
              </w:rPr>
              <w:t>Statutory Duties of Disclosure in Criminal Investigations and Operational Challenges in Contemporary Policing (England and Wales)</w:t>
            </w:r>
          </w:p>
          <w:p w14:paraId="1807C1E9" w14:textId="77777777" w:rsidR="00D157E9" w:rsidRPr="00D157E9" w:rsidRDefault="00D157E9" w:rsidP="00D157E9">
            <w:pPr>
              <w:rPr>
                <w:rFonts w:ascii="Aptos" w:eastAsia="Times New Roman" w:hAnsi="Aptos" w:cs="Aptos"/>
                <w:b/>
                <w:bCs/>
                <w:color w:val="000000"/>
                <w:sz w:val="24"/>
                <w:szCs w:val="24"/>
              </w:rPr>
            </w:pPr>
          </w:p>
          <w:p w14:paraId="2B35F23F" w14:textId="77777777" w:rsidR="00D157E9" w:rsidRPr="00D157E9" w:rsidRDefault="00D157E9" w:rsidP="00D157E9">
            <w:pPr>
              <w:rPr>
                <w:rFonts w:ascii="Aptos" w:eastAsia="Times New Roman" w:hAnsi="Aptos" w:cs="Aptos"/>
                <w:b/>
                <w:bCs/>
                <w:color w:val="000000"/>
                <w:sz w:val="24"/>
                <w:szCs w:val="24"/>
              </w:rPr>
            </w:pPr>
            <w:r w:rsidRPr="00D157E9">
              <w:rPr>
                <w:rFonts w:ascii="Aptos" w:eastAsia="Times New Roman" w:hAnsi="Aptos" w:cs="Aptos"/>
                <w:b/>
                <w:bCs/>
                <w:color w:val="000000"/>
                <w:sz w:val="24"/>
                <w:szCs w:val="24"/>
              </w:rPr>
              <w:t>Introduction</w:t>
            </w:r>
          </w:p>
          <w:p w14:paraId="4F9B2BBC"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 xml:space="preserve">Disclosure in criminal investigations in England and Wales is a cornerstone of procedural fairness and due process, ensuring that prosecutions are conducted transparently and that defendants </w:t>
            </w:r>
            <w:proofErr w:type="gramStart"/>
            <w:r w:rsidRPr="00D157E9">
              <w:rPr>
                <w:rFonts w:ascii="Aptos" w:eastAsia="Times New Roman" w:hAnsi="Aptos" w:cs="Aptos"/>
                <w:color w:val="000000"/>
                <w:sz w:val="24"/>
                <w:szCs w:val="24"/>
              </w:rPr>
              <w:t>are able to</w:t>
            </w:r>
            <w:proofErr w:type="gramEnd"/>
            <w:r w:rsidRPr="00D157E9">
              <w:rPr>
                <w:rFonts w:ascii="Aptos" w:eastAsia="Times New Roman" w:hAnsi="Aptos" w:cs="Aptos"/>
                <w:color w:val="000000"/>
                <w:sz w:val="24"/>
                <w:szCs w:val="24"/>
              </w:rPr>
              <w:t xml:space="preserve"> effectively challenge the case against them. The statutory framework is primarily governed by the Criminal Procedure and Investigations Act 1996 (CPIA), supported by the CPIA Code of Practice, Attorney General’s Guidelines (2024), and Crown Prosecution Service (CPS) disclosure manuals.</w:t>
            </w:r>
          </w:p>
          <w:p w14:paraId="0EE9A4C4"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At its core, disclosure requires investigators to identify and retain all material that may undermine the prosecution case or assist the defence. However, while the legislative intent is rooted in fairness and equality of arms under Article 6 ECHR, the operational reality of disclosure has become increasingly complex due to digital transformation, intelligence-led policing, and expanded evidential datasets.</w:t>
            </w:r>
          </w:p>
          <w:p w14:paraId="3462A209" w14:textId="77777777" w:rsidR="00D157E9" w:rsidRPr="003D62F0"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 xml:space="preserve">Modern investigators operate in an environment where a single investigation may involve terabytes of digital data, covert policing tactics, and multi-agency intelligence systems. This has resulted in a growing tension between legal compliance, </w:t>
            </w:r>
            <w:r w:rsidRPr="00D157E9">
              <w:rPr>
                <w:rFonts w:ascii="Aptos" w:eastAsia="Times New Roman" w:hAnsi="Aptos" w:cs="Aptos"/>
                <w:color w:val="000000"/>
                <w:sz w:val="24"/>
                <w:szCs w:val="24"/>
              </w:rPr>
              <w:lastRenderedPageBreak/>
              <w:t>operational efficiency, and investigative pragmatism. This essay critically evaluates statutory disclosure duties, explores operational challenges including digital evidence and undercover policing, and assesses mitigation strategies such as MG6 schedules, Investigation Management Documents (IMDs), and Disclosure Management Documents (DMDs). A reflective section applying Gibbs’ (1988) and Kolb’s (1984) learning models is included to demonstrate applied professional learning and critical development.</w:t>
            </w:r>
          </w:p>
          <w:p w14:paraId="6253AC98" w14:textId="77777777" w:rsidR="00D63C6B" w:rsidRPr="00D157E9" w:rsidRDefault="00D63C6B" w:rsidP="00D157E9">
            <w:pPr>
              <w:rPr>
                <w:rFonts w:ascii="Aptos" w:eastAsia="Times New Roman" w:hAnsi="Aptos" w:cs="Aptos"/>
                <w:color w:val="000000"/>
                <w:sz w:val="24"/>
                <w:szCs w:val="24"/>
              </w:rPr>
            </w:pPr>
          </w:p>
          <w:p w14:paraId="46EEFAE7" w14:textId="77777777" w:rsidR="00D157E9" w:rsidRPr="00D157E9" w:rsidRDefault="00D157E9" w:rsidP="00D157E9">
            <w:pPr>
              <w:rPr>
                <w:rFonts w:ascii="Aptos" w:eastAsia="Times New Roman" w:hAnsi="Aptos" w:cs="Aptos"/>
                <w:b/>
                <w:bCs/>
                <w:color w:val="000000"/>
                <w:sz w:val="24"/>
                <w:szCs w:val="24"/>
              </w:rPr>
            </w:pPr>
            <w:r w:rsidRPr="00D157E9">
              <w:rPr>
                <w:rFonts w:ascii="Aptos" w:eastAsia="Times New Roman" w:hAnsi="Aptos" w:cs="Aptos"/>
                <w:b/>
                <w:bCs/>
                <w:color w:val="000000"/>
                <w:sz w:val="24"/>
                <w:szCs w:val="24"/>
              </w:rPr>
              <w:t>Statutory Framework Governing Disclosure</w:t>
            </w:r>
          </w:p>
          <w:p w14:paraId="591C3C45"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The CPIA 1996 establishes the primary statutory duty on investigators and prosecutors. Section 3 imposes a continuing obligation on the prosecution to disclose material that “might reasonably be considered capable of undermining the case for the prosecution or assisting the case for the accused.” This formulation deliberately introduces a low threshold for disclosure relevance, reinforcing the principle that fairness must be prioritised over prosecutorial advantage.</w:t>
            </w:r>
          </w:p>
          <w:p w14:paraId="2B41006E"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 xml:space="preserve">The CPIA Code of Practice further requires investigators to pursue all reasonable lines of enquiry, whether exculpatory or inculpatory, and to retain all relevant material. This duty is central to preventing cognitive bias within investigations, a concern widely recognised in investigative psychology literature (Ask and </w:t>
            </w:r>
            <w:proofErr w:type="spellStart"/>
            <w:r w:rsidRPr="00D157E9">
              <w:rPr>
                <w:rFonts w:ascii="Aptos" w:eastAsia="Times New Roman" w:hAnsi="Aptos" w:cs="Aptos"/>
                <w:color w:val="000000"/>
                <w:sz w:val="24"/>
                <w:szCs w:val="24"/>
              </w:rPr>
              <w:t>Granhag</w:t>
            </w:r>
            <w:proofErr w:type="spellEnd"/>
            <w:r w:rsidRPr="00D157E9">
              <w:rPr>
                <w:rFonts w:ascii="Aptos" w:eastAsia="Times New Roman" w:hAnsi="Aptos" w:cs="Aptos"/>
                <w:color w:val="000000"/>
                <w:sz w:val="24"/>
                <w:szCs w:val="24"/>
              </w:rPr>
              <w:t>, 2018), which highlights how confirmation bias can distort evidence interpretation.</w:t>
            </w:r>
          </w:p>
          <w:p w14:paraId="77BA3BDF" w14:textId="410EF4FA"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 xml:space="preserve">However, the concept of “relevance” is inherently subjective. In practice, investigators must make discretionary decisions about vast quantities of material, often under time pressure and resource constraints. </w:t>
            </w:r>
            <w:r w:rsidR="009900C2" w:rsidRPr="003D62F0">
              <w:rPr>
                <w:rFonts w:ascii="Aptos" w:eastAsia="Times New Roman" w:hAnsi="Aptos" w:cs="Aptos"/>
                <w:color w:val="000000"/>
                <w:sz w:val="24"/>
                <w:szCs w:val="24"/>
              </w:rPr>
              <w:t>Griffiths, C. (2022)</w:t>
            </w:r>
            <w:r w:rsidR="009900C2" w:rsidRPr="003D62F0">
              <w:rPr>
                <w:rFonts w:ascii="Aptos" w:eastAsia="Times New Roman" w:hAnsi="Aptos" w:cs="Aptos"/>
                <w:color w:val="000000"/>
                <w:sz w:val="24"/>
                <w:szCs w:val="24"/>
              </w:rPr>
              <w:t xml:space="preserve"> </w:t>
            </w:r>
            <w:r w:rsidRPr="00D157E9">
              <w:rPr>
                <w:rFonts w:ascii="Aptos" w:eastAsia="Times New Roman" w:hAnsi="Aptos" w:cs="Aptos"/>
                <w:color w:val="000000"/>
                <w:sz w:val="24"/>
                <w:szCs w:val="24"/>
              </w:rPr>
              <w:t>argue</w:t>
            </w:r>
            <w:r w:rsidR="009900C2" w:rsidRPr="003D62F0">
              <w:rPr>
                <w:rFonts w:ascii="Aptos" w:eastAsia="Times New Roman" w:hAnsi="Aptos" w:cs="Aptos"/>
                <w:color w:val="000000"/>
                <w:sz w:val="24"/>
                <w:szCs w:val="24"/>
              </w:rPr>
              <w:t>s</w:t>
            </w:r>
            <w:r w:rsidRPr="00D157E9">
              <w:rPr>
                <w:rFonts w:ascii="Aptos" w:eastAsia="Times New Roman" w:hAnsi="Aptos" w:cs="Aptos"/>
                <w:color w:val="000000"/>
                <w:sz w:val="24"/>
                <w:szCs w:val="24"/>
              </w:rPr>
              <w:t xml:space="preserve"> that this discretion creates structural inconsistency in disclosure standards across policing organisations, resulting in uneven application of CPIA obligations.</w:t>
            </w:r>
          </w:p>
          <w:p w14:paraId="3E97D7E4" w14:textId="77777777" w:rsidR="00D157E9" w:rsidRPr="003D62F0"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The Attorney General’s Guidelines (2024) reinforce disclosure as a continuing obligation and emphasise early engagement between investigators and prosecutors. Yet, despite these safeguards, disclosure failures remain a recurring issue in appellate case law, demonstrating the gap between legislative intent and operational execution.</w:t>
            </w:r>
          </w:p>
          <w:p w14:paraId="388277B5" w14:textId="77777777" w:rsidR="00D63C6B" w:rsidRPr="00D157E9" w:rsidRDefault="00D63C6B" w:rsidP="00D157E9">
            <w:pPr>
              <w:rPr>
                <w:rFonts w:ascii="Aptos" w:eastAsia="Times New Roman" w:hAnsi="Aptos" w:cs="Aptos"/>
                <w:color w:val="000000"/>
                <w:sz w:val="24"/>
                <w:szCs w:val="24"/>
              </w:rPr>
            </w:pPr>
          </w:p>
          <w:p w14:paraId="624225A9" w14:textId="77777777" w:rsidR="00D157E9" w:rsidRPr="00D157E9" w:rsidRDefault="00D157E9" w:rsidP="00D157E9">
            <w:pPr>
              <w:rPr>
                <w:rFonts w:ascii="Aptos" w:eastAsia="Times New Roman" w:hAnsi="Aptos" w:cs="Aptos"/>
                <w:b/>
                <w:bCs/>
                <w:color w:val="000000"/>
                <w:sz w:val="24"/>
                <w:szCs w:val="24"/>
              </w:rPr>
            </w:pPr>
            <w:r w:rsidRPr="00D157E9">
              <w:rPr>
                <w:rFonts w:ascii="Aptos" w:eastAsia="Times New Roman" w:hAnsi="Aptos" w:cs="Aptos"/>
                <w:b/>
                <w:bCs/>
                <w:color w:val="000000"/>
                <w:sz w:val="24"/>
                <w:szCs w:val="24"/>
              </w:rPr>
              <w:t>Operationalisation of Disclosure: MG Forms, IMDs and DMDs</w:t>
            </w:r>
          </w:p>
          <w:p w14:paraId="1EABAA73"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Disclosure is operationally managed through structured documentation, most notably MG6C (unused non-sensitive material), MG6D (unused sensitive material), and MG6E (disclosure officer report). These documents are intended to provide transparency and accountability in evidential handling.</w:t>
            </w:r>
          </w:p>
          <w:p w14:paraId="3AB6C064"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However, the increasing complexity of investigations has led to additional governance mechanisms, particularly Investigation Management Documents (IMDs) and Disclosure Management Documents (DMDs). IMDs are designed to document investigative rationale and decision-making, but in practice often result in duplication of material already recorded in digital case management systems. This redundancy contributes to administrative burden without necessarily enhancing evidential quality.</w:t>
            </w:r>
          </w:p>
          <w:p w14:paraId="0FFF822A"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 xml:space="preserve">DMDs represent a more recent development aimed at improving disclosure governance in complex cases, particularly those involving large digital datasets or sensitive intelligence material. By agreeing disclosure parameters early with the CPS, DMDs seek to reduce later disputes and streamline case progression. However, their </w:t>
            </w:r>
            <w:r w:rsidRPr="00D157E9">
              <w:rPr>
                <w:rFonts w:ascii="Aptos" w:eastAsia="Times New Roman" w:hAnsi="Aptos" w:cs="Aptos"/>
                <w:color w:val="000000"/>
                <w:sz w:val="24"/>
                <w:szCs w:val="24"/>
              </w:rPr>
              <w:lastRenderedPageBreak/>
              <w:t>effectiveness is dependent on early case clarity, CPS resourcing, and investigator expertise. Research by Harkin and Whelan (2022) suggests that while structured disclosure planning improves efficiency, inconsistent organisational adoption limits its overall impact.</w:t>
            </w:r>
          </w:p>
          <w:p w14:paraId="583143D2" w14:textId="77777777" w:rsidR="00D157E9" w:rsidRPr="00D157E9" w:rsidRDefault="00D157E9" w:rsidP="00D157E9">
            <w:pPr>
              <w:rPr>
                <w:rFonts w:ascii="Aptos" w:eastAsia="Times New Roman" w:hAnsi="Aptos" w:cs="Aptos"/>
                <w:b/>
                <w:bCs/>
                <w:color w:val="000000"/>
                <w:sz w:val="24"/>
                <w:szCs w:val="24"/>
              </w:rPr>
            </w:pPr>
            <w:r w:rsidRPr="00D157E9">
              <w:rPr>
                <w:rFonts w:ascii="Aptos" w:eastAsia="Times New Roman" w:hAnsi="Aptos" w:cs="Aptos"/>
                <w:b/>
                <w:bCs/>
                <w:color w:val="000000"/>
                <w:sz w:val="24"/>
                <w:szCs w:val="24"/>
              </w:rPr>
              <w:t>Digital Evidence and the Challenge of Data Proliferation</w:t>
            </w:r>
          </w:p>
          <w:p w14:paraId="7503C2D3"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One of the most significant operational challenges in modern disclosure is the exponential increase in digital evidence. Smartphones, cloud storage, social media platforms, and encrypted communication applications have transformed evidential landscapes.</w:t>
            </w:r>
          </w:p>
          <w:p w14:paraId="2C561C4E"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Digital forensic literature consistently highlights the “data overload problem,” where investigators are required to review increasingly large datasets within limited timeframes (Quick and Choo, 2018). This creates a structural tension between CPIA obligations and operational feasibility.</w:t>
            </w:r>
          </w:p>
          <w:p w14:paraId="7E88955A"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In practice, investigators increasingly rely on triage methodologies, including keyword searches, automated filtering, and AI-assisted review tools. While these methods improve efficiency, they introduce new epistemological risks. As Casey (2020) argues, digital triage can distort evidential context, leading to potential omission of exculpatory material or over-reliance on algorithmic filtering.</w:t>
            </w:r>
          </w:p>
          <w:p w14:paraId="58D6A6AA"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Critically, the use of AI in disclosure raises questions about transparency and explainability. If defence teams cannot fully understand how digital material has been filtered, the fairness of proceedings may be compromised. This represents a developing area of legal and ethical concern within criminal procedure scholarship.</w:t>
            </w:r>
          </w:p>
          <w:p w14:paraId="3DC4A319"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Sensitive Material and Undercover Policing Constraints</w:t>
            </w:r>
          </w:p>
          <w:p w14:paraId="3BB1B9AB"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Disclosure becomes particularly complex in cases involving undercover policing, covert surveillance, or intelligence-led operations. Material relating to covert human intelligence sources (CHIS), surveillance tactics, or operational methodologies is highly sensitive and may be subject to Public Interest Immunity (PII) applications.</w:t>
            </w:r>
          </w:p>
          <w:p w14:paraId="2C2CA8D1"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This creates a fundamental legal tension between:</w:t>
            </w:r>
          </w:p>
          <w:p w14:paraId="48552FA5"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the defendant’s right to a fair trial (Article 6 ECHR), and</w:t>
            </w:r>
          </w:p>
          <w:p w14:paraId="07119EFE"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the state’s duty to protect life, safety, and operational capability.</w:t>
            </w:r>
          </w:p>
          <w:p w14:paraId="4A0D25C7"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As noted by Brodeur (2019), secrecy is structurally embedded in modern policing, particularly within intelligence-led frameworks, meaning disclosure requirements often conflict with operational necessity.</w:t>
            </w:r>
          </w:p>
          <w:p w14:paraId="756F2346" w14:textId="77777777" w:rsidR="00D157E9" w:rsidRPr="003D62F0"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 xml:space="preserve">The courts are required to balance these competing interests, but this process is inherently uncertain and </w:t>
            </w:r>
            <w:proofErr w:type="gramStart"/>
            <w:r w:rsidRPr="00D157E9">
              <w:rPr>
                <w:rFonts w:ascii="Aptos" w:eastAsia="Times New Roman" w:hAnsi="Aptos" w:cs="Aptos"/>
                <w:color w:val="000000"/>
                <w:sz w:val="24"/>
                <w:szCs w:val="24"/>
              </w:rPr>
              <w:t>case-specific</w:t>
            </w:r>
            <w:proofErr w:type="gramEnd"/>
            <w:r w:rsidRPr="00D157E9">
              <w:rPr>
                <w:rFonts w:ascii="Aptos" w:eastAsia="Times New Roman" w:hAnsi="Aptos" w:cs="Aptos"/>
                <w:color w:val="000000"/>
                <w:sz w:val="24"/>
                <w:szCs w:val="24"/>
              </w:rPr>
              <w:t>. Over-disclosure risks compromising future investigations and officer safety, while under-disclosure risks miscarriages of justice and appeals. The Regulation of Investigatory Powers Act 2000 and subsequent oversight frameworks attempt to manage this tension, but practical difficulties remain significant.</w:t>
            </w:r>
          </w:p>
          <w:p w14:paraId="2A98A176" w14:textId="77777777" w:rsidR="00D63C6B" w:rsidRPr="00D157E9" w:rsidRDefault="00D63C6B" w:rsidP="00D157E9">
            <w:pPr>
              <w:rPr>
                <w:rFonts w:ascii="Aptos" w:eastAsia="Times New Roman" w:hAnsi="Aptos" w:cs="Aptos"/>
                <w:color w:val="000000"/>
                <w:sz w:val="24"/>
                <w:szCs w:val="24"/>
              </w:rPr>
            </w:pPr>
          </w:p>
          <w:p w14:paraId="43A9286B" w14:textId="77777777" w:rsidR="00D157E9" w:rsidRPr="00D157E9" w:rsidRDefault="00D157E9" w:rsidP="00D157E9">
            <w:pPr>
              <w:rPr>
                <w:rFonts w:ascii="Aptos" w:eastAsia="Times New Roman" w:hAnsi="Aptos" w:cs="Aptos"/>
                <w:b/>
                <w:bCs/>
                <w:color w:val="000000"/>
                <w:sz w:val="24"/>
                <w:szCs w:val="24"/>
              </w:rPr>
            </w:pPr>
            <w:r w:rsidRPr="00D157E9">
              <w:rPr>
                <w:rFonts w:ascii="Aptos" w:eastAsia="Times New Roman" w:hAnsi="Aptos" w:cs="Aptos"/>
                <w:b/>
                <w:bCs/>
                <w:color w:val="000000"/>
                <w:sz w:val="24"/>
                <w:szCs w:val="24"/>
              </w:rPr>
              <w:t>Structural Fragmentation and Organisational Challenges</w:t>
            </w:r>
          </w:p>
          <w:p w14:paraId="4B80719A"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A consistent issue in disclosure practice is the fragmentation of systems and processes. Investigators must navigate multiple platforms including NICHE, MG documentation, IMDs, DMDs, and digital forensic outputs. This creates duplication, inconsistency, and increased cognitive workload.</w:t>
            </w:r>
          </w:p>
          <w:p w14:paraId="19930DE5"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 xml:space="preserve">From an organisational perspective, this reflects what Savage and Hyde (2021) describe as “procedural layering,” where additional compliance mechanisms are </w:t>
            </w:r>
            <w:r w:rsidRPr="00D157E9">
              <w:rPr>
                <w:rFonts w:ascii="Aptos" w:eastAsia="Times New Roman" w:hAnsi="Aptos" w:cs="Aptos"/>
                <w:color w:val="000000"/>
                <w:sz w:val="24"/>
                <w:szCs w:val="24"/>
              </w:rPr>
              <w:lastRenderedPageBreak/>
              <w:t>introduced without removing legacy systems. The result is an increasingly complex administrative environment that may detract from investigative focus.</w:t>
            </w:r>
          </w:p>
          <w:p w14:paraId="3988C1B7" w14:textId="77777777" w:rsidR="00D157E9" w:rsidRPr="003D62F0"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Communication between police and CPS also remains a structural weakness. Despite formal guidance promoting collaborative working, disclosure often operates through iterative exchanges rather than integrated case management. This leads to delays, inefficiencies, and increased risk of late-stage disclosure issues.</w:t>
            </w:r>
          </w:p>
          <w:p w14:paraId="08F2FF34" w14:textId="77777777" w:rsidR="00D63C6B" w:rsidRPr="00D157E9" w:rsidRDefault="00D63C6B" w:rsidP="00D157E9">
            <w:pPr>
              <w:rPr>
                <w:rFonts w:ascii="Aptos" w:eastAsia="Times New Roman" w:hAnsi="Aptos" w:cs="Aptos"/>
                <w:color w:val="000000"/>
                <w:sz w:val="24"/>
                <w:szCs w:val="24"/>
              </w:rPr>
            </w:pPr>
          </w:p>
          <w:p w14:paraId="4E7C53CF" w14:textId="77777777" w:rsidR="00D157E9" w:rsidRPr="00D157E9" w:rsidRDefault="00D157E9" w:rsidP="00D157E9">
            <w:pPr>
              <w:rPr>
                <w:rFonts w:ascii="Aptos" w:eastAsia="Times New Roman" w:hAnsi="Aptos" w:cs="Aptos"/>
                <w:b/>
                <w:bCs/>
                <w:color w:val="000000"/>
                <w:sz w:val="24"/>
                <w:szCs w:val="24"/>
              </w:rPr>
            </w:pPr>
            <w:r w:rsidRPr="00D157E9">
              <w:rPr>
                <w:rFonts w:ascii="Aptos" w:eastAsia="Times New Roman" w:hAnsi="Aptos" w:cs="Aptos"/>
                <w:b/>
                <w:bCs/>
                <w:color w:val="000000"/>
                <w:sz w:val="24"/>
                <w:szCs w:val="24"/>
              </w:rPr>
              <w:t>Critical Evaluation: Benefits and Limitations of Disclosure</w:t>
            </w:r>
          </w:p>
          <w:p w14:paraId="12A80D3C"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 xml:space="preserve">The disclosure regime provides essential safeguards within the criminal justice system. It ensures that defendants </w:t>
            </w:r>
            <w:proofErr w:type="gramStart"/>
            <w:r w:rsidRPr="00D157E9">
              <w:rPr>
                <w:rFonts w:ascii="Aptos" w:eastAsia="Times New Roman" w:hAnsi="Aptos" w:cs="Aptos"/>
                <w:color w:val="000000"/>
                <w:sz w:val="24"/>
                <w:szCs w:val="24"/>
              </w:rPr>
              <w:t>are able to</w:t>
            </w:r>
            <w:proofErr w:type="gramEnd"/>
            <w:r w:rsidRPr="00D157E9">
              <w:rPr>
                <w:rFonts w:ascii="Aptos" w:eastAsia="Times New Roman" w:hAnsi="Aptos" w:cs="Aptos"/>
                <w:color w:val="000000"/>
                <w:sz w:val="24"/>
                <w:szCs w:val="24"/>
              </w:rPr>
              <w:t xml:space="preserve"> challenge prosecution evidence, supports judicial integrity, and reduces the risk of miscarriages of justice. It also imposes professional accountability on investigators, requiring structured recording and evidential transparency.</w:t>
            </w:r>
          </w:p>
          <w:p w14:paraId="541072E3"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However, its operational limitations are increasingly evident. The system is heavily resource-dependent, and compliance often competes with investigative urgency. Digital complexity has amplified workload pressures, while sensitivity requirements in covert policing introduce additional legal uncertainty.</w:t>
            </w:r>
          </w:p>
          <w:p w14:paraId="1614623B" w14:textId="77777777" w:rsidR="00D157E9" w:rsidRPr="003D62F0"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Moreover, disclosure may inadvertently incentivise defensive policing practices, where investigators over-disclose to mitigate risk, or adopt overly cautious investigative strategies. This can reduce efficiency and increase prosecutorial delay. As Sanders et al. (2019) note, procedural safeguards in criminal justice often create unintended bureaucratic expansion, which can undermine system effectiveness.</w:t>
            </w:r>
          </w:p>
          <w:p w14:paraId="1A9991D4" w14:textId="77777777" w:rsidR="00D63C6B" w:rsidRPr="00D157E9" w:rsidRDefault="00D63C6B" w:rsidP="00D157E9">
            <w:pPr>
              <w:rPr>
                <w:rFonts w:ascii="Aptos" w:eastAsia="Times New Roman" w:hAnsi="Aptos" w:cs="Aptos"/>
                <w:color w:val="000000"/>
                <w:sz w:val="24"/>
                <w:szCs w:val="24"/>
              </w:rPr>
            </w:pPr>
          </w:p>
          <w:p w14:paraId="27093D43" w14:textId="77777777" w:rsidR="00D157E9" w:rsidRPr="00D157E9" w:rsidRDefault="00D157E9" w:rsidP="00D157E9">
            <w:pPr>
              <w:rPr>
                <w:rFonts w:ascii="Aptos" w:eastAsia="Times New Roman" w:hAnsi="Aptos" w:cs="Aptos"/>
                <w:b/>
                <w:bCs/>
                <w:color w:val="000000"/>
                <w:sz w:val="24"/>
                <w:szCs w:val="24"/>
              </w:rPr>
            </w:pPr>
            <w:r w:rsidRPr="00D157E9">
              <w:rPr>
                <w:rFonts w:ascii="Aptos" w:eastAsia="Times New Roman" w:hAnsi="Aptos" w:cs="Aptos"/>
                <w:b/>
                <w:bCs/>
                <w:color w:val="000000"/>
                <w:sz w:val="24"/>
                <w:szCs w:val="24"/>
              </w:rPr>
              <w:t>Reflective Practice Using Gibbs and Kolb Models</w:t>
            </w:r>
          </w:p>
          <w:p w14:paraId="2880064A"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Gibbs Reflective Cycle (1988)</w:t>
            </w:r>
          </w:p>
          <w:p w14:paraId="527DFB48" w14:textId="77777777" w:rsidR="00D157E9" w:rsidRPr="003D62F0" w:rsidRDefault="00D157E9" w:rsidP="00D63C6B">
            <w:pPr>
              <w:pStyle w:val="ListParagraph"/>
              <w:numPr>
                <w:ilvl w:val="0"/>
                <w:numId w:val="10"/>
              </w:numPr>
              <w:rPr>
                <w:rFonts w:ascii="Aptos" w:eastAsia="Times New Roman" w:hAnsi="Aptos" w:cs="Aptos"/>
                <w:color w:val="000000"/>
                <w:sz w:val="24"/>
                <w:szCs w:val="24"/>
              </w:rPr>
            </w:pPr>
            <w:r w:rsidRPr="003D62F0">
              <w:rPr>
                <w:rFonts w:ascii="Aptos" w:eastAsia="Times New Roman" w:hAnsi="Aptos" w:cs="Aptos"/>
                <w:color w:val="000000"/>
                <w:sz w:val="24"/>
                <w:szCs w:val="24"/>
              </w:rPr>
              <w:t>Description:</w:t>
            </w:r>
          </w:p>
          <w:p w14:paraId="461DCE0D"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In a complex drug trafficking investigation involving large volumes of mobile phone data, I was involved in reviewing digital evidence for disclosure purposes. The dataset included thousands of messages, images, and call logs, requiring categorisation for MG6 schedules.</w:t>
            </w:r>
          </w:p>
          <w:p w14:paraId="00769AD9" w14:textId="77777777" w:rsidR="00D157E9" w:rsidRPr="003D62F0" w:rsidRDefault="00D157E9" w:rsidP="00D63C6B">
            <w:pPr>
              <w:pStyle w:val="ListParagraph"/>
              <w:numPr>
                <w:ilvl w:val="0"/>
                <w:numId w:val="10"/>
              </w:numPr>
              <w:rPr>
                <w:rFonts w:ascii="Aptos" w:eastAsia="Times New Roman" w:hAnsi="Aptos" w:cs="Aptos"/>
                <w:color w:val="000000"/>
                <w:sz w:val="24"/>
                <w:szCs w:val="24"/>
              </w:rPr>
            </w:pPr>
            <w:r w:rsidRPr="003D62F0">
              <w:rPr>
                <w:rFonts w:ascii="Aptos" w:eastAsia="Times New Roman" w:hAnsi="Aptos" w:cs="Aptos"/>
                <w:color w:val="000000"/>
                <w:sz w:val="24"/>
                <w:szCs w:val="24"/>
              </w:rPr>
              <w:t>Feelings:</w:t>
            </w:r>
          </w:p>
          <w:p w14:paraId="611F2D4E"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Initially, I experienced significant uncertainty due to the volume of material and concern about missing potentially relevant evidence. There was also operational pressure to progress the investigation efficiently.</w:t>
            </w:r>
          </w:p>
          <w:p w14:paraId="0419E534" w14:textId="77777777" w:rsidR="00D157E9" w:rsidRPr="003D62F0" w:rsidRDefault="00D157E9" w:rsidP="00D63C6B">
            <w:pPr>
              <w:pStyle w:val="ListParagraph"/>
              <w:numPr>
                <w:ilvl w:val="0"/>
                <w:numId w:val="10"/>
              </w:numPr>
              <w:rPr>
                <w:rFonts w:ascii="Aptos" w:eastAsia="Times New Roman" w:hAnsi="Aptos" w:cs="Aptos"/>
                <w:color w:val="000000"/>
                <w:sz w:val="24"/>
                <w:szCs w:val="24"/>
              </w:rPr>
            </w:pPr>
            <w:r w:rsidRPr="003D62F0">
              <w:rPr>
                <w:rFonts w:ascii="Aptos" w:eastAsia="Times New Roman" w:hAnsi="Aptos" w:cs="Aptos"/>
                <w:color w:val="000000"/>
                <w:sz w:val="24"/>
                <w:szCs w:val="24"/>
              </w:rPr>
              <w:t>Evaluation:</w:t>
            </w:r>
          </w:p>
          <w:p w14:paraId="707AAEFD"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The structured use of MG6 documentation and DMD guidance provided clarity, but the process was time-consuming and sometimes felt disproportionate to evidential value. However, it ensured transparency and defensibility of decision-making.</w:t>
            </w:r>
          </w:p>
          <w:p w14:paraId="2D981B78" w14:textId="77777777" w:rsidR="00D157E9" w:rsidRPr="003D62F0" w:rsidRDefault="00D157E9" w:rsidP="00D63C6B">
            <w:pPr>
              <w:pStyle w:val="ListParagraph"/>
              <w:numPr>
                <w:ilvl w:val="0"/>
                <w:numId w:val="10"/>
              </w:numPr>
              <w:rPr>
                <w:rFonts w:ascii="Aptos" w:eastAsia="Times New Roman" w:hAnsi="Aptos" w:cs="Aptos"/>
                <w:color w:val="000000"/>
                <w:sz w:val="24"/>
                <w:szCs w:val="24"/>
              </w:rPr>
            </w:pPr>
            <w:r w:rsidRPr="003D62F0">
              <w:rPr>
                <w:rFonts w:ascii="Aptos" w:eastAsia="Times New Roman" w:hAnsi="Aptos" w:cs="Aptos"/>
                <w:color w:val="000000"/>
                <w:sz w:val="24"/>
                <w:szCs w:val="24"/>
              </w:rPr>
              <w:t>Analysis:</w:t>
            </w:r>
          </w:p>
          <w:p w14:paraId="3F62924D"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This experience highlighted the tension between CPIA obligations and operational feasibility. It also demonstrated the importance of digital triage skills and supervisory oversight in managing disclosure risk. Literature by Quick and Choo (2018) supports this, noting that digital overload is one of the primary risks in modern forensic investigations.</w:t>
            </w:r>
          </w:p>
          <w:p w14:paraId="4393674B" w14:textId="77777777" w:rsidR="00D157E9" w:rsidRPr="003D62F0" w:rsidRDefault="00D157E9" w:rsidP="00D63C6B">
            <w:pPr>
              <w:pStyle w:val="ListParagraph"/>
              <w:numPr>
                <w:ilvl w:val="0"/>
                <w:numId w:val="10"/>
              </w:numPr>
              <w:rPr>
                <w:rFonts w:ascii="Aptos" w:eastAsia="Times New Roman" w:hAnsi="Aptos" w:cs="Aptos"/>
                <w:color w:val="000000"/>
                <w:sz w:val="24"/>
                <w:szCs w:val="24"/>
              </w:rPr>
            </w:pPr>
            <w:r w:rsidRPr="003D62F0">
              <w:rPr>
                <w:rFonts w:ascii="Aptos" w:eastAsia="Times New Roman" w:hAnsi="Aptos" w:cs="Aptos"/>
                <w:color w:val="000000"/>
                <w:sz w:val="24"/>
                <w:szCs w:val="24"/>
              </w:rPr>
              <w:t>Conclusion:</w:t>
            </w:r>
          </w:p>
          <w:p w14:paraId="08EE817D"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While the process was challenging, it reinforced the importance of systematic disclosure management and early engagement with CPS.</w:t>
            </w:r>
          </w:p>
          <w:p w14:paraId="40EA58B3" w14:textId="77777777" w:rsidR="00D157E9" w:rsidRPr="003D62F0" w:rsidRDefault="00D157E9" w:rsidP="00D63C6B">
            <w:pPr>
              <w:pStyle w:val="ListParagraph"/>
              <w:numPr>
                <w:ilvl w:val="0"/>
                <w:numId w:val="10"/>
              </w:numPr>
              <w:rPr>
                <w:rFonts w:ascii="Aptos" w:eastAsia="Times New Roman" w:hAnsi="Aptos" w:cs="Aptos"/>
                <w:color w:val="000000"/>
                <w:sz w:val="24"/>
                <w:szCs w:val="24"/>
              </w:rPr>
            </w:pPr>
            <w:r w:rsidRPr="003D62F0">
              <w:rPr>
                <w:rFonts w:ascii="Aptos" w:eastAsia="Times New Roman" w:hAnsi="Aptos" w:cs="Aptos"/>
                <w:color w:val="000000"/>
                <w:sz w:val="24"/>
                <w:szCs w:val="24"/>
              </w:rPr>
              <w:lastRenderedPageBreak/>
              <w:t>Action Plan:</w:t>
            </w:r>
          </w:p>
          <w:p w14:paraId="79599F05" w14:textId="77777777" w:rsidR="00D157E9" w:rsidRPr="003D62F0"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Develop greater proficiency in digital triage tools and seek further training in structured disclosure planning and DMD development.</w:t>
            </w:r>
          </w:p>
          <w:p w14:paraId="352AE6C2" w14:textId="77777777" w:rsidR="00D63C6B" w:rsidRPr="00D157E9" w:rsidRDefault="00D63C6B" w:rsidP="00D157E9">
            <w:pPr>
              <w:rPr>
                <w:rFonts w:ascii="Aptos" w:eastAsia="Times New Roman" w:hAnsi="Aptos" w:cs="Aptos"/>
                <w:color w:val="000000"/>
                <w:sz w:val="24"/>
                <w:szCs w:val="24"/>
              </w:rPr>
            </w:pPr>
          </w:p>
          <w:p w14:paraId="7E367467"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Kolb’s Experiential Learning Cycle (1984)</w:t>
            </w:r>
          </w:p>
          <w:p w14:paraId="0A1CA1B6" w14:textId="77777777" w:rsidR="00D157E9" w:rsidRPr="00D157E9"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Kolb’s model further explains this learning as a cycle of:</w:t>
            </w:r>
          </w:p>
          <w:p w14:paraId="07747433" w14:textId="77777777" w:rsidR="00D157E9" w:rsidRPr="003D62F0" w:rsidRDefault="00D157E9" w:rsidP="00D63C6B">
            <w:pPr>
              <w:pStyle w:val="ListParagraph"/>
              <w:numPr>
                <w:ilvl w:val="0"/>
                <w:numId w:val="10"/>
              </w:numPr>
              <w:rPr>
                <w:rFonts w:ascii="Aptos" w:eastAsia="Times New Roman" w:hAnsi="Aptos" w:cs="Aptos"/>
                <w:color w:val="000000"/>
                <w:sz w:val="24"/>
                <w:szCs w:val="24"/>
              </w:rPr>
            </w:pPr>
            <w:r w:rsidRPr="003D62F0">
              <w:rPr>
                <w:rFonts w:ascii="Aptos" w:eastAsia="Times New Roman" w:hAnsi="Aptos" w:cs="Aptos"/>
                <w:color w:val="000000"/>
                <w:sz w:val="24"/>
                <w:szCs w:val="24"/>
              </w:rPr>
              <w:t>Concrete experience: handling large-scale digital disclosure material</w:t>
            </w:r>
          </w:p>
          <w:p w14:paraId="199A7B08" w14:textId="77777777" w:rsidR="00D157E9" w:rsidRPr="003D62F0" w:rsidRDefault="00D157E9" w:rsidP="00021626">
            <w:pPr>
              <w:pStyle w:val="ListParagraph"/>
              <w:numPr>
                <w:ilvl w:val="0"/>
                <w:numId w:val="10"/>
              </w:numPr>
              <w:rPr>
                <w:rFonts w:ascii="Aptos" w:eastAsia="Times New Roman" w:hAnsi="Aptos" w:cs="Aptos"/>
                <w:color w:val="000000"/>
                <w:sz w:val="24"/>
                <w:szCs w:val="24"/>
              </w:rPr>
            </w:pPr>
            <w:r w:rsidRPr="003D62F0">
              <w:rPr>
                <w:rFonts w:ascii="Aptos" w:eastAsia="Times New Roman" w:hAnsi="Aptos" w:cs="Aptos"/>
                <w:color w:val="000000"/>
                <w:sz w:val="24"/>
                <w:szCs w:val="24"/>
              </w:rPr>
              <w:t>Reflective observation: recognising inefficiencies and risks in manual review</w:t>
            </w:r>
          </w:p>
          <w:p w14:paraId="566EA5B7" w14:textId="77777777" w:rsidR="00D157E9" w:rsidRPr="003D62F0" w:rsidRDefault="00D157E9" w:rsidP="00D63C6B">
            <w:pPr>
              <w:pStyle w:val="ListParagraph"/>
              <w:numPr>
                <w:ilvl w:val="0"/>
                <w:numId w:val="10"/>
              </w:numPr>
              <w:rPr>
                <w:rFonts w:ascii="Aptos" w:eastAsia="Times New Roman" w:hAnsi="Aptos" w:cs="Aptos"/>
                <w:color w:val="000000"/>
                <w:sz w:val="24"/>
                <w:szCs w:val="24"/>
              </w:rPr>
            </w:pPr>
            <w:r w:rsidRPr="003D62F0">
              <w:rPr>
                <w:rFonts w:ascii="Aptos" w:eastAsia="Times New Roman" w:hAnsi="Aptos" w:cs="Aptos"/>
                <w:color w:val="000000"/>
                <w:sz w:val="24"/>
                <w:szCs w:val="24"/>
              </w:rPr>
              <w:t>Abstract conceptualisation: understanding CPIA proportionality principles and disclosure thresholds</w:t>
            </w:r>
          </w:p>
          <w:p w14:paraId="6DD84614" w14:textId="77777777" w:rsidR="00D157E9" w:rsidRPr="003D62F0" w:rsidRDefault="00D157E9" w:rsidP="00D63C6B">
            <w:pPr>
              <w:pStyle w:val="ListParagraph"/>
              <w:numPr>
                <w:ilvl w:val="0"/>
                <w:numId w:val="10"/>
              </w:numPr>
              <w:rPr>
                <w:rFonts w:ascii="Aptos" w:eastAsia="Times New Roman" w:hAnsi="Aptos" w:cs="Aptos"/>
                <w:color w:val="000000"/>
                <w:sz w:val="24"/>
                <w:szCs w:val="24"/>
              </w:rPr>
            </w:pPr>
            <w:r w:rsidRPr="003D62F0">
              <w:rPr>
                <w:rFonts w:ascii="Aptos" w:eastAsia="Times New Roman" w:hAnsi="Aptos" w:cs="Aptos"/>
                <w:color w:val="000000"/>
                <w:sz w:val="24"/>
                <w:szCs w:val="24"/>
              </w:rPr>
              <w:t>Active experimentation: applying improved triage and structured scheduling techniques in subsequent investigations</w:t>
            </w:r>
          </w:p>
          <w:p w14:paraId="1D055CFC" w14:textId="77777777" w:rsidR="00D157E9" w:rsidRPr="003D62F0" w:rsidRDefault="00D157E9" w:rsidP="00D157E9">
            <w:pPr>
              <w:rPr>
                <w:rFonts w:ascii="Aptos" w:eastAsia="Times New Roman" w:hAnsi="Aptos" w:cs="Aptos"/>
                <w:color w:val="000000"/>
                <w:sz w:val="24"/>
                <w:szCs w:val="24"/>
              </w:rPr>
            </w:pPr>
            <w:r w:rsidRPr="00D157E9">
              <w:rPr>
                <w:rFonts w:ascii="Aptos" w:eastAsia="Times New Roman" w:hAnsi="Aptos" w:cs="Aptos"/>
                <w:color w:val="000000"/>
                <w:sz w:val="24"/>
                <w:szCs w:val="24"/>
              </w:rPr>
              <w:t>This demonstrates progression from procedural compliance to analytical understanding, aligning with professional development expectations at Level 6.</w:t>
            </w:r>
          </w:p>
          <w:p w14:paraId="2A67EEBF" w14:textId="77777777" w:rsidR="00D63C6B" w:rsidRPr="00D157E9" w:rsidRDefault="00D63C6B" w:rsidP="00D157E9">
            <w:pPr>
              <w:rPr>
                <w:rFonts w:ascii="Aptos" w:eastAsia="Times New Roman" w:hAnsi="Aptos" w:cs="Aptos"/>
                <w:color w:val="000000"/>
                <w:sz w:val="24"/>
                <w:szCs w:val="24"/>
              </w:rPr>
            </w:pPr>
          </w:p>
          <w:p w14:paraId="71CD02CA" w14:textId="77777777" w:rsidR="00D157E9" w:rsidRPr="00D157E9" w:rsidRDefault="00D157E9" w:rsidP="00D157E9">
            <w:pPr>
              <w:rPr>
                <w:rFonts w:ascii="Aptos" w:eastAsia="Times New Roman" w:hAnsi="Aptos" w:cs="Aptos"/>
                <w:b/>
                <w:bCs/>
                <w:color w:val="000000"/>
                <w:sz w:val="24"/>
                <w:szCs w:val="24"/>
              </w:rPr>
            </w:pPr>
            <w:r w:rsidRPr="00D157E9">
              <w:rPr>
                <w:rFonts w:ascii="Aptos" w:eastAsia="Times New Roman" w:hAnsi="Aptos" w:cs="Aptos"/>
                <w:b/>
                <w:bCs/>
                <w:color w:val="000000"/>
                <w:sz w:val="24"/>
                <w:szCs w:val="24"/>
              </w:rPr>
              <w:t>Conclusion</w:t>
            </w:r>
          </w:p>
          <w:p w14:paraId="75A64213" w14:textId="77777777" w:rsidR="00D63C6B" w:rsidRPr="003D62F0" w:rsidRDefault="00D63C6B" w:rsidP="00D63C6B">
            <w:pPr>
              <w:rPr>
                <w:rFonts w:ascii="Aptos" w:eastAsia="Times New Roman" w:hAnsi="Aptos" w:cs="Aptos"/>
                <w:color w:val="000000"/>
                <w:sz w:val="24"/>
                <w:szCs w:val="24"/>
              </w:rPr>
            </w:pPr>
            <w:r w:rsidRPr="003D62F0">
              <w:rPr>
                <w:rFonts w:ascii="Aptos" w:eastAsia="Times New Roman" w:hAnsi="Aptos" w:cs="Aptos"/>
                <w:color w:val="000000"/>
                <w:sz w:val="24"/>
                <w:szCs w:val="24"/>
              </w:rPr>
              <w:t>Statutory disclosure duties under the Criminal Procedure and Investigations Act 1996 (CPIA) remain fundamental to ensuring fairness, transparency, and equality of arms within criminal proceedings in England and Wales. The legal framework, supported by the CPIA Code of Practice and Attorney General’s Guidelines (2024), establishes a continuing obligation on investigators and prosecutors to identify, retain, and disclose material that may undermine the prosecution case or assist the defence. In principle, this ensures that investigative power is balanced by procedural safeguards designed to protect the integrity of the adversarial system and uphold Article 6 ECHR rights.</w:t>
            </w:r>
          </w:p>
          <w:p w14:paraId="0641D9B4" w14:textId="77777777" w:rsidR="00D63C6B" w:rsidRPr="003D62F0" w:rsidRDefault="00D63C6B" w:rsidP="00D63C6B">
            <w:pPr>
              <w:rPr>
                <w:rFonts w:ascii="Aptos" w:eastAsia="Times New Roman" w:hAnsi="Aptos" w:cs="Aptos"/>
                <w:color w:val="000000"/>
                <w:sz w:val="24"/>
                <w:szCs w:val="24"/>
              </w:rPr>
            </w:pPr>
            <w:r w:rsidRPr="003D62F0">
              <w:rPr>
                <w:rFonts w:ascii="Aptos" w:eastAsia="Times New Roman" w:hAnsi="Aptos" w:cs="Aptos"/>
                <w:color w:val="000000"/>
                <w:sz w:val="24"/>
                <w:szCs w:val="24"/>
              </w:rPr>
              <w:t>However, as this essay has demonstrated, the operational environment in which these duties are applied has evolved significantly, creating substantial practical and ethical tensions. Digital transformation, covert policing techniques, and increasingly complex investigative structures have all contributed to a disclosure landscape that is far more demanding than the legislative framework originally envisaged. In particular, the proliferation of digital evidence has fundamentally reshaped disclosure practice. Quick and Choo (2018) identify this as a “data overload” problem driven by exponential increases in digital storage and device complexity, while Casey (2020) extends this critique by emphasising the epistemological risks associated with digital triage and algorithmic filtering. Taken together, these perspectives highlight a core tension between efficiency and evidential completeness, with Casey providing a more critical interrogation of fairness implications and Quick and Choo offering a more operationally pragmatic analysis.</w:t>
            </w:r>
          </w:p>
          <w:p w14:paraId="2749792D" w14:textId="6837C9C6" w:rsidR="00D63C6B" w:rsidRPr="003D62F0" w:rsidRDefault="00D63C6B" w:rsidP="00D63C6B">
            <w:pPr>
              <w:rPr>
                <w:rFonts w:ascii="Aptos" w:eastAsia="Times New Roman" w:hAnsi="Aptos" w:cs="Aptos"/>
                <w:color w:val="000000"/>
                <w:sz w:val="24"/>
                <w:szCs w:val="24"/>
              </w:rPr>
            </w:pPr>
            <w:r w:rsidRPr="003D62F0">
              <w:rPr>
                <w:rFonts w:ascii="Aptos" w:eastAsia="Times New Roman" w:hAnsi="Aptos" w:cs="Aptos"/>
                <w:color w:val="000000"/>
                <w:sz w:val="24"/>
                <w:szCs w:val="24"/>
              </w:rPr>
              <w:t xml:space="preserve">This tension is further developed in </w:t>
            </w:r>
            <w:r w:rsidR="009900C2" w:rsidRPr="003D62F0">
              <w:rPr>
                <w:rFonts w:ascii="Aptos" w:eastAsia="Times New Roman" w:hAnsi="Aptos" w:cs="Aptos"/>
                <w:color w:val="000000"/>
                <w:sz w:val="24"/>
                <w:szCs w:val="24"/>
              </w:rPr>
              <w:t>Griffiths, C. (2022)</w:t>
            </w:r>
            <w:r w:rsidRPr="003D62F0">
              <w:rPr>
                <w:rFonts w:ascii="Aptos" w:eastAsia="Times New Roman" w:hAnsi="Aptos" w:cs="Aptos"/>
                <w:color w:val="000000"/>
                <w:sz w:val="24"/>
                <w:szCs w:val="24"/>
              </w:rPr>
              <w:t xml:space="preserve">, who argue that disclosure has increasingly become a procedural compliance exercise rather than a substantive safeguard. Their position aligns with Sanders et al. (2019), who conceptualise disclosure within broader criminal justice systems as part of a wider pattern of bureaucratic expansion driven by procedural safeguards. However, while Sanders et al. adopt a macro-level criminological perspective, </w:t>
            </w:r>
            <w:r w:rsidR="009900C2" w:rsidRPr="003D62F0">
              <w:rPr>
                <w:rFonts w:ascii="Aptos" w:eastAsia="Times New Roman" w:hAnsi="Aptos" w:cs="Aptos"/>
                <w:color w:val="000000"/>
                <w:sz w:val="24"/>
                <w:szCs w:val="24"/>
              </w:rPr>
              <w:t>Griffiths, C. (2022)</w:t>
            </w:r>
            <w:r w:rsidR="009900C2" w:rsidRPr="003D62F0">
              <w:rPr>
                <w:rFonts w:ascii="Aptos" w:eastAsia="Times New Roman" w:hAnsi="Aptos" w:cs="Aptos"/>
                <w:color w:val="000000"/>
                <w:sz w:val="24"/>
                <w:szCs w:val="24"/>
              </w:rPr>
              <w:t xml:space="preserve"> </w:t>
            </w:r>
            <w:r w:rsidRPr="003D62F0">
              <w:rPr>
                <w:rFonts w:ascii="Aptos" w:eastAsia="Times New Roman" w:hAnsi="Aptos" w:cs="Aptos"/>
                <w:color w:val="000000"/>
                <w:sz w:val="24"/>
                <w:szCs w:val="24"/>
              </w:rPr>
              <w:t xml:space="preserve">provide a more targeted critique of police–CPS interaction, making their analysis more directly applicable to operational disclosure practice. Both, however, converge on the </w:t>
            </w:r>
            <w:r w:rsidRPr="003D62F0">
              <w:rPr>
                <w:rFonts w:ascii="Aptos" w:eastAsia="Times New Roman" w:hAnsi="Aptos" w:cs="Aptos"/>
                <w:color w:val="000000"/>
                <w:sz w:val="24"/>
                <w:szCs w:val="24"/>
              </w:rPr>
              <w:lastRenderedPageBreak/>
              <w:t>concern that increasing procedural complexity may unintentionally dilute efficiency without necessarily enhancing fairness outcomes.</w:t>
            </w:r>
          </w:p>
          <w:p w14:paraId="48BA8252" w14:textId="77777777" w:rsidR="00D63C6B" w:rsidRPr="003D62F0" w:rsidRDefault="00D63C6B" w:rsidP="00D63C6B">
            <w:pPr>
              <w:rPr>
                <w:rFonts w:ascii="Aptos" w:eastAsia="Times New Roman" w:hAnsi="Aptos" w:cs="Aptos"/>
                <w:color w:val="000000"/>
                <w:sz w:val="24"/>
                <w:szCs w:val="24"/>
              </w:rPr>
            </w:pPr>
            <w:r w:rsidRPr="003D62F0">
              <w:rPr>
                <w:rFonts w:ascii="Aptos" w:eastAsia="Times New Roman" w:hAnsi="Aptos" w:cs="Aptos"/>
                <w:color w:val="000000"/>
                <w:sz w:val="24"/>
                <w:szCs w:val="24"/>
              </w:rPr>
              <w:t>In contrast, reform-oriented perspectives such as Harkin and Whelan (2022) and CPS guidance (2022) emphasise the potential benefits of structured disclosure planning through mechanisms such as Disclosure Management Documents (DMDs). These approaches aim to improve early engagement, reduce evidential disputes, and streamline case progression. While this perspective is operationally attractive, it must be critically balanced against Brodeur’s (2019) argument that secrecy is structurally embedded within intelligence-led policing. Brodeur’s analysis challenges the assumption that disclosure inefficiencies are purely procedural, instead suggesting that operational secrecy and information asymmetry are inherent features of modern policing. This introduces a more fundamental constraint on reform, indicating that complete transparency may not always be achievable without compromising operational effectiveness.</w:t>
            </w:r>
          </w:p>
          <w:p w14:paraId="36266EDD" w14:textId="2A6DB056" w:rsidR="00D63C6B" w:rsidRPr="003D62F0" w:rsidRDefault="00D63C6B" w:rsidP="00D63C6B">
            <w:pPr>
              <w:rPr>
                <w:rFonts w:ascii="Aptos" w:eastAsia="Times New Roman" w:hAnsi="Aptos" w:cs="Aptos"/>
                <w:color w:val="000000"/>
                <w:sz w:val="24"/>
                <w:szCs w:val="24"/>
              </w:rPr>
            </w:pPr>
            <w:r w:rsidRPr="003D62F0">
              <w:rPr>
                <w:rFonts w:ascii="Aptos" w:eastAsia="Times New Roman" w:hAnsi="Aptos" w:cs="Aptos"/>
                <w:color w:val="000000"/>
                <w:sz w:val="24"/>
                <w:szCs w:val="24"/>
              </w:rPr>
              <w:t xml:space="preserve">Further complexity is introduced by psychological literature, particularly Ask and </w:t>
            </w:r>
            <w:proofErr w:type="spellStart"/>
            <w:r w:rsidRPr="003D62F0">
              <w:rPr>
                <w:rFonts w:ascii="Aptos" w:eastAsia="Times New Roman" w:hAnsi="Aptos" w:cs="Aptos"/>
                <w:color w:val="000000"/>
                <w:sz w:val="24"/>
                <w:szCs w:val="24"/>
              </w:rPr>
              <w:t>Granhag</w:t>
            </w:r>
            <w:proofErr w:type="spellEnd"/>
            <w:r w:rsidRPr="003D62F0">
              <w:rPr>
                <w:rFonts w:ascii="Aptos" w:eastAsia="Times New Roman" w:hAnsi="Aptos" w:cs="Aptos"/>
                <w:color w:val="000000"/>
                <w:sz w:val="24"/>
                <w:szCs w:val="24"/>
              </w:rPr>
              <w:t xml:space="preserve"> (2018), who highlight the impact of cognitive bias on investigative decision-making. Their work reinforces the CPIA requirement to pursue all reasonable lines of enquiry but also demonstrates how investigator judgement can be unconsciously shaped by confirmation bias. When considered alongside </w:t>
            </w:r>
            <w:r w:rsidR="009900C2" w:rsidRPr="003D62F0">
              <w:rPr>
                <w:rFonts w:ascii="Aptos" w:eastAsia="Times New Roman" w:hAnsi="Aptos" w:cs="Aptos"/>
                <w:color w:val="000000"/>
                <w:sz w:val="24"/>
                <w:szCs w:val="24"/>
              </w:rPr>
              <w:t>Griffiths, C. (2022)</w:t>
            </w:r>
            <w:r w:rsidRPr="003D62F0">
              <w:rPr>
                <w:rFonts w:ascii="Aptos" w:eastAsia="Times New Roman" w:hAnsi="Aptos" w:cs="Aptos"/>
                <w:color w:val="000000"/>
                <w:sz w:val="24"/>
                <w:szCs w:val="24"/>
              </w:rPr>
              <w:t>, a multi-layered explanation emerges in which individual cognitive limitations interact with organisational inefficiencies, collectively increasing the risk of incomplete or inconsistent disclosure.</w:t>
            </w:r>
          </w:p>
          <w:p w14:paraId="7B77DD69" w14:textId="4FB39F61" w:rsidR="00D63C6B" w:rsidRPr="003D62F0" w:rsidRDefault="00D63C6B" w:rsidP="00D63C6B">
            <w:pPr>
              <w:rPr>
                <w:rFonts w:ascii="Aptos" w:eastAsia="Times New Roman" w:hAnsi="Aptos" w:cs="Aptos"/>
                <w:color w:val="000000"/>
                <w:sz w:val="24"/>
                <w:szCs w:val="24"/>
              </w:rPr>
            </w:pPr>
            <w:r w:rsidRPr="003D62F0">
              <w:rPr>
                <w:rFonts w:ascii="Aptos" w:eastAsia="Times New Roman" w:hAnsi="Aptos" w:cs="Aptos"/>
                <w:color w:val="000000"/>
                <w:sz w:val="24"/>
                <w:szCs w:val="24"/>
              </w:rPr>
              <w:t>When synthesised, the literature reveals a clear evolution in conceptualising disclosure. Early frameworks, reflected in CPS and Attorney General guidance, position disclosure primarily as a legal compliance mechanism. More recent scholarship (Quick and Choo; Casey) reframes it as a technologically mediated operational challenge, while critical criminological perspectives (</w:t>
            </w:r>
            <w:r w:rsidR="009900C2" w:rsidRPr="003D62F0">
              <w:rPr>
                <w:rFonts w:ascii="Aptos" w:eastAsia="Times New Roman" w:hAnsi="Aptos" w:cs="Aptos"/>
                <w:color w:val="000000"/>
                <w:sz w:val="24"/>
                <w:szCs w:val="24"/>
              </w:rPr>
              <w:t>Griffiths, C.</w:t>
            </w:r>
            <w:r w:rsidRPr="003D62F0">
              <w:rPr>
                <w:rFonts w:ascii="Aptos" w:eastAsia="Times New Roman" w:hAnsi="Aptos" w:cs="Aptos"/>
                <w:color w:val="000000"/>
                <w:sz w:val="24"/>
                <w:szCs w:val="24"/>
              </w:rPr>
              <w:t>; Sanders et al.; Brodeur) position it as a systemic issue embedded within broader structures of policing governance, secrecy, and bureaucracy. The most persuasive interpretation is therefore not found in any single perspective but in the intersection of these approaches.</w:t>
            </w:r>
          </w:p>
          <w:p w14:paraId="67E14E74" w14:textId="77777777" w:rsidR="00D157E9" w:rsidRPr="003D62F0" w:rsidRDefault="00D63C6B" w:rsidP="00D63C6B">
            <w:pPr>
              <w:rPr>
                <w:rFonts w:ascii="Aptos" w:eastAsia="Times New Roman" w:hAnsi="Aptos" w:cs="Aptos"/>
                <w:color w:val="000000"/>
                <w:sz w:val="24"/>
                <w:szCs w:val="24"/>
              </w:rPr>
            </w:pPr>
            <w:r w:rsidRPr="003D62F0">
              <w:rPr>
                <w:rFonts w:ascii="Aptos" w:eastAsia="Times New Roman" w:hAnsi="Aptos" w:cs="Aptos"/>
                <w:color w:val="000000"/>
                <w:sz w:val="24"/>
                <w:szCs w:val="24"/>
              </w:rPr>
              <w:t>Overall, disclosure in contemporary investigations should be understood as a complex socio-technical and organisational process rather than a purely legal obligation. While CPIA 1996 provides the foundational statutory framework, its effectiveness is increasingly shaped by technological constraints, organisational structures, cognitive factors, and the inherent tensions of intelligence-led policing. The central challenge for modern policing is therefore not simply compliance with disclosure law, but the development of systems and practices capable of balancing legal fairness with operational realism in an increasingly data-driven investigative environment.</w:t>
            </w:r>
            <w:r w:rsidRPr="003D62F0">
              <w:rPr>
                <w:rFonts w:ascii="Aptos" w:eastAsia="Times New Roman" w:hAnsi="Aptos" w:cs="Aptos"/>
                <w:color w:val="000000"/>
                <w:sz w:val="24"/>
                <w:szCs w:val="24"/>
              </w:rPr>
              <w:t xml:space="preserve"> </w:t>
            </w:r>
          </w:p>
          <w:p w14:paraId="0C5D657C" w14:textId="77777777" w:rsidR="00D63C6B" w:rsidRDefault="00D63C6B" w:rsidP="00D63C6B">
            <w:pPr>
              <w:rPr>
                <w:rFonts w:ascii="Aptos" w:eastAsia="Times New Roman" w:hAnsi="Aptos" w:cs="Aptos"/>
                <w:color w:val="000000"/>
                <w:sz w:val="24"/>
                <w:szCs w:val="24"/>
              </w:rPr>
            </w:pPr>
          </w:p>
          <w:p w14:paraId="717D8035" w14:textId="384A8B91" w:rsidR="00D63C6B" w:rsidRPr="00D157E9" w:rsidRDefault="00D63C6B" w:rsidP="00D63C6B">
            <w:pPr>
              <w:rPr>
                <w:rFonts w:ascii="Arial" w:eastAsia="Arial" w:hAnsi="Arial" w:cs="Arial"/>
                <w:iCs/>
                <w:color w:val="000000"/>
                <w:sz w:val="24"/>
                <w:szCs w:val="24"/>
              </w:rPr>
            </w:pPr>
            <w:r>
              <w:rPr>
                <w:rFonts w:ascii="Aptos" w:eastAsia="Times New Roman" w:hAnsi="Aptos" w:cs="Aptos"/>
                <w:color w:val="000000"/>
                <w:sz w:val="24"/>
                <w:szCs w:val="24"/>
              </w:rPr>
              <w:t>Word Count - 217</w:t>
            </w:r>
            <w:r w:rsidR="000B140F">
              <w:rPr>
                <w:rFonts w:ascii="Aptos" w:eastAsia="Times New Roman" w:hAnsi="Aptos" w:cs="Aptos"/>
                <w:color w:val="000000"/>
                <w:sz w:val="24"/>
                <w:szCs w:val="24"/>
              </w:rPr>
              <w:t>2</w:t>
            </w:r>
          </w:p>
        </w:tc>
      </w:tr>
    </w:tbl>
    <w:p w14:paraId="4CFD101E" w14:textId="77777777" w:rsidR="007A7D1B" w:rsidRDefault="007A7D1B">
      <w:pPr>
        <w:ind w:right="107"/>
        <w:jc w:val="both"/>
        <w:rPr>
          <w:rFonts w:ascii="Arial" w:eastAsia="Arial" w:hAnsi="Arial" w:cs="Arial"/>
          <w:b/>
          <w:color w:val="000000"/>
          <w:sz w:val="24"/>
          <w:szCs w:val="24"/>
        </w:rPr>
      </w:pPr>
    </w:p>
    <w:p w14:paraId="23602D3C" w14:textId="77777777" w:rsidR="007A7D1B" w:rsidRDefault="007A7D1B">
      <w:pPr>
        <w:ind w:right="237"/>
        <w:jc w:val="both"/>
        <w:rPr>
          <w:rFonts w:ascii="Arial" w:eastAsia="Arial" w:hAnsi="Arial" w:cs="Arial"/>
          <w:color w:val="000000"/>
          <w:sz w:val="24"/>
          <w:szCs w:val="24"/>
        </w:rPr>
      </w:pPr>
    </w:p>
    <w:p w14:paraId="3BB42493" w14:textId="77777777" w:rsidR="007A7D1B" w:rsidRDefault="007A7D1B">
      <w:pPr>
        <w:ind w:right="237"/>
        <w:jc w:val="both"/>
        <w:rPr>
          <w:rFonts w:ascii="Arial" w:eastAsia="Arial" w:hAnsi="Arial" w:cs="Arial"/>
          <w:color w:val="000000"/>
          <w:sz w:val="24"/>
          <w:szCs w:val="24"/>
        </w:rPr>
      </w:pPr>
    </w:p>
    <w:p w14:paraId="08EBE3B6" w14:textId="77777777" w:rsidR="007A7D1B" w:rsidRDefault="007A7D1B">
      <w:pPr>
        <w:ind w:right="237"/>
        <w:jc w:val="both"/>
        <w:rPr>
          <w:rFonts w:ascii="Arial" w:eastAsia="Arial" w:hAnsi="Arial" w:cs="Arial"/>
          <w:color w:val="000000"/>
          <w:sz w:val="24"/>
          <w:szCs w:val="24"/>
        </w:rPr>
      </w:pPr>
    </w:p>
    <w:p w14:paraId="5C8B7B75" w14:textId="77777777" w:rsidR="007A7D1B" w:rsidRDefault="007A7D1B">
      <w:pPr>
        <w:ind w:right="237"/>
        <w:jc w:val="both"/>
        <w:rPr>
          <w:rFonts w:ascii="Arial" w:eastAsia="Arial" w:hAnsi="Arial" w:cs="Arial"/>
          <w:color w:val="000000"/>
          <w:sz w:val="24"/>
          <w:szCs w:val="24"/>
        </w:rPr>
      </w:pPr>
    </w:p>
    <w:p w14:paraId="6E0C1623" w14:textId="77777777" w:rsidR="007A7D1B" w:rsidRDefault="007A7D1B">
      <w:pPr>
        <w:ind w:right="237"/>
        <w:jc w:val="both"/>
        <w:rPr>
          <w:rFonts w:ascii="Arial" w:eastAsia="Arial" w:hAnsi="Arial" w:cs="Arial"/>
          <w:color w:val="000000"/>
          <w:sz w:val="24"/>
          <w:szCs w:val="24"/>
        </w:rPr>
      </w:pPr>
    </w:p>
    <w:p w14:paraId="60BA265D" w14:textId="77777777" w:rsidR="007A7D1B" w:rsidRDefault="007A7D1B">
      <w:pPr>
        <w:ind w:right="237"/>
        <w:jc w:val="both"/>
        <w:rPr>
          <w:rFonts w:ascii="Arial" w:eastAsia="Arial" w:hAnsi="Arial" w:cs="Arial"/>
          <w:color w:val="000000"/>
          <w:sz w:val="24"/>
          <w:szCs w:val="24"/>
        </w:rPr>
      </w:pPr>
    </w:p>
    <w:p w14:paraId="605E9C1E" w14:textId="77777777" w:rsidR="007A7D1B" w:rsidRDefault="007A7D1B">
      <w:pPr>
        <w:ind w:right="237"/>
        <w:jc w:val="both"/>
        <w:rPr>
          <w:rFonts w:ascii="Arial" w:eastAsia="Arial" w:hAnsi="Arial" w:cs="Arial"/>
          <w:color w:val="000000"/>
          <w:sz w:val="24"/>
          <w:szCs w:val="24"/>
        </w:rPr>
      </w:pPr>
    </w:p>
    <w:p w14:paraId="28981F0A" w14:textId="77777777" w:rsidR="007A7D1B" w:rsidRDefault="0032684D">
      <w:pPr>
        <w:ind w:right="107"/>
        <w:jc w:val="both"/>
        <w:rPr>
          <w:rFonts w:ascii="Arial" w:eastAsia="Arial" w:hAnsi="Arial" w:cs="Arial"/>
          <w:i/>
          <w:color w:val="000000"/>
          <w:sz w:val="24"/>
          <w:szCs w:val="24"/>
        </w:rPr>
      </w:pPr>
      <w:r>
        <w:rPr>
          <w:rFonts w:ascii="Arial" w:eastAsia="Arial" w:hAnsi="Arial" w:cs="Arial"/>
          <w:b/>
          <w:i/>
          <w:color w:val="000000"/>
          <w:sz w:val="24"/>
          <w:szCs w:val="24"/>
        </w:rPr>
        <w:t>Task 5: Personal Development Plan (PDP)</w:t>
      </w:r>
    </w:p>
    <w:p w14:paraId="6EEB8AF0" w14:textId="77777777" w:rsidR="007A7D1B" w:rsidRDefault="0032684D">
      <w:pPr>
        <w:ind w:right="107"/>
        <w:jc w:val="both"/>
        <w:rPr>
          <w:rFonts w:ascii="Arial" w:eastAsia="Arial" w:hAnsi="Arial" w:cs="Arial"/>
          <w:color w:val="000000"/>
          <w:sz w:val="24"/>
          <w:szCs w:val="24"/>
        </w:rPr>
      </w:pPr>
      <w:r>
        <w:rPr>
          <w:rFonts w:ascii="Arial" w:eastAsia="Arial" w:hAnsi="Arial" w:cs="Arial"/>
          <w:color w:val="000000"/>
          <w:sz w:val="24"/>
          <w:szCs w:val="24"/>
        </w:rPr>
        <w:t xml:space="preserve">As part of your reflective process, please use this table to aid you in identifying the next steps for development. </w:t>
      </w:r>
    </w:p>
    <w:p w14:paraId="5D3DFDE4" w14:textId="77777777" w:rsidR="007A7D1B" w:rsidRDefault="0032684D">
      <w:pPr>
        <w:ind w:right="107"/>
        <w:jc w:val="both"/>
        <w:rPr>
          <w:rFonts w:ascii="Arial" w:eastAsia="Arial" w:hAnsi="Arial" w:cs="Arial"/>
          <w:color w:val="000000"/>
          <w:sz w:val="24"/>
          <w:szCs w:val="24"/>
        </w:rPr>
      </w:pPr>
      <w:r>
        <w:rPr>
          <w:rFonts w:ascii="Arial" w:eastAsia="Arial" w:hAnsi="Arial" w:cs="Arial"/>
          <w:color w:val="000000"/>
          <w:sz w:val="24"/>
          <w:szCs w:val="24"/>
        </w:rPr>
        <w:t xml:space="preserve">Formulate and implement a </w:t>
      </w:r>
      <w:r>
        <w:rPr>
          <w:rFonts w:ascii="Arial" w:eastAsia="Arial" w:hAnsi="Arial" w:cs="Arial"/>
          <w:b/>
          <w:color w:val="000000"/>
          <w:sz w:val="24"/>
          <w:szCs w:val="24"/>
        </w:rPr>
        <w:t xml:space="preserve">personal study programme </w:t>
      </w:r>
      <w:r>
        <w:rPr>
          <w:rFonts w:ascii="Arial" w:eastAsia="Arial" w:hAnsi="Arial" w:cs="Arial"/>
          <w:color w:val="000000"/>
          <w:sz w:val="24"/>
          <w:szCs w:val="24"/>
        </w:rPr>
        <w:t>to further enhance the development of your professional police practice. A template has been added for an ‘Individual Learning Plan’ that you can use for this task.  </w:t>
      </w:r>
    </w:p>
    <w:p w14:paraId="2E41F277" w14:textId="77777777" w:rsidR="007A7D1B" w:rsidRDefault="0032684D">
      <w:pPr>
        <w:ind w:right="225"/>
        <w:jc w:val="both"/>
        <w:rPr>
          <w:rFonts w:ascii="Arial" w:eastAsia="Arial" w:hAnsi="Arial" w:cs="Arial"/>
          <w:color w:val="000000"/>
          <w:sz w:val="24"/>
          <w:szCs w:val="24"/>
        </w:rPr>
      </w:pPr>
      <w:r>
        <w:rPr>
          <w:rFonts w:ascii="Arial" w:eastAsia="Arial" w:hAnsi="Arial" w:cs="Arial"/>
          <w:color w:val="000000"/>
          <w:sz w:val="24"/>
          <w:szCs w:val="24"/>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This should then be used to target future development need. </w:t>
      </w:r>
    </w:p>
    <w:p w14:paraId="32FF8284" w14:textId="77777777" w:rsidR="007A7D1B" w:rsidRDefault="0032684D">
      <w:pPr>
        <w:ind w:right="107"/>
        <w:jc w:val="both"/>
        <w:rPr>
          <w:rFonts w:ascii="Arial" w:eastAsia="Arial" w:hAnsi="Arial" w:cs="Arial"/>
          <w:color w:val="000000"/>
          <w:sz w:val="24"/>
          <w:szCs w:val="24"/>
        </w:rPr>
      </w:pPr>
      <w:r>
        <w:rPr>
          <w:rFonts w:ascii="Arial" w:eastAsia="Arial" w:hAnsi="Arial" w:cs="Arial"/>
          <w:color w:val="000000"/>
          <w:sz w:val="24"/>
          <w:szCs w:val="24"/>
          <w:u w:val="single"/>
        </w:rPr>
        <w:t>This is equivalent to 2000 words</w:t>
      </w:r>
      <w:r>
        <w:rPr>
          <w:rFonts w:ascii="Arial" w:eastAsia="Arial" w:hAnsi="Arial" w:cs="Arial"/>
          <w:color w:val="000000"/>
          <w:sz w:val="24"/>
          <w:szCs w:val="24"/>
        </w:rPr>
        <w:t xml:space="preserve"> towards the overall wordcount, please note this is not the actual number of words used in completing the table, the count reflects the thought and research behind it</w:t>
      </w:r>
    </w:p>
    <w:p w14:paraId="0F3EE024" w14:textId="77777777" w:rsidR="007A7D1B" w:rsidRDefault="007A7D1B">
      <w:pPr>
        <w:jc w:val="center"/>
        <w:rPr>
          <w:rFonts w:ascii="Arial" w:eastAsia="Arial" w:hAnsi="Arial" w:cs="Arial"/>
          <w:b/>
          <w:color w:val="000000"/>
          <w:u w:val="single"/>
        </w:rPr>
      </w:pPr>
    </w:p>
    <w:p w14:paraId="7A2984EA" w14:textId="77777777" w:rsidR="007A7D1B" w:rsidRDefault="0032684D">
      <w:pPr>
        <w:jc w:val="center"/>
        <w:rPr>
          <w:rFonts w:ascii="Arial" w:eastAsia="Arial" w:hAnsi="Arial" w:cs="Arial"/>
          <w:sz w:val="24"/>
          <w:szCs w:val="24"/>
          <w:u w:val="single"/>
        </w:rPr>
      </w:pPr>
      <w:r>
        <w:rPr>
          <w:rFonts w:ascii="Arial" w:eastAsia="Arial" w:hAnsi="Arial" w:cs="Arial"/>
          <w:b/>
          <w:color w:val="000000"/>
          <w:u w:val="single"/>
        </w:rPr>
        <w:t>Knowledge, Skills and Experience Assessment</w:t>
      </w:r>
      <w:r>
        <w:rPr>
          <w:rFonts w:ascii="Arial" w:eastAsia="Arial" w:hAnsi="Arial" w:cs="Arial"/>
          <w:color w:val="000000"/>
          <w:u w:val="single"/>
        </w:rPr>
        <w:t> </w:t>
      </w:r>
    </w:p>
    <w:p w14:paraId="25DCFBEC" w14:textId="77777777" w:rsidR="007A7D1B" w:rsidRDefault="007A7D1B">
      <w:pPr>
        <w:ind w:right="107"/>
        <w:jc w:val="both"/>
        <w:rPr>
          <w:rFonts w:ascii="Arial" w:eastAsia="Arial" w:hAnsi="Arial" w:cs="Arial"/>
          <w:color w:val="000000"/>
          <w:sz w:val="24"/>
          <w:szCs w:val="24"/>
        </w:rPr>
      </w:pPr>
    </w:p>
    <w:tbl>
      <w:tblPr>
        <w:tblStyle w:val="a5"/>
        <w:tblW w:w="8880" w:type="dxa"/>
        <w:tblLayout w:type="fixed"/>
        <w:tblLook w:val="0400" w:firstRow="0" w:lastRow="0" w:firstColumn="0" w:lastColumn="0" w:noHBand="0" w:noVBand="1"/>
      </w:tblPr>
      <w:tblGrid>
        <w:gridCol w:w="1740"/>
        <w:gridCol w:w="855"/>
        <w:gridCol w:w="795"/>
        <w:gridCol w:w="840"/>
        <w:gridCol w:w="705"/>
        <w:gridCol w:w="855"/>
        <w:gridCol w:w="765"/>
        <w:gridCol w:w="2325"/>
      </w:tblGrid>
      <w:tr w:rsidR="007A7D1B" w14:paraId="5A0B9A46" w14:textId="77777777">
        <w:tc>
          <w:tcPr>
            <w:tcW w:w="1740" w:type="dxa"/>
            <w:tcBorders>
              <w:top w:val="single" w:sz="6" w:space="0" w:color="000000"/>
              <w:left w:val="single" w:sz="6" w:space="0" w:color="000000"/>
              <w:bottom w:val="single" w:sz="6" w:space="0" w:color="000000"/>
              <w:right w:val="single" w:sz="6" w:space="0" w:color="000000"/>
            </w:tcBorders>
            <w:shd w:val="clear" w:color="auto" w:fill="5B9BD5"/>
          </w:tcPr>
          <w:p w14:paraId="29B94A67" w14:textId="77777777" w:rsidR="007A7D1B" w:rsidRDefault="0032684D">
            <w:pPr>
              <w:rPr>
                <w:rFonts w:ascii="Arial" w:eastAsia="Arial" w:hAnsi="Arial" w:cs="Arial"/>
                <w:color w:val="000000"/>
              </w:rPr>
            </w:pPr>
            <w:r>
              <w:rPr>
                <w:rFonts w:ascii="Arial" w:eastAsia="Arial" w:hAnsi="Arial" w:cs="Arial"/>
                <w:color w:val="000000"/>
              </w:rPr>
              <w:t> </w:t>
            </w:r>
          </w:p>
        </w:tc>
        <w:tc>
          <w:tcPr>
            <w:tcW w:w="2490" w:type="dxa"/>
            <w:gridSpan w:val="3"/>
            <w:tcBorders>
              <w:top w:val="single" w:sz="6" w:space="0" w:color="000000"/>
              <w:left w:val="single" w:sz="6" w:space="0" w:color="000000"/>
              <w:bottom w:val="single" w:sz="6" w:space="0" w:color="000000"/>
              <w:right w:val="single" w:sz="6" w:space="0" w:color="000000"/>
            </w:tcBorders>
            <w:shd w:val="clear" w:color="auto" w:fill="5B9BD5"/>
          </w:tcPr>
          <w:p w14:paraId="446817B3" w14:textId="77777777" w:rsidR="007A7D1B" w:rsidRDefault="0032684D">
            <w:pPr>
              <w:rPr>
                <w:rFonts w:ascii="Arial" w:eastAsia="Arial" w:hAnsi="Arial" w:cs="Arial"/>
                <w:b/>
                <w:color w:val="000000"/>
              </w:rPr>
            </w:pPr>
            <w:r>
              <w:rPr>
                <w:rFonts w:ascii="Arial" w:eastAsia="Arial" w:hAnsi="Arial" w:cs="Arial"/>
                <w:b/>
                <w:color w:val="000000"/>
              </w:rPr>
              <w:t>Current level</w:t>
            </w:r>
          </w:p>
        </w:tc>
        <w:tc>
          <w:tcPr>
            <w:tcW w:w="2325" w:type="dxa"/>
            <w:gridSpan w:val="3"/>
            <w:tcBorders>
              <w:top w:val="single" w:sz="6" w:space="0" w:color="000000"/>
              <w:left w:val="nil"/>
              <w:bottom w:val="single" w:sz="6" w:space="0" w:color="000000"/>
              <w:right w:val="single" w:sz="6" w:space="0" w:color="000000"/>
            </w:tcBorders>
            <w:shd w:val="clear" w:color="auto" w:fill="5B9BD5"/>
          </w:tcPr>
          <w:p w14:paraId="68621666" w14:textId="77777777" w:rsidR="007A7D1B" w:rsidRDefault="0032684D">
            <w:pPr>
              <w:rPr>
                <w:rFonts w:ascii="Arial" w:eastAsia="Arial" w:hAnsi="Arial" w:cs="Arial"/>
                <w:b/>
                <w:color w:val="000000"/>
              </w:rPr>
            </w:pPr>
            <w:r>
              <w:rPr>
                <w:rFonts w:ascii="Arial" w:eastAsia="Arial" w:hAnsi="Arial" w:cs="Arial"/>
                <w:b/>
                <w:color w:val="000000"/>
              </w:rPr>
              <w:t>RATING - next 6 to 12mths</w:t>
            </w:r>
          </w:p>
        </w:tc>
        <w:tc>
          <w:tcPr>
            <w:tcW w:w="2325" w:type="dxa"/>
            <w:tcBorders>
              <w:top w:val="single" w:sz="6" w:space="0" w:color="000000"/>
              <w:left w:val="nil"/>
              <w:bottom w:val="single" w:sz="6" w:space="0" w:color="000000"/>
              <w:right w:val="single" w:sz="6" w:space="0" w:color="000000"/>
            </w:tcBorders>
            <w:shd w:val="clear" w:color="auto" w:fill="5B9BD5"/>
          </w:tcPr>
          <w:p w14:paraId="1602483C" w14:textId="77777777" w:rsidR="007A7D1B" w:rsidRDefault="0032684D">
            <w:pPr>
              <w:rPr>
                <w:rFonts w:ascii="Arial" w:eastAsia="Arial" w:hAnsi="Arial" w:cs="Arial"/>
                <w:color w:val="000000"/>
              </w:rPr>
            </w:pPr>
            <w:r>
              <w:rPr>
                <w:rFonts w:ascii="Arial" w:eastAsia="Arial" w:hAnsi="Arial" w:cs="Arial"/>
                <w:b/>
                <w:color w:val="000000"/>
              </w:rPr>
              <w:t>DEVELOPMENT NEED</w:t>
            </w:r>
            <w:r>
              <w:rPr>
                <w:rFonts w:ascii="Arial" w:eastAsia="Arial" w:hAnsi="Arial" w:cs="Arial"/>
                <w:color w:val="000000"/>
              </w:rPr>
              <w:t> </w:t>
            </w:r>
            <w:r>
              <w:rPr>
                <w:rFonts w:ascii="Arial" w:eastAsia="Arial" w:hAnsi="Arial" w:cs="Arial"/>
                <w:b/>
                <w:color w:val="000000"/>
              </w:rPr>
              <w:t>IDENTIFIED</w:t>
            </w:r>
          </w:p>
          <w:p w14:paraId="7099DEF7" w14:textId="77777777" w:rsidR="007A7D1B" w:rsidRDefault="0032684D">
            <w:pPr>
              <w:rPr>
                <w:rFonts w:ascii="Arial" w:eastAsia="Arial" w:hAnsi="Arial" w:cs="Arial"/>
                <w:color w:val="000000"/>
              </w:rPr>
            </w:pPr>
            <w:r>
              <w:rPr>
                <w:rFonts w:ascii="Arial" w:eastAsia="Arial" w:hAnsi="Arial" w:cs="Arial"/>
                <w:color w:val="000000"/>
              </w:rPr>
              <w:t> </w:t>
            </w:r>
          </w:p>
        </w:tc>
      </w:tr>
      <w:tr w:rsidR="007A7D1B" w14:paraId="7DD2649B" w14:textId="77777777">
        <w:trPr>
          <w:trHeight w:val="915"/>
        </w:trPr>
        <w:tc>
          <w:tcPr>
            <w:tcW w:w="1740" w:type="dxa"/>
            <w:tcBorders>
              <w:top w:val="single" w:sz="6" w:space="0" w:color="000000"/>
              <w:left w:val="single" w:sz="6" w:space="0" w:color="000000"/>
              <w:bottom w:val="single" w:sz="6" w:space="0" w:color="000000"/>
              <w:right w:val="single" w:sz="6" w:space="0" w:color="000000"/>
            </w:tcBorders>
          </w:tcPr>
          <w:p w14:paraId="0A2A42AE" w14:textId="77777777" w:rsidR="007A7D1B" w:rsidRDefault="0032684D">
            <w:pPr>
              <w:rPr>
                <w:rFonts w:ascii="Arial" w:eastAsia="Arial" w:hAnsi="Arial" w:cs="Arial"/>
                <w:color w:val="000000"/>
              </w:rPr>
            </w:pPr>
            <w:r>
              <w:rPr>
                <w:rFonts w:ascii="Arial" w:eastAsia="Arial" w:hAnsi="Arial" w:cs="Arial"/>
                <w:b/>
                <w:color w:val="000000"/>
              </w:rPr>
              <w:t>KNOWLEDGE</w:t>
            </w:r>
            <w:r>
              <w:rPr>
                <w:rFonts w:ascii="Arial" w:eastAsia="Arial" w:hAnsi="Arial" w:cs="Arial"/>
                <w:color w:val="000000"/>
              </w:rPr>
              <w:t> </w:t>
            </w:r>
          </w:p>
        </w:tc>
        <w:tc>
          <w:tcPr>
            <w:tcW w:w="855" w:type="dxa"/>
            <w:tcBorders>
              <w:top w:val="single" w:sz="6" w:space="0" w:color="000000"/>
              <w:left w:val="single" w:sz="6" w:space="0" w:color="000000"/>
              <w:bottom w:val="single" w:sz="6" w:space="0" w:color="000000"/>
              <w:right w:val="single" w:sz="6" w:space="0" w:color="000000"/>
            </w:tcBorders>
          </w:tcPr>
          <w:p w14:paraId="124CB91F"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Low </w:t>
            </w:r>
          </w:p>
          <w:p w14:paraId="24669EAC"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1-4 </w:t>
            </w:r>
          </w:p>
        </w:tc>
        <w:tc>
          <w:tcPr>
            <w:tcW w:w="795" w:type="dxa"/>
            <w:tcBorders>
              <w:top w:val="nil"/>
              <w:left w:val="single" w:sz="6" w:space="0" w:color="000000"/>
              <w:bottom w:val="single" w:sz="6" w:space="0" w:color="000000"/>
              <w:right w:val="single" w:sz="6" w:space="0" w:color="000000"/>
            </w:tcBorders>
          </w:tcPr>
          <w:p w14:paraId="0FE2001C" w14:textId="77777777" w:rsidR="007A7D1B" w:rsidRPr="00A83A0A" w:rsidRDefault="0032684D">
            <w:pPr>
              <w:rPr>
                <w:rFonts w:ascii="Arial" w:eastAsia="Arial" w:hAnsi="Arial" w:cs="Arial"/>
                <w:color w:val="000000"/>
                <w:sz w:val="20"/>
                <w:szCs w:val="20"/>
                <w:highlight w:val="green"/>
              </w:rPr>
            </w:pPr>
            <w:r w:rsidRPr="00A83A0A">
              <w:rPr>
                <w:rFonts w:ascii="Arial" w:eastAsia="Arial" w:hAnsi="Arial" w:cs="Arial"/>
                <w:color w:val="000000"/>
                <w:sz w:val="20"/>
                <w:szCs w:val="20"/>
                <w:highlight w:val="green"/>
              </w:rPr>
              <w:t>Med </w:t>
            </w:r>
          </w:p>
          <w:p w14:paraId="6C2ADA8E" w14:textId="77777777" w:rsidR="007A7D1B" w:rsidRDefault="0032684D">
            <w:pPr>
              <w:rPr>
                <w:rFonts w:ascii="Arial" w:eastAsia="Arial" w:hAnsi="Arial" w:cs="Arial"/>
                <w:color w:val="000000"/>
                <w:sz w:val="20"/>
                <w:szCs w:val="20"/>
              </w:rPr>
            </w:pPr>
            <w:r w:rsidRPr="00A83A0A">
              <w:rPr>
                <w:rFonts w:ascii="Arial" w:eastAsia="Arial" w:hAnsi="Arial" w:cs="Arial"/>
                <w:color w:val="000000"/>
                <w:sz w:val="20"/>
                <w:szCs w:val="20"/>
                <w:highlight w:val="green"/>
              </w:rPr>
              <w:t>5-7</w:t>
            </w:r>
            <w:r>
              <w:rPr>
                <w:rFonts w:ascii="Arial" w:eastAsia="Arial" w:hAnsi="Arial" w:cs="Arial"/>
                <w:color w:val="000000"/>
                <w:sz w:val="20"/>
                <w:szCs w:val="20"/>
              </w:rPr>
              <w:t> </w:t>
            </w:r>
          </w:p>
        </w:tc>
        <w:tc>
          <w:tcPr>
            <w:tcW w:w="840" w:type="dxa"/>
            <w:tcBorders>
              <w:top w:val="nil"/>
              <w:left w:val="single" w:sz="6" w:space="0" w:color="000000"/>
              <w:bottom w:val="single" w:sz="6" w:space="0" w:color="000000"/>
              <w:right w:val="single" w:sz="6" w:space="0" w:color="000000"/>
            </w:tcBorders>
          </w:tcPr>
          <w:p w14:paraId="430F761E"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High </w:t>
            </w:r>
          </w:p>
          <w:p w14:paraId="4333328B"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8-10 </w:t>
            </w:r>
          </w:p>
        </w:tc>
        <w:tc>
          <w:tcPr>
            <w:tcW w:w="705" w:type="dxa"/>
            <w:tcBorders>
              <w:top w:val="single" w:sz="6" w:space="0" w:color="000000"/>
              <w:left w:val="single" w:sz="6" w:space="0" w:color="000000"/>
              <w:bottom w:val="single" w:sz="6" w:space="0" w:color="000000"/>
              <w:right w:val="single" w:sz="6" w:space="0" w:color="000000"/>
            </w:tcBorders>
          </w:tcPr>
          <w:p w14:paraId="1E26C994"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Low </w:t>
            </w:r>
          </w:p>
          <w:p w14:paraId="510FE664"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1-4 </w:t>
            </w:r>
          </w:p>
        </w:tc>
        <w:tc>
          <w:tcPr>
            <w:tcW w:w="855" w:type="dxa"/>
            <w:tcBorders>
              <w:top w:val="nil"/>
              <w:left w:val="single" w:sz="6" w:space="0" w:color="000000"/>
              <w:bottom w:val="single" w:sz="6" w:space="0" w:color="000000"/>
              <w:right w:val="single" w:sz="6" w:space="0" w:color="000000"/>
            </w:tcBorders>
          </w:tcPr>
          <w:p w14:paraId="6A0669EF"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Med </w:t>
            </w:r>
          </w:p>
          <w:p w14:paraId="131AED57"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5-7 </w:t>
            </w:r>
          </w:p>
        </w:tc>
        <w:tc>
          <w:tcPr>
            <w:tcW w:w="765" w:type="dxa"/>
            <w:tcBorders>
              <w:top w:val="nil"/>
              <w:left w:val="single" w:sz="6" w:space="0" w:color="000000"/>
              <w:bottom w:val="single" w:sz="6" w:space="0" w:color="000000"/>
              <w:right w:val="single" w:sz="6" w:space="0" w:color="000000"/>
            </w:tcBorders>
          </w:tcPr>
          <w:p w14:paraId="0B0FCB38" w14:textId="77777777" w:rsidR="007A7D1B" w:rsidRPr="00A83A0A" w:rsidRDefault="0032684D">
            <w:pPr>
              <w:rPr>
                <w:rFonts w:ascii="Arial" w:eastAsia="Arial" w:hAnsi="Arial" w:cs="Arial"/>
                <w:color w:val="000000"/>
                <w:sz w:val="20"/>
                <w:szCs w:val="20"/>
                <w:highlight w:val="green"/>
              </w:rPr>
            </w:pPr>
            <w:r w:rsidRPr="00A83A0A">
              <w:rPr>
                <w:rFonts w:ascii="Arial" w:eastAsia="Arial" w:hAnsi="Arial" w:cs="Arial"/>
                <w:color w:val="000000"/>
                <w:sz w:val="20"/>
                <w:szCs w:val="20"/>
                <w:highlight w:val="green"/>
              </w:rPr>
              <w:t>High </w:t>
            </w:r>
          </w:p>
          <w:p w14:paraId="77F3E80D" w14:textId="77777777" w:rsidR="007A7D1B" w:rsidRDefault="0032684D">
            <w:pPr>
              <w:rPr>
                <w:rFonts w:ascii="Arial" w:eastAsia="Arial" w:hAnsi="Arial" w:cs="Arial"/>
                <w:color w:val="000000"/>
                <w:sz w:val="20"/>
                <w:szCs w:val="20"/>
              </w:rPr>
            </w:pPr>
            <w:r w:rsidRPr="00A83A0A">
              <w:rPr>
                <w:rFonts w:ascii="Arial" w:eastAsia="Arial" w:hAnsi="Arial" w:cs="Arial"/>
                <w:color w:val="000000"/>
                <w:sz w:val="20"/>
                <w:szCs w:val="20"/>
                <w:highlight w:val="green"/>
              </w:rPr>
              <w:t>8-10</w:t>
            </w:r>
            <w:r>
              <w:rPr>
                <w:rFonts w:ascii="Arial" w:eastAsia="Arial" w:hAnsi="Arial" w:cs="Arial"/>
                <w:color w:val="000000"/>
                <w:sz w:val="20"/>
                <w:szCs w:val="20"/>
              </w:rPr>
              <w:t> </w:t>
            </w:r>
          </w:p>
        </w:tc>
        <w:tc>
          <w:tcPr>
            <w:tcW w:w="2325" w:type="dxa"/>
            <w:tcBorders>
              <w:top w:val="single" w:sz="6" w:space="0" w:color="000000"/>
              <w:left w:val="single" w:sz="6" w:space="0" w:color="000000"/>
              <w:bottom w:val="single" w:sz="6" w:space="0" w:color="000000"/>
              <w:right w:val="single" w:sz="6" w:space="0" w:color="000000"/>
            </w:tcBorders>
          </w:tcPr>
          <w:p w14:paraId="337513F1" w14:textId="77777777" w:rsidR="00A83A0A" w:rsidRPr="00A83A0A" w:rsidRDefault="0032684D" w:rsidP="00A83A0A">
            <w:pPr>
              <w:rPr>
                <w:rFonts w:ascii="Arial" w:eastAsia="Arial" w:hAnsi="Arial" w:cs="Arial"/>
                <w:color w:val="000000"/>
              </w:rPr>
            </w:pPr>
            <w:r>
              <w:rPr>
                <w:rFonts w:ascii="Arial" w:eastAsia="Arial" w:hAnsi="Arial" w:cs="Arial"/>
                <w:color w:val="000000"/>
              </w:rPr>
              <w:t> </w:t>
            </w:r>
            <w:r w:rsidR="00A83A0A" w:rsidRPr="00A83A0A">
              <w:rPr>
                <w:rFonts w:ascii="Arial" w:eastAsia="Arial" w:hAnsi="Arial" w:cs="Arial"/>
                <w:color w:val="000000"/>
              </w:rPr>
              <w:t>At aspiring DI level, knowledge must shift from operational understanding to strategic investigative governance and oversight capability.</w:t>
            </w:r>
          </w:p>
          <w:p w14:paraId="2D8AC48A" w14:textId="77777777" w:rsidR="00A83A0A" w:rsidRPr="00A83A0A" w:rsidRDefault="00A83A0A" w:rsidP="00A83A0A">
            <w:pPr>
              <w:rPr>
                <w:rFonts w:ascii="Arial" w:eastAsia="Arial" w:hAnsi="Arial" w:cs="Arial"/>
                <w:color w:val="000000"/>
              </w:rPr>
            </w:pPr>
            <w:r w:rsidRPr="00A83A0A">
              <w:rPr>
                <w:rFonts w:ascii="Arial" w:eastAsia="Arial" w:hAnsi="Arial" w:cs="Arial"/>
                <w:color w:val="000000"/>
              </w:rPr>
              <w:t xml:space="preserve">I must develop advanced expertise in modern slavery investigative strategy, including disruption-focused </w:t>
            </w:r>
            <w:r w:rsidRPr="00A83A0A">
              <w:rPr>
                <w:rFonts w:ascii="Arial" w:eastAsia="Arial" w:hAnsi="Arial" w:cs="Arial"/>
                <w:color w:val="000000"/>
              </w:rPr>
              <w:lastRenderedPageBreak/>
              <w:t>policing, NRM decision-making frameworks, and multi-agency safeguarding governance. This directly aligns with South Wales Police Delivery Plan priorities on protecting vulnerable people and reducing harm, requiring supervisors to ensure effective victim safeguarding pathways and investigative continuity.</w:t>
            </w:r>
          </w:p>
          <w:p w14:paraId="3FA2C09E" w14:textId="77777777" w:rsidR="00A83A0A" w:rsidRPr="00A83A0A" w:rsidRDefault="00A83A0A" w:rsidP="00A83A0A">
            <w:pPr>
              <w:rPr>
                <w:rFonts w:ascii="Arial" w:eastAsia="Arial" w:hAnsi="Arial" w:cs="Arial"/>
                <w:color w:val="000000"/>
              </w:rPr>
            </w:pPr>
            <w:r w:rsidRPr="00A83A0A">
              <w:rPr>
                <w:rFonts w:ascii="Arial" w:eastAsia="Arial" w:hAnsi="Arial" w:cs="Arial"/>
                <w:color w:val="000000"/>
              </w:rPr>
              <w:t>In counter-terrorism policing (CTP Borders / CONTEST), I need enhanced strategic understanding of Prevent case management, intelligence thresholds for escalation, and the integration of multi-agency safeguarding boards within national security contexts. As a future DI, I would be responsible for ensuring intelligence is not only assessed but actioned proportionately and lawfully at supervisory level, aligning with Pursue and Prevent objectives.</w:t>
            </w:r>
          </w:p>
          <w:p w14:paraId="61C4491C" w14:textId="77777777" w:rsidR="00A83A0A" w:rsidRPr="00A83A0A" w:rsidRDefault="00A83A0A" w:rsidP="00A83A0A">
            <w:pPr>
              <w:rPr>
                <w:rFonts w:ascii="Arial" w:eastAsia="Arial" w:hAnsi="Arial" w:cs="Arial"/>
                <w:color w:val="000000"/>
              </w:rPr>
            </w:pPr>
            <w:r w:rsidRPr="00A83A0A">
              <w:rPr>
                <w:rFonts w:ascii="Arial" w:eastAsia="Arial" w:hAnsi="Arial" w:cs="Arial"/>
                <w:color w:val="000000"/>
              </w:rPr>
              <w:t xml:space="preserve">My understanding of CPIA disclosure obligations must </w:t>
            </w:r>
            <w:r w:rsidRPr="00A83A0A">
              <w:rPr>
                <w:rFonts w:ascii="Arial" w:eastAsia="Arial" w:hAnsi="Arial" w:cs="Arial"/>
                <w:color w:val="000000"/>
              </w:rPr>
              <w:lastRenderedPageBreak/>
              <w:t>develop into supervisory-level oversight capability, ensuring compliance, defensibility, and audit readiness across investigations. This includes managing disclosure risks in covert, intelligence-led, and multi-agency cases.</w:t>
            </w:r>
          </w:p>
          <w:p w14:paraId="631A2A37" w14:textId="42359D99" w:rsidR="007A7D1B" w:rsidRDefault="00A83A0A" w:rsidP="00A83A0A">
            <w:pPr>
              <w:rPr>
                <w:rFonts w:ascii="Arial" w:eastAsia="Arial" w:hAnsi="Arial" w:cs="Arial"/>
                <w:color w:val="000000"/>
              </w:rPr>
            </w:pPr>
            <w:r w:rsidRPr="00A83A0A">
              <w:rPr>
                <w:rFonts w:ascii="Arial" w:eastAsia="Arial" w:hAnsi="Arial" w:cs="Arial"/>
                <w:color w:val="000000"/>
              </w:rPr>
              <w:t>Within the PERFORM framework, this reflects development from “competent practitioner” to “strategic accountable leader,” particularly in legal compliance, ethical governance, and evidential integrity.</w:t>
            </w:r>
          </w:p>
        </w:tc>
      </w:tr>
      <w:tr w:rsidR="007A7D1B" w14:paraId="1386039B" w14:textId="77777777">
        <w:trPr>
          <w:trHeight w:val="1095"/>
        </w:trPr>
        <w:tc>
          <w:tcPr>
            <w:tcW w:w="1740" w:type="dxa"/>
            <w:tcBorders>
              <w:top w:val="single" w:sz="6" w:space="0" w:color="000000"/>
              <w:left w:val="single" w:sz="6" w:space="0" w:color="000000"/>
              <w:bottom w:val="single" w:sz="6" w:space="0" w:color="000000"/>
              <w:right w:val="single" w:sz="6" w:space="0" w:color="000000"/>
            </w:tcBorders>
          </w:tcPr>
          <w:p w14:paraId="0B6A8C57" w14:textId="77777777" w:rsidR="007A7D1B" w:rsidRDefault="0032684D">
            <w:pPr>
              <w:rPr>
                <w:rFonts w:ascii="Arial" w:eastAsia="Arial" w:hAnsi="Arial" w:cs="Arial"/>
                <w:color w:val="000000"/>
              </w:rPr>
            </w:pPr>
            <w:r>
              <w:rPr>
                <w:rFonts w:ascii="Arial" w:eastAsia="Arial" w:hAnsi="Arial" w:cs="Arial"/>
                <w:b/>
                <w:color w:val="000000"/>
              </w:rPr>
              <w:lastRenderedPageBreak/>
              <w:t>SKILLS </w:t>
            </w:r>
          </w:p>
          <w:p w14:paraId="1196AD2A" w14:textId="77777777" w:rsidR="007A7D1B" w:rsidRDefault="007A7D1B">
            <w:pPr>
              <w:rPr>
                <w:rFonts w:ascii="Arial" w:eastAsia="Arial" w:hAnsi="Arial" w:cs="Arial"/>
                <w:b/>
                <w:color w:val="000000"/>
              </w:rPr>
            </w:pPr>
          </w:p>
        </w:tc>
        <w:tc>
          <w:tcPr>
            <w:tcW w:w="855" w:type="dxa"/>
            <w:tcBorders>
              <w:top w:val="single" w:sz="6" w:space="0" w:color="000000"/>
              <w:left w:val="single" w:sz="6" w:space="0" w:color="000000"/>
              <w:bottom w:val="single" w:sz="6" w:space="0" w:color="000000"/>
              <w:right w:val="single" w:sz="6" w:space="0" w:color="000000"/>
            </w:tcBorders>
          </w:tcPr>
          <w:p w14:paraId="5C7DE9A4"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Low </w:t>
            </w:r>
          </w:p>
          <w:p w14:paraId="65791A0F"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1-4 </w:t>
            </w:r>
          </w:p>
        </w:tc>
        <w:tc>
          <w:tcPr>
            <w:tcW w:w="795" w:type="dxa"/>
            <w:tcBorders>
              <w:top w:val="single" w:sz="6" w:space="0" w:color="000000"/>
              <w:left w:val="single" w:sz="6" w:space="0" w:color="000000"/>
              <w:bottom w:val="single" w:sz="6" w:space="0" w:color="000000"/>
              <w:right w:val="single" w:sz="6" w:space="0" w:color="000000"/>
            </w:tcBorders>
          </w:tcPr>
          <w:p w14:paraId="71E99759" w14:textId="77777777" w:rsidR="007A7D1B" w:rsidRPr="00A83A0A" w:rsidRDefault="0032684D">
            <w:pPr>
              <w:rPr>
                <w:rFonts w:ascii="Arial" w:eastAsia="Arial" w:hAnsi="Arial" w:cs="Arial"/>
                <w:color w:val="000000"/>
                <w:sz w:val="20"/>
                <w:szCs w:val="20"/>
                <w:highlight w:val="green"/>
              </w:rPr>
            </w:pPr>
            <w:r w:rsidRPr="00A83A0A">
              <w:rPr>
                <w:rFonts w:ascii="Arial" w:eastAsia="Arial" w:hAnsi="Arial" w:cs="Arial"/>
                <w:color w:val="000000"/>
                <w:sz w:val="20"/>
                <w:szCs w:val="20"/>
                <w:highlight w:val="green"/>
              </w:rPr>
              <w:t>Med </w:t>
            </w:r>
          </w:p>
          <w:p w14:paraId="296032BC" w14:textId="77777777" w:rsidR="007A7D1B" w:rsidRDefault="0032684D">
            <w:pPr>
              <w:rPr>
                <w:rFonts w:ascii="Arial" w:eastAsia="Arial" w:hAnsi="Arial" w:cs="Arial"/>
                <w:color w:val="000000"/>
                <w:sz w:val="20"/>
                <w:szCs w:val="20"/>
              </w:rPr>
            </w:pPr>
            <w:r w:rsidRPr="00A83A0A">
              <w:rPr>
                <w:rFonts w:ascii="Arial" w:eastAsia="Arial" w:hAnsi="Arial" w:cs="Arial"/>
                <w:color w:val="000000"/>
                <w:sz w:val="20"/>
                <w:szCs w:val="20"/>
                <w:highlight w:val="green"/>
              </w:rPr>
              <w:t>5-7</w:t>
            </w:r>
            <w:r>
              <w:rPr>
                <w:rFonts w:ascii="Arial" w:eastAsia="Arial" w:hAnsi="Arial" w:cs="Arial"/>
                <w:color w:val="000000"/>
                <w:sz w:val="20"/>
                <w:szCs w:val="20"/>
              </w:rPr>
              <w:t> </w:t>
            </w:r>
          </w:p>
        </w:tc>
        <w:tc>
          <w:tcPr>
            <w:tcW w:w="840" w:type="dxa"/>
            <w:tcBorders>
              <w:top w:val="single" w:sz="6" w:space="0" w:color="000000"/>
              <w:left w:val="single" w:sz="6" w:space="0" w:color="000000"/>
              <w:bottom w:val="single" w:sz="6" w:space="0" w:color="000000"/>
              <w:right w:val="single" w:sz="6" w:space="0" w:color="000000"/>
            </w:tcBorders>
          </w:tcPr>
          <w:p w14:paraId="6A872472"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High </w:t>
            </w:r>
          </w:p>
          <w:p w14:paraId="5D8E148F"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8-10 </w:t>
            </w:r>
          </w:p>
        </w:tc>
        <w:tc>
          <w:tcPr>
            <w:tcW w:w="705" w:type="dxa"/>
            <w:tcBorders>
              <w:top w:val="single" w:sz="6" w:space="0" w:color="000000"/>
              <w:left w:val="single" w:sz="6" w:space="0" w:color="000000"/>
              <w:bottom w:val="single" w:sz="6" w:space="0" w:color="000000"/>
              <w:right w:val="single" w:sz="6" w:space="0" w:color="000000"/>
            </w:tcBorders>
          </w:tcPr>
          <w:p w14:paraId="2EB7A86A"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Low </w:t>
            </w:r>
          </w:p>
          <w:p w14:paraId="56C4A4A7"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1-4 </w:t>
            </w:r>
          </w:p>
        </w:tc>
        <w:tc>
          <w:tcPr>
            <w:tcW w:w="855" w:type="dxa"/>
            <w:tcBorders>
              <w:top w:val="single" w:sz="6" w:space="0" w:color="000000"/>
              <w:left w:val="single" w:sz="6" w:space="0" w:color="000000"/>
              <w:bottom w:val="single" w:sz="6" w:space="0" w:color="000000"/>
              <w:right w:val="single" w:sz="6" w:space="0" w:color="000000"/>
            </w:tcBorders>
          </w:tcPr>
          <w:p w14:paraId="50ED72B5"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Med </w:t>
            </w:r>
          </w:p>
          <w:p w14:paraId="40567401"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5-7 </w:t>
            </w:r>
          </w:p>
        </w:tc>
        <w:tc>
          <w:tcPr>
            <w:tcW w:w="765" w:type="dxa"/>
            <w:tcBorders>
              <w:top w:val="single" w:sz="6" w:space="0" w:color="000000"/>
              <w:left w:val="single" w:sz="6" w:space="0" w:color="000000"/>
              <w:bottom w:val="single" w:sz="6" w:space="0" w:color="000000"/>
              <w:right w:val="single" w:sz="6" w:space="0" w:color="000000"/>
            </w:tcBorders>
          </w:tcPr>
          <w:p w14:paraId="4FAD1391" w14:textId="77777777" w:rsidR="007A7D1B" w:rsidRPr="00A83A0A" w:rsidRDefault="0032684D">
            <w:pPr>
              <w:rPr>
                <w:rFonts w:ascii="Arial" w:eastAsia="Arial" w:hAnsi="Arial" w:cs="Arial"/>
                <w:color w:val="000000"/>
                <w:sz w:val="20"/>
                <w:szCs w:val="20"/>
                <w:highlight w:val="green"/>
              </w:rPr>
            </w:pPr>
            <w:r w:rsidRPr="00A83A0A">
              <w:rPr>
                <w:rFonts w:ascii="Arial" w:eastAsia="Arial" w:hAnsi="Arial" w:cs="Arial"/>
                <w:color w:val="000000"/>
                <w:sz w:val="20"/>
                <w:szCs w:val="20"/>
                <w:highlight w:val="green"/>
              </w:rPr>
              <w:t>High </w:t>
            </w:r>
          </w:p>
          <w:p w14:paraId="3DD48D46" w14:textId="77777777" w:rsidR="007A7D1B" w:rsidRDefault="0032684D">
            <w:pPr>
              <w:rPr>
                <w:rFonts w:ascii="Arial" w:eastAsia="Arial" w:hAnsi="Arial" w:cs="Arial"/>
                <w:color w:val="000000"/>
                <w:sz w:val="20"/>
                <w:szCs w:val="20"/>
              </w:rPr>
            </w:pPr>
            <w:r w:rsidRPr="00A83A0A">
              <w:rPr>
                <w:rFonts w:ascii="Arial" w:eastAsia="Arial" w:hAnsi="Arial" w:cs="Arial"/>
                <w:color w:val="000000"/>
                <w:sz w:val="20"/>
                <w:szCs w:val="20"/>
                <w:highlight w:val="green"/>
              </w:rPr>
              <w:t>8-10</w:t>
            </w:r>
            <w:r>
              <w:rPr>
                <w:rFonts w:ascii="Arial" w:eastAsia="Arial" w:hAnsi="Arial" w:cs="Arial"/>
                <w:color w:val="000000"/>
                <w:sz w:val="20"/>
                <w:szCs w:val="20"/>
              </w:rPr>
              <w:t> </w:t>
            </w:r>
          </w:p>
        </w:tc>
        <w:tc>
          <w:tcPr>
            <w:tcW w:w="2325" w:type="dxa"/>
            <w:tcBorders>
              <w:top w:val="single" w:sz="6" w:space="0" w:color="000000"/>
              <w:left w:val="single" w:sz="6" w:space="0" w:color="000000"/>
              <w:bottom w:val="single" w:sz="6" w:space="0" w:color="000000"/>
              <w:right w:val="single" w:sz="6" w:space="0" w:color="000000"/>
            </w:tcBorders>
          </w:tcPr>
          <w:p w14:paraId="7454C902" w14:textId="77777777" w:rsidR="00A83A0A" w:rsidRPr="00A83A0A" w:rsidRDefault="0032684D" w:rsidP="00A83A0A">
            <w:pPr>
              <w:rPr>
                <w:rFonts w:ascii="Arial" w:eastAsia="Arial" w:hAnsi="Arial" w:cs="Arial"/>
                <w:color w:val="000000"/>
              </w:rPr>
            </w:pPr>
            <w:r>
              <w:rPr>
                <w:rFonts w:ascii="Arial" w:eastAsia="Arial" w:hAnsi="Arial" w:cs="Arial"/>
                <w:color w:val="000000"/>
              </w:rPr>
              <w:t> </w:t>
            </w:r>
            <w:r w:rsidR="00A83A0A" w:rsidRPr="00A83A0A">
              <w:rPr>
                <w:rFonts w:ascii="Arial" w:eastAsia="Arial" w:hAnsi="Arial" w:cs="Arial"/>
                <w:color w:val="000000"/>
              </w:rPr>
              <w:t>At DI level, skills must transition from personal investigative competence to supervisory leadership, oversight, and decision assurance.</w:t>
            </w:r>
          </w:p>
          <w:p w14:paraId="73B037DA" w14:textId="77777777" w:rsidR="00A83A0A" w:rsidRPr="00A83A0A" w:rsidRDefault="00A83A0A" w:rsidP="00A83A0A">
            <w:pPr>
              <w:rPr>
                <w:rFonts w:ascii="Arial" w:eastAsia="Arial" w:hAnsi="Arial" w:cs="Arial"/>
                <w:color w:val="000000"/>
              </w:rPr>
            </w:pPr>
            <w:r w:rsidRPr="00A83A0A">
              <w:rPr>
                <w:rFonts w:ascii="Arial" w:eastAsia="Arial" w:hAnsi="Arial" w:cs="Arial"/>
                <w:color w:val="000000"/>
              </w:rPr>
              <w:t xml:space="preserve">I must develop capability in reviewing and directing complex modern slavery investigations, ensuring teams correctly identify exploitation patterns, maintain victim safeguarding standards, and apply disruption strategies effectively. This aligns with South </w:t>
            </w:r>
            <w:r w:rsidRPr="00A83A0A">
              <w:rPr>
                <w:rFonts w:ascii="Arial" w:eastAsia="Arial" w:hAnsi="Arial" w:cs="Arial"/>
                <w:color w:val="000000"/>
              </w:rPr>
              <w:lastRenderedPageBreak/>
              <w:t>Wales Police priorities around harm reduction, vulnerability management, and effective justice delivery.</w:t>
            </w:r>
          </w:p>
          <w:p w14:paraId="4A5B9636" w14:textId="77777777" w:rsidR="00A83A0A" w:rsidRPr="00A83A0A" w:rsidRDefault="00A83A0A" w:rsidP="00A83A0A">
            <w:pPr>
              <w:rPr>
                <w:rFonts w:ascii="Arial" w:eastAsia="Arial" w:hAnsi="Arial" w:cs="Arial"/>
                <w:color w:val="000000"/>
              </w:rPr>
            </w:pPr>
            <w:r w:rsidRPr="00A83A0A">
              <w:rPr>
                <w:rFonts w:ascii="Arial" w:eastAsia="Arial" w:hAnsi="Arial" w:cs="Arial"/>
                <w:color w:val="000000"/>
              </w:rPr>
              <w:t>In CTP Borders environments, I need to develop the ability to interpret intelligence at a supervisory level, ensuring appropriate escalation, resource allocation, and threat management decisions are justified, documented, and legally defensible under CONTEST.</w:t>
            </w:r>
          </w:p>
          <w:p w14:paraId="369E84BD" w14:textId="77777777" w:rsidR="00A83A0A" w:rsidRPr="00A83A0A" w:rsidRDefault="00A83A0A" w:rsidP="00A83A0A">
            <w:pPr>
              <w:rPr>
                <w:rFonts w:ascii="Arial" w:eastAsia="Arial" w:hAnsi="Arial" w:cs="Arial"/>
                <w:color w:val="000000"/>
              </w:rPr>
            </w:pPr>
            <w:r w:rsidRPr="00A83A0A">
              <w:rPr>
                <w:rFonts w:ascii="Arial" w:eastAsia="Arial" w:hAnsi="Arial" w:cs="Arial"/>
                <w:color w:val="000000"/>
              </w:rPr>
              <w:t>My disclosure oversight skills must evolve significantly, ensuring that I can quality-assure CPIA compliance across multiple investigations. This includes identifying risks in disclosure schedules, correcting evidential gaps, and ensuring transparency standards are met for judicial processes.</w:t>
            </w:r>
          </w:p>
          <w:p w14:paraId="7A570872" w14:textId="77777777" w:rsidR="00A83A0A" w:rsidRPr="00A83A0A" w:rsidRDefault="00A83A0A" w:rsidP="00A83A0A">
            <w:pPr>
              <w:rPr>
                <w:rFonts w:ascii="Arial" w:eastAsia="Arial" w:hAnsi="Arial" w:cs="Arial"/>
                <w:color w:val="000000"/>
              </w:rPr>
            </w:pPr>
            <w:r w:rsidRPr="00A83A0A">
              <w:rPr>
                <w:rFonts w:ascii="Arial" w:eastAsia="Arial" w:hAnsi="Arial" w:cs="Arial"/>
                <w:color w:val="000000"/>
              </w:rPr>
              <w:t xml:space="preserve">Additionally, I must develop strategic communication and leadership skills, particularly in chairing multi-agency meetings, directing investigative teams, and influencing partner agencies (local authority, </w:t>
            </w:r>
            <w:r w:rsidRPr="00A83A0A">
              <w:rPr>
                <w:rFonts w:ascii="Arial" w:eastAsia="Arial" w:hAnsi="Arial" w:cs="Arial"/>
                <w:color w:val="000000"/>
              </w:rPr>
              <w:lastRenderedPageBreak/>
              <w:t>safeguarding boards, CT analysts).</w:t>
            </w:r>
          </w:p>
          <w:p w14:paraId="1E3C89FA" w14:textId="77EBE9AF" w:rsidR="007A7D1B" w:rsidRDefault="00A83A0A" w:rsidP="00A83A0A">
            <w:pPr>
              <w:rPr>
                <w:rFonts w:ascii="Arial" w:eastAsia="Arial" w:hAnsi="Arial" w:cs="Arial"/>
                <w:color w:val="000000"/>
              </w:rPr>
            </w:pPr>
            <w:r w:rsidRPr="00A83A0A">
              <w:rPr>
                <w:rFonts w:ascii="Arial" w:eastAsia="Arial" w:hAnsi="Arial" w:cs="Arial"/>
                <w:color w:val="000000"/>
              </w:rPr>
              <w:t>Within PERFORM, this reflects progression in leadership, accountability, decision-making under pressure, and ethical governance of complex investigations.</w:t>
            </w:r>
          </w:p>
        </w:tc>
      </w:tr>
      <w:tr w:rsidR="007A7D1B" w14:paraId="2423040A" w14:textId="77777777">
        <w:tc>
          <w:tcPr>
            <w:tcW w:w="1740" w:type="dxa"/>
            <w:tcBorders>
              <w:top w:val="single" w:sz="6" w:space="0" w:color="000000"/>
              <w:left w:val="single" w:sz="6" w:space="0" w:color="000000"/>
              <w:bottom w:val="single" w:sz="6" w:space="0" w:color="000000"/>
              <w:right w:val="single" w:sz="6" w:space="0" w:color="000000"/>
            </w:tcBorders>
          </w:tcPr>
          <w:p w14:paraId="1745053D" w14:textId="77777777" w:rsidR="007A7D1B" w:rsidRDefault="0032684D">
            <w:pPr>
              <w:rPr>
                <w:rFonts w:ascii="Arial" w:eastAsia="Arial" w:hAnsi="Arial" w:cs="Arial"/>
                <w:color w:val="000000"/>
              </w:rPr>
            </w:pPr>
            <w:r>
              <w:rPr>
                <w:rFonts w:ascii="Arial" w:eastAsia="Arial" w:hAnsi="Arial" w:cs="Arial"/>
                <w:b/>
                <w:color w:val="000000"/>
              </w:rPr>
              <w:lastRenderedPageBreak/>
              <w:t>EXPERIENCE </w:t>
            </w:r>
          </w:p>
          <w:p w14:paraId="4DE6A3EA" w14:textId="77777777" w:rsidR="007A7D1B" w:rsidRDefault="007A7D1B">
            <w:pPr>
              <w:rPr>
                <w:rFonts w:ascii="Arial" w:eastAsia="Arial" w:hAnsi="Arial" w:cs="Arial"/>
                <w:b/>
                <w:color w:val="000000"/>
              </w:rPr>
            </w:pPr>
          </w:p>
          <w:p w14:paraId="242B2F09" w14:textId="77777777" w:rsidR="007A7D1B" w:rsidRDefault="007A7D1B">
            <w:pPr>
              <w:rPr>
                <w:rFonts w:ascii="Arial" w:eastAsia="Arial" w:hAnsi="Arial" w:cs="Arial"/>
                <w:color w:val="000000"/>
              </w:rPr>
            </w:pPr>
          </w:p>
        </w:tc>
        <w:tc>
          <w:tcPr>
            <w:tcW w:w="855" w:type="dxa"/>
            <w:tcBorders>
              <w:top w:val="single" w:sz="6" w:space="0" w:color="000000"/>
              <w:left w:val="single" w:sz="6" w:space="0" w:color="000000"/>
              <w:bottom w:val="single" w:sz="6" w:space="0" w:color="000000"/>
              <w:right w:val="single" w:sz="6" w:space="0" w:color="000000"/>
            </w:tcBorders>
          </w:tcPr>
          <w:p w14:paraId="27B83CBF"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Low </w:t>
            </w:r>
          </w:p>
          <w:p w14:paraId="61FF2202"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1-4 </w:t>
            </w:r>
          </w:p>
        </w:tc>
        <w:tc>
          <w:tcPr>
            <w:tcW w:w="795" w:type="dxa"/>
            <w:tcBorders>
              <w:top w:val="single" w:sz="6" w:space="0" w:color="000000"/>
              <w:left w:val="single" w:sz="6" w:space="0" w:color="000000"/>
              <w:bottom w:val="single" w:sz="6" w:space="0" w:color="000000"/>
              <w:right w:val="single" w:sz="6" w:space="0" w:color="000000"/>
            </w:tcBorders>
          </w:tcPr>
          <w:p w14:paraId="13C89087" w14:textId="77777777" w:rsidR="007A7D1B" w:rsidRPr="00A83A0A" w:rsidRDefault="0032684D">
            <w:pPr>
              <w:rPr>
                <w:rFonts w:ascii="Arial" w:eastAsia="Arial" w:hAnsi="Arial" w:cs="Arial"/>
                <w:color w:val="000000"/>
                <w:sz w:val="20"/>
                <w:szCs w:val="20"/>
                <w:highlight w:val="green"/>
              </w:rPr>
            </w:pPr>
            <w:r w:rsidRPr="00A83A0A">
              <w:rPr>
                <w:rFonts w:ascii="Arial" w:eastAsia="Arial" w:hAnsi="Arial" w:cs="Arial"/>
                <w:color w:val="000000"/>
                <w:sz w:val="20"/>
                <w:szCs w:val="20"/>
                <w:highlight w:val="green"/>
              </w:rPr>
              <w:t>Med </w:t>
            </w:r>
          </w:p>
          <w:p w14:paraId="105D50CE" w14:textId="77777777" w:rsidR="007A7D1B" w:rsidRDefault="0032684D">
            <w:pPr>
              <w:rPr>
                <w:rFonts w:ascii="Arial" w:eastAsia="Arial" w:hAnsi="Arial" w:cs="Arial"/>
                <w:color w:val="000000"/>
                <w:sz w:val="20"/>
                <w:szCs w:val="20"/>
              </w:rPr>
            </w:pPr>
            <w:r w:rsidRPr="00A83A0A">
              <w:rPr>
                <w:rFonts w:ascii="Arial" w:eastAsia="Arial" w:hAnsi="Arial" w:cs="Arial"/>
                <w:color w:val="000000"/>
                <w:sz w:val="20"/>
                <w:szCs w:val="20"/>
                <w:highlight w:val="green"/>
              </w:rPr>
              <w:t>5-7</w:t>
            </w:r>
            <w:r>
              <w:rPr>
                <w:rFonts w:ascii="Arial" w:eastAsia="Arial" w:hAnsi="Arial" w:cs="Arial"/>
                <w:color w:val="000000"/>
                <w:sz w:val="20"/>
                <w:szCs w:val="20"/>
              </w:rPr>
              <w:t> </w:t>
            </w:r>
          </w:p>
        </w:tc>
        <w:tc>
          <w:tcPr>
            <w:tcW w:w="840" w:type="dxa"/>
            <w:tcBorders>
              <w:top w:val="single" w:sz="6" w:space="0" w:color="000000"/>
              <w:left w:val="single" w:sz="6" w:space="0" w:color="000000"/>
              <w:bottom w:val="single" w:sz="6" w:space="0" w:color="000000"/>
              <w:right w:val="single" w:sz="6" w:space="0" w:color="000000"/>
            </w:tcBorders>
          </w:tcPr>
          <w:p w14:paraId="66F1A66E" w14:textId="77777777" w:rsidR="007A7D1B" w:rsidRPr="00A83A0A" w:rsidRDefault="0032684D">
            <w:pPr>
              <w:rPr>
                <w:rFonts w:ascii="Arial" w:eastAsia="Arial" w:hAnsi="Arial" w:cs="Arial"/>
                <w:color w:val="000000"/>
                <w:sz w:val="20"/>
                <w:szCs w:val="20"/>
              </w:rPr>
            </w:pPr>
            <w:r w:rsidRPr="00A83A0A">
              <w:rPr>
                <w:rFonts w:ascii="Arial" w:eastAsia="Arial" w:hAnsi="Arial" w:cs="Arial"/>
                <w:color w:val="000000"/>
                <w:sz w:val="20"/>
                <w:szCs w:val="20"/>
              </w:rPr>
              <w:t>High </w:t>
            </w:r>
          </w:p>
          <w:p w14:paraId="5F8AC19F" w14:textId="77777777" w:rsidR="007A7D1B" w:rsidRDefault="0032684D">
            <w:pPr>
              <w:rPr>
                <w:rFonts w:ascii="Arial" w:eastAsia="Arial" w:hAnsi="Arial" w:cs="Arial"/>
                <w:color w:val="000000"/>
                <w:sz w:val="20"/>
                <w:szCs w:val="20"/>
              </w:rPr>
            </w:pPr>
            <w:r w:rsidRPr="00A83A0A">
              <w:rPr>
                <w:rFonts w:ascii="Arial" w:eastAsia="Arial" w:hAnsi="Arial" w:cs="Arial"/>
                <w:color w:val="000000"/>
                <w:sz w:val="20"/>
                <w:szCs w:val="20"/>
              </w:rPr>
              <w:t>8-10</w:t>
            </w:r>
            <w:r>
              <w:rPr>
                <w:rFonts w:ascii="Arial" w:eastAsia="Arial" w:hAnsi="Arial" w:cs="Arial"/>
                <w:color w:val="000000"/>
                <w:sz w:val="20"/>
                <w:szCs w:val="20"/>
              </w:rPr>
              <w:t> </w:t>
            </w:r>
          </w:p>
        </w:tc>
        <w:tc>
          <w:tcPr>
            <w:tcW w:w="705" w:type="dxa"/>
            <w:tcBorders>
              <w:top w:val="single" w:sz="6" w:space="0" w:color="000000"/>
              <w:left w:val="single" w:sz="6" w:space="0" w:color="000000"/>
              <w:bottom w:val="single" w:sz="6" w:space="0" w:color="000000"/>
              <w:right w:val="single" w:sz="6" w:space="0" w:color="000000"/>
            </w:tcBorders>
          </w:tcPr>
          <w:p w14:paraId="6932CDAC"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Low </w:t>
            </w:r>
          </w:p>
          <w:p w14:paraId="5D092250"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1-4 </w:t>
            </w:r>
          </w:p>
        </w:tc>
        <w:tc>
          <w:tcPr>
            <w:tcW w:w="855" w:type="dxa"/>
            <w:tcBorders>
              <w:top w:val="single" w:sz="6" w:space="0" w:color="000000"/>
              <w:left w:val="single" w:sz="6" w:space="0" w:color="000000"/>
              <w:bottom w:val="single" w:sz="6" w:space="0" w:color="000000"/>
              <w:right w:val="single" w:sz="6" w:space="0" w:color="000000"/>
            </w:tcBorders>
          </w:tcPr>
          <w:p w14:paraId="4276474E"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Med </w:t>
            </w:r>
          </w:p>
          <w:p w14:paraId="4E9A58EC" w14:textId="77777777" w:rsidR="007A7D1B" w:rsidRDefault="0032684D">
            <w:pPr>
              <w:rPr>
                <w:rFonts w:ascii="Arial" w:eastAsia="Arial" w:hAnsi="Arial" w:cs="Arial"/>
                <w:color w:val="000000"/>
                <w:sz w:val="20"/>
                <w:szCs w:val="20"/>
              </w:rPr>
            </w:pPr>
            <w:r>
              <w:rPr>
                <w:rFonts w:ascii="Arial" w:eastAsia="Arial" w:hAnsi="Arial" w:cs="Arial"/>
                <w:color w:val="000000"/>
                <w:sz w:val="20"/>
                <w:szCs w:val="20"/>
              </w:rPr>
              <w:t>5-7 </w:t>
            </w:r>
          </w:p>
        </w:tc>
        <w:tc>
          <w:tcPr>
            <w:tcW w:w="765" w:type="dxa"/>
            <w:tcBorders>
              <w:top w:val="single" w:sz="6" w:space="0" w:color="000000"/>
              <w:left w:val="single" w:sz="6" w:space="0" w:color="000000"/>
              <w:bottom w:val="single" w:sz="6" w:space="0" w:color="000000"/>
              <w:right w:val="single" w:sz="6" w:space="0" w:color="000000"/>
            </w:tcBorders>
          </w:tcPr>
          <w:p w14:paraId="12522A8E" w14:textId="77777777" w:rsidR="007A7D1B" w:rsidRPr="00A83A0A" w:rsidRDefault="0032684D">
            <w:pPr>
              <w:rPr>
                <w:rFonts w:ascii="Arial" w:eastAsia="Arial" w:hAnsi="Arial" w:cs="Arial"/>
                <w:color w:val="000000"/>
                <w:sz w:val="20"/>
                <w:szCs w:val="20"/>
                <w:highlight w:val="green"/>
              </w:rPr>
            </w:pPr>
            <w:r w:rsidRPr="00A83A0A">
              <w:rPr>
                <w:rFonts w:ascii="Arial" w:eastAsia="Arial" w:hAnsi="Arial" w:cs="Arial"/>
                <w:color w:val="000000"/>
                <w:sz w:val="20"/>
                <w:szCs w:val="20"/>
                <w:highlight w:val="green"/>
              </w:rPr>
              <w:t>High </w:t>
            </w:r>
          </w:p>
          <w:p w14:paraId="753754BC" w14:textId="77777777" w:rsidR="007A7D1B" w:rsidRDefault="0032684D">
            <w:pPr>
              <w:rPr>
                <w:rFonts w:ascii="Arial" w:eastAsia="Arial" w:hAnsi="Arial" w:cs="Arial"/>
                <w:color w:val="000000"/>
                <w:sz w:val="20"/>
                <w:szCs w:val="20"/>
              </w:rPr>
            </w:pPr>
            <w:r w:rsidRPr="00A83A0A">
              <w:rPr>
                <w:rFonts w:ascii="Arial" w:eastAsia="Arial" w:hAnsi="Arial" w:cs="Arial"/>
                <w:color w:val="000000"/>
                <w:sz w:val="20"/>
                <w:szCs w:val="20"/>
                <w:highlight w:val="green"/>
              </w:rPr>
              <w:t>8-10</w:t>
            </w:r>
            <w:r>
              <w:rPr>
                <w:rFonts w:ascii="Arial" w:eastAsia="Arial" w:hAnsi="Arial" w:cs="Arial"/>
                <w:color w:val="000000"/>
                <w:sz w:val="20"/>
                <w:szCs w:val="20"/>
              </w:rPr>
              <w:t> </w:t>
            </w:r>
          </w:p>
        </w:tc>
        <w:tc>
          <w:tcPr>
            <w:tcW w:w="2325" w:type="dxa"/>
            <w:tcBorders>
              <w:top w:val="single" w:sz="6" w:space="0" w:color="000000"/>
              <w:left w:val="single" w:sz="6" w:space="0" w:color="000000"/>
              <w:bottom w:val="single" w:sz="6" w:space="0" w:color="000000"/>
              <w:right w:val="single" w:sz="6" w:space="0" w:color="000000"/>
            </w:tcBorders>
          </w:tcPr>
          <w:p w14:paraId="721E8B86" w14:textId="16ED4DD4" w:rsidR="000B140F" w:rsidRPr="000B140F" w:rsidRDefault="000B140F" w:rsidP="000B140F">
            <w:pPr>
              <w:rPr>
                <w:rFonts w:ascii="Arial" w:eastAsia="Arial" w:hAnsi="Arial" w:cs="Arial"/>
                <w:color w:val="000000"/>
              </w:rPr>
            </w:pPr>
            <w:r w:rsidRPr="000B140F">
              <w:rPr>
                <w:rFonts w:ascii="Arial" w:eastAsia="Arial" w:hAnsi="Arial" w:cs="Arial"/>
                <w:color w:val="000000"/>
              </w:rPr>
              <w:t xml:space="preserve">My current </w:t>
            </w:r>
            <w:r>
              <w:rPr>
                <w:rFonts w:ascii="Arial" w:eastAsia="Arial" w:hAnsi="Arial" w:cs="Arial"/>
                <w:color w:val="000000"/>
              </w:rPr>
              <w:t xml:space="preserve">investigative </w:t>
            </w:r>
            <w:r w:rsidRPr="000B140F">
              <w:rPr>
                <w:rFonts w:ascii="Arial" w:eastAsia="Arial" w:hAnsi="Arial" w:cs="Arial"/>
                <w:color w:val="000000"/>
              </w:rPr>
              <w:t>experience remains operational, requiring structured progression toward supervisory and strategic investigative exposure consistent with Detective Inspector expectations.</w:t>
            </w:r>
          </w:p>
          <w:p w14:paraId="18DB8C78" w14:textId="77777777" w:rsidR="000B140F" w:rsidRPr="000B140F" w:rsidRDefault="000B140F" w:rsidP="000B140F">
            <w:pPr>
              <w:rPr>
                <w:rFonts w:ascii="Arial" w:eastAsia="Arial" w:hAnsi="Arial" w:cs="Arial"/>
                <w:color w:val="000000"/>
              </w:rPr>
            </w:pPr>
            <w:r w:rsidRPr="000B140F">
              <w:rPr>
                <w:rFonts w:ascii="Arial" w:eastAsia="Arial" w:hAnsi="Arial" w:cs="Arial"/>
                <w:color w:val="000000"/>
              </w:rPr>
              <w:t>I must gain experience in leading or co-leading modern slavery investigations, including managing multi-agency disruption activity, overseeing victim safeguarding strategies, and directing investigative lines of enquiry. This aligns with South Wales Police strategic focus on protecting vulnerable people and reducing harm through proactive disruption.</w:t>
            </w:r>
          </w:p>
          <w:p w14:paraId="39A88394" w14:textId="77777777" w:rsidR="000B140F" w:rsidRPr="000B140F" w:rsidRDefault="000B140F" w:rsidP="000B140F">
            <w:pPr>
              <w:rPr>
                <w:rFonts w:ascii="Arial" w:eastAsia="Arial" w:hAnsi="Arial" w:cs="Arial"/>
                <w:color w:val="000000"/>
              </w:rPr>
            </w:pPr>
            <w:r w:rsidRPr="000B140F">
              <w:rPr>
                <w:rFonts w:ascii="Arial" w:eastAsia="Arial" w:hAnsi="Arial" w:cs="Arial"/>
                <w:color w:val="000000"/>
              </w:rPr>
              <w:t xml:space="preserve">In counter-terrorism policing </w:t>
            </w:r>
            <w:r w:rsidRPr="000B140F">
              <w:rPr>
                <w:rFonts w:ascii="Arial" w:eastAsia="Arial" w:hAnsi="Arial" w:cs="Arial"/>
                <w:color w:val="000000"/>
              </w:rPr>
              <w:lastRenderedPageBreak/>
              <w:t>environments, I require exposure to Prevent case management oversight, intelligence governance meetings, and structured decision-making forums. As a future DI, I would be accountable for ensuring intelligence-led decisions are proportionate, lawful, and effectively actioned under CTP Borders structures.</w:t>
            </w:r>
          </w:p>
          <w:p w14:paraId="10CC9026" w14:textId="77777777" w:rsidR="000B140F" w:rsidRPr="000B140F" w:rsidRDefault="000B140F" w:rsidP="000B140F">
            <w:pPr>
              <w:rPr>
                <w:rFonts w:ascii="Arial" w:eastAsia="Arial" w:hAnsi="Arial" w:cs="Arial"/>
                <w:color w:val="000000"/>
              </w:rPr>
            </w:pPr>
            <w:r w:rsidRPr="000B140F">
              <w:rPr>
                <w:rFonts w:ascii="Arial" w:eastAsia="Arial" w:hAnsi="Arial" w:cs="Arial"/>
                <w:color w:val="000000"/>
              </w:rPr>
              <w:t>I also need experience in disclosure governance, including supervisory review of CPIA schedules, auditing unused material, and ensuring evidential integrity across teams. This is essential for maintaining judicial confidence and aligns with PERFORM expectations of accountability and integrity.</w:t>
            </w:r>
          </w:p>
          <w:p w14:paraId="12C2AAF2" w14:textId="77777777" w:rsidR="000B140F" w:rsidRPr="000B140F" w:rsidRDefault="000B140F" w:rsidP="000B140F">
            <w:pPr>
              <w:rPr>
                <w:rFonts w:ascii="Arial" w:eastAsia="Arial" w:hAnsi="Arial" w:cs="Arial"/>
                <w:color w:val="000000"/>
              </w:rPr>
            </w:pPr>
            <w:r w:rsidRPr="000B140F">
              <w:rPr>
                <w:rFonts w:ascii="Arial" w:eastAsia="Arial" w:hAnsi="Arial" w:cs="Arial"/>
                <w:color w:val="000000"/>
              </w:rPr>
              <w:t>Further development is required in strategic investigative leadership forums, including case progression meetings, gold/silver command exposure, and partnership safeguarding boards.</w:t>
            </w:r>
          </w:p>
          <w:p w14:paraId="66BAB79E" w14:textId="5124AEAD" w:rsidR="007A7D1B" w:rsidRDefault="000B140F" w:rsidP="000B140F">
            <w:pPr>
              <w:rPr>
                <w:rFonts w:ascii="Arial" w:eastAsia="Arial" w:hAnsi="Arial" w:cs="Arial"/>
                <w:color w:val="000000"/>
              </w:rPr>
            </w:pPr>
            <w:r w:rsidRPr="000B140F">
              <w:rPr>
                <w:rFonts w:ascii="Arial" w:eastAsia="Arial" w:hAnsi="Arial" w:cs="Arial"/>
                <w:color w:val="000000"/>
              </w:rPr>
              <w:lastRenderedPageBreak/>
              <w:t>Ultimately, experience must evolve from task execution to investigative ownership and oversight, reflecting DI-level responsibility for both operational outcomes and organisational risk management.</w:t>
            </w:r>
          </w:p>
        </w:tc>
      </w:tr>
    </w:tbl>
    <w:p w14:paraId="6E5EACBA" w14:textId="20CB9461" w:rsidR="007A7D1B" w:rsidRPr="000B140F" w:rsidRDefault="000B140F">
      <w:pPr>
        <w:spacing w:before="240" w:after="60"/>
        <w:rPr>
          <w:rFonts w:ascii="Aptos" w:eastAsia="Arial" w:hAnsi="Aptos" w:cs="Arial"/>
          <w:b/>
          <w:sz w:val="24"/>
          <w:szCs w:val="24"/>
        </w:rPr>
      </w:pPr>
      <w:r w:rsidRPr="000B140F">
        <w:rPr>
          <w:rFonts w:ascii="Aptos" w:eastAsia="Arial" w:hAnsi="Aptos" w:cs="Arial"/>
          <w:b/>
          <w:sz w:val="24"/>
          <w:szCs w:val="24"/>
        </w:rPr>
        <w:lastRenderedPageBreak/>
        <w:t>Reflective summary.</w:t>
      </w:r>
    </w:p>
    <w:p w14:paraId="089E042F" w14:textId="77777777" w:rsidR="000B140F" w:rsidRPr="000B140F" w:rsidRDefault="000B140F" w:rsidP="000B140F">
      <w:pPr>
        <w:spacing w:before="240" w:after="60"/>
        <w:rPr>
          <w:rFonts w:ascii="Aptos" w:eastAsia="Arial" w:hAnsi="Aptos" w:cs="Arial"/>
          <w:bCs/>
          <w:sz w:val="24"/>
          <w:szCs w:val="24"/>
        </w:rPr>
      </w:pPr>
      <w:r w:rsidRPr="000B140F">
        <w:rPr>
          <w:rFonts w:ascii="Aptos" w:eastAsia="Arial" w:hAnsi="Aptos" w:cs="Arial"/>
          <w:bCs/>
          <w:sz w:val="24"/>
          <w:szCs w:val="24"/>
        </w:rPr>
        <w:t>This development plan reflects a necessary transition from operational detective capability to strategic investigative leadership. At Detective Inspector level, competence is no longer measured solely by individual investigative output but by the ability to:</w:t>
      </w:r>
    </w:p>
    <w:p w14:paraId="311339AB" w14:textId="77777777" w:rsidR="000B140F" w:rsidRPr="000B140F" w:rsidRDefault="000B140F" w:rsidP="000B140F">
      <w:pPr>
        <w:spacing w:before="240" w:after="60"/>
        <w:rPr>
          <w:rFonts w:ascii="Aptos" w:eastAsia="Arial" w:hAnsi="Aptos" w:cs="Arial"/>
          <w:bCs/>
          <w:sz w:val="24"/>
          <w:szCs w:val="24"/>
        </w:rPr>
      </w:pPr>
      <w:r w:rsidRPr="000B140F">
        <w:rPr>
          <w:rFonts w:ascii="Aptos" w:eastAsia="Arial" w:hAnsi="Aptos" w:cs="Arial"/>
          <w:bCs/>
          <w:sz w:val="24"/>
          <w:szCs w:val="24"/>
        </w:rPr>
        <w:t>Ensure investigations are legally compliant, proportionate, and strategically directed</w:t>
      </w:r>
    </w:p>
    <w:p w14:paraId="4998309C" w14:textId="77777777" w:rsidR="000B140F" w:rsidRPr="000B140F" w:rsidRDefault="000B140F" w:rsidP="000B140F">
      <w:pPr>
        <w:spacing w:before="240" w:after="60"/>
        <w:rPr>
          <w:rFonts w:ascii="Aptos" w:eastAsia="Arial" w:hAnsi="Aptos" w:cs="Arial"/>
          <w:bCs/>
          <w:sz w:val="24"/>
          <w:szCs w:val="24"/>
        </w:rPr>
      </w:pPr>
      <w:r w:rsidRPr="000B140F">
        <w:rPr>
          <w:rFonts w:ascii="Aptos" w:eastAsia="Arial" w:hAnsi="Aptos" w:cs="Arial"/>
          <w:bCs/>
          <w:sz w:val="24"/>
          <w:szCs w:val="24"/>
        </w:rPr>
        <w:t>Maintain public confidence through robust disclosure and evidential governance</w:t>
      </w:r>
    </w:p>
    <w:p w14:paraId="6E8DA231" w14:textId="77777777" w:rsidR="000B140F" w:rsidRPr="000B140F" w:rsidRDefault="000B140F" w:rsidP="000B140F">
      <w:pPr>
        <w:spacing w:before="240" w:after="60"/>
        <w:rPr>
          <w:rFonts w:ascii="Aptos" w:eastAsia="Arial" w:hAnsi="Aptos" w:cs="Arial"/>
          <w:bCs/>
          <w:sz w:val="24"/>
          <w:szCs w:val="24"/>
        </w:rPr>
      </w:pPr>
      <w:r w:rsidRPr="000B140F">
        <w:rPr>
          <w:rFonts w:ascii="Aptos" w:eastAsia="Arial" w:hAnsi="Aptos" w:cs="Arial"/>
          <w:bCs/>
          <w:sz w:val="24"/>
          <w:szCs w:val="24"/>
        </w:rPr>
        <w:t>Lead multi-agency safeguarding responses in complex vulnerability cases</w:t>
      </w:r>
    </w:p>
    <w:p w14:paraId="4A94239E" w14:textId="77777777" w:rsidR="000B140F" w:rsidRPr="000B140F" w:rsidRDefault="000B140F" w:rsidP="000B140F">
      <w:pPr>
        <w:spacing w:before="240" w:after="60"/>
        <w:rPr>
          <w:rFonts w:ascii="Aptos" w:eastAsia="Arial" w:hAnsi="Aptos" w:cs="Arial"/>
          <w:bCs/>
          <w:sz w:val="24"/>
          <w:szCs w:val="24"/>
        </w:rPr>
      </w:pPr>
      <w:r w:rsidRPr="000B140F">
        <w:rPr>
          <w:rFonts w:ascii="Aptos" w:eastAsia="Arial" w:hAnsi="Aptos" w:cs="Arial"/>
          <w:bCs/>
          <w:sz w:val="24"/>
          <w:szCs w:val="24"/>
        </w:rPr>
        <w:t>Interpret and escalate intelligence within national security frameworks (CTP Borders / CONTEST)</w:t>
      </w:r>
    </w:p>
    <w:p w14:paraId="30273AF1" w14:textId="4F14782F" w:rsidR="000B140F" w:rsidRPr="000B140F" w:rsidRDefault="000B140F" w:rsidP="000B140F">
      <w:pPr>
        <w:spacing w:before="240" w:after="60"/>
        <w:rPr>
          <w:rFonts w:ascii="Aptos" w:eastAsia="Arial" w:hAnsi="Aptos" w:cs="Arial"/>
          <w:bCs/>
          <w:sz w:val="24"/>
          <w:szCs w:val="24"/>
        </w:rPr>
      </w:pPr>
      <w:r w:rsidRPr="000B140F">
        <w:rPr>
          <w:rFonts w:ascii="Aptos" w:eastAsia="Arial" w:hAnsi="Aptos" w:cs="Arial"/>
          <w:bCs/>
          <w:sz w:val="24"/>
          <w:szCs w:val="24"/>
        </w:rPr>
        <w:t>A key reflective challenge identified is the shift from “doing investigations” to “owning investigative risk.” This includes responsibility for disclosure failures, missed intelligence opportunities, and safeguarding outcomes. Literature on disclosure and investigative failures reinforces the importance of supervisory oversight in preventing systemic investigative weaknesses.</w:t>
      </w:r>
    </w:p>
    <w:p w14:paraId="4A004094" w14:textId="0DBA6F4C" w:rsidR="000B140F" w:rsidRPr="000B140F" w:rsidRDefault="000B140F" w:rsidP="000B140F">
      <w:pPr>
        <w:spacing w:before="240" w:after="60"/>
        <w:rPr>
          <w:rFonts w:ascii="Aptos" w:eastAsia="Arial" w:hAnsi="Aptos" w:cs="Arial"/>
          <w:bCs/>
          <w:sz w:val="24"/>
          <w:szCs w:val="24"/>
        </w:rPr>
      </w:pPr>
      <w:r w:rsidRPr="000B140F">
        <w:rPr>
          <w:rFonts w:ascii="Aptos" w:eastAsia="Arial" w:hAnsi="Aptos" w:cs="Arial"/>
          <w:bCs/>
          <w:sz w:val="24"/>
          <w:szCs w:val="24"/>
        </w:rPr>
        <w:t>Within South Wales Police priorities, this aligns with delivering effective justice and safeguarding vulnerable people. Within CTP Borders, it aligns with ensuring early identification and disruption of national security threats. Within PERFORM, it reflects leadership accountability, ethical decision-making, and professional integrity at a supervisory level.</w:t>
      </w:r>
    </w:p>
    <w:p w14:paraId="06BA51F3" w14:textId="77777777" w:rsidR="000B140F" w:rsidRPr="000B140F" w:rsidRDefault="000B140F" w:rsidP="000B140F">
      <w:pPr>
        <w:spacing w:before="240" w:after="60"/>
        <w:rPr>
          <w:rFonts w:ascii="Aptos" w:eastAsia="Arial" w:hAnsi="Aptos" w:cs="Arial"/>
          <w:bCs/>
          <w:sz w:val="24"/>
          <w:szCs w:val="24"/>
        </w:rPr>
      </w:pPr>
      <w:r w:rsidRPr="000B140F">
        <w:rPr>
          <w:rFonts w:ascii="Aptos" w:eastAsia="Arial" w:hAnsi="Aptos" w:cs="Arial"/>
          <w:bCs/>
          <w:sz w:val="24"/>
          <w:szCs w:val="24"/>
        </w:rPr>
        <w:t>This PDP demonstrates a structured and progressive pathway toward Detective Inspector readiness, with clear alignment to organisational strategy, national counter-terrorism doctrine, and professional policing standards.</w:t>
      </w:r>
    </w:p>
    <w:p w14:paraId="34E68522" w14:textId="77777777" w:rsidR="000B140F" w:rsidRPr="000B140F" w:rsidRDefault="000B140F" w:rsidP="000B140F">
      <w:pPr>
        <w:spacing w:before="240" w:after="60"/>
        <w:rPr>
          <w:rFonts w:ascii="Aptos" w:eastAsia="Arial" w:hAnsi="Aptos" w:cs="Arial"/>
          <w:bCs/>
          <w:sz w:val="24"/>
          <w:szCs w:val="24"/>
        </w:rPr>
      </w:pPr>
      <w:r w:rsidRPr="000B140F">
        <w:rPr>
          <w:rFonts w:ascii="Aptos" w:eastAsia="Arial" w:hAnsi="Aptos" w:cs="Arial"/>
          <w:bCs/>
          <w:sz w:val="24"/>
          <w:szCs w:val="24"/>
        </w:rPr>
        <w:t>Development is centred on transitioning from:</w:t>
      </w:r>
    </w:p>
    <w:p w14:paraId="0A8E497D" w14:textId="77777777" w:rsidR="000B140F" w:rsidRPr="000B140F" w:rsidRDefault="000B140F" w:rsidP="000B140F">
      <w:pPr>
        <w:spacing w:before="240" w:after="60"/>
        <w:rPr>
          <w:rFonts w:ascii="Aptos" w:eastAsia="Arial" w:hAnsi="Aptos" w:cs="Arial"/>
          <w:bCs/>
          <w:sz w:val="24"/>
          <w:szCs w:val="24"/>
        </w:rPr>
      </w:pPr>
      <w:r w:rsidRPr="000B140F">
        <w:rPr>
          <w:rFonts w:ascii="Aptos" w:eastAsia="Arial" w:hAnsi="Aptos" w:cs="Arial"/>
          <w:bCs/>
          <w:sz w:val="24"/>
          <w:szCs w:val="24"/>
        </w:rPr>
        <w:lastRenderedPageBreak/>
        <w:t>Operational investigator → Strategic decision-maker → Investigative leader accountable for safeguarding, intelligence governance, and disclosure integrity</w:t>
      </w:r>
    </w:p>
    <w:p w14:paraId="784C6FEC" w14:textId="0FA5F59D" w:rsidR="000B140F" w:rsidRPr="000B140F" w:rsidRDefault="000B140F" w:rsidP="000B140F">
      <w:pPr>
        <w:spacing w:before="240" w:after="60"/>
        <w:rPr>
          <w:rFonts w:ascii="Aptos" w:eastAsia="Arial" w:hAnsi="Aptos" w:cs="Arial"/>
          <w:bCs/>
          <w:sz w:val="24"/>
          <w:szCs w:val="24"/>
        </w:rPr>
      </w:pPr>
      <w:r w:rsidRPr="000B140F">
        <w:rPr>
          <w:rFonts w:ascii="Aptos" w:eastAsia="Arial" w:hAnsi="Aptos" w:cs="Arial"/>
          <w:bCs/>
          <w:sz w:val="24"/>
          <w:szCs w:val="24"/>
        </w:rPr>
        <w:t>Achieving this progression will ensure capability not only in managing complex investigations but in leading investigative teams with legal, ethical, and strategic authority.</w:t>
      </w:r>
    </w:p>
    <w:p w14:paraId="41154525" w14:textId="77777777" w:rsidR="007A7D1B" w:rsidRDefault="007A7D1B">
      <w:pPr>
        <w:rPr>
          <w:rFonts w:ascii="Arial" w:eastAsia="Arial" w:hAnsi="Arial" w:cs="Arial"/>
          <w:b/>
          <w:sz w:val="28"/>
          <w:szCs w:val="28"/>
        </w:rPr>
      </w:pPr>
    </w:p>
    <w:p w14:paraId="77FF242F" w14:textId="77777777" w:rsidR="007A7D1B" w:rsidRDefault="0032684D">
      <w:pPr>
        <w:spacing w:before="240" w:after="60"/>
        <w:ind w:right="237"/>
        <w:jc w:val="both"/>
        <w:rPr>
          <w:rFonts w:ascii="Arial" w:eastAsia="Arial" w:hAnsi="Arial" w:cs="Arial"/>
          <w:color w:val="000000"/>
          <w:sz w:val="24"/>
          <w:szCs w:val="24"/>
        </w:rPr>
      </w:pPr>
      <w:r>
        <w:rPr>
          <w:rFonts w:ascii="Arial" w:eastAsia="Arial" w:hAnsi="Arial" w:cs="Arial"/>
          <w:b/>
          <w:color w:val="000000"/>
          <w:sz w:val="24"/>
          <w:szCs w:val="24"/>
        </w:rPr>
        <w:t>6. Reference List</w:t>
      </w:r>
    </w:p>
    <w:p w14:paraId="121C1CCF" w14:textId="77777777" w:rsidR="007A7D1B" w:rsidRDefault="0032684D">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The reference list should only include sources referenced within the workbook using the Harvard referencing system. Information about referencing in written assignments and how to avoid plagiarism can be found on Moodle and will be provided within your lesson. It is important that you are aware of the importance of ensuring that the work submitted is your original work.</w:t>
      </w:r>
    </w:p>
    <w:p w14:paraId="5B89DCE2" w14:textId="77777777" w:rsidR="007A7D1B" w:rsidRDefault="0032684D">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If you are unsure, it is important that you seek guidance. A copy of the UWTSD Harvard guidebook can be found at:</w:t>
      </w:r>
    </w:p>
    <w:p w14:paraId="52EB9FF8" w14:textId="77777777" w:rsidR="007A7D1B" w:rsidRDefault="0032684D">
      <w:pPr>
        <w:spacing w:before="240" w:after="60"/>
        <w:ind w:right="237"/>
        <w:jc w:val="both"/>
        <w:rPr>
          <w:rFonts w:ascii="Arial" w:eastAsia="Arial" w:hAnsi="Arial" w:cs="Arial"/>
          <w:sz w:val="24"/>
          <w:szCs w:val="24"/>
        </w:rPr>
      </w:pPr>
      <w:hyperlink r:id="rId10">
        <w:r>
          <w:rPr>
            <w:rFonts w:ascii="Arial" w:eastAsia="Arial" w:hAnsi="Arial" w:cs="Arial"/>
            <w:color w:val="0563C1"/>
            <w:sz w:val="24"/>
            <w:szCs w:val="24"/>
            <w:u w:val="single"/>
          </w:rPr>
          <w:t>https://intranet.uwtsd.ac.uk/sites/intranet/files/2023-10/Harvard%20en_v.1.3%20%28V6%29.pdf</w:t>
        </w:r>
      </w:hyperlink>
    </w:p>
    <w:p w14:paraId="3464CD14" w14:textId="77777777" w:rsidR="007A7D1B" w:rsidRDefault="0032684D">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A copy is also available on Moodle.</w:t>
      </w:r>
    </w:p>
    <w:p w14:paraId="1A1C45E5" w14:textId="77777777" w:rsidR="007A7D1B" w:rsidRDefault="007A7D1B">
      <w:pPr>
        <w:spacing w:before="240" w:after="60"/>
        <w:ind w:right="237"/>
        <w:jc w:val="both"/>
        <w:rPr>
          <w:rFonts w:ascii="Arial" w:eastAsia="Arial" w:hAnsi="Arial" w:cs="Arial"/>
          <w:color w:val="000000"/>
          <w:sz w:val="24"/>
          <w:szCs w:val="24"/>
        </w:rPr>
      </w:pPr>
    </w:p>
    <w:p w14:paraId="01AAE4F9" w14:textId="77777777" w:rsidR="003D62F0" w:rsidRPr="003D62F0" w:rsidRDefault="003D62F0" w:rsidP="003D62F0">
      <w:pPr>
        <w:spacing w:before="100" w:beforeAutospacing="1" w:after="100" w:afterAutospacing="1" w:line="300" w:lineRule="atLeast"/>
        <w:outlineLvl w:val="2"/>
        <w:rPr>
          <w:rFonts w:ascii="Aptos" w:eastAsia="Times New Roman" w:hAnsi="Aptos" w:cs="Segoe UI"/>
          <w:b/>
          <w:bCs/>
          <w:sz w:val="24"/>
          <w:szCs w:val="24"/>
        </w:rPr>
      </w:pPr>
      <w:r w:rsidRPr="003D62F0">
        <w:rPr>
          <w:rFonts w:ascii="Aptos" w:eastAsia="Times New Roman" w:hAnsi="Aptos" w:cs="Segoe UI"/>
          <w:b/>
          <w:bCs/>
          <w:sz w:val="24"/>
          <w:szCs w:val="24"/>
        </w:rPr>
        <w:t xml:space="preserve">Bibliography </w:t>
      </w:r>
    </w:p>
    <w:p w14:paraId="141ED3BD"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Ask, K. and </w:t>
      </w:r>
      <w:proofErr w:type="spellStart"/>
      <w:r w:rsidRPr="003D62F0">
        <w:rPr>
          <w:rFonts w:ascii="Aptos" w:eastAsia="Times New Roman" w:hAnsi="Aptos" w:cs="Segoe UI"/>
          <w:sz w:val="24"/>
          <w:szCs w:val="24"/>
        </w:rPr>
        <w:t>Granhag</w:t>
      </w:r>
      <w:proofErr w:type="spellEnd"/>
      <w:r w:rsidRPr="003D62F0">
        <w:rPr>
          <w:rFonts w:ascii="Aptos" w:eastAsia="Times New Roman" w:hAnsi="Aptos" w:cs="Segoe UI"/>
          <w:sz w:val="24"/>
          <w:szCs w:val="24"/>
        </w:rPr>
        <w:t xml:space="preserve">, P.A. (2018) </w:t>
      </w:r>
      <w:r w:rsidRPr="003D62F0">
        <w:rPr>
          <w:rFonts w:ascii="Aptos" w:eastAsia="Times New Roman" w:hAnsi="Aptos" w:cs="Segoe UI"/>
          <w:i/>
          <w:iCs/>
          <w:sz w:val="24"/>
          <w:szCs w:val="24"/>
        </w:rPr>
        <w:t>Investigative interviewing and cognitive bias</w:t>
      </w:r>
      <w:r w:rsidRPr="003D62F0">
        <w:rPr>
          <w:rFonts w:ascii="Aptos" w:eastAsia="Times New Roman" w:hAnsi="Aptos" w:cs="Segoe UI"/>
          <w:sz w:val="24"/>
          <w:szCs w:val="24"/>
        </w:rPr>
        <w:t>. Oxford: Oxford University Press.</w:t>
      </w:r>
    </w:p>
    <w:p w14:paraId="7DADC4BD"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Attorney General’s Office (2024) </w:t>
      </w:r>
      <w:r w:rsidRPr="003D62F0">
        <w:rPr>
          <w:rFonts w:ascii="Aptos" w:eastAsia="Times New Roman" w:hAnsi="Aptos" w:cs="Segoe UI"/>
          <w:i/>
          <w:iCs/>
          <w:sz w:val="24"/>
          <w:szCs w:val="24"/>
        </w:rPr>
        <w:t>Attorney General’s Guidelines on Disclosure</w:t>
      </w:r>
      <w:r w:rsidRPr="003D62F0">
        <w:rPr>
          <w:rFonts w:ascii="Aptos" w:eastAsia="Times New Roman" w:hAnsi="Aptos" w:cs="Segoe UI"/>
          <w:sz w:val="24"/>
          <w:szCs w:val="24"/>
        </w:rPr>
        <w:t>. Available at:</w:t>
      </w:r>
      <w:r w:rsidRPr="003D62F0">
        <w:rPr>
          <w:rFonts w:ascii="Aptos" w:eastAsia="Aptos" w:hAnsi="Aptos" w:cs="Times New Roman"/>
          <w:kern w:val="2"/>
          <w:sz w:val="24"/>
          <w:szCs w:val="24"/>
          <w:lang w:eastAsia="en-US"/>
          <w14:ligatures w14:val="standardContextual"/>
        </w:rPr>
        <w:t xml:space="preserve"> </w:t>
      </w:r>
      <w:hyperlink r:id="rId11" w:history="1">
        <w:r w:rsidRPr="003D62F0">
          <w:rPr>
            <w:rFonts w:ascii="Aptos" w:eastAsia="Aptos" w:hAnsi="Aptos" w:cs="Times New Roman"/>
            <w:color w:val="0000FF"/>
            <w:kern w:val="2"/>
            <w:sz w:val="24"/>
            <w:szCs w:val="24"/>
            <w:u w:val="single"/>
            <w:lang w:eastAsia="en-US"/>
            <w14:ligatures w14:val="standardContextual"/>
          </w:rPr>
          <w:t>Attorney General’s Guidelines on Disclosure - GOV.UK</w:t>
        </w:r>
      </w:hyperlink>
      <w:r w:rsidRPr="003D62F0">
        <w:rPr>
          <w:rFonts w:ascii="Aptos" w:eastAsia="Times New Roman" w:hAnsi="Aptos" w:cs="Segoe UI"/>
          <w:sz w:val="24"/>
          <w:szCs w:val="24"/>
        </w:rPr>
        <w:t xml:space="preserve"> (Accessed: 8 May 2026).</w:t>
      </w:r>
    </w:p>
    <w:p w14:paraId="0E6177A8"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Broad, R. and Turnbull, N. (2019) ‘From human trafficking to modern slavery: The development of anti-trafficking policy in the UK’, </w:t>
      </w:r>
      <w:r w:rsidRPr="003D62F0">
        <w:rPr>
          <w:rFonts w:ascii="Aptos" w:eastAsia="Times New Roman" w:hAnsi="Aptos" w:cs="Segoe UI"/>
          <w:i/>
          <w:iCs/>
          <w:sz w:val="24"/>
          <w:szCs w:val="24"/>
        </w:rPr>
        <w:t>European Journal on Criminal Policy and Research</w:t>
      </w:r>
      <w:r w:rsidRPr="003D62F0">
        <w:rPr>
          <w:rFonts w:ascii="Aptos" w:eastAsia="Times New Roman" w:hAnsi="Aptos" w:cs="Segoe UI"/>
          <w:sz w:val="24"/>
          <w:szCs w:val="24"/>
        </w:rPr>
        <w:t>, 25(2), pp. 119–133.</w:t>
      </w:r>
    </w:p>
    <w:p w14:paraId="4C381836"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Brodeur, J.P. (2019) </w:t>
      </w:r>
      <w:r w:rsidRPr="003D62F0">
        <w:rPr>
          <w:rFonts w:ascii="Aptos" w:eastAsia="Times New Roman" w:hAnsi="Aptos" w:cs="Segoe UI"/>
          <w:i/>
          <w:iCs/>
          <w:sz w:val="24"/>
          <w:szCs w:val="24"/>
        </w:rPr>
        <w:t>The policing web</w:t>
      </w:r>
      <w:r w:rsidRPr="003D62F0">
        <w:rPr>
          <w:rFonts w:ascii="Aptos" w:eastAsia="Times New Roman" w:hAnsi="Aptos" w:cs="Segoe UI"/>
          <w:sz w:val="24"/>
          <w:szCs w:val="24"/>
        </w:rPr>
        <w:t>. Oxford: Oxford University Press.</w:t>
      </w:r>
    </w:p>
    <w:p w14:paraId="1F05A197"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Bull, R. and Milne, R. (2020) </w:t>
      </w:r>
      <w:r w:rsidRPr="003D62F0">
        <w:rPr>
          <w:rFonts w:ascii="Aptos" w:eastAsia="Times New Roman" w:hAnsi="Aptos" w:cs="Segoe UI"/>
          <w:i/>
          <w:iCs/>
          <w:sz w:val="24"/>
          <w:szCs w:val="24"/>
        </w:rPr>
        <w:t>Investigative interviewing: Psychology, method and practice</w:t>
      </w:r>
      <w:r w:rsidRPr="003D62F0">
        <w:rPr>
          <w:rFonts w:ascii="Aptos" w:eastAsia="Times New Roman" w:hAnsi="Aptos" w:cs="Segoe UI"/>
          <w:sz w:val="24"/>
          <w:szCs w:val="24"/>
        </w:rPr>
        <w:t>. London: Routledge.</w:t>
      </w:r>
    </w:p>
    <w:p w14:paraId="3614ECC2"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Casino, F., Pina, C., López-Aguilar, P., Batista, E., Solanas, A. and </w:t>
      </w:r>
      <w:proofErr w:type="spellStart"/>
      <w:r w:rsidRPr="003D62F0">
        <w:rPr>
          <w:rFonts w:ascii="Aptos" w:eastAsia="Times New Roman" w:hAnsi="Aptos" w:cs="Segoe UI"/>
          <w:sz w:val="24"/>
          <w:szCs w:val="24"/>
        </w:rPr>
        <w:t>Patsakis</w:t>
      </w:r>
      <w:proofErr w:type="spellEnd"/>
      <w:r w:rsidRPr="003D62F0">
        <w:rPr>
          <w:rFonts w:ascii="Aptos" w:eastAsia="Times New Roman" w:hAnsi="Aptos" w:cs="Segoe UI"/>
          <w:sz w:val="24"/>
          <w:szCs w:val="24"/>
        </w:rPr>
        <w:t xml:space="preserve">, C. (2022) ‘Cross-border criminal investigations and digital evidence’, </w:t>
      </w:r>
      <w:proofErr w:type="spellStart"/>
      <w:r w:rsidRPr="003D62F0">
        <w:rPr>
          <w:rFonts w:ascii="Aptos" w:eastAsia="Times New Roman" w:hAnsi="Aptos" w:cs="Segoe UI"/>
          <w:i/>
          <w:iCs/>
          <w:sz w:val="24"/>
          <w:szCs w:val="24"/>
        </w:rPr>
        <w:t>arXiv</w:t>
      </w:r>
      <w:proofErr w:type="spellEnd"/>
      <w:r w:rsidRPr="003D62F0">
        <w:rPr>
          <w:rFonts w:ascii="Aptos" w:eastAsia="Times New Roman" w:hAnsi="Aptos" w:cs="Segoe UI"/>
          <w:sz w:val="24"/>
          <w:szCs w:val="24"/>
        </w:rPr>
        <w:t xml:space="preserve">. Available at: </w:t>
      </w:r>
      <w:hyperlink r:id="rId12" w:history="1">
        <w:r w:rsidRPr="003D62F0">
          <w:rPr>
            <w:rFonts w:ascii="Aptos" w:eastAsia="Aptos" w:hAnsi="Aptos" w:cs="Times New Roman"/>
            <w:color w:val="0000FF"/>
            <w:kern w:val="2"/>
            <w:sz w:val="24"/>
            <w:szCs w:val="24"/>
            <w:u w:val="single"/>
            <w:lang w:eastAsia="en-US"/>
            <w14:ligatures w14:val="standardContextual"/>
          </w:rPr>
          <w:t>https://arxiv.org/abs/2205.12911</w:t>
        </w:r>
      </w:hyperlink>
      <w:r w:rsidRPr="003D62F0">
        <w:rPr>
          <w:rFonts w:ascii="Aptos" w:eastAsia="Times New Roman" w:hAnsi="Aptos" w:cs="Segoe UI"/>
          <w:sz w:val="24"/>
          <w:szCs w:val="24"/>
        </w:rPr>
        <w:t xml:space="preserve"> (Accessed: 8 May 2026).</w:t>
      </w:r>
    </w:p>
    <w:p w14:paraId="5BCB8C37"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lastRenderedPageBreak/>
        <w:t xml:space="preserve">Casey, E. (2020) </w:t>
      </w:r>
      <w:r w:rsidRPr="003D62F0">
        <w:rPr>
          <w:rFonts w:ascii="Aptos" w:eastAsia="Times New Roman" w:hAnsi="Aptos" w:cs="Segoe UI"/>
          <w:i/>
          <w:iCs/>
          <w:sz w:val="24"/>
          <w:szCs w:val="24"/>
        </w:rPr>
        <w:t>Digital evidence and computer crime</w:t>
      </w:r>
      <w:r w:rsidRPr="003D62F0">
        <w:rPr>
          <w:rFonts w:ascii="Aptos" w:eastAsia="Times New Roman" w:hAnsi="Aptos" w:cs="Segoe UI"/>
          <w:sz w:val="24"/>
          <w:szCs w:val="24"/>
        </w:rPr>
        <w:t xml:space="preserve">. 4th </w:t>
      </w:r>
      <w:proofErr w:type="spellStart"/>
      <w:r w:rsidRPr="003D62F0">
        <w:rPr>
          <w:rFonts w:ascii="Aptos" w:eastAsia="Times New Roman" w:hAnsi="Aptos" w:cs="Segoe UI"/>
          <w:sz w:val="24"/>
          <w:szCs w:val="24"/>
        </w:rPr>
        <w:t>edn</w:t>
      </w:r>
      <w:proofErr w:type="spellEnd"/>
      <w:r w:rsidRPr="003D62F0">
        <w:rPr>
          <w:rFonts w:ascii="Aptos" w:eastAsia="Times New Roman" w:hAnsi="Aptos" w:cs="Segoe UI"/>
          <w:sz w:val="24"/>
          <w:szCs w:val="24"/>
        </w:rPr>
        <w:t>. London: Academic Press.</w:t>
      </w:r>
    </w:p>
    <w:p w14:paraId="2ACF0D99"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Clarke, C. and Milne, R. (2019) ‘The PEACE model of investigative interviewing’, </w:t>
      </w:r>
      <w:r w:rsidRPr="003D62F0">
        <w:rPr>
          <w:rFonts w:ascii="Aptos" w:eastAsia="Times New Roman" w:hAnsi="Aptos" w:cs="Segoe UI"/>
          <w:i/>
          <w:iCs/>
          <w:sz w:val="24"/>
          <w:szCs w:val="24"/>
        </w:rPr>
        <w:t>International Journal of Police Science &amp; Management</w:t>
      </w:r>
      <w:r w:rsidRPr="003D62F0">
        <w:rPr>
          <w:rFonts w:ascii="Aptos" w:eastAsia="Times New Roman" w:hAnsi="Aptos" w:cs="Segoe UI"/>
          <w:sz w:val="24"/>
          <w:szCs w:val="24"/>
        </w:rPr>
        <w:t>, 21(3), pp. 145–156.</w:t>
      </w:r>
    </w:p>
    <w:p w14:paraId="64496479"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College of Policing (2018) </w:t>
      </w:r>
      <w:r w:rsidRPr="003D62F0">
        <w:rPr>
          <w:rFonts w:ascii="Aptos" w:eastAsia="Times New Roman" w:hAnsi="Aptos" w:cs="Segoe UI"/>
          <w:i/>
          <w:iCs/>
          <w:sz w:val="24"/>
          <w:szCs w:val="24"/>
        </w:rPr>
        <w:t>Investigative interviewing APP</w:t>
      </w:r>
      <w:r w:rsidRPr="003D62F0">
        <w:rPr>
          <w:rFonts w:ascii="Aptos" w:eastAsia="Times New Roman" w:hAnsi="Aptos" w:cs="Segoe UI"/>
          <w:sz w:val="24"/>
          <w:szCs w:val="24"/>
        </w:rPr>
        <w:t xml:space="preserve">. Available at: </w:t>
      </w:r>
      <w:hyperlink r:id="rId13" w:anchor="interviewing-c5e4c7c8-f270-4e12-ba32-73d221ce7ffd" w:history="1">
        <w:r w:rsidRPr="003D62F0">
          <w:rPr>
            <w:rFonts w:ascii="Aptos" w:eastAsia="Aptos" w:hAnsi="Aptos" w:cs="Times New Roman"/>
            <w:color w:val="0000FF"/>
            <w:kern w:val="2"/>
            <w:sz w:val="24"/>
            <w:szCs w:val="24"/>
            <w:u w:val="single"/>
            <w:lang w:eastAsia="en-US"/>
            <w14:ligatures w14:val="standardContextual"/>
          </w:rPr>
          <w:t>Investigation process | College of Policing</w:t>
        </w:r>
      </w:hyperlink>
      <w:r w:rsidRPr="003D62F0">
        <w:rPr>
          <w:rFonts w:ascii="Aptos" w:eastAsia="Times New Roman" w:hAnsi="Aptos" w:cs="Segoe UI"/>
          <w:sz w:val="24"/>
          <w:szCs w:val="24"/>
        </w:rPr>
        <w:t xml:space="preserve"> (Accessed: 8 May 2026).</w:t>
      </w:r>
    </w:p>
    <w:p w14:paraId="6EA05124"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College of Policing (2022) </w:t>
      </w:r>
      <w:r w:rsidRPr="003D62F0">
        <w:rPr>
          <w:rFonts w:ascii="Aptos" w:eastAsia="Times New Roman" w:hAnsi="Aptos" w:cs="Segoe UI"/>
          <w:i/>
          <w:iCs/>
          <w:sz w:val="24"/>
          <w:szCs w:val="24"/>
        </w:rPr>
        <w:t>Intelligence management APP</w:t>
      </w:r>
      <w:r w:rsidRPr="003D62F0">
        <w:rPr>
          <w:rFonts w:ascii="Aptos" w:eastAsia="Times New Roman" w:hAnsi="Aptos" w:cs="Segoe UI"/>
          <w:sz w:val="24"/>
          <w:szCs w:val="24"/>
        </w:rPr>
        <w:t xml:space="preserve">. Available at: </w:t>
      </w:r>
      <w:hyperlink r:id="rId14" w:history="1">
        <w:r w:rsidRPr="003D62F0">
          <w:rPr>
            <w:rFonts w:ascii="Aptos" w:eastAsia="Aptos" w:hAnsi="Aptos" w:cs="Times New Roman"/>
            <w:color w:val="0000FF"/>
            <w:kern w:val="2"/>
            <w:sz w:val="24"/>
            <w:szCs w:val="24"/>
            <w:u w:val="single"/>
            <w:lang w:eastAsia="en-US"/>
            <w14:ligatures w14:val="standardContextual"/>
          </w:rPr>
          <w:t>Intelligence management | College of Policing</w:t>
        </w:r>
      </w:hyperlink>
      <w:r w:rsidRPr="003D62F0">
        <w:rPr>
          <w:rFonts w:ascii="Aptos" w:eastAsia="Times New Roman" w:hAnsi="Aptos" w:cs="Segoe UI"/>
          <w:sz w:val="24"/>
          <w:szCs w:val="24"/>
        </w:rPr>
        <w:t xml:space="preserve"> (Accessed: 8 May 2026).</w:t>
      </w:r>
    </w:p>
    <w:p w14:paraId="1755D475"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Crown Prosecution Service (CPS) (2022) </w:t>
      </w:r>
      <w:r w:rsidRPr="003D62F0">
        <w:rPr>
          <w:rFonts w:ascii="Aptos" w:eastAsia="Times New Roman" w:hAnsi="Aptos" w:cs="Segoe UI"/>
          <w:i/>
          <w:iCs/>
          <w:sz w:val="24"/>
          <w:szCs w:val="24"/>
        </w:rPr>
        <w:t>Disclosure manual</w:t>
      </w:r>
      <w:r w:rsidRPr="003D62F0">
        <w:rPr>
          <w:rFonts w:ascii="Aptos" w:eastAsia="Times New Roman" w:hAnsi="Aptos" w:cs="Segoe UI"/>
          <w:sz w:val="24"/>
          <w:szCs w:val="24"/>
        </w:rPr>
        <w:t>. London: CPS.</w:t>
      </w:r>
    </w:p>
    <w:p w14:paraId="52C44214"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Daly, Y., Dowd, C., &amp; Muirhead, A. (2022). When you say nothing at all: Invoking inferences from suspect silence in the police station. The International Journal of Evidence &amp; Proof, 26(3), 249-270. </w:t>
      </w:r>
      <w:hyperlink r:id="rId15" w:history="1">
        <w:r w:rsidRPr="003D62F0">
          <w:rPr>
            <w:rFonts w:ascii="Aptos" w:eastAsia="Times New Roman" w:hAnsi="Aptos" w:cs="Segoe UI"/>
            <w:color w:val="0000FF"/>
            <w:sz w:val="24"/>
            <w:szCs w:val="24"/>
            <w:u w:val="single"/>
          </w:rPr>
          <w:t>https://doi.org/10.1177/13657127221104649</w:t>
        </w:r>
      </w:hyperlink>
      <w:r w:rsidRPr="003D62F0">
        <w:rPr>
          <w:rFonts w:ascii="Aptos" w:eastAsia="Times New Roman" w:hAnsi="Aptos" w:cs="Segoe UI"/>
          <w:sz w:val="24"/>
          <w:szCs w:val="24"/>
        </w:rPr>
        <w:t xml:space="preserve"> </w:t>
      </w:r>
    </w:p>
    <w:p w14:paraId="4E27CE3C"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Dando, C. and Bull, R. (2011) ‘</w:t>
      </w:r>
      <w:r w:rsidRPr="003D62F0">
        <w:rPr>
          <w:rFonts w:ascii="Aptos" w:eastAsia="Times New Roman" w:hAnsi="Aptos" w:cs="Segoe UI"/>
          <w:i/>
          <w:iCs/>
          <w:sz w:val="24"/>
          <w:szCs w:val="24"/>
        </w:rPr>
        <w:t>Investigative interviewing and applied research’</w:t>
      </w:r>
      <w:r w:rsidRPr="003D62F0">
        <w:rPr>
          <w:rFonts w:ascii="Aptos" w:eastAsia="Times New Roman" w:hAnsi="Aptos" w:cs="Segoe UI"/>
          <w:sz w:val="24"/>
          <w:szCs w:val="24"/>
        </w:rPr>
        <w:t xml:space="preserve">, </w:t>
      </w:r>
      <w:hyperlink r:id="rId16" w:history="1">
        <w:r w:rsidRPr="003D62F0">
          <w:rPr>
            <w:rFonts w:ascii="Aptos" w:eastAsia="Times New Roman" w:hAnsi="Aptos" w:cs="Segoe UI"/>
            <w:color w:val="0000FF"/>
            <w:sz w:val="24"/>
            <w:szCs w:val="24"/>
            <w:u w:val="single"/>
          </w:rPr>
          <w:t>https://doi.org/10.1002/jip.145</w:t>
        </w:r>
      </w:hyperlink>
      <w:r w:rsidRPr="003D62F0">
        <w:rPr>
          <w:rFonts w:ascii="Aptos" w:eastAsia="Times New Roman" w:hAnsi="Aptos" w:cs="Segoe UI"/>
          <w:sz w:val="24"/>
          <w:szCs w:val="24"/>
        </w:rPr>
        <w:t xml:space="preserve"> </w:t>
      </w:r>
    </w:p>
    <w:p w14:paraId="681FACE2"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Gibbs, G. (1988) Learning by doing: A guide to teaching and learning methods. Oxford: Oxford Polytechnic.</w:t>
      </w:r>
    </w:p>
    <w:p w14:paraId="2238592F"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Gill, P. and Phythian, M. (2018) </w:t>
      </w:r>
      <w:r w:rsidRPr="003D62F0">
        <w:rPr>
          <w:rFonts w:ascii="Aptos" w:eastAsia="Times New Roman" w:hAnsi="Aptos" w:cs="Segoe UI"/>
          <w:i/>
          <w:iCs/>
          <w:sz w:val="24"/>
          <w:szCs w:val="24"/>
        </w:rPr>
        <w:t>Intelligence in an insecure world</w:t>
      </w:r>
      <w:r w:rsidRPr="003D62F0">
        <w:rPr>
          <w:rFonts w:ascii="Aptos" w:eastAsia="Times New Roman" w:hAnsi="Aptos" w:cs="Segoe UI"/>
          <w:sz w:val="24"/>
          <w:szCs w:val="24"/>
        </w:rPr>
        <w:t xml:space="preserve">. Cambridge: Polity Press. Available at: </w:t>
      </w:r>
      <w:hyperlink r:id="rId17" w:history="1">
        <w:r w:rsidRPr="003D62F0">
          <w:rPr>
            <w:rFonts w:ascii="Aptos" w:eastAsia="Aptos" w:hAnsi="Aptos" w:cs="Times New Roman"/>
            <w:color w:val="0000FF"/>
            <w:kern w:val="2"/>
            <w:sz w:val="24"/>
            <w:szCs w:val="24"/>
            <w:u w:val="single"/>
            <w:lang w:eastAsia="en-US"/>
            <w14:ligatures w14:val="standardContextual"/>
          </w:rPr>
          <w:t>Intelligence in An Insecure World, 3rd Edition</w:t>
        </w:r>
      </w:hyperlink>
      <w:r w:rsidRPr="003D62F0">
        <w:rPr>
          <w:rFonts w:ascii="Aptos" w:eastAsia="Times New Roman" w:hAnsi="Aptos" w:cs="Segoe UI"/>
          <w:sz w:val="24"/>
          <w:szCs w:val="24"/>
        </w:rPr>
        <w:t xml:space="preserve"> </w:t>
      </w:r>
    </w:p>
    <w:p w14:paraId="66C215F2"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Griffiths, C. (2022) ‘Getting people thinking and talking; An exploration of the Attorney Generals 2020 guidelines on disclosure’  </w:t>
      </w:r>
      <w:hyperlink r:id="rId18" w:history="1">
        <w:r w:rsidRPr="003D62F0">
          <w:rPr>
            <w:rFonts w:ascii="Aptos" w:eastAsia="Times New Roman" w:hAnsi="Aptos" w:cs="Segoe UI"/>
            <w:color w:val="0000FF"/>
            <w:sz w:val="24"/>
            <w:szCs w:val="24"/>
            <w:u w:val="single"/>
          </w:rPr>
          <w:t>https://doi.org/10.1177/13657127221124362</w:t>
        </w:r>
      </w:hyperlink>
      <w:r w:rsidRPr="003D62F0">
        <w:rPr>
          <w:rFonts w:ascii="Aptos" w:eastAsia="Times New Roman" w:hAnsi="Aptos" w:cs="Segoe UI"/>
          <w:sz w:val="24"/>
          <w:szCs w:val="24"/>
        </w:rPr>
        <w:t xml:space="preserve"> </w:t>
      </w:r>
    </w:p>
    <w:p w14:paraId="3ED0D5C2"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Gudjonsson, G.H. (2018) </w:t>
      </w:r>
      <w:r w:rsidRPr="003D62F0">
        <w:rPr>
          <w:rFonts w:ascii="Aptos" w:eastAsia="Times New Roman" w:hAnsi="Aptos" w:cs="Segoe UI"/>
          <w:i/>
          <w:iCs/>
          <w:sz w:val="24"/>
          <w:szCs w:val="24"/>
        </w:rPr>
        <w:t>The psychology of false confessions</w:t>
      </w:r>
      <w:r w:rsidRPr="003D62F0">
        <w:rPr>
          <w:rFonts w:ascii="Aptos" w:eastAsia="Times New Roman" w:hAnsi="Aptos" w:cs="Segoe UI"/>
          <w:sz w:val="24"/>
          <w:szCs w:val="24"/>
        </w:rPr>
        <w:t>. Forty years of Science and Practice. Chichester: Wiley.</w:t>
      </w:r>
    </w:p>
    <w:p w14:paraId="6CA53C14"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Harkin, D. and Whelan, C. (2022) ‘Disclosure management in complex criminal cases’, </w:t>
      </w:r>
      <w:r w:rsidRPr="003D62F0">
        <w:rPr>
          <w:rFonts w:ascii="Aptos" w:eastAsia="Times New Roman" w:hAnsi="Aptos" w:cs="Segoe UI"/>
          <w:i/>
          <w:iCs/>
          <w:sz w:val="24"/>
          <w:szCs w:val="24"/>
        </w:rPr>
        <w:t>Policing: A Journal of Policy and Practice</w:t>
      </w:r>
      <w:r w:rsidRPr="003D62F0">
        <w:rPr>
          <w:rFonts w:ascii="Aptos" w:eastAsia="Times New Roman" w:hAnsi="Aptos" w:cs="Segoe UI"/>
          <w:sz w:val="24"/>
          <w:szCs w:val="24"/>
        </w:rPr>
        <w:t xml:space="preserve">, 16(3), pp. 412–428. </w:t>
      </w:r>
      <w:hyperlink r:id="rId19" w:history="1">
        <w:r w:rsidRPr="003D62F0">
          <w:rPr>
            <w:rFonts w:ascii="Aptos" w:eastAsia="Times New Roman" w:hAnsi="Aptos" w:cs="Segoe UI"/>
            <w:color w:val="0000FF"/>
            <w:sz w:val="24"/>
            <w:szCs w:val="24"/>
            <w:u w:val="single"/>
          </w:rPr>
          <w:t>https://doi.org/10.1177/14613557211036565</w:t>
        </w:r>
      </w:hyperlink>
      <w:r w:rsidRPr="003D62F0">
        <w:rPr>
          <w:rFonts w:ascii="Aptos" w:eastAsia="Times New Roman" w:hAnsi="Aptos" w:cs="Segoe UI"/>
          <w:sz w:val="24"/>
          <w:szCs w:val="24"/>
        </w:rPr>
        <w:t xml:space="preserve"> </w:t>
      </w:r>
    </w:p>
    <w:p w14:paraId="19FECBD8"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HMICFRS (2021) </w:t>
      </w:r>
      <w:r w:rsidRPr="003D62F0">
        <w:rPr>
          <w:rFonts w:ascii="Aptos" w:eastAsia="Times New Roman" w:hAnsi="Aptos" w:cs="Segoe UI"/>
          <w:i/>
          <w:iCs/>
          <w:sz w:val="24"/>
          <w:szCs w:val="24"/>
        </w:rPr>
        <w:t>HM Inspectorate of Constabulary and Fire &amp; Rescue Services</w:t>
      </w:r>
      <w:r w:rsidRPr="003D62F0">
        <w:rPr>
          <w:rFonts w:ascii="Aptos" w:eastAsia="Times New Roman" w:hAnsi="Aptos" w:cs="Segoe UI"/>
          <w:sz w:val="24"/>
          <w:szCs w:val="24"/>
        </w:rPr>
        <w:t xml:space="preserve">. Available at: </w:t>
      </w:r>
      <w:hyperlink r:id="rId20" w:history="1">
        <w:r w:rsidRPr="003D62F0">
          <w:rPr>
            <w:rFonts w:ascii="Aptos" w:eastAsia="Aptos" w:hAnsi="Aptos" w:cs="Times New Roman"/>
            <w:color w:val="0000FF"/>
            <w:kern w:val="2"/>
            <w:sz w:val="24"/>
            <w:szCs w:val="24"/>
            <w:u w:val="single"/>
            <w:lang w:eastAsia="en-US"/>
            <w14:ligatures w14:val="standardContextual"/>
          </w:rPr>
          <w:t>His Majesty’s Inspectorate of Constabulary and Fire &amp; Rescue Services - His Majesty’s Inspectorate of Constabulary and Fire &amp; Rescue Services</w:t>
        </w:r>
      </w:hyperlink>
      <w:r w:rsidRPr="003D62F0">
        <w:rPr>
          <w:rFonts w:ascii="Aptos" w:eastAsia="Times New Roman" w:hAnsi="Aptos" w:cs="Segoe UI"/>
          <w:sz w:val="24"/>
          <w:szCs w:val="24"/>
        </w:rPr>
        <w:t xml:space="preserve"> (Accessed: 8 May 2026).</w:t>
      </w:r>
    </w:p>
    <w:p w14:paraId="5EDEEB9E"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Home Office (2021) </w:t>
      </w:r>
      <w:r w:rsidRPr="003D62F0">
        <w:rPr>
          <w:rFonts w:ascii="Aptos" w:eastAsia="Times New Roman" w:hAnsi="Aptos" w:cs="Segoe UI"/>
          <w:i/>
          <w:iCs/>
          <w:sz w:val="24"/>
          <w:szCs w:val="24"/>
        </w:rPr>
        <w:t>UK annual report on modern slavery 2021</w:t>
      </w:r>
      <w:r w:rsidRPr="003D62F0">
        <w:rPr>
          <w:rFonts w:ascii="Aptos" w:eastAsia="Times New Roman" w:hAnsi="Aptos" w:cs="Segoe UI"/>
          <w:sz w:val="24"/>
          <w:szCs w:val="24"/>
        </w:rPr>
        <w:t>. London: Home Office.</w:t>
      </w:r>
    </w:p>
    <w:p w14:paraId="2901F78C"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Home Office (2023) </w:t>
      </w:r>
      <w:r w:rsidRPr="003D62F0">
        <w:rPr>
          <w:rFonts w:ascii="Aptos" w:eastAsia="Times New Roman" w:hAnsi="Aptos" w:cs="Segoe UI"/>
          <w:i/>
          <w:iCs/>
          <w:sz w:val="24"/>
          <w:szCs w:val="24"/>
        </w:rPr>
        <w:t>CONTEST: The United Kingdom’s strategy for countering terrorism</w:t>
      </w:r>
      <w:r w:rsidRPr="003D62F0">
        <w:rPr>
          <w:rFonts w:ascii="Aptos" w:eastAsia="Times New Roman" w:hAnsi="Aptos" w:cs="Segoe UI"/>
          <w:sz w:val="24"/>
          <w:szCs w:val="24"/>
        </w:rPr>
        <w:t xml:space="preserve">. Available at: </w:t>
      </w:r>
      <w:hyperlink r:id="rId21" w:history="1">
        <w:r w:rsidRPr="003D62F0">
          <w:rPr>
            <w:rFonts w:ascii="Aptos" w:eastAsia="Aptos" w:hAnsi="Aptos" w:cs="Times New Roman"/>
            <w:color w:val="0000FF"/>
            <w:kern w:val="2"/>
            <w:sz w:val="24"/>
            <w:szCs w:val="24"/>
            <w:u w:val="single"/>
            <w:lang w:eastAsia="en-US"/>
            <w14:ligatures w14:val="standardContextual"/>
          </w:rPr>
          <w:t>Counter-terrorism strategy (CONTEST) 2023 - GOV.UK</w:t>
        </w:r>
      </w:hyperlink>
      <w:r w:rsidRPr="003D62F0">
        <w:rPr>
          <w:rFonts w:ascii="Aptos" w:eastAsia="Times New Roman" w:hAnsi="Aptos" w:cs="Segoe UI"/>
          <w:sz w:val="24"/>
          <w:szCs w:val="24"/>
        </w:rPr>
        <w:t xml:space="preserve"> (Accessed: 8 May 2026).</w:t>
      </w:r>
    </w:p>
    <w:p w14:paraId="4B8285F5"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lastRenderedPageBreak/>
        <w:t xml:space="preserve">Innes, M. </w:t>
      </w:r>
      <w:r w:rsidRPr="003D62F0">
        <w:rPr>
          <w:rFonts w:ascii="Aptos" w:eastAsia="Times New Roman" w:hAnsi="Aptos" w:cs="Segoe UI"/>
          <w:i/>
          <w:iCs/>
          <w:sz w:val="24"/>
          <w:szCs w:val="24"/>
        </w:rPr>
        <w:t>et al.</w:t>
      </w:r>
      <w:r w:rsidRPr="003D62F0">
        <w:rPr>
          <w:rFonts w:ascii="Aptos" w:eastAsia="Times New Roman" w:hAnsi="Aptos" w:cs="Segoe UI"/>
          <w:sz w:val="24"/>
          <w:szCs w:val="24"/>
        </w:rPr>
        <w:t xml:space="preserve"> (2004) ‘Signal crimes and Problem of Public reassurance’, </w:t>
      </w:r>
      <w:r w:rsidRPr="003D62F0">
        <w:rPr>
          <w:rFonts w:ascii="Aptos" w:eastAsia="Times New Roman" w:hAnsi="Aptos" w:cs="Segoe UI"/>
          <w:i/>
          <w:iCs/>
          <w:sz w:val="24"/>
          <w:szCs w:val="24"/>
        </w:rPr>
        <w:t>British Sociological Association</w:t>
      </w:r>
      <w:r w:rsidRPr="003D62F0">
        <w:rPr>
          <w:rFonts w:ascii="Aptos" w:eastAsia="Times New Roman" w:hAnsi="Aptos" w:cs="Segoe UI"/>
          <w:sz w:val="24"/>
          <w:szCs w:val="24"/>
        </w:rPr>
        <w:t xml:space="preserve">. Available at: </w:t>
      </w:r>
      <w:hyperlink r:id="rId22" w:history="1">
        <w:r w:rsidRPr="003D62F0">
          <w:rPr>
            <w:rFonts w:ascii="Aptos" w:eastAsia="Times New Roman" w:hAnsi="Aptos" w:cs="Segoe UI"/>
            <w:color w:val="0000FF"/>
            <w:sz w:val="24"/>
            <w:szCs w:val="24"/>
            <w:u w:val="single"/>
          </w:rPr>
          <w:t>https://doi.org/10.5153/sro.724</w:t>
        </w:r>
      </w:hyperlink>
      <w:r w:rsidRPr="003D62F0">
        <w:rPr>
          <w:rFonts w:ascii="Aptos" w:eastAsia="Times New Roman" w:hAnsi="Aptos" w:cs="Segoe UI"/>
          <w:sz w:val="24"/>
          <w:szCs w:val="24"/>
        </w:rPr>
        <w:t xml:space="preserve">  </w:t>
      </w:r>
    </w:p>
    <w:p w14:paraId="6959E882"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Innes, M. </w:t>
      </w:r>
      <w:r w:rsidRPr="003D62F0">
        <w:rPr>
          <w:rFonts w:ascii="Aptos" w:eastAsia="Times New Roman" w:hAnsi="Aptos" w:cs="Segoe UI"/>
          <w:i/>
          <w:iCs/>
          <w:sz w:val="24"/>
          <w:szCs w:val="24"/>
        </w:rPr>
        <w:t>et al.</w:t>
      </w:r>
      <w:r w:rsidRPr="003D62F0">
        <w:rPr>
          <w:rFonts w:ascii="Aptos" w:eastAsia="Times New Roman" w:hAnsi="Aptos" w:cs="Segoe UI"/>
          <w:sz w:val="24"/>
          <w:szCs w:val="24"/>
        </w:rPr>
        <w:t xml:space="preserve"> (2019–2020) ‘The Rise and Fall of a Policing Model. Available at: Oxford Press </w:t>
      </w:r>
      <w:hyperlink r:id="rId23" w:history="1">
        <w:r w:rsidRPr="003D62F0">
          <w:rPr>
            <w:rFonts w:ascii="Aptos" w:eastAsia="Times New Roman" w:hAnsi="Aptos" w:cs="Segoe UI"/>
            <w:color w:val="0000FF"/>
            <w:sz w:val="24"/>
            <w:szCs w:val="24"/>
            <w:u w:val="single"/>
          </w:rPr>
          <w:t>https://doi.org/10.1093/oso/9780198783213.001.0001</w:t>
        </w:r>
      </w:hyperlink>
      <w:r w:rsidRPr="003D62F0">
        <w:rPr>
          <w:rFonts w:ascii="Aptos" w:eastAsia="Times New Roman" w:hAnsi="Aptos" w:cs="Segoe UI"/>
          <w:sz w:val="24"/>
          <w:szCs w:val="24"/>
        </w:rPr>
        <w:t xml:space="preserve"> </w:t>
      </w:r>
    </w:p>
    <w:p w14:paraId="3939C1A2"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Kolb, D.A. (1984) </w:t>
      </w:r>
      <w:r w:rsidRPr="003D62F0">
        <w:rPr>
          <w:rFonts w:ascii="Aptos" w:eastAsia="Times New Roman" w:hAnsi="Aptos" w:cs="Segoe UI"/>
          <w:i/>
          <w:iCs/>
          <w:sz w:val="24"/>
          <w:szCs w:val="24"/>
        </w:rPr>
        <w:t>Experiential learning: Experience as the source of learning and development</w:t>
      </w:r>
      <w:r w:rsidRPr="003D62F0">
        <w:rPr>
          <w:rFonts w:ascii="Aptos" w:eastAsia="Times New Roman" w:hAnsi="Aptos" w:cs="Segoe UI"/>
          <w:sz w:val="24"/>
          <w:szCs w:val="24"/>
        </w:rPr>
        <w:t>. Englewood Cliffs, NJ: Prentice Hall.</w:t>
      </w:r>
    </w:p>
    <w:p w14:paraId="77C627BC"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proofErr w:type="spellStart"/>
      <w:r w:rsidRPr="003D62F0">
        <w:rPr>
          <w:rFonts w:ascii="Aptos" w:eastAsia="Times New Roman" w:hAnsi="Aptos" w:cs="Segoe UI"/>
          <w:sz w:val="24"/>
          <w:szCs w:val="24"/>
        </w:rPr>
        <w:t>Lightowlers</w:t>
      </w:r>
      <w:proofErr w:type="spellEnd"/>
      <w:r w:rsidRPr="003D62F0">
        <w:rPr>
          <w:rFonts w:ascii="Aptos" w:eastAsia="Times New Roman" w:hAnsi="Aptos" w:cs="Segoe UI"/>
          <w:sz w:val="24"/>
          <w:szCs w:val="24"/>
        </w:rPr>
        <w:t xml:space="preserve">, C., Broad, R. and Gadd, D. (2021) ‘Victims and suspects of modern slavery: Identifying subgroups using latent class analysis’, </w:t>
      </w:r>
      <w:r w:rsidRPr="003D62F0">
        <w:rPr>
          <w:rFonts w:ascii="Aptos" w:eastAsia="Times New Roman" w:hAnsi="Aptos" w:cs="Segoe UI"/>
          <w:i/>
          <w:iCs/>
          <w:sz w:val="24"/>
          <w:szCs w:val="24"/>
        </w:rPr>
        <w:t>Policing: A Journal of Policy and Practice</w:t>
      </w:r>
      <w:r w:rsidRPr="003D62F0">
        <w:rPr>
          <w:rFonts w:ascii="Aptos" w:eastAsia="Times New Roman" w:hAnsi="Aptos" w:cs="Segoe UI"/>
          <w:sz w:val="24"/>
          <w:szCs w:val="24"/>
        </w:rPr>
        <w:t xml:space="preserve">, 15(2), pp. 1384–1398. </w:t>
      </w:r>
      <w:hyperlink r:id="rId24" w:history="1">
        <w:r w:rsidRPr="003D62F0">
          <w:rPr>
            <w:rFonts w:ascii="Aptos" w:eastAsia="Times New Roman" w:hAnsi="Aptos" w:cs="Segoe UI"/>
            <w:color w:val="0000FF"/>
            <w:sz w:val="24"/>
            <w:szCs w:val="24"/>
            <w:u w:val="single"/>
          </w:rPr>
          <w:t>https://doi.org/10.1093/police/paaa072</w:t>
        </w:r>
      </w:hyperlink>
      <w:r w:rsidRPr="003D62F0">
        <w:rPr>
          <w:rFonts w:ascii="Aptos" w:eastAsia="Times New Roman" w:hAnsi="Aptos" w:cs="Segoe UI"/>
          <w:sz w:val="24"/>
          <w:szCs w:val="24"/>
        </w:rPr>
        <w:t xml:space="preserve"> </w:t>
      </w:r>
    </w:p>
    <w:p w14:paraId="07EF46DE"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Loader, I. and Walker, N. (2009) </w:t>
      </w:r>
      <w:r w:rsidRPr="003D62F0">
        <w:rPr>
          <w:rFonts w:ascii="Aptos" w:eastAsia="Times New Roman" w:hAnsi="Aptos" w:cs="Segoe UI"/>
          <w:i/>
          <w:iCs/>
          <w:sz w:val="24"/>
          <w:szCs w:val="24"/>
        </w:rPr>
        <w:t>Civilising security</w:t>
      </w:r>
      <w:r w:rsidRPr="003D62F0">
        <w:rPr>
          <w:rFonts w:ascii="Aptos" w:eastAsia="Times New Roman" w:hAnsi="Aptos" w:cs="Segoe UI"/>
          <w:sz w:val="24"/>
          <w:szCs w:val="24"/>
        </w:rPr>
        <w:t xml:space="preserve">. Cambridge: Cambridge University Press. Available at: </w:t>
      </w:r>
      <w:hyperlink r:id="rId25" w:history="1">
        <w:r w:rsidRPr="003D62F0">
          <w:rPr>
            <w:rFonts w:ascii="Aptos" w:eastAsia="Times New Roman" w:hAnsi="Aptos" w:cs="Segoe UI"/>
            <w:color w:val="0000FF"/>
            <w:sz w:val="24"/>
            <w:szCs w:val="24"/>
            <w:u w:val="single"/>
          </w:rPr>
          <w:t>https://doi.org/10.1017/CBO9780511611117</w:t>
        </w:r>
      </w:hyperlink>
      <w:r w:rsidRPr="003D62F0">
        <w:rPr>
          <w:rFonts w:ascii="Aptos" w:eastAsia="Times New Roman" w:hAnsi="Aptos" w:cs="Segoe UI"/>
          <w:sz w:val="24"/>
          <w:szCs w:val="24"/>
        </w:rPr>
        <w:t xml:space="preserve"> </w:t>
      </w:r>
    </w:p>
    <w:p w14:paraId="017E77F6"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Lillis, D., Becker, B., O’Sullivan, T. and Scanlon, M. (2016) ‘Current challenges and future research areas for digital forensic investigation’. </w:t>
      </w:r>
      <w:hyperlink r:id="rId26" w:history="1">
        <w:r w:rsidRPr="003D62F0">
          <w:rPr>
            <w:rFonts w:ascii="Aptos" w:eastAsia="Times New Roman" w:hAnsi="Aptos" w:cs="Segoe UI"/>
            <w:color w:val="0000FF"/>
            <w:sz w:val="24"/>
            <w:szCs w:val="24"/>
            <w:u w:val="single"/>
          </w:rPr>
          <w:t>https://doi.org/10.48550/arXiv.1604.03850</w:t>
        </w:r>
      </w:hyperlink>
      <w:r w:rsidRPr="003D62F0">
        <w:rPr>
          <w:rFonts w:ascii="Aptos" w:eastAsia="Times New Roman" w:hAnsi="Aptos" w:cs="Segoe UI"/>
          <w:sz w:val="24"/>
          <w:szCs w:val="24"/>
        </w:rPr>
        <w:t xml:space="preserve"> </w:t>
      </w:r>
    </w:p>
    <w:p w14:paraId="6BCCCC84"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MI5 (2023) </w:t>
      </w:r>
      <w:r w:rsidRPr="003D62F0">
        <w:rPr>
          <w:rFonts w:ascii="Aptos" w:eastAsia="Times New Roman" w:hAnsi="Aptos" w:cs="Segoe UI"/>
          <w:i/>
          <w:iCs/>
          <w:sz w:val="24"/>
          <w:szCs w:val="24"/>
        </w:rPr>
        <w:t>Security Service</w:t>
      </w:r>
      <w:r w:rsidRPr="003D62F0">
        <w:rPr>
          <w:rFonts w:ascii="Aptos" w:eastAsia="Times New Roman" w:hAnsi="Aptos" w:cs="Segoe UI"/>
          <w:sz w:val="24"/>
          <w:szCs w:val="24"/>
        </w:rPr>
        <w:t xml:space="preserve">. Available at: </w:t>
      </w:r>
      <w:hyperlink r:id="rId27" w:history="1">
        <w:r w:rsidRPr="003D62F0">
          <w:rPr>
            <w:rFonts w:ascii="Aptos" w:eastAsia="Times New Roman" w:hAnsi="Aptos" w:cs="Segoe UI"/>
            <w:color w:val="0000FF"/>
            <w:sz w:val="24"/>
            <w:szCs w:val="24"/>
            <w:u w:val="single"/>
          </w:rPr>
          <w:t>https://www.mi5.gov.uk</w:t>
        </w:r>
      </w:hyperlink>
      <w:r w:rsidRPr="003D62F0">
        <w:rPr>
          <w:rFonts w:ascii="Aptos" w:eastAsia="Times New Roman" w:hAnsi="Aptos" w:cs="Segoe UI"/>
          <w:sz w:val="24"/>
          <w:szCs w:val="24"/>
        </w:rPr>
        <w:t xml:space="preserve">  (Accessed: 8 May 2026).</w:t>
      </w:r>
    </w:p>
    <w:p w14:paraId="2ACECDFB"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Milne, B., Shaw, G. and Bull, R. (2007) ‘investigative interviewing’,  </w:t>
      </w:r>
      <w:hyperlink r:id="rId28" w:history="1">
        <w:r w:rsidRPr="003D62F0">
          <w:rPr>
            <w:rFonts w:ascii="Aptos" w:eastAsia="Times New Roman" w:hAnsi="Aptos" w:cs="Segoe UI"/>
            <w:color w:val="0000FF"/>
            <w:sz w:val="24"/>
            <w:szCs w:val="24"/>
            <w:u w:val="single"/>
          </w:rPr>
          <w:t>https://doi.org/10.1002/9780470713068.ch4</w:t>
        </w:r>
      </w:hyperlink>
      <w:r w:rsidRPr="003D62F0">
        <w:rPr>
          <w:rFonts w:ascii="Aptos" w:eastAsia="Times New Roman" w:hAnsi="Aptos" w:cs="Segoe UI"/>
          <w:sz w:val="24"/>
          <w:szCs w:val="24"/>
        </w:rPr>
        <w:t xml:space="preserve"> </w:t>
      </w:r>
    </w:p>
    <w:p w14:paraId="5AC0D619"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Murphy, J. (2021) ‘Combating the myth of physical restraint in human trafficking and modern slavery trials heard in the Crown Court’, </w:t>
      </w:r>
      <w:r w:rsidRPr="003D62F0">
        <w:rPr>
          <w:rFonts w:ascii="Aptos" w:eastAsia="Times New Roman" w:hAnsi="Aptos" w:cs="Segoe UI"/>
          <w:i/>
          <w:iCs/>
          <w:sz w:val="24"/>
          <w:szCs w:val="24"/>
        </w:rPr>
        <w:t>International Journal of Evidence and Proof</w:t>
      </w:r>
      <w:r w:rsidRPr="003D62F0">
        <w:rPr>
          <w:rFonts w:ascii="Aptos" w:eastAsia="Times New Roman" w:hAnsi="Aptos" w:cs="Segoe UI"/>
          <w:sz w:val="24"/>
          <w:szCs w:val="24"/>
        </w:rPr>
        <w:t xml:space="preserve">, 26(1), pp. 23–40. </w:t>
      </w:r>
      <w:hyperlink r:id="rId29" w:history="1">
        <w:r w:rsidRPr="003D62F0">
          <w:rPr>
            <w:rFonts w:ascii="Aptos" w:eastAsia="Times New Roman" w:hAnsi="Aptos" w:cs="Segoe UI"/>
            <w:color w:val="0000FF"/>
            <w:sz w:val="24"/>
            <w:szCs w:val="24"/>
            <w:u w:val="single"/>
          </w:rPr>
          <w:t>https://doi.org/10.1177/13657127211060 555</w:t>
        </w:r>
      </w:hyperlink>
      <w:r w:rsidRPr="003D62F0">
        <w:rPr>
          <w:rFonts w:ascii="Aptos" w:eastAsia="Times New Roman" w:hAnsi="Aptos" w:cs="Segoe UI"/>
          <w:sz w:val="24"/>
          <w:szCs w:val="24"/>
        </w:rPr>
        <w:t xml:space="preserve"> </w:t>
      </w:r>
    </w:p>
    <w:p w14:paraId="32E25499"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Prince, S., Roper, C. and Lum, C. (2021) ‘Evidence-based policing and investigative practice’, </w:t>
      </w:r>
      <w:r w:rsidRPr="003D62F0">
        <w:rPr>
          <w:rFonts w:ascii="Aptos" w:eastAsia="Times New Roman" w:hAnsi="Aptos" w:cs="Segoe UI"/>
          <w:i/>
          <w:iCs/>
          <w:sz w:val="24"/>
          <w:szCs w:val="24"/>
        </w:rPr>
        <w:t>Policing: An International Journal</w:t>
      </w:r>
      <w:r w:rsidRPr="003D62F0">
        <w:rPr>
          <w:rFonts w:ascii="Aptos" w:eastAsia="Times New Roman" w:hAnsi="Aptos" w:cs="Segoe UI"/>
          <w:sz w:val="24"/>
          <w:szCs w:val="24"/>
        </w:rPr>
        <w:t xml:space="preserve">. Available at: </w:t>
      </w:r>
      <w:hyperlink r:id="rId30" w:history="1">
        <w:r w:rsidRPr="003D62F0">
          <w:rPr>
            <w:rFonts w:ascii="Aptos" w:eastAsia="Times New Roman" w:hAnsi="Aptos" w:cs="Segoe UI"/>
            <w:color w:val="0000FF"/>
            <w:sz w:val="24"/>
            <w:szCs w:val="24"/>
            <w:u w:val="single"/>
          </w:rPr>
          <w:t>https://doi.org/10.1108/PIJPSM-04-2021-0054</w:t>
        </w:r>
      </w:hyperlink>
      <w:proofErr w:type="gramStart"/>
      <w:r w:rsidRPr="003D62F0">
        <w:rPr>
          <w:rFonts w:ascii="Aptos" w:eastAsia="Times New Roman" w:hAnsi="Aptos" w:cs="Segoe UI"/>
          <w:sz w:val="24"/>
          <w:szCs w:val="24"/>
        </w:rPr>
        <w:t xml:space="preserve">   (</w:t>
      </w:r>
      <w:proofErr w:type="gramEnd"/>
      <w:r w:rsidRPr="003D62F0">
        <w:rPr>
          <w:rFonts w:ascii="Aptos" w:eastAsia="Times New Roman" w:hAnsi="Aptos" w:cs="Segoe UI"/>
          <w:sz w:val="24"/>
          <w:szCs w:val="24"/>
        </w:rPr>
        <w:t>Accessed: 8 May 2026).</w:t>
      </w:r>
    </w:p>
    <w:p w14:paraId="2FD4516B"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Quick, D. and Choo, K.K.R. (2018) ‘Digital forensic triage and evidence management’, </w:t>
      </w:r>
      <w:r w:rsidRPr="003D62F0">
        <w:rPr>
          <w:rFonts w:ascii="Aptos" w:eastAsia="Times New Roman" w:hAnsi="Aptos" w:cs="Segoe UI"/>
          <w:i/>
          <w:iCs/>
          <w:sz w:val="24"/>
          <w:szCs w:val="24"/>
        </w:rPr>
        <w:t>Forensic Science International: Digital Investigation</w:t>
      </w:r>
      <w:r w:rsidRPr="003D62F0">
        <w:rPr>
          <w:rFonts w:ascii="Aptos" w:eastAsia="Times New Roman" w:hAnsi="Aptos" w:cs="Segoe UI"/>
          <w:sz w:val="24"/>
          <w:szCs w:val="24"/>
        </w:rPr>
        <w:t xml:space="preserve">, 26, pp. 1–12. </w:t>
      </w:r>
      <w:hyperlink r:id="rId31" w:history="1">
        <w:r w:rsidRPr="003D62F0">
          <w:rPr>
            <w:rFonts w:ascii="Aptos" w:eastAsia="Times New Roman" w:hAnsi="Aptos" w:cs="Segoe UI"/>
            <w:color w:val="0000FF"/>
            <w:sz w:val="24"/>
            <w:szCs w:val="24"/>
            <w:u w:val="single"/>
          </w:rPr>
          <w:t>https://doi.org/10.1007/978-981-10-7763-0</w:t>
        </w:r>
      </w:hyperlink>
      <w:r w:rsidRPr="003D62F0">
        <w:rPr>
          <w:rFonts w:ascii="Aptos" w:eastAsia="Times New Roman" w:hAnsi="Aptos" w:cs="Segoe UI"/>
          <w:sz w:val="24"/>
          <w:szCs w:val="24"/>
        </w:rPr>
        <w:t xml:space="preserve"> </w:t>
      </w:r>
    </w:p>
    <w:p w14:paraId="7F44358E"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Ratcliffe, J.H. (2016) </w:t>
      </w:r>
      <w:r w:rsidRPr="003D62F0">
        <w:rPr>
          <w:rFonts w:ascii="Aptos" w:eastAsia="Times New Roman" w:hAnsi="Aptos" w:cs="Segoe UI"/>
          <w:i/>
          <w:iCs/>
          <w:sz w:val="24"/>
          <w:szCs w:val="24"/>
        </w:rPr>
        <w:t>Intelligence-led policing</w:t>
      </w:r>
      <w:r w:rsidRPr="003D62F0">
        <w:rPr>
          <w:rFonts w:ascii="Aptos" w:eastAsia="Times New Roman" w:hAnsi="Aptos" w:cs="Segoe UI"/>
          <w:sz w:val="24"/>
          <w:szCs w:val="24"/>
        </w:rPr>
        <w:t xml:space="preserve">. London: Routledge. Available at: </w:t>
      </w:r>
      <w:hyperlink r:id="rId32" w:history="1">
        <w:r w:rsidRPr="003D62F0">
          <w:rPr>
            <w:rFonts w:ascii="Aptos" w:eastAsia="Times New Roman" w:hAnsi="Aptos" w:cs="Segoe UI"/>
            <w:color w:val="0000FF"/>
            <w:sz w:val="24"/>
            <w:szCs w:val="24"/>
            <w:u w:val="single"/>
          </w:rPr>
          <w:t>https://doi.org/10.1093/police/pax070</w:t>
        </w:r>
      </w:hyperlink>
      <w:r w:rsidRPr="003D62F0">
        <w:rPr>
          <w:rFonts w:ascii="Aptos" w:eastAsia="Times New Roman" w:hAnsi="Aptos" w:cs="Segoe UI"/>
          <w:sz w:val="24"/>
          <w:szCs w:val="24"/>
        </w:rPr>
        <w:t xml:space="preserve">  </w:t>
      </w:r>
    </w:p>
    <w:p w14:paraId="76C797EC"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Sanders, A., Young, R. and Burton, M. (2019) </w:t>
      </w:r>
      <w:r w:rsidRPr="003D62F0">
        <w:rPr>
          <w:rFonts w:ascii="Aptos" w:eastAsia="Times New Roman" w:hAnsi="Aptos" w:cs="Segoe UI"/>
          <w:i/>
          <w:iCs/>
          <w:sz w:val="24"/>
          <w:szCs w:val="24"/>
        </w:rPr>
        <w:t>Criminal justice</w:t>
      </w:r>
      <w:r w:rsidRPr="003D62F0">
        <w:rPr>
          <w:rFonts w:ascii="Aptos" w:eastAsia="Times New Roman" w:hAnsi="Aptos" w:cs="Segoe UI"/>
          <w:sz w:val="24"/>
          <w:szCs w:val="24"/>
        </w:rPr>
        <w:t xml:space="preserve">. 5th </w:t>
      </w:r>
      <w:proofErr w:type="spellStart"/>
      <w:r w:rsidRPr="003D62F0">
        <w:rPr>
          <w:rFonts w:ascii="Aptos" w:eastAsia="Times New Roman" w:hAnsi="Aptos" w:cs="Segoe UI"/>
          <w:sz w:val="24"/>
          <w:szCs w:val="24"/>
        </w:rPr>
        <w:t>edn</w:t>
      </w:r>
      <w:proofErr w:type="spellEnd"/>
      <w:r w:rsidRPr="003D62F0">
        <w:rPr>
          <w:rFonts w:ascii="Aptos" w:eastAsia="Times New Roman" w:hAnsi="Aptos" w:cs="Segoe UI"/>
          <w:sz w:val="24"/>
          <w:szCs w:val="24"/>
        </w:rPr>
        <w:t>. Oxford: Oxford University Press.</w:t>
      </w:r>
    </w:p>
    <w:p w14:paraId="621C2501"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Saunders Inquiry (2023) </w:t>
      </w:r>
      <w:r w:rsidRPr="003D62F0">
        <w:rPr>
          <w:rFonts w:ascii="Aptos" w:eastAsia="Times New Roman" w:hAnsi="Aptos" w:cs="Segoe UI"/>
          <w:i/>
          <w:iCs/>
          <w:sz w:val="24"/>
          <w:szCs w:val="24"/>
        </w:rPr>
        <w:t>Manchester Arena Inquiry</w:t>
      </w:r>
      <w:r w:rsidRPr="003D62F0">
        <w:rPr>
          <w:rFonts w:ascii="Aptos" w:eastAsia="Times New Roman" w:hAnsi="Aptos" w:cs="Segoe UI"/>
          <w:sz w:val="24"/>
          <w:szCs w:val="24"/>
        </w:rPr>
        <w:t xml:space="preserve">. Available at: </w:t>
      </w:r>
      <w:hyperlink r:id="rId33" w:history="1">
        <w:r w:rsidRPr="003D62F0">
          <w:rPr>
            <w:rFonts w:ascii="Aptos" w:eastAsia="Times New Roman" w:hAnsi="Aptos" w:cs="Segoe UI"/>
            <w:color w:val="0000FF"/>
            <w:sz w:val="24"/>
            <w:szCs w:val="24"/>
            <w:u w:val="single"/>
          </w:rPr>
          <w:t>https://www.manchesterarenainquiry.org.uk</w:t>
        </w:r>
      </w:hyperlink>
      <w:r w:rsidRPr="003D62F0">
        <w:rPr>
          <w:rFonts w:ascii="Aptos" w:eastAsia="Times New Roman" w:hAnsi="Aptos" w:cs="Segoe UI"/>
          <w:sz w:val="24"/>
          <w:szCs w:val="24"/>
        </w:rPr>
        <w:t xml:space="preserve">  (Accessed: 8 May 2026).</w:t>
      </w:r>
    </w:p>
    <w:p w14:paraId="6CC48355"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lastRenderedPageBreak/>
        <w:t xml:space="preserve">UNODC (2021) </w:t>
      </w:r>
      <w:r w:rsidRPr="003D62F0">
        <w:rPr>
          <w:rFonts w:ascii="Aptos" w:eastAsia="Times New Roman" w:hAnsi="Aptos" w:cs="Segoe UI"/>
          <w:i/>
          <w:iCs/>
          <w:sz w:val="24"/>
          <w:szCs w:val="24"/>
        </w:rPr>
        <w:t>Handbook on international cooperation against transnational organised crime</w:t>
      </w:r>
      <w:r w:rsidRPr="003D62F0">
        <w:rPr>
          <w:rFonts w:ascii="Aptos" w:eastAsia="Times New Roman" w:hAnsi="Aptos" w:cs="Segoe UI"/>
          <w:sz w:val="24"/>
          <w:szCs w:val="24"/>
        </w:rPr>
        <w:t>. Vienna: United Nations.</w:t>
      </w:r>
    </w:p>
    <w:p w14:paraId="49EF4A44"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Vaughan, M., Milne, R., &amp; Dalton, G. (2024). An analysis of interview strategies in high-stakes crime investigations in the UK: Are they fit for purpose? The Police Journal: Theory, Practice and Principles, 97(2), 354-369. </w:t>
      </w:r>
      <w:hyperlink r:id="rId34" w:history="1">
        <w:r w:rsidRPr="003D62F0">
          <w:rPr>
            <w:rFonts w:ascii="Aptos" w:eastAsia="Times New Roman" w:hAnsi="Aptos" w:cs="Segoe UI"/>
            <w:color w:val="0000FF"/>
            <w:sz w:val="24"/>
            <w:szCs w:val="24"/>
            <w:u w:val="single"/>
          </w:rPr>
          <w:t>https://doi.org/10.1177/0032258X231181330</w:t>
        </w:r>
      </w:hyperlink>
      <w:r w:rsidRPr="003D62F0">
        <w:rPr>
          <w:rFonts w:ascii="Aptos" w:eastAsia="Times New Roman" w:hAnsi="Aptos" w:cs="Segoe UI"/>
          <w:sz w:val="24"/>
          <w:szCs w:val="24"/>
        </w:rPr>
        <w:t xml:space="preserve"> </w:t>
      </w:r>
    </w:p>
    <w:p w14:paraId="7C00EC3D"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Aptos" w:hAnsi="Aptos" w:cs="Arial"/>
          <w:color w:val="333333"/>
          <w:kern w:val="2"/>
          <w:sz w:val="24"/>
          <w:szCs w:val="24"/>
          <w:shd w:val="clear" w:color="auto" w:fill="FFFFFF"/>
          <w:lang w:eastAsia="en-US"/>
          <w14:ligatures w14:val="standardContextual"/>
        </w:rPr>
        <w:t>Walsh, D. W., &amp; Milne, R. (2008). Keeping the PEACE? A study of investigative interviewing practices in the public sector. </w:t>
      </w:r>
      <w:r w:rsidRPr="003D62F0">
        <w:rPr>
          <w:rFonts w:ascii="Aptos" w:eastAsia="Aptos" w:hAnsi="Aptos" w:cs="Arial"/>
          <w:i/>
          <w:iCs/>
          <w:color w:val="333333"/>
          <w:kern w:val="2"/>
          <w:sz w:val="24"/>
          <w:szCs w:val="24"/>
          <w:shd w:val="clear" w:color="auto" w:fill="FFFFFF"/>
          <w:lang w:eastAsia="en-US"/>
          <w14:ligatures w14:val="standardContextual"/>
        </w:rPr>
        <w:t>Legal and Criminological Psychology, 13</w:t>
      </w:r>
      <w:r w:rsidRPr="003D62F0">
        <w:rPr>
          <w:rFonts w:ascii="Aptos" w:eastAsia="Aptos" w:hAnsi="Aptos" w:cs="Arial"/>
          <w:color w:val="333333"/>
          <w:kern w:val="2"/>
          <w:sz w:val="24"/>
          <w:szCs w:val="24"/>
          <w:shd w:val="clear" w:color="auto" w:fill="FFFFFF"/>
          <w:lang w:eastAsia="en-US"/>
          <w14:ligatures w14:val="standardContextual"/>
        </w:rPr>
        <w:t>(1), 39–57. </w:t>
      </w:r>
      <w:hyperlink r:id="rId35" w:tgtFrame="_blank" w:history="1">
        <w:r w:rsidRPr="003D62F0">
          <w:rPr>
            <w:rFonts w:ascii="Aptos" w:eastAsia="Aptos" w:hAnsi="Aptos" w:cs="Arial"/>
            <w:color w:val="2C72B7"/>
            <w:kern w:val="2"/>
            <w:sz w:val="24"/>
            <w:szCs w:val="24"/>
            <w:u w:val="single"/>
            <w:shd w:val="clear" w:color="auto" w:fill="FFFFFF"/>
            <w:lang w:eastAsia="en-US"/>
            <w14:ligatures w14:val="standardContextual"/>
          </w:rPr>
          <w:t>https://doi.org/10.1348/135532506X157179</w:t>
        </w:r>
      </w:hyperlink>
    </w:p>
    <w:p w14:paraId="4A73E2AF"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Williamson, T. (2006) ‘Investigative interviewing’, London. Willan. </w:t>
      </w:r>
      <w:hyperlink r:id="rId36" w:history="1">
        <w:r w:rsidRPr="003D62F0">
          <w:rPr>
            <w:rFonts w:ascii="Aptos" w:eastAsia="Times New Roman" w:hAnsi="Aptos" w:cs="Segoe UI"/>
            <w:color w:val="0000FF"/>
            <w:sz w:val="24"/>
            <w:szCs w:val="24"/>
            <w:u w:val="single"/>
          </w:rPr>
          <w:t>https://doi.org/10.4324/9781843926337</w:t>
        </w:r>
      </w:hyperlink>
      <w:r w:rsidRPr="003D62F0">
        <w:rPr>
          <w:rFonts w:ascii="Aptos" w:eastAsia="Times New Roman" w:hAnsi="Aptos" w:cs="Segoe UI"/>
          <w:sz w:val="24"/>
          <w:szCs w:val="24"/>
        </w:rPr>
        <w:t xml:space="preserve"> </w:t>
      </w:r>
    </w:p>
    <w:p w14:paraId="5ACC3D99" w14:textId="77777777" w:rsidR="003D62F0" w:rsidRPr="003D62F0" w:rsidRDefault="003D62F0" w:rsidP="003D62F0">
      <w:pPr>
        <w:spacing w:before="100" w:beforeAutospacing="1" w:after="100" w:afterAutospacing="1" w:line="300" w:lineRule="atLeast"/>
        <w:rPr>
          <w:rFonts w:ascii="Aptos" w:eastAsia="Times New Roman" w:hAnsi="Aptos" w:cs="Segoe UI"/>
          <w:sz w:val="24"/>
          <w:szCs w:val="24"/>
        </w:rPr>
      </w:pPr>
      <w:r w:rsidRPr="003D62F0">
        <w:rPr>
          <w:rFonts w:ascii="Aptos" w:eastAsia="Times New Roman" w:hAnsi="Aptos" w:cs="Segoe UI"/>
          <w:sz w:val="24"/>
          <w:szCs w:val="24"/>
        </w:rPr>
        <w:t xml:space="preserve">Wilson-Kovacs, D. (2021) ‘Digital media investigators: Challenges and opportunities in the use of digital forensics in police investigations in England and Wales’, </w:t>
      </w:r>
      <w:r w:rsidRPr="003D62F0">
        <w:rPr>
          <w:rFonts w:ascii="Aptos" w:eastAsia="Times New Roman" w:hAnsi="Aptos" w:cs="Segoe UI"/>
          <w:i/>
          <w:iCs/>
          <w:sz w:val="24"/>
          <w:szCs w:val="24"/>
        </w:rPr>
        <w:t>Policing: An International Journal</w:t>
      </w:r>
      <w:r w:rsidRPr="003D62F0">
        <w:rPr>
          <w:rFonts w:ascii="Aptos" w:eastAsia="Times New Roman" w:hAnsi="Aptos" w:cs="Segoe UI"/>
          <w:sz w:val="24"/>
          <w:szCs w:val="24"/>
        </w:rPr>
        <w:t xml:space="preserve">, 44(4), pp. 669–682 </w:t>
      </w:r>
      <w:hyperlink r:id="rId37" w:history="1">
        <w:r w:rsidRPr="003D62F0">
          <w:rPr>
            <w:rFonts w:ascii="Aptos" w:eastAsia="Times New Roman" w:hAnsi="Aptos" w:cs="Segoe UI"/>
            <w:color w:val="0000FF"/>
            <w:sz w:val="24"/>
            <w:szCs w:val="24"/>
            <w:u w:val="single"/>
          </w:rPr>
          <w:t>https://doi.org/10.1108/PIJPSM-02-2021-0019</w:t>
        </w:r>
      </w:hyperlink>
      <w:r w:rsidRPr="003D62F0">
        <w:rPr>
          <w:rFonts w:ascii="Aptos" w:eastAsia="Times New Roman" w:hAnsi="Aptos" w:cs="Segoe UI"/>
          <w:sz w:val="24"/>
          <w:szCs w:val="24"/>
        </w:rPr>
        <w:t xml:space="preserve"> </w:t>
      </w:r>
    </w:p>
    <w:p w14:paraId="6863F13E" w14:textId="77777777" w:rsidR="003D62F0" w:rsidRPr="003D62F0" w:rsidRDefault="003D62F0" w:rsidP="003D62F0">
      <w:pPr>
        <w:spacing w:after="0" w:line="240" w:lineRule="auto"/>
        <w:rPr>
          <w:rFonts w:ascii="Aptos" w:eastAsia="Aptos" w:hAnsi="Aptos" w:cs="Aptos"/>
          <w:color w:val="000000"/>
          <w:sz w:val="24"/>
          <w:szCs w:val="24"/>
        </w:rPr>
      </w:pPr>
    </w:p>
    <w:p w14:paraId="5D2ACF7B" w14:textId="77777777" w:rsidR="003D62F0" w:rsidRPr="003D62F0" w:rsidRDefault="003D62F0" w:rsidP="003D62F0">
      <w:pPr>
        <w:spacing w:after="0" w:line="240" w:lineRule="auto"/>
        <w:rPr>
          <w:rFonts w:ascii="Aptos" w:eastAsia="Aptos" w:hAnsi="Aptos" w:cs="Aptos"/>
          <w:color w:val="000000"/>
          <w:sz w:val="24"/>
          <w:szCs w:val="24"/>
        </w:rPr>
      </w:pPr>
    </w:p>
    <w:p w14:paraId="4E669A78" w14:textId="0A88CE0F" w:rsidR="003D62F0" w:rsidRPr="003D62F0" w:rsidRDefault="003D62F0" w:rsidP="003D62F0">
      <w:pPr>
        <w:spacing w:after="0" w:line="240" w:lineRule="auto"/>
        <w:rPr>
          <w:rFonts w:ascii="Aptos" w:eastAsia="Aptos" w:hAnsi="Aptos" w:cs="Aptos"/>
          <w:b/>
          <w:bCs/>
          <w:color w:val="000000"/>
          <w:sz w:val="24"/>
          <w:szCs w:val="24"/>
        </w:rPr>
      </w:pPr>
      <w:r w:rsidRPr="003D62F0">
        <w:rPr>
          <w:rFonts w:ascii="Aptos" w:eastAsia="Aptos" w:hAnsi="Aptos" w:cs="Aptos"/>
          <w:b/>
          <w:bCs/>
          <w:color w:val="000000"/>
          <w:sz w:val="24"/>
          <w:szCs w:val="24"/>
        </w:rPr>
        <w:t xml:space="preserve">Legislation </w:t>
      </w:r>
    </w:p>
    <w:p w14:paraId="5140BFF0" w14:textId="77777777" w:rsidR="003D62F0" w:rsidRPr="003D62F0" w:rsidRDefault="003D62F0" w:rsidP="003D62F0">
      <w:pPr>
        <w:spacing w:after="0" w:line="240" w:lineRule="auto"/>
        <w:rPr>
          <w:rFonts w:ascii="Aptos" w:eastAsia="Aptos" w:hAnsi="Aptos" w:cs="Aptos"/>
          <w:color w:val="000000"/>
          <w:sz w:val="24"/>
          <w:szCs w:val="24"/>
        </w:rPr>
      </w:pPr>
      <w:r w:rsidRPr="003D62F0">
        <w:rPr>
          <w:rFonts w:ascii="Aptos" w:eastAsia="Aptos" w:hAnsi="Aptos" w:cs="Aptos"/>
          <w:color w:val="000000"/>
          <w:sz w:val="24"/>
          <w:szCs w:val="24"/>
        </w:rPr>
        <w:t>Proceeds of Crime Act 2002.</w:t>
      </w:r>
    </w:p>
    <w:p w14:paraId="3C104BEE" w14:textId="77777777" w:rsidR="003D62F0" w:rsidRPr="003D62F0" w:rsidRDefault="003D62F0" w:rsidP="003D62F0">
      <w:pPr>
        <w:spacing w:after="0" w:line="240" w:lineRule="auto"/>
        <w:rPr>
          <w:rFonts w:ascii="Aptos" w:eastAsia="Aptos" w:hAnsi="Aptos" w:cs="Aptos"/>
          <w:color w:val="000000"/>
          <w:sz w:val="24"/>
          <w:szCs w:val="24"/>
        </w:rPr>
      </w:pPr>
      <w:r w:rsidRPr="003D62F0">
        <w:rPr>
          <w:rFonts w:ascii="Aptos" w:eastAsia="Aptos" w:hAnsi="Aptos" w:cs="Aptos"/>
          <w:color w:val="000000"/>
          <w:sz w:val="24"/>
          <w:szCs w:val="24"/>
        </w:rPr>
        <w:t>Modern Slavery Act 2015.</w:t>
      </w:r>
    </w:p>
    <w:p w14:paraId="583DB8F5" w14:textId="77777777" w:rsidR="003D62F0" w:rsidRPr="003D62F0" w:rsidRDefault="003D62F0" w:rsidP="003D62F0">
      <w:pPr>
        <w:spacing w:after="0" w:line="240" w:lineRule="auto"/>
        <w:rPr>
          <w:rFonts w:ascii="Aptos" w:eastAsia="Aptos" w:hAnsi="Aptos" w:cs="Aptos"/>
          <w:color w:val="000000"/>
          <w:sz w:val="24"/>
          <w:szCs w:val="24"/>
        </w:rPr>
      </w:pPr>
      <w:r w:rsidRPr="003D62F0">
        <w:rPr>
          <w:rFonts w:ascii="Aptos" w:eastAsia="Aptos" w:hAnsi="Aptos" w:cs="Aptos"/>
          <w:color w:val="000000"/>
          <w:sz w:val="24"/>
          <w:szCs w:val="24"/>
        </w:rPr>
        <w:t>Sexual Offences Act 2003.</w:t>
      </w:r>
    </w:p>
    <w:p w14:paraId="52ED847E" w14:textId="77777777" w:rsidR="003D62F0" w:rsidRPr="003D62F0" w:rsidRDefault="003D62F0" w:rsidP="003D62F0">
      <w:pPr>
        <w:spacing w:after="0" w:line="240" w:lineRule="auto"/>
        <w:rPr>
          <w:rFonts w:ascii="Aptos" w:eastAsia="Aptos" w:hAnsi="Aptos" w:cs="Aptos"/>
          <w:color w:val="000000"/>
          <w:sz w:val="24"/>
          <w:szCs w:val="24"/>
        </w:rPr>
      </w:pPr>
      <w:r w:rsidRPr="003D62F0">
        <w:rPr>
          <w:rFonts w:ascii="Aptos" w:eastAsia="Aptos" w:hAnsi="Aptos" w:cs="Aptos"/>
          <w:color w:val="000000"/>
          <w:sz w:val="24"/>
          <w:szCs w:val="24"/>
        </w:rPr>
        <w:t>Serious Organised Crime and Police Act 2005.</w:t>
      </w:r>
    </w:p>
    <w:p w14:paraId="7D00A86A" w14:textId="77777777" w:rsidR="003D62F0" w:rsidRPr="003D62F0" w:rsidRDefault="003D62F0" w:rsidP="003D62F0">
      <w:pPr>
        <w:spacing w:after="0" w:line="240" w:lineRule="auto"/>
        <w:rPr>
          <w:rFonts w:ascii="Aptos" w:eastAsia="Aptos" w:hAnsi="Aptos" w:cs="Aptos"/>
          <w:color w:val="000000"/>
          <w:sz w:val="24"/>
          <w:szCs w:val="24"/>
        </w:rPr>
      </w:pPr>
      <w:r w:rsidRPr="003D62F0">
        <w:rPr>
          <w:rFonts w:ascii="Aptos" w:eastAsia="Aptos" w:hAnsi="Aptos" w:cs="Aptos"/>
          <w:color w:val="000000"/>
          <w:sz w:val="24"/>
          <w:szCs w:val="24"/>
        </w:rPr>
        <w:t>Youth Justice and Criminal Evidence Act 1999.</w:t>
      </w:r>
    </w:p>
    <w:p w14:paraId="1D49F820" w14:textId="77777777" w:rsidR="003D62F0" w:rsidRPr="003D62F0" w:rsidRDefault="003D62F0" w:rsidP="003D62F0">
      <w:pPr>
        <w:spacing w:after="0" w:line="240" w:lineRule="auto"/>
        <w:rPr>
          <w:rFonts w:ascii="Aptos" w:eastAsia="Times New Roman" w:hAnsi="Aptos" w:cs="Aptos"/>
          <w:color w:val="000000"/>
          <w:sz w:val="24"/>
          <w:szCs w:val="24"/>
        </w:rPr>
      </w:pPr>
      <w:r w:rsidRPr="003D62F0">
        <w:rPr>
          <w:rFonts w:ascii="Aptos" w:eastAsia="Times New Roman" w:hAnsi="Aptos" w:cs="Aptos"/>
          <w:color w:val="000000"/>
          <w:sz w:val="24"/>
          <w:szCs w:val="24"/>
        </w:rPr>
        <w:t>European Convention on Human Rights (1950), Article 6.</w:t>
      </w:r>
    </w:p>
    <w:p w14:paraId="39C0A2CA" w14:textId="77777777" w:rsidR="003D62F0" w:rsidRPr="003D62F0" w:rsidRDefault="003D62F0" w:rsidP="003D62F0">
      <w:pPr>
        <w:spacing w:line="278" w:lineRule="auto"/>
        <w:rPr>
          <w:rFonts w:ascii="Aptos" w:eastAsia="Aptos" w:hAnsi="Aptos" w:cs="Times New Roman"/>
          <w:kern w:val="2"/>
          <w:sz w:val="24"/>
          <w:szCs w:val="24"/>
          <w:lang w:eastAsia="en-US"/>
          <w14:ligatures w14:val="standardContextual"/>
        </w:rPr>
      </w:pPr>
      <w:r w:rsidRPr="003D62F0">
        <w:rPr>
          <w:rFonts w:ascii="Aptos" w:eastAsia="Aptos" w:hAnsi="Aptos" w:cs="Times New Roman"/>
          <w:kern w:val="2"/>
          <w:sz w:val="24"/>
          <w:szCs w:val="24"/>
          <w:lang w:eastAsia="en-US"/>
          <w14:ligatures w14:val="standardContextual"/>
        </w:rPr>
        <w:t>Terrorism (Protection of Premises) 2025.</w:t>
      </w:r>
    </w:p>
    <w:p w14:paraId="09C0922D" w14:textId="77777777" w:rsidR="003D62F0" w:rsidRDefault="003D62F0">
      <w:pPr>
        <w:spacing w:before="240" w:after="60"/>
        <w:ind w:right="237"/>
        <w:jc w:val="both"/>
        <w:rPr>
          <w:rFonts w:ascii="Arial" w:eastAsia="Arial" w:hAnsi="Arial" w:cs="Arial"/>
          <w:color w:val="000000"/>
          <w:sz w:val="24"/>
          <w:szCs w:val="24"/>
        </w:rPr>
      </w:pPr>
    </w:p>
    <w:p w14:paraId="13D73828" w14:textId="77777777" w:rsidR="003D62F0" w:rsidRDefault="003D62F0">
      <w:pPr>
        <w:spacing w:before="240" w:after="60"/>
        <w:ind w:right="237"/>
        <w:jc w:val="both"/>
        <w:rPr>
          <w:rFonts w:ascii="Arial" w:eastAsia="Arial" w:hAnsi="Arial" w:cs="Arial"/>
          <w:color w:val="000000"/>
          <w:sz w:val="24"/>
          <w:szCs w:val="24"/>
        </w:rPr>
      </w:pPr>
    </w:p>
    <w:p w14:paraId="7B1D57C9" w14:textId="77777777" w:rsidR="003D62F0" w:rsidRDefault="003D62F0">
      <w:pPr>
        <w:spacing w:before="240" w:after="60"/>
        <w:ind w:right="237"/>
        <w:jc w:val="both"/>
        <w:rPr>
          <w:rFonts w:ascii="Arial" w:eastAsia="Arial" w:hAnsi="Arial" w:cs="Arial"/>
          <w:color w:val="000000"/>
          <w:sz w:val="24"/>
          <w:szCs w:val="24"/>
        </w:rPr>
      </w:pPr>
    </w:p>
    <w:p w14:paraId="1E195D63" w14:textId="77777777" w:rsidR="003D62F0" w:rsidRDefault="003D62F0">
      <w:pPr>
        <w:spacing w:before="240" w:after="60"/>
        <w:ind w:right="237"/>
        <w:jc w:val="both"/>
        <w:rPr>
          <w:rFonts w:ascii="Arial" w:eastAsia="Arial" w:hAnsi="Arial" w:cs="Arial"/>
          <w:color w:val="000000"/>
          <w:sz w:val="24"/>
          <w:szCs w:val="24"/>
        </w:rPr>
      </w:pPr>
    </w:p>
    <w:p w14:paraId="48F92B5E" w14:textId="77777777" w:rsidR="003D62F0" w:rsidRDefault="003D62F0">
      <w:pPr>
        <w:spacing w:before="240" w:after="60"/>
        <w:ind w:right="237"/>
        <w:jc w:val="both"/>
        <w:rPr>
          <w:rFonts w:ascii="Arial" w:eastAsia="Arial" w:hAnsi="Arial" w:cs="Arial"/>
          <w:color w:val="000000"/>
          <w:sz w:val="24"/>
          <w:szCs w:val="24"/>
        </w:rPr>
      </w:pPr>
    </w:p>
    <w:p w14:paraId="49B21C8F" w14:textId="77777777" w:rsidR="007A7D1B" w:rsidRDefault="0032684D">
      <w:pPr>
        <w:pStyle w:val="Heading2"/>
        <w:spacing w:before="0" w:after="160"/>
        <w:jc w:val="both"/>
        <w:rPr>
          <w:rFonts w:ascii="Arial" w:eastAsia="Arial" w:hAnsi="Arial" w:cs="Arial"/>
          <w:b/>
          <w:color w:val="000000"/>
          <w:sz w:val="24"/>
          <w:szCs w:val="24"/>
        </w:rPr>
      </w:pPr>
      <w:r>
        <w:rPr>
          <w:rFonts w:ascii="Arial" w:eastAsia="Arial" w:hAnsi="Arial" w:cs="Arial"/>
          <w:b/>
          <w:color w:val="000000"/>
          <w:sz w:val="24"/>
          <w:szCs w:val="24"/>
        </w:rPr>
        <w:t>7. Use of Generative AI in Assessment</w:t>
      </w:r>
    </w:p>
    <w:p w14:paraId="50FE86E5" w14:textId="77777777" w:rsidR="007A7D1B" w:rsidRDefault="0032684D">
      <w:pPr>
        <w:jc w:val="both"/>
        <w:rPr>
          <w:rFonts w:ascii="Arial" w:eastAsia="Arial" w:hAnsi="Arial" w:cs="Arial"/>
          <w:color w:val="000000"/>
          <w:sz w:val="24"/>
          <w:szCs w:val="24"/>
        </w:rPr>
      </w:pPr>
      <w:r>
        <w:rPr>
          <w:rFonts w:ascii="Arial" w:eastAsia="Arial" w:hAnsi="Arial" w:cs="Arial"/>
          <w:color w:val="000000"/>
          <w:sz w:val="24"/>
          <w:szCs w:val="24"/>
        </w:rPr>
        <w:t xml:space="preserve">     (Lecturer to indicate Yes or Not against each element)</w:t>
      </w:r>
    </w:p>
    <w:p w14:paraId="4F89DD13" w14:textId="77777777" w:rsidR="007A7D1B" w:rsidRDefault="0032684D">
      <w:pPr>
        <w:spacing w:after="0"/>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 </w:t>
      </w:r>
    </w:p>
    <w:tbl>
      <w:tblPr>
        <w:tblStyle w:val="a6"/>
        <w:tblW w:w="9014" w:type="dxa"/>
        <w:tblInd w:w="600"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474"/>
        <w:gridCol w:w="4895"/>
        <w:gridCol w:w="1645"/>
      </w:tblGrid>
      <w:tr w:rsidR="007A7D1B" w14:paraId="0B749293"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6F31297" w14:textId="77777777" w:rsidR="007A7D1B" w:rsidRDefault="0032684D">
            <w:pPr>
              <w:spacing w:line="257" w:lineRule="auto"/>
              <w:rPr>
                <w:rFonts w:ascii="Arial" w:eastAsia="Arial" w:hAnsi="Arial" w:cs="Arial"/>
              </w:rPr>
            </w:pPr>
            <w:r>
              <w:rPr>
                <w:rFonts w:ascii="Arial" w:eastAsia="Arial" w:hAnsi="Arial" w:cs="Arial"/>
              </w:rPr>
              <w:t>RESEARCH</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61D3240" w14:textId="77777777" w:rsidR="007A7D1B" w:rsidRDefault="0032684D">
            <w:pPr>
              <w:spacing w:line="257" w:lineRule="auto"/>
              <w:rPr>
                <w:rFonts w:ascii="Arial" w:eastAsia="Arial" w:hAnsi="Arial" w:cs="Arial"/>
              </w:rPr>
            </w:pPr>
            <w:r>
              <w:rPr>
                <w:rFonts w:ascii="Arial" w:eastAsia="Arial" w:hAnsi="Arial" w:cs="Arial"/>
              </w:rPr>
              <w:t>For this assessment, you can use Generative AI to support you in research, including searching for bibliography, using tools to summarise, compare and interrogate materials.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91DA3C9" w14:textId="77777777" w:rsidR="007A7D1B" w:rsidRDefault="0032684D">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51210406" w14:textId="77777777" w:rsidR="007A7D1B" w:rsidRDefault="0032684D">
            <w:pPr>
              <w:rPr>
                <w:rFonts w:ascii="Arial" w:eastAsia="Arial" w:hAnsi="Arial" w:cs="Arial"/>
              </w:rPr>
            </w:pPr>
            <w:r>
              <w:rPr>
                <w:rFonts w:ascii="Arial" w:eastAsia="Arial" w:hAnsi="Arial" w:cs="Arial"/>
              </w:rPr>
              <w:t xml:space="preserve"> </w:t>
            </w:r>
          </w:p>
          <w:p w14:paraId="7AA4483F" w14:textId="77777777" w:rsidR="007A7D1B" w:rsidRDefault="0032684D">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7A7D1B" w14:paraId="0F7E5E22"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227C448" w14:textId="77777777" w:rsidR="007A7D1B" w:rsidRDefault="0032684D">
            <w:pPr>
              <w:spacing w:line="257" w:lineRule="auto"/>
              <w:rPr>
                <w:rFonts w:ascii="Arial" w:eastAsia="Arial" w:hAnsi="Arial" w:cs="Arial"/>
              </w:rPr>
            </w:pPr>
            <w:r>
              <w:rPr>
                <w:rFonts w:ascii="Arial" w:eastAsia="Arial" w:hAnsi="Arial" w:cs="Arial"/>
              </w:rPr>
              <w:lastRenderedPageBreak/>
              <w:t>STRUCTURE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AA1BE73" w14:textId="77777777" w:rsidR="007A7D1B" w:rsidRDefault="0032684D">
            <w:pPr>
              <w:spacing w:line="257" w:lineRule="auto"/>
              <w:rPr>
                <w:rFonts w:ascii="Arial" w:eastAsia="Arial" w:hAnsi="Arial" w:cs="Arial"/>
              </w:rPr>
            </w:pPr>
            <w:r>
              <w:rPr>
                <w:rFonts w:ascii="Arial" w:eastAsia="Arial" w:hAnsi="Arial" w:cs="Arial"/>
              </w:rPr>
              <w:t>For this assessment, you can use Generative AI to support you in structuring your submission, including creating a draft argument structure, identifying parts and headings, etc.</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A13EF69" w14:textId="77777777" w:rsidR="007A7D1B" w:rsidRDefault="0032684D">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79D45A5F" w14:textId="77777777" w:rsidR="007A7D1B" w:rsidRDefault="0032684D">
            <w:pPr>
              <w:rPr>
                <w:rFonts w:ascii="Arial" w:eastAsia="Arial" w:hAnsi="Arial" w:cs="Arial"/>
              </w:rPr>
            </w:pPr>
            <w:r>
              <w:rPr>
                <w:rFonts w:ascii="Arial" w:eastAsia="Arial" w:hAnsi="Arial" w:cs="Arial"/>
              </w:rPr>
              <w:t xml:space="preserve"> </w:t>
            </w:r>
          </w:p>
          <w:p w14:paraId="629BD66F" w14:textId="77777777" w:rsidR="007A7D1B" w:rsidRDefault="0032684D">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7A7D1B" w14:paraId="386F70B1"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DEDF0DA" w14:textId="77777777" w:rsidR="007A7D1B" w:rsidRDefault="0032684D">
            <w:pPr>
              <w:spacing w:line="257" w:lineRule="auto"/>
              <w:rPr>
                <w:rFonts w:ascii="Arial" w:eastAsia="Arial" w:hAnsi="Arial" w:cs="Arial"/>
              </w:rPr>
            </w:pPr>
            <w:r>
              <w:rPr>
                <w:rFonts w:ascii="Arial" w:eastAsia="Arial" w:hAnsi="Arial" w:cs="Arial"/>
              </w:rPr>
              <w:t>PROOFREADING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C3DC55F" w14:textId="77777777" w:rsidR="007A7D1B" w:rsidRDefault="0032684D">
            <w:pPr>
              <w:spacing w:line="257" w:lineRule="auto"/>
              <w:rPr>
                <w:rFonts w:ascii="Arial" w:eastAsia="Arial" w:hAnsi="Arial" w:cs="Arial"/>
              </w:rPr>
            </w:pPr>
            <w:r>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C98FD2" w14:textId="77777777" w:rsidR="007A7D1B" w:rsidRDefault="0032684D">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479F61FA" w14:textId="77777777" w:rsidR="007A7D1B" w:rsidRDefault="0032684D">
            <w:pPr>
              <w:rPr>
                <w:rFonts w:ascii="Arial" w:eastAsia="Arial" w:hAnsi="Arial" w:cs="Arial"/>
              </w:rPr>
            </w:pPr>
            <w:r>
              <w:rPr>
                <w:rFonts w:ascii="Arial" w:eastAsia="Arial" w:hAnsi="Arial" w:cs="Arial"/>
              </w:rPr>
              <w:t xml:space="preserve"> </w:t>
            </w:r>
          </w:p>
          <w:p w14:paraId="487E82DF" w14:textId="77777777" w:rsidR="007A7D1B" w:rsidRDefault="0032684D">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7A7D1B" w14:paraId="74FE183B"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642FB50" w14:textId="77777777" w:rsidR="007A7D1B" w:rsidRDefault="0032684D">
            <w:pPr>
              <w:spacing w:line="257" w:lineRule="auto"/>
              <w:rPr>
                <w:rFonts w:ascii="Arial" w:eastAsia="Arial" w:hAnsi="Arial" w:cs="Arial"/>
              </w:rPr>
            </w:pPr>
            <w:r>
              <w:rPr>
                <w:rFonts w:ascii="Arial" w:eastAsia="Arial" w:hAnsi="Arial" w:cs="Arial"/>
              </w:rPr>
              <w:t>WRITING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2AFEAB3" w14:textId="77777777" w:rsidR="007A7D1B" w:rsidRDefault="0032684D">
            <w:pPr>
              <w:spacing w:line="257" w:lineRule="auto"/>
              <w:rPr>
                <w:rFonts w:ascii="Arial" w:eastAsia="Arial" w:hAnsi="Arial" w:cs="Arial"/>
              </w:rPr>
            </w:pPr>
            <w:r>
              <w:rPr>
                <w:rFonts w:ascii="Arial" w:eastAsia="Arial" w:hAnsi="Arial" w:cs="Arial"/>
              </w:rPr>
              <w:t>For this assessment, you can use Generative AI to create text for submission.</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1CBCF89" w14:textId="77777777" w:rsidR="007A7D1B" w:rsidRDefault="0032684D">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62E59402" w14:textId="77777777" w:rsidR="007A7D1B" w:rsidRDefault="0032684D">
            <w:pPr>
              <w:rPr>
                <w:rFonts w:ascii="Arial" w:eastAsia="Arial" w:hAnsi="Arial" w:cs="Arial"/>
              </w:rPr>
            </w:pPr>
            <w:r>
              <w:rPr>
                <w:rFonts w:ascii="Arial" w:eastAsia="Arial" w:hAnsi="Arial" w:cs="Arial"/>
              </w:rPr>
              <w:t xml:space="preserve"> </w:t>
            </w:r>
          </w:p>
          <w:p w14:paraId="1C6BF761" w14:textId="77777777" w:rsidR="007A7D1B" w:rsidRDefault="0032684D">
            <w:pPr>
              <w:rPr>
                <w:rFonts w:ascii="Arial" w:eastAsia="Arial" w:hAnsi="Arial" w:cs="Arial"/>
              </w:rPr>
            </w:pPr>
            <w:proofErr w:type="gramStart"/>
            <w:r>
              <w:rPr>
                <w:rFonts w:ascii="Arial" w:eastAsia="Arial" w:hAnsi="Arial" w:cs="Arial"/>
              </w:rPr>
              <w:t xml:space="preserve">No  </w:t>
            </w:r>
            <w:r>
              <w:rPr>
                <w:rFonts w:ascii="Arial" w:eastAsia="Arial" w:hAnsi="Arial" w:cs="Arial"/>
                <w:b/>
              </w:rPr>
              <w:t>X</w:t>
            </w:r>
            <w:proofErr w:type="gramEnd"/>
          </w:p>
        </w:tc>
      </w:tr>
      <w:tr w:rsidR="007A7D1B" w14:paraId="2125AC27"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2F48106" w14:textId="77777777" w:rsidR="007A7D1B" w:rsidRDefault="0032684D">
            <w:pPr>
              <w:spacing w:line="257" w:lineRule="auto"/>
              <w:rPr>
                <w:rFonts w:ascii="Arial" w:eastAsia="Arial" w:hAnsi="Arial" w:cs="Arial"/>
              </w:rPr>
            </w:pPr>
            <w:r>
              <w:rPr>
                <w:rFonts w:ascii="Arial" w:eastAsia="Arial" w:hAnsi="Arial" w:cs="Arial"/>
              </w:rPr>
              <w:t>CREATIVE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906AB1C" w14:textId="77777777" w:rsidR="007A7D1B" w:rsidRDefault="0032684D">
            <w:pPr>
              <w:spacing w:line="257" w:lineRule="auto"/>
              <w:rPr>
                <w:rFonts w:ascii="Arial" w:eastAsia="Arial" w:hAnsi="Arial" w:cs="Arial"/>
              </w:rPr>
            </w:pPr>
            <w:r>
              <w:rPr>
                <w:rFonts w:ascii="Arial" w:eastAsia="Arial" w:hAnsi="Arial" w:cs="Arial"/>
              </w:rPr>
              <w:t>For this assessment, you can use Generative AI to create creative materials, such as images.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FDF022C" w14:textId="77777777" w:rsidR="007A7D1B" w:rsidRDefault="0032684D">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09634A3F" w14:textId="77777777" w:rsidR="007A7D1B" w:rsidRDefault="0032684D">
            <w:pPr>
              <w:rPr>
                <w:rFonts w:ascii="Arial" w:eastAsia="Arial" w:hAnsi="Arial" w:cs="Arial"/>
              </w:rPr>
            </w:pPr>
            <w:r>
              <w:rPr>
                <w:rFonts w:ascii="Arial" w:eastAsia="Arial" w:hAnsi="Arial" w:cs="Arial"/>
              </w:rPr>
              <w:t xml:space="preserve"> </w:t>
            </w:r>
          </w:p>
          <w:p w14:paraId="41241AD1" w14:textId="77777777" w:rsidR="007A7D1B" w:rsidRDefault="0032684D">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7A7D1B" w14:paraId="6F12CE0A"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D4A210B" w14:textId="77777777" w:rsidR="007A7D1B" w:rsidRDefault="0032684D">
            <w:pPr>
              <w:spacing w:line="257" w:lineRule="auto"/>
              <w:rPr>
                <w:rFonts w:ascii="Arial" w:eastAsia="Arial" w:hAnsi="Arial" w:cs="Arial"/>
              </w:rPr>
            </w:pPr>
            <w:r>
              <w:rPr>
                <w:rFonts w:ascii="Arial" w:eastAsia="Arial" w:hAnsi="Arial" w:cs="Arial"/>
              </w:rPr>
              <w:t>PROGRAMING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FE28AC5" w14:textId="77777777" w:rsidR="007A7D1B" w:rsidRDefault="0032684D">
            <w:pPr>
              <w:spacing w:line="257" w:lineRule="auto"/>
              <w:rPr>
                <w:rFonts w:ascii="Arial" w:eastAsia="Arial" w:hAnsi="Arial" w:cs="Arial"/>
              </w:rPr>
            </w:pPr>
            <w:r>
              <w:rPr>
                <w:rFonts w:ascii="Arial" w:eastAsia="Arial" w:hAnsi="Arial" w:cs="Arial"/>
              </w:rPr>
              <w:t>For this assessment, you can use Generative AI to create and check code.</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0F2975D" w14:textId="77777777" w:rsidR="007A7D1B" w:rsidRDefault="0032684D">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45A57E90" w14:textId="77777777" w:rsidR="007A7D1B" w:rsidRDefault="0032684D">
            <w:pPr>
              <w:rPr>
                <w:rFonts w:ascii="Arial" w:eastAsia="Arial" w:hAnsi="Arial" w:cs="Arial"/>
              </w:rPr>
            </w:pPr>
            <w:r>
              <w:rPr>
                <w:rFonts w:ascii="Arial" w:eastAsia="Arial" w:hAnsi="Arial" w:cs="Arial"/>
              </w:rPr>
              <w:t xml:space="preserve"> </w:t>
            </w:r>
          </w:p>
          <w:p w14:paraId="78F5217E" w14:textId="77777777" w:rsidR="007A7D1B" w:rsidRDefault="0032684D">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7A7D1B" w14:paraId="106D6608"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F774BCC" w14:textId="77777777" w:rsidR="007A7D1B" w:rsidRDefault="0032684D">
            <w:pPr>
              <w:spacing w:line="257" w:lineRule="auto"/>
              <w:rPr>
                <w:rFonts w:ascii="Arial" w:eastAsia="Arial" w:hAnsi="Arial" w:cs="Arial"/>
              </w:rPr>
            </w:pPr>
            <w:r>
              <w:rPr>
                <w:rFonts w:ascii="Arial" w:eastAsia="Arial" w:hAnsi="Arial" w:cs="Arial"/>
              </w:rPr>
              <w:t>NONE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EA395D1" w14:textId="77777777" w:rsidR="007A7D1B" w:rsidRDefault="0032684D">
            <w:pPr>
              <w:spacing w:line="257" w:lineRule="auto"/>
              <w:rPr>
                <w:rFonts w:ascii="Arial" w:eastAsia="Arial" w:hAnsi="Arial" w:cs="Arial"/>
              </w:rPr>
            </w:pPr>
            <w:r>
              <w:rPr>
                <w:rFonts w:ascii="Arial" w:eastAsia="Arial" w:hAnsi="Arial" w:cs="Arial"/>
              </w:rPr>
              <w:t xml:space="preserve">For this assessment, you are not allowed to use </w:t>
            </w:r>
            <w:r>
              <w:rPr>
                <w:rFonts w:ascii="Arial" w:eastAsia="Arial" w:hAnsi="Arial" w:cs="Arial"/>
                <w:b/>
              </w:rPr>
              <w:t>any</w:t>
            </w:r>
            <w:r>
              <w:rPr>
                <w:rFonts w:ascii="Arial" w:eastAsia="Arial" w:hAnsi="Arial" w:cs="Arial"/>
              </w:rPr>
              <w:t xml:space="preserve"> type of Generative AI support. This includes research support, structure support, writing/proofreading support and creative support.</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4B7626B" w14:textId="77777777" w:rsidR="007A7D1B" w:rsidRDefault="0032684D">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4A478780" w14:textId="77777777" w:rsidR="007A7D1B" w:rsidRDefault="0032684D">
            <w:pPr>
              <w:rPr>
                <w:rFonts w:ascii="Arial" w:eastAsia="Arial" w:hAnsi="Arial" w:cs="Arial"/>
              </w:rPr>
            </w:pPr>
            <w:r>
              <w:rPr>
                <w:rFonts w:ascii="Arial" w:eastAsia="Arial" w:hAnsi="Arial" w:cs="Arial"/>
              </w:rPr>
              <w:t xml:space="preserve"> </w:t>
            </w:r>
          </w:p>
          <w:p w14:paraId="3526112B" w14:textId="77777777" w:rsidR="007A7D1B" w:rsidRDefault="0032684D">
            <w:pPr>
              <w:rPr>
                <w:rFonts w:ascii="Arial" w:eastAsia="Arial" w:hAnsi="Arial" w:cs="Arial"/>
              </w:rPr>
            </w:pPr>
            <w:r>
              <w:rPr>
                <w:rFonts w:ascii="Arial" w:eastAsia="Arial" w:hAnsi="Arial" w:cs="Arial"/>
              </w:rPr>
              <w:t>No X</w:t>
            </w:r>
          </w:p>
        </w:tc>
      </w:tr>
    </w:tbl>
    <w:p w14:paraId="4FEFF85A" w14:textId="77777777" w:rsidR="007A7D1B" w:rsidRDefault="0032684D">
      <w:pPr>
        <w:jc w:val="center"/>
        <w:rPr>
          <w:rFonts w:ascii="Arial" w:eastAsia="Arial" w:hAnsi="Arial" w:cs="Arial"/>
          <w:color w:val="000000"/>
          <w:sz w:val="40"/>
          <w:szCs w:val="40"/>
        </w:rPr>
      </w:pPr>
      <w:r>
        <w:rPr>
          <w:rFonts w:ascii="Arial" w:eastAsia="Arial" w:hAnsi="Arial" w:cs="Arial"/>
          <w:b/>
          <w:smallCaps/>
          <w:color w:val="000000"/>
          <w:sz w:val="40"/>
          <w:szCs w:val="40"/>
        </w:rPr>
        <w:t>GUIDANCE FOR STUDENTS IN THE COMPLETION OF TASKS</w:t>
      </w:r>
    </w:p>
    <w:p w14:paraId="44177E6B" w14:textId="77777777" w:rsidR="007A7D1B" w:rsidRDefault="007A7D1B">
      <w:pPr>
        <w:jc w:val="both"/>
        <w:rPr>
          <w:rFonts w:ascii="Arial" w:eastAsia="Arial" w:hAnsi="Arial" w:cs="Arial"/>
          <w:color w:val="000000"/>
        </w:rPr>
      </w:pPr>
    </w:p>
    <w:p w14:paraId="5459B406" w14:textId="77777777" w:rsidR="007A7D1B" w:rsidRDefault="0032684D">
      <w:pPr>
        <w:jc w:val="both"/>
        <w:rPr>
          <w:rFonts w:ascii="Arial" w:eastAsia="Arial" w:hAnsi="Arial" w:cs="Arial"/>
          <w:color w:val="000000"/>
        </w:rPr>
      </w:pPr>
      <w:r>
        <w:rPr>
          <w:rFonts w:ascii="Arial" w:eastAsia="Arial" w:hAnsi="Arial" w:cs="Arial"/>
          <w:b/>
          <w:color w:val="000000"/>
        </w:rPr>
        <w:t>NOTE: The guidance offered below is linked to the five generic assessment criteria.</w:t>
      </w:r>
    </w:p>
    <w:p w14:paraId="105C2C44" w14:textId="77777777" w:rsidR="007A7D1B" w:rsidRDefault="0032684D">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Engagement with Literature Skills</w:t>
      </w:r>
    </w:p>
    <w:p w14:paraId="3B1AD743" w14:textId="77777777" w:rsidR="007A7D1B" w:rsidRDefault="0032684D">
      <w:pPr>
        <w:jc w:val="both"/>
        <w:rPr>
          <w:rFonts w:ascii="Arial" w:eastAsia="Arial" w:hAnsi="Arial" w:cs="Arial"/>
          <w:color w:val="000000"/>
        </w:rPr>
      </w:pPr>
      <w:r>
        <w:rPr>
          <w:rFonts w:ascii="Arial" w:eastAsia="Arial" w:hAnsi="Arial" w:cs="Arial"/>
          <w:color w:val="000000"/>
        </w:rPr>
        <w:t xml:space="preserve">Your work must be informed and supported by scholarly material that is </w:t>
      </w:r>
      <w:r>
        <w:rPr>
          <w:rFonts w:ascii="Arial" w:eastAsia="Arial" w:hAnsi="Arial" w:cs="Arial"/>
          <w:i/>
          <w:color w:val="000000"/>
        </w:rPr>
        <w:t>relevant</w:t>
      </w:r>
      <w:r>
        <w:rPr>
          <w:rFonts w:ascii="Arial" w:eastAsia="Arial" w:hAnsi="Arial" w:cs="Arial"/>
          <w:color w:val="000000"/>
        </w:rPr>
        <w:t xml:space="preserve"> to and </w:t>
      </w:r>
      <w:r>
        <w:rPr>
          <w:rFonts w:ascii="Arial" w:eastAsia="Arial" w:hAnsi="Arial" w:cs="Arial"/>
          <w:i/>
          <w:color w:val="000000"/>
        </w:rPr>
        <w:t>focused</w:t>
      </w:r>
      <w:r>
        <w:rPr>
          <w:rFonts w:ascii="Arial" w:eastAsia="Arial" w:hAnsi="Arial" w:cs="Arial"/>
          <w:color w:val="000000"/>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eastAsia="Arial" w:hAnsi="Arial" w:cs="Arial"/>
          <w:i/>
          <w:color w:val="000000"/>
        </w:rPr>
        <w:t>range</w:t>
      </w:r>
      <w:r>
        <w:rPr>
          <w:rFonts w:ascii="Arial" w:eastAsia="Arial" w:hAnsi="Arial" w:cs="Arial"/>
          <w:color w:val="000000"/>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color w:val="000000"/>
        </w:rPr>
        <w:t>credibility</w:t>
      </w:r>
      <w:r>
        <w:rPr>
          <w:rFonts w:ascii="Arial" w:eastAsia="Arial" w:hAnsi="Arial" w:cs="Arial"/>
          <w:color w:val="00000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color w:val="000000"/>
        </w:rPr>
        <w:t>evidence</w:t>
      </w:r>
      <w:r>
        <w:rPr>
          <w:rFonts w:ascii="Arial" w:eastAsia="Arial" w:hAnsi="Arial" w:cs="Arial"/>
          <w:color w:val="000000"/>
        </w:rPr>
        <w:t xml:space="preserve"> of your research/own reading throughout your work, using a suitable referencing system, including in-text citations in the main body of your work and a reference list at the end of your work. </w:t>
      </w:r>
    </w:p>
    <w:p w14:paraId="0FC105C7" w14:textId="77777777" w:rsidR="007A7D1B" w:rsidRDefault="0032684D">
      <w:pPr>
        <w:jc w:val="both"/>
        <w:rPr>
          <w:rFonts w:ascii="Arial" w:eastAsia="Arial" w:hAnsi="Arial" w:cs="Arial"/>
          <w:color w:val="00000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At level 6 you should be reading extensively on the subject area, your sources should be reliable. Try to limit the quantity of journalistic sources you use and, instead include peer reviewed journal articles or academic sources. The Universities library is 90% available on-line this allows you to access journals through the library, make use of this to gain good grades</w:t>
      </w:r>
      <w:r>
        <w:rPr>
          <w:rFonts w:ascii="Arial" w:eastAsia="Arial" w:hAnsi="Arial" w:cs="Arial"/>
          <w:i/>
          <w:color w:val="000000"/>
        </w:rPr>
        <w:t xml:space="preserve">. </w:t>
      </w:r>
      <w:r>
        <w:rPr>
          <w:rFonts w:ascii="Arial" w:eastAsia="Arial" w:hAnsi="Arial" w:cs="Arial"/>
          <w:color w:val="000000"/>
        </w:rPr>
        <w:t xml:space="preserve"> </w:t>
      </w:r>
    </w:p>
    <w:p w14:paraId="7B074E00" w14:textId="77777777" w:rsidR="007A7D1B" w:rsidRDefault="0032684D">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lastRenderedPageBreak/>
        <w:t>Knowledge and Understanding Skills</w:t>
      </w:r>
    </w:p>
    <w:p w14:paraId="6248445E" w14:textId="77777777" w:rsidR="007A7D1B" w:rsidRDefault="0032684D">
      <w:pPr>
        <w:jc w:val="both"/>
        <w:rPr>
          <w:rFonts w:ascii="Times New Roman" w:eastAsia="Times New Roman" w:hAnsi="Times New Roman" w:cs="Times New Roman"/>
          <w:color w:val="000000"/>
          <w:sz w:val="20"/>
          <w:szCs w:val="20"/>
        </w:rPr>
      </w:pPr>
      <w:r>
        <w:rPr>
          <w:rFonts w:ascii="Arial" w:eastAsia="Arial" w:hAnsi="Arial" w:cs="Arial"/>
          <w:color w:val="000000"/>
        </w:rPr>
        <w:t>At level 6, you should be able to demonstrate</w:t>
      </w:r>
      <w:r>
        <w:rPr>
          <w:rFonts w:ascii="Times New Roman" w:eastAsia="Times New Roman" w:hAnsi="Times New Roman" w:cs="Times New Roman"/>
          <w:color w:val="000000"/>
          <w:sz w:val="20"/>
          <w:szCs w:val="20"/>
        </w:rPr>
        <w:t xml:space="preserve"> </w:t>
      </w:r>
      <w:r>
        <w:rPr>
          <w:rFonts w:ascii="Arial" w:eastAsia="Arial" w:hAnsi="Arial" w:cs="Arial"/>
          <w:color w:val="000000"/>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eastAsia="Arial" w:hAnsi="Arial" w:cs="Arial"/>
          <w:i/>
          <w:color w:val="000000"/>
        </w:rPr>
        <w:t>Knowledge</w:t>
      </w:r>
      <w:r>
        <w:rPr>
          <w:rFonts w:ascii="Arial" w:eastAsia="Arial" w:hAnsi="Arial" w:cs="Arial"/>
          <w:color w:val="000000"/>
        </w:rPr>
        <w:t xml:space="preserve"> relates to the facts, information and skills you have acquired through your learning.  You demonstrate your </w:t>
      </w:r>
      <w:r>
        <w:rPr>
          <w:rFonts w:ascii="Arial" w:eastAsia="Arial" w:hAnsi="Arial" w:cs="Arial"/>
          <w:i/>
          <w:color w:val="000000"/>
        </w:rPr>
        <w:t>understanding</w:t>
      </w:r>
      <w:r>
        <w:rPr>
          <w:rFonts w:ascii="Arial" w:eastAsia="Arial" w:hAnsi="Arial" w:cs="Arial"/>
          <w:color w:val="00000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color w:val="000000"/>
        </w:rPr>
        <w:t>extent</w:t>
      </w:r>
      <w:r>
        <w:rPr>
          <w:rFonts w:ascii="Arial" w:eastAsia="Arial" w:hAnsi="Arial" w:cs="Arial"/>
          <w:color w:val="000000"/>
        </w:rPr>
        <w:t xml:space="preserve"> to which you demonstrate your knowledge and understanding; ideally each should be complete and detailed, with comprehensive coverage.</w:t>
      </w:r>
      <w:r>
        <w:rPr>
          <w:rFonts w:ascii="Times New Roman" w:eastAsia="Times New Roman" w:hAnsi="Times New Roman" w:cs="Times New Roman"/>
          <w:color w:val="000000"/>
          <w:sz w:val="20"/>
          <w:szCs w:val="20"/>
        </w:rPr>
        <w:t xml:space="preserve"> </w:t>
      </w:r>
    </w:p>
    <w:p w14:paraId="0973B96C" w14:textId="77777777" w:rsidR="007A7D1B" w:rsidRDefault="0032684D">
      <w:pPr>
        <w:jc w:val="both"/>
        <w:rPr>
          <w:rFonts w:ascii="Arial" w:eastAsia="Arial" w:hAnsi="Arial" w:cs="Arial"/>
          <w:color w:val="00000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You should read to build your knowledge base on the subject using lectures as a basis for learning, if you do not understand an element of the teaching make an appointment to speak to your lecturer. Attendance is key to develop your knowledge and understanding</w:t>
      </w:r>
      <w:r>
        <w:rPr>
          <w:rFonts w:ascii="Arial" w:eastAsia="Arial" w:hAnsi="Arial" w:cs="Arial"/>
          <w:i/>
          <w:color w:val="000000"/>
        </w:rPr>
        <w:t xml:space="preserve">. </w:t>
      </w:r>
    </w:p>
    <w:p w14:paraId="379D0D98" w14:textId="77777777" w:rsidR="007A7D1B" w:rsidRDefault="007A7D1B">
      <w:pPr>
        <w:jc w:val="both"/>
        <w:rPr>
          <w:rFonts w:ascii="Arial" w:eastAsia="Arial" w:hAnsi="Arial" w:cs="Arial"/>
          <w:i/>
          <w:color w:val="000000"/>
        </w:rPr>
      </w:pPr>
    </w:p>
    <w:p w14:paraId="1F1F6440" w14:textId="77777777" w:rsidR="007A7D1B" w:rsidRDefault="007A7D1B">
      <w:pPr>
        <w:jc w:val="both"/>
        <w:rPr>
          <w:rFonts w:ascii="Arial" w:eastAsia="Arial" w:hAnsi="Arial" w:cs="Arial"/>
          <w:i/>
          <w:color w:val="000000"/>
        </w:rPr>
      </w:pPr>
    </w:p>
    <w:p w14:paraId="1255B189" w14:textId="77777777" w:rsidR="007A7D1B" w:rsidRDefault="0032684D">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Cognitive and Intellectual Skills</w:t>
      </w:r>
    </w:p>
    <w:p w14:paraId="7C8896C7" w14:textId="77777777" w:rsidR="007A7D1B" w:rsidRDefault="0032684D">
      <w:pPr>
        <w:jc w:val="both"/>
        <w:rPr>
          <w:rFonts w:ascii="Arial" w:eastAsia="Arial" w:hAnsi="Arial" w:cs="Arial"/>
          <w:color w:val="000000"/>
        </w:rPr>
      </w:pPr>
      <w:r>
        <w:rPr>
          <w:rFonts w:ascii="Arial" w:eastAsia="Arial" w:hAnsi="Arial" w:cs="Arial"/>
          <w:color w:val="000000"/>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Pr>
          <w:rFonts w:ascii="Arial" w:eastAsia="Arial" w:hAnsi="Arial" w:cs="Arial"/>
          <w:color w:val="000000"/>
        </w:rPr>
        <w:t>compare and contrast</w:t>
      </w:r>
      <w:proofErr w:type="gramEnd"/>
      <w:r>
        <w:rPr>
          <w:rFonts w:ascii="Arial" w:eastAsia="Arial" w:hAnsi="Arial" w:cs="Arial"/>
          <w:color w:val="000000"/>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1F0D5179" w14:textId="77777777" w:rsidR="007A7D1B" w:rsidRDefault="0032684D">
      <w:pPr>
        <w:jc w:val="both"/>
        <w:rPr>
          <w:rFonts w:ascii="Arial" w:eastAsia="Arial" w:hAnsi="Arial" w:cs="Arial"/>
          <w:color w:val="0070C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 xml:space="preserve">Avoid descriptive accounts of subject areas, you should at this level be discussing and arguing points, do not try to discuss too many points, select an area of study and then analyse and discuss this area.  </w:t>
      </w:r>
      <w:r>
        <w:rPr>
          <w:rFonts w:ascii="Arial" w:eastAsia="Arial" w:hAnsi="Arial" w:cs="Arial"/>
          <w:color w:val="0070C0"/>
        </w:rPr>
        <w:t xml:space="preserve"> </w:t>
      </w:r>
    </w:p>
    <w:p w14:paraId="5CFB4820" w14:textId="77777777" w:rsidR="007A7D1B" w:rsidRDefault="0032684D">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Practical Skills</w:t>
      </w:r>
    </w:p>
    <w:p w14:paraId="2F0AE42B" w14:textId="77777777" w:rsidR="007A7D1B" w:rsidRDefault="0032684D">
      <w:pPr>
        <w:jc w:val="both"/>
        <w:rPr>
          <w:rFonts w:ascii="Arial" w:eastAsia="Arial" w:hAnsi="Arial" w:cs="Arial"/>
          <w:color w:val="000000"/>
        </w:rPr>
      </w:pPr>
      <w:r>
        <w:rPr>
          <w:rFonts w:ascii="Arial" w:eastAsia="Arial" w:hAnsi="Arial" w:cs="Arial"/>
          <w:color w:val="000000"/>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w:t>
      </w:r>
      <w:r>
        <w:rPr>
          <w:rFonts w:ascii="Arial" w:eastAsia="Arial" w:hAnsi="Arial" w:cs="Arial"/>
          <w:color w:val="000000"/>
        </w:rPr>
        <w:lastRenderedPageBreak/>
        <w:t xml:space="preserve">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eastAsia="Arial" w:hAnsi="Arial" w:cs="Arial"/>
          <w:color w:val="000000"/>
        </w:rPr>
        <w:t>real world</w:t>
      </w:r>
      <w:proofErr w:type="gramEnd"/>
      <w:r>
        <w:rPr>
          <w:rFonts w:ascii="Arial" w:eastAsia="Arial" w:hAnsi="Arial" w:cs="Arial"/>
          <w:color w:val="000000"/>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FE018B7" w14:textId="77777777" w:rsidR="007A7D1B" w:rsidRDefault="0032684D">
      <w:pPr>
        <w:jc w:val="both"/>
        <w:rPr>
          <w:rFonts w:ascii="Arial" w:eastAsia="Arial" w:hAnsi="Arial" w:cs="Arial"/>
          <w:color w:val="0070C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sz w:val="24"/>
          <w:szCs w:val="24"/>
        </w:rPr>
        <w:t xml:space="preserve">Put into practice what you have learned in Academic skills to structure your work so that it flows from one logical argument to the next using ‘linking’ words and sentences. Demonstrate you effective referencing skills. </w:t>
      </w:r>
      <w:r>
        <w:rPr>
          <w:rFonts w:ascii="Arial" w:eastAsia="Arial" w:hAnsi="Arial" w:cs="Arial"/>
          <w:color w:val="0070C0"/>
        </w:rPr>
        <w:t xml:space="preserve"> </w:t>
      </w:r>
    </w:p>
    <w:p w14:paraId="63210F2D" w14:textId="77777777" w:rsidR="007A7D1B" w:rsidRDefault="007A7D1B">
      <w:pPr>
        <w:jc w:val="both"/>
        <w:rPr>
          <w:rFonts w:ascii="Arial" w:eastAsia="Arial" w:hAnsi="Arial" w:cs="Arial"/>
          <w:color w:val="000000"/>
        </w:rPr>
      </w:pPr>
    </w:p>
    <w:p w14:paraId="0650245E" w14:textId="77777777" w:rsidR="007A7D1B" w:rsidRDefault="007A7D1B">
      <w:pPr>
        <w:jc w:val="both"/>
        <w:rPr>
          <w:rFonts w:ascii="Arial" w:eastAsia="Arial" w:hAnsi="Arial" w:cs="Arial"/>
          <w:color w:val="000000"/>
        </w:rPr>
      </w:pPr>
    </w:p>
    <w:p w14:paraId="4B8FD6A8" w14:textId="77777777" w:rsidR="007A7D1B" w:rsidRDefault="007A7D1B">
      <w:pPr>
        <w:jc w:val="both"/>
        <w:rPr>
          <w:rFonts w:ascii="Arial" w:eastAsia="Arial" w:hAnsi="Arial" w:cs="Arial"/>
          <w:color w:val="000000"/>
        </w:rPr>
      </w:pPr>
    </w:p>
    <w:p w14:paraId="682AC0D2" w14:textId="77777777" w:rsidR="007A7D1B" w:rsidRDefault="007A7D1B">
      <w:pPr>
        <w:jc w:val="both"/>
        <w:rPr>
          <w:rFonts w:ascii="Arial" w:eastAsia="Arial" w:hAnsi="Arial" w:cs="Arial"/>
          <w:color w:val="000000"/>
        </w:rPr>
      </w:pPr>
    </w:p>
    <w:p w14:paraId="4B3437AB" w14:textId="77777777" w:rsidR="007A7D1B" w:rsidRDefault="007A7D1B">
      <w:pPr>
        <w:jc w:val="both"/>
        <w:rPr>
          <w:rFonts w:ascii="Arial" w:eastAsia="Arial" w:hAnsi="Arial" w:cs="Arial"/>
          <w:color w:val="000000"/>
        </w:rPr>
      </w:pPr>
    </w:p>
    <w:p w14:paraId="2D486CDF" w14:textId="77777777" w:rsidR="007A7D1B" w:rsidRDefault="0032684D">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 xml:space="preserve">Transferable Skills for Life and Professional Practice </w:t>
      </w:r>
    </w:p>
    <w:p w14:paraId="4E856101" w14:textId="77777777" w:rsidR="007A7D1B" w:rsidRDefault="0032684D">
      <w:pPr>
        <w:jc w:val="both"/>
        <w:rPr>
          <w:rFonts w:ascii="Arial" w:eastAsia="Arial" w:hAnsi="Arial" w:cs="Arial"/>
          <w:color w:val="000000"/>
        </w:rPr>
      </w:pPr>
      <w:r>
        <w:rPr>
          <w:rFonts w:ascii="Arial" w:eastAsia="Arial" w:hAnsi="Arial" w:cs="Arial"/>
          <w:color w:val="000000"/>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DE753D4" w14:textId="77777777" w:rsidR="007A7D1B" w:rsidRDefault="0032684D">
      <w:pPr>
        <w:jc w:val="both"/>
        <w:rPr>
          <w:rFonts w:ascii="Arial" w:eastAsia="Arial" w:hAnsi="Arial" w:cs="Arial"/>
          <w:color w:val="000000"/>
        </w:rPr>
      </w:pPr>
      <w:r>
        <w:rPr>
          <w:rFonts w:ascii="Arial" w:eastAsia="Arial" w:hAnsi="Arial" w:cs="Arial"/>
          <w:b/>
          <w:i/>
          <w:color w:val="000000"/>
        </w:rPr>
        <w:t>Guidance specific to this assessment:</w:t>
      </w:r>
      <w:r>
        <w:rPr>
          <w:rFonts w:ascii="Arial" w:eastAsia="Arial" w:hAnsi="Arial" w:cs="Arial"/>
          <w:i/>
          <w:color w:val="000000"/>
        </w:rPr>
        <w:t xml:space="preserve"> </w:t>
      </w:r>
    </w:p>
    <w:p w14:paraId="5E87DE81" w14:textId="77777777" w:rsidR="007A7D1B" w:rsidRDefault="007A7D1B">
      <w:pPr>
        <w:jc w:val="both"/>
        <w:rPr>
          <w:rFonts w:ascii="Arial" w:eastAsia="Arial" w:hAnsi="Arial" w:cs="Arial"/>
          <w:color w:val="000000"/>
        </w:rPr>
      </w:pPr>
    </w:p>
    <w:p w14:paraId="1D6FE9AF" w14:textId="77777777" w:rsidR="007A7D1B" w:rsidRDefault="007A7D1B">
      <w:pPr>
        <w:jc w:val="both"/>
        <w:rPr>
          <w:rFonts w:ascii="Arial" w:eastAsia="Arial" w:hAnsi="Arial" w:cs="Arial"/>
          <w:color w:val="000000"/>
        </w:rPr>
      </w:pPr>
    </w:p>
    <w:p w14:paraId="6964AAD9" w14:textId="77777777" w:rsidR="007A7D1B" w:rsidRDefault="007A7D1B">
      <w:pPr>
        <w:jc w:val="both"/>
        <w:rPr>
          <w:rFonts w:ascii="Arial" w:eastAsia="Arial" w:hAnsi="Arial" w:cs="Arial"/>
          <w:color w:val="000000"/>
        </w:rPr>
      </w:pPr>
    </w:p>
    <w:p w14:paraId="55FB4396" w14:textId="77777777" w:rsidR="007A7D1B" w:rsidRDefault="007A7D1B">
      <w:pPr>
        <w:jc w:val="both"/>
        <w:rPr>
          <w:rFonts w:ascii="Arial" w:eastAsia="Arial" w:hAnsi="Arial" w:cs="Arial"/>
          <w:color w:val="000000"/>
        </w:rPr>
      </w:pPr>
    </w:p>
    <w:p w14:paraId="235CBBE4" w14:textId="77777777" w:rsidR="007A7D1B" w:rsidRDefault="007A7D1B">
      <w:pPr>
        <w:jc w:val="both"/>
        <w:rPr>
          <w:rFonts w:ascii="Arial" w:eastAsia="Arial" w:hAnsi="Arial" w:cs="Arial"/>
          <w:color w:val="000000"/>
        </w:rPr>
      </w:pPr>
    </w:p>
    <w:p w14:paraId="37A0F0F8" w14:textId="77777777" w:rsidR="007A7D1B" w:rsidRDefault="007A7D1B">
      <w:pPr>
        <w:jc w:val="both"/>
        <w:rPr>
          <w:rFonts w:ascii="Arial" w:eastAsia="Arial" w:hAnsi="Arial" w:cs="Arial"/>
          <w:color w:val="000000"/>
        </w:rPr>
      </w:pPr>
    </w:p>
    <w:p w14:paraId="34493D73" w14:textId="77777777" w:rsidR="007A7D1B" w:rsidRDefault="007A7D1B">
      <w:pPr>
        <w:jc w:val="both"/>
        <w:rPr>
          <w:rFonts w:ascii="Arial" w:eastAsia="Arial" w:hAnsi="Arial" w:cs="Arial"/>
          <w:color w:val="000000"/>
        </w:rPr>
      </w:pPr>
    </w:p>
    <w:p w14:paraId="78C73912" w14:textId="77777777" w:rsidR="007A7D1B" w:rsidRDefault="007A7D1B">
      <w:pPr>
        <w:jc w:val="both"/>
        <w:rPr>
          <w:rFonts w:ascii="Arial" w:eastAsia="Arial" w:hAnsi="Arial" w:cs="Arial"/>
          <w:color w:val="000000"/>
        </w:rPr>
      </w:pPr>
    </w:p>
    <w:p w14:paraId="0DE54EA5" w14:textId="77777777" w:rsidR="007A7D1B" w:rsidRDefault="007A7D1B">
      <w:pPr>
        <w:jc w:val="both"/>
        <w:rPr>
          <w:rFonts w:ascii="Arial" w:eastAsia="Arial" w:hAnsi="Arial" w:cs="Arial"/>
          <w:color w:val="000000"/>
        </w:rPr>
      </w:pPr>
    </w:p>
    <w:p w14:paraId="3106C105" w14:textId="77777777" w:rsidR="007A7D1B" w:rsidRDefault="007A7D1B">
      <w:pPr>
        <w:jc w:val="both"/>
        <w:rPr>
          <w:rFonts w:ascii="Arial" w:eastAsia="Arial" w:hAnsi="Arial" w:cs="Arial"/>
          <w:color w:val="000000"/>
        </w:rPr>
      </w:pPr>
    </w:p>
    <w:p w14:paraId="6B27B5AE" w14:textId="77777777" w:rsidR="007A7D1B" w:rsidRDefault="007A7D1B">
      <w:pPr>
        <w:jc w:val="both"/>
        <w:rPr>
          <w:rFonts w:ascii="Arial" w:eastAsia="Arial" w:hAnsi="Arial" w:cs="Arial"/>
          <w:color w:val="000000"/>
        </w:rPr>
      </w:pPr>
    </w:p>
    <w:p w14:paraId="6D71BE62" w14:textId="77777777" w:rsidR="007A7D1B" w:rsidRDefault="007A7D1B">
      <w:pPr>
        <w:jc w:val="both"/>
        <w:rPr>
          <w:rFonts w:ascii="Arial" w:eastAsia="Arial" w:hAnsi="Arial" w:cs="Arial"/>
          <w:color w:val="000000"/>
        </w:rPr>
      </w:pPr>
    </w:p>
    <w:p w14:paraId="3FA19E47" w14:textId="77777777" w:rsidR="007A7D1B" w:rsidRDefault="007A7D1B">
      <w:pPr>
        <w:jc w:val="both"/>
        <w:rPr>
          <w:rFonts w:ascii="Arial" w:eastAsia="Arial" w:hAnsi="Arial" w:cs="Arial"/>
          <w:color w:val="000000"/>
        </w:rPr>
      </w:pPr>
    </w:p>
    <w:p w14:paraId="3641DA31" w14:textId="77777777" w:rsidR="007A7D1B" w:rsidRDefault="007A7D1B">
      <w:pPr>
        <w:jc w:val="both"/>
        <w:rPr>
          <w:rFonts w:ascii="Arial" w:eastAsia="Arial" w:hAnsi="Arial" w:cs="Arial"/>
          <w:color w:val="000000"/>
        </w:rPr>
      </w:pPr>
    </w:p>
    <w:p w14:paraId="175C5FD2" w14:textId="77777777" w:rsidR="007A7D1B" w:rsidRDefault="007A7D1B">
      <w:pPr>
        <w:jc w:val="both"/>
        <w:rPr>
          <w:rFonts w:ascii="Arial" w:eastAsia="Arial" w:hAnsi="Arial" w:cs="Arial"/>
          <w:color w:val="000000"/>
        </w:rPr>
      </w:pPr>
    </w:p>
    <w:p w14:paraId="4DD4C2D8" w14:textId="77777777" w:rsidR="007A7D1B" w:rsidRDefault="007A7D1B">
      <w:pPr>
        <w:jc w:val="both"/>
        <w:rPr>
          <w:rFonts w:ascii="Arial" w:eastAsia="Arial" w:hAnsi="Arial" w:cs="Arial"/>
          <w:color w:val="000000"/>
        </w:rPr>
      </w:pPr>
    </w:p>
    <w:p w14:paraId="7643C436" w14:textId="77777777" w:rsidR="007A7D1B" w:rsidRDefault="007A7D1B">
      <w:pPr>
        <w:jc w:val="both"/>
        <w:rPr>
          <w:rFonts w:ascii="Arial" w:eastAsia="Arial" w:hAnsi="Arial" w:cs="Arial"/>
          <w:color w:val="000000"/>
        </w:rPr>
      </w:pPr>
    </w:p>
    <w:p w14:paraId="20CB5377" w14:textId="77777777" w:rsidR="007A7D1B" w:rsidRDefault="007A7D1B">
      <w:pPr>
        <w:jc w:val="both"/>
        <w:rPr>
          <w:rFonts w:ascii="Arial" w:eastAsia="Arial" w:hAnsi="Arial" w:cs="Arial"/>
          <w:color w:val="000000"/>
        </w:rPr>
      </w:pPr>
    </w:p>
    <w:p w14:paraId="334DBBD8" w14:textId="77777777" w:rsidR="007A7D1B" w:rsidRDefault="007A7D1B">
      <w:pPr>
        <w:jc w:val="both"/>
        <w:rPr>
          <w:rFonts w:ascii="Arial" w:eastAsia="Arial" w:hAnsi="Arial" w:cs="Arial"/>
          <w:color w:val="000000"/>
        </w:rPr>
      </w:pPr>
    </w:p>
    <w:p w14:paraId="482C2F7A" w14:textId="77777777" w:rsidR="007A7D1B" w:rsidRDefault="007A7D1B">
      <w:pPr>
        <w:jc w:val="both"/>
        <w:rPr>
          <w:rFonts w:ascii="Arial" w:eastAsia="Arial" w:hAnsi="Arial" w:cs="Arial"/>
          <w:color w:val="000000"/>
        </w:rPr>
      </w:pPr>
    </w:p>
    <w:p w14:paraId="62262546" w14:textId="77777777" w:rsidR="007A7D1B" w:rsidRDefault="007A7D1B">
      <w:pPr>
        <w:jc w:val="both"/>
        <w:rPr>
          <w:rFonts w:ascii="Arial" w:eastAsia="Arial" w:hAnsi="Arial" w:cs="Arial"/>
          <w:color w:val="000000"/>
        </w:rPr>
      </w:pPr>
    </w:p>
    <w:p w14:paraId="6C70D2FB" w14:textId="77777777" w:rsidR="007A7D1B" w:rsidRDefault="007A7D1B">
      <w:pPr>
        <w:jc w:val="both"/>
        <w:rPr>
          <w:rFonts w:ascii="Arial" w:eastAsia="Arial" w:hAnsi="Arial" w:cs="Arial"/>
          <w:color w:val="000000"/>
        </w:rPr>
      </w:pPr>
    </w:p>
    <w:p w14:paraId="3F5ADE3F" w14:textId="77777777" w:rsidR="007A7D1B" w:rsidRDefault="007A7D1B">
      <w:pPr>
        <w:jc w:val="both"/>
        <w:rPr>
          <w:rFonts w:ascii="Arial" w:eastAsia="Arial" w:hAnsi="Arial" w:cs="Arial"/>
          <w:color w:val="000000"/>
        </w:rPr>
      </w:pPr>
    </w:p>
    <w:p w14:paraId="1C0CE27E" w14:textId="77777777" w:rsidR="007A7D1B" w:rsidRDefault="007A7D1B">
      <w:pPr>
        <w:jc w:val="both"/>
        <w:rPr>
          <w:rFonts w:ascii="Arial" w:eastAsia="Arial" w:hAnsi="Arial" w:cs="Arial"/>
          <w:color w:val="000000"/>
        </w:rPr>
      </w:pPr>
    </w:p>
    <w:p w14:paraId="3559B9D1" w14:textId="77777777" w:rsidR="007A7D1B" w:rsidRDefault="0032684D">
      <w:pPr>
        <w:jc w:val="both"/>
        <w:rPr>
          <w:rFonts w:ascii="Arial" w:eastAsia="Arial" w:hAnsi="Arial" w:cs="Arial"/>
          <w:color w:val="000000"/>
        </w:rPr>
      </w:pPr>
      <w:r>
        <w:rPr>
          <w:rFonts w:ascii="Arial" w:eastAsia="Arial" w:hAnsi="Arial" w:cs="Arial"/>
          <w:color w:val="000000"/>
        </w:rPr>
        <w:t xml:space="preserve">Marking Criteria: </w:t>
      </w:r>
    </w:p>
    <w:p w14:paraId="4E3A49B0" w14:textId="77777777" w:rsidR="007A7D1B" w:rsidRDefault="0032684D">
      <w:pPr>
        <w:spacing w:before="100" w:after="100"/>
        <w:rPr>
          <w:rFonts w:ascii="Arial" w:eastAsia="Arial" w:hAnsi="Arial" w:cs="Arial"/>
          <w:color w:val="303B44"/>
        </w:rPr>
      </w:pPr>
      <w:r>
        <w:rPr>
          <w:rFonts w:ascii="Arial" w:eastAsia="Arial" w:hAnsi="Arial" w:cs="Arial"/>
          <w:b/>
          <w:color w:val="303B44"/>
        </w:rPr>
        <w:t>GENERIC ASSESSMENT CRITERIA – Level 6</w:t>
      </w:r>
    </w:p>
    <w:p w14:paraId="2D29B8B5" w14:textId="77777777" w:rsidR="007A7D1B" w:rsidRDefault="007A7D1B">
      <w:pPr>
        <w:spacing w:before="100" w:after="100"/>
        <w:rPr>
          <w:rFonts w:ascii="Arial" w:eastAsia="Arial" w:hAnsi="Arial" w:cs="Arial"/>
          <w:color w:val="303B44"/>
        </w:rPr>
      </w:pPr>
    </w:p>
    <w:tbl>
      <w:tblPr>
        <w:tblStyle w:val="a7"/>
        <w:tblW w:w="9015"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9015"/>
      </w:tblGrid>
      <w:tr w:rsidR="007A7D1B" w14:paraId="72A5C0F9" w14:textId="77777777">
        <w:trPr>
          <w:trHeight w:val="300"/>
        </w:trPr>
        <w:tc>
          <w:tcPr>
            <w:tcW w:w="9015" w:type="dxa"/>
            <w:shd w:val="clear" w:color="auto" w:fill="C2D69B"/>
            <w:tcMar>
              <w:left w:w="105" w:type="dxa"/>
              <w:right w:w="105" w:type="dxa"/>
            </w:tcMar>
          </w:tcPr>
          <w:p w14:paraId="349FD471" w14:textId="77777777" w:rsidR="007A7D1B" w:rsidRDefault="0032684D">
            <w:pPr>
              <w:rPr>
                <w:rFonts w:ascii="Arial" w:eastAsia="Arial" w:hAnsi="Arial" w:cs="Arial"/>
                <w:sz w:val="20"/>
                <w:szCs w:val="20"/>
              </w:rPr>
            </w:pPr>
            <w:r>
              <w:rPr>
                <w:rFonts w:ascii="Arial" w:eastAsia="Arial" w:hAnsi="Arial" w:cs="Arial"/>
                <w:b/>
                <w:sz w:val="20"/>
                <w:szCs w:val="20"/>
              </w:rPr>
              <w:t>Level 6</w:t>
            </w:r>
          </w:p>
        </w:tc>
      </w:tr>
      <w:tr w:rsidR="007A7D1B" w14:paraId="16A6FB5A" w14:textId="77777777">
        <w:trPr>
          <w:trHeight w:val="300"/>
        </w:trPr>
        <w:tc>
          <w:tcPr>
            <w:tcW w:w="9015" w:type="dxa"/>
            <w:shd w:val="clear" w:color="auto" w:fill="EAF1DD"/>
            <w:tcMar>
              <w:left w:w="105" w:type="dxa"/>
              <w:right w:w="105" w:type="dxa"/>
            </w:tcMar>
          </w:tcPr>
          <w:p w14:paraId="5BE90D10" w14:textId="77777777" w:rsidR="007A7D1B" w:rsidRDefault="0032684D">
            <w:pPr>
              <w:rPr>
                <w:rFonts w:ascii="Arial" w:eastAsia="Arial" w:hAnsi="Arial" w:cs="Arial"/>
                <w:sz w:val="20"/>
                <w:szCs w:val="20"/>
              </w:rPr>
            </w:pPr>
            <w:r>
              <w:rPr>
                <w:rFonts w:ascii="Arial" w:eastAsia="Arial" w:hAnsi="Arial" w:cs="Arial"/>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F056BB0" w14:textId="77777777" w:rsidR="007A7D1B" w:rsidRDefault="007A7D1B">
      <w:pPr>
        <w:jc w:val="both"/>
        <w:rPr>
          <w:rFonts w:ascii="Arial" w:eastAsia="Arial" w:hAnsi="Arial" w:cs="Arial"/>
          <w:color w:val="000000"/>
        </w:rPr>
      </w:pPr>
    </w:p>
    <w:p w14:paraId="2E00F70F" w14:textId="77777777" w:rsidR="007A7D1B" w:rsidRDefault="0032684D">
      <w:pPr>
        <w:rPr>
          <w:rFonts w:ascii="Arial" w:eastAsia="Arial" w:hAnsi="Arial" w:cs="Arial"/>
          <w:sz w:val="24"/>
          <w:szCs w:val="24"/>
        </w:rPr>
      </w:pPr>
      <w:r>
        <w:rPr>
          <w:rFonts w:ascii="Arial" w:eastAsia="Arial" w:hAnsi="Arial" w:cs="Arial"/>
          <w:sz w:val="24"/>
          <w:szCs w:val="24"/>
        </w:rPr>
        <w:t>A copy of the Level 6 marking criteria can be found on Moodle</w:t>
      </w:r>
    </w:p>
    <w:p w14:paraId="7612D629" w14:textId="77777777" w:rsidR="007A7D1B" w:rsidRDefault="007A7D1B">
      <w:pPr>
        <w:spacing w:before="240" w:after="60"/>
        <w:ind w:right="237"/>
        <w:jc w:val="both"/>
        <w:rPr>
          <w:rFonts w:ascii="Arial" w:eastAsia="Arial" w:hAnsi="Arial" w:cs="Arial"/>
          <w:color w:val="000000"/>
          <w:sz w:val="24"/>
          <w:szCs w:val="24"/>
        </w:rPr>
      </w:pPr>
    </w:p>
    <w:p w14:paraId="4BAEC952" w14:textId="77777777" w:rsidR="007A7D1B" w:rsidRDefault="007A7D1B">
      <w:pPr>
        <w:rPr>
          <w:rFonts w:ascii="Arial" w:eastAsia="Arial" w:hAnsi="Arial" w:cs="Arial"/>
          <w:b/>
          <w:sz w:val="28"/>
          <w:szCs w:val="28"/>
        </w:rPr>
      </w:pPr>
    </w:p>
    <w:sectPr w:rsidR="007A7D1B">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7BE08C49-0187-486D-A481-DEA9CF569FB2}"/>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D4E0023D-B691-4DA6-8717-6F85335B8268}"/>
    <w:embedBold r:id="rId3" w:fontKey="{8369AC06-EDAA-4044-9919-CD82AB9DBB67}"/>
  </w:font>
  <w:font w:name="Georgia">
    <w:panose1 w:val="02040502050405020303"/>
    <w:charset w:val="00"/>
    <w:family w:val="roman"/>
    <w:pitch w:val="variable"/>
    <w:sig w:usb0="00000287" w:usb1="00000000" w:usb2="00000000" w:usb3="00000000" w:csb0="0000009F" w:csb1="00000000"/>
    <w:embedRegular r:id="rId4" w:fontKey="{49772FAF-B358-44C4-9C4C-7DD5F2B2ACD1}"/>
    <w:embedItalic r:id="rId5" w:fontKey="{DE9B99B5-7EC9-4461-984E-9595B600BBB8}"/>
  </w:font>
  <w:font w:name="Aptos">
    <w:charset w:val="00"/>
    <w:family w:val="swiss"/>
    <w:pitch w:val="variable"/>
    <w:sig w:usb0="20000287" w:usb1="00000003" w:usb2="00000000" w:usb3="00000000" w:csb0="0000019F" w:csb1="00000000"/>
    <w:embedRegular r:id="rId6" w:fontKey="{5C99EF8D-36C4-4752-A624-CA062999D7D3}"/>
    <w:embedBold r:id="rId7" w:fontKey="{0502AE21-C19D-431E-AB31-4999E7C0CB15}"/>
    <w:embedItalic r:id="rId8" w:fontKey="{01861536-D4B2-4A14-8921-7BB64490516C}"/>
  </w:font>
  <w:font w:name="Segoe UI">
    <w:panose1 w:val="020B0502040204020203"/>
    <w:charset w:val="00"/>
    <w:family w:val="swiss"/>
    <w:pitch w:val="variable"/>
    <w:sig w:usb0="E4002EFF" w:usb1="C000E47F" w:usb2="00000009" w:usb3="00000000" w:csb0="000001FF" w:csb1="00000000"/>
    <w:embedRegular r:id="rId9" w:fontKey="{89638029-1832-4DCC-8A32-8A0138B535B9}"/>
    <w:embedBold r:id="rId10" w:fontKey="{95D00F18-FB8F-4B38-B865-7B297EEA58AC}"/>
    <w:embedItalic r:id="rId11" w:fontKey="{26F9BC6B-DE90-4C3B-9A93-021C953853FD}"/>
  </w:font>
  <w:font w:name="MS Gothic">
    <w:altName w:val="ＭＳ ゴシック"/>
    <w:panose1 w:val="020B0609070205080204"/>
    <w:charset w:val="80"/>
    <w:family w:val="modern"/>
    <w:pitch w:val="fixed"/>
    <w:sig w:usb0="E00002FF" w:usb1="6AC7FDFB" w:usb2="08000012" w:usb3="00000000" w:csb0="0002009F" w:csb1="00000000"/>
    <w:embedRegular r:id="rId12" w:subsetted="1" w:fontKey="{D6C2B6D4-37C7-48FE-9137-628A61635D27}"/>
  </w:font>
  <w:font w:name="Calibri Light">
    <w:panose1 w:val="020F0302020204030204"/>
    <w:charset w:val="00"/>
    <w:family w:val="swiss"/>
    <w:pitch w:val="variable"/>
    <w:sig w:usb0="E4002EFF" w:usb1="C200247B" w:usb2="00000009" w:usb3="00000000" w:csb0="000001FF" w:csb1="00000000"/>
    <w:embedRegular r:id="rId13" w:fontKey="{365685E3-BCE4-4C4E-9ED7-EEA75A6EBB89}"/>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46829"/>
    <w:multiLevelType w:val="multilevel"/>
    <w:tmpl w:val="6A2CA0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2E41C62"/>
    <w:multiLevelType w:val="multilevel"/>
    <w:tmpl w:val="13006DCE"/>
    <w:lvl w:ilvl="0">
      <w:start w:val="1"/>
      <w:numFmt w:val="lowerLetter"/>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050C5576"/>
    <w:multiLevelType w:val="multilevel"/>
    <w:tmpl w:val="B510CC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BD64167"/>
    <w:multiLevelType w:val="hybridMultilevel"/>
    <w:tmpl w:val="CAB06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BE47E5"/>
    <w:multiLevelType w:val="multilevel"/>
    <w:tmpl w:val="A5F403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A3C75AF"/>
    <w:multiLevelType w:val="multilevel"/>
    <w:tmpl w:val="FD5EBF8A"/>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FDD7A9E"/>
    <w:multiLevelType w:val="hybridMultilevel"/>
    <w:tmpl w:val="5A087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6E3165"/>
    <w:multiLevelType w:val="hybridMultilevel"/>
    <w:tmpl w:val="D7CEB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295FD9"/>
    <w:multiLevelType w:val="multilevel"/>
    <w:tmpl w:val="B75825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423225"/>
    <w:multiLevelType w:val="multilevel"/>
    <w:tmpl w:val="EA160886"/>
    <w:lvl w:ilvl="0">
      <w:start w:val="1"/>
      <w:numFmt w:val="decimal"/>
      <w:lvlText w:val="%1."/>
      <w:lvlJc w:val="left"/>
      <w:pPr>
        <w:ind w:left="360" w:hanging="360"/>
      </w:pPr>
      <w:rPr>
        <w:rFonts w:ascii="Arial" w:eastAsia="Arial" w:hAnsi="Arial" w:cs="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966498853">
    <w:abstractNumId w:val="5"/>
  </w:num>
  <w:num w:numId="2" w16cid:durableId="139807864">
    <w:abstractNumId w:val="4"/>
  </w:num>
  <w:num w:numId="3" w16cid:durableId="1331107237">
    <w:abstractNumId w:val="0"/>
  </w:num>
  <w:num w:numId="4" w16cid:durableId="662666693">
    <w:abstractNumId w:val="9"/>
  </w:num>
  <w:num w:numId="5" w16cid:durableId="1958371301">
    <w:abstractNumId w:val="1"/>
  </w:num>
  <w:num w:numId="6" w16cid:durableId="1587613328">
    <w:abstractNumId w:val="2"/>
  </w:num>
  <w:num w:numId="7" w16cid:durableId="699015462">
    <w:abstractNumId w:val="6"/>
  </w:num>
  <w:num w:numId="8" w16cid:durableId="796681809">
    <w:abstractNumId w:val="3"/>
  </w:num>
  <w:num w:numId="9" w16cid:durableId="1917781921">
    <w:abstractNumId w:val="8"/>
    <w:lvlOverride w:ilvl="0"/>
    <w:lvlOverride w:ilvl="1"/>
    <w:lvlOverride w:ilvl="2"/>
    <w:lvlOverride w:ilvl="3"/>
    <w:lvlOverride w:ilvl="4"/>
    <w:lvlOverride w:ilvl="5"/>
    <w:lvlOverride w:ilvl="6"/>
    <w:lvlOverride w:ilvl="7"/>
    <w:lvlOverride w:ilvl="8"/>
  </w:num>
  <w:num w:numId="10" w16cid:durableId="20111322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7D1B"/>
    <w:rsid w:val="00021626"/>
    <w:rsid w:val="00023C59"/>
    <w:rsid w:val="000B140F"/>
    <w:rsid w:val="0012795A"/>
    <w:rsid w:val="00134220"/>
    <w:rsid w:val="001E3B5F"/>
    <w:rsid w:val="002244E3"/>
    <w:rsid w:val="0032684D"/>
    <w:rsid w:val="003D62F0"/>
    <w:rsid w:val="003E7158"/>
    <w:rsid w:val="00484FF6"/>
    <w:rsid w:val="004A5379"/>
    <w:rsid w:val="006005C6"/>
    <w:rsid w:val="006E7607"/>
    <w:rsid w:val="007A2F17"/>
    <w:rsid w:val="007A7D1B"/>
    <w:rsid w:val="007E5C88"/>
    <w:rsid w:val="008223F9"/>
    <w:rsid w:val="008403D5"/>
    <w:rsid w:val="008A22CA"/>
    <w:rsid w:val="009262D8"/>
    <w:rsid w:val="009367F6"/>
    <w:rsid w:val="00957775"/>
    <w:rsid w:val="009900C2"/>
    <w:rsid w:val="00A645FD"/>
    <w:rsid w:val="00A83A0A"/>
    <w:rsid w:val="00B0598E"/>
    <w:rsid w:val="00B56665"/>
    <w:rsid w:val="00B94159"/>
    <w:rsid w:val="00C71A58"/>
    <w:rsid w:val="00CB3319"/>
    <w:rsid w:val="00CE382F"/>
    <w:rsid w:val="00D157E9"/>
    <w:rsid w:val="00D63C6B"/>
    <w:rsid w:val="00F11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F7EB4"/>
  <w15:docId w15:val="{54D47A3B-1B42-4703-9271-D50BFBB5E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college.police.uk/app/investigation/investigation-process" TargetMode="External"/><Relationship Id="rId18" Type="http://schemas.openxmlformats.org/officeDocument/2006/relationships/hyperlink" Target="https://doi.org/10.1177/13657127221124362" TargetMode="External"/><Relationship Id="rId26" Type="http://schemas.openxmlformats.org/officeDocument/2006/relationships/hyperlink" Target="https://doi.org/10.48550/arXiv.1604.03850" TargetMode="External"/><Relationship Id="rId39" Type="http://schemas.openxmlformats.org/officeDocument/2006/relationships/theme" Target="theme/theme1.xml"/><Relationship Id="rId21" Type="http://schemas.openxmlformats.org/officeDocument/2006/relationships/hyperlink" Target="https://www.gov.uk/government/publications/counter-terrorism-strategy-contest-2023" TargetMode="External"/><Relationship Id="rId34" Type="http://schemas.openxmlformats.org/officeDocument/2006/relationships/hyperlink" Target="https://doi.org/10.1177/0032258X231181330" TargetMode="External"/><Relationship Id="rId7" Type="http://schemas.openxmlformats.org/officeDocument/2006/relationships/image" Target="media/image1.png"/><Relationship Id="rId12" Type="http://schemas.openxmlformats.org/officeDocument/2006/relationships/hyperlink" Target="https://gbr01.safelinks.protection.outlook.com/?url=https%3A%2F%2Farxiv.org%2Fabs%2F2205.12911&amp;data=05%7C02%7Cmark.burge%40south-wales.police.uk%7C9319c75dced94e7331cb08deaced699d%7C270c2f4dfd0c4f0892a9e5bdd8a87e09%7C0%7C0%7C639138332896678086%7CUnknown%7CTWFpbGZsb3d8eyJFbXB0eU1hcGkiOnRydWUsIlYiOiIwLjAuMDAwMCIsIlAiOiJXaW4zMiIsIkFOIjoiTWFpbCIsIldUIjoyfQ%3D%3D%7C0%7C%7C%7C&amp;sdata=cIX8cqGJcg%2FrfCRgC9vfdpSYcJgcX%2Bz23Q4DI2HUAJI%3D&amp;reserved=0" TargetMode="External"/><Relationship Id="rId17" Type="http://schemas.openxmlformats.org/officeDocument/2006/relationships/hyperlink" Target="https://www.politybooks.com/bookdetail?book_slug=intelligence-in-an-insecure-world-3rd-edition--9781509525195" TargetMode="External"/><Relationship Id="rId25" Type="http://schemas.openxmlformats.org/officeDocument/2006/relationships/hyperlink" Target="https://doi.org/10.1017/CBO9780511611117" TargetMode="External"/><Relationship Id="rId33" Type="http://schemas.openxmlformats.org/officeDocument/2006/relationships/hyperlink" Target="https://www.manchesterarenainquiry.org.uk"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02/jip.145" TargetMode="External"/><Relationship Id="rId20" Type="http://schemas.openxmlformats.org/officeDocument/2006/relationships/hyperlink" Target="https://hmicfrs.justiceinspectorates.gov.uk/" TargetMode="External"/><Relationship Id="rId29" Type="http://schemas.openxmlformats.org/officeDocument/2006/relationships/hyperlink" Target="https://doi.org/10.1177/13657127211060%2055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attorney-generals-guidelines-on-disclosure" TargetMode="External"/><Relationship Id="rId24" Type="http://schemas.openxmlformats.org/officeDocument/2006/relationships/hyperlink" Target="https://doi.org/10.1093/police/paaa072" TargetMode="External"/><Relationship Id="rId32" Type="http://schemas.openxmlformats.org/officeDocument/2006/relationships/hyperlink" Target="https://doi.org/10.1093/police/pax070" TargetMode="External"/><Relationship Id="rId37" Type="http://schemas.openxmlformats.org/officeDocument/2006/relationships/hyperlink" Target="https://doi.org/10.1108/PIJPSM-02-2021-0019" TargetMode="External"/><Relationship Id="rId5" Type="http://schemas.openxmlformats.org/officeDocument/2006/relationships/settings" Target="settings.xml"/><Relationship Id="rId15" Type="http://schemas.openxmlformats.org/officeDocument/2006/relationships/hyperlink" Target="https://doi.org/10.1177/13657127221104649" TargetMode="External"/><Relationship Id="rId23" Type="http://schemas.openxmlformats.org/officeDocument/2006/relationships/hyperlink" Target="https://doi.org/10.1093/oso/9780198783213.001.0001" TargetMode="External"/><Relationship Id="rId28" Type="http://schemas.openxmlformats.org/officeDocument/2006/relationships/hyperlink" Target="https://doi.org/10.1002/9780470713068.ch4" TargetMode="External"/><Relationship Id="rId36" Type="http://schemas.openxmlformats.org/officeDocument/2006/relationships/hyperlink" Target="https://doi.org/10.4324/9781843926337" TargetMode="External"/><Relationship Id="rId10" Type="http://schemas.openxmlformats.org/officeDocument/2006/relationships/hyperlink" Target="https://intranet.uwtsd.ac.uk/sites/intranet/files/2023-10/Harvard%20en_v.1.3%20%28V6%29.pdf" TargetMode="External"/><Relationship Id="rId19" Type="http://schemas.openxmlformats.org/officeDocument/2006/relationships/hyperlink" Target="https://doi.org/10.1177/14613557211036565" TargetMode="External"/><Relationship Id="rId31" Type="http://schemas.openxmlformats.org/officeDocument/2006/relationships/hyperlink" Target="https://doi.org/10.1007/978-981-10-7763-0" TargetMode="External"/><Relationship Id="rId4" Type="http://schemas.openxmlformats.org/officeDocument/2006/relationships/styles" Target="style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yperlink" Target="https://www.college.police.uk/app/intelligence-management" TargetMode="External"/><Relationship Id="rId22" Type="http://schemas.openxmlformats.org/officeDocument/2006/relationships/hyperlink" Target="https://doi.org/10.5153/sro.724" TargetMode="External"/><Relationship Id="rId27" Type="http://schemas.openxmlformats.org/officeDocument/2006/relationships/hyperlink" Target="https://www.mi5.gov.uk" TargetMode="External"/><Relationship Id="rId30" Type="http://schemas.openxmlformats.org/officeDocument/2006/relationships/hyperlink" Target="https://doi.org/10.1108/PIJPSM-04-2021-0054" TargetMode="External"/><Relationship Id="rId35" Type="http://schemas.openxmlformats.org/officeDocument/2006/relationships/hyperlink" Target="https://psycnet.apa.org/doi/10.1348/135532506X157179" TargetMode="External"/><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L7d1Hb+5gtIGG9jTWtSzheh1g==">CgMxLjA4AHIhMUFZWklfWDI1d21pNXViSHJrUkFoSUxxRXJ5QmEyblZ1</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C78537D3-9B6F-4709-99A5-2A45808F5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42</Pages>
  <Words>15168</Words>
  <Characters>86462</Characters>
  <Application>Microsoft Office Word</Application>
  <DocSecurity>0</DocSecurity>
  <Lines>720</Lines>
  <Paragraphs>202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Andrews</dc:creator>
  <cp:lastModifiedBy>Burge,Mark swp3836</cp:lastModifiedBy>
  <cp:revision>14</cp:revision>
  <dcterms:created xsi:type="dcterms:W3CDTF">2026-04-23T13:48:00Z</dcterms:created>
  <dcterms:modified xsi:type="dcterms:W3CDTF">2026-05-08T21:00:00Z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2026-01-22T19:41:04Z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9957ab69-38a9-4865-baf2-f451ed8812e7</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