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A9E69" w14:textId="52A4FDBF" w:rsidR="00A00EA0" w:rsidRPr="00D833B0" w:rsidRDefault="00253A01" w:rsidP="00C044C8">
      <w:pPr>
        <w:jc w:val="center"/>
        <w:rPr>
          <w:rFonts w:ascii="Arial" w:hAnsi="Arial" w:cs="Arial"/>
          <w:b/>
          <w:bCs/>
          <w:sz w:val="24"/>
          <w:szCs w:val="24"/>
          <w:u w:val="single"/>
        </w:rPr>
      </w:pPr>
      <w:r w:rsidRPr="00D833B0">
        <w:rPr>
          <w:rFonts w:ascii="Arial" w:hAnsi="Arial" w:cs="Arial"/>
          <w:b/>
          <w:bCs/>
          <w:sz w:val="24"/>
          <w:szCs w:val="24"/>
          <w:u w:val="single"/>
        </w:rPr>
        <w:t>Critical Analysis: Applying Specialist Film Theory</w:t>
      </w:r>
    </w:p>
    <w:p w14:paraId="4138B1FD" w14:textId="37111AF1" w:rsidR="00253A01" w:rsidRPr="00D833B0" w:rsidRDefault="00253A01" w:rsidP="00CE484A">
      <w:pPr>
        <w:jc w:val="both"/>
        <w:rPr>
          <w:rFonts w:ascii="Arial" w:hAnsi="Arial" w:cs="Arial"/>
          <w:sz w:val="24"/>
          <w:szCs w:val="24"/>
        </w:rPr>
      </w:pPr>
    </w:p>
    <w:p w14:paraId="32977243" w14:textId="227A2B34" w:rsidR="006400B7" w:rsidRPr="00D833B0" w:rsidRDefault="00253A01" w:rsidP="00CE484A">
      <w:pPr>
        <w:jc w:val="both"/>
        <w:rPr>
          <w:rFonts w:ascii="Arial" w:hAnsi="Arial" w:cs="Arial"/>
          <w:sz w:val="24"/>
          <w:szCs w:val="24"/>
        </w:rPr>
      </w:pPr>
      <w:r w:rsidRPr="00D833B0">
        <w:rPr>
          <w:rFonts w:ascii="Arial" w:hAnsi="Arial" w:cs="Arial"/>
          <w:sz w:val="24"/>
          <w:szCs w:val="24"/>
        </w:rPr>
        <w:t>In this essay a critical analysis using Queer Medievalism will be applied to the Film Becket</w:t>
      </w:r>
      <w:r w:rsidR="00CE484A" w:rsidRPr="00D833B0">
        <w:rPr>
          <w:rFonts w:ascii="Arial" w:hAnsi="Arial" w:cs="Arial"/>
          <w:sz w:val="24"/>
          <w:szCs w:val="24"/>
        </w:rPr>
        <w:t xml:space="preserve"> (1964)</w:t>
      </w:r>
      <w:r w:rsidRPr="00D833B0">
        <w:rPr>
          <w:rFonts w:ascii="Arial" w:hAnsi="Arial" w:cs="Arial"/>
          <w:sz w:val="24"/>
          <w:szCs w:val="24"/>
        </w:rPr>
        <w:t>.  In doing so</w:t>
      </w:r>
      <w:r w:rsidR="00866F26" w:rsidRPr="00D833B0">
        <w:rPr>
          <w:rFonts w:ascii="Arial" w:hAnsi="Arial" w:cs="Arial"/>
          <w:sz w:val="24"/>
          <w:szCs w:val="24"/>
        </w:rPr>
        <w:t xml:space="preserve"> t</w:t>
      </w:r>
      <w:r w:rsidRPr="00D833B0">
        <w:rPr>
          <w:rFonts w:ascii="Arial" w:hAnsi="Arial" w:cs="Arial"/>
          <w:sz w:val="24"/>
          <w:szCs w:val="24"/>
        </w:rPr>
        <w:t xml:space="preserve">he application of </w:t>
      </w:r>
      <w:r w:rsidR="00866F26" w:rsidRPr="00D833B0">
        <w:rPr>
          <w:rFonts w:ascii="Arial" w:hAnsi="Arial" w:cs="Arial"/>
          <w:sz w:val="24"/>
          <w:szCs w:val="24"/>
        </w:rPr>
        <w:t xml:space="preserve">Queer </w:t>
      </w:r>
      <w:r w:rsidRPr="00D833B0">
        <w:rPr>
          <w:rFonts w:ascii="Arial" w:hAnsi="Arial" w:cs="Arial"/>
          <w:sz w:val="24"/>
          <w:szCs w:val="24"/>
        </w:rPr>
        <w:t>theor</w:t>
      </w:r>
      <w:r w:rsidR="00866F26" w:rsidRPr="00D833B0">
        <w:rPr>
          <w:rFonts w:ascii="Arial" w:hAnsi="Arial" w:cs="Arial"/>
          <w:sz w:val="24"/>
          <w:szCs w:val="24"/>
        </w:rPr>
        <w:t>y and medievalism</w:t>
      </w:r>
      <w:r w:rsidRPr="00D833B0">
        <w:rPr>
          <w:rFonts w:ascii="Arial" w:hAnsi="Arial" w:cs="Arial"/>
          <w:sz w:val="24"/>
          <w:szCs w:val="24"/>
        </w:rPr>
        <w:t xml:space="preserve"> will be highlighted by giving examples from Becket</w:t>
      </w:r>
      <w:r w:rsidR="00866F26" w:rsidRPr="00D833B0">
        <w:rPr>
          <w:rFonts w:ascii="Arial" w:hAnsi="Arial" w:cs="Arial"/>
          <w:sz w:val="24"/>
          <w:szCs w:val="24"/>
        </w:rPr>
        <w:t xml:space="preserve">. </w:t>
      </w:r>
      <w:r w:rsidR="00CE484A" w:rsidRPr="00D833B0">
        <w:rPr>
          <w:rFonts w:ascii="Arial" w:hAnsi="Arial" w:cs="Arial"/>
          <w:sz w:val="24"/>
          <w:szCs w:val="24"/>
        </w:rPr>
        <w:t xml:space="preserve"> </w:t>
      </w:r>
      <w:r w:rsidR="00866F26" w:rsidRPr="00D833B0">
        <w:rPr>
          <w:rFonts w:ascii="Arial" w:hAnsi="Arial" w:cs="Arial"/>
          <w:sz w:val="24"/>
          <w:szCs w:val="24"/>
        </w:rPr>
        <w:t>In particular there will be a</w:t>
      </w:r>
      <w:r w:rsidR="00CE484A" w:rsidRPr="00D833B0">
        <w:rPr>
          <w:rFonts w:ascii="Arial" w:hAnsi="Arial" w:cs="Arial"/>
          <w:sz w:val="24"/>
          <w:szCs w:val="24"/>
        </w:rPr>
        <w:t xml:space="preserve"> specific focus on the relationship between King Henry II (played by Peter O’ Toole) and Thomas Becket (played by Richard Burton).</w:t>
      </w:r>
      <w:r w:rsidR="00796B1E" w:rsidRPr="00D833B0">
        <w:rPr>
          <w:rFonts w:ascii="Arial" w:hAnsi="Arial" w:cs="Arial"/>
          <w:sz w:val="24"/>
          <w:szCs w:val="24"/>
        </w:rPr>
        <w:t xml:space="preserve">  </w:t>
      </w:r>
    </w:p>
    <w:p w14:paraId="048C86C5" w14:textId="70A4CC3C" w:rsidR="00B70771" w:rsidRPr="00D833B0" w:rsidRDefault="00DF0486" w:rsidP="00CE484A">
      <w:pPr>
        <w:jc w:val="both"/>
        <w:rPr>
          <w:rFonts w:ascii="Arial" w:hAnsi="Arial" w:cs="Arial"/>
          <w:sz w:val="24"/>
          <w:szCs w:val="24"/>
        </w:rPr>
      </w:pPr>
      <w:r w:rsidRPr="00D833B0">
        <w:rPr>
          <w:rFonts w:ascii="Arial" w:hAnsi="Arial" w:cs="Arial"/>
          <w:sz w:val="24"/>
          <w:szCs w:val="24"/>
        </w:rPr>
        <w:t>According to the Oxford dictionary of literary terms Medievalism is the ‘enthusiasm or imitation of medieval times’. What constitutes as medieval is debatable, however it relates to a period between ancient and modern times</w:t>
      </w:r>
      <w:r w:rsidR="00796B1E" w:rsidRPr="00D833B0">
        <w:rPr>
          <w:rStyle w:val="FootnoteReference"/>
          <w:rFonts w:ascii="Arial" w:hAnsi="Arial" w:cs="Arial"/>
          <w:sz w:val="24"/>
          <w:szCs w:val="24"/>
        </w:rPr>
        <w:footnoteReference w:id="1"/>
      </w:r>
      <w:r w:rsidRPr="00D833B0">
        <w:rPr>
          <w:rFonts w:ascii="Arial" w:hAnsi="Arial" w:cs="Arial"/>
          <w:sz w:val="24"/>
          <w:szCs w:val="24"/>
        </w:rPr>
        <w:t xml:space="preserve">.  </w:t>
      </w:r>
      <w:r w:rsidR="001F3544" w:rsidRPr="00D833B0">
        <w:rPr>
          <w:rFonts w:ascii="Arial" w:hAnsi="Arial" w:cs="Arial"/>
          <w:sz w:val="24"/>
          <w:szCs w:val="24"/>
        </w:rPr>
        <w:t xml:space="preserve">It could be argued that all medievalism is </w:t>
      </w:r>
      <w:r w:rsidR="00CC3C61" w:rsidRPr="00D833B0">
        <w:rPr>
          <w:rFonts w:ascii="Arial" w:hAnsi="Arial" w:cs="Arial"/>
          <w:sz w:val="24"/>
          <w:szCs w:val="24"/>
        </w:rPr>
        <w:t>“</w:t>
      </w:r>
      <w:r w:rsidR="001F3544" w:rsidRPr="00D833B0">
        <w:rPr>
          <w:rFonts w:ascii="Arial" w:hAnsi="Arial" w:cs="Arial"/>
          <w:sz w:val="24"/>
          <w:szCs w:val="24"/>
        </w:rPr>
        <w:t>queer</w:t>
      </w:r>
      <w:r w:rsidR="00CC3C61" w:rsidRPr="00D833B0">
        <w:rPr>
          <w:rFonts w:ascii="Arial" w:hAnsi="Arial" w:cs="Arial"/>
          <w:sz w:val="24"/>
          <w:szCs w:val="24"/>
        </w:rPr>
        <w:t>”</w:t>
      </w:r>
      <w:r w:rsidR="001F3544" w:rsidRPr="00D833B0">
        <w:rPr>
          <w:rFonts w:ascii="Arial" w:hAnsi="Arial" w:cs="Arial"/>
          <w:sz w:val="24"/>
          <w:szCs w:val="24"/>
        </w:rPr>
        <w:t>, as references to the middle</w:t>
      </w:r>
      <w:r w:rsidR="0061590D" w:rsidRPr="00D833B0">
        <w:rPr>
          <w:rFonts w:ascii="Arial" w:hAnsi="Arial" w:cs="Arial"/>
          <w:sz w:val="24"/>
          <w:szCs w:val="24"/>
        </w:rPr>
        <w:t>-</w:t>
      </w:r>
      <w:r w:rsidR="001F3544" w:rsidRPr="00D833B0">
        <w:rPr>
          <w:rFonts w:ascii="Arial" w:hAnsi="Arial" w:cs="Arial"/>
          <w:sz w:val="24"/>
          <w:szCs w:val="24"/>
        </w:rPr>
        <w:t xml:space="preserve">ages are particularly exaggerated, and thus the history of that period has been construed </w:t>
      </w:r>
      <w:r w:rsidR="0061590D" w:rsidRPr="00D833B0">
        <w:rPr>
          <w:rFonts w:ascii="Arial" w:hAnsi="Arial" w:cs="Arial"/>
          <w:sz w:val="24"/>
          <w:szCs w:val="24"/>
        </w:rPr>
        <w:t xml:space="preserve">as being queer </w:t>
      </w:r>
      <w:r w:rsidR="001F3544" w:rsidRPr="00D833B0">
        <w:rPr>
          <w:rFonts w:ascii="Arial" w:hAnsi="Arial" w:cs="Arial"/>
          <w:sz w:val="24"/>
          <w:szCs w:val="24"/>
        </w:rPr>
        <w:t>in that sense.</w:t>
      </w:r>
      <w:r w:rsidR="001F3544" w:rsidRPr="00D833B0">
        <w:rPr>
          <w:rStyle w:val="FootnoteReference"/>
          <w:rFonts w:ascii="Arial" w:hAnsi="Arial" w:cs="Arial"/>
          <w:sz w:val="24"/>
          <w:szCs w:val="24"/>
        </w:rPr>
        <w:footnoteReference w:id="2"/>
      </w:r>
      <w:r w:rsidR="0061590D" w:rsidRPr="00D833B0">
        <w:rPr>
          <w:rFonts w:ascii="Arial" w:hAnsi="Arial" w:cs="Arial"/>
          <w:sz w:val="24"/>
          <w:szCs w:val="24"/>
        </w:rPr>
        <w:t xml:space="preserve">  </w:t>
      </w:r>
      <w:r w:rsidRPr="00D833B0">
        <w:rPr>
          <w:rFonts w:ascii="Arial" w:hAnsi="Arial" w:cs="Arial"/>
          <w:sz w:val="24"/>
          <w:szCs w:val="24"/>
        </w:rPr>
        <w:t xml:space="preserve"> </w:t>
      </w:r>
      <w:r w:rsidR="0061590D" w:rsidRPr="00D833B0">
        <w:rPr>
          <w:rFonts w:ascii="Arial" w:hAnsi="Arial" w:cs="Arial"/>
          <w:sz w:val="24"/>
          <w:szCs w:val="24"/>
        </w:rPr>
        <w:t>However, the precise definition of queer has been contended.</w:t>
      </w:r>
      <w:r w:rsidR="0062082A" w:rsidRPr="00D833B0">
        <w:rPr>
          <w:rStyle w:val="FootnoteReference"/>
          <w:rFonts w:ascii="Arial" w:hAnsi="Arial" w:cs="Arial"/>
          <w:sz w:val="24"/>
          <w:szCs w:val="24"/>
        </w:rPr>
        <w:footnoteReference w:id="3"/>
      </w:r>
      <w:r w:rsidR="00D3063A" w:rsidRPr="00D833B0">
        <w:rPr>
          <w:rFonts w:ascii="Arial" w:hAnsi="Arial" w:cs="Arial"/>
          <w:sz w:val="24"/>
          <w:szCs w:val="24"/>
        </w:rPr>
        <w:t xml:space="preserve">  On the </w:t>
      </w:r>
      <w:r w:rsidR="00866F26" w:rsidRPr="00D833B0">
        <w:rPr>
          <w:rFonts w:ascii="Arial" w:hAnsi="Arial" w:cs="Arial"/>
          <w:sz w:val="24"/>
          <w:szCs w:val="24"/>
        </w:rPr>
        <w:t xml:space="preserve">one </w:t>
      </w:r>
      <w:r w:rsidR="00D3063A" w:rsidRPr="00D833B0">
        <w:rPr>
          <w:rFonts w:ascii="Arial" w:hAnsi="Arial" w:cs="Arial"/>
          <w:sz w:val="24"/>
          <w:szCs w:val="24"/>
        </w:rPr>
        <w:t>hand Queer Theory has been said to have developed from Gay and Lesbian studies</w:t>
      </w:r>
      <w:r w:rsidR="00866F26" w:rsidRPr="00D833B0">
        <w:rPr>
          <w:rFonts w:ascii="Arial" w:hAnsi="Arial" w:cs="Arial"/>
          <w:sz w:val="24"/>
          <w:szCs w:val="24"/>
        </w:rPr>
        <w:t xml:space="preserve">, on the other the theory </w:t>
      </w:r>
      <w:r w:rsidR="00974381" w:rsidRPr="00D833B0">
        <w:rPr>
          <w:rFonts w:ascii="Arial" w:hAnsi="Arial" w:cs="Arial"/>
          <w:sz w:val="24"/>
          <w:szCs w:val="24"/>
        </w:rPr>
        <w:t xml:space="preserve">encompasses a wide variety of </w:t>
      </w:r>
      <w:r w:rsidR="00B51157" w:rsidRPr="00D833B0">
        <w:rPr>
          <w:rFonts w:ascii="Arial" w:hAnsi="Arial" w:cs="Arial"/>
          <w:sz w:val="24"/>
          <w:szCs w:val="24"/>
        </w:rPr>
        <w:t xml:space="preserve">phenomena including </w:t>
      </w:r>
      <w:r w:rsidR="00974381" w:rsidRPr="00D833B0">
        <w:rPr>
          <w:rFonts w:ascii="Arial" w:hAnsi="Arial" w:cs="Arial"/>
          <w:sz w:val="24"/>
          <w:szCs w:val="24"/>
        </w:rPr>
        <w:t>personal and preferential differences in relation to identity and desires.</w:t>
      </w:r>
      <w:r w:rsidR="00F21796" w:rsidRPr="00D833B0">
        <w:rPr>
          <w:rStyle w:val="FootnoteReference"/>
          <w:rFonts w:ascii="Arial" w:hAnsi="Arial" w:cs="Arial"/>
          <w:sz w:val="24"/>
          <w:szCs w:val="24"/>
        </w:rPr>
        <w:footnoteReference w:id="4"/>
      </w:r>
      <w:r w:rsidR="00B51157" w:rsidRPr="00D833B0">
        <w:rPr>
          <w:rFonts w:ascii="Arial" w:hAnsi="Arial" w:cs="Arial"/>
          <w:sz w:val="24"/>
          <w:szCs w:val="24"/>
        </w:rPr>
        <w:t xml:space="preserve">  </w:t>
      </w:r>
    </w:p>
    <w:p w14:paraId="7027D4D7" w14:textId="32FA186B" w:rsidR="00321780" w:rsidRPr="00D833B0" w:rsidRDefault="00E25407" w:rsidP="00CE484A">
      <w:pPr>
        <w:jc w:val="both"/>
        <w:rPr>
          <w:rFonts w:ascii="Arial" w:hAnsi="Arial" w:cs="Arial"/>
          <w:sz w:val="24"/>
          <w:szCs w:val="24"/>
        </w:rPr>
      </w:pPr>
      <w:r w:rsidRPr="00D833B0">
        <w:rPr>
          <w:rFonts w:ascii="Arial" w:hAnsi="Arial" w:cs="Arial"/>
          <w:sz w:val="24"/>
          <w:szCs w:val="24"/>
        </w:rPr>
        <w:t>In relation to the film Becket, it could be argued that King Henry</w:t>
      </w:r>
      <w:r w:rsidR="00B70771" w:rsidRPr="00D833B0">
        <w:rPr>
          <w:rFonts w:ascii="Arial" w:hAnsi="Arial" w:cs="Arial"/>
          <w:sz w:val="24"/>
          <w:szCs w:val="24"/>
        </w:rPr>
        <w:t xml:space="preserve"> II</w:t>
      </w:r>
      <w:r w:rsidRPr="00D833B0">
        <w:rPr>
          <w:rFonts w:ascii="Arial" w:hAnsi="Arial" w:cs="Arial"/>
          <w:sz w:val="24"/>
          <w:szCs w:val="24"/>
        </w:rPr>
        <w:t xml:space="preserve"> desired Becket and there is evidence of intimacy between the two.  Though this is not </w:t>
      </w:r>
      <w:r w:rsidR="00B70771" w:rsidRPr="00D833B0">
        <w:rPr>
          <w:rFonts w:ascii="Arial" w:hAnsi="Arial" w:cs="Arial"/>
          <w:sz w:val="24"/>
          <w:szCs w:val="24"/>
        </w:rPr>
        <w:t>totally explicit, the King’s behaviour could be seen as queer. In the opening scenes, for instance, there is the King who strips down to his waist and asks, “Well Thomas Becket, are you satisfied? I am stripped kneeling at your tomb.”</w:t>
      </w:r>
      <w:r w:rsidR="00BE5969" w:rsidRPr="00D833B0">
        <w:rPr>
          <w:rFonts w:ascii="Arial" w:hAnsi="Arial" w:cs="Arial"/>
          <w:sz w:val="24"/>
          <w:szCs w:val="24"/>
        </w:rPr>
        <w:t xml:space="preserve"> The King is about to be whipped</w:t>
      </w:r>
      <w:r w:rsidR="00321780" w:rsidRPr="00D833B0">
        <w:rPr>
          <w:rFonts w:ascii="Arial" w:hAnsi="Arial" w:cs="Arial"/>
          <w:sz w:val="24"/>
          <w:szCs w:val="24"/>
        </w:rPr>
        <w:t>, whereby he says, “me with my delicate skin”, which could imply that the King and Thomas Becket were intimately close.  Th</w:t>
      </w:r>
      <w:r w:rsidR="00BE5969" w:rsidRPr="00D833B0">
        <w:rPr>
          <w:rFonts w:ascii="Arial" w:hAnsi="Arial" w:cs="Arial"/>
          <w:sz w:val="24"/>
          <w:szCs w:val="24"/>
        </w:rPr>
        <w:t>e story</w:t>
      </w:r>
      <w:r w:rsidR="00321780" w:rsidRPr="00D833B0">
        <w:rPr>
          <w:rFonts w:ascii="Arial" w:hAnsi="Arial" w:cs="Arial"/>
          <w:sz w:val="24"/>
          <w:szCs w:val="24"/>
        </w:rPr>
        <w:t xml:space="preserve"> then</w:t>
      </w:r>
      <w:r w:rsidR="00BE5969" w:rsidRPr="00D833B0">
        <w:rPr>
          <w:rFonts w:ascii="Arial" w:hAnsi="Arial" w:cs="Arial"/>
          <w:sz w:val="24"/>
          <w:szCs w:val="24"/>
        </w:rPr>
        <w:t xml:space="preserve"> heads back in time whereby the King romanticises about their past together when they were friends.  But it seems to be that they were probably more than just ‘friends’, as the King continues to talk about </w:t>
      </w:r>
      <w:r w:rsidR="00321780" w:rsidRPr="00D833B0">
        <w:rPr>
          <w:rFonts w:ascii="Arial" w:hAnsi="Arial" w:cs="Arial"/>
          <w:sz w:val="24"/>
          <w:szCs w:val="24"/>
        </w:rPr>
        <w:t xml:space="preserve">their time together “wenching”, </w:t>
      </w:r>
      <w:r w:rsidR="00CC3C61" w:rsidRPr="00D833B0">
        <w:rPr>
          <w:rFonts w:ascii="Arial" w:hAnsi="Arial" w:cs="Arial"/>
          <w:sz w:val="24"/>
          <w:szCs w:val="24"/>
        </w:rPr>
        <w:t>at which point</w:t>
      </w:r>
      <w:r w:rsidR="00321780" w:rsidRPr="00D833B0">
        <w:rPr>
          <w:rFonts w:ascii="Arial" w:hAnsi="Arial" w:cs="Arial"/>
          <w:sz w:val="24"/>
          <w:szCs w:val="24"/>
        </w:rPr>
        <w:t xml:space="preserve"> the King confesses, “even you were better at that than I was”</w:t>
      </w:r>
      <w:r w:rsidR="00745C6C" w:rsidRPr="00D833B0">
        <w:rPr>
          <w:rFonts w:ascii="Arial" w:hAnsi="Arial" w:cs="Arial"/>
          <w:sz w:val="24"/>
          <w:szCs w:val="24"/>
        </w:rPr>
        <w:t xml:space="preserve">.  This implies that they probably </w:t>
      </w:r>
      <w:r w:rsidR="00925781" w:rsidRPr="00D833B0">
        <w:rPr>
          <w:rFonts w:ascii="Arial" w:hAnsi="Arial" w:cs="Arial"/>
          <w:sz w:val="24"/>
          <w:szCs w:val="24"/>
        </w:rPr>
        <w:t>did engage in sexual intimacies</w:t>
      </w:r>
      <w:r w:rsidR="00D2385F" w:rsidRPr="00D833B0">
        <w:rPr>
          <w:rFonts w:ascii="Arial" w:hAnsi="Arial" w:cs="Arial"/>
          <w:sz w:val="24"/>
          <w:szCs w:val="24"/>
        </w:rPr>
        <w:t xml:space="preserve"> and his actions were homoerotic</w:t>
      </w:r>
      <w:r w:rsidR="00925781" w:rsidRPr="00D833B0">
        <w:rPr>
          <w:rFonts w:ascii="Arial" w:hAnsi="Arial" w:cs="Arial"/>
          <w:sz w:val="24"/>
          <w:szCs w:val="24"/>
        </w:rPr>
        <w:t>, at least from the film’s perspective</w:t>
      </w:r>
      <w:r w:rsidR="00D2385F" w:rsidRPr="00D833B0">
        <w:rPr>
          <w:rFonts w:ascii="Arial" w:hAnsi="Arial" w:cs="Arial"/>
          <w:sz w:val="24"/>
          <w:szCs w:val="24"/>
        </w:rPr>
        <w:t xml:space="preserve">. </w:t>
      </w:r>
      <w:r w:rsidR="00436F39" w:rsidRPr="00D833B0">
        <w:rPr>
          <w:rFonts w:ascii="Arial" w:hAnsi="Arial" w:cs="Arial"/>
          <w:sz w:val="24"/>
          <w:szCs w:val="24"/>
        </w:rPr>
        <w:t>I</w:t>
      </w:r>
      <w:r w:rsidR="00E14607" w:rsidRPr="00D833B0">
        <w:rPr>
          <w:rFonts w:ascii="Arial" w:hAnsi="Arial" w:cs="Arial"/>
          <w:sz w:val="24"/>
          <w:szCs w:val="24"/>
        </w:rPr>
        <w:t>n fact</w:t>
      </w:r>
      <w:r w:rsidR="00436F39" w:rsidRPr="00D833B0">
        <w:rPr>
          <w:rFonts w:ascii="Arial" w:hAnsi="Arial" w:cs="Arial"/>
          <w:sz w:val="24"/>
          <w:szCs w:val="24"/>
        </w:rPr>
        <w:t>,</w:t>
      </w:r>
      <w:r w:rsidR="00E14607" w:rsidRPr="00D833B0">
        <w:rPr>
          <w:rFonts w:ascii="Arial" w:hAnsi="Arial" w:cs="Arial"/>
          <w:sz w:val="24"/>
          <w:szCs w:val="24"/>
        </w:rPr>
        <w:t xml:space="preserve"> the King’s behaviour</w:t>
      </w:r>
      <w:r w:rsidR="00436F39" w:rsidRPr="00D833B0">
        <w:rPr>
          <w:rFonts w:ascii="Arial" w:hAnsi="Arial" w:cs="Arial"/>
          <w:sz w:val="24"/>
          <w:szCs w:val="24"/>
        </w:rPr>
        <w:t xml:space="preserve"> </w:t>
      </w:r>
      <w:r w:rsidR="00E14607" w:rsidRPr="00D833B0">
        <w:rPr>
          <w:rFonts w:ascii="Arial" w:hAnsi="Arial" w:cs="Arial"/>
          <w:sz w:val="24"/>
          <w:szCs w:val="24"/>
        </w:rPr>
        <w:t xml:space="preserve">was </w:t>
      </w:r>
      <w:r w:rsidR="00AF2B67" w:rsidRPr="00D833B0">
        <w:rPr>
          <w:rFonts w:ascii="Arial" w:hAnsi="Arial" w:cs="Arial"/>
          <w:sz w:val="24"/>
          <w:szCs w:val="24"/>
        </w:rPr>
        <w:t xml:space="preserve">portrayed as being </w:t>
      </w:r>
      <w:r w:rsidR="00E14607" w:rsidRPr="00D833B0">
        <w:rPr>
          <w:rFonts w:ascii="Arial" w:hAnsi="Arial" w:cs="Arial"/>
          <w:sz w:val="24"/>
          <w:szCs w:val="24"/>
        </w:rPr>
        <w:t>very erratic</w:t>
      </w:r>
      <w:r w:rsidR="00AF2B67" w:rsidRPr="00D833B0">
        <w:rPr>
          <w:rFonts w:ascii="Arial" w:hAnsi="Arial" w:cs="Arial"/>
          <w:sz w:val="24"/>
          <w:szCs w:val="24"/>
        </w:rPr>
        <w:t xml:space="preserve"> towards Becket and extremely admired</w:t>
      </w:r>
      <w:r w:rsidR="00E14607" w:rsidRPr="00D833B0">
        <w:rPr>
          <w:rFonts w:ascii="Arial" w:hAnsi="Arial" w:cs="Arial"/>
          <w:sz w:val="24"/>
          <w:szCs w:val="24"/>
        </w:rPr>
        <w:t xml:space="preserve"> </w:t>
      </w:r>
      <w:r w:rsidR="00AF2B67" w:rsidRPr="00D833B0">
        <w:rPr>
          <w:rFonts w:ascii="Arial" w:hAnsi="Arial" w:cs="Arial"/>
          <w:sz w:val="24"/>
          <w:szCs w:val="24"/>
        </w:rPr>
        <w:t>him</w:t>
      </w:r>
      <w:r w:rsidR="00E14607" w:rsidRPr="00D833B0">
        <w:rPr>
          <w:rFonts w:ascii="Arial" w:hAnsi="Arial" w:cs="Arial"/>
          <w:sz w:val="24"/>
          <w:szCs w:val="24"/>
        </w:rPr>
        <w:t>.   Due to what is said by the King and how he behaves, it was very plausible that he and Becket knew each other sexually</w:t>
      </w:r>
      <w:r w:rsidR="00596C3F" w:rsidRPr="00D833B0">
        <w:rPr>
          <w:rFonts w:ascii="Arial" w:hAnsi="Arial" w:cs="Arial"/>
          <w:sz w:val="24"/>
          <w:szCs w:val="24"/>
        </w:rPr>
        <w:t>.</w:t>
      </w:r>
      <w:r w:rsidR="00596C3F" w:rsidRPr="00D833B0">
        <w:rPr>
          <w:rStyle w:val="FootnoteReference"/>
          <w:rFonts w:ascii="Arial" w:hAnsi="Arial" w:cs="Arial"/>
          <w:sz w:val="24"/>
          <w:szCs w:val="24"/>
        </w:rPr>
        <w:footnoteReference w:id="5"/>
      </w:r>
      <w:r w:rsidR="000E6D3D" w:rsidRPr="00D833B0">
        <w:rPr>
          <w:rFonts w:ascii="Arial" w:hAnsi="Arial" w:cs="Arial"/>
          <w:sz w:val="24"/>
          <w:szCs w:val="24"/>
        </w:rPr>
        <w:t xml:space="preserve">  This would have been </w:t>
      </w:r>
      <w:r w:rsidR="000E6D3D" w:rsidRPr="00D833B0">
        <w:rPr>
          <w:rFonts w:ascii="Arial" w:hAnsi="Arial" w:cs="Arial"/>
          <w:sz w:val="24"/>
          <w:szCs w:val="24"/>
        </w:rPr>
        <w:lastRenderedPageBreak/>
        <w:t>seen as extremely controversial for the time</w:t>
      </w:r>
      <w:r w:rsidR="00176AC7" w:rsidRPr="00D833B0">
        <w:rPr>
          <w:rFonts w:ascii="Arial" w:hAnsi="Arial" w:cs="Arial"/>
          <w:sz w:val="24"/>
          <w:szCs w:val="24"/>
        </w:rPr>
        <w:t xml:space="preserve"> for when the film was made</w:t>
      </w:r>
      <w:r w:rsidR="000E6D3D" w:rsidRPr="00D833B0">
        <w:rPr>
          <w:rFonts w:ascii="Arial" w:hAnsi="Arial" w:cs="Arial"/>
          <w:sz w:val="24"/>
          <w:szCs w:val="24"/>
        </w:rPr>
        <w:t>, as it was not legal to be homosexual until 1967</w:t>
      </w:r>
      <w:r w:rsidR="00176AC7" w:rsidRPr="00D833B0">
        <w:rPr>
          <w:rFonts w:ascii="Arial" w:hAnsi="Arial" w:cs="Arial"/>
          <w:sz w:val="24"/>
          <w:szCs w:val="24"/>
        </w:rPr>
        <w:t>, t</w:t>
      </w:r>
      <w:r w:rsidR="00CC3C61" w:rsidRPr="00D833B0">
        <w:rPr>
          <w:rFonts w:ascii="Arial" w:hAnsi="Arial" w:cs="Arial"/>
          <w:sz w:val="24"/>
          <w:szCs w:val="24"/>
        </w:rPr>
        <w:t>h</w:t>
      </w:r>
      <w:r w:rsidR="000E6D3D" w:rsidRPr="00D833B0">
        <w:rPr>
          <w:rFonts w:ascii="Arial" w:hAnsi="Arial" w:cs="Arial"/>
          <w:sz w:val="24"/>
          <w:szCs w:val="24"/>
        </w:rPr>
        <w:t xml:space="preserve">ough this was only </w:t>
      </w:r>
      <w:r w:rsidR="00176AC7" w:rsidRPr="00D833B0">
        <w:rPr>
          <w:rFonts w:ascii="Arial" w:hAnsi="Arial" w:cs="Arial"/>
          <w:sz w:val="24"/>
          <w:szCs w:val="24"/>
        </w:rPr>
        <w:t>for</w:t>
      </w:r>
      <w:r w:rsidR="000E6D3D" w:rsidRPr="00D833B0">
        <w:rPr>
          <w:rFonts w:ascii="Arial" w:hAnsi="Arial" w:cs="Arial"/>
          <w:sz w:val="24"/>
          <w:szCs w:val="24"/>
        </w:rPr>
        <w:t xml:space="preserve"> men aged 21 and above.</w:t>
      </w:r>
    </w:p>
    <w:p w14:paraId="5B459B94" w14:textId="77777777" w:rsidR="007B3610" w:rsidRPr="00D833B0" w:rsidRDefault="00817220" w:rsidP="00CE484A">
      <w:pPr>
        <w:jc w:val="both"/>
        <w:rPr>
          <w:rFonts w:ascii="Arial" w:hAnsi="Arial" w:cs="Arial"/>
          <w:sz w:val="24"/>
          <w:szCs w:val="24"/>
        </w:rPr>
      </w:pPr>
      <w:r w:rsidRPr="00D833B0">
        <w:rPr>
          <w:rFonts w:ascii="Arial" w:hAnsi="Arial" w:cs="Arial"/>
          <w:sz w:val="24"/>
          <w:szCs w:val="24"/>
        </w:rPr>
        <w:t>In the film the</w:t>
      </w:r>
      <w:r w:rsidR="00553A45" w:rsidRPr="00D833B0">
        <w:rPr>
          <w:rFonts w:ascii="Arial" w:hAnsi="Arial" w:cs="Arial"/>
          <w:sz w:val="24"/>
          <w:szCs w:val="24"/>
        </w:rPr>
        <w:t xml:space="preserve"> relationship between the King and Becket does start off as being quite friendly,</w:t>
      </w:r>
      <w:r w:rsidRPr="00D833B0">
        <w:rPr>
          <w:rFonts w:ascii="Arial" w:hAnsi="Arial" w:cs="Arial"/>
          <w:sz w:val="24"/>
          <w:szCs w:val="24"/>
        </w:rPr>
        <w:t xml:space="preserve"> where</w:t>
      </w:r>
      <w:r w:rsidR="00553A45" w:rsidRPr="00D833B0">
        <w:rPr>
          <w:rFonts w:ascii="Arial" w:hAnsi="Arial" w:cs="Arial"/>
          <w:sz w:val="24"/>
          <w:szCs w:val="24"/>
        </w:rPr>
        <w:t xml:space="preserve"> they seem to be appreciative of one another.  This continues for a while</w:t>
      </w:r>
      <w:r w:rsidR="00C17098" w:rsidRPr="00D833B0">
        <w:rPr>
          <w:rFonts w:ascii="Arial" w:hAnsi="Arial" w:cs="Arial"/>
          <w:sz w:val="24"/>
          <w:szCs w:val="24"/>
        </w:rPr>
        <w:t xml:space="preserve"> and there is evidence of further homo-erotic scenes. For instance, when the King is taking a bath, Becket enters and shortly after he rubs the kings back after his other servant. Once Becket has done this, he </w:t>
      </w:r>
      <w:r w:rsidR="00DC4C07" w:rsidRPr="00D833B0">
        <w:rPr>
          <w:rFonts w:ascii="Arial" w:hAnsi="Arial" w:cs="Arial"/>
          <w:sz w:val="24"/>
          <w:szCs w:val="24"/>
        </w:rPr>
        <w:t>helps the King put on his clothes. Later Becket asks the King to dinner, where they discuss the cutlery and the King says, “I eat off silver”, Becket then replies, “Your expenses are heavy, I have only my</w:t>
      </w:r>
      <w:r w:rsidR="00E75B99" w:rsidRPr="00D833B0">
        <w:rPr>
          <w:rFonts w:ascii="Arial" w:hAnsi="Arial" w:cs="Arial"/>
          <w:sz w:val="24"/>
          <w:szCs w:val="24"/>
        </w:rPr>
        <w:t xml:space="preserve"> pleasure to pay for.”  This implies that Becket enjoyed the King’s </w:t>
      </w:r>
      <w:r w:rsidR="007B3610" w:rsidRPr="00D833B0">
        <w:rPr>
          <w:rFonts w:ascii="Arial" w:hAnsi="Arial" w:cs="Arial"/>
          <w:sz w:val="24"/>
          <w:szCs w:val="24"/>
        </w:rPr>
        <w:t>company but</w:t>
      </w:r>
      <w:r w:rsidR="00E75B99" w:rsidRPr="00D833B0">
        <w:rPr>
          <w:rFonts w:ascii="Arial" w:hAnsi="Arial" w:cs="Arial"/>
          <w:sz w:val="24"/>
          <w:szCs w:val="24"/>
        </w:rPr>
        <w:t xml:space="preserve"> may also imply that they were sexually intimate.</w:t>
      </w:r>
    </w:p>
    <w:p w14:paraId="14FD2B50" w14:textId="47207411" w:rsidR="00B9607D" w:rsidRPr="00D833B0" w:rsidRDefault="007B3610" w:rsidP="00CE484A">
      <w:pPr>
        <w:jc w:val="both"/>
        <w:rPr>
          <w:rFonts w:ascii="Arial" w:hAnsi="Arial" w:cs="Arial"/>
          <w:sz w:val="24"/>
          <w:szCs w:val="24"/>
        </w:rPr>
      </w:pPr>
      <w:r w:rsidRPr="00D833B0">
        <w:rPr>
          <w:rFonts w:ascii="Arial" w:hAnsi="Arial" w:cs="Arial"/>
          <w:sz w:val="24"/>
          <w:szCs w:val="24"/>
        </w:rPr>
        <w:t xml:space="preserve">Though in the film they were probably sexually intimate, Becket was promoted by the King and is portrayed as being a very intelligent person.  This can be seen in the scene where </w:t>
      </w:r>
      <w:r w:rsidR="00DC4C07" w:rsidRPr="00D833B0">
        <w:rPr>
          <w:rFonts w:ascii="Arial" w:hAnsi="Arial" w:cs="Arial"/>
          <w:sz w:val="24"/>
          <w:szCs w:val="24"/>
        </w:rPr>
        <w:t xml:space="preserve">the King </w:t>
      </w:r>
      <w:r w:rsidR="001B0015" w:rsidRPr="00D833B0">
        <w:rPr>
          <w:rFonts w:ascii="Arial" w:hAnsi="Arial" w:cs="Arial"/>
          <w:sz w:val="24"/>
          <w:szCs w:val="24"/>
        </w:rPr>
        <w:t xml:space="preserve">makes Becket the keeper of his seal </w:t>
      </w:r>
      <w:r w:rsidR="00DC4C07" w:rsidRPr="00D833B0">
        <w:rPr>
          <w:rFonts w:ascii="Arial" w:hAnsi="Arial" w:cs="Arial"/>
          <w:sz w:val="24"/>
          <w:szCs w:val="24"/>
        </w:rPr>
        <w:t>says to his council, “He</w:t>
      </w:r>
      <w:r w:rsidRPr="00D833B0">
        <w:rPr>
          <w:rFonts w:ascii="Arial" w:hAnsi="Arial" w:cs="Arial"/>
          <w:sz w:val="24"/>
          <w:szCs w:val="24"/>
        </w:rPr>
        <w:t xml:space="preserve">’ll check mate the lot of you”. </w:t>
      </w:r>
      <w:r w:rsidR="001B0015" w:rsidRPr="00D833B0">
        <w:rPr>
          <w:rFonts w:ascii="Arial" w:hAnsi="Arial" w:cs="Arial"/>
          <w:sz w:val="24"/>
          <w:szCs w:val="24"/>
        </w:rPr>
        <w:t xml:space="preserve">As the film continues their relationship becomes more complex after the King goes hunting with Becket, has a race with him </w:t>
      </w:r>
      <w:r w:rsidR="00EA75AC" w:rsidRPr="00D833B0">
        <w:rPr>
          <w:rFonts w:ascii="Arial" w:hAnsi="Arial" w:cs="Arial"/>
          <w:sz w:val="24"/>
          <w:szCs w:val="24"/>
        </w:rPr>
        <w:t xml:space="preserve">and then needs shelter.  The King finds a girl in this shelter (which is a peasant’s home) who he fancies and wants to take her from her family. This causes problems later as Becket also fancies her. </w:t>
      </w:r>
      <w:r w:rsidR="00771309" w:rsidRPr="00D833B0">
        <w:rPr>
          <w:rFonts w:ascii="Arial" w:hAnsi="Arial" w:cs="Arial"/>
          <w:sz w:val="24"/>
          <w:szCs w:val="24"/>
        </w:rPr>
        <w:t xml:space="preserve">In return of giving the girl to Becket, the </w:t>
      </w:r>
      <w:r w:rsidR="00EA75AC" w:rsidRPr="00D833B0">
        <w:rPr>
          <w:rFonts w:ascii="Arial" w:hAnsi="Arial" w:cs="Arial"/>
          <w:sz w:val="24"/>
          <w:szCs w:val="24"/>
        </w:rPr>
        <w:t>King wants Gwendoline (someone Becket is overly fond of</w:t>
      </w:r>
      <w:r w:rsidR="00771309" w:rsidRPr="00D833B0">
        <w:rPr>
          <w:rFonts w:ascii="Arial" w:hAnsi="Arial" w:cs="Arial"/>
          <w:sz w:val="24"/>
          <w:szCs w:val="24"/>
        </w:rPr>
        <w:t xml:space="preserve"> and had a relationship with) and takes her away from Becket.  This ends very tragically, as Gwendoline kills herself.  This was probably the start of problems for the King and becket.  However</w:t>
      </w:r>
      <w:r w:rsidR="00FB163D" w:rsidRPr="00D833B0">
        <w:rPr>
          <w:rFonts w:ascii="Arial" w:hAnsi="Arial" w:cs="Arial"/>
          <w:sz w:val="24"/>
          <w:szCs w:val="24"/>
        </w:rPr>
        <w:t>,</w:t>
      </w:r>
      <w:r w:rsidR="00771309" w:rsidRPr="00D833B0">
        <w:rPr>
          <w:rFonts w:ascii="Arial" w:hAnsi="Arial" w:cs="Arial"/>
          <w:sz w:val="24"/>
          <w:szCs w:val="24"/>
        </w:rPr>
        <w:t xml:space="preserve"> their relationship becomes more problematic when Becket is promoted (again) to </w:t>
      </w:r>
      <w:r w:rsidR="00470742" w:rsidRPr="00D833B0">
        <w:rPr>
          <w:rFonts w:ascii="Arial" w:hAnsi="Arial" w:cs="Arial"/>
          <w:sz w:val="24"/>
          <w:szCs w:val="24"/>
        </w:rPr>
        <w:t>the Archbishop of Canterbury</w:t>
      </w:r>
      <w:r w:rsidR="00B9607D" w:rsidRPr="00D833B0">
        <w:rPr>
          <w:rFonts w:ascii="Arial" w:hAnsi="Arial" w:cs="Arial"/>
          <w:sz w:val="24"/>
          <w:szCs w:val="24"/>
        </w:rPr>
        <w:t xml:space="preserve"> Becket</w:t>
      </w:r>
      <w:r w:rsidR="00470742" w:rsidRPr="00D833B0">
        <w:rPr>
          <w:rFonts w:ascii="Arial" w:hAnsi="Arial" w:cs="Arial"/>
          <w:sz w:val="24"/>
          <w:szCs w:val="24"/>
        </w:rPr>
        <w:t>.</w:t>
      </w:r>
      <w:r w:rsidR="000E6D3D" w:rsidRPr="00D833B0">
        <w:rPr>
          <w:rStyle w:val="FootnoteReference"/>
          <w:rFonts w:ascii="Arial" w:hAnsi="Arial" w:cs="Arial"/>
          <w:sz w:val="24"/>
          <w:szCs w:val="24"/>
        </w:rPr>
        <w:footnoteReference w:id="6"/>
      </w:r>
      <w:r w:rsidR="00B9607D" w:rsidRPr="00D833B0">
        <w:rPr>
          <w:rFonts w:ascii="Arial" w:hAnsi="Arial" w:cs="Arial"/>
          <w:sz w:val="24"/>
          <w:szCs w:val="24"/>
        </w:rPr>
        <w:t xml:space="preserve">  </w:t>
      </w:r>
    </w:p>
    <w:p w14:paraId="01CB8BC8" w14:textId="504F63C6" w:rsidR="002F4C68" w:rsidRPr="00D833B0" w:rsidRDefault="00FB163D" w:rsidP="00CE484A">
      <w:pPr>
        <w:jc w:val="both"/>
        <w:rPr>
          <w:rFonts w:ascii="Arial" w:hAnsi="Arial" w:cs="Arial"/>
          <w:sz w:val="24"/>
          <w:szCs w:val="24"/>
        </w:rPr>
      </w:pPr>
      <w:r w:rsidRPr="00D833B0">
        <w:rPr>
          <w:rFonts w:ascii="Arial" w:hAnsi="Arial" w:cs="Arial"/>
          <w:sz w:val="24"/>
          <w:szCs w:val="24"/>
        </w:rPr>
        <w:t>In the film, t</w:t>
      </w:r>
      <w:r w:rsidR="00771309" w:rsidRPr="00D833B0">
        <w:rPr>
          <w:rFonts w:ascii="Arial" w:hAnsi="Arial" w:cs="Arial"/>
          <w:sz w:val="24"/>
          <w:szCs w:val="24"/>
        </w:rPr>
        <w:t>he reason for promoting Becket</w:t>
      </w:r>
      <w:r w:rsidRPr="00D833B0">
        <w:rPr>
          <w:rFonts w:ascii="Arial" w:hAnsi="Arial" w:cs="Arial"/>
          <w:sz w:val="24"/>
          <w:szCs w:val="24"/>
        </w:rPr>
        <w:t xml:space="preserve"> </w:t>
      </w:r>
      <w:r w:rsidR="00771309" w:rsidRPr="00D833B0">
        <w:rPr>
          <w:rFonts w:ascii="Arial" w:hAnsi="Arial" w:cs="Arial"/>
          <w:sz w:val="24"/>
          <w:szCs w:val="24"/>
        </w:rPr>
        <w:t xml:space="preserve">was because the King wanted the Church more on his side.  Though Becket was initially carrying out the two roles of the King’s seal and the Archbishop of </w:t>
      </w:r>
      <w:r w:rsidRPr="00D833B0">
        <w:rPr>
          <w:rFonts w:ascii="Arial" w:hAnsi="Arial" w:cs="Arial"/>
          <w:sz w:val="24"/>
          <w:szCs w:val="24"/>
        </w:rPr>
        <w:t xml:space="preserve">Canterbury, Becket seemed to have a conviction by the Holy Spirit to serve the Church first and foremost.  At the same time Becket probably was under pressure to carry out his role as Archbishop and take it seriously.  Therefore, Becket may have also felt the need to stop being the King’s seal and concentrate solely on being the Archbishop of Canterbury. This upset the King, as he </w:t>
      </w:r>
      <w:r w:rsidR="00B7282A" w:rsidRPr="00D833B0">
        <w:rPr>
          <w:rFonts w:ascii="Arial" w:hAnsi="Arial" w:cs="Arial"/>
          <w:sz w:val="24"/>
          <w:szCs w:val="24"/>
        </w:rPr>
        <w:t>probably saw it as a betrayal of Becket’s loyalties as a friend (and a lover).</w:t>
      </w:r>
      <w:r w:rsidR="00C72A01" w:rsidRPr="00D833B0">
        <w:rPr>
          <w:rStyle w:val="FootnoteReference"/>
          <w:rFonts w:ascii="Arial" w:hAnsi="Arial" w:cs="Arial"/>
          <w:sz w:val="24"/>
          <w:szCs w:val="24"/>
        </w:rPr>
        <w:footnoteReference w:id="7"/>
      </w:r>
    </w:p>
    <w:p w14:paraId="7400035A" w14:textId="53E5CAC4" w:rsidR="00503708" w:rsidRPr="00D833B0" w:rsidRDefault="002F4C68" w:rsidP="00CE484A">
      <w:pPr>
        <w:jc w:val="both"/>
        <w:rPr>
          <w:rFonts w:ascii="Arial" w:hAnsi="Arial" w:cs="Arial"/>
          <w:sz w:val="24"/>
          <w:szCs w:val="24"/>
        </w:rPr>
      </w:pPr>
      <w:r w:rsidRPr="00D833B0">
        <w:rPr>
          <w:rFonts w:ascii="Arial" w:hAnsi="Arial" w:cs="Arial"/>
          <w:sz w:val="24"/>
          <w:szCs w:val="24"/>
        </w:rPr>
        <w:t xml:space="preserve">Later on in the film, they try and resolve their differences through reconciling with one another. This is portrayed in the scene is where King Henry II and Thomas Becket try and reconcile their relationship on the beach.  Unfortunately, this does not end as well as it could have and their relationship is not back to the standards it once was in the beginning.  This illustrates the complexities of their relationship whereby there is no </w:t>
      </w:r>
      <w:r w:rsidRPr="00D833B0">
        <w:rPr>
          <w:rFonts w:ascii="Arial" w:hAnsi="Arial" w:cs="Arial"/>
          <w:sz w:val="24"/>
          <w:szCs w:val="24"/>
        </w:rPr>
        <w:lastRenderedPageBreak/>
        <w:t xml:space="preserve">quick fix to the damage done. Certainly, the </w:t>
      </w:r>
      <w:r w:rsidR="00B7282A" w:rsidRPr="00D833B0">
        <w:rPr>
          <w:rFonts w:ascii="Arial" w:hAnsi="Arial" w:cs="Arial"/>
          <w:sz w:val="24"/>
          <w:szCs w:val="24"/>
        </w:rPr>
        <w:t>King appeared to be obsessive and anxious about Becket to the point his relationship was seen as ‘not natural’.</w:t>
      </w:r>
      <w:r w:rsidR="001373A5" w:rsidRPr="00D833B0">
        <w:rPr>
          <w:rStyle w:val="FootnoteReference"/>
          <w:rFonts w:ascii="Arial" w:hAnsi="Arial" w:cs="Arial"/>
          <w:sz w:val="24"/>
          <w:szCs w:val="24"/>
        </w:rPr>
        <w:footnoteReference w:id="8"/>
      </w:r>
    </w:p>
    <w:p w14:paraId="65401A9C" w14:textId="105F1749" w:rsidR="00771309" w:rsidRPr="00D833B0" w:rsidRDefault="00503708" w:rsidP="00CE484A">
      <w:pPr>
        <w:jc w:val="both"/>
        <w:rPr>
          <w:rFonts w:ascii="Arial" w:hAnsi="Arial" w:cs="Arial"/>
          <w:sz w:val="24"/>
          <w:szCs w:val="24"/>
        </w:rPr>
      </w:pPr>
      <w:r w:rsidRPr="00D833B0">
        <w:rPr>
          <w:rFonts w:ascii="Arial" w:hAnsi="Arial" w:cs="Arial"/>
          <w:sz w:val="24"/>
          <w:szCs w:val="24"/>
        </w:rPr>
        <w:t xml:space="preserve">Although there are what appears to be Homoerotic scenes in Becket, according to the </w:t>
      </w:r>
      <w:r w:rsidR="00E146B0" w:rsidRPr="00D833B0">
        <w:rPr>
          <w:rFonts w:ascii="Arial" w:hAnsi="Arial" w:cs="Arial"/>
          <w:sz w:val="24"/>
          <w:szCs w:val="24"/>
        </w:rPr>
        <w:t xml:space="preserve">Randy A Salas of the </w:t>
      </w:r>
      <w:r w:rsidRPr="00D833B0">
        <w:rPr>
          <w:rFonts w:ascii="Arial" w:hAnsi="Arial" w:cs="Arial"/>
          <w:sz w:val="24"/>
          <w:szCs w:val="24"/>
        </w:rPr>
        <w:t>Star tribune</w:t>
      </w:r>
      <w:r w:rsidR="00E146B0" w:rsidRPr="00D833B0">
        <w:rPr>
          <w:rFonts w:ascii="Arial" w:hAnsi="Arial" w:cs="Arial"/>
          <w:sz w:val="24"/>
          <w:szCs w:val="24"/>
        </w:rPr>
        <w:t xml:space="preserve">, </w:t>
      </w:r>
      <w:r w:rsidRPr="00D833B0">
        <w:rPr>
          <w:rFonts w:ascii="Arial" w:hAnsi="Arial" w:cs="Arial"/>
          <w:sz w:val="24"/>
          <w:szCs w:val="24"/>
        </w:rPr>
        <w:t>O’Toole</w:t>
      </w:r>
      <w:r w:rsidR="00F447A2" w:rsidRPr="00D833B0">
        <w:rPr>
          <w:rFonts w:ascii="Arial" w:hAnsi="Arial" w:cs="Arial"/>
          <w:sz w:val="24"/>
          <w:szCs w:val="24"/>
        </w:rPr>
        <w:t xml:space="preserve"> pointed out that</w:t>
      </w:r>
      <w:r w:rsidRPr="00D833B0">
        <w:rPr>
          <w:rFonts w:ascii="Arial" w:hAnsi="Arial" w:cs="Arial"/>
          <w:sz w:val="24"/>
          <w:szCs w:val="24"/>
        </w:rPr>
        <w:t>,</w:t>
      </w:r>
      <w:r w:rsidR="00F447A2" w:rsidRPr="00D833B0">
        <w:rPr>
          <w:rFonts w:ascii="Arial" w:hAnsi="Arial" w:cs="Arial"/>
          <w:sz w:val="24"/>
          <w:szCs w:val="24"/>
        </w:rPr>
        <w:t xml:space="preserve"> </w:t>
      </w:r>
      <w:r w:rsidRPr="00D833B0">
        <w:rPr>
          <w:rFonts w:ascii="Arial" w:hAnsi="Arial" w:cs="Arial"/>
          <w:sz w:val="24"/>
          <w:szCs w:val="24"/>
        </w:rPr>
        <w:t>it was more of a love between two men, rather than anything explicitly homosexual.</w:t>
      </w:r>
      <w:r w:rsidRPr="00D833B0">
        <w:rPr>
          <w:rStyle w:val="FootnoteReference"/>
          <w:rFonts w:ascii="Arial" w:hAnsi="Arial" w:cs="Arial"/>
          <w:sz w:val="24"/>
          <w:szCs w:val="24"/>
        </w:rPr>
        <w:footnoteReference w:id="9"/>
      </w:r>
      <w:r w:rsidR="00F447A2" w:rsidRPr="00D833B0">
        <w:rPr>
          <w:rFonts w:ascii="Arial" w:hAnsi="Arial" w:cs="Arial"/>
          <w:sz w:val="24"/>
          <w:szCs w:val="24"/>
        </w:rPr>
        <w:t xml:space="preserve">  However, in the film it </w:t>
      </w:r>
      <w:r w:rsidR="00B7282A" w:rsidRPr="00D833B0">
        <w:rPr>
          <w:rFonts w:ascii="Arial" w:hAnsi="Arial" w:cs="Arial"/>
          <w:sz w:val="24"/>
          <w:szCs w:val="24"/>
        </w:rPr>
        <w:t>seemed as though the King couldn’t live without h</w:t>
      </w:r>
      <w:r w:rsidR="00F447A2" w:rsidRPr="00D833B0">
        <w:rPr>
          <w:rFonts w:ascii="Arial" w:hAnsi="Arial" w:cs="Arial"/>
          <w:sz w:val="24"/>
          <w:szCs w:val="24"/>
        </w:rPr>
        <w:t>im and he came across quite neurotic in response to Becket.</w:t>
      </w:r>
      <w:r w:rsidR="004B6C72" w:rsidRPr="00D833B0">
        <w:rPr>
          <w:rFonts w:ascii="Arial" w:hAnsi="Arial" w:cs="Arial"/>
          <w:sz w:val="24"/>
          <w:szCs w:val="24"/>
        </w:rPr>
        <w:t xml:space="preserve">  This was because </w:t>
      </w:r>
      <w:r w:rsidR="00B7282A" w:rsidRPr="00D833B0">
        <w:rPr>
          <w:rFonts w:ascii="Arial" w:hAnsi="Arial" w:cs="Arial"/>
          <w:sz w:val="24"/>
          <w:szCs w:val="24"/>
        </w:rPr>
        <w:t>he felt so hurt that Becket chose the Church</w:t>
      </w:r>
      <w:r w:rsidR="004B6C72" w:rsidRPr="00D833B0">
        <w:rPr>
          <w:rFonts w:ascii="Arial" w:hAnsi="Arial" w:cs="Arial"/>
          <w:sz w:val="24"/>
          <w:szCs w:val="24"/>
        </w:rPr>
        <w:t xml:space="preserve"> and God</w:t>
      </w:r>
      <w:r w:rsidR="00B7282A" w:rsidRPr="00D833B0">
        <w:rPr>
          <w:rFonts w:ascii="Arial" w:hAnsi="Arial" w:cs="Arial"/>
          <w:sz w:val="24"/>
          <w:szCs w:val="24"/>
        </w:rPr>
        <w:t xml:space="preserve"> over him</w:t>
      </w:r>
      <w:r w:rsidR="00FA2B51" w:rsidRPr="00D833B0">
        <w:rPr>
          <w:rFonts w:ascii="Arial" w:hAnsi="Arial" w:cs="Arial"/>
          <w:sz w:val="24"/>
          <w:szCs w:val="24"/>
        </w:rPr>
        <w:t xml:space="preserve"> and it seemed</w:t>
      </w:r>
      <w:r w:rsidR="001373A5" w:rsidRPr="00D833B0">
        <w:rPr>
          <w:rFonts w:ascii="Arial" w:hAnsi="Arial" w:cs="Arial"/>
          <w:sz w:val="24"/>
          <w:szCs w:val="24"/>
        </w:rPr>
        <w:t xml:space="preserve"> to</w:t>
      </w:r>
      <w:r w:rsidR="00FA2B51" w:rsidRPr="00D833B0">
        <w:rPr>
          <w:rFonts w:ascii="Arial" w:hAnsi="Arial" w:cs="Arial"/>
          <w:sz w:val="24"/>
          <w:szCs w:val="24"/>
        </w:rPr>
        <w:t xml:space="preserve"> the King </w:t>
      </w:r>
      <w:r w:rsidR="001373A5" w:rsidRPr="00D833B0">
        <w:rPr>
          <w:rFonts w:ascii="Arial" w:hAnsi="Arial" w:cs="Arial"/>
          <w:sz w:val="24"/>
          <w:szCs w:val="24"/>
        </w:rPr>
        <w:t xml:space="preserve">that he </w:t>
      </w:r>
      <w:r w:rsidR="00FA2B51" w:rsidRPr="00D833B0">
        <w:rPr>
          <w:rFonts w:ascii="Arial" w:hAnsi="Arial" w:cs="Arial"/>
          <w:sz w:val="24"/>
          <w:szCs w:val="24"/>
        </w:rPr>
        <w:t>had lost</w:t>
      </w:r>
      <w:r w:rsidR="004B6C72" w:rsidRPr="00D833B0">
        <w:rPr>
          <w:rFonts w:ascii="Arial" w:hAnsi="Arial" w:cs="Arial"/>
          <w:sz w:val="24"/>
          <w:szCs w:val="24"/>
        </w:rPr>
        <w:t xml:space="preserve"> Becket</w:t>
      </w:r>
      <w:r w:rsidR="00FA2B51" w:rsidRPr="00D833B0">
        <w:rPr>
          <w:rFonts w:ascii="Arial" w:hAnsi="Arial" w:cs="Arial"/>
          <w:sz w:val="24"/>
          <w:szCs w:val="24"/>
        </w:rPr>
        <w:t xml:space="preserve"> to the Church and to God.  It is quite clear that the King wants to be number one in Becket’s life and since he </w:t>
      </w:r>
      <w:r w:rsidR="00EB5380" w:rsidRPr="00D833B0">
        <w:rPr>
          <w:rFonts w:ascii="Arial" w:hAnsi="Arial" w:cs="Arial"/>
          <w:sz w:val="24"/>
          <w:szCs w:val="24"/>
        </w:rPr>
        <w:t>probably felt betrayed and was hurt, he iterates</w:t>
      </w:r>
      <w:r w:rsidR="00FA2B51" w:rsidRPr="00D833B0">
        <w:rPr>
          <w:rFonts w:ascii="Arial" w:hAnsi="Arial" w:cs="Arial"/>
          <w:sz w:val="24"/>
          <w:szCs w:val="24"/>
        </w:rPr>
        <w:t>, “Will no one rid me of this meddlesome priest”.  This is actually taken quite literally by his barrens, who then go on to kill Thomas Becket.</w:t>
      </w:r>
      <w:r w:rsidR="00EB5380" w:rsidRPr="00D833B0">
        <w:rPr>
          <w:rStyle w:val="FootnoteReference"/>
          <w:rFonts w:ascii="Arial" w:hAnsi="Arial" w:cs="Arial"/>
          <w:sz w:val="24"/>
          <w:szCs w:val="24"/>
        </w:rPr>
        <w:footnoteReference w:id="10"/>
      </w:r>
    </w:p>
    <w:p w14:paraId="1B9B3E9C" w14:textId="2476AFFA" w:rsidR="00B751A1" w:rsidRPr="00D833B0" w:rsidRDefault="00B751A1" w:rsidP="00CE484A">
      <w:pPr>
        <w:jc w:val="both"/>
        <w:rPr>
          <w:rFonts w:ascii="Arial" w:hAnsi="Arial" w:cs="Arial"/>
          <w:sz w:val="24"/>
          <w:szCs w:val="24"/>
        </w:rPr>
      </w:pPr>
      <w:r w:rsidRPr="00D833B0">
        <w:rPr>
          <w:rFonts w:ascii="Arial" w:hAnsi="Arial" w:cs="Arial"/>
          <w:sz w:val="24"/>
          <w:szCs w:val="24"/>
        </w:rPr>
        <w:t>In terms of historical evidence, the death of Thomas Becket is quite well documented.</w:t>
      </w:r>
      <w:r w:rsidR="006168C1" w:rsidRPr="00D833B0">
        <w:rPr>
          <w:rStyle w:val="FootnoteReference"/>
          <w:rFonts w:ascii="Arial" w:hAnsi="Arial" w:cs="Arial"/>
          <w:sz w:val="24"/>
          <w:szCs w:val="24"/>
        </w:rPr>
        <w:footnoteReference w:id="11"/>
      </w:r>
      <w:r w:rsidRPr="00D833B0">
        <w:rPr>
          <w:rFonts w:ascii="Arial" w:hAnsi="Arial" w:cs="Arial"/>
          <w:sz w:val="24"/>
          <w:szCs w:val="24"/>
        </w:rPr>
        <w:t xml:space="preserve">  However, there does not seem to be much in the way to suggest that King Henry II and Thomas Becket were having a sexual affair.</w:t>
      </w:r>
      <w:r w:rsidR="004D22D7" w:rsidRPr="00D833B0">
        <w:rPr>
          <w:rFonts w:ascii="Arial" w:hAnsi="Arial" w:cs="Arial"/>
          <w:sz w:val="24"/>
          <w:szCs w:val="24"/>
        </w:rPr>
        <w:t xml:space="preserve"> There is some common knowledge to suggest that they were friends at first, however this changed drastically when Becket became more involved with the Church. Therefore, there is some truth to the film Becket, though the extent of that truth is extremely questionable.</w:t>
      </w:r>
      <w:r w:rsidR="00992B85" w:rsidRPr="00D833B0">
        <w:rPr>
          <w:rFonts w:ascii="Arial" w:hAnsi="Arial" w:cs="Arial"/>
          <w:sz w:val="24"/>
          <w:szCs w:val="24"/>
        </w:rPr>
        <w:t xml:space="preserve">  Indeed, the film was based on a play by </w:t>
      </w:r>
      <w:r w:rsidR="00E325A2" w:rsidRPr="00D833B0">
        <w:rPr>
          <w:rFonts w:ascii="Arial" w:hAnsi="Arial" w:cs="Arial"/>
          <w:sz w:val="24"/>
          <w:szCs w:val="24"/>
        </w:rPr>
        <w:t>Jean Anouilh, not the actual real life of Becket or Henry II.</w:t>
      </w:r>
      <w:r w:rsidR="00CA52C2" w:rsidRPr="00D833B0">
        <w:rPr>
          <w:rStyle w:val="FootnoteReference"/>
          <w:rFonts w:ascii="Arial" w:hAnsi="Arial" w:cs="Arial"/>
          <w:sz w:val="24"/>
          <w:szCs w:val="24"/>
        </w:rPr>
        <w:footnoteReference w:id="12"/>
      </w:r>
    </w:p>
    <w:p w14:paraId="794A242D" w14:textId="7960843D" w:rsidR="00B61D4C" w:rsidRPr="00D833B0" w:rsidRDefault="00694C77" w:rsidP="0098307A">
      <w:pPr>
        <w:jc w:val="both"/>
        <w:rPr>
          <w:rFonts w:ascii="Arial" w:hAnsi="Arial" w:cs="Arial"/>
          <w:sz w:val="24"/>
          <w:szCs w:val="24"/>
        </w:rPr>
      </w:pPr>
      <w:r w:rsidRPr="00D833B0">
        <w:rPr>
          <w:rFonts w:ascii="Arial" w:hAnsi="Arial" w:cs="Arial"/>
          <w:sz w:val="24"/>
          <w:szCs w:val="24"/>
        </w:rPr>
        <w:t xml:space="preserve">Although this was the case, </w:t>
      </w:r>
      <w:r w:rsidR="00CF3BC6" w:rsidRPr="00D833B0">
        <w:rPr>
          <w:rFonts w:ascii="Arial" w:hAnsi="Arial" w:cs="Arial"/>
          <w:sz w:val="24"/>
          <w:szCs w:val="24"/>
        </w:rPr>
        <w:t xml:space="preserve">medievalism </w:t>
      </w:r>
      <w:r w:rsidR="00895DDF" w:rsidRPr="00D833B0">
        <w:rPr>
          <w:rFonts w:ascii="Arial" w:hAnsi="Arial" w:cs="Arial"/>
          <w:sz w:val="24"/>
          <w:szCs w:val="24"/>
        </w:rPr>
        <w:t xml:space="preserve">was </w:t>
      </w:r>
      <w:r w:rsidR="00CF3BC6" w:rsidRPr="00D833B0">
        <w:rPr>
          <w:rFonts w:ascii="Arial" w:hAnsi="Arial" w:cs="Arial"/>
          <w:sz w:val="24"/>
          <w:szCs w:val="24"/>
        </w:rPr>
        <w:t xml:space="preserve">evident in the film since it was based in the period between ancient and modern times.  The film also romanticised the medieval period with the use of colours, costumes, and scenes.  </w:t>
      </w:r>
      <w:r w:rsidR="00895DDF" w:rsidRPr="00D833B0">
        <w:rPr>
          <w:rFonts w:ascii="Arial" w:hAnsi="Arial" w:cs="Arial"/>
          <w:sz w:val="24"/>
          <w:szCs w:val="24"/>
        </w:rPr>
        <w:t>Indeed, the costumes are very well made and reflect the typical medieval attire.</w:t>
      </w:r>
      <w:r w:rsidR="00663ABD" w:rsidRPr="00D833B0">
        <w:rPr>
          <w:rFonts w:ascii="Arial" w:hAnsi="Arial" w:cs="Arial"/>
          <w:sz w:val="24"/>
          <w:szCs w:val="24"/>
        </w:rPr>
        <w:t xml:space="preserve">  Therefore, due to the homoerotic nature of the film and its nostalgic romances of the medieval period, there is clear evidence of the film queer and medieval.  Thus, there is great evidence for Queer medievalism throughout the film</w:t>
      </w:r>
      <w:r w:rsidR="00663ABD" w:rsidRPr="00D833B0">
        <w:rPr>
          <w:rStyle w:val="FootnoteReference"/>
          <w:rFonts w:ascii="Arial" w:hAnsi="Arial" w:cs="Arial"/>
          <w:sz w:val="24"/>
          <w:szCs w:val="24"/>
        </w:rPr>
        <w:footnoteReference w:id="13"/>
      </w:r>
      <w:r w:rsidR="00663ABD" w:rsidRPr="00D833B0">
        <w:rPr>
          <w:rFonts w:ascii="Arial" w:hAnsi="Arial" w:cs="Arial"/>
          <w:sz w:val="24"/>
          <w:szCs w:val="24"/>
        </w:rPr>
        <w:t>.  In fact, there is evidence to suggest that being queer</w:t>
      </w:r>
      <w:r w:rsidR="007F5627" w:rsidRPr="00D833B0">
        <w:rPr>
          <w:rFonts w:ascii="Arial" w:hAnsi="Arial" w:cs="Arial"/>
          <w:sz w:val="24"/>
          <w:szCs w:val="24"/>
        </w:rPr>
        <w:t xml:space="preserve"> in the sense of having male to male relationships</w:t>
      </w:r>
      <w:r w:rsidR="00663ABD" w:rsidRPr="00D833B0">
        <w:rPr>
          <w:rFonts w:ascii="Arial" w:hAnsi="Arial" w:cs="Arial"/>
          <w:sz w:val="24"/>
          <w:szCs w:val="24"/>
        </w:rPr>
        <w:t xml:space="preserve"> was deemed as being </w:t>
      </w:r>
      <w:r w:rsidR="00663ABD" w:rsidRPr="00D833B0">
        <w:rPr>
          <w:rFonts w:ascii="Arial" w:hAnsi="Arial" w:cs="Arial"/>
          <w:sz w:val="24"/>
          <w:szCs w:val="24"/>
        </w:rPr>
        <w:lastRenderedPageBreak/>
        <w:t>acceptable in the early medieval period.</w:t>
      </w:r>
      <w:r w:rsidR="0098307A" w:rsidRPr="00D833B0">
        <w:rPr>
          <w:rStyle w:val="FootnoteReference"/>
          <w:rFonts w:ascii="Arial" w:hAnsi="Arial" w:cs="Arial"/>
          <w:sz w:val="24"/>
          <w:szCs w:val="24"/>
        </w:rPr>
        <w:footnoteReference w:id="14"/>
      </w:r>
      <w:r w:rsidR="007F5627" w:rsidRPr="00D833B0">
        <w:rPr>
          <w:rFonts w:ascii="Arial" w:hAnsi="Arial" w:cs="Arial"/>
          <w:sz w:val="24"/>
          <w:szCs w:val="24"/>
        </w:rPr>
        <w:t xml:space="preserve"> It was probably just about acceptable in the 11 and 1200s, as in the 13 and 1400s it became less acceptable, and certainly by the 15 to 1600s being gay, or queer</w:t>
      </w:r>
      <w:r w:rsidR="00B61D4C" w:rsidRPr="00D833B0">
        <w:rPr>
          <w:rFonts w:ascii="Arial" w:hAnsi="Arial" w:cs="Arial"/>
          <w:sz w:val="24"/>
          <w:szCs w:val="24"/>
        </w:rPr>
        <w:t xml:space="preserve"> </w:t>
      </w:r>
      <w:r w:rsidR="007F5627" w:rsidRPr="00D833B0">
        <w:rPr>
          <w:rFonts w:ascii="Arial" w:hAnsi="Arial" w:cs="Arial"/>
          <w:sz w:val="24"/>
          <w:szCs w:val="24"/>
        </w:rPr>
        <w:t>was deemed less acceptable</w:t>
      </w:r>
      <w:r w:rsidR="00B61D4C" w:rsidRPr="00D833B0">
        <w:rPr>
          <w:rFonts w:ascii="Arial" w:hAnsi="Arial" w:cs="Arial"/>
          <w:sz w:val="24"/>
          <w:szCs w:val="24"/>
        </w:rPr>
        <w:t xml:space="preserve">.  It was certainly not made legal until 1967 in U.K., as previously mentioned. However, in more recent times being gay, queer, lesbian, bisexual, trans and affiliations with LGBTQ+ has become more acceptable and people (even in </w:t>
      </w:r>
      <w:r w:rsidR="00EE5517" w:rsidRPr="00D833B0">
        <w:rPr>
          <w:rFonts w:ascii="Arial" w:hAnsi="Arial" w:cs="Arial"/>
          <w:sz w:val="24"/>
          <w:szCs w:val="24"/>
        </w:rPr>
        <w:t xml:space="preserve">some </w:t>
      </w:r>
      <w:r w:rsidR="00B61D4C" w:rsidRPr="00D833B0">
        <w:rPr>
          <w:rFonts w:ascii="Arial" w:hAnsi="Arial" w:cs="Arial"/>
          <w:sz w:val="24"/>
          <w:szCs w:val="24"/>
        </w:rPr>
        <w:t>Church</w:t>
      </w:r>
      <w:r w:rsidR="00EE5517" w:rsidRPr="00D833B0">
        <w:rPr>
          <w:rFonts w:ascii="Arial" w:hAnsi="Arial" w:cs="Arial"/>
          <w:sz w:val="24"/>
          <w:szCs w:val="24"/>
        </w:rPr>
        <w:t>es</w:t>
      </w:r>
      <w:r w:rsidR="00B61D4C" w:rsidRPr="00D833B0">
        <w:rPr>
          <w:rFonts w:ascii="Arial" w:hAnsi="Arial" w:cs="Arial"/>
          <w:sz w:val="24"/>
          <w:szCs w:val="24"/>
        </w:rPr>
        <w:t xml:space="preserve">) have become more inclusive; though there is still quite a way to go. </w:t>
      </w:r>
    </w:p>
    <w:p w14:paraId="2037E709" w14:textId="68ABC720" w:rsidR="00C15F8C" w:rsidRPr="00D833B0" w:rsidRDefault="00B61D4C" w:rsidP="00CE484A">
      <w:pPr>
        <w:jc w:val="both"/>
        <w:rPr>
          <w:rFonts w:ascii="Arial" w:hAnsi="Arial" w:cs="Arial"/>
          <w:sz w:val="24"/>
          <w:szCs w:val="24"/>
        </w:rPr>
      </w:pPr>
      <w:r w:rsidRPr="00D833B0">
        <w:rPr>
          <w:rFonts w:ascii="Arial" w:hAnsi="Arial" w:cs="Arial"/>
          <w:sz w:val="24"/>
          <w:szCs w:val="24"/>
        </w:rPr>
        <w:t>Therefore, as the film</w:t>
      </w:r>
      <w:r w:rsidR="00985192" w:rsidRPr="00D833B0">
        <w:rPr>
          <w:rFonts w:ascii="Arial" w:hAnsi="Arial" w:cs="Arial"/>
          <w:sz w:val="24"/>
          <w:szCs w:val="24"/>
        </w:rPr>
        <w:t xml:space="preserve"> Becket</w:t>
      </w:r>
      <w:r w:rsidRPr="00D833B0">
        <w:rPr>
          <w:rFonts w:ascii="Arial" w:hAnsi="Arial" w:cs="Arial"/>
          <w:sz w:val="24"/>
          <w:szCs w:val="24"/>
        </w:rPr>
        <w:t xml:space="preserve"> was made in 1964, the argument for queer medievalism in the film could be contended.  </w:t>
      </w:r>
      <w:r w:rsidR="00985192" w:rsidRPr="00D833B0">
        <w:rPr>
          <w:rFonts w:ascii="Arial" w:hAnsi="Arial" w:cs="Arial"/>
          <w:sz w:val="24"/>
          <w:szCs w:val="24"/>
        </w:rPr>
        <w:t xml:space="preserve">This is particularly as Peter O’Toole may not have seen the film in the light of Queer medievalism.  However, the evidence provided by the film would suggest otherwise. In real terms, there does not appear to be anything in the way to argue that the actual King Henry II and Thomas Becket did have an intimate relationship though there is some common knowledge that they were friends </w:t>
      </w:r>
      <w:r w:rsidR="00C044C8" w:rsidRPr="00D833B0">
        <w:rPr>
          <w:rFonts w:ascii="Arial" w:hAnsi="Arial" w:cs="Arial"/>
          <w:sz w:val="24"/>
          <w:szCs w:val="24"/>
        </w:rPr>
        <w:t xml:space="preserve">initially, however </w:t>
      </w:r>
      <w:r w:rsidR="00905880" w:rsidRPr="00D833B0">
        <w:rPr>
          <w:rFonts w:ascii="Arial" w:hAnsi="Arial" w:cs="Arial"/>
          <w:sz w:val="24"/>
          <w:szCs w:val="24"/>
        </w:rPr>
        <w:t xml:space="preserve">later </w:t>
      </w:r>
      <w:r w:rsidR="00985192" w:rsidRPr="00D833B0">
        <w:rPr>
          <w:rFonts w:ascii="Arial" w:hAnsi="Arial" w:cs="Arial"/>
          <w:sz w:val="24"/>
          <w:szCs w:val="24"/>
        </w:rPr>
        <w:t>t</w:t>
      </w:r>
      <w:r w:rsidR="00C044C8" w:rsidRPr="00D833B0">
        <w:rPr>
          <w:rFonts w:ascii="Arial" w:hAnsi="Arial" w:cs="Arial"/>
          <w:sz w:val="24"/>
          <w:szCs w:val="24"/>
        </w:rPr>
        <w:t xml:space="preserve">hey had a major dispute, and consequentially their </w:t>
      </w:r>
      <w:r w:rsidR="001515F8">
        <w:rPr>
          <w:rFonts w:ascii="Arial" w:hAnsi="Arial" w:cs="Arial"/>
          <w:sz w:val="24"/>
          <w:szCs w:val="24"/>
        </w:rPr>
        <w:t xml:space="preserve">friendship </w:t>
      </w:r>
      <w:r w:rsidR="00B201F7">
        <w:rPr>
          <w:rFonts w:ascii="Arial" w:hAnsi="Arial" w:cs="Arial"/>
          <w:sz w:val="24"/>
          <w:szCs w:val="24"/>
        </w:rPr>
        <w:t xml:space="preserve">was </w:t>
      </w:r>
      <w:r w:rsidR="004D621C" w:rsidRPr="00D833B0">
        <w:rPr>
          <w:rFonts w:ascii="Arial" w:hAnsi="Arial" w:cs="Arial"/>
          <w:sz w:val="24"/>
          <w:szCs w:val="24"/>
        </w:rPr>
        <w:t>thwarted</w:t>
      </w:r>
      <w:r w:rsidR="00C044C8" w:rsidRPr="00D833B0">
        <w:rPr>
          <w:rFonts w:ascii="Arial" w:hAnsi="Arial" w:cs="Arial"/>
          <w:sz w:val="24"/>
          <w:szCs w:val="24"/>
        </w:rPr>
        <w:t>.</w:t>
      </w:r>
      <w:r w:rsidR="00BD31A2" w:rsidRPr="00D833B0">
        <w:rPr>
          <w:rFonts w:ascii="Arial" w:hAnsi="Arial" w:cs="Arial"/>
          <w:sz w:val="24"/>
          <w:szCs w:val="24"/>
        </w:rPr>
        <w:t xml:space="preserve">  </w:t>
      </w:r>
    </w:p>
    <w:p w14:paraId="59B8323E" w14:textId="237033C8" w:rsidR="00C044C8" w:rsidRPr="00D833B0" w:rsidRDefault="000C4334" w:rsidP="00CE484A">
      <w:pPr>
        <w:jc w:val="both"/>
        <w:rPr>
          <w:rFonts w:ascii="Arial" w:hAnsi="Arial" w:cs="Arial"/>
          <w:sz w:val="24"/>
          <w:szCs w:val="24"/>
        </w:rPr>
      </w:pPr>
      <w:r w:rsidRPr="00D833B0">
        <w:rPr>
          <w:rFonts w:ascii="Arial" w:hAnsi="Arial" w:cs="Arial"/>
          <w:sz w:val="24"/>
          <w:szCs w:val="24"/>
        </w:rPr>
        <w:t>(Word count: 1</w:t>
      </w:r>
      <w:r w:rsidR="00C32D30" w:rsidRPr="00D833B0">
        <w:rPr>
          <w:rFonts w:ascii="Arial" w:hAnsi="Arial" w:cs="Arial"/>
          <w:sz w:val="24"/>
          <w:szCs w:val="24"/>
        </w:rPr>
        <w:t>8</w:t>
      </w:r>
      <w:r w:rsidR="001C25EB" w:rsidRPr="00D833B0">
        <w:rPr>
          <w:rFonts w:ascii="Arial" w:hAnsi="Arial" w:cs="Arial"/>
          <w:sz w:val="24"/>
          <w:szCs w:val="24"/>
        </w:rPr>
        <w:t>0</w:t>
      </w:r>
      <w:r w:rsidR="00B201F7">
        <w:rPr>
          <w:rFonts w:ascii="Arial" w:hAnsi="Arial" w:cs="Arial"/>
          <w:sz w:val="24"/>
          <w:szCs w:val="24"/>
        </w:rPr>
        <w:t>2</w:t>
      </w:r>
      <w:r w:rsidRPr="00D833B0">
        <w:rPr>
          <w:rFonts w:ascii="Arial" w:hAnsi="Arial" w:cs="Arial"/>
          <w:sz w:val="24"/>
          <w:szCs w:val="24"/>
        </w:rPr>
        <w:t>)</w:t>
      </w:r>
    </w:p>
    <w:p w14:paraId="4815329D" w14:textId="70438F5E" w:rsidR="00500B90" w:rsidRPr="00D833B0" w:rsidRDefault="00500B90" w:rsidP="00CE484A">
      <w:pPr>
        <w:jc w:val="both"/>
        <w:rPr>
          <w:rFonts w:ascii="Arial" w:hAnsi="Arial" w:cs="Arial"/>
          <w:sz w:val="24"/>
          <w:szCs w:val="24"/>
        </w:rPr>
      </w:pPr>
    </w:p>
    <w:p w14:paraId="6ADFFD49" w14:textId="75127E51" w:rsidR="00500B90" w:rsidRPr="00D833B0" w:rsidRDefault="00055A0C" w:rsidP="00CE484A">
      <w:pPr>
        <w:jc w:val="both"/>
        <w:rPr>
          <w:rFonts w:ascii="Arial" w:hAnsi="Arial" w:cs="Arial"/>
          <w:b/>
          <w:bCs/>
          <w:sz w:val="24"/>
          <w:szCs w:val="24"/>
        </w:rPr>
      </w:pPr>
      <w:r w:rsidRPr="00D833B0">
        <w:rPr>
          <w:rFonts w:ascii="Arial" w:hAnsi="Arial" w:cs="Arial"/>
          <w:b/>
          <w:bCs/>
          <w:sz w:val="24"/>
          <w:szCs w:val="24"/>
        </w:rPr>
        <w:t>References:</w:t>
      </w:r>
    </w:p>
    <w:p w14:paraId="6184F2D8" w14:textId="50FC663B" w:rsidR="00055A0C" w:rsidRPr="00D833B0" w:rsidRDefault="006D3350" w:rsidP="00CF53DB">
      <w:pPr>
        <w:pStyle w:val="FootnoteText"/>
        <w:rPr>
          <w:rFonts w:ascii="Arial" w:hAnsi="Arial" w:cs="Arial"/>
          <w:sz w:val="24"/>
          <w:szCs w:val="24"/>
        </w:rPr>
      </w:pPr>
      <w:r w:rsidRPr="00D833B0">
        <w:rPr>
          <w:rFonts w:ascii="Arial" w:hAnsi="Arial" w:cs="Arial"/>
          <w:sz w:val="24"/>
          <w:szCs w:val="24"/>
        </w:rPr>
        <w:t>‘Becket’, Peter Glenville (1964)</w:t>
      </w:r>
      <w:r w:rsidR="00CF53DB" w:rsidRPr="00D833B0">
        <w:rPr>
          <w:rFonts w:ascii="Arial" w:hAnsi="Arial" w:cs="Arial"/>
          <w:sz w:val="24"/>
          <w:szCs w:val="24"/>
        </w:rPr>
        <w:t>: &lt;</w:t>
      </w:r>
      <w:hyperlink r:id="rId7" w:history="1">
        <w:r w:rsidR="000F6358" w:rsidRPr="00D833B0">
          <w:rPr>
            <w:rStyle w:val="Hyperlink"/>
            <w:rFonts w:ascii="Arial" w:hAnsi="Arial" w:cs="Arial"/>
            <w:sz w:val="24"/>
            <w:szCs w:val="24"/>
          </w:rPr>
          <w:t>https://moodle.uwtsd.ac.uk/course/view.php?id=7287</w:t>
        </w:r>
      </w:hyperlink>
      <w:r w:rsidR="00CF53DB" w:rsidRPr="00D833B0">
        <w:rPr>
          <w:rFonts w:ascii="Arial" w:hAnsi="Arial" w:cs="Arial"/>
          <w:sz w:val="24"/>
          <w:szCs w:val="24"/>
        </w:rPr>
        <w:t>&gt; [accessed 30</w:t>
      </w:r>
      <w:r w:rsidR="00CF53DB" w:rsidRPr="00D833B0">
        <w:rPr>
          <w:rFonts w:ascii="Arial" w:hAnsi="Arial" w:cs="Arial"/>
          <w:sz w:val="24"/>
          <w:szCs w:val="24"/>
          <w:vertAlign w:val="superscript"/>
        </w:rPr>
        <w:t>th</w:t>
      </w:r>
      <w:r w:rsidR="00CF53DB" w:rsidRPr="00D833B0">
        <w:rPr>
          <w:rFonts w:ascii="Arial" w:hAnsi="Arial" w:cs="Arial"/>
          <w:sz w:val="24"/>
          <w:szCs w:val="24"/>
        </w:rPr>
        <w:t xml:space="preserve"> November 2021]</w:t>
      </w:r>
    </w:p>
    <w:p w14:paraId="25FC4656" w14:textId="6462BD4E" w:rsidR="00CF53DB" w:rsidRPr="00D833B0" w:rsidRDefault="00CF53DB" w:rsidP="00CF53DB">
      <w:pPr>
        <w:pStyle w:val="FootnoteText"/>
        <w:rPr>
          <w:rFonts w:ascii="Arial" w:hAnsi="Arial" w:cs="Arial"/>
          <w:sz w:val="24"/>
          <w:szCs w:val="24"/>
        </w:rPr>
      </w:pPr>
    </w:p>
    <w:p w14:paraId="3016590B" w14:textId="43AD54C6" w:rsidR="00D833B0" w:rsidRDefault="00D833B0" w:rsidP="00CF53DB">
      <w:pPr>
        <w:pStyle w:val="FootnoteText"/>
        <w:rPr>
          <w:rFonts w:ascii="Arial" w:hAnsi="Arial" w:cs="Arial"/>
          <w:sz w:val="24"/>
          <w:szCs w:val="24"/>
        </w:rPr>
      </w:pPr>
      <w:r w:rsidRPr="00D833B0">
        <w:rPr>
          <w:rFonts w:ascii="Arial" w:hAnsi="Arial" w:cs="Arial"/>
          <w:sz w:val="24"/>
          <w:szCs w:val="24"/>
        </w:rPr>
        <w:t>Britnall</w:t>
      </w:r>
      <w:r w:rsidRPr="00D833B0">
        <w:rPr>
          <w:rFonts w:ascii="Arial" w:hAnsi="Arial" w:cs="Arial"/>
          <w:sz w:val="24"/>
          <w:szCs w:val="24"/>
        </w:rPr>
        <w:t>, Kent, L (2021)</w:t>
      </w:r>
      <w:r w:rsidRPr="00D833B0">
        <w:rPr>
          <w:rFonts w:ascii="Arial" w:hAnsi="Arial" w:cs="Arial"/>
          <w:sz w:val="24"/>
          <w:szCs w:val="24"/>
        </w:rPr>
        <w:t xml:space="preserve">, Once upon a queer theory, Religion Compass, 15 (3) (2021) DOI: 10/1111/rec3.12388: </w:t>
      </w:r>
      <w:r>
        <w:rPr>
          <w:rFonts w:ascii="Arial" w:hAnsi="Arial" w:cs="Arial"/>
          <w:sz w:val="24"/>
          <w:szCs w:val="24"/>
        </w:rPr>
        <w:t>&lt;</w:t>
      </w:r>
      <w:hyperlink r:id="rId8" w:history="1">
        <w:r w:rsidRPr="00397DC2">
          <w:rPr>
            <w:rStyle w:val="Hyperlink"/>
            <w:rFonts w:ascii="Arial" w:hAnsi="Arial" w:cs="Arial"/>
            <w:sz w:val="24"/>
            <w:szCs w:val="24"/>
          </w:rPr>
          <w:t>https://onlinelibrary-wiley-com.ezproxy.uwtsd.ac.uk/doi/epdf/10.1111/rec3.12388</w:t>
        </w:r>
      </w:hyperlink>
      <w:r>
        <w:rPr>
          <w:rFonts w:ascii="Arial" w:hAnsi="Arial" w:cs="Arial"/>
          <w:sz w:val="24"/>
          <w:szCs w:val="24"/>
        </w:rPr>
        <w:t>&gt;</w:t>
      </w:r>
      <w:r w:rsidRPr="00D833B0">
        <w:rPr>
          <w:rFonts w:ascii="Arial" w:hAnsi="Arial" w:cs="Arial"/>
          <w:sz w:val="24"/>
          <w:szCs w:val="24"/>
        </w:rPr>
        <w:t>accessed 28th November 2021]</w:t>
      </w:r>
    </w:p>
    <w:p w14:paraId="6B9A0379" w14:textId="33C990D5" w:rsidR="00B663DC" w:rsidRDefault="00B663DC" w:rsidP="00CF53DB">
      <w:pPr>
        <w:pStyle w:val="FootnoteText"/>
        <w:rPr>
          <w:rFonts w:ascii="Arial" w:hAnsi="Arial" w:cs="Arial"/>
          <w:sz w:val="24"/>
          <w:szCs w:val="24"/>
        </w:rPr>
      </w:pPr>
    </w:p>
    <w:p w14:paraId="37952124" w14:textId="792ED820" w:rsidR="00D833B0" w:rsidRPr="00D833B0" w:rsidRDefault="00B663DC" w:rsidP="00B663DC">
      <w:pPr>
        <w:jc w:val="both"/>
        <w:rPr>
          <w:rFonts w:ascii="Arial" w:hAnsi="Arial" w:cs="Arial"/>
          <w:sz w:val="24"/>
          <w:szCs w:val="24"/>
        </w:rPr>
      </w:pPr>
      <w:r>
        <w:rPr>
          <w:rFonts w:ascii="Arial" w:hAnsi="Arial" w:cs="Arial"/>
          <w:sz w:val="24"/>
          <w:szCs w:val="24"/>
        </w:rPr>
        <w:t xml:space="preserve">Giffney, Noreen. (2009), ‘Introduction’ in </w:t>
      </w:r>
      <w:r w:rsidRPr="00D833B0">
        <w:rPr>
          <w:rFonts w:ascii="Arial" w:hAnsi="Arial" w:cs="Arial"/>
          <w:sz w:val="24"/>
          <w:szCs w:val="24"/>
        </w:rPr>
        <w:t>Noreen Giffney and Michael O’Rourke, The Ashgate Research Companion to Queer Theory (Ashgate e-book: Ashgate Publishing Limited: 2009).</w:t>
      </w:r>
    </w:p>
    <w:p w14:paraId="29E9B784" w14:textId="4CA7F5C6" w:rsidR="006D3350" w:rsidRPr="00D833B0" w:rsidRDefault="00EE5517" w:rsidP="00CE484A">
      <w:pPr>
        <w:jc w:val="both"/>
        <w:rPr>
          <w:rFonts w:ascii="Arial" w:hAnsi="Arial" w:cs="Arial"/>
          <w:sz w:val="24"/>
          <w:szCs w:val="24"/>
        </w:rPr>
      </w:pPr>
      <w:r w:rsidRPr="00D833B0">
        <w:rPr>
          <w:rFonts w:ascii="Arial" w:hAnsi="Arial" w:cs="Arial"/>
          <w:sz w:val="24"/>
          <w:szCs w:val="24"/>
        </w:rPr>
        <w:t xml:space="preserve">Kruger, </w:t>
      </w:r>
      <w:r w:rsidRPr="00D833B0">
        <w:rPr>
          <w:rFonts w:ascii="Arial" w:hAnsi="Arial" w:cs="Arial"/>
          <w:sz w:val="24"/>
          <w:szCs w:val="24"/>
        </w:rPr>
        <w:t>Steven, F (2009), ‘</w:t>
      </w:r>
      <w:r w:rsidRPr="00D833B0">
        <w:rPr>
          <w:rFonts w:ascii="Arial" w:hAnsi="Arial" w:cs="Arial"/>
          <w:sz w:val="24"/>
          <w:szCs w:val="24"/>
        </w:rPr>
        <w:t>Queer Middle Ages</w:t>
      </w:r>
      <w:r w:rsidRPr="00D833B0">
        <w:rPr>
          <w:rFonts w:ascii="Arial" w:hAnsi="Arial" w:cs="Arial"/>
          <w:sz w:val="24"/>
          <w:szCs w:val="24"/>
        </w:rPr>
        <w:t>’</w:t>
      </w:r>
      <w:r w:rsidRPr="00D833B0">
        <w:rPr>
          <w:rFonts w:ascii="Arial" w:hAnsi="Arial" w:cs="Arial"/>
          <w:sz w:val="24"/>
          <w:szCs w:val="24"/>
        </w:rPr>
        <w:t>, in Noreen Giffney and Michael O’Rourke, The Ashgate Research Companion to Queer Theory (Ashgate e-book: Ashgate Publishing Limited: 2009).</w:t>
      </w:r>
    </w:p>
    <w:p w14:paraId="628C7CCD" w14:textId="167ADB66" w:rsidR="004561C1" w:rsidRPr="00D833B0" w:rsidRDefault="004561C1" w:rsidP="004561C1">
      <w:pPr>
        <w:pStyle w:val="FootnoteText"/>
        <w:rPr>
          <w:rFonts w:ascii="Arial" w:hAnsi="Arial" w:cs="Arial"/>
          <w:sz w:val="24"/>
          <w:szCs w:val="24"/>
        </w:rPr>
      </w:pPr>
      <w:r w:rsidRPr="00D833B0">
        <w:rPr>
          <w:rFonts w:ascii="Arial" w:hAnsi="Arial" w:cs="Arial"/>
          <w:sz w:val="24"/>
          <w:szCs w:val="24"/>
        </w:rPr>
        <w:t>Oxford Dictionary of literary terms (Chris Baldick, 2015)</w:t>
      </w:r>
      <w:r w:rsidRPr="00D833B0">
        <w:rPr>
          <w:rFonts w:ascii="Arial" w:hAnsi="Arial" w:cs="Arial"/>
          <w:sz w:val="24"/>
          <w:szCs w:val="24"/>
        </w:rPr>
        <w:t>:  &lt;</w:t>
      </w:r>
      <w:hyperlink r:id="rId9" w:history="1">
        <w:r w:rsidRPr="00D833B0">
          <w:rPr>
            <w:rStyle w:val="Hyperlink"/>
            <w:rFonts w:ascii="Arial" w:hAnsi="Arial" w:cs="Arial"/>
            <w:sz w:val="24"/>
            <w:szCs w:val="24"/>
          </w:rPr>
          <w:t>https://www.oxfordreference.com/view/10.1093/acref/9780198715443.001.0001/acref-9780198715443</w:t>
        </w:r>
      </w:hyperlink>
      <w:r w:rsidRPr="00D833B0">
        <w:rPr>
          <w:rFonts w:ascii="Arial" w:hAnsi="Arial" w:cs="Arial"/>
          <w:sz w:val="24"/>
          <w:szCs w:val="24"/>
        </w:rPr>
        <w:t xml:space="preserve"> &gt; [Accessed 30</w:t>
      </w:r>
      <w:r w:rsidRPr="00D833B0">
        <w:rPr>
          <w:rFonts w:ascii="Arial" w:hAnsi="Arial" w:cs="Arial"/>
          <w:sz w:val="24"/>
          <w:szCs w:val="24"/>
          <w:vertAlign w:val="superscript"/>
        </w:rPr>
        <w:t>th</w:t>
      </w:r>
      <w:r w:rsidRPr="00D833B0">
        <w:rPr>
          <w:rFonts w:ascii="Arial" w:hAnsi="Arial" w:cs="Arial"/>
          <w:sz w:val="24"/>
          <w:szCs w:val="24"/>
        </w:rPr>
        <w:t xml:space="preserve"> November 2021]</w:t>
      </w:r>
    </w:p>
    <w:p w14:paraId="60D7B474" w14:textId="77777777" w:rsidR="004561C1" w:rsidRPr="00D833B0" w:rsidRDefault="004561C1" w:rsidP="004561C1">
      <w:pPr>
        <w:pStyle w:val="FootnoteText"/>
        <w:rPr>
          <w:rFonts w:ascii="Arial" w:hAnsi="Arial" w:cs="Arial"/>
          <w:sz w:val="24"/>
          <w:szCs w:val="24"/>
        </w:rPr>
      </w:pPr>
    </w:p>
    <w:p w14:paraId="7F1A826C" w14:textId="73DF3AFF" w:rsidR="000F6358" w:rsidRPr="00D833B0" w:rsidRDefault="000F6358" w:rsidP="00CE484A">
      <w:pPr>
        <w:jc w:val="both"/>
        <w:rPr>
          <w:rFonts w:ascii="Arial" w:hAnsi="Arial" w:cs="Arial"/>
          <w:sz w:val="24"/>
          <w:szCs w:val="24"/>
        </w:rPr>
      </w:pPr>
      <w:r w:rsidRPr="00D833B0">
        <w:rPr>
          <w:rFonts w:ascii="Arial" w:hAnsi="Arial" w:cs="Arial"/>
          <w:sz w:val="24"/>
          <w:szCs w:val="24"/>
        </w:rPr>
        <w:t>Oxford English Dictionary (2021): &lt;</w:t>
      </w:r>
      <w:hyperlink r:id="rId10" w:history="1">
        <w:r w:rsidR="00D833B0" w:rsidRPr="00397DC2">
          <w:rPr>
            <w:rStyle w:val="Hyperlink"/>
            <w:rFonts w:ascii="Arial" w:hAnsi="Arial" w:cs="Arial"/>
            <w:sz w:val="24"/>
            <w:szCs w:val="24"/>
          </w:rPr>
          <w:t>https://www.oed.com/</w:t>
        </w:r>
      </w:hyperlink>
      <w:r w:rsidRPr="00D833B0">
        <w:rPr>
          <w:rFonts w:ascii="Arial" w:hAnsi="Arial" w:cs="Arial"/>
          <w:sz w:val="24"/>
          <w:szCs w:val="24"/>
        </w:rPr>
        <w:t>&gt; [accessed 25</w:t>
      </w:r>
      <w:r w:rsidRPr="00D833B0">
        <w:rPr>
          <w:rFonts w:ascii="Arial" w:hAnsi="Arial" w:cs="Arial"/>
          <w:sz w:val="24"/>
          <w:szCs w:val="24"/>
          <w:vertAlign w:val="superscript"/>
        </w:rPr>
        <w:t>th</w:t>
      </w:r>
      <w:r w:rsidRPr="00D833B0">
        <w:rPr>
          <w:rFonts w:ascii="Arial" w:hAnsi="Arial" w:cs="Arial"/>
          <w:sz w:val="24"/>
          <w:szCs w:val="24"/>
        </w:rPr>
        <w:t xml:space="preserve"> November 2021]</w:t>
      </w:r>
    </w:p>
    <w:p w14:paraId="357032D0" w14:textId="58A6CA46" w:rsidR="000F6358" w:rsidRPr="00D833B0" w:rsidRDefault="000F6358" w:rsidP="000F6358">
      <w:pPr>
        <w:pStyle w:val="FootnoteText"/>
        <w:rPr>
          <w:rFonts w:ascii="Arial" w:hAnsi="Arial" w:cs="Arial"/>
          <w:sz w:val="24"/>
          <w:szCs w:val="24"/>
        </w:rPr>
      </w:pPr>
      <w:r w:rsidRPr="00D833B0">
        <w:rPr>
          <w:rFonts w:ascii="Arial" w:hAnsi="Arial" w:cs="Arial"/>
          <w:sz w:val="24"/>
          <w:szCs w:val="24"/>
        </w:rPr>
        <w:t xml:space="preserve">Pugh, </w:t>
      </w:r>
      <w:r w:rsidRPr="00D833B0">
        <w:rPr>
          <w:rFonts w:ascii="Arial" w:hAnsi="Arial" w:cs="Arial"/>
          <w:sz w:val="24"/>
          <w:szCs w:val="24"/>
        </w:rPr>
        <w:t xml:space="preserve">Thomas, </w:t>
      </w:r>
      <w:r w:rsidRPr="00D833B0">
        <w:rPr>
          <w:rFonts w:ascii="Arial" w:hAnsi="Arial" w:cs="Arial"/>
          <w:sz w:val="24"/>
          <w:szCs w:val="24"/>
        </w:rPr>
        <w:t>‘Shame, masculinity, and the death of Thomas Becket’, Cambridge University Press Speculum, (2012) 87 (4):</w:t>
      </w:r>
      <w:r w:rsidRPr="00D833B0">
        <w:rPr>
          <w:rFonts w:ascii="Arial" w:hAnsi="Arial" w:cs="Arial"/>
          <w:sz w:val="24"/>
          <w:szCs w:val="24"/>
        </w:rPr>
        <w:t xml:space="preserve"> &lt;</w:t>
      </w:r>
      <w:r w:rsidRPr="00D833B0">
        <w:rPr>
          <w:rFonts w:ascii="Arial" w:hAnsi="Arial" w:cs="Arial"/>
          <w:sz w:val="24"/>
          <w:szCs w:val="24"/>
        </w:rPr>
        <w:t xml:space="preserve"> </w:t>
      </w:r>
      <w:hyperlink r:id="rId11" w:history="1">
        <w:r w:rsidRPr="00D833B0">
          <w:rPr>
            <w:rStyle w:val="Hyperlink"/>
            <w:rFonts w:ascii="Arial" w:hAnsi="Arial" w:cs="Arial"/>
            <w:sz w:val="24"/>
            <w:szCs w:val="24"/>
          </w:rPr>
          <w:t>https://www-journals-uchicago-</w:t>
        </w:r>
        <w:r w:rsidRPr="00D833B0">
          <w:rPr>
            <w:rStyle w:val="Hyperlink"/>
            <w:rFonts w:ascii="Arial" w:hAnsi="Arial" w:cs="Arial"/>
            <w:sz w:val="24"/>
            <w:szCs w:val="24"/>
          </w:rPr>
          <w:lastRenderedPageBreak/>
          <w:t>edu.ezproxy.uwtsd.ac.uk/doi/pdfplus/10.1017%2FS0038713412004186</w:t>
        </w:r>
      </w:hyperlink>
      <w:r w:rsidRPr="00D833B0">
        <w:rPr>
          <w:rFonts w:ascii="Arial" w:hAnsi="Arial" w:cs="Arial"/>
          <w:sz w:val="24"/>
          <w:szCs w:val="24"/>
        </w:rPr>
        <w:t xml:space="preserve"> </w:t>
      </w:r>
      <w:r w:rsidRPr="00D833B0">
        <w:rPr>
          <w:rFonts w:ascii="Arial" w:hAnsi="Arial" w:cs="Arial"/>
          <w:sz w:val="24"/>
          <w:szCs w:val="24"/>
        </w:rPr>
        <w:t xml:space="preserve">&gt; </w:t>
      </w:r>
      <w:r w:rsidRPr="00D833B0">
        <w:rPr>
          <w:rFonts w:ascii="Arial" w:hAnsi="Arial" w:cs="Arial"/>
          <w:sz w:val="24"/>
          <w:szCs w:val="24"/>
        </w:rPr>
        <w:t>[accessed 1</w:t>
      </w:r>
      <w:r w:rsidRPr="00D833B0">
        <w:rPr>
          <w:rFonts w:ascii="Arial" w:hAnsi="Arial" w:cs="Arial"/>
          <w:sz w:val="24"/>
          <w:szCs w:val="24"/>
          <w:vertAlign w:val="superscript"/>
        </w:rPr>
        <w:t>st</w:t>
      </w:r>
      <w:r w:rsidRPr="00D833B0">
        <w:rPr>
          <w:rFonts w:ascii="Arial" w:hAnsi="Arial" w:cs="Arial"/>
          <w:sz w:val="24"/>
          <w:szCs w:val="24"/>
        </w:rPr>
        <w:t xml:space="preserve"> December 2021]</w:t>
      </w:r>
    </w:p>
    <w:p w14:paraId="11AAB573" w14:textId="5CFFC455" w:rsidR="009B1EF2" w:rsidRPr="00D833B0" w:rsidRDefault="009B1EF2" w:rsidP="000F6358">
      <w:pPr>
        <w:pStyle w:val="FootnoteText"/>
        <w:rPr>
          <w:rFonts w:ascii="Arial" w:hAnsi="Arial" w:cs="Arial"/>
          <w:sz w:val="24"/>
          <w:szCs w:val="24"/>
        </w:rPr>
      </w:pPr>
    </w:p>
    <w:p w14:paraId="60ACDE2F" w14:textId="2A5B3338" w:rsidR="009B1EF2" w:rsidRPr="00D833B0" w:rsidRDefault="009B1EF2" w:rsidP="009B1EF2">
      <w:pPr>
        <w:pStyle w:val="FootnoteText"/>
        <w:rPr>
          <w:rFonts w:ascii="Arial" w:hAnsi="Arial" w:cs="Arial"/>
          <w:sz w:val="24"/>
          <w:szCs w:val="24"/>
        </w:rPr>
      </w:pPr>
      <w:r w:rsidRPr="00D833B0">
        <w:rPr>
          <w:rFonts w:ascii="Arial" w:hAnsi="Arial" w:cs="Arial"/>
          <w:sz w:val="24"/>
          <w:szCs w:val="24"/>
        </w:rPr>
        <w:t>Salas, R</w:t>
      </w:r>
      <w:r w:rsidR="0069645C" w:rsidRPr="00D833B0">
        <w:rPr>
          <w:rFonts w:ascii="Arial" w:hAnsi="Arial" w:cs="Arial"/>
          <w:sz w:val="24"/>
          <w:szCs w:val="24"/>
        </w:rPr>
        <w:t>andy</w:t>
      </w:r>
      <w:r w:rsidRPr="00D833B0">
        <w:rPr>
          <w:rFonts w:ascii="Arial" w:hAnsi="Arial" w:cs="Arial"/>
          <w:sz w:val="24"/>
          <w:szCs w:val="24"/>
        </w:rPr>
        <w:t xml:space="preserve">, A., </w:t>
      </w:r>
      <w:r w:rsidRPr="00D833B0">
        <w:rPr>
          <w:rFonts w:ascii="Arial" w:hAnsi="Arial" w:cs="Arial"/>
          <w:sz w:val="24"/>
          <w:szCs w:val="24"/>
        </w:rPr>
        <w:t>Star Tribune, Minneapolis Minn (2007): &lt;</w:t>
      </w:r>
      <w:hyperlink r:id="rId12" w:history="1">
        <w:r w:rsidR="0069645C" w:rsidRPr="00D833B0">
          <w:rPr>
            <w:rStyle w:val="Hyperlink"/>
            <w:rFonts w:ascii="Arial" w:hAnsi="Arial" w:cs="Arial"/>
            <w:sz w:val="24"/>
            <w:szCs w:val="24"/>
          </w:rPr>
          <w:t>https://www.proquest.com/docview/427884489?accountid=130472&amp;pq-origsite=primo</w:t>
        </w:r>
      </w:hyperlink>
      <w:r w:rsidRPr="00D833B0">
        <w:rPr>
          <w:rFonts w:ascii="Arial" w:hAnsi="Arial" w:cs="Arial"/>
          <w:sz w:val="24"/>
          <w:szCs w:val="24"/>
        </w:rPr>
        <w:t xml:space="preserve"> &gt; [accessed 1</w:t>
      </w:r>
      <w:r w:rsidRPr="00D833B0">
        <w:rPr>
          <w:rFonts w:ascii="Arial" w:hAnsi="Arial" w:cs="Arial"/>
          <w:sz w:val="24"/>
          <w:szCs w:val="24"/>
          <w:vertAlign w:val="superscript"/>
        </w:rPr>
        <w:t>st</w:t>
      </w:r>
      <w:r w:rsidRPr="00D833B0">
        <w:rPr>
          <w:rFonts w:ascii="Arial" w:hAnsi="Arial" w:cs="Arial"/>
          <w:sz w:val="24"/>
          <w:szCs w:val="24"/>
        </w:rPr>
        <w:t xml:space="preserve"> December 2021].</w:t>
      </w:r>
    </w:p>
    <w:p w14:paraId="5B1BDCA0" w14:textId="3C47A662" w:rsidR="009B1EF2" w:rsidRPr="00D833B0" w:rsidRDefault="009B1EF2" w:rsidP="000F6358">
      <w:pPr>
        <w:pStyle w:val="FootnoteText"/>
        <w:rPr>
          <w:rFonts w:ascii="Arial" w:hAnsi="Arial" w:cs="Arial"/>
          <w:sz w:val="24"/>
          <w:szCs w:val="24"/>
        </w:rPr>
      </w:pPr>
    </w:p>
    <w:p w14:paraId="23C6DAF7" w14:textId="60FAAFF5" w:rsidR="009B1EF2" w:rsidRPr="00D833B0" w:rsidRDefault="009B1EF2" w:rsidP="000F6358">
      <w:pPr>
        <w:pStyle w:val="FootnoteText"/>
        <w:rPr>
          <w:rFonts w:ascii="Arial" w:hAnsi="Arial" w:cs="Arial"/>
          <w:sz w:val="24"/>
          <w:szCs w:val="24"/>
        </w:rPr>
      </w:pPr>
      <w:r w:rsidRPr="00D833B0">
        <w:rPr>
          <w:rFonts w:ascii="Arial" w:hAnsi="Arial" w:cs="Arial"/>
          <w:sz w:val="24"/>
          <w:szCs w:val="24"/>
        </w:rPr>
        <w:t>Staunton, M</w:t>
      </w:r>
      <w:r w:rsidR="0069645C" w:rsidRPr="00D833B0">
        <w:rPr>
          <w:rFonts w:ascii="Arial" w:hAnsi="Arial" w:cs="Arial"/>
          <w:sz w:val="24"/>
          <w:szCs w:val="24"/>
        </w:rPr>
        <w:t>ichael</w:t>
      </w:r>
      <w:r w:rsidRPr="00D833B0">
        <w:rPr>
          <w:rFonts w:ascii="Arial" w:hAnsi="Arial" w:cs="Arial"/>
          <w:sz w:val="24"/>
          <w:szCs w:val="24"/>
        </w:rPr>
        <w:t>. (2006) ‘</w:t>
      </w:r>
      <w:r w:rsidRPr="00D833B0">
        <w:rPr>
          <w:rFonts w:ascii="Arial" w:hAnsi="Arial" w:cs="Arial"/>
          <w:sz w:val="24"/>
          <w:szCs w:val="24"/>
        </w:rPr>
        <w:t>Conflict</w:t>
      </w:r>
      <w:r w:rsidRPr="00D833B0">
        <w:rPr>
          <w:rFonts w:ascii="Arial" w:hAnsi="Arial" w:cs="Arial"/>
          <w:sz w:val="24"/>
          <w:szCs w:val="24"/>
        </w:rPr>
        <w:t>’</w:t>
      </w:r>
      <w:r w:rsidRPr="00D833B0">
        <w:rPr>
          <w:rFonts w:ascii="Arial" w:hAnsi="Arial" w:cs="Arial"/>
          <w:sz w:val="24"/>
          <w:szCs w:val="24"/>
        </w:rPr>
        <w:t>, in Thomas Becket and his Biographers (Boydell and Brewer, Boydell Press, 2006)</w:t>
      </w:r>
    </w:p>
    <w:p w14:paraId="0C3D39A7" w14:textId="77777777" w:rsidR="0069645C" w:rsidRPr="00D833B0" w:rsidRDefault="0069645C" w:rsidP="000F6358">
      <w:pPr>
        <w:pStyle w:val="FootnoteText"/>
        <w:rPr>
          <w:rFonts w:ascii="Arial" w:hAnsi="Arial" w:cs="Arial"/>
          <w:sz w:val="24"/>
          <w:szCs w:val="24"/>
        </w:rPr>
      </w:pPr>
    </w:p>
    <w:p w14:paraId="408C5BFE" w14:textId="32B9754A" w:rsidR="009B1EF2" w:rsidRPr="00D833B0" w:rsidRDefault="009B1EF2" w:rsidP="000F6358">
      <w:pPr>
        <w:pStyle w:val="FootnoteText"/>
        <w:rPr>
          <w:rFonts w:ascii="Arial" w:hAnsi="Arial" w:cs="Arial"/>
          <w:sz w:val="24"/>
          <w:szCs w:val="24"/>
        </w:rPr>
      </w:pPr>
      <w:r w:rsidRPr="00D833B0">
        <w:rPr>
          <w:rFonts w:ascii="Arial" w:hAnsi="Arial" w:cs="Arial"/>
          <w:sz w:val="24"/>
          <w:szCs w:val="24"/>
        </w:rPr>
        <w:t>Staunton, M</w:t>
      </w:r>
      <w:r w:rsidR="0069645C" w:rsidRPr="00D833B0">
        <w:rPr>
          <w:rFonts w:ascii="Arial" w:hAnsi="Arial" w:cs="Arial"/>
          <w:sz w:val="24"/>
          <w:szCs w:val="24"/>
        </w:rPr>
        <w:t>ichael</w:t>
      </w:r>
      <w:r w:rsidRPr="00D833B0">
        <w:rPr>
          <w:rFonts w:ascii="Arial" w:hAnsi="Arial" w:cs="Arial"/>
          <w:sz w:val="24"/>
          <w:szCs w:val="24"/>
        </w:rPr>
        <w:t xml:space="preserve"> (2006)</w:t>
      </w:r>
      <w:r w:rsidR="0069645C" w:rsidRPr="00D833B0">
        <w:rPr>
          <w:rFonts w:ascii="Arial" w:hAnsi="Arial" w:cs="Arial"/>
          <w:sz w:val="24"/>
          <w:szCs w:val="24"/>
        </w:rPr>
        <w:t xml:space="preserve"> ‘</w:t>
      </w:r>
      <w:r w:rsidR="0069645C" w:rsidRPr="00D833B0">
        <w:rPr>
          <w:rFonts w:ascii="Arial" w:hAnsi="Arial" w:cs="Arial"/>
          <w:sz w:val="24"/>
          <w:szCs w:val="24"/>
        </w:rPr>
        <w:t>Martyrdom</w:t>
      </w:r>
      <w:r w:rsidR="0069645C" w:rsidRPr="00D833B0">
        <w:rPr>
          <w:rFonts w:ascii="Arial" w:hAnsi="Arial" w:cs="Arial"/>
          <w:sz w:val="24"/>
          <w:szCs w:val="24"/>
        </w:rPr>
        <w:t>’</w:t>
      </w:r>
      <w:r w:rsidR="0069645C" w:rsidRPr="00D833B0">
        <w:rPr>
          <w:rFonts w:ascii="Arial" w:hAnsi="Arial" w:cs="Arial"/>
          <w:sz w:val="24"/>
          <w:szCs w:val="24"/>
        </w:rPr>
        <w:t>, in Thomas Becket and his Biographers (Boydell and Brewer, Boydell Press, 2006)</w:t>
      </w:r>
      <w:r w:rsidR="0069645C" w:rsidRPr="00D833B0">
        <w:rPr>
          <w:rFonts w:ascii="Arial" w:hAnsi="Arial" w:cs="Arial"/>
          <w:sz w:val="24"/>
          <w:szCs w:val="24"/>
        </w:rPr>
        <w:t>.</w:t>
      </w:r>
    </w:p>
    <w:p w14:paraId="3EF0C2DB" w14:textId="77777777" w:rsidR="000F6358" w:rsidRPr="00D833B0" w:rsidRDefault="000F6358" w:rsidP="00CE484A">
      <w:pPr>
        <w:jc w:val="both"/>
        <w:rPr>
          <w:rFonts w:ascii="Arial" w:hAnsi="Arial" w:cs="Arial"/>
          <w:sz w:val="24"/>
          <w:szCs w:val="24"/>
        </w:rPr>
      </w:pPr>
    </w:p>
    <w:sectPr w:rsidR="000F6358" w:rsidRPr="00D833B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2307E" w14:textId="77777777" w:rsidR="001908A3" w:rsidRDefault="001908A3" w:rsidP="001F3544">
      <w:pPr>
        <w:spacing w:after="0" w:line="240" w:lineRule="auto"/>
      </w:pPr>
      <w:r>
        <w:separator/>
      </w:r>
    </w:p>
  </w:endnote>
  <w:endnote w:type="continuationSeparator" w:id="0">
    <w:p w14:paraId="00220749" w14:textId="77777777" w:rsidR="001908A3" w:rsidRDefault="001908A3" w:rsidP="001F3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7856" w14:textId="77777777" w:rsidR="001908A3" w:rsidRDefault="001908A3" w:rsidP="001F3544">
      <w:pPr>
        <w:spacing w:after="0" w:line="240" w:lineRule="auto"/>
      </w:pPr>
      <w:r>
        <w:separator/>
      </w:r>
    </w:p>
  </w:footnote>
  <w:footnote w:type="continuationSeparator" w:id="0">
    <w:p w14:paraId="1A3DD1ED" w14:textId="77777777" w:rsidR="001908A3" w:rsidRDefault="001908A3" w:rsidP="001F3544">
      <w:pPr>
        <w:spacing w:after="0" w:line="240" w:lineRule="auto"/>
      </w:pPr>
      <w:r>
        <w:continuationSeparator/>
      </w:r>
    </w:p>
  </w:footnote>
  <w:footnote w:id="1">
    <w:p w14:paraId="36151C19" w14:textId="6A77043F" w:rsidR="00796B1E" w:rsidRDefault="00796B1E">
      <w:pPr>
        <w:pStyle w:val="FootnoteText"/>
      </w:pPr>
      <w:r>
        <w:rPr>
          <w:rStyle w:val="FootnoteReference"/>
        </w:rPr>
        <w:footnoteRef/>
      </w:r>
      <w:r>
        <w:t xml:space="preserve"> Oxford English Dictionary</w:t>
      </w:r>
      <w:r w:rsidR="00273A09">
        <w:t xml:space="preserve"> (Oxford University Press: 2021)</w:t>
      </w:r>
      <w:r>
        <w:t>; Oxford Dictionary of literary terms</w:t>
      </w:r>
      <w:r w:rsidR="00CF79D8">
        <w:t xml:space="preserve"> (Chris Baldick, 2015)</w:t>
      </w:r>
      <w:r>
        <w:t>.</w:t>
      </w:r>
    </w:p>
  </w:footnote>
  <w:footnote w:id="2">
    <w:p w14:paraId="4C3D9688" w14:textId="34A1DF39" w:rsidR="001F3544" w:rsidRDefault="001F3544">
      <w:pPr>
        <w:pStyle w:val="FootnoteText"/>
      </w:pPr>
      <w:r>
        <w:rPr>
          <w:rStyle w:val="FootnoteReference"/>
        </w:rPr>
        <w:footnoteRef/>
      </w:r>
      <w:r>
        <w:t xml:space="preserve"> Steven F. Kruger, Queer Middle Ages</w:t>
      </w:r>
      <w:r w:rsidR="0061590D">
        <w:t>,</w:t>
      </w:r>
      <w:r>
        <w:t xml:space="preserve"> in </w:t>
      </w:r>
      <w:r w:rsidR="006C29F6">
        <w:t xml:space="preserve">Noreen Giffney and Michael O’Rourke, </w:t>
      </w:r>
      <w:r w:rsidR="006F7CAB">
        <w:t>T</w:t>
      </w:r>
      <w:r w:rsidR="0061590D">
        <w:t>he Ashgate</w:t>
      </w:r>
      <w:r w:rsidR="00D3063A">
        <w:t xml:space="preserve"> Research</w:t>
      </w:r>
      <w:r w:rsidR="0061590D">
        <w:t xml:space="preserve"> Companion </w:t>
      </w:r>
      <w:r w:rsidR="00D3063A">
        <w:t xml:space="preserve">to Queer Theory </w:t>
      </w:r>
      <w:r w:rsidR="006F7CAB">
        <w:t xml:space="preserve">(Ashgate e-book: Ashgate Publishing Limited: </w:t>
      </w:r>
      <w:r>
        <w:t>2</w:t>
      </w:r>
      <w:r w:rsidR="00D3063A">
        <w:t>009</w:t>
      </w:r>
      <w:r>
        <w:t>).</w:t>
      </w:r>
    </w:p>
  </w:footnote>
  <w:footnote w:id="3">
    <w:p w14:paraId="4FE12CD1" w14:textId="3197D080" w:rsidR="0062082A" w:rsidRDefault="0062082A">
      <w:pPr>
        <w:pStyle w:val="FootnoteText"/>
      </w:pPr>
      <w:r>
        <w:rPr>
          <w:rStyle w:val="FootnoteReference"/>
        </w:rPr>
        <w:footnoteRef/>
      </w:r>
      <w:r>
        <w:t xml:space="preserve"> </w:t>
      </w:r>
      <w:r w:rsidR="00D3063A">
        <w:t>Culwin Thomas, On being Post-Normal: Heterosexuality after Queer Theory, in</w:t>
      </w:r>
      <w:r w:rsidR="006F7CAB">
        <w:t xml:space="preserve"> </w:t>
      </w:r>
      <w:r w:rsidR="006F7CAB">
        <w:t>The Ashgate Research Companion to Queer Theory (Ashgate e-book: Ashgate Publishing Limited: 2009)</w:t>
      </w:r>
      <w:r w:rsidR="00974381">
        <w:t xml:space="preserve">; Noreen Giffney, </w:t>
      </w:r>
      <w:r w:rsidR="00404B84">
        <w:t>‘</w:t>
      </w:r>
      <w:r w:rsidR="00974381">
        <w:t>Introduction</w:t>
      </w:r>
      <w:r w:rsidR="00404B84">
        <w:t>’</w:t>
      </w:r>
      <w:r w:rsidR="00974381">
        <w:t xml:space="preserve">, in Noreen Giffney and Michael O’ Rourke, </w:t>
      </w:r>
      <w:r w:rsidR="006F7CAB">
        <w:t>The Ashgate Research Companion to Queer Theory (Ashgate e-book: Ashgate Publishing Limited: 2009)</w:t>
      </w:r>
      <w:r w:rsidR="006F7CAB">
        <w:t>.</w:t>
      </w:r>
    </w:p>
  </w:footnote>
  <w:footnote w:id="4">
    <w:p w14:paraId="3306D039" w14:textId="1D2EF02C" w:rsidR="00F21796" w:rsidRDefault="00F21796">
      <w:pPr>
        <w:pStyle w:val="FootnoteText"/>
      </w:pPr>
      <w:r>
        <w:rPr>
          <w:rStyle w:val="FootnoteReference"/>
        </w:rPr>
        <w:footnoteRef/>
      </w:r>
      <w:r>
        <w:t xml:space="preserve"> Kent L. Britnall, Once upon a queer theory</w:t>
      </w:r>
      <w:r w:rsidR="007962F4">
        <w:t>, Religion Compass, 15 (3)</w:t>
      </w:r>
      <w:r w:rsidR="00D40805">
        <w:t xml:space="preserve"> (202</w:t>
      </w:r>
      <w:r w:rsidR="007962F4">
        <w:t>1</w:t>
      </w:r>
      <w:r w:rsidR="00D40805">
        <w:t>)</w:t>
      </w:r>
      <w:r>
        <w:t xml:space="preserve"> DOI: 10/1111/rec3.12388</w:t>
      </w:r>
      <w:r w:rsidR="007962F4">
        <w:t xml:space="preserve">: </w:t>
      </w:r>
      <w:r w:rsidR="00404B84">
        <w:t>&lt;</w:t>
      </w:r>
      <w:hyperlink r:id="rId1" w:history="1">
        <w:r w:rsidR="00404B84" w:rsidRPr="00397DC2">
          <w:rPr>
            <w:rStyle w:val="Hyperlink"/>
          </w:rPr>
          <w:t>https://onlinelibrary-wiley-com.ezproxy.uwtsd.ac.uk/doi/epdf/10.1111/rec3.12388</w:t>
        </w:r>
      </w:hyperlink>
      <w:r w:rsidR="00530031">
        <w:t xml:space="preserve"> </w:t>
      </w:r>
      <w:r w:rsidR="00404B84">
        <w:t xml:space="preserve">&gt; </w:t>
      </w:r>
      <w:r w:rsidR="00530031">
        <w:t>[accessed 28th November 2021]</w:t>
      </w:r>
      <w:r>
        <w:t>; Noreen Giffney, Introduction (2009)</w:t>
      </w:r>
      <w:r w:rsidR="00273A09">
        <w:t>.</w:t>
      </w:r>
    </w:p>
  </w:footnote>
  <w:footnote w:id="5">
    <w:p w14:paraId="092BC356" w14:textId="5038E97A" w:rsidR="00596C3F" w:rsidRDefault="00596C3F">
      <w:pPr>
        <w:pStyle w:val="FootnoteText"/>
      </w:pPr>
      <w:r>
        <w:rPr>
          <w:rStyle w:val="FootnoteReference"/>
        </w:rPr>
        <w:footnoteRef/>
      </w:r>
      <w:r>
        <w:t xml:space="preserve"> Becket</w:t>
      </w:r>
      <w:r w:rsidR="00273A09">
        <w:t xml:space="preserve">, </w:t>
      </w:r>
      <w:r w:rsidR="00273A09">
        <w:t>Peter Glenville</w:t>
      </w:r>
      <w:r>
        <w:t xml:space="preserve"> (1964).</w:t>
      </w:r>
      <w:r w:rsidR="007962F4">
        <w:t xml:space="preserve"> Available from: &lt;</w:t>
      </w:r>
      <w:r w:rsidR="007962F4" w:rsidRPr="007962F4">
        <w:t xml:space="preserve"> </w:t>
      </w:r>
      <w:hyperlink r:id="rId2" w:history="1">
        <w:r w:rsidR="007962F4" w:rsidRPr="00397DC2">
          <w:rPr>
            <w:rStyle w:val="Hyperlink"/>
          </w:rPr>
          <w:t>https://moodle.uwtsd.ac.uk/course/view.php?id=7287</w:t>
        </w:r>
      </w:hyperlink>
      <w:r w:rsidR="007962F4">
        <w:t xml:space="preserve"> &gt; [accessed 30</w:t>
      </w:r>
      <w:r w:rsidR="007962F4" w:rsidRPr="007962F4">
        <w:rPr>
          <w:vertAlign w:val="superscript"/>
        </w:rPr>
        <w:t>th</w:t>
      </w:r>
      <w:r w:rsidR="007962F4">
        <w:t xml:space="preserve"> November 2021]</w:t>
      </w:r>
    </w:p>
  </w:footnote>
  <w:footnote w:id="6">
    <w:p w14:paraId="7F029350" w14:textId="2BC04442" w:rsidR="000E6D3D" w:rsidRDefault="000E6D3D">
      <w:pPr>
        <w:pStyle w:val="FootnoteText"/>
      </w:pPr>
      <w:r>
        <w:rPr>
          <w:rStyle w:val="FootnoteReference"/>
        </w:rPr>
        <w:footnoteRef/>
      </w:r>
      <w:r>
        <w:t xml:space="preserve"> </w:t>
      </w:r>
      <w:r w:rsidR="00500B90">
        <w:t>Becket, Peter Glenville (1964). Available from: &lt;</w:t>
      </w:r>
      <w:r w:rsidR="00500B90" w:rsidRPr="007962F4">
        <w:t xml:space="preserve"> </w:t>
      </w:r>
      <w:hyperlink r:id="rId3" w:history="1">
        <w:r w:rsidR="00500B90" w:rsidRPr="00397DC2">
          <w:rPr>
            <w:rStyle w:val="Hyperlink"/>
          </w:rPr>
          <w:t>https://moodle.uwtsd.ac.uk/course/view.php?id=7287</w:t>
        </w:r>
      </w:hyperlink>
      <w:r w:rsidR="00500B90">
        <w:t xml:space="preserve"> &gt; [accessed 30</w:t>
      </w:r>
      <w:r w:rsidR="00500B90" w:rsidRPr="007962F4">
        <w:rPr>
          <w:vertAlign w:val="superscript"/>
        </w:rPr>
        <w:t>th</w:t>
      </w:r>
      <w:r w:rsidR="00500B90">
        <w:t xml:space="preserve"> November 2021]</w:t>
      </w:r>
    </w:p>
  </w:footnote>
  <w:footnote w:id="7">
    <w:p w14:paraId="10B37128" w14:textId="575356E1" w:rsidR="00C72A01" w:rsidRDefault="00C72A01">
      <w:pPr>
        <w:pStyle w:val="FootnoteText"/>
      </w:pPr>
      <w:r>
        <w:rPr>
          <w:rStyle w:val="FootnoteReference"/>
        </w:rPr>
        <w:footnoteRef/>
      </w:r>
      <w:r w:rsidR="00500B90">
        <w:t>Becket, Peter Glenville (1964). Available from: &lt;</w:t>
      </w:r>
      <w:r w:rsidR="00500B90" w:rsidRPr="007962F4">
        <w:t xml:space="preserve"> </w:t>
      </w:r>
      <w:hyperlink r:id="rId4" w:history="1">
        <w:r w:rsidR="00500B90" w:rsidRPr="00397DC2">
          <w:rPr>
            <w:rStyle w:val="Hyperlink"/>
          </w:rPr>
          <w:t>https://moodle.uwtsd.ac.uk/course/view.php?id=7287</w:t>
        </w:r>
      </w:hyperlink>
      <w:r w:rsidR="00500B90">
        <w:t xml:space="preserve"> &gt; [accessed 30</w:t>
      </w:r>
      <w:r w:rsidR="00500B90" w:rsidRPr="007962F4">
        <w:rPr>
          <w:vertAlign w:val="superscript"/>
        </w:rPr>
        <w:t>th</w:t>
      </w:r>
      <w:r w:rsidR="00500B90">
        <w:t xml:space="preserve"> November 2021]</w:t>
      </w:r>
      <w:r>
        <w:t>.</w:t>
      </w:r>
    </w:p>
  </w:footnote>
  <w:footnote w:id="8">
    <w:p w14:paraId="31A0A708" w14:textId="5403379E" w:rsidR="001373A5" w:rsidRDefault="001373A5">
      <w:pPr>
        <w:pStyle w:val="FootnoteText"/>
      </w:pPr>
      <w:r>
        <w:rPr>
          <w:rStyle w:val="FootnoteReference"/>
        </w:rPr>
        <w:footnoteRef/>
      </w:r>
      <w:r>
        <w:t xml:space="preserve"> </w:t>
      </w:r>
      <w:r w:rsidR="00500B90">
        <w:t>Becket, Peter Glenville (1964): &lt;</w:t>
      </w:r>
      <w:r w:rsidR="00500B90" w:rsidRPr="007962F4">
        <w:t xml:space="preserve"> </w:t>
      </w:r>
      <w:hyperlink r:id="rId5" w:history="1">
        <w:r w:rsidR="00500B90" w:rsidRPr="00397DC2">
          <w:rPr>
            <w:rStyle w:val="Hyperlink"/>
          </w:rPr>
          <w:t>https://moodle.uwtsd.ac.uk/course/view.php?id=7287</w:t>
        </w:r>
      </w:hyperlink>
      <w:r w:rsidR="00500B90">
        <w:t xml:space="preserve"> &gt; [accessed </w:t>
      </w:r>
      <w:r w:rsidR="000F6358">
        <w:t>29</w:t>
      </w:r>
      <w:r w:rsidR="00500B90" w:rsidRPr="007962F4">
        <w:rPr>
          <w:vertAlign w:val="superscript"/>
        </w:rPr>
        <w:t>th</w:t>
      </w:r>
      <w:r w:rsidR="00500B90">
        <w:t xml:space="preserve"> November 2021]</w:t>
      </w:r>
    </w:p>
  </w:footnote>
  <w:footnote w:id="9">
    <w:p w14:paraId="247952D6" w14:textId="61C03D32" w:rsidR="00D6174E" w:rsidRDefault="00503708">
      <w:pPr>
        <w:pStyle w:val="FootnoteText"/>
      </w:pPr>
      <w:r>
        <w:rPr>
          <w:rStyle w:val="FootnoteReference"/>
        </w:rPr>
        <w:footnoteRef/>
      </w:r>
      <w:r>
        <w:t xml:space="preserve"> </w:t>
      </w:r>
      <w:r w:rsidR="00551BDD">
        <w:t>Randy A Salas, Star Tribune (Minneapolis Minn, 2007): &lt;</w:t>
      </w:r>
      <w:hyperlink r:id="rId6" w:history="1">
        <w:r w:rsidR="00551BDD" w:rsidRPr="00955F64">
          <w:rPr>
            <w:rStyle w:val="Hyperlink"/>
          </w:rPr>
          <w:t>https://www.proquest.com/docview/427884489?accountid=130472&amp;pq-origsite=primo</w:t>
        </w:r>
      </w:hyperlink>
      <w:r w:rsidR="00551BDD">
        <w:t>&gt; [accessed 1</w:t>
      </w:r>
      <w:r w:rsidR="00551BDD" w:rsidRPr="00551BDD">
        <w:rPr>
          <w:vertAlign w:val="superscript"/>
        </w:rPr>
        <w:t>st</w:t>
      </w:r>
      <w:r w:rsidR="00551BDD">
        <w:t xml:space="preserve"> December 2021]</w:t>
      </w:r>
    </w:p>
  </w:footnote>
  <w:footnote w:id="10">
    <w:p w14:paraId="110E94DC" w14:textId="3A42349E" w:rsidR="00EB5380" w:rsidRDefault="00EB5380">
      <w:pPr>
        <w:pStyle w:val="FootnoteText"/>
      </w:pPr>
      <w:r>
        <w:rPr>
          <w:rStyle w:val="FootnoteReference"/>
        </w:rPr>
        <w:footnoteRef/>
      </w:r>
      <w:r>
        <w:t xml:space="preserve"> </w:t>
      </w:r>
      <w:r w:rsidR="00500B90">
        <w:t>Becket, Peter Glenville (1964): &lt;</w:t>
      </w:r>
      <w:r w:rsidR="00500B90" w:rsidRPr="007962F4">
        <w:t xml:space="preserve"> </w:t>
      </w:r>
      <w:hyperlink r:id="rId7" w:history="1">
        <w:r w:rsidR="00500B90" w:rsidRPr="00397DC2">
          <w:rPr>
            <w:rStyle w:val="Hyperlink"/>
          </w:rPr>
          <w:t>https://moodle.uwtsd.ac.uk/course/view.php?id=7287</w:t>
        </w:r>
      </w:hyperlink>
      <w:r w:rsidR="00500B90">
        <w:t xml:space="preserve"> &gt; [accessed 30</w:t>
      </w:r>
      <w:r w:rsidR="00500B90" w:rsidRPr="007962F4">
        <w:rPr>
          <w:vertAlign w:val="superscript"/>
        </w:rPr>
        <w:t>th</w:t>
      </w:r>
      <w:r w:rsidR="00500B90">
        <w:t xml:space="preserve"> November 2021]</w:t>
      </w:r>
    </w:p>
  </w:footnote>
  <w:footnote w:id="11">
    <w:p w14:paraId="0428AA8B" w14:textId="513DA785" w:rsidR="006168C1" w:rsidRDefault="006168C1">
      <w:pPr>
        <w:pStyle w:val="FootnoteText"/>
      </w:pPr>
      <w:r>
        <w:rPr>
          <w:rStyle w:val="FootnoteReference"/>
        </w:rPr>
        <w:footnoteRef/>
      </w:r>
      <w:r>
        <w:t xml:space="preserve"> Michael Staunton, Conflict, in Thomas Becket and his Biographers (Boydell and Brewer, Boydell Press, 2006); Michael Staunton, Martyrdom, in Thomas Becket and his Biographers (Boydell and Brewer, Boydell Press, 2006)</w:t>
      </w:r>
      <w:r w:rsidR="00500B90">
        <w:t xml:space="preserve">; </w:t>
      </w:r>
      <w:r w:rsidR="007023AE">
        <w:t>Thomas Pugh, ‘Shame, masculinity, and the death of Thomas Becket’, Cambridge University Press Speculum, (2012) 87 (4):</w:t>
      </w:r>
      <w:r w:rsidR="000F6358">
        <w:t>&lt;</w:t>
      </w:r>
      <w:r w:rsidR="007023AE">
        <w:t xml:space="preserve"> </w:t>
      </w:r>
      <w:hyperlink r:id="rId8" w:history="1">
        <w:r w:rsidR="007023AE" w:rsidRPr="008E0353">
          <w:rPr>
            <w:rStyle w:val="Hyperlink"/>
          </w:rPr>
          <w:t>https://www-journals-uchicago-edu.ezproxy.uwtsd.ac.uk/doi/pdfplus/10.1017%2FS0038713412004186</w:t>
        </w:r>
      </w:hyperlink>
      <w:r w:rsidR="007023AE">
        <w:t xml:space="preserve"> </w:t>
      </w:r>
      <w:r w:rsidR="000F6358">
        <w:t xml:space="preserve">&gt; </w:t>
      </w:r>
      <w:r w:rsidR="007023AE">
        <w:t>[accessed 1</w:t>
      </w:r>
      <w:r w:rsidR="007023AE" w:rsidRPr="007023AE">
        <w:rPr>
          <w:vertAlign w:val="superscript"/>
        </w:rPr>
        <w:t>st</w:t>
      </w:r>
      <w:r w:rsidR="007023AE">
        <w:t xml:space="preserve"> December 2021]</w:t>
      </w:r>
    </w:p>
  </w:footnote>
  <w:footnote w:id="12">
    <w:p w14:paraId="584BA309" w14:textId="6E18AF18" w:rsidR="00CA52C2" w:rsidRDefault="00CA52C2">
      <w:pPr>
        <w:pStyle w:val="FootnoteText"/>
      </w:pPr>
      <w:r>
        <w:rPr>
          <w:rStyle w:val="FootnoteReference"/>
        </w:rPr>
        <w:footnoteRef/>
      </w:r>
      <w:r w:rsidR="006168C1">
        <w:t xml:space="preserve"> Randy A Salas, Star Tribune, Minneapolis Minn (2007): </w:t>
      </w:r>
      <w:r w:rsidR="000F6358">
        <w:t xml:space="preserve">&lt; </w:t>
      </w:r>
      <w:hyperlink r:id="rId9" w:history="1">
        <w:r w:rsidR="000F6358" w:rsidRPr="00397DC2">
          <w:rPr>
            <w:rStyle w:val="Hyperlink"/>
          </w:rPr>
          <w:t>https://www.proquest.com/docview/427884489?accountid=130472&amp;pq-origsite=primo</w:t>
        </w:r>
      </w:hyperlink>
      <w:r w:rsidR="006168C1">
        <w:t xml:space="preserve"> </w:t>
      </w:r>
      <w:r w:rsidR="000F6358">
        <w:t xml:space="preserve">&gt; </w:t>
      </w:r>
      <w:r w:rsidR="006168C1">
        <w:t>[accessed 1</w:t>
      </w:r>
      <w:r w:rsidR="006168C1" w:rsidRPr="006168C1">
        <w:rPr>
          <w:vertAlign w:val="superscript"/>
        </w:rPr>
        <w:t>st</w:t>
      </w:r>
      <w:r w:rsidR="006168C1">
        <w:t xml:space="preserve"> December 2021]</w:t>
      </w:r>
      <w:r w:rsidR="007023AE">
        <w:t>.</w:t>
      </w:r>
    </w:p>
  </w:footnote>
  <w:footnote w:id="13">
    <w:p w14:paraId="00FD9E19" w14:textId="4D85BDEF" w:rsidR="00663ABD" w:rsidRDefault="00663ABD">
      <w:pPr>
        <w:pStyle w:val="FootnoteText"/>
      </w:pPr>
      <w:r>
        <w:rPr>
          <w:rStyle w:val="FootnoteReference"/>
        </w:rPr>
        <w:footnoteRef/>
      </w:r>
      <w:r>
        <w:t xml:space="preserve"> </w:t>
      </w:r>
      <w:r w:rsidR="00500B90">
        <w:t>Becket, Peter Glenville (1964)</w:t>
      </w:r>
      <w:r w:rsidR="000F6358">
        <w:t xml:space="preserve">: </w:t>
      </w:r>
      <w:r w:rsidR="00500B90">
        <w:t>&lt;</w:t>
      </w:r>
      <w:r w:rsidR="00500B90" w:rsidRPr="007962F4">
        <w:t xml:space="preserve"> </w:t>
      </w:r>
      <w:hyperlink r:id="rId10" w:history="1">
        <w:r w:rsidR="00500B90" w:rsidRPr="00397DC2">
          <w:rPr>
            <w:rStyle w:val="Hyperlink"/>
          </w:rPr>
          <w:t>https://moodle.uwtsd.ac.uk/course/view.php?id=7287</w:t>
        </w:r>
      </w:hyperlink>
      <w:r w:rsidR="00500B90">
        <w:t xml:space="preserve"> &gt; [accessed </w:t>
      </w:r>
      <w:r w:rsidR="000F6358">
        <w:t>29</w:t>
      </w:r>
      <w:r w:rsidR="00500B90" w:rsidRPr="007962F4">
        <w:rPr>
          <w:vertAlign w:val="superscript"/>
        </w:rPr>
        <w:t>th</w:t>
      </w:r>
      <w:r w:rsidR="00500B90">
        <w:t xml:space="preserve"> November 2021]</w:t>
      </w:r>
    </w:p>
  </w:footnote>
  <w:footnote w:id="14">
    <w:p w14:paraId="51A71C15" w14:textId="245F45B6" w:rsidR="0098307A" w:rsidRDefault="0098307A">
      <w:pPr>
        <w:pStyle w:val="FootnoteText"/>
      </w:pPr>
      <w:r>
        <w:rPr>
          <w:rStyle w:val="FootnoteReference"/>
        </w:rPr>
        <w:footnoteRef/>
      </w:r>
      <w:r>
        <w:t xml:space="preserve"> </w:t>
      </w:r>
      <w:r w:rsidR="00500B90">
        <w:t>Steven F. Kruger, Queer Middle Ages, in Noreen Giffney and Michael O’Rourke, The Ashgate Research Companion to Queer Theory (Ashgate e-book: Ashgate Publishing Limited: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64A" w14:textId="7E66BA94" w:rsidR="00C33960" w:rsidRDefault="00C33960">
    <w:pPr>
      <w:pStyle w:val="Header"/>
    </w:pPr>
    <w:r>
      <w:t>Student Number: 2006018; Module code: HPHI7011</w:t>
    </w:r>
  </w:p>
  <w:p w14:paraId="6676140C" w14:textId="77777777" w:rsidR="00C33960" w:rsidRDefault="00C339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01"/>
    <w:rsid w:val="0003420B"/>
    <w:rsid w:val="00055A0C"/>
    <w:rsid w:val="000C4334"/>
    <w:rsid w:val="000E6D3D"/>
    <w:rsid w:val="000F6358"/>
    <w:rsid w:val="000F7FF5"/>
    <w:rsid w:val="001373A5"/>
    <w:rsid w:val="001515F8"/>
    <w:rsid w:val="00151EA0"/>
    <w:rsid w:val="001635FC"/>
    <w:rsid w:val="00176AC7"/>
    <w:rsid w:val="001908A3"/>
    <w:rsid w:val="00190F0B"/>
    <w:rsid w:val="001B0015"/>
    <w:rsid w:val="001C25EB"/>
    <w:rsid w:val="001E36CD"/>
    <w:rsid w:val="001F3544"/>
    <w:rsid w:val="00253A01"/>
    <w:rsid w:val="00273A09"/>
    <w:rsid w:val="002F4C68"/>
    <w:rsid w:val="00321780"/>
    <w:rsid w:val="00326955"/>
    <w:rsid w:val="00344781"/>
    <w:rsid w:val="003B467B"/>
    <w:rsid w:val="00404B84"/>
    <w:rsid w:val="00436F39"/>
    <w:rsid w:val="00444CBD"/>
    <w:rsid w:val="004561C1"/>
    <w:rsid w:val="00470742"/>
    <w:rsid w:val="004B6C72"/>
    <w:rsid w:val="004D22D7"/>
    <w:rsid w:val="004D621C"/>
    <w:rsid w:val="00500B90"/>
    <w:rsid w:val="00503708"/>
    <w:rsid w:val="005046B7"/>
    <w:rsid w:val="00530031"/>
    <w:rsid w:val="00531E1D"/>
    <w:rsid w:val="00536420"/>
    <w:rsid w:val="00551BDD"/>
    <w:rsid w:val="00553A45"/>
    <w:rsid w:val="00596C3F"/>
    <w:rsid w:val="0061590D"/>
    <w:rsid w:val="006168C1"/>
    <w:rsid w:val="0062082A"/>
    <w:rsid w:val="006400B7"/>
    <w:rsid w:val="00663ABD"/>
    <w:rsid w:val="006747FF"/>
    <w:rsid w:val="00694C77"/>
    <w:rsid w:val="0069645C"/>
    <w:rsid w:val="006C29F6"/>
    <w:rsid w:val="006C2E00"/>
    <w:rsid w:val="006D3350"/>
    <w:rsid w:val="006F7CAB"/>
    <w:rsid w:val="007023AE"/>
    <w:rsid w:val="00745C6C"/>
    <w:rsid w:val="00756889"/>
    <w:rsid w:val="00771309"/>
    <w:rsid w:val="007962F4"/>
    <w:rsid w:val="00796B1E"/>
    <w:rsid w:val="007B3610"/>
    <w:rsid w:val="007F5627"/>
    <w:rsid w:val="00817220"/>
    <w:rsid w:val="00855ADE"/>
    <w:rsid w:val="00866F26"/>
    <w:rsid w:val="00872700"/>
    <w:rsid w:val="00895DDF"/>
    <w:rsid w:val="00905880"/>
    <w:rsid w:val="00925781"/>
    <w:rsid w:val="00974381"/>
    <w:rsid w:val="0098307A"/>
    <w:rsid w:val="00985192"/>
    <w:rsid w:val="00992B85"/>
    <w:rsid w:val="009B1EF2"/>
    <w:rsid w:val="009C4685"/>
    <w:rsid w:val="00A00EA0"/>
    <w:rsid w:val="00AF2B67"/>
    <w:rsid w:val="00B201F7"/>
    <w:rsid w:val="00B51157"/>
    <w:rsid w:val="00B61D4C"/>
    <w:rsid w:val="00B663DC"/>
    <w:rsid w:val="00B70771"/>
    <w:rsid w:val="00B7282A"/>
    <w:rsid w:val="00B751A1"/>
    <w:rsid w:val="00B9607D"/>
    <w:rsid w:val="00BD26DB"/>
    <w:rsid w:val="00BD31A2"/>
    <w:rsid w:val="00BE5969"/>
    <w:rsid w:val="00C044C8"/>
    <w:rsid w:val="00C15F8C"/>
    <w:rsid w:val="00C17098"/>
    <w:rsid w:val="00C32D30"/>
    <w:rsid w:val="00C33960"/>
    <w:rsid w:val="00C47E44"/>
    <w:rsid w:val="00C72A01"/>
    <w:rsid w:val="00CA52C2"/>
    <w:rsid w:val="00CC3C61"/>
    <w:rsid w:val="00CE484A"/>
    <w:rsid w:val="00CF3BC6"/>
    <w:rsid w:val="00CF53DB"/>
    <w:rsid w:val="00CF79D8"/>
    <w:rsid w:val="00D2385F"/>
    <w:rsid w:val="00D3063A"/>
    <w:rsid w:val="00D40805"/>
    <w:rsid w:val="00D521D2"/>
    <w:rsid w:val="00D6174E"/>
    <w:rsid w:val="00D833B0"/>
    <w:rsid w:val="00DC4C07"/>
    <w:rsid w:val="00DF0486"/>
    <w:rsid w:val="00E14607"/>
    <w:rsid w:val="00E146B0"/>
    <w:rsid w:val="00E25407"/>
    <w:rsid w:val="00E325A2"/>
    <w:rsid w:val="00E75B99"/>
    <w:rsid w:val="00E81CC6"/>
    <w:rsid w:val="00EA75AC"/>
    <w:rsid w:val="00EA7F82"/>
    <w:rsid w:val="00EB5380"/>
    <w:rsid w:val="00EC2819"/>
    <w:rsid w:val="00EE5517"/>
    <w:rsid w:val="00F21796"/>
    <w:rsid w:val="00F447A2"/>
    <w:rsid w:val="00F60B9B"/>
    <w:rsid w:val="00F67A0F"/>
    <w:rsid w:val="00FA2B51"/>
    <w:rsid w:val="00FB1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8778C"/>
  <w15:chartTrackingRefBased/>
  <w15:docId w15:val="{7D521B2F-B1BD-4CFE-BFBD-76C2344B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F3544"/>
    <w:pPr>
      <w:spacing w:after="0" w:line="240" w:lineRule="auto"/>
    </w:pPr>
    <w:rPr>
      <w:sz w:val="20"/>
      <w:szCs w:val="20"/>
    </w:rPr>
  </w:style>
  <w:style w:type="character" w:customStyle="1" w:styleId="FootnoteTextChar">
    <w:name w:val="Footnote Text Char"/>
    <w:basedOn w:val="DefaultParagraphFont"/>
    <w:link w:val="FootnoteText"/>
    <w:uiPriority w:val="99"/>
    <w:rsid w:val="001F3544"/>
    <w:rPr>
      <w:sz w:val="20"/>
      <w:szCs w:val="20"/>
    </w:rPr>
  </w:style>
  <w:style w:type="character" w:styleId="FootnoteReference">
    <w:name w:val="footnote reference"/>
    <w:basedOn w:val="DefaultParagraphFont"/>
    <w:uiPriority w:val="99"/>
    <w:semiHidden/>
    <w:unhideWhenUsed/>
    <w:rsid w:val="001F3544"/>
    <w:rPr>
      <w:vertAlign w:val="superscript"/>
    </w:rPr>
  </w:style>
  <w:style w:type="character" w:styleId="Hyperlink">
    <w:name w:val="Hyperlink"/>
    <w:basedOn w:val="DefaultParagraphFont"/>
    <w:uiPriority w:val="99"/>
    <w:unhideWhenUsed/>
    <w:rsid w:val="00503708"/>
    <w:rPr>
      <w:color w:val="0563C1" w:themeColor="hyperlink"/>
      <w:u w:val="single"/>
    </w:rPr>
  </w:style>
  <w:style w:type="character" w:styleId="UnresolvedMention">
    <w:name w:val="Unresolved Mention"/>
    <w:basedOn w:val="DefaultParagraphFont"/>
    <w:uiPriority w:val="99"/>
    <w:semiHidden/>
    <w:unhideWhenUsed/>
    <w:rsid w:val="00503708"/>
    <w:rPr>
      <w:color w:val="605E5C"/>
      <w:shd w:val="clear" w:color="auto" w:fill="E1DFDD"/>
    </w:rPr>
  </w:style>
  <w:style w:type="paragraph" w:styleId="Header">
    <w:name w:val="header"/>
    <w:basedOn w:val="Normal"/>
    <w:link w:val="HeaderChar"/>
    <w:uiPriority w:val="99"/>
    <w:unhideWhenUsed/>
    <w:rsid w:val="00C339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960"/>
  </w:style>
  <w:style w:type="paragraph" w:styleId="Footer">
    <w:name w:val="footer"/>
    <w:basedOn w:val="Normal"/>
    <w:link w:val="FooterChar"/>
    <w:uiPriority w:val="99"/>
    <w:unhideWhenUsed/>
    <w:rsid w:val="00C339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9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ezproxy.uwtsd.ac.uk/doi/epdf/10.1111/rec3.12388"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odle.uwtsd.ac.uk/course/view.php?id=7287" TargetMode="External"/><Relationship Id="rId12" Type="http://schemas.openxmlformats.org/officeDocument/2006/relationships/hyperlink" Target="https://www.proquest.com/docview/427884489?accountid=130472&amp;pq-origsite=prim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ournals-uchicago-edu.ezproxy.uwtsd.ac.uk/doi/pdfplus/10.1017%2FS0038713412004186"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ed.com/" TargetMode="External"/><Relationship Id="rId4" Type="http://schemas.openxmlformats.org/officeDocument/2006/relationships/webSettings" Target="webSettings.xml"/><Relationship Id="rId9" Type="http://schemas.openxmlformats.org/officeDocument/2006/relationships/hyperlink" Target="https://www.oxfordreference.com/view/10.1093/acref/9780198715443.001.0001/acref-9780198715443"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journals-uchicago-edu.ezproxy.uwtsd.ac.uk/doi/pdfplus/10.1017%2FS0038713412004186" TargetMode="External"/><Relationship Id="rId3" Type="http://schemas.openxmlformats.org/officeDocument/2006/relationships/hyperlink" Target="https://moodle.uwtsd.ac.uk/course/view.php?id=7287" TargetMode="External"/><Relationship Id="rId7" Type="http://schemas.openxmlformats.org/officeDocument/2006/relationships/hyperlink" Target="https://moodle.uwtsd.ac.uk/course/view.php?id=7287" TargetMode="External"/><Relationship Id="rId2" Type="http://schemas.openxmlformats.org/officeDocument/2006/relationships/hyperlink" Target="https://moodle.uwtsd.ac.uk/course/view.php?id=7287" TargetMode="External"/><Relationship Id="rId1" Type="http://schemas.openxmlformats.org/officeDocument/2006/relationships/hyperlink" Target="https://onlinelibrary-wiley-com.ezproxy.uwtsd.ac.uk/doi/epdf/10.1111/rec3.12388" TargetMode="External"/><Relationship Id="rId6" Type="http://schemas.openxmlformats.org/officeDocument/2006/relationships/hyperlink" Target="https://www.proquest.com/docview/427884489?accountid=130472&amp;pq-origsite=primo" TargetMode="External"/><Relationship Id="rId5" Type="http://schemas.openxmlformats.org/officeDocument/2006/relationships/hyperlink" Target="https://moodle.uwtsd.ac.uk/course/view.php?id=7287" TargetMode="External"/><Relationship Id="rId10" Type="http://schemas.openxmlformats.org/officeDocument/2006/relationships/hyperlink" Target="https://moodle.uwtsd.ac.uk/course/view.php?id=7287" TargetMode="External"/><Relationship Id="rId4" Type="http://schemas.openxmlformats.org/officeDocument/2006/relationships/hyperlink" Target="https://moodle.uwtsd.ac.uk/course/view.php?id=7287" TargetMode="External"/><Relationship Id="rId9" Type="http://schemas.openxmlformats.org/officeDocument/2006/relationships/hyperlink" Target="https://www.proquest.com/docview/427884489?accountid=130472&amp;pq-origsite=prim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8201B-4E94-4282-90B9-435D9DA9A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5</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Morris</dc:creator>
  <cp:keywords/>
  <dc:description/>
  <cp:lastModifiedBy>Natasha Morris</cp:lastModifiedBy>
  <cp:revision>77</cp:revision>
  <dcterms:created xsi:type="dcterms:W3CDTF">2021-11-28T11:41:00Z</dcterms:created>
  <dcterms:modified xsi:type="dcterms:W3CDTF">2021-12-01T13:25:00Z</dcterms:modified>
</cp:coreProperties>
</file>