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0CBAF" w14:textId="7A17048B" w:rsidR="005A444E" w:rsidRPr="00FA6047" w:rsidRDefault="009938B4" w:rsidP="005B15C5">
      <w:pPr>
        <w:rPr>
          <w:rFonts w:cstheme="minorHAnsi"/>
        </w:rPr>
      </w:pPr>
      <w:r w:rsidRPr="00FA6047">
        <w:rPr>
          <w:rFonts w:cstheme="minorHAnsi"/>
          <w:noProof/>
        </w:rPr>
        <w:drawing>
          <wp:inline distT="0" distB="0" distL="0" distR="0" wp14:anchorId="60163D75" wp14:editId="5040A02C">
            <wp:extent cx="2362200" cy="944881"/>
            <wp:effectExtent l="0" t="0" r="0" b="7620"/>
            <wp:docPr id="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223" name="Picture 1" descr="A close-up of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5840" cy="946337"/>
                    </a:xfrm>
                    <a:prstGeom prst="rect">
                      <a:avLst/>
                    </a:prstGeom>
                    <a:noFill/>
                    <a:ln>
                      <a:noFill/>
                    </a:ln>
                  </pic:spPr>
                </pic:pic>
              </a:graphicData>
            </a:graphic>
          </wp:inline>
        </w:drawing>
      </w:r>
    </w:p>
    <w:p w14:paraId="20E1C018" w14:textId="77777777" w:rsidR="00FA6047" w:rsidRPr="00FA6047" w:rsidRDefault="00FA6047" w:rsidP="00B3692C">
      <w:pPr>
        <w:spacing w:before="240" w:after="120" w:line="276" w:lineRule="auto"/>
        <w:jc w:val="center"/>
        <w:rPr>
          <w:rFonts w:cstheme="minorHAnsi"/>
          <w:b/>
          <w:bCs/>
          <w:sz w:val="36"/>
          <w:szCs w:val="36"/>
        </w:rPr>
      </w:pPr>
    </w:p>
    <w:p w14:paraId="3F56AFED" w14:textId="77777777" w:rsidR="00FA6047" w:rsidRDefault="00FA6047" w:rsidP="00FA6047">
      <w:pPr>
        <w:spacing w:before="240" w:after="120" w:line="240" w:lineRule="auto"/>
        <w:jc w:val="center"/>
        <w:rPr>
          <w:rFonts w:cstheme="minorHAnsi"/>
          <w:b/>
          <w:bCs/>
          <w:sz w:val="32"/>
          <w:szCs w:val="32"/>
        </w:rPr>
      </w:pPr>
    </w:p>
    <w:p w14:paraId="7476FCFF" w14:textId="77777777" w:rsidR="00FA6047" w:rsidRDefault="00FA6047" w:rsidP="00FA6047">
      <w:pPr>
        <w:spacing w:before="240" w:after="120" w:line="240" w:lineRule="auto"/>
        <w:ind w:left="144"/>
        <w:rPr>
          <w:rFonts w:cstheme="minorHAnsi"/>
          <w:b/>
          <w:bCs/>
          <w:sz w:val="32"/>
          <w:szCs w:val="32"/>
        </w:rPr>
      </w:pPr>
    </w:p>
    <w:p w14:paraId="548C3AA6" w14:textId="13D4ACF7" w:rsidR="00B3692C" w:rsidRPr="00FA6047" w:rsidRDefault="00B3692C" w:rsidP="00FA6047">
      <w:pPr>
        <w:spacing w:before="240" w:after="120" w:line="240" w:lineRule="auto"/>
        <w:ind w:left="144"/>
        <w:jc w:val="left"/>
        <w:rPr>
          <w:rFonts w:cstheme="minorHAnsi"/>
          <w:sz w:val="32"/>
          <w:szCs w:val="32"/>
        </w:rPr>
      </w:pPr>
      <w:r w:rsidRPr="00FA6047">
        <w:rPr>
          <w:rFonts w:cstheme="minorHAnsi"/>
          <w:b/>
          <w:bCs/>
          <w:sz w:val="32"/>
          <w:szCs w:val="32"/>
        </w:rPr>
        <w:t>Program:</w:t>
      </w:r>
      <w:r w:rsidRPr="00FA6047">
        <w:rPr>
          <w:rFonts w:cstheme="minorHAnsi"/>
          <w:sz w:val="32"/>
          <w:szCs w:val="32"/>
        </w:rPr>
        <w:t xml:space="preserve"> </w:t>
      </w:r>
      <w:r w:rsidR="00F93984" w:rsidRPr="00FA6047">
        <w:rPr>
          <w:rFonts w:cstheme="minorHAnsi"/>
          <w:bCs/>
          <w:sz w:val="32"/>
          <w:szCs w:val="32"/>
        </w:rPr>
        <w:t>Certificate of Higher Education in Health and Social Care</w:t>
      </w:r>
    </w:p>
    <w:p w14:paraId="22B2E133" w14:textId="52EF41BD" w:rsidR="00B3692C" w:rsidRPr="00FA6047" w:rsidRDefault="00B3692C" w:rsidP="00FA6047">
      <w:pPr>
        <w:spacing w:before="240" w:after="120" w:line="240" w:lineRule="auto"/>
        <w:ind w:left="144"/>
        <w:jc w:val="left"/>
        <w:rPr>
          <w:rFonts w:cstheme="minorHAnsi"/>
          <w:bCs/>
          <w:sz w:val="32"/>
          <w:szCs w:val="32"/>
        </w:rPr>
      </w:pPr>
      <w:r w:rsidRPr="00FA6047">
        <w:rPr>
          <w:rFonts w:cstheme="minorHAnsi"/>
          <w:b/>
          <w:bCs/>
          <w:sz w:val="32"/>
          <w:szCs w:val="32"/>
        </w:rPr>
        <w:t>Module:</w:t>
      </w:r>
      <w:r w:rsidRPr="00FA6047">
        <w:rPr>
          <w:rFonts w:cstheme="minorHAnsi"/>
          <w:sz w:val="32"/>
          <w:szCs w:val="32"/>
        </w:rPr>
        <w:t xml:space="preserve"> </w:t>
      </w:r>
      <w:r w:rsidR="00F93984" w:rsidRPr="00FA6047">
        <w:rPr>
          <w:rFonts w:cstheme="minorHAnsi"/>
          <w:bCs/>
          <w:sz w:val="32"/>
          <w:szCs w:val="32"/>
        </w:rPr>
        <w:t>Psychology in Health and Social Care</w:t>
      </w:r>
      <w:r w:rsidR="00F93984" w:rsidRPr="00FA6047">
        <w:rPr>
          <w:rFonts w:cstheme="minorHAnsi"/>
          <w:sz w:val="32"/>
          <w:szCs w:val="32"/>
        </w:rPr>
        <w:t xml:space="preserve"> </w:t>
      </w:r>
      <w:r w:rsidRPr="00FA6047">
        <w:rPr>
          <w:rFonts w:cstheme="minorHAnsi"/>
          <w:sz w:val="32"/>
          <w:szCs w:val="32"/>
        </w:rPr>
        <w:t>(LC</w:t>
      </w:r>
      <w:r w:rsidR="00F93984" w:rsidRPr="00FA6047">
        <w:rPr>
          <w:rFonts w:cstheme="minorHAnsi"/>
          <w:sz w:val="32"/>
          <w:szCs w:val="32"/>
        </w:rPr>
        <w:t>HS4010</w:t>
      </w:r>
      <w:r w:rsidRPr="00FA6047">
        <w:rPr>
          <w:rFonts w:cstheme="minorHAnsi"/>
          <w:sz w:val="32"/>
          <w:szCs w:val="32"/>
        </w:rPr>
        <w:t>)</w:t>
      </w:r>
    </w:p>
    <w:p w14:paraId="016F3D65" w14:textId="23930756" w:rsidR="00FA6047" w:rsidRPr="00FA6047" w:rsidRDefault="00B3692C" w:rsidP="00FA6047">
      <w:pPr>
        <w:spacing w:before="240" w:after="120" w:line="240" w:lineRule="auto"/>
        <w:ind w:left="144"/>
        <w:jc w:val="left"/>
        <w:rPr>
          <w:rFonts w:cstheme="minorHAnsi"/>
          <w:sz w:val="32"/>
          <w:szCs w:val="32"/>
        </w:rPr>
      </w:pPr>
      <w:r w:rsidRPr="00FA6047">
        <w:rPr>
          <w:rFonts w:cstheme="minorHAnsi"/>
          <w:b/>
          <w:bCs/>
          <w:sz w:val="32"/>
          <w:szCs w:val="32"/>
        </w:rPr>
        <w:t>Lecturer:</w:t>
      </w:r>
      <w:r w:rsidRPr="00FA6047">
        <w:rPr>
          <w:rFonts w:cstheme="minorHAnsi"/>
          <w:b/>
          <w:sz w:val="32"/>
          <w:szCs w:val="32"/>
        </w:rPr>
        <w:t xml:space="preserve"> </w:t>
      </w:r>
      <w:r w:rsidR="00F93984" w:rsidRPr="00FA6047">
        <w:rPr>
          <w:rFonts w:cstheme="minorHAnsi"/>
          <w:sz w:val="32"/>
          <w:szCs w:val="32"/>
        </w:rPr>
        <w:t>Neale Haddon</w:t>
      </w:r>
    </w:p>
    <w:p w14:paraId="28D36234" w14:textId="6397F1CA" w:rsidR="00B3692C" w:rsidRPr="00FA6047" w:rsidRDefault="00B3692C" w:rsidP="00FA6047">
      <w:pPr>
        <w:spacing w:before="240" w:after="120" w:line="240" w:lineRule="auto"/>
        <w:ind w:left="144"/>
        <w:jc w:val="left"/>
        <w:rPr>
          <w:rFonts w:cstheme="minorHAnsi"/>
          <w:bCs/>
          <w:sz w:val="32"/>
          <w:szCs w:val="32"/>
        </w:rPr>
      </w:pPr>
      <w:r w:rsidRPr="00FA6047">
        <w:rPr>
          <w:rFonts w:cstheme="minorHAnsi"/>
          <w:b/>
          <w:bCs/>
          <w:sz w:val="32"/>
          <w:szCs w:val="32"/>
        </w:rPr>
        <w:t>Assignment Title:</w:t>
      </w:r>
      <w:r w:rsidRPr="00FA6047">
        <w:rPr>
          <w:rFonts w:cstheme="minorHAnsi"/>
          <w:sz w:val="32"/>
          <w:szCs w:val="32"/>
        </w:rPr>
        <w:t xml:space="preserve"> </w:t>
      </w:r>
      <w:r w:rsidR="00F93984" w:rsidRPr="00FA6047">
        <w:rPr>
          <w:rFonts w:cstheme="minorHAnsi"/>
          <w:bCs/>
          <w:sz w:val="32"/>
          <w:szCs w:val="32"/>
        </w:rPr>
        <w:t>Assignment 2: Written Task</w:t>
      </w:r>
    </w:p>
    <w:p w14:paraId="1D0E31A8" w14:textId="77777777" w:rsidR="00FA6047" w:rsidRPr="00FA6047" w:rsidRDefault="00FA6047" w:rsidP="00FA6047">
      <w:pPr>
        <w:spacing w:before="240" w:after="120" w:line="240" w:lineRule="auto"/>
        <w:ind w:left="144"/>
        <w:jc w:val="left"/>
        <w:rPr>
          <w:rFonts w:cstheme="minorHAnsi"/>
          <w:bCs/>
          <w:sz w:val="32"/>
          <w:szCs w:val="32"/>
        </w:rPr>
      </w:pPr>
      <w:r w:rsidRPr="00FA6047">
        <w:rPr>
          <w:rFonts w:cstheme="minorHAnsi"/>
          <w:b/>
          <w:bCs/>
          <w:sz w:val="32"/>
          <w:szCs w:val="32"/>
        </w:rPr>
        <w:t xml:space="preserve">Student Name: </w:t>
      </w:r>
      <w:r w:rsidRPr="00FA6047">
        <w:rPr>
          <w:rFonts w:cstheme="minorHAnsi"/>
          <w:bCs/>
          <w:sz w:val="32"/>
          <w:szCs w:val="32"/>
        </w:rPr>
        <w:t>Shabina Bi</w:t>
      </w:r>
    </w:p>
    <w:p w14:paraId="76B1C637" w14:textId="0E875C2C" w:rsidR="00FA6047" w:rsidRPr="00FA6047" w:rsidRDefault="00FA6047" w:rsidP="00FA6047">
      <w:pPr>
        <w:spacing w:before="240" w:after="120" w:line="240" w:lineRule="auto"/>
        <w:ind w:left="144"/>
        <w:jc w:val="left"/>
        <w:rPr>
          <w:rFonts w:cstheme="minorHAnsi"/>
          <w:sz w:val="32"/>
          <w:szCs w:val="32"/>
          <w:shd w:val="clear" w:color="auto" w:fill="FFFFFF"/>
        </w:rPr>
      </w:pPr>
      <w:r w:rsidRPr="00FA6047">
        <w:rPr>
          <w:rFonts w:cstheme="minorHAnsi"/>
          <w:b/>
          <w:bCs/>
          <w:sz w:val="32"/>
          <w:szCs w:val="32"/>
        </w:rPr>
        <w:t xml:space="preserve">Student ID: </w:t>
      </w:r>
      <w:r w:rsidRPr="00FA6047">
        <w:rPr>
          <w:rFonts w:cstheme="minorHAnsi"/>
          <w:sz w:val="32"/>
          <w:szCs w:val="32"/>
        </w:rPr>
        <w:t>2328241</w:t>
      </w:r>
    </w:p>
    <w:p w14:paraId="506B294D" w14:textId="48C4D68B" w:rsidR="00B3692C" w:rsidRPr="00FA6047" w:rsidRDefault="00B3692C" w:rsidP="00FA6047">
      <w:pPr>
        <w:spacing w:before="240" w:after="120" w:line="240" w:lineRule="auto"/>
        <w:ind w:left="144"/>
        <w:jc w:val="left"/>
        <w:rPr>
          <w:rFonts w:cstheme="minorHAnsi"/>
          <w:b/>
          <w:bCs/>
          <w:sz w:val="32"/>
          <w:szCs w:val="32"/>
        </w:rPr>
      </w:pPr>
      <w:r w:rsidRPr="00FA6047">
        <w:rPr>
          <w:rFonts w:cstheme="minorHAnsi"/>
          <w:b/>
          <w:bCs/>
          <w:sz w:val="32"/>
          <w:szCs w:val="32"/>
        </w:rPr>
        <w:t xml:space="preserve">Word count: </w:t>
      </w:r>
      <w:r w:rsidR="001F0F68" w:rsidRPr="00FA6047">
        <w:rPr>
          <w:rFonts w:cstheme="minorHAnsi"/>
          <w:sz w:val="32"/>
          <w:szCs w:val="32"/>
        </w:rPr>
        <w:t>16</w:t>
      </w:r>
      <w:r w:rsidR="00DE24F6">
        <w:rPr>
          <w:rFonts w:cstheme="minorHAnsi"/>
          <w:sz w:val="32"/>
          <w:szCs w:val="32"/>
        </w:rPr>
        <w:t>30</w:t>
      </w:r>
    </w:p>
    <w:p w14:paraId="3A1C4298" w14:textId="77777777" w:rsidR="00B3692C" w:rsidRPr="00FA6047" w:rsidRDefault="00B3692C" w:rsidP="00FA6047">
      <w:pPr>
        <w:spacing w:before="240" w:after="120" w:line="240" w:lineRule="auto"/>
        <w:ind w:left="144"/>
        <w:jc w:val="left"/>
        <w:rPr>
          <w:rFonts w:cstheme="minorHAnsi"/>
          <w:sz w:val="32"/>
          <w:szCs w:val="32"/>
        </w:rPr>
      </w:pPr>
    </w:p>
    <w:p w14:paraId="69338FF7" w14:textId="2A3DE370" w:rsidR="00B3692C" w:rsidRPr="00FA6047" w:rsidRDefault="00B3692C" w:rsidP="00FA6047">
      <w:pPr>
        <w:spacing w:before="240" w:after="120" w:line="240" w:lineRule="auto"/>
        <w:ind w:left="144"/>
        <w:jc w:val="left"/>
        <w:rPr>
          <w:rFonts w:cstheme="minorHAnsi"/>
          <w:sz w:val="32"/>
          <w:szCs w:val="32"/>
        </w:rPr>
      </w:pPr>
      <w:r w:rsidRPr="00FA6047">
        <w:rPr>
          <w:rFonts w:cstheme="minorHAnsi"/>
          <w:b/>
          <w:bCs/>
          <w:sz w:val="32"/>
          <w:szCs w:val="32"/>
        </w:rPr>
        <w:t>Date of Submission:</w:t>
      </w:r>
      <w:r w:rsidRPr="00FA6047">
        <w:rPr>
          <w:rFonts w:cstheme="minorHAnsi"/>
          <w:sz w:val="32"/>
          <w:szCs w:val="32"/>
        </w:rPr>
        <w:t xml:space="preserve"> 1</w:t>
      </w:r>
      <w:r w:rsidR="001F0F68" w:rsidRPr="00FA6047">
        <w:rPr>
          <w:rFonts w:cstheme="minorHAnsi"/>
          <w:sz w:val="32"/>
          <w:szCs w:val="32"/>
        </w:rPr>
        <w:t>8</w:t>
      </w:r>
      <w:r w:rsidRPr="00FA6047">
        <w:rPr>
          <w:rFonts w:cstheme="minorHAnsi"/>
          <w:sz w:val="32"/>
          <w:szCs w:val="32"/>
        </w:rPr>
        <w:t xml:space="preserve"> </w:t>
      </w:r>
      <w:r w:rsidR="001F0F68" w:rsidRPr="00FA6047">
        <w:rPr>
          <w:rFonts w:cstheme="minorHAnsi"/>
          <w:sz w:val="32"/>
          <w:szCs w:val="32"/>
        </w:rPr>
        <w:t>November</w:t>
      </w:r>
      <w:r w:rsidRPr="00FA6047">
        <w:rPr>
          <w:rFonts w:cstheme="minorHAnsi"/>
          <w:sz w:val="32"/>
          <w:szCs w:val="32"/>
        </w:rPr>
        <w:t xml:space="preserve"> 2025</w:t>
      </w:r>
    </w:p>
    <w:p w14:paraId="122EEB85" w14:textId="77777777" w:rsidR="00290E8B" w:rsidRDefault="00290E8B">
      <w:pPr>
        <w:rPr>
          <w:rFonts w:cstheme="minorHAnsi"/>
        </w:rPr>
      </w:pPr>
    </w:p>
    <w:p w14:paraId="47FCF07B" w14:textId="77777777" w:rsidR="00FA6047" w:rsidRPr="00FA6047" w:rsidRDefault="00FA6047">
      <w:pPr>
        <w:rPr>
          <w:rFonts w:cstheme="minorHAnsi"/>
        </w:rPr>
      </w:pPr>
    </w:p>
    <w:p w14:paraId="65912D1A" w14:textId="77777777" w:rsidR="00290E8B" w:rsidRPr="00FA6047" w:rsidRDefault="00290E8B">
      <w:pPr>
        <w:rPr>
          <w:rFonts w:cstheme="minorHAnsi"/>
        </w:rPr>
      </w:pPr>
    </w:p>
    <w:p w14:paraId="38F54118" w14:textId="77777777" w:rsidR="00B00CBE" w:rsidRPr="00FA6047" w:rsidRDefault="00B00CBE">
      <w:pPr>
        <w:rPr>
          <w:rFonts w:cstheme="minorHAnsi"/>
        </w:rPr>
      </w:pPr>
    </w:p>
    <w:p w14:paraId="25C91E56" w14:textId="77777777" w:rsidR="00B00CBE" w:rsidRPr="00FA6047" w:rsidRDefault="00B00CBE">
      <w:pPr>
        <w:rPr>
          <w:rFonts w:cstheme="minorHAnsi"/>
        </w:rPr>
      </w:pPr>
    </w:p>
    <w:p w14:paraId="497B5CDC" w14:textId="77777777" w:rsidR="00B00CBE" w:rsidRPr="00FA6047" w:rsidRDefault="00B00CBE">
      <w:pPr>
        <w:rPr>
          <w:rFonts w:cstheme="minorHAnsi"/>
        </w:rPr>
      </w:pPr>
    </w:p>
    <w:p w14:paraId="13874521" w14:textId="77777777" w:rsidR="00B00CBE" w:rsidRPr="00FA6047" w:rsidRDefault="00B00CBE" w:rsidP="00B00CBE">
      <w:pPr>
        <w:spacing w:after="0"/>
        <w:rPr>
          <w:rFonts w:cstheme="minorHAnsi"/>
        </w:rPr>
      </w:pPr>
    </w:p>
    <w:p w14:paraId="6FD016C1" w14:textId="77777777" w:rsidR="00290E8B" w:rsidRPr="00FA6047" w:rsidRDefault="00290E8B">
      <w:pPr>
        <w:rPr>
          <w:rFonts w:cstheme="minorHAnsi"/>
        </w:rPr>
      </w:pPr>
    </w:p>
    <w:sdt>
      <w:sdtPr>
        <w:rPr>
          <w:rFonts w:cstheme="minorHAnsi"/>
        </w:rPr>
        <w:id w:val="-2005885682"/>
        <w:docPartObj>
          <w:docPartGallery w:val="Table of Contents"/>
          <w:docPartUnique/>
        </w:docPartObj>
      </w:sdtPr>
      <w:sdtEndPr>
        <w:rPr>
          <w:b/>
          <w:bCs/>
          <w:noProof/>
        </w:rPr>
      </w:sdtEndPr>
      <w:sdtContent>
        <w:p w14:paraId="56C4F17B" w14:textId="77777777" w:rsidR="005B15C5" w:rsidRPr="00FA6047" w:rsidRDefault="005B15C5" w:rsidP="005B15C5">
          <w:pPr>
            <w:rPr>
              <w:rFonts w:cstheme="minorHAnsi"/>
            </w:rPr>
          </w:pPr>
        </w:p>
        <w:p w14:paraId="0FEB76AC" w14:textId="4B9CBB29" w:rsidR="005A444E" w:rsidRPr="00FA6047" w:rsidRDefault="005A444E" w:rsidP="005B15C5">
          <w:pPr>
            <w:jc w:val="center"/>
            <w:rPr>
              <w:rFonts w:cstheme="minorHAnsi"/>
              <w:b/>
              <w:bCs/>
              <w:color w:val="2F5496" w:themeColor="accent1" w:themeShade="BF"/>
              <w:sz w:val="32"/>
              <w:szCs w:val="32"/>
            </w:rPr>
          </w:pPr>
          <w:r w:rsidRPr="00FA6047">
            <w:rPr>
              <w:rFonts w:cstheme="minorHAnsi"/>
              <w:b/>
              <w:bCs/>
              <w:color w:val="2F5496" w:themeColor="accent1" w:themeShade="BF"/>
              <w:sz w:val="32"/>
              <w:szCs w:val="32"/>
            </w:rPr>
            <w:t>Table of Contents</w:t>
          </w:r>
        </w:p>
        <w:p w14:paraId="208FE667" w14:textId="0796F247" w:rsidR="00B00CBE" w:rsidRPr="00FA6047" w:rsidRDefault="005A444E" w:rsidP="00FA6047">
          <w:pPr>
            <w:pStyle w:val="TOC1"/>
            <w:tabs>
              <w:tab w:val="left" w:pos="480"/>
              <w:tab w:val="right" w:leader="dot" w:pos="9016"/>
            </w:tabs>
            <w:rPr>
              <w:rFonts w:eastAsiaTheme="minorEastAsia" w:cstheme="minorHAnsi"/>
              <w:noProof/>
              <w:color w:val="000000" w:themeColor="text1"/>
              <w:sz w:val="28"/>
              <w:szCs w:val="28"/>
            </w:rPr>
          </w:pPr>
          <w:r w:rsidRPr="00FA6047">
            <w:rPr>
              <w:rFonts w:cstheme="minorHAnsi"/>
              <w:color w:val="000000" w:themeColor="text1"/>
              <w:sz w:val="28"/>
              <w:szCs w:val="28"/>
            </w:rPr>
            <w:fldChar w:fldCharType="begin"/>
          </w:r>
          <w:r w:rsidRPr="00FA6047">
            <w:rPr>
              <w:rFonts w:cstheme="minorHAnsi"/>
              <w:color w:val="000000" w:themeColor="text1"/>
              <w:sz w:val="28"/>
              <w:szCs w:val="28"/>
            </w:rPr>
            <w:instrText xml:space="preserve"> TOC \o "1-3" \h \z \u </w:instrText>
          </w:r>
          <w:r w:rsidRPr="00FA6047">
            <w:rPr>
              <w:rFonts w:cstheme="minorHAnsi"/>
              <w:color w:val="000000" w:themeColor="text1"/>
              <w:sz w:val="28"/>
              <w:szCs w:val="28"/>
            </w:rPr>
            <w:fldChar w:fldCharType="separate"/>
          </w:r>
          <w:hyperlink w:anchor="_Toc214217445" w:history="1">
            <w:r w:rsidR="00B00CBE" w:rsidRPr="00FA6047">
              <w:rPr>
                <w:rStyle w:val="Hyperlink"/>
                <w:rFonts w:cstheme="minorHAnsi"/>
                <w:noProof/>
                <w:color w:val="000000" w:themeColor="text1"/>
                <w:sz w:val="28"/>
                <w:szCs w:val="28"/>
              </w:rPr>
              <w:t>1</w:t>
            </w:r>
            <w:r w:rsidR="00B00CBE" w:rsidRPr="00FA6047">
              <w:rPr>
                <w:rFonts w:eastAsiaTheme="minorEastAsia" w:cstheme="minorHAnsi"/>
                <w:noProof/>
                <w:color w:val="000000" w:themeColor="text1"/>
                <w:sz w:val="28"/>
                <w:szCs w:val="28"/>
              </w:rPr>
              <w:tab/>
            </w:r>
            <w:r w:rsidR="00B00CBE" w:rsidRPr="00FA6047">
              <w:rPr>
                <w:rStyle w:val="Hyperlink"/>
                <w:rFonts w:cstheme="minorHAnsi"/>
                <w:noProof/>
                <w:color w:val="000000" w:themeColor="text1"/>
                <w:sz w:val="28"/>
                <w:szCs w:val="28"/>
              </w:rPr>
              <w:t>Introduction</w:t>
            </w:r>
            <w:r w:rsidR="00B00CBE" w:rsidRPr="00FA6047">
              <w:rPr>
                <w:rFonts w:cstheme="minorHAnsi"/>
                <w:noProof/>
                <w:webHidden/>
                <w:color w:val="000000" w:themeColor="text1"/>
                <w:sz w:val="28"/>
                <w:szCs w:val="28"/>
              </w:rPr>
              <w:tab/>
            </w:r>
            <w:r w:rsidR="00B00CBE" w:rsidRPr="00FA6047">
              <w:rPr>
                <w:rFonts w:cstheme="minorHAnsi"/>
                <w:noProof/>
                <w:webHidden/>
                <w:color w:val="000000" w:themeColor="text1"/>
                <w:sz w:val="28"/>
                <w:szCs w:val="28"/>
              </w:rPr>
              <w:fldChar w:fldCharType="begin"/>
            </w:r>
            <w:r w:rsidR="00B00CBE" w:rsidRPr="00FA6047">
              <w:rPr>
                <w:rFonts w:cstheme="minorHAnsi"/>
                <w:noProof/>
                <w:webHidden/>
                <w:color w:val="000000" w:themeColor="text1"/>
                <w:sz w:val="28"/>
                <w:szCs w:val="28"/>
              </w:rPr>
              <w:instrText xml:space="preserve"> PAGEREF _Toc214217445 \h </w:instrText>
            </w:r>
            <w:r w:rsidR="00B00CBE" w:rsidRPr="00FA6047">
              <w:rPr>
                <w:rFonts w:cstheme="minorHAnsi"/>
                <w:noProof/>
                <w:webHidden/>
                <w:color w:val="000000" w:themeColor="text1"/>
                <w:sz w:val="28"/>
                <w:szCs w:val="28"/>
              </w:rPr>
            </w:r>
            <w:r w:rsidR="00B00CBE" w:rsidRPr="00FA6047">
              <w:rPr>
                <w:rFonts w:cstheme="minorHAnsi"/>
                <w:noProof/>
                <w:webHidden/>
                <w:color w:val="000000" w:themeColor="text1"/>
                <w:sz w:val="28"/>
                <w:szCs w:val="28"/>
              </w:rPr>
              <w:fldChar w:fldCharType="separate"/>
            </w:r>
            <w:r w:rsidR="00B00CBE" w:rsidRPr="00FA6047">
              <w:rPr>
                <w:rFonts w:cstheme="minorHAnsi"/>
                <w:noProof/>
                <w:webHidden/>
                <w:color w:val="000000" w:themeColor="text1"/>
                <w:sz w:val="28"/>
                <w:szCs w:val="28"/>
              </w:rPr>
              <w:t>3</w:t>
            </w:r>
            <w:r w:rsidR="00B00CBE" w:rsidRPr="00FA6047">
              <w:rPr>
                <w:rFonts w:cstheme="minorHAnsi"/>
                <w:noProof/>
                <w:webHidden/>
                <w:color w:val="000000" w:themeColor="text1"/>
                <w:sz w:val="28"/>
                <w:szCs w:val="28"/>
              </w:rPr>
              <w:fldChar w:fldCharType="end"/>
            </w:r>
          </w:hyperlink>
        </w:p>
        <w:p w14:paraId="4B86D2FC" w14:textId="5C7BF351" w:rsidR="00B00CBE" w:rsidRPr="00FA6047" w:rsidRDefault="00B00CBE" w:rsidP="00FA6047">
          <w:pPr>
            <w:pStyle w:val="TOC1"/>
            <w:tabs>
              <w:tab w:val="left" w:pos="480"/>
              <w:tab w:val="right" w:leader="dot" w:pos="9016"/>
            </w:tabs>
            <w:rPr>
              <w:rFonts w:eastAsiaTheme="minorEastAsia" w:cstheme="minorHAnsi"/>
              <w:noProof/>
              <w:color w:val="000000" w:themeColor="text1"/>
              <w:sz w:val="28"/>
              <w:szCs w:val="28"/>
            </w:rPr>
          </w:pPr>
          <w:hyperlink w:anchor="_Toc214217446" w:history="1">
            <w:r w:rsidRPr="00FA6047">
              <w:rPr>
                <w:rStyle w:val="Hyperlink"/>
                <w:rFonts w:cstheme="minorHAnsi"/>
                <w:noProof/>
                <w:color w:val="000000" w:themeColor="text1"/>
                <w:sz w:val="28"/>
                <w:szCs w:val="28"/>
                <w:lang w:val="en-GB"/>
              </w:rPr>
              <w:t>2</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lang w:val="en-GB"/>
              </w:rPr>
              <w:t>Two psychological theories relevant to adult development</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_Toc214217446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3</w:t>
            </w:r>
            <w:r w:rsidRPr="00FA6047">
              <w:rPr>
                <w:rFonts w:cstheme="minorHAnsi"/>
                <w:noProof/>
                <w:webHidden/>
                <w:color w:val="000000" w:themeColor="text1"/>
                <w:sz w:val="28"/>
                <w:szCs w:val="28"/>
              </w:rPr>
              <w:fldChar w:fldCharType="end"/>
            </w:r>
          </w:hyperlink>
        </w:p>
        <w:p w14:paraId="0E58F806" w14:textId="16FB84A9" w:rsidR="00B00CBE" w:rsidRPr="00FA6047" w:rsidRDefault="00B00CBE" w:rsidP="00FA6047">
          <w:pPr>
            <w:pStyle w:val="TOC2"/>
            <w:tabs>
              <w:tab w:val="left" w:pos="960"/>
              <w:tab w:val="right" w:leader="dot" w:pos="9016"/>
            </w:tabs>
            <w:rPr>
              <w:rFonts w:eastAsiaTheme="minorEastAsia" w:cstheme="minorHAnsi"/>
              <w:noProof/>
              <w:color w:val="000000" w:themeColor="text1"/>
              <w:sz w:val="28"/>
              <w:szCs w:val="28"/>
            </w:rPr>
          </w:pPr>
          <w:hyperlink w:anchor="_Toc214217447" w:history="1">
            <w:r w:rsidRPr="00FA6047">
              <w:rPr>
                <w:rStyle w:val="Hyperlink"/>
                <w:rFonts w:cstheme="minorHAnsi"/>
                <w:noProof/>
                <w:color w:val="000000" w:themeColor="text1"/>
                <w:sz w:val="28"/>
                <w:szCs w:val="28"/>
              </w:rPr>
              <w:t>2.1</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rPr>
              <w:t>Bandura’s Social Learning Theory</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_Toc214217447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3</w:t>
            </w:r>
            <w:r w:rsidRPr="00FA6047">
              <w:rPr>
                <w:rFonts w:cstheme="minorHAnsi"/>
                <w:noProof/>
                <w:webHidden/>
                <w:color w:val="000000" w:themeColor="text1"/>
                <w:sz w:val="28"/>
                <w:szCs w:val="28"/>
              </w:rPr>
              <w:fldChar w:fldCharType="end"/>
            </w:r>
          </w:hyperlink>
        </w:p>
        <w:p w14:paraId="062FB5EE" w14:textId="56609CB5" w:rsidR="00B00CBE" w:rsidRPr="00FA6047" w:rsidRDefault="00B00CBE" w:rsidP="00FA6047">
          <w:pPr>
            <w:pStyle w:val="TOC2"/>
            <w:tabs>
              <w:tab w:val="left" w:pos="960"/>
              <w:tab w:val="right" w:leader="dot" w:pos="9016"/>
            </w:tabs>
            <w:rPr>
              <w:rFonts w:eastAsiaTheme="minorEastAsia" w:cstheme="minorHAnsi"/>
              <w:noProof/>
              <w:color w:val="000000" w:themeColor="text1"/>
              <w:sz w:val="28"/>
              <w:szCs w:val="28"/>
            </w:rPr>
          </w:pPr>
          <w:hyperlink w:anchor="_Toc214217448" w:history="1">
            <w:r w:rsidRPr="00FA6047">
              <w:rPr>
                <w:rStyle w:val="Hyperlink"/>
                <w:rFonts w:cstheme="minorHAnsi"/>
                <w:noProof/>
                <w:color w:val="000000" w:themeColor="text1"/>
                <w:sz w:val="28"/>
                <w:szCs w:val="28"/>
              </w:rPr>
              <w:t>2.2</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rPr>
              <w:t>Bronfenbrenner’s Ecological Systems Theory:</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_Toc214217448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4</w:t>
            </w:r>
            <w:r w:rsidRPr="00FA6047">
              <w:rPr>
                <w:rFonts w:cstheme="minorHAnsi"/>
                <w:noProof/>
                <w:webHidden/>
                <w:color w:val="000000" w:themeColor="text1"/>
                <w:sz w:val="28"/>
                <w:szCs w:val="28"/>
              </w:rPr>
              <w:fldChar w:fldCharType="end"/>
            </w:r>
          </w:hyperlink>
        </w:p>
        <w:p w14:paraId="6F632454" w14:textId="70F8E623" w:rsidR="00B00CBE" w:rsidRPr="00FA6047" w:rsidRDefault="00B00CBE" w:rsidP="00FA6047">
          <w:pPr>
            <w:pStyle w:val="TOC1"/>
            <w:tabs>
              <w:tab w:val="left" w:pos="480"/>
              <w:tab w:val="right" w:leader="dot" w:pos="9016"/>
            </w:tabs>
            <w:rPr>
              <w:rFonts w:eastAsiaTheme="minorEastAsia" w:cstheme="minorHAnsi"/>
              <w:noProof/>
              <w:color w:val="000000" w:themeColor="text1"/>
              <w:sz w:val="28"/>
              <w:szCs w:val="28"/>
            </w:rPr>
          </w:pPr>
          <w:hyperlink w:anchor="_Toc214217449" w:history="1">
            <w:r w:rsidRPr="00FA6047">
              <w:rPr>
                <w:rStyle w:val="Hyperlink"/>
                <w:rFonts w:cstheme="minorHAnsi"/>
                <w:noProof/>
                <w:color w:val="000000" w:themeColor="text1"/>
                <w:sz w:val="28"/>
                <w:szCs w:val="28"/>
              </w:rPr>
              <w:t>3</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lang w:val="en-GB"/>
              </w:rPr>
              <w:t>Application the two theories in the Health and Social Care context</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_Toc214217449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5</w:t>
            </w:r>
            <w:r w:rsidRPr="00FA6047">
              <w:rPr>
                <w:rFonts w:cstheme="minorHAnsi"/>
                <w:noProof/>
                <w:webHidden/>
                <w:color w:val="000000" w:themeColor="text1"/>
                <w:sz w:val="28"/>
                <w:szCs w:val="28"/>
              </w:rPr>
              <w:fldChar w:fldCharType="end"/>
            </w:r>
          </w:hyperlink>
        </w:p>
        <w:p w14:paraId="4975A58C" w14:textId="34844D9A" w:rsidR="00B00CBE" w:rsidRPr="00FA6047" w:rsidRDefault="00B00CBE" w:rsidP="00FA6047">
          <w:pPr>
            <w:pStyle w:val="TOC2"/>
            <w:tabs>
              <w:tab w:val="left" w:pos="960"/>
              <w:tab w:val="right" w:leader="dot" w:pos="9016"/>
            </w:tabs>
            <w:rPr>
              <w:rFonts w:eastAsiaTheme="minorEastAsia" w:cstheme="minorHAnsi"/>
              <w:noProof/>
              <w:color w:val="000000" w:themeColor="text1"/>
              <w:sz w:val="28"/>
              <w:szCs w:val="28"/>
            </w:rPr>
          </w:pPr>
          <w:hyperlink w:anchor="_Toc214217450" w:history="1">
            <w:r w:rsidRPr="00FA6047">
              <w:rPr>
                <w:rStyle w:val="Hyperlink"/>
                <w:rFonts w:cstheme="minorHAnsi"/>
                <w:noProof/>
                <w:color w:val="000000" w:themeColor="text1"/>
                <w:sz w:val="28"/>
                <w:szCs w:val="28"/>
              </w:rPr>
              <w:t>3.1</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rPr>
              <w:t>Applying Bandura’s Social Learning Theory:</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_Toc214217450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5</w:t>
            </w:r>
            <w:r w:rsidRPr="00FA6047">
              <w:rPr>
                <w:rFonts w:cstheme="minorHAnsi"/>
                <w:noProof/>
                <w:webHidden/>
                <w:color w:val="000000" w:themeColor="text1"/>
                <w:sz w:val="28"/>
                <w:szCs w:val="28"/>
              </w:rPr>
              <w:fldChar w:fldCharType="end"/>
            </w:r>
          </w:hyperlink>
        </w:p>
        <w:p w14:paraId="415CCF97" w14:textId="244B4ACB" w:rsidR="00B00CBE" w:rsidRPr="00FA6047" w:rsidRDefault="00B00CBE" w:rsidP="00FA6047">
          <w:pPr>
            <w:pStyle w:val="TOC2"/>
            <w:tabs>
              <w:tab w:val="left" w:pos="960"/>
              <w:tab w:val="right" w:leader="dot" w:pos="9016"/>
            </w:tabs>
            <w:rPr>
              <w:rFonts w:eastAsiaTheme="minorEastAsia" w:cstheme="minorHAnsi"/>
              <w:noProof/>
              <w:color w:val="000000" w:themeColor="text1"/>
              <w:sz w:val="28"/>
              <w:szCs w:val="28"/>
            </w:rPr>
          </w:pPr>
          <w:hyperlink w:anchor="_Toc214217451" w:history="1">
            <w:r w:rsidRPr="00FA6047">
              <w:rPr>
                <w:rStyle w:val="Hyperlink"/>
                <w:rFonts w:cstheme="minorHAnsi"/>
                <w:noProof/>
                <w:color w:val="000000" w:themeColor="text1"/>
                <w:sz w:val="28"/>
                <w:szCs w:val="28"/>
              </w:rPr>
              <w:t>3.2</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rPr>
              <w:t>Applying Bronfenbrenner’s Ecological Systems Theory:</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_Toc214217451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5</w:t>
            </w:r>
            <w:r w:rsidRPr="00FA6047">
              <w:rPr>
                <w:rFonts w:cstheme="minorHAnsi"/>
                <w:noProof/>
                <w:webHidden/>
                <w:color w:val="000000" w:themeColor="text1"/>
                <w:sz w:val="28"/>
                <w:szCs w:val="28"/>
              </w:rPr>
              <w:fldChar w:fldCharType="end"/>
            </w:r>
          </w:hyperlink>
        </w:p>
        <w:p w14:paraId="2094A4A1" w14:textId="2EA7F062" w:rsidR="00B00CBE" w:rsidRPr="00FA6047" w:rsidRDefault="00B00CBE" w:rsidP="00FA6047">
          <w:pPr>
            <w:pStyle w:val="TOC1"/>
            <w:tabs>
              <w:tab w:val="left" w:pos="480"/>
              <w:tab w:val="right" w:leader="dot" w:pos="9016"/>
            </w:tabs>
            <w:rPr>
              <w:rFonts w:eastAsiaTheme="minorEastAsia" w:cstheme="minorHAnsi"/>
              <w:noProof/>
              <w:color w:val="000000" w:themeColor="text1"/>
              <w:sz w:val="28"/>
              <w:szCs w:val="28"/>
            </w:rPr>
          </w:pPr>
          <w:hyperlink w:anchor="_Toc214217452" w:history="1">
            <w:r w:rsidRPr="00FA6047">
              <w:rPr>
                <w:rStyle w:val="Hyperlink"/>
                <w:rFonts w:cstheme="minorHAnsi"/>
                <w:noProof/>
                <w:color w:val="000000" w:themeColor="text1"/>
                <w:sz w:val="28"/>
                <w:szCs w:val="28"/>
              </w:rPr>
              <w:t>4</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lang w:val="en-GB"/>
              </w:rPr>
              <w:t>Challenges for professionals in applying these theories</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_Toc214217452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6</w:t>
            </w:r>
            <w:r w:rsidRPr="00FA6047">
              <w:rPr>
                <w:rFonts w:cstheme="minorHAnsi"/>
                <w:noProof/>
                <w:webHidden/>
                <w:color w:val="000000" w:themeColor="text1"/>
                <w:sz w:val="28"/>
                <w:szCs w:val="28"/>
              </w:rPr>
              <w:fldChar w:fldCharType="end"/>
            </w:r>
          </w:hyperlink>
        </w:p>
        <w:p w14:paraId="017C86FD" w14:textId="3823F9DD" w:rsidR="00B00CBE" w:rsidRPr="00FA6047" w:rsidRDefault="00B00CBE" w:rsidP="00FA6047">
          <w:pPr>
            <w:pStyle w:val="TOC1"/>
            <w:tabs>
              <w:tab w:val="left" w:pos="480"/>
              <w:tab w:val="right" w:leader="dot" w:pos="9016"/>
            </w:tabs>
            <w:rPr>
              <w:rFonts w:eastAsiaTheme="minorEastAsia" w:cstheme="minorHAnsi"/>
              <w:noProof/>
              <w:color w:val="000000" w:themeColor="text1"/>
              <w:sz w:val="28"/>
              <w:szCs w:val="28"/>
            </w:rPr>
          </w:pPr>
          <w:hyperlink w:anchor="_Toc214217453" w:history="1">
            <w:r w:rsidRPr="00FA6047">
              <w:rPr>
                <w:rStyle w:val="Hyperlink"/>
                <w:rFonts w:cstheme="minorHAnsi"/>
                <w:noProof/>
                <w:color w:val="000000" w:themeColor="text1"/>
                <w:sz w:val="28"/>
                <w:szCs w:val="28"/>
              </w:rPr>
              <w:t>5</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rPr>
              <w:t>Conclusion</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_Toc214217453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7</w:t>
            </w:r>
            <w:r w:rsidRPr="00FA6047">
              <w:rPr>
                <w:rFonts w:cstheme="minorHAnsi"/>
                <w:noProof/>
                <w:webHidden/>
                <w:color w:val="000000" w:themeColor="text1"/>
                <w:sz w:val="28"/>
                <w:szCs w:val="28"/>
              </w:rPr>
              <w:fldChar w:fldCharType="end"/>
            </w:r>
          </w:hyperlink>
        </w:p>
        <w:p w14:paraId="21534ADD" w14:textId="3460DC10" w:rsidR="00B00CBE" w:rsidRPr="00FA6047" w:rsidRDefault="00B00CBE" w:rsidP="00FA6047">
          <w:pPr>
            <w:pStyle w:val="TOC1"/>
            <w:tabs>
              <w:tab w:val="left" w:pos="480"/>
              <w:tab w:val="right" w:leader="dot" w:pos="9016"/>
            </w:tabs>
            <w:rPr>
              <w:rFonts w:eastAsiaTheme="minorEastAsia" w:cstheme="minorHAnsi"/>
              <w:noProof/>
              <w:color w:val="000000" w:themeColor="text1"/>
              <w:sz w:val="28"/>
              <w:szCs w:val="28"/>
            </w:rPr>
          </w:pPr>
          <w:hyperlink w:anchor="_Toc214217454" w:history="1">
            <w:r w:rsidRPr="00FA6047">
              <w:rPr>
                <w:rStyle w:val="Hyperlink"/>
                <w:rFonts w:cstheme="minorHAnsi"/>
                <w:noProof/>
                <w:color w:val="000000" w:themeColor="text1"/>
                <w:sz w:val="28"/>
                <w:szCs w:val="28"/>
              </w:rPr>
              <w:t>6</w:t>
            </w:r>
            <w:r w:rsidRPr="00FA6047">
              <w:rPr>
                <w:rFonts w:eastAsiaTheme="minorEastAsia" w:cstheme="minorHAnsi"/>
                <w:noProof/>
                <w:color w:val="000000" w:themeColor="text1"/>
                <w:sz w:val="28"/>
                <w:szCs w:val="28"/>
              </w:rPr>
              <w:tab/>
            </w:r>
            <w:r w:rsidRPr="00FA6047">
              <w:rPr>
                <w:rStyle w:val="Hyperlink"/>
                <w:rFonts w:cstheme="minorHAnsi"/>
                <w:noProof/>
                <w:color w:val="000000" w:themeColor="text1"/>
                <w:sz w:val="28"/>
                <w:szCs w:val="28"/>
              </w:rPr>
              <w:t>References</w:t>
            </w:r>
            <w:r w:rsidRPr="00FA6047">
              <w:rPr>
                <w:rFonts w:cstheme="minorHAnsi"/>
                <w:noProof/>
                <w:webHidden/>
                <w:color w:val="000000" w:themeColor="text1"/>
                <w:sz w:val="28"/>
                <w:szCs w:val="28"/>
              </w:rPr>
              <w:tab/>
            </w:r>
            <w:r w:rsidRPr="00FA6047">
              <w:rPr>
                <w:rFonts w:cstheme="minorHAnsi"/>
                <w:noProof/>
                <w:webHidden/>
                <w:color w:val="000000" w:themeColor="text1"/>
                <w:sz w:val="28"/>
                <w:szCs w:val="28"/>
              </w:rPr>
              <w:fldChar w:fldCharType="begin"/>
            </w:r>
            <w:r w:rsidRPr="00FA6047">
              <w:rPr>
                <w:rFonts w:cstheme="minorHAnsi"/>
                <w:noProof/>
                <w:webHidden/>
                <w:color w:val="000000" w:themeColor="text1"/>
                <w:sz w:val="28"/>
                <w:szCs w:val="28"/>
              </w:rPr>
              <w:instrText xml:space="preserve"> PAGEREF _Toc214217454 \h </w:instrText>
            </w:r>
            <w:r w:rsidRPr="00FA6047">
              <w:rPr>
                <w:rFonts w:cstheme="minorHAnsi"/>
                <w:noProof/>
                <w:webHidden/>
                <w:color w:val="000000" w:themeColor="text1"/>
                <w:sz w:val="28"/>
                <w:szCs w:val="28"/>
              </w:rPr>
            </w:r>
            <w:r w:rsidRPr="00FA6047">
              <w:rPr>
                <w:rFonts w:cstheme="minorHAnsi"/>
                <w:noProof/>
                <w:webHidden/>
                <w:color w:val="000000" w:themeColor="text1"/>
                <w:sz w:val="28"/>
                <w:szCs w:val="28"/>
              </w:rPr>
              <w:fldChar w:fldCharType="separate"/>
            </w:r>
            <w:r w:rsidRPr="00FA6047">
              <w:rPr>
                <w:rFonts w:cstheme="minorHAnsi"/>
                <w:noProof/>
                <w:webHidden/>
                <w:color w:val="000000" w:themeColor="text1"/>
                <w:sz w:val="28"/>
                <w:szCs w:val="28"/>
              </w:rPr>
              <w:t>7</w:t>
            </w:r>
            <w:r w:rsidRPr="00FA6047">
              <w:rPr>
                <w:rFonts w:cstheme="minorHAnsi"/>
                <w:noProof/>
                <w:webHidden/>
                <w:color w:val="000000" w:themeColor="text1"/>
                <w:sz w:val="28"/>
                <w:szCs w:val="28"/>
              </w:rPr>
              <w:fldChar w:fldCharType="end"/>
            </w:r>
          </w:hyperlink>
        </w:p>
        <w:p w14:paraId="623B714F" w14:textId="136BC78C" w:rsidR="005A444E" w:rsidRPr="00FA6047" w:rsidRDefault="005A444E" w:rsidP="00FA6047">
          <w:pPr>
            <w:rPr>
              <w:rFonts w:cstheme="minorHAnsi"/>
            </w:rPr>
          </w:pPr>
          <w:r w:rsidRPr="00FA6047">
            <w:rPr>
              <w:rFonts w:cstheme="minorHAnsi"/>
              <w:b/>
              <w:bCs/>
              <w:noProof/>
              <w:color w:val="000000" w:themeColor="text1"/>
              <w:sz w:val="28"/>
              <w:szCs w:val="28"/>
            </w:rPr>
            <w:fldChar w:fldCharType="end"/>
          </w:r>
        </w:p>
      </w:sdtContent>
    </w:sdt>
    <w:p w14:paraId="735406DC" w14:textId="7017E623" w:rsidR="005A444E" w:rsidRPr="00FA6047" w:rsidRDefault="005A444E" w:rsidP="00FA6047">
      <w:r w:rsidRPr="00FA6047">
        <w:br w:type="page"/>
      </w:r>
    </w:p>
    <w:p w14:paraId="1BF916FD" w14:textId="6FD07BAF" w:rsidR="00953EAD" w:rsidRPr="00FA6047" w:rsidRDefault="009C292B" w:rsidP="00FA6047">
      <w:pPr>
        <w:pStyle w:val="Heading1"/>
        <w:numPr>
          <w:ilvl w:val="0"/>
          <w:numId w:val="5"/>
        </w:numPr>
      </w:pPr>
      <w:bookmarkStart w:id="0" w:name="_Toc214217445"/>
      <w:r w:rsidRPr="00FA6047">
        <w:lastRenderedPageBreak/>
        <w:t>Introduction</w:t>
      </w:r>
      <w:bookmarkEnd w:id="0"/>
    </w:p>
    <w:p w14:paraId="6A2973C1" w14:textId="5DF9B227" w:rsidR="005F1980" w:rsidRPr="00FA6047" w:rsidRDefault="005F1980" w:rsidP="00FA6047">
      <w:pPr>
        <w:rPr>
          <w:b/>
        </w:rPr>
      </w:pPr>
      <w:r w:rsidRPr="00FA6047">
        <w:t xml:space="preserve">The residents of many care homes are older adults (65+) with dementia and are usually in a combination with depression or anxiety. As an illustration, most care home residents (up to 50-80 percent) have dementia, and a considerable proportion (30-50 percent) of people with dementia develop major symptoms of depression (Bukowska </w:t>
      </w:r>
      <w:r w:rsidR="00FA6047" w:rsidRPr="00FA6047">
        <w:rPr>
          <w:i/>
          <w:iCs/>
        </w:rPr>
        <w:t>et al</w:t>
      </w:r>
      <w:r w:rsidRPr="00FA6047">
        <w:t xml:space="preserve">., 2025; NICE, 2013). There are also anxiety and </w:t>
      </w:r>
      <w:proofErr w:type="spellStart"/>
      <w:r w:rsidRPr="00FA6047">
        <w:t>behavioural</w:t>
      </w:r>
      <w:proofErr w:type="spellEnd"/>
      <w:r w:rsidRPr="00FA6047">
        <w:t xml:space="preserve"> disturbances. In fact, studies determine that depression </w:t>
      </w:r>
      <w:proofErr w:type="spellStart"/>
      <w:r w:rsidRPr="00FA6047">
        <w:t>characteri</w:t>
      </w:r>
      <w:r w:rsidR="0004011E" w:rsidRPr="00FA6047">
        <w:t>s</w:t>
      </w:r>
      <w:r w:rsidRPr="00FA6047">
        <w:t>es</w:t>
      </w:r>
      <w:proofErr w:type="spellEnd"/>
      <w:r w:rsidRPr="00FA6047">
        <w:t xml:space="preserve"> approximately 30-50 percent of individuals with dementia (Bukowska </w:t>
      </w:r>
      <w:r w:rsidR="00FA6047" w:rsidRPr="00FA6047">
        <w:rPr>
          <w:i/>
          <w:iCs/>
        </w:rPr>
        <w:t>et al</w:t>
      </w:r>
      <w:r w:rsidRPr="00FA6047">
        <w:t xml:space="preserve">., 2025) and 20-60 percent of the world (Bukowska </w:t>
      </w:r>
      <w:r w:rsidR="00FA6047" w:rsidRPr="00FA6047">
        <w:rPr>
          <w:i/>
          <w:iCs/>
        </w:rPr>
        <w:t>et al</w:t>
      </w:r>
      <w:r w:rsidRPr="00FA6047">
        <w:t>., 2025). UK recommendations approximate that depression prevalence in homes is around 40 percent (NICE, 2013). Such comorbidities compromise well-being, but they are not fully acknowledged and undertreated in elderly individuals (WHO, 2022). Psychological theory can be used to inform care strategies in this regard. This report focuses on the Social Learning Theory, by Bandura, and the Ecological Systems Theory, by Bronfenbrenner, and how each can be used to inform interventions that would promote the well-being of older adults with dementia (and depression/anxiety) in a care home.</w:t>
      </w:r>
    </w:p>
    <w:p w14:paraId="783A9344" w14:textId="5E6F2D4B" w:rsidR="009C292B" w:rsidRPr="00FA6047" w:rsidRDefault="009C292B" w:rsidP="00FA6047">
      <w:pPr>
        <w:pStyle w:val="Heading1"/>
        <w:rPr>
          <w:lang w:val="en-GB"/>
        </w:rPr>
      </w:pPr>
      <w:bookmarkStart w:id="1" w:name="_Toc214217446"/>
      <w:r w:rsidRPr="00FA6047">
        <w:rPr>
          <w:lang w:val="en-GB"/>
        </w:rPr>
        <w:t xml:space="preserve">Two </w:t>
      </w:r>
      <w:r w:rsidRPr="00FA6047">
        <w:t>psychological</w:t>
      </w:r>
      <w:r w:rsidRPr="00FA6047">
        <w:rPr>
          <w:lang w:val="en-GB"/>
        </w:rPr>
        <w:t xml:space="preserve"> theories relevant to adult development</w:t>
      </w:r>
      <w:bookmarkEnd w:id="1"/>
    </w:p>
    <w:p w14:paraId="73523FB4" w14:textId="77777777" w:rsidR="009C292B" w:rsidRPr="00FA6047" w:rsidRDefault="009C292B" w:rsidP="009C292B">
      <w:pPr>
        <w:pStyle w:val="Heading2"/>
        <w:rPr>
          <w:rFonts w:asciiTheme="minorHAnsi" w:hAnsiTheme="minorHAnsi" w:cstheme="minorHAnsi"/>
        </w:rPr>
      </w:pPr>
      <w:bookmarkStart w:id="2" w:name="_Toc214217447"/>
      <w:r w:rsidRPr="00FA6047">
        <w:rPr>
          <w:rFonts w:asciiTheme="minorHAnsi" w:hAnsiTheme="minorHAnsi" w:cstheme="minorHAnsi"/>
        </w:rPr>
        <w:t>Bandura’s Social Learning Theory</w:t>
      </w:r>
      <w:bookmarkEnd w:id="2"/>
      <w:r w:rsidRPr="00FA6047">
        <w:rPr>
          <w:rFonts w:asciiTheme="minorHAnsi" w:hAnsiTheme="minorHAnsi" w:cstheme="minorHAnsi"/>
        </w:rPr>
        <w:t> </w:t>
      </w:r>
    </w:p>
    <w:p w14:paraId="1A095DDA" w14:textId="77777777" w:rsidR="0080471A" w:rsidRPr="00FA6047" w:rsidRDefault="0080471A" w:rsidP="00FA6047">
      <w:r w:rsidRPr="00FA6047">
        <w:t>According to Bandura's SLT, adults learn, similar to children, through observation, imitation, and modeling of others in social contexts. Key mechanisms include self-efficacy, observational learning, outcome expectations, reinforcement, and environmental support. Bandura states that four cognitive processes mediate observational learning: attention, retention, reproduction, and motivation (Bandura, 1977). In practical terms, a person must notice the model's behavior, remember it, be physically capable of reproducing it, and have some reason to copy it. For instance, if a caregiver calmly demonstrates deep-breathing to reduce stress, a resident who attends to and remembers that model may imitate the technique.</w:t>
      </w:r>
    </w:p>
    <w:p w14:paraId="225D0C24" w14:textId="4976866E" w:rsidR="0080471A" w:rsidRPr="00FA6047" w:rsidRDefault="0080471A" w:rsidP="00FA6047">
      <w:r w:rsidRPr="00FA6047">
        <w:t xml:space="preserve">In adult education and vocational training, instructors act as role models, and social interaction develops adults' new skills and </w:t>
      </w:r>
      <w:proofErr w:type="spellStart"/>
      <w:r w:rsidRPr="00FA6047">
        <w:t>behavio</w:t>
      </w:r>
      <w:r w:rsidR="000C1794" w:rsidRPr="00FA6047">
        <w:t>u</w:t>
      </w:r>
      <w:r w:rsidRPr="00FA6047">
        <w:t>rs</w:t>
      </w:r>
      <w:proofErr w:type="spellEnd"/>
      <w:r w:rsidRPr="00FA6047">
        <w:t xml:space="preserve">. Vicarious experiences and social reinforcement promote further development and flexibility as environments change (Manik </w:t>
      </w:r>
      <w:r w:rsidR="00FA6047" w:rsidRPr="00FA6047">
        <w:rPr>
          <w:i/>
          <w:iCs/>
        </w:rPr>
        <w:t>et al</w:t>
      </w:r>
      <w:r w:rsidRPr="00FA6047">
        <w:t xml:space="preserve">., 2022; </w:t>
      </w:r>
      <w:proofErr w:type="spellStart"/>
      <w:r w:rsidRPr="00FA6047">
        <w:t>Ahammer</w:t>
      </w:r>
      <w:proofErr w:type="spellEnd"/>
      <w:r w:rsidRPr="00FA6047">
        <w:t xml:space="preserve">, 1973; </w:t>
      </w:r>
      <w:proofErr w:type="spellStart"/>
      <w:r w:rsidRPr="00FA6047">
        <w:t>Mukhalalati</w:t>
      </w:r>
      <w:proofErr w:type="spellEnd"/>
      <w:r w:rsidRPr="00FA6047">
        <w:t xml:space="preserve"> </w:t>
      </w:r>
      <w:r w:rsidR="00FA6047" w:rsidRPr="00FA6047">
        <w:rPr>
          <w:i/>
          <w:iCs/>
        </w:rPr>
        <w:t>et al</w:t>
      </w:r>
      <w:r w:rsidRPr="00FA6047">
        <w:t xml:space="preserve">., 2022; Chuang, 2021; Jin, 2022). Bandura </w:t>
      </w:r>
      <w:r w:rsidRPr="00FA6047">
        <w:lastRenderedPageBreak/>
        <w:t>revised the theory</w:t>
      </w:r>
      <w:r w:rsidR="001C323A" w:rsidRPr="00FA6047">
        <w:t xml:space="preserve"> (1983) </w:t>
      </w:r>
      <w:r w:rsidRPr="00FA6047">
        <w:t xml:space="preserve">later to underscore more cognitive influences such as self-efficacy-the perception of the capability to succeed. High self-efficacy enhances motivation and persistence in learning tasks. For example, the dementia patient who develops personal confidence by accomplishing the simple modeled activity will more likely attempt similar activities at a later time. As an extension, SLT focuses on self-regulation and self-reflection, and clinical applications of SLT are increasingly </w:t>
      </w:r>
      <w:proofErr w:type="spellStart"/>
      <w:r w:rsidRPr="00FA6047">
        <w:t>utili</w:t>
      </w:r>
      <w:r w:rsidR="000C1794" w:rsidRPr="00FA6047">
        <w:t>s</w:t>
      </w:r>
      <w:r w:rsidRPr="00FA6047">
        <w:t>ed</w:t>
      </w:r>
      <w:proofErr w:type="spellEnd"/>
      <w:r w:rsidRPr="00FA6047">
        <w:t xml:space="preserve"> in adult psychotherapy and clinical interventions to support the building of coping strategies and adaptive </w:t>
      </w:r>
      <w:proofErr w:type="spellStart"/>
      <w:r w:rsidRPr="00FA6047">
        <w:t>behavio</w:t>
      </w:r>
      <w:r w:rsidR="000C1794" w:rsidRPr="00FA6047">
        <w:t>u</w:t>
      </w:r>
      <w:r w:rsidRPr="00FA6047">
        <w:t>rs</w:t>
      </w:r>
      <w:proofErr w:type="spellEnd"/>
      <w:r w:rsidRPr="00FA6047">
        <w:t xml:space="preserve"> across adulthood.</w:t>
      </w:r>
    </w:p>
    <w:p w14:paraId="6EF5FCA6" w14:textId="6732A1C8" w:rsidR="009C292B" w:rsidRPr="00FA6047" w:rsidRDefault="009C292B" w:rsidP="00FA6047">
      <w:pPr>
        <w:pStyle w:val="Heading2"/>
        <w:rPr>
          <w:sz w:val="22"/>
          <w:szCs w:val="22"/>
        </w:rPr>
      </w:pPr>
      <w:bookmarkStart w:id="3" w:name="_Toc214217448"/>
      <w:r w:rsidRPr="00FA6047">
        <w:t>Bronfenbrenner’s Ecological Systems Theory</w:t>
      </w:r>
      <w:bookmarkEnd w:id="3"/>
    </w:p>
    <w:p w14:paraId="4DD44184" w14:textId="075044E3" w:rsidR="002F2684" w:rsidRPr="00FA6047" w:rsidRDefault="002F2684" w:rsidP="00FA6047">
      <w:r w:rsidRPr="00FA6047">
        <w:t>The Ecological Systems Theory of human development was developed by Bronfenbrenner (1977, 1979), which locates the process of human development within the multi-layered environments that a human being is exposed to. It explains the process by which the adult development is influenced by dynamic interactions within five systems</w:t>
      </w:r>
      <w:r w:rsidR="00DE24F6">
        <w:t xml:space="preserve"> (</w:t>
      </w:r>
      <w:r w:rsidR="00DE24F6" w:rsidRPr="00FA6047">
        <w:rPr>
          <w:rFonts w:cstheme="minorHAnsi"/>
          <w:color w:val="000000" w:themeColor="text1"/>
        </w:rPr>
        <w:t>Liu, Luo and Pang, 2025)</w:t>
      </w:r>
      <w:r w:rsidRPr="00FA6047">
        <w:t xml:space="preserve">. The microsystem entails direct relations- members of the family, caregivers, peers, and others that the individual interacts with each day. The mesosystem is the connections between these environments like the coordination between family and care-home workers. The </w:t>
      </w:r>
      <w:proofErr w:type="spellStart"/>
      <w:r w:rsidRPr="00FA6047">
        <w:t>exosystem</w:t>
      </w:r>
      <w:proofErr w:type="spellEnd"/>
      <w:r w:rsidRPr="00FA6047">
        <w:t xml:space="preserve"> relates to the external environments, which indirectly shape the individual such as the healthcare services, social policies, or the workplace of a caregiver. The macrosystem involves wide cultural, social, and economic factors that encompass the societal norms, legislations and cultural demands. Lastly, the chronosystem incorporates the time aspect, life transitions, and historical alterations, e.g., transfer to a care home or with dementia. Bronfenbrenner illustrated these systems as circles around the person that overlap each other where the personal and environmental factors interact to define behavior and well-being. (Bronfenbrenner, 1979)</w:t>
      </w:r>
    </w:p>
    <w:p w14:paraId="62E24DED" w14:textId="77777777" w:rsidR="002F2684" w:rsidRPr="00FA6047" w:rsidRDefault="002F2684" w:rsidP="00FA6047">
      <w:r w:rsidRPr="00FA6047">
        <w:t>This theory emphasizes on the importance of social interaction, role modelling, and vicarious learning in adult learning and vocational training. Adults learn by watching others, obtaining feedback, and getting used to constantly evolving environments (Crawford, 2020; Kaushik, Garg and Mishra, 2023; Kaushik and Garg, 2024; Tong and An, 2024; Zaatari and Maalouf, 2022).</w:t>
      </w:r>
    </w:p>
    <w:p w14:paraId="62040B0E" w14:textId="58C1D820" w:rsidR="00B70311" w:rsidRPr="00FA6047" w:rsidRDefault="002F2684" w:rsidP="00FA6047">
      <w:r w:rsidRPr="00FA6047">
        <w:lastRenderedPageBreak/>
        <w:t xml:space="preserve">Transferred to the environments of dementia care homes with older adults, the microsystem entails the staff and visiting family, the presence of which can have a direct positive impact on mood and functioning. The mesosystem is very strong with communication among the families and caregivers that guarantees continuity of care. The </w:t>
      </w:r>
      <w:proofErr w:type="spellStart"/>
      <w:r w:rsidRPr="00FA6047">
        <w:t>exosystem</w:t>
      </w:r>
      <w:proofErr w:type="spellEnd"/>
      <w:r w:rsidRPr="00FA6047">
        <w:t xml:space="preserve"> can also incorporate the community mental health teams, and their involvement indirectly benefits various residents by means of their participation though not direct interaction. The discovery of these related layers helps to adopt comprehensive interventions-in-home counselling or community-based linked programs- to address the issues of older adults related to health, resilience, and adjustment (Bettis, Kakkar and Chan, 2020). Thus, EST provides an in-depth approach to the comprehension and enhancement of the welfare of people in complex care settings.</w:t>
      </w:r>
    </w:p>
    <w:p w14:paraId="3FF7A1DC" w14:textId="77777777" w:rsidR="00B70311" w:rsidRPr="00FA6047" w:rsidRDefault="00B70311" w:rsidP="00FA6047">
      <w:pPr>
        <w:pStyle w:val="Heading1"/>
      </w:pPr>
      <w:bookmarkStart w:id="4" w:name="_Toc214217449"/>
      <w:r w:rsidRPr="00FA6047">
        <w:rPr>
          <w:lang w:val="en-GB"/>
        </w:rPr>
        <w:t>Application the two theories in the Health and Social Care context</w:t>
      </w:r>
      <w:bookmarkEnd w:id="4"/>
    </w:p>
    <w:p w14:paraId="1785679A" w14:textId="4FC50894" w:rsidR="00474E63" w:rsidRPr="00FA6047" w:rsidRDefault="00474E63" w:rsidP="00FA6047">
      <w:pPr>
        <w:pStyle w:val="Heading2"/>
      </w:pPr>
      <w:bookmarkStart w:id="5" w:name="_Toc214217450"/>
      <w:r w:rsidRPr="00FA6047">
        <w:t>Applying Bandura’s Social Learning Theory</w:t>
      </w:r>
      <w:bookmarkEnd w:id="5"/>
    </w:p>
    <w:p w14:paraId="7C49BC4F" w14:textId="76101C6E" w:rsidR="00BF4BC3" w:rsidRPr="00FA6047" w:rsidRDefault="00BF4BC3" w:rsidP="00BF4BC3">
      <w:pPr>
        <w:rPr>
          <w:rFonts w:cstheme="minorHAnsi"/>
        </w:rPr>
      </w:pPr>
      <w:r w:rsidRPr="00FA6047">
        <w:rPr>
          <w:rFonts w:cstheme="minorHAnsi"/>
          <w:sz w:val="22"/>
          <w:szCs w:val="22"/>
        </w:rPr>
        <w:t xml:space="preserve">The social learning theory can be effectively applied in dementia care with the help of role modelling and guided observation to help older adults learn or maintain skills and coping strategies. Caregivers and peers act as models; thus, if staff show calm and compassionate communication, such as using a soft tone, gentle touch, or clear gestures, residents may imitate such </w:t>
      </w:r>
      <w:proofErr w:type="spellStart"/>
      <w:r w:rsidRPr="00FA6047">
        <w:rPr>
          <w:rFonts w:cstheme="minorHAnsi"/>
          <w:sz w:val="22"/>
          <w:szCs w:val="22"/>
        </w:rPr>
        <w:t>behaviours</w:t>
      </w:r>
      <w:proofErr w:type="spellEnd"/>
      <w:r w:rsidRPr="00FA6047">
        <w:rPr>
          <w:rFonts w:cstheme="minorHAnsi"/>
          <w:sz w:val="22"/>
          <w:szCs w:val="22"/>
        </w:rPr>
        <w:t xml:space="preserve">. These may reduce agitation and improve social interaction. Group activities encourage peer modelling, where, for instance, other residents may try exercising when they see another resident join an exercise session or appear to enjoy themselves during music therapy. The therapists may model chair exercises, handwashing routines, and simple relaxation techniques that residents watch first and attempt afterwards. For mobility, a physiotherapist demonstrates leg-lift exercises, repeats them to support retention, motivates residents with encouragement, guides their attempts physically to enhance mood and mobility. Similarly, </w:t>
      </w:r>
      <w:r w:rsidR="00E54BE1" w:rsidRPr="00FA6047">
        <w:rPr>
          <w:rFonts w:cstheme="minorHAnsi"/>
          <w:sz w:val="22"/>
          <w:szCs w:val="22"/>
        </w:rPr>
        <w:t>caregivers’</w:t>
      </w:r>
      <w:r w:rsidRPr="00FA6047">
        <w:rPr>
          <w:rFonts w:cstheme="minorHAnsi"/>
          <w:sz w:val="22"/>
          <w:szCs w:val="22"/>
        </w:rPr>
        <w:t xml:space="preserve"> model deep breathing for an anxious resident who then copies it by way of vicarious reinforcement. People with dementia can still benefit from observational learning even though the progress might be </w:t>
      </w:r>
      <w:proofErr w:type="spellStart"/>
      <w:r w:rsidRPr="00FA6047">
        <w:rPr>
          <w:rFonts w:cstheme="minorHAnsi"/>
          <w:sz w:val="22"/>
          <w:szCs w:val="22"/>
        </w:rPr>
        <w:t>slow,and</w:t>
      </w:r>
      <w:proofErr w:type="spellEnd"/>
      <w:r w:rsidRPr="00FA6047">
        <w:rPr>
          <w:rFonts w:cstheme="minorHAnsi"/>
          <w:sz w:val="22"/>
          <w:szCs w:val="22"/>
        </w:rPr>
        <w:t xml:space="preserve"> strengthening self-efficacy through praise for small achievements supports confidence</w:t>
      </w:r>
      <w:r w:rsidR="00EA6E78" w:rsidRPr="00FA6047">
        <w:rPr>
          <w:rFonts w:cstheme="minorHAnsi"/>
          <w:sz w:val="22"/>
          <w:szCs w:val="22"/>
        </w:rPr>
        <w:t xml:space="preserve"> (</w:t>
      </w:r>
      <w:proofErr w:type="spellStart"/>
      <w:r w:rsidR="00EA6E78" w:rsidRPr="00FA6047">
        <w:rPr>
          <w:rFonts w:cstheme="minorHAnsi"/>
          <w:sz w:val="22"/>
          <w:szCs w:val="22"/>
        </w:rPr>
        <w:t>Tilborg</w:t>
      </w:r>
      <w:proofErr w:type="spellEnd"/>
      <w:r w:rsidR="00EA6E78" w:rsidRPr="00FA6047">
        <w:rPr>
          <w:rFonts w:cstheme="minorHAnsi"/>
          <w:sz w:val="22"/>
          <w:szCs w:val="22"/>
        </w:rPr>
        <w:t xml:space="preserve"> </w:t>
      </w:r>
      <w:r w:rsidR="00FA6047" w:rsidRPr="00FA6047">
        <w:rPr>
          <w:rFonts w:cstheme="minorHAnsi"/>
          <w:i/>
          <w:iCs/>
          <w:sz w:val="22"/>
          <w:szCs w:val="22"/>
        </w:rPr>
        <w:t>et al</w:t>
      </w:r>
      <w:r w:rsidR="00EA6E78" w:rsidRPr="00FA6047">
        <w:rPr>
          <w:rFonts w:cstheme="minorHAnsi"/>
          <w:sz w:val="22"/>
          <w:szCs w:val="22"/>
        </w:rPr>
        <w:t>.,2011; Gujjar</w:t>
      </w:r>
      <w:r w:rsidR="00393228" w:rsidRPr="00FA6047">
        <w:rPr>
          <w:rFonts w:cstheme="minorHAnsi"/>
          <w:sz w:val="22"/>
          <w:szCs w:val="22"/>
        </w:rPr>
        <w:t xml:space="preserve">, </w:t>
      </w:r>
      <w:r w:rsidR="00EA6E78" w:rsidRPr="00FA6047">
        <w:rPr>
          <w:rFonts w:cstheme="minorHAnsi"/>
          <w:sz w:val="22"/>
          <w:szCs w:val="22"/>
        </w:rPr>
        <w:t>2022)</w:t>
      </w:r>
      <w:proofErr w:type="gramStart"/>
      <w:r w:rsidR="00EA6E78" w:rsidRPr="00FA6047">
        <w:rPr>
          <w:rFonts w:cstheme="minorHAnsi"/>
          <w:sz w:val="22"/>
          <w:szCs w:val="22"/>
        </w:rPr>
        <w:t>.)</w:t>
      </w:r>
      <w:r w:rsidRPr="00FA6047">
        <w:rPr>
          <w:rFonts w:cstheme="minorHAnsi"/>
          <w:sz w:val="22"/>
          <w:szCs w:val="22"/>
        </w:rPr>
        <w:t>The</w:t>
      </w:r>
      <w:proofErr w:type="gramEnd"/>
      <w:r w:rsidRPr="00FA6047">
        <w:rPr>
          <w:rFonts w:cstheme="minorHAnsi"/>
          <w:sz w:val="22"/>
          <w:szCs w:val="22"/>
        </w:rPr>
        <w:t xml:space="preserve"> challenges are reduced attention span and memory difficulties of the residents, inconsistent modelling by staff, and over-stimulation that complicates observation. These can be managed by using slow, repeated demonstrations, breaking tasks down into small steps, frequent encouragement, maintaining calm surroundings, and sticking to a consistent approach. Training and reflective practice also support professionals' application of the theory in daily care</w:t>
      </w:r>
      <w:r w:rsidRPr="00FA6047">
        <w:rPr>
          <w:rFonts w:cstheme="minorHAnsi"/>
        </w:rPr>
        <w:t>.</w:t>
      </w:r>
    </w:p>
    <w:p w14:paraId="1277F131" w14:textId="512175EF" w:rsidR="007068FB" w:rsidRPr="00FA6047" w:rsidRDefault="007068FB" w:rsidP="00FA6047">
      <w:pPr>
        <w:pStyle w:val="Heading2"/>
      </w:pPr>
      <w:bookmarkStart w:id="6" w:name="_Toc214217451"/>
      <w:r w:rsidRPr="00FA6047">
        <w:lastRenderedPageBreak/>
        <w:t>Applying Bronfenbrenner’s Ecological Systems Theory</w:t>
      </w:r>
      <w:bookmarkEnd w:id="6"/>
    </w:p>
    <w:p w14:paraId="3B7ADCF0" w14:textId="2893B450" w:rsidR="00585B57" w:rsidRPr="00FA6047" w:rsidRDefault="00585B57" w:rsidP="00FA6047">
      <w:r w:rsidRPr="00FA6047">
        <w:t xml:space="preserve">Bronfenbrenner's EST provides a comprehensive framework for understanding multi-layer influences on the psychological and behavioral health of older adults in care settings. The application of nested systems-the individual within the microsystem, mesosystem, </w:t>
      </w:r>
      <w:proofErr w:type="spellStart"/>
      <w:r w:rsidRPr="00FA6047">
        <w:t>exosystem</w:t>
      </w:r>
      <w:proofErr w:type="spellEnd"/>
      <w:r w:rsidRPr="00FA6047">
        <w:t xml:space="preserve">, and macrosystem-allows professionals to tailor interventions more effectively to meet the particular challenge of the older adult. For instance, at the level of the microsystem, direct support from family and caregivers helps in managing loneliness or depression; whereas collaboration between care agencies and community organizations at the </w:t>
      </w:r>
      <w:proofErr w:type="spellStart"/>
      <w:r w:rsidRPr="00FA6047">
        <w:t>mesolevel</w:t>
      </w:r>
      <w:proofErr w:type="spellEnd"/>
      <w:r w:rsidRPr="00FA6047">
        <w:t xml:space="preserve"> improves social participation and resource access (Chen &amp; Wu, 2024; Kong </w:t>
      </w:r>
      <w:r w:rsidR="00FA6047" w:rsidRPr="00FA6047">
        <w:rPr>
          <w:i/>
          <w:iCs/>
        </w:rPr>
        <w:t>et al</w:t>
      </w:r>
      <w:r w:rsidRPr="00FA6047">
        <w:t xml:space="preserve">., 2025; Roh &amp; Chang, 2024). The </w:t>
      </w:r>
      <w:proofErr w:type="spellStart"/>
      <w:r w:rsidRPr="00FA6047">
        <w:t>exosystem</w:t>
      </w:r>
      <w:proofErr w:type="spellEnd"/>
      <w:r w:rsidRPr="00FA6047">
        <w:t xml:space="preserve"> and macrosystem, through policies that improve financial support and reduce stigma with aging, can create an enabling environment for better mental health (Chen &amp; Wu, 2024). Practical applications would include training in effective communication skills for family doctors, the creation of community-based activity programs, and the promotion of age-friendly policies that allow seamless access to various services (Kong </w:t>
      </w:r>
      <w:r w:rsidR="00FA6047" w:rsidRPr="00FA6047">
        <w:rPr>
          <w:i/>
          <w:iCs/>
        </w:rPr>
        <w:t>et al</w:t>
      </w:r>
      <w:r w:rsidRPr="00FA6047">
        <w:t>., 2025; Roh &amp; Chang, 2024).</w:t>
      </w:r>
    </w:p>
    <w:p w14:paraId="036C6E8D" w14:textId="77777777" w:rsidR="000A3BB0" w:rsidRPr="00FA6047" w:rsidRDefault="000A3BB0" w:rsidP="00FA6047">
      <w:pPr>
        <w:pStyle w:val="Heading1"/>
      </w:pPr>
      <w:bookmarkStart w:id="7" w:name="_Toc214217452"/>
      <w:r w:rsidRPr="00FA6047">
        <w:rPr>
          <w:lang w:val="en-GB"/>
        </w:rPr>
        <w:t xml:space="preserve">Challenges for </w:t>
      </w:r>
      <w:r w:rsidRPr="00FA6047">
        <w:t>professionals</w:t>
      </w:r>
      <w:r w:rsidRPr="00FA6047">
        <w:rPr>
          <w:lang w:val="en-GB"/>
        </w:rPr>
        <w:t xml:space="preserve"> in applying these theories</w:t>
      </w:r>
      <w:bookmarkEnd w:id="7"/>
    </w:p>
    <w:p w14:paraId="50D5D538" w14:textId="3EA6BEF3" w:rsidR="00602FE0" w:rsidRPr="00FA6047" w:rsidRDefault="00602FE0" w:rsidP="00FA6047">
      <w:r w:rsidRPr="00FA6047">
        <w:t xml:space="preserve">Professionals who apply Bandura’s Social Learning Theory also frequently face several challenges that can limit effective modelling and observational learning. Low motivation and engagement can make it difficult to gain attention from learners; low resources and lack of preparation reduce the quality of modelling opportunities (Lestari, </w:t>
      </w:r>
      <w:proofErr w:type="spellStart"/>
      <w:r w:rsidRPr="00FA6047">
        <w:t>Nurjanah</w:t>
      </w:r>
      <w:proofErr w:type="spellEnd"/>
      <w:r w:rsidRPr="00FA6047">
        <w:t xml:space="preserve"> and </w:t>
      </w:r>
      <w:proofErr w:type="spellStart"/>
      <w:r w:rsidRPr="00FA6047">
        <w:t>Indriani</w:t>
      </w:r>
      <w:proofErr w:type="spellEnd"/>
      <w:r w:rsidRPr="00FA6047">
        <w:t xml:space="preserve">, 2021; Marchan </w:t>
      </w:r>
      <w:r w:rsidR="00FA6047" w:rsidRPr="00FA6047">
        <w:rPr>
          <w:i/>
          <w:iCs/>
        </w:rPr>
        <w:t>et al</w:t>
      </w:r>
      <w:r w:rsidRPr="00FA6047">
        <w:t xml:space="preserve">., 2025) Various needs from learners and misconceptions about how modelling works may either create barriers to learning or reduce observation, practice, and feedback opportunities due to a lack of space or unsupportive environments. According to </w:t>
      </w:r>
      <w:proofErr w:type="spellStart"/>
      <w:r w:rsidRPr="00FA6047">
        <w:t>Soepriyanti</w:t>
      </w:r>
      <w:proofErr w:type="spellEnd"/>
      <w:r w:rsidRPr="00FA6047">
        <w:t xml:space="preserve"> </w:t>
      </w:r>
      <w:r w:rsidR="00FA6047" w:rsidRPr="00FA6047">
        <w:rPr>
          <w:i/>
          <w:iCs/>
        </w:rPr>
        <w:t>et al</w:t>
      </w:r>
      <w:r w:rsidRPr="00FA6047">
        <w:t xml:space="preserve">., </w:t>
      </w:r>
      <w:r w:rsidR="00FA6047">
        <w:t>(</w:t>
      </w:r>
      <w:r w:rsidRPr="00FA6047">
        <w:t>2025</w:t>
      </w:r>
      <w:r w:rsidR="00FA6047">
        <w:t>)</w:t>
      </w:r>
      <w:r w:rsidRPr="00FA6047">
        <w:t xml:space="preserve">, it is even more difficult to sustain new </w:t>
      </w:r>
      <w:proofErr w:type="spellStart"/>
      <w:r w:rsidRPr="00FA6047">
        <w:t>behaviours</w:t>
      </w:r>
      <w:proofErr w:type="spellEnd"/>
      <w:r w:rsidRPr="00FA6047">
        <w:t xml:space="preserve"> when reinforcement is not consistently given. These challenges can be overcome through enhancement of motivation by rewards, meaningful activities, and realistic examples, and assurance of regular professional growth through strengthening modelling skills. Adaptation to different abilities, explanation of the four stages in observational learning, improvement of learning environments, and provision of regular positive feedback enhance maintenance of new behaviour by learners and building of self-efficacy.</w:t>
      </w:r>
    </w:p>
    <w:p w14:paraId="12CC3EF7" w14:textId="4BEBDEFB" w:rsidR="00FA47A5" w:rsidRPr="00FA6047" w:rsidRDefault="00602FE0" w:rsidP="00FA6047">
      <w:r w:rsidRPr="00FA6047">
        <w:lastRenderedPageBreak/>
        <w:t xml:space="preserve">It has been observed that professionals might have to work with a fragmented system of coordination, cultural barriers, and resource scarcity, which affects the holistic application of EST (Chen &amp; Wu, 2024; Eriksson, </w:t>
      </w:r>
      <w:proofErr w:type="spellStart"/>
      <w:r w:rsidRPr="00FA6047">
        <w:t>Ghazinour</w:t>
      </w:r>
      <w:proofErr w:type="spellEnd"/>
      <w:r w:rsidRPr="00FA6047">
        <w:t xml:space="preserve"> &amp; </w:t>
      </w:r>
      <w:proofErr w:type="spellStart"/>
      <w:r w:rsidRPr="00FA6047">
        <w:t>Hammarström</w:t>
      </w:r>
      <w:proofErr w:type="spellEnd"/>
      <w:r w:rsidRPr="00FA6047">
        <w:t xml:space="preserve">, 2018). Strategies that can support this include building collaboration between agencies, cultural competence training, and involving active engagement of older adults in planning care, ensuring that such interventions are contextually relevant and empowering (Chen &amp; Wu, 2024; Guzman </w:t>
      </w:r>
      <w:r w:rsidR="00FA6047" w:rsidRPr="00FA6047">
        <w:rPr>
          <w:i/>
          <w:iCs/>
        </w:rPr>
        <w:t>et al</w:t>
      </w:r>
      <w:r w:rsidRPr="00FA6047">
        <w:t xml:space="preserve">., 2023; Eriksson, </w:t>
      </w:r>
      <w:proofErr w:type="spellStart"/>
      <w:r w:rsidRPr="00FA6047">
        <w:t>Ghazinour</w:t>
      </w:r>
      <w:proofErr w:type="spellEnd"/>
      <w:r w:rsidRPr="00FA6047">
        <w:t xml:space="preserve"> &amp; </w:t>
      </w:r>
      <w:proofErr w:type="spellStart"/>
      <w:r w:rsidRPr="00FA6047">
        <w:t>Hammarström</w:t>
      </w:r>
      <w:proofErr w:type="spellEnd"/>
      <w:r w:rsidRPr="00FA6047">
        <w:t>, 2018).</w:t>
      </w:r>
    </w:p>
    <w:p w14:paraId="2A57389A" w14:textId="726D6E35" w:rsidR="00FA47A5" w:rsidRPr="00FA6047" w:rsidRDefault="0023450F" w:rsidP="00FA6047">
      <w:pPr>
        <w:pStyle w:val="Heading1"/>
      </w:pPr>
      <w:bookmarkStart w:id="8" w:name="_Toc214217453"/>
      <w:r w:rsidRPr="00FA6047">
        <w:t>Conclusion</w:t>
      </w:r>
      <w:bookmarkEnd w:id="8"/>
    </w:p>
    <w:p w14:paraId="3E6D9521" w14:textId="2421EF7D" w:rsidR="00FA6047" w:rsidRDefault="003742CF" w:rsidP="00FA6047">
      <w:r w:rsidRPr="00FA6047">
        <w:t xml:space="preserve">To comprehend the psychological needs of dementia in older people, there is need to consider both the cognitive capacity and the environment at large. The Social Learning Theory proposed by Bandura demonstrates that residents in the care of caregivers are capable of acquiring adaptive </w:t>
      </w:r>
      <w:proofErr w:type="spellStart"/>
      <w:r w:rsidRPr="00FA6047">
        <w:t>behaviours</w:t>
      </w:r>
      <w:proofErr w:type="spellEnd"/>
      <w:r w:rsidRPr="00FA6047">
        <w:t xml:space="preserve"> even in the face of memory loss in the event caregivers demonstrate calm speech, low-risk </w:t>
      </w:r>
      <w:proofErr w:type="spellStart"/>
      <w:r w:rsidRPr="00FA6047">
        <w:t>behaviours</w:t>
      </w:r>
      <w:proofErr w:type="spellEnd"/>
      <w:r w:rsidRPr="00FA6047">
        <w:t>, and good coping mechanisms with the help of encouragement and practice. The Ecological Systems Theory by Bronfenbrenner also contends that the wellbeing of a person is influenced by interrelated systems- daily interactions with caregivers and members of a family, or coordination of settings and larger policies and cultural attitudes. All these theories collectively contribute to holistic, person-centred care that leads to an increase in emotional stability, a decreased level of distress, and overall quality of life in care facilities.</w:t>
      </w:r>
    </w:p>
    <w:p w14:paraId="7C0D4521" w14:textId="5DB90969" w:rsidR="003742CF" w:rsidRPr="00FA6047" w:rsidRDefault="00FA6047" w:rsidP="00FA6047">
      <w:pPr>
        <w:spacing w:line="278" w:lineRule="auto"/>
        <w:jc w:val="left"/>
      </w:pPr>
      <w:r>
        <w:br w:type="page"/>
      </w:r>
    </w:p>
    <w:p w14:paraId="3C0CC4A1" w14:textId="3D714B96" w:rsidR="00AC2C2C" w:rsidRPr="00FA6047" w:rsidRDefault="00E5152F" w:rsidP="00FA6047">
      <w:pPr>
        <w:pStyle w:val="Heading1"/>
      </w:pPr>
      <w:bookmarkStart w:id="9" w:name="_Toc214217454"/>
      <w:r w:rsidRPr="00FA6047">
        <w:lastRenderedPageBreak/>
        <w:t>References</w:t>
      </w:r>
      <w:bookmarkEnd w:id="9"/>
    </w:p>
    <w:p w14:paraId="5A70DBC4"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proofErr w:type="spellStart"/>
      <w:r w:rsidRPr="00FA6047">
        <w:rPr>
          <w:rFonts w:asciiTheme="minorHAnsi" w:hAnsiTheme="minorHAnsi" w:cstheme="minorHAnsi"/>
          <w:color w:val="000000" w:themeColor="text1"/>
        </w:rPr>
        <w:t>Ahammer</w:t>
      </w:r>
      <w:proofErr w:type="spellEnd"/>
      <w:r w:rsidRPr="00FA6047">
        <w:rPr>
          <w:rFonts w:asciiTheme="minorHAnsi" w:hAnsiTheme="minorHAnsi" w:cstheme="minorHAnsi"/>
          <w:color w:val="000000" w:themeColor="text1"/>
        </w:rPr>
        <w:t xml:space="preserve">, I. (1973) ‘Social-learning theory as a framework for the study of adult personality development’, in </w:t>
      </w:r>
      <w:r w:rsidRPr="00FA6047">
        <w:rPr>
          <w:rStyle w:val="Emphasis"/>
          <w:rFonts w:asciiTheme="minorHAnsi" w:hAnsiTheme="minorHAnsi" w:cstheme="minorHAnsi"/>
          <w:color w:val="000000" w:themeColor="text1"/>
        </w:rPr>
        <w:t>[Book Title Not Provided]</w:t>
      </w:r>
      <w:r w:rsidRPr="00FA6047">
        <w:rPr>
          <w:rFonts w:asciiTheme="minorHAnsi" w:hAnsiTheme="minorHAnsi" w:cstheme="minorHAnsi"/>
          <w:color w:val="000000" w:themeColor="text1"/>
        </w:rPr>
        <w:t xml:space="preserve">, pp. 253–284.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9" w:tgtFrame="_new" w:history="1">
        <w:r w:rsidRPr="00FA6047">
          <w:rPr>
            <w:rStyle w:val="Hyperlink"/>
            <w:rFonts w:asciiTheme="minorHAnsi" w:hAnsiTheme="minorHAnsi" w:cstheme="minorHAnsi"/>
            <w:color w:val="000000" w:themeColor="text1"/>
            <w:u w:val="none"/>
          </w:rPr>
          <w:t>https://doi.org/10.1016/b978-0-12-077150-9.50017-4</w:t>
        </w:r>
      </w:hyperlink>
      <w:r w:rsidRPr="00FA6047">
        <w:rPr>
          <w:rFonts w:asciiTheme="minorHAnsi" w:hAnsiTheme="minorHAnsi" w:cstheme="minorHAnsi"/>
          <w:color w:val="000000" w:themeColor="text1"/>
        </w:rPr>
        <w:t>.</w:t>
      </w:r>
    </w:p>
    <w:p w14:paraId="36ABE125"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Bandura, A. (1977) </w:t>
      </w:r>
      <w:r w:rsidRPr="00FA6047">
        <w:rPr>
          <w:rStyle w:val="Emphasis"/>
          <w:rFonts w:asciiTheme="minorHAnsi" w:hAnsiTheme="minorHAnsi" w:cstheme="minorHAnsi"/>
          <w:color w:val="000000" w:themeColor="text1"/>
        </w:rPr>
        <w:t>Social Learning Theory</w:t>
      </w:r>
      <w:r w:rsidRPr="00FA6047">
        <w:rPr>
          <w:rFonts w:asciiTheme="minorHAnsi" w:hAnsiTheme="minorHAnsi" w:cstheme="minorHAnsi"/>
          <w:color w:val="000000" w:themeColor="text1"/>
        </w:rPr>
        <w:t xml:space="preserve">. [online] General Learning Corporation, pp. 1–46. Available at: </w:t>
      </w:r>
      <w:hyperlink r:id="rId10" w:tgtFrame="_new" w:history="1">
        <w:r w:rsidRPr="00FA6047">
          <w:rPr>
            <w:rStyle w:val="Hyperlink"/>
            <w:rFonts w:asciiTheme="minorHAnsi" w:hAnsiTheme="minorHAnsi" w:cstheme="minorHAnsi"/>
            <w:color w:val="000000" w:themeColor="text1"/>
            <w:u w:val="none"/>
          </w:rPr>
          <w:t>http://www.asecib.ase.ro/mps/Bandura_SocialLearningTheory.pdf</w:t>
        </w:r>
      </w:hyperlink>
      <w:r w:rsidRPr="00FA6047">
        <w:rPr>
          <w:rFonts w:asciiTheme="minorHAnsi" w:hAnsiTheme="minorHAnsi" w:cstheme="minorHAnsi"/>
          <w:color w:val="000000" w:themeColor="text1"/>
        </w:rPr>
        <w:t>.</w:t>
      </w:r>
    </w:p>
    <w:p w14:paraId="7AE91457"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Bandura, A. and Walters, R. H. (1977) </w:t>
      </w:r>
      <w:r w:rsidRPr="00FA6047">
        <w:rPr>
          <w:rStyle w:val="Emphasis"/>
          <w:rFonts w:asciiTheme="minorHAnsi" w:hAnsiTheme="minorHAnsi" w:cstheme="minorHAnsi"/>
          <w:color w:val="000000" w:themeColor="text1"/>
        </w:rPr>
        <w:t>Social Learning Theory</w:t>
      </w:r>
      <w:r w:rsidRPr="00FA6047">
        <w:rPr>
          <w:rFonts w:asciiTheme="minorHAnsi" w:hAnsiTheme="minorHAnsi" w:cstheme="minorHAnsi"/>
          <w:color w:val="000000" w:themeColor="text1"/>
        </w:rPr>
        <w:t>. Englewood Cliffs, NJ: Prentice Hall, pp. 141–154.</w:t>
      </w:r>
    </w:p>
    <w:p w14:paraId="5ABE4DE2"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Bettis, J., Kakkar, S. and Chan, C. (2020) ‘Taking access to the community: An ecological systems framework for in-home counselling with older adults’, </w:t>
      </w:r>
      <w:proofErr w:type="spellStart"/>
      <w:r w:rsidRPr="00FA6047">
        <w:rPr>
          <w:rStyle w:val="Emphasis"/>
          <w:rFonts w:asciiTheme="minorHAnsi" w:hAnsiTheme="minorHAnsi" w:cstheme="minorHAnsi"/>
          <w:color w:val="000000" w:themeColor="text1"/>
        </w:rPr>
        <w:t>Adultspan</w:t>
      </w:r>
      <w:proofErr w:type="spellEnd"/>
      <w:r w:rsidRPr="00FA6047">
        <w:rPr>
          <w:rStyle w:val="Emphasis"/>
          <w:rFonts w:asciiTheme="minorHAnsi" w:hAnsiTheme="minorHAnsi" w:cstheme="minorHAnsi"/>
          <w:color w:val="000000" w:themeColor="text1"/>
        </w:rPr>
        <w:t xml:space="preserve"> Journal</w:t>
      </w:r>
      <w:r w:rsidRPr="00FA6047">
        <w:rPr>
          <w:rFonts w:asciiTheme="minorHAnsi" w:hAnsiTheme="minorHAnsi" w:cstheme="minorHAnsi"/>
          <w:color w:val="000000" w:themeColor="text1"/>
        </w:rPr>
        <w:t xml:space="preserve">, 19, pp. 54–64.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1" w:tgtFrame="_new" w:history="1">
        <w:r w:rsidRPr="00FA6047">
          <w:rPr>
            <w:rStyle w:val="Hyperlink"/>
            <w:rFonts w:asciiTheme="minorHAnsi" w:hAnsiTheme="minorHAnsi" w:cstheme="minorHAnsi"/>
            <w:color w:val="000000" w:themeColor="text1"/>
            <w:u w:val="none"/>
          </w:rPr>
          <w:t>https://doi.org/10.1002/adsp.12087</w:t>
        </w:r>
      </w:hyperlink>
      <w:r w:rsidRPr="00FA6047">
        <w:rPr>
          <w:rFonts w:asciiTheme="minorHAnsi" w:hAnsiTheme="minorHAnsi" w:cstheme="minorHAnsi"/>
          <w:color w:val="000000" w:themeColor="text1"/>
        </w:rPr>
        <w:t>.</w:t>
      </w:r>
    </w:p>
    <w:p w14:paraId="51BEAFBE"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Bronfenbrenner, U. (1979) </w:t>
      </w:r>
      <w:r w:rsidRPr="00FA6047">
        <w:rPr>
          <w:rStyle w:val="Emphasis"/>
          <w:rFonts w:asciiTheme="minorHAnsi" w:hAnsiTheme="minorHAnsi" w:cstheme="minorHAnsi"/>
          <w:color w:val="000000" w:themeColor="text1"/>
        </w:rPr>
        <w:t>The Ecology of Human Development: Experiments by Nature and Design</w:t>
      </w:r>
      <w:r w:rsidRPr="00FA6047">
        <w:rPr>
          <w:rFonts w:asciiTheme="minorHAnsi" w:hAnsiTheme="minorHAnsi" w:cstheme="minorHAnsi"/>
          <w:color w:val="000000" w:themeColor="text1"/>
        </w:rPr>
        <w:t>. Harvard University Press.</w:t>
      </w:r>
    </w:p>
    <w:p w14:paraId="1B68E14B"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DE24F6">
        <w:rPr>
          <w:rFonts w:asciiTheme="minorHAnsi" w:hAnsiTheme="minorHAnsi" w:cstheme="minorHAnsi"/>
          <w:color w:val="000000" w:themeColor="text1"/>
          <w:lang w:val="nl-NL"/>
        </w:rPr>
        <w:t xml:space="preserve">Bukowska, A. A. et al. </w:t>
      </w:r>
      <w:r w:rsidRPr="00FA6047">
        <w:rPr>
          <w:rFonts w:asciiTheme="minorHAnsi" w:hAnsiTheme="minorHAnsi" w:cstheme="minorHAnsi"/>
          <w:color w:val="000000" w:themeColor="text1"/>
        </w:rPr>
        <w:t xml:space="preserve">(2025) ‘Relationship between dementia diagnostic characteristics and severity of depressive symptoms in a cross-sectional analysis of HOMESIDE baseline data’, </w:t>
      </w:r>
      <w:r w:rsidRPr="00FA6047">
        <w:rPr>
          <w:rStyle w:val="Emphasis"/>
          <w:rFonts w:asciiTheme="minorHAnsi" w:hAnsiTheme="minorHAnsi" w:cstheme="minorHAnsi"/>
          <w:color w:val="000000" w:themeColor="text1"/>
        </w:rPr>
        <w:t>Scientific Reports</w:t>
      </w:r>
      <w:r w:rsidRPr="00FA6047">
        <w:rPr>
          <w:rFonts w:asciiTheme="minorHAnsi" w:hAnsiTheme="minorHAnsi" w:cstheme="minorHAnsi"/>
          <w:color w:val="000000" w:themeColor="text1"/>
        </w:rPr>
        <w:t xml:space="preserve">, 15(1).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2" w:tgtFrame="_new" w:history="1">
        <w:r w:rsidRPr="00FA6047">
          <w:rPr>
            <w:rStyle w:val="Hyperlink"/>
            <w:rFonts w:asciiTheme="minorHAnsi" w:hAnsiTheme="minorHAnsi" w:cstheme="minorHAnsi"/>
            <w:color w:val="000000" w:themeColor="text1"/>
            <w:u w:val="none"/>
          </w:rPr>
          <w:t>https://doi.org/10.1038/s41598-025-20385-z</w:t>
        </w:r>
      </w:hyperlink>
      <w:r w:rsidRPr="00FA6047">
        <w:rPr>
          <w:rFonts w:asciiTheme="minorHAnsi" w:hAnsiTheme="minorHAnsi" w:cstheme="minorHAnsi"/>
          <w:color w:val="000000" w:themeColor="text1"/>
        </w:rPr>
        <w:t>.</w:t>
      </w:r>
    </w:p>
    <w:p w14:paraId="2197C8D9"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Chen, L. and Wu, J. (2024) ‘Difficulties and solutions in caring for cognitive disorders in elderly people with dementia from the perspective of social-ecological system theory’, </w:t>
      </w:r>
      <w:r w:rsidRPr="00FA6047">
        <w:rPr>
          <w:rStyle w:val="Emphasis"/>
          <w:rFonts w:asciiTheme="minorHAnsi" w:hAnsiTheme="minorHAnsi" w:cstheme="minorHAnsi"/>
          <w:color w:val="000000" w:themeColor="text1"/>
        </w:rPr>
        <w:t>Academic Journal of Management and Social Sciences</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3" w:tgtFrame="_new" w:history="1">
        <w:r w:rsidRPr="00FA6047">
          <w:rPr>
            <w:rStyle w:val="Hyperlink"/>
            <w:rFonts w:asciiTheme="minorHAnsi" w:hAnsiTheme="minorHAnsi" w:cstheme="minorHAnsi"/>
            <w:color w:val="000000" w:themeColor="text1"/>
            <w:u w:val="none"/>
          </w:rPr>
          <w:t>https://doi.org/10.54097/zpak7n10</w:t>
        </w:r>
      </w:hyperlink>
      <w:r w:rsidRPr="00FA6047">
        <w:rPr>
          <w:rFonts w:asciiTheme="minorHAnsi" w:hAnsiTheme="minorHAnsi" w:cstheme="minorHAnsi"/>
          <w:color w:val="000000" w:themeColor="text1"/>
        </w:rPr>
        <w:t>.</w:t>
      </w:r>
    </w:p>
    <w:p w14:paraId="5700F510"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Chuang, S. (2021) ‘The applications of constructivist learning theory and social learning theory on adult continuous development’, </w:t>
      </w:r>
      <w:r w:rsidRPr="00FA6047">
        <w:rPr>
          <w:rStyle w:val="Emphasis"/>
          <w:rFonts w:asciiTheme="minorHAnsi" w:hAnsiTheme="minorHAnsi" w:cstheme="minorHAnsi"/>
          <w:color w:val="000000" w:themeColor="text1"/>
        </w:rPr>
        <w:t>Performance Improvement</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4" w:tgtFrame="_new" w:history="1">
        <w:r w:rsidRPr="00FA6047">
          <w:rPr>
            <w:rStyle w:val="Hyperlink"/>
            <w:rFonts w:asciiTheme="minorHAnsi" w:hAnsiTheme="minorHAnsi" w:cstheme="minorHAnsi"/>
            <w:color w:val="000000" w:themeColor="text1"/>
            <w:u w:val="none"/>
          </w:rPr>
          <w:t>https://doi.org/10.1002/pfi.21963</w:t>
        </w:r>
      </w:hyperlink>
      <w:r w:rsidRPr="00FA6047">
        <w:rPr>
          <w:rFonts w:asciiTheme="minorHAnsi" w:hAnsiTheme="minorHAnsi" w:cstheme="minorHAnsi"/>
          <w:color w:val="000000" w:themeColor="text1"/>
        </w:rPr>
        <w:t>.</w:t>
      </w:r>
    </w:p>
    <w:p w14:paraId="5AC6448C"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Crawford, M. (2020) ‘Ecological systems theory: Exploring the development of the theoretical framework as conceived by Bronfenbrenner’, </w:t>
      </w:r>
      <w:r w:rsidRPr="00FA6047">
        <w:rPr>
          <w:rStyle w:val="Emphasis"/>
          <w:rFonts w:asciiTheme="minorHAnsi" w:hAnsiTheme="minorHAnsi" w:cstheme="minorHAnsi"/>
          <w:color w:val="000000" w:themeColor="text1"/>
        </w:rPr>
        <w:t>Journal of Public Health Issues and Practices</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5" w:tgtFrame="_new" w:history="1">
        <w:r w:rsidRPr="00FA6047">
          <w:rPr>
            <w:rStyle w:val="Hyperlink"/>
            <w:rFonts w:asciiTheme="minorHAnsi" w:hAnsiTheme="minorHAnsi" w:cstheme="minorHAnsi"/>
            <w:color w:val="000000" w:themeColor="text1"/>
            <w:u w:val="none"/>
          </w:rPr>
          <w:t>https://doi.org/10.33790/jphip1100170</w:t>
        </w:r>
      </w:hyperlink>
      <w:r w:rsidRPr="00FA6047">
        <w:rPr>
          <w:rFonts w:asciiTheme="minorHAnsi" w:hAnsiTheme="minorHAnsi" w:cstheme="minorHAnsi"/>
          <w:color w:val="000000" w:themeColor="text1"/>
        </w:rPr>
        <w:t>.</w:t>
      </w:r>
    </w:p>
    <w:p w14:paraId="0340919E"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Eriksson, M., </w:t>
      </w:r>
      <w:proofErr w:type="spellStart"/>
      <w:r w:rsidRPr="00FA6047">
        <w:rPr>
          <w:rFonts w:asciiTheme="minorHAnsi" w:hAnsiTheme="minorHAnsi" w:cstheme="minorHAnsi"/>
          <w:color w:val="000000" w:themeColor="text1"/>
        </w:rPr>
        <w:t>Ghazinour</w:t>
      </w:r>
      <w:proofErr w:type="spellEnd"/>
      <w:r w:rsidRPr="00FA6047">
        <w:rPr>
          <w:rFonts w:asciiTheme="minorHAnsi" w:hAnsiTheme="minorHAnsi" w:cstheme="minorHAnsi"/>
          <w:color w:val="000000" w:themeColor="text1"/>
        </w:rPr>
        <w:t xml:space="preserve">, M. and </w:t>
      </w:r>
      <w:proofErr w:type="spellStart"/>
      <w:r w:rsidRPr="00FA6047">
        <w:rPr>
          <w:rFonts w:asciiTheme="minorHAnsi" w:hAnsiTheme="minorHAnsi" w:cstheme="minorHAnsi"/>
          <w:color w:val="000000" w:themeColor="text1"/>
        </w:rPr>
        <w:t>Hammarström</w:t>
      </w:r>
      <w:proofErr w:type="spellEnd"/>
      <w:r w:rsidRPr="00FA6047">
        <w:rPr>
          <w:rFonts w:asciiTheme="minorHAnsi" w:hAnsiTheme="minorHAnsi" w:cstheme="minorHAnsi"/>
          <w:color w:val="000000" w:themeColor="text1"/>
        </w:rPr>
        <w:t xml:space="preserve">, A. (2018) ‘Different uses of Bronfenbrenner’s ecological theory in public mental health research: What is their value for </w:t>
      </w:r>
      <w:r w:rsidRPr="00FA6047">
        <w:rPr>
          <w:rFonts w:asciiTheme="minorHAnsi" w:hAnsiTheme="minorHAnsi" w:cstheme="minorHAnsi"/>
          <w:color w:val="000000" w:themeColor="text1"/>
        </w:rPr>
        <w:lastRenderedPageBreak/>
        <w:t xml:space="preserve">guiding public mental health policy and practice?’, </w:t>
      </w:r>
      <w:r w:rsidRPr="00FA6047">
        <w:rPr>
          <w:rStyle w:val="Emphasis"/>
          <w:rFonts w:asciiTheme="minorHAnsi" w:hAnsiTheme="minorHAnsi" w:cstheme="minorHAnsi"/>
          <w:color w:val="000000" w:themeColor="text1"/>
        </w:rPr>
        <w:t>Social Theory &amp; Health</w:t>
      </w:r>
      <w:r w:rsidRPr="00FA6047">
        <w:rPr>
          <w:rFonts w:asciiTheme="minorHAnsi" w:hAnsiTheme="minorHAnsi" w:cstheme="minorHAnsi"/>
          <w:color w:val="000000" w:themeColor="text1"/>
        </w:rPr>
        <w:t xml:space="preserve">, 16, pp. 414–433.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6" w:tgtFrame="_new" w:history="1">
        <w:r w:rsidRPr="00FA6047">
          <w:rPr>
            <w:rStyle w:val="Hyperlink"/>
            <w:rFonts w:asciiTheme="minorHAnsi" w:hAnsiTheme="minorHAnsi" w:cstheme="minorHAnsi"/>
            <w:color w:val="000000" w:themeColor="text1"/>
            <w:u w:val="none"/>
          </w:rPr>
          <w:t>https://doi.org/10.1057/s41285-018-0065-6</w:t>
        </w:r>
      </w:hyperlink>
      <w:r w:rsidRPr="00FA6047">
        <w:rPr>
          <w:rFonts w:asciiTheme="minorHAnsi" w:hAnsiTheme="minorHAnsi" w:cstheme="minorHAnsi"/>
          <w:color w:val="000000" w:themeColor="text1"/>
        </w:rPr>
        <w:t>.</w:t>
      </w:r>
    </w:p>
    <w:p w14:paraId="5F1F1D4F"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Guzman, V. et al. (2023) ‘Socio-ecological determinants of older people’s mental health and well-being during COVID-19: A qualitative analysis within the Irish context’, </w:t>
      </w:r>
      <w:r w:rsidRPr="00FA6047">
        <w:rPr>
          <w:rStyle w:val="Emphasis"/>
          <w:rFonts w:asciiTheme="minorHAnsi" w:hAnsiTheme="minorHAnsi" w:cstheme="minorHAnsi"/>
          <w:color w:val="000000" w:themeColor="text1"/>
        </w:rPr>
        <w:t>Frontiers in Public Health</w:t>
      </w:r>
      <w:r w:rsidRPr="00FA6047">
        <w:rPr>
          <w:rFonts w:asciiTheme="minorHAnsi" w:hAnsiTheme="minorHAnsi" w:cstheme="minorHAnsi"/>
          <w:color w:val="000000" w:themeColor="text1"/>
        </w:rPr>
        <w:t xml:space="preserve">, 11.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7" w:tgtFrame="_new" w:history="1">
        <w:r w:rsidRPr="00FA6047">
          <w:rPr>
            <w:rStyle w:val="Hyperlink"/>
            <w:rFonts w:asciiTheme="minorHAnsi" w:hAnsiTheme="minorHAnsi" w:cstheme="minorHAnsi"/>
            <w:color w:val="000000" w:themeColor="text1"/>
            <w:u w:val="none"/>
          </w:rPr>
          <w:t>https://doi.org/10.3389/fpubh.2023.1148758</w:t>
        </w:r>
      </w:hyperlink>
      <w:r w:rsidRPr="00FA6047">
        <w:rPr>
          <w:rFonts w:asciiTheme="minorHAnsi" w:hAnsiTheme="minorHAnsi" w:cstheme="minorHAnsi"/>
          <w:color w:val="000000" w:themeColor="text1"/>
        </w:rPr>
        <w:t>.</w:t>
      </w:r>
    </w:p>
    <w:p w14:paraId="47B44168"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Jin, Y. (2022) ‘Development and application of social learning theory’, </w:t>
      </w:r>
      <w:r w:rsidRPr="00FA6047">
        <w:rPr>
          <w:rStyle w:val="Emphasis"/>
          <w:rFonts w:asciiTheme="minorHAnsi" w:hAnsiTheme="minorHAnsi" w:cstheme="minorHAnsi"/>
          <w:color w:val="000000" w:themeColor="text1"/>
        </w:rPr>
        <w:t>Learning &amp; Education</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8" w:tgtFrame="_new" w:history="1">
        <w:r w:rsidRPr="00FA6047">
          <w:rPr>
            <w:rStyle w:val="Hyperlink"/>
            <w:rFonts w:asciiTheme="minorHAnsi" w:hAnsiTheme="minorHAnsi" w:cstheme="minorHAnsi"/>
            <w:color w:val="000000" w:themeColor="text1"/>
            <w:u w:val="none"/>
          </w:rPr>
          <w:t>https://doi.org/10.18282/l-e.v10i7.3002</w:t>
        </w:r>
      </w:hyperlink>
      <w:r w:rsidRPr="00FA6047">
        <w:rPr>
          <w:rFonts w:asciiTheme="minorHAnsi" w:hAnsiTheme="minorHAnsi" w:cstheme="minorHAnsi"/>
          <w:color w:val="000000" w:themeColor="text1"/>
        </w:rPr>
        <w:t>.</w:t>
      </w:r>
    </w:p>
    <w:p w14:paraId="693E1E3A"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Kaushik, D. and Garg, M. (2024) ‘Investigating evolutionary strategies: </w:t>
      </w:r>
      <w:proofErr w:type="gramStart"/>
      <w:r w:rsidRPr="00FA6047">
        <w:rPr>
          <w:rFonts w:asciiTheme="minorHAnsi" w:hAnsiTheme="minorHAnsi" w:cstheme="minorHAnsi"/>
          <w:color w:val="000000" w:themeColor="text1"/>
        </w:rPr>
        <w:t>An in-depth research</w:t>
      </w:r>
      <w:proofErr w:type="gramEnd"/>
      <w:r w:rsidRPr="00FA6047">
        <w:rPr>
          <w:rFonts w:asciiTheme="minorHAnsi" w:hAnsiTheme="minorHAnsi" w:cstheme="minorHAnsi"/>
          <w:color w:val="000000" w:themeColor="text1"/>
        </w:rPr>
        <w:t xml:space="preserve"> on the framework proposed by Bronfenbrenner’s bioecological model’, </w:t>
      </w:r>
      <w:r w:rsidRPr="00FA6047">
        <w:rPr>
          <w:rStyle w:val="Emphasis"/>
          <w:rFonts w:asciiTheme="minorHAnsi" w:hAnsiTheme="minorHAnsi" w:cstheme="minorHAnsi"/>
          <w:color w:val="000000" w:themeColor="text1"/>
        </w:rPr>
        <w:t>International Journal of Advanced Biochemistry Research</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19" w:tgtFrame="_new" w:history="1">
        <w:r w:rsidRPr="00FA6047">
          <w:rPr>
            <w:rStyle w:val="Hyperlink"/>
            <w:rFonts w:asciiTheme="minorHAnsi" w:hAnsiTheme="minorHAnsi" w:cstheme="minorHAnsi"/>
            <w:color w:val="000000" w:themeColor="text1"/>
            <w:u w:val="none"/>
          </w:rPr>
          <w:t>https://doi.org/10.33545/26174693.2024.v8.i3sd.784</w:t>
        </w:r>
      </w:hyperlink>
      <w:r w:rsidRPr="00FA6047">
        <w:rPr>
          <w:rFonts w:asciiTheme="minorHAnsi" w:hAnsiTheme="minorHAnsi" w:cstheme="minorHAnsi"/>
          <w:color w:val="000000" w:themeColor="text1"/>
        </w:rPr>
        <w:t>.</w:t>
      </w:r>
    </w:p>
    <w:p w14:paraId="0F1A830C"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Kaushik, D., Garg, M. and Mishra, A. (2023) ‘Exploring developmental pathways: An in-depth analysis of Bronfenbrenner's bioecological model’, </w:t>
      </w:r>
      <w:r w:rsidRPr="00FA6047">
        <w:rPr>
          <w:rStyle w:val="Emphasis"/>
          <w:rFonts w:asciiTheme="minorHAnsi" w:hAnsiTheme="minorHAnsi" w:cstheme="minorHAnsi"/>
          <w:color w:val="000000" w:themeColor="text1"/>
        </w:rPr>
        <w:t>International Journal for Multidisciplinary Research</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0" w:tgtFrame="_new" w:history="1">
        <w:r w:rsidRPr="00FA6047">
          <w:rPr>
            <w:rStyle w:val="Hyperlink"/>
            <w:rFonts w:asciiTheme="minorHAnsi" w:hAnsiTheme="minorHAnsi" w:cstheme="minorHAnsi"/>
            <w:color w:val="000000" w:themeColor="text1"/>
            <w:u w:val="none"/>
          </w:rPr>
          <w:t>https://doi.org/10.36948/ijfmr.2023.v05i06.9154</w:t>
        </w:r>
      </w:hyperlink>
      <w:r w:rsidRPr="00FA6047">
        <w:rPr>
          <w:rFonts w:asciiTheme="minorHAnsi" w:hAnsiTheme="minorHAnsi" w:cstheme="minorHAnsi"/>
          <w:color w:val="000000" w:themeColor="text1"/>
        </w:rPr>
        <w:t>.</w:t>
      </w:r>
    </w:p>
    <w:p w14:paraId="07220D06"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Kong, W. et al. (2025) ‘The social ecological model of interpersonal health communication among rural older residents: A consensual qualitative study’, </w:t>
      </w:r>
      <w:r w:rsidRPr="00FA6047">
        <w:rPr>
          <w:rStyle w:val="Emphasis"/>
          <w:rFonts w:asciiTheme="minorHAnsi" w:hAnsiTheme="minorHAnsi" w:cstheme="minorHAnsi"/>
          <w:color w:val="000000" w:themeColor="text1"/>
        </w:rPr>
        <w:t>Frontiers in Public Health</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1" w:tgtFrame="_new" w:history="1">
        <w:r w:rsidRPr="00FA6047">
          <w:rPr>
            <w:rStyle w:val="Hyperlink"/>
            <w:rFonts w:asciiTheme="minorHAnsi" w:hAnsiTheme="minorHAnsi" w:cstheme="minorHAnsi"/>
            <w:color w:val="000000" w:themeColor="text1"/>
            <w:u w:val="none"/>
          </w:rPr>
          <w:t>https://doi.org/10.3389/fpubh.2025.1615088</w:t>
        </w:r>
      </w:hyperlink>
      <w:r w:rsidRPr="00FA6047">
        <w:rPr>
          <w:rFonts w:asciiTheme="minorHAnsi" w:hAnsiTheme="minorHAnsi" w:cstheme="minorHAnsi"/>
          <w:color w:val="000000" w:themeColor="text1"/>
        </w:rPr>
        <w:t>.</w:t>
      </w:r>
    </w:p>
    <w:p w14:paraId="405A525B"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Lestari, S., </w:t>
      </w:r>
      <w:proofErr w:type="spellStart"/>
      <w:r w:rsidRPr="00FA6047">
        <w:rPr>
          <w:rFonts w:asciiTheme="minorHAnsi" w:hAnsiTheme="minorHAnsi" w:cstheme="minorHAnsi"/>
          <w:color w:val="000000" w:themeColor="text1"/>
        </w:rPr>
        <w:t>Nurjanah</w:t>
      </w:r>
      <w:proofErr w:type="spellEnd"/>
      <w:r w:rsidRPr="00FA6047">
        <w:rPr>
          <w:rFonts w:asciiTheme="minorHAnsi" w:hAnsiTheme="minorHAnsi" w:cstheme="minorHAnsi"/>
          <w:color w:val="000000" w:themeColor="text1"/>
        </w:rPr>
        <w:t xml:space="preserve">, S. and </w:t>
      </w:r>
      <w:proofErr w:type="spellStart"/>
      <w:r w:rsidRPr="00FA6047">
        <w:rPr>
          <w:rFonts w:asciiTheme="minorHAnsi" w:hAnsiTheme="minorHAnsi" w:cstheme="minorHAnsi"/>
          <w:color w:val="000000" w:themeColor="text1"/>
        </w:rPr>
        <w:t>Indriani</w:t>
      </w:r>
      <w:proofErr w:type="spellEnd"/>
      <w:r w:rsidRPr="00FA6047">
        <w:rPr>
          <w:rFonts w:asciiTheme="minorHAnsi" w:hAnsiTheme="minorHAnsi" w:cstheme="minorHAnsi"/>
          <w:color w:val="000000" w:themeColor="text1"/>
        </w:rPr>
        <w:t xml:space="preserve">, W. (2021) ‘Application of Albert Bandura’s social learning theory in PAI learning at Al-Wafa </w:t>
      </w:r>
      <w:proofErr w:type="spellStart"/>
      <w:r w:rsidRPr="00FA6047">
        <w:rPr>
          <w:rFonts w:asciiTheme="minorHAnsi" w:hAnsiTheme="minorHAnsi" w:cstheme="minorHAnsi"/>
          <w:color w:val="000000" w:themeColor="text1"/>
        </w:rPr>
        <w:t>Ciwidey</w:t>
      </w:r>
      <w:proofErr w:type="spellEnd"/>
      <w:r w:rsidRPr="00FA6047">
        <w:rPr>
          <w:rFonts w:asciiTheme="minorHAnsi" w:hAnsiTheme="minorHAnsi" w:cstheme="minorHAnsi"/>
          <w:color w:val="000000" w:themeColor="text1"/>
        </w:rPr>
        <w:t xml:space="preserve"> SMP Bandung’, </w:t>
      </w:r>
      <w:r w:rsidRPr="00FA6047">
        <w:rPr>
          <w:rStyle w:val="Emphasis"/>
          <w:rFonts w:asciiTheme="minorHAnsi" w:hAnsiTheme="minorHAnsi" w:cstheme="minorHAnsi"/>
          <w:color w:val="000000" w:themeColor="text1"/>
        </w:rPr>
        <w:t>ALSYS</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2" w:tgtFrame="_new" w:history="1">
        <w:r w:rsidRPr="00FA6047">
          <w:rPr>
            <w:rStyle w:val="Hyperlink"/>
            <w:rFonts w:asciiTheme="minorHAnsi" w:hAnsiTheme="minorHAnsi" w:cstheme="minorHAnsi"/>
            <w:color w:val="000000" w:themeColor="text1"/>
            <w:u w:val="none"/>
          </w:rPr>
          <w:t>https://doi.org/10.36088/alsys.v1i1.16</w:t>
        </w:r>
      </w:hyperlink>
      <w:r w:rsidRPr="00FA6047">
        <w:rPr>
          <w:rFonts w:asciiTheme="minorHAnsi" w:hAnsiTheme="minorHAnsi" w:cstheme="minorHAnsi"/>
          <w:color w:val="000000" w:themeColor="text1"/>
        </w:rPr>
        <w:t>.</w:t>
      </w:r>
    </w:p>
    <w:p w14:paraId="64164938"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Liu, T., Luo, Y. and Pang, P. (2025) ‘Digital technologies-enhanced older adults’ health management: Developing a five-dimensional extension of social learning theory for community settings’, </w:t>
      </w:r>
      <w:r w:rsidRPr="00FA6047">
        <w:rPr>
          <w:rStyle w:val="Emphasis"/>
          <w:rFonts w:asciiTheme="minorHAnsi" w:hAnsiTheme="minorHAnsi" w:cstheme="minorHAnsi"/>
          <w:color w:val="000000" w:themeColor="text1"/>
        </w:rPr>
        <w:t>Frontiers in Public Health</w:t>
      </w:r>
      <w:r w:rsidRPr="00FA6047">
        <w:rPr>
          <w:rFonts w:asciiTheme="minorHAnsi" w:hAnsiTheme="minorHAnsi" w:cstheme="minorHAnsi"/>
          <w:color w:val="000000" w:themeColor="text1"/>
        </w:rPr>
        <w:t xml:space="preserve">, 13.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3" w:tgtFrame="_new" w:history="1">
        <w:r w:rsidRPr="00FA6047">
          <w:rPr>
            <w:rStyle w:val="Hyperlink"/>
            <w:rFonts w:asciiTheme="minorHAnsi" w:hAnsiTheme="minorHAnsi" w:cstheme="minorHAnsi"/>
            <w:color w:val="000000" w:themeColor="text1"/>
            <w:u w:val="none"/>
          </w:rPr>
          <w:t>https://doi.org/10.3389/fpubh.2025.1627983</w:t>
        </w:r>
      </w:hyperlink>
      <w:r w:rsidRPr="00FA6047">
        <w:rPr>
          <w:rFonts w:asciiTheme="minorHAnsi" w:hAnsiTheme="minorHAnsi" w:cstheme="minorHAnsi"/>
          <w:color w:val="000000" w:themeColor="text1"/>
        </w:rPr>
        <w:t>.</w:t>
      </w:r>
    </w:p>
    <w:p w14:paraId="4603D338"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Manik, S., </w:t>
      </w:r>
      <w:proofErr w:type="spellStart"/>
      <w:r w:rsidRPr="00FA6047">
        <w:rPr>
          <w:rFonts w:asciiTheme="minorHAnsi" w:hAnsiTheme="minorHAnsi" w:cstheme="minorHAnsi"/>
          <w:color w:val="000000" w:themeColor="text1"/>
        </w:rPr>
        <w:t>Sembiring</w:t>
      </w:r>
      <w:proofErr w:type="spellEnd"/>
      <w:r w:rsidRPr="00FA6047">
        <w:rPr>
          <w:rFonts w:asciiTheme="minorHAnsi" w:hAnsiTheme="minorHAnsi" w:cstheme="minorHAnsi"/>
          <w:color w:val="000000" w:themeColor="text1"/>
        </w:rPr>
        <w:t xml:space="preserve">, M., Padang, I. and </w:t>
      </w:r>
      <w:proofErr w:type="spellStart"/>
      <w:r w:rsidRPr="00FA6047">
        <w:rPr>
          <w:rFonts w:asciiTheme="minorHAnsi" w:hAnsiTheme="minorHAnsi" w:cstheme="minorHAnsi"/>
          <w:color w:val="000000" w:themeColor="text1"/>
        </w:rPr>
        <w:t>Manurung</w:t>
      </w:r>
      <w:proofErr w:type="spellEnd"/>
      <w:r w:rsidRPr="00FA6047">
        <w:rPr>
          <w:rFonts w:asciiTheme="minorHAnsi" w:hAnsiTheme="minorHAnsi" w:cstheme="minorHAnsi"/>
          <w:color w:val="000000" w:themeColor="text1"/>
        </w:rPr>
        <w:t xml:space="preserve">, L. (2022) ‘Theory of Bandura's social learning in the process of teaching at SMA Methodist </w:t>
      </w:r>
      <w:proofErr w:type="spellStart"/>
      <w:r w:rsidRPr="00FA6047">
        <w:rPr>
          <w:rFonts w:asciiTheme="minorHAnsi" w:hAnsiTheme="minorHAnsi" w:cstheme="minorHAnsi"/>
          <w:color w:val="000000" w:themeColor="text1"/>
        </w:rPr>
        <w:t>Berastagi</w:t>
      </w:r>
      <w:proofErr w:type="spellEnd"/>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Kabupaten</w:t>
      </w:r>
      <w:proofErr w:type="spellEnd"/>
      <w:r w:rsidRPr="00FA6047">
        <w:rPr>
          <w:rFonts w:asciiTheme="minorHAnsi" w:hAnsiTheme="minorHAnsi" w:cstheme="minorHAnsi"/>
          <w:color w:val="000000" w:themeColor="text1"/>
        </w:rPr>
        <w:t xml:space="preserve"> Karo’, </w:t>
      </w:r>
      <w:proofErr w:type="spellStart"/>
      <w:r w:rsidRPr="00FA6047">
        <w:rPr>
          <w:rStyle w:val="Emphasis"/>
          <w:rFonts w:asciiTheme="minorHAnsi" w:hAnsiTheme="minorHAnsi" w:cstheme="minorHAnsi"/>
          <w:color w:val="000000" w:themeColor="text1"/>
        </w:rPr>
        <w:t>Jurnal</w:t>
      </w:r>
      <w:proofErr w:type="spellEnd"/>
      <w:r w:rsidRPr="00FA6047">
        <w:rPr>
          <w:rStyle w:val="Emphasis"/>
          <w:rFonts w:asciiTheme="minorHAnsi" w:hAnsiTheme="minorHAnsi" w:cstheme="minorHAnsi"/>
          <w:color w:val="000000" w:themeColor="text1"/>
        </w:rPr>
        <w:t xml:space="preserve"> Visi </w:t>
      </w:r>
      <w:proofErr w:type="spellStart"/>
      <w:r w:rsidRPr="00FA6047">
        <w:rPr>
          <w:rStyle w:val="Emphasis"/>
          <w:rFonts w:asciiTheme="minorHAnsi" w:hAnsiTheme="minorHAnsi" w:cstheme="minorHAnsi"/>
          <w:color w:val="000000" w:themeColor="text1"/>
        </w:rPr>
        <w:t>Pengabdian</w:t>
      </w:r>
      <w:proofErr w:type="spellEnd"/>
      <w:r w:rsidRPr="00FA6047">
        <w:rPr>
          <w:rStyle w:val="Emphasis"/>
          <w:rFonts w:asciiTheme="minorHAnsi" w:hAnsiTheme="minorHAnsi" w:cstheme="minorHAnsi"/>
          <w:color w:val="000000" w:themeColor="text1"/>
        </w:rPr>
        <w:t xml:space="preserve"> </w:t>
      </w:r>
      <w:proofErr w:type="spellStart"/>
      <w:r w:rsidRPr="00FA6047">
        <w:rPr>
          <w:rStyle w:val="Emphasis"/>
          <w:rFonts w:asciiTheme="minorHAnsi" w:hAnsiTheme="minorHAnsi" w:cstheme="minorHAnsi"/>
          <w:color w:val="000000" w:themeColor="text1"/>
        </w:rPr>
        <w:t>Kepada</w:t>
      </w:r>
      <w:proofErr w:type="spellEnd"/>
      <w:r w:rsidRPr="00FA6047">
        <w:rPr>
          <w:rStyle w:val="Emphasis"/>
          <w:rFonts w:asciiTheme="minorHAnsi" w:hAnsiTheme="minorHAnsi" w:cstheme="minorHAnsi"/>
          <w:color w:val="000000" w:themeColor="text1"/>
        </w:rPr>
        <w:t xml:space="preserve"> Masyarakat</w:t>
      </w:r>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4" w:tgtFrame="_new" w:history="1">
        <w:r w:rsidRPr="00FA6047">
          <w:rPr>
            <w:rStyle w:val="Hyperlink"/>
            <w:rFonts w:asciiTheme="minorHAnsi" w:hAnsiTheme="minorHAnsi" w:cstheme="minorHAnsi"/>
            <w:color w:val="000000" w:themeColor="text1"/>
            <w:u w:val="none"/>
          </w:rPr>
          <w:t>https://doi.org/10.51622/pengabdian.v3i2.729</w:t>
        </w:r>
      </w:hyperlink>
      <w:r w:rsidRPr="00FA6047">
        <w:rPr>
          <w:rFonts w:asciiTheme="minorHAnsi" w:hAnsiTheme="minorHAnsi" w:cstheme="minorHAnsi"/>
          <w:color w:val="000000" w:themeColor="text1"/>
        </w:rPr>
        <w:t>.</w:t>
      </w:r>
    </w:p>
    <w:p w14:paraId="1BCAD813"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proofErr w:type="spellStart"/>
      <w:r w:rsidRPr="00FA6047">
        <w:rPr>
          <w:rFonts w:asciiTheme="minorHAnsi" w:hAnsiTheme="minorHAnsi" w:cstheme="minorHAnsi"/>
          <w:color w:val="000000" w:themeColor="text1"/>
        </w:rPr>
        <w:lastRenderedPageBreak/>
        <w:t>Mukhalalati</w:t>
      </w:r>
      <w:proofErr w:type="spellEnd"/>
      <w:r w:rsidRPr="00FA6047">
        <w:rPr>
          <w:rFonts w:asciiTheme="minorHAnsi" w:hAnsiTheme="minorHAnsi" w:cstheme="minorHAnsi"/>
          <w:color w:val="000000" w:themeColor="text1"/>
        </w:rPr>
        <w:t xml:space="preserve">, B. et al. (2022) ‘Applications of social theories of learning in health professions education </w:t>
      </w:r>
      <w:proofErr w:type="spellStart"/>
      <w:r w:rsidRPr="00FA6047">
        <w:rPr>
          <w:rFonts w:asciiTheme="minorHAnsi" w:hAnsiTheme="minorHAnsi" w:cstheme="minorHAnsi"/>
          <w:color w:val="000000" w:themeColor="text1"/>
        </w:rPr>
        <w:t>programmes</w:t>
      </w:r>
      <w:proofErr w:type="spellEnd"/>
      <w:r w:rsidRPr="00FA6047">
        <w:rPr>
          <w:rFonts w:asciiTheme="minorHAnsi" w:hAnsiTheme="minorHAnsi" w:cstheme="minorHAnsi"/>
          <w:color w:val="000000" w:themeColor="text1"/>
        </w:rPr>
        <w:t xml:space="preserve">: A scoping review’, </w:t>
      </w:r>
      <w:r w:rsidRPr="00FA6047">
        <w:rPr>
          <w:rStyle w:val="Emphasis"/>
          <w:rFonts w:asciiTheme="minorHAnsi" w:hAnsiTheme="minorHAnsi" w:cstheme="minorHAnsi"/>
          <w:color w:val="000000" w:themeColor="text1"/>
        </w:rPr>
        <w:t>Frontiers in Medicine</w:t>
      </w:r>
      <w:r w:rsidRPr="00FA6047">
        <w:rPr>
          <w:rFonts w:asciiTheme="minorHAnsi" w:hAnsiTheme="minorHAnsi" w:cstheme="minorHAnsi"/>
          <w:color w:val="000000" w:themeColor="text1"/>
        </w:rPr>
        <w:t xml:space="preserve">, 9.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5" w:tgtFrame="_new" w:history="1">
        <w:r w:rsidRPr="00FA6047">
          <w:rPr>
            <w:rStyle w:val="Hyperlink"/>
            <w:rFonts w:asciiTheme="minorHAnsi" w:hAnsiTheme="minorHAnsi" w:cstheme="minorHAnsi"/>
            <w:color w:val="000000" w:themeColor="text1"/>
            <w:u w:val="none"/>
          </w:rPr>
          <w:t>https://doi.org/10.3389/fmed.2022.912751</w:t>
        </w:r>
      </w:hyperlink>
      <w:r w:rsidRPr="00FA6047">
        <w:rPr>
          <w:rFonts w:asciiTheme="minorHAnsi" w:hAnsiTheme="minorHAnsi" w:cstheme="minorHAnsi"/>
          <w:color w:val="000000" w:themeColor="text1"/>
        </w:rPr>
        <w:t>.</w:t>
      </w:r>
    </w:p>
    <w:p w14:paraId="4FD00461"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NICE (2013) </w:t>
      </w:r>
      <w:r w:rsidRPr="00FA6047">
        <w:rPr>
          <w:rStyle w:val="Emphasis"/>
          <w:rFonts w:asciiTheme="minorHAnsi" w:hAnsiTheme="minorHAnsi" w:cstheme="minorHAnsi"/>
          <w:color w:val="000000" w:themeColor="text1"/>
        </w:rPr>
        <w:t>Mental wellbeing of older people in care homes: Quality standard (QS50)</w:t>
      </w:r>
      <w:r w:rsidRPr="00FA6047">
        <w:rPr>
          <w:rFonts w:asciiTheme="minorHAnsi" w:hAnsiTheme="minorHAnsi" w:cstheme="minorHAnsi"/>
          <w:color w:val="000000" w:themeColor="text1"/>
        </w:rPr>
        <w:t xml:space="preserve">. [online] Available at: </w:t>
      </w:r>
      <w:hyperlink r:id="rId26" w:tgtFrame="_new" w:history="1">
        <w:r w:rsidRPr="00FA6047">
          <w:rPr>
            <w:rStyle w:val="Hyperlink"/>
            <w:rFonts w:asciiTheme="minorHAnsi" w:hAnsiTheme="minorHAnsi" w:cstheme="minorHAnsi"/>
            <w:color w:val="000000" w:themeColor="text1"/>
            <w:u w:val="none"/>
          </w:rPr>
          <w:t>https://www.nice.org.uk/guidance/qs50</w:t>
        </w:r>
      </w:hyperlink>
      <w:r w:rsidRPr="00FA6047">
        <w:rPr>
          <w:rFonts w:asciiTheme="minorHAnsi" w:hAnsiTheme="minorHAnsi" w:cstheme="minorHAnsi"/>
          <w:color w:val="000000" w:themeColor="text1"/>
        </w:rPr>
        <w:t>.</w:t>
      </w:r>
    </w:p>
    <w:p w14:paraId="7A44CEE8"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Roh, S. and Chang, I. (2024) ‘The ecological system’s influence on physical activities of older adults: Comparison between older men and women’, </w:t>
      </w:r>
      <w:r w:rsidRPr="00FA6047">
        <w:rPr>
          <w:rStyle w:val="Emphasis"/>
          <w:rFonts w:asciiTheme="minorHAnsi" w:hAnsiTheme="minorHAnsi" w:cstheme="minorHAnsi"/>
          <w:color w:val="000000" w:themeColor="text1"/>
        </w:rPr>
        <w:t>Aging Clinical and Experimental Research</w:t>
      </w:r>
      <w:r w:rsidRPr="00FA6047">
        <w:rPr>
          <w:rFonts w:asciiTheme="minorHAnsi" w:hAnsiTheme="minorHAnsi" w:cstheme="minorHAnsi"/>
          <w:color w:val="000000" w:themeColor="text1"/>
        </w:rPr>
        <w:t xml:space="preserve">, 37.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7" w:tgtFrame="_new" w:history="1">
        <w:r w:rsidRPr="00FA6047">
          <w:rPr>
            <w:rStyle w:val="Hyperlink"/>
            <w:rFonts w:asciiTheme="minorHAnsi" w:hAnsiTheme="minorHAnsi" w:cstheme="minorHAnsi"/>
            <w:color w:val="000000" w:themeColor="text1"/>
            <w:u w:val="none"/>
          </w:rPr>
          <w:t>https://doi.org/10.1007/s40520-024-02908-2</w:t>
        </w:r>
      </w:hyperlink>
      <w:r w:rsidRPr="00FA6047">
        <w:rPr>
          <w:rFonts w:asciiTheme="minorHAnsi" w:hAnsiTheme="minorHAnsi" w:cstheme="minorHAnsi"/>
          <w:color w:val="000000" w:themeColor="text1"/>
        </w:rPr>
        <w:t>.</w:t>
      </w:r>
    </w:p>
    <w:p w14:paraId="3CC29A09"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proofErr w:type="spellStart"/>
      <w:r w:rsidRPr="00FA6047">
        <w:rPr>
          <w:rFonts w:asciiTheme="minorHAnsi" w:hAnsiTheme="minorHAnsi" w:cstheme="minorHAnsi"/>
          <w:color w:val="000000" w:themeColor="text1"/>
        </w:rPr>
        <w:t>Soepriyanti</w:t>
      </w:r>
      <w:proofErr w:type="spellEnd"/>
      <w:r w:rsidRPr="00FA6047">
        <w:rPr>
          <w:rFonts w:asciiTheme="minorHAnsi" w:hAnsiTheme="minorHAnsi" w:cstheme="minorHAnsi"/>
          <w:color w:val="000000" w:themeColor="text1"/>
        </w:rPr>
        <w:t xml:space="preserve">, H., Waluyo, U., Fitriana, E. and Riyanto, A. (2025) ‘Digital literacy competence of mover teachers in implementing the independent curriculum in Sumbawa Besar City’, </w:t>
      </w:r>
      <w:r w:rsidRPr="00FA6047">
        <w:rPr>
          <w:rStyle w:val="Emphasis"/>
          <w:rFonts w:asciiTheme="minorHAnsi" w:hAnsiTheme="minorHAnsi" w:cstheme="minorHAnsi"/>
          <w:color w:val="000000" w:themeColor="text1"/>
        </w:rPr>
        <w:t xml:space="preserve">Esteem Journal of English Education Study </w:t>
      </w:r>
      <w:proofErr w:type="spellStart"/>
      <w:r w:rsidRPr="00FA6047">
        <w:rPr>
          <w:rStyle w:val="Emphasis"/>
          <w:rFonts w:asciiTheme="minorHAnsi" w:hAnsiTheme="minorHAnsi" w:cstheme="minorHAnsi"/>
          <w:color w:val="000000" w:themeColor="text1"/>
        </w:rPr>
        <w:t>Programme</w:t>
      </w:r>
      <w:proofErr w:type="spellEnd"/>
      <w:r w:rsidRPr="00FA6047">
        <w:rPr>
          <w:rFonts w:asciiTheme="minorHAnsi" w:hAnsiTheme="minorHAnsi" w:cstheme="minorHAnsi"/>
          <w:color w:val="000000" w:themeColor="text1"/>
        </w:rPr>
        <w:t xml:space="preserve">.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8" w:tgtFrame="_new" w:history="1">
        <w:r w:rsidRPr="00FA6047">
          <w:rPr>
            <w:rStyle w:val="Hyperlink"/>
            <w:rFonts w:asciiTheme="minorHAnsi" w:hAnsiTheme="minorHAnsi" w:cstheme="minorHAnsi"/>
            <w:color w:val="000000" w:themeColor="text1"/>
            <w:u w:val="none"/>
          </w:rPr>
          <w:t>https://doi.org/10.31851/esteem.v8i1.17645</w:t>
        </w:r>
      </w:hyperlink>
      <w:r w:rsidRPr="00FA6047">
        <w:rPr>
          <w:rFonts w:asciiTheme="minorHAnsi" w:hAnsiTheme="minorHAnsi" w:cstheme="minorHAnsi"/>
          <w:color w:val="000000" w:themeColor="text1"/>
        </w:rPr>
        <w:t>.</w:t>
      </w:r>
    </w:p>
    <w:p w14:paraId="109C1993"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proofErr w:type="spellStart"/>
      <w:proofErr w:type="gramStart"/>
      <w:r w:rsidRPr="00FA6047">
        <w:rPr>
          <w:rFonts w:asciiTheme="minorHAnsi" w:hAnsiTheme="minorHAnsi" w:cstheme="minorHAnsi"/>
          <w:sz w:val="22"/>
          <w:szCs w:val="22"/>
        </w:rPr>
        <w:t>Tilborg</w:t>
      </w:r>
      <w:proofErr w:type="spellEnd"/>
      <w:r w:rsidRPr="00FA6047">
        <w:rPr>
          <w:rFonts w:asciiTheme="minorHAnsi" w:hAnsiTheme="minorHAnsi" w:cstheme="minorHAnsi"/>
          <w:sz w:val="22"/>
          <w:szCs w:val="22"/>
        </w:rPr>
        <w:t xml:space="preserve"> </w:t>
      </w:r>
      <w:r>
        <w:rPr>
          <w:rFonts w:asciiTheme="minorHAnsi" w:hAnsiTheme="minorHAnsi" w:cstheme="minorHAnsi"/>
          <w:sz w:val="22"/>
          <w:szCs w:val="22"/>
        </w:rPr>
        <w:t>,</w:t>
      </w:r>
      <w:proofErr w:type="gramEnd"/>
      <w:r>
        <w:rPr>
          <w:rFonts w:asciiTheme="minorHAnsi" w:hAnsiTheme="minorHAnsi" w:cstheme="minorHAnsi"/>
          <w:sz w:val="22"/>
          <w:szCs w:val="22"/>
        </w:rPr>
        <w:t xml:space="preserve"> </w:t>
      </w:r>
      <w:r w:rsidRPr="00FA6047">
        <w:rPr>
          <w:rFonts w:asciiTheme="minorHAnsi" w:hAnsiTheme="minorHAnsi" w:cstheme="minorHAnsi"/>
          <w:color w:val="000000" w:themeColor="text1"/>
        </w:rPr>
        <w:t>A.D.</w:t>
      </w:r>
      <w:r>
        <w:rPr>
          <w:rFonts w:asciiTheme="minorHAnsi" w:hAnsiTheme="minorHAnsi" w:cstheme="minorHAnsi"/>
          <w:color w:val="000000" w:themeColor="text1"/>
        </w:rPr>
        <w:t xml:space="preserve"> </w:t>
      </w:r>
      <w:r w:rsidRPr="00FA6047">
        <w:rPr>
          <w:rFonts w:asciiTheme="minorHAnsi" w:hAnsiTheme="minorHAnsi" w:cstheme="minorHAnsi"/>
          <w:color w:val="000000" w:themeColor="text1"/>
        </w:rPr>
        <w:t xml:space="preserve">and </w:t>
      </w:r>
      <w:proofErr w:type="spellStart"/>
      <w:r w:rsidRPr="00FA6047">
        <w:rPr>
          <w:rFonts w:asciiTheme="minorHAnsi" w:hAnsiTheme="minorHAnsi" w:cstheme="minorHAnsi"/>
          <w:color w:val="000000" w:themeColor="text1"/>
        </w:rPr>
        <w:t>Hulstijn</w:t>
      </w:r>
      <w:proofErr w:type="spellEnd"/>
      <w:r w:rsidRPr="00FA6047">
        <w:rPr>
          <w:rFonts w:asciiTheme="minorHAnsi" w:hAnsiTheme="minorHAnsi" w:cstheme="minorHAnsi"/>
          <w:color w:val="000000" w:themeColor="text1"/>
        </w:rPr>
        <w:t xml:space="preserve">, W. (2011) ‘Learning by observation and guidance in patients with Alzheimer’s dementia’, </w:t>
      </w:r>
      <w:proofErr w:type="spellStart"/>
      <w:r w:rsidRPr="00FA6047">
        <w:rPr>
          <w:rStyle w:val="Emphasis"/>
          <w:rFonts w:asciiTheme="minorHAnsi" w:hAnsiTheme="minorHAnsi" w:cstheme="minorHAnsi"/>
          <w:color w:val="000000" w:themeColor="text1"/>
        </w:rPr>
        <w:t>NeuroRehabilitation</w:t>
      </w:r>
      <w:proofErr w:type="spellEnd"/>
      <w:r w:rsidRPr="00FA6047">
        <w:rPr>
          <w:rFonts w:asciiTheme="minorHAnsi" w:hAnsiTheme="minorHAnsi" w:cstheme="minorHAnsi"/>
          <w:color w:val="000000" w:themeColor="text1"/>
        </w:rPr>
        <w:t xml:space="preserve">, 29(3), pp. 295–304.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29" w:tgtFrame="_new" w:history="1">
        <w:r w:rsidRPr="00FA6047">
          <w:rPr>
            <w:rStyle w:val="Hyperlink"/>
            <w:rFonts w:asciiTheme="minorHAnsi" w:hAnsiTheme="minorHAnsi" w:cstheme="minorHAnsi"/>
            <w:color w:val="000000" w:themeColor="text1"/>
            <w:u w:val="none"/>
          </w:rPr>
          <w:t>https://doi.org/10.3233/nre-2011-0705</w:t>
        </w:r>
      </w:hyperlink>
      <w:r w:rsidRPr="00FA6047">
        <w:rPr>
          <w:rFonts w:asciiTheme="minorHAnsi" w:hAnsiTheme="minorHAnsi" w:cstheme="minorHAnsi"/>
          <w:color w:val="000000" w:themeColor="text1"/>
        </w:rPr>
        <w:t>.</w:t>
      </w:r>
    </w:p>
    <w:p w14:paraId="4F8DC8C2"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Tong, P. and An, I. (2024) ‘Review of studies applying Bronfenbrenner's bioecological theory in international and intercultural education research’, </w:t>
      </w:r>
      <w:r w:rsidRPr="00FA6047">
        <w:rPr>
          <w:rStyle w:val="Emphasis"/>
          <w:rFonts w:asciiTheme="minorHAnsi" w:hAnsiTheme="minorHAnsi" w:cstheme="minorHAnsi"/>
          <w:color w:val="000000" w:themeColor="text1"/>
        </w:rPr>
        <w:t>Frontiers in Psychology</w:t>
      </w:r>
      <w:r w:rsidRPr="00FA6047">
        <w:rPr>
          <w:rFonts w:asciiTheme="minorHAnsi" w:hAnsiTheme="minorHAnsi" w:cstheme="minorHAnsi"/>
          <w:color w:val="000000" w:themeColor="text1"/>
        </w:rPr>
        <w:t xml:space="preserve">, 14.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30" w:tgtFrame="_new" w:history="1">
        <w:r w:rsidRPr="00FA6047">
          <w:rPr>
            <w:rStyle w:val="Hyperlink"/>
            <w:rFonts w:asciiTheme="minorHAnsi" w:hAnsiTheme="minorHAnsi" w:cstheme="minorHAnsi"/>
            <w:color w:val="000000" w:themeColor="text1"/>
            <w:u w:val="none"/>
          </w:rPr>
          <w:t>https://doi.org/10.3389/fpsyg.2023.1233925</w:t>
        </w:r>
      </w:hyperlink>
      <w:r w:rsidRPr="00FA6047">
        <w:rPr>
          <w:rFonts w:asciiTheme="minorHAnsi" w:hAnsiTheme="minorHAnsi" w:cstheme="minorHAnsi"/>
          <w:color w:val="000000" w:themeColor="text1"/>
        </w:rPr>
        <w:t>.</w:t>
      </w:r>
    </w:p>
    <w:p w14:paraId="0D5BA8B3"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Pr>
          <w:rFonts w:asciiTheme="minorHAnsi" w:hAnsiTheme="minorHAnsi" w:cstheme="minorHAnsi"/>
          <w:color w:val="000000" w:themeColor="text1"/>
        </w:rPr>
        <w:t>WHO</w:t>
      </w:r>
      <w:r w:rsidRPr="00FA6047">
        <w:rPr>
          <w:rFonts w:asciiTheme="minorHAnsi" w:hAnsiTheme="minorHAnsi" w:cstheme="minorHAnsi"/>
          <w:color w:val="000000" w:themeColor="text1"/>
        </w:rPr>
        <w:t xml:space="preserve"> (202</w:t>
      </w:r>
      <w:r>
        <w:rPr>
          <w:rFonts w:asciiTheme="minorHAnsi" w:hAnsiTheme="minorHAnsi" w:cstheme="minorHAnsi"/>
          <w:color w:val="000000" w:themeColor="text1"/>
        </w:rPr>
        <w:t>2</w:t>
      </w:r>
      <w:r w:rsidRPr="00FA6047">
        <w:rPr>
          <w:rFonts w:asciiTheme="minorHAnsi" w:hAnsiTheme="minorHAnsi" w:cstheme="minorHAnsi"/>
          <w:color w:val="000000" w:themeColor="text1"/>
        </w:rPr>
        <w:t xml:space="preserve">) </w:t>
      </w:r>
      <w:r w:rsidRPr="00FA6047">
        <w:rPr>
          <w:rStyle w:val="Emphasis"/>
          <w:rFonts w:asciiTheme="minorHAnsi" w:hAnsiTheme="minorHAnsi" w:cstheme="minorHAnsi"/>
          <w:color w:val="000000" w:themeColor="text1"/>
        </w:rPr>
        <w:t>Mental health of older adults</w:t>
      </w:r>
      <w:r w:rsidRPr="00FA6047">
        <w:rPr>
          <w:rFonts w:asciiTheme="minorHAnsi" w:hAnsiTheme="minorHAnsi" w:cstheme="minorHAnsi"/>
          <w:color w:val="000000" w:themeColor="text1"/>
        </w:rPr>
        <w:t xml:space="preserve">. [online] Available at: </w:t>
      </w:r>
      <w:hyperlink r:id="rId31" w:tgtFrame="_new" w:history="1">
        <w:r w:rsidRPr="00FA6047">
          <w:rPr>
            <w:rStyle w:val="Hyperlink"/>
            <w:rFonts w:asciiTheme="minorHAnsi" w:hAnsiTheme="minorHAnsi" w:cstheme="minorHAnsi"/>
            <w:color w:val="000000" w:themeColor="text1"/>
            <w:u w:val="none"/>
          </w:rPr>
          <w:t>https://www.who.int/news-room/fact-sheets/detail/mental-health-of-older-adults</w:t>
        </w:r>
      </w:hyperlink>
      <w:r w:rsidRPr="00FA6047">
        <w:rPr>
          <w:rFonts w:asciiTheme="minorHAnsi" w:hAnsiTheme="minorHAnsi" w:cstheme="minorHAnsi"/>
          <w:color w:val="000000" w:themeColor="text1"/>
        </w:rPr>
        <w:t>.</w:t>
      </w:r>
    </w:p>
    <w:p w14:paraId="106395ED" w14:textId="77777777" w:rsidR="00DE24F6" w:rsidRPr="00FA6047" w:rsidRDefault="00DE24F6" w:rsidP="00FA6047">
      <w:pPr>
        <w:pStyle w:val="NormalWeb"/>
        <w:spacing w:before="120" w:after="120"/>
        <w:jc w:val="left"/>
        <w:rPr>
          <w:rFonts w:asciiTheme="minorHAnsi" w:hAnsiTheme="minorHAnsi" w:cstheme="minorHAnsi"/>
          <w:color w:val="000000" w:themeColor="text1"/>
        </w:rPr>
      </w:pPr>
      <w:r w:rsidRPr="00FA6047">
        <w:rPr>
          <w:rFonts w:asciiTheme="minorHAnsi" w:hAnsiTheme="minorHAnsi" w:cstheme="minorHAnsi"/>
          <w:color w:val="000000" w:themeColor="text1"/>
        </w:rPr>
        <w:t xml:space="preserve">Zaatari, W. and Maalouf, I. (2022) ‘How the Bronfenbrenner bio-ecological system theory explains the development of students’ sense of belonging to school?’, </w:t>
      </w:r>
      <w:r w:rsidRPr="00FA6047">
        <w:rPr>
          <w:rStyle w:val="Emphasis"/>
          <w:rFonts w:asciiTheme="minorHAnsi" w:hAnsiTheme="minorHAnsi" w:cstheme="minorHAnsi"/>
          <w:color w:val="000000" w:themeColor="text1"/>
        </w:rPr>
        <w:t>SAGE Open</w:t>
      </w:r>
      <w:r w:rsidRPr="00FA6047">
        <w:rPr>
          <w:rFonts w:asciiTheme="minorHAnsi" w:hAnsiTheme="minorHAnsi" w:cstheme="minorHAnsi"/>
          <w:color w:val="000000" w:themeColor="text1"/>
        </w:rPr>
        <w:t xml:space="preserve">, 12. </w:t>
      </w:r>
      <w:proofErr w:type="spellStart"/>
      <w:r w:rsidRPr="00FA6047">
        <w:rPr>
          <w:rFonts w:asciiTheme="minorHAnsi" w:hAnsiTheme="minorHAnsi" w:cstheme="minorHAnsi"/>
          <w:color w:val="000000" w:themeColor="text1"/>
        </w:rPr>
        <w:t>doi</w:t>
      </w:r>
      <w:proofErr w:type="spellEnd"/>
      <w:r w:rsidRPr="00FA6047">
        <w:rPr>
          <w:rFonts w:asciiTheme="minorHAnsi" w:hAnsiTheme="minorHAnsi" w:cstheme="minorHAnsi"/>
          <w:color w:val="000000" w:themeColor="text1"/>
        </w:rPr>
        <w:t xml:space="preserve">: </w:t>
      </w:r>
      <w:hyperlink r:id="rId32" w:tgtFrame="_new" w:history="1">
        <w:r w:rsidRPr="00FA6047">
          <w:rPr>
            <w:rStyle w:val="Hyperlink"/>
            <w:rFonts w:asciiTheme="minorHAnsi" w:hAnsiTheme="minorHAnsi" w:cstheme="minorHAnsi"/>
            <w:color w:val="000000" w:themeColor="text1"/>
            <w:u w:val="none"/>
          </w:rPr>
          <w:t>https://doi.org/10.1177/21582440221134089</w:t>
        </w:r>
      </w:hyperlink>
      <w:r w:rsidRPr="00FA6047">
        <w:rPr>
          <w:rFonts w:asciiTheme="minorHAnsi" w:hAnsiTheme="minorHAnsi" w:cstheme="minorHAnsi"/>
          <w:color w:val="000000" w:themeColor="text1"/>
        </w:rPr>
        <w:t>.</w:t>
      </w:r>
    </w:p>
    <w:p w14:paraId="70A9C15B" w14:textId="77777777" w:rsidR="004417CA" w:rsidRPr="00FA6047" w:rsidRDefault="004417CA" w:rsidP="004417CA">
      <w:pPr>
        <w:rPr>
          <w:rFonts w:cstheme="minorHAnsi"/>
        </w:rPr>
      </w:pPr>
    </w:p>
    <w:sectPr w:rsidR="004417CA" w:rsidRPr="00FA6047" w:rsidSect="00FA6047">
      <w:footerReference w:type="default" r:id="rId3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8D930" w14:textId="77777777" w:rsidR="007C42F8" w:rsidRDefault="007C42F8" w:rsidP="003E1097">
      <w:pPr>
        <w:spacing w:after="0" w:line="240" w:lineRule="auto"/>
      </w:pPr>
      <w:r>
        <w:separator/>
      </w:r>
    </w:p>
  </w:endnote>
  <w:endnote w:type="continuationSeparator" w:id="0">
    <w:p w14:paraId="2B7AFCE5" w14:textId="77777777" w:rsidR="007C42F8" w:rsidRDefault="007C42F8" w:rsidP="003E1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948451"/>
      <w:docPartObj>
        <w:docPartGallery w:val="Page Numbers (Bottom of Page)"/>
        <w:docPartUnique/>
      </w:docPartObj>
    </w:sdtPr>
    <w:sdtEndPr>
      <w:rPr>
        <w:noProof/>
      </w:rPr>
    </w:sdtEndPr>
    <w:sdtContent>
      <w:p w14:paraId="109E3E98" w14:textId="5B9ED02E" w:rsidR="003E1097" w:rsidRDefault="003E10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569870" w14:textId="77777777" w:rsidR="003E1097" w:rsidRDefault="003E1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47B3B" w14:textId="77777777" w:rsidR="007C42F8" w:rsidRDefault="007C42F8" w:rsidP="003E1097">
      <w:pPr>
        <w:spacing w:after="0" w:line="240" w:lineRule="auto"/>
      </w:pPr>
      <w:r>
        <w:separator/>
      </w:r>
    </w:p>
  </w:footnote>
  <w:footnote w:type="continuationSeparator" w:id="0">
    <w:p w14:paraId="6027E8B1" w14:textId="77777777" w:rsidR="007C42F8" w:rsidRDefault="007C42F8" w:rsidP="003E10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4B09"/>
    <w:multiLevelType w:val="hybridMultilevel"/>
    <w:tmpl w:val="561AAB30"/>
    <w:lvl w:ilvl="0" w:tplc="627497A8">
      <w:start w:val="1"/>
      <w:numFmt w:val="decimal"/>
      <w:lvlText w:val="%1."/>
      <w:lvlJc w:val="center"/>
      <w:pPr>
        <w:ind w:left="720" w:hanging="360"/>
      </w:pPr>
      <w:rPr>
        <w:rFonts w:ascii="Arial" w:hAnsi="Arial" w:hint="default"/>
        <w:color w:val="4472C4" w:themeColor="accen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AC1E5D"/>
    <w:multiLevelType w:val="hybridMultilevel"/>
    <w:tmpl w:val="2CE016F6"/>
    <w:lvl w:ilvl="0" w:tplc="EAFECFF4">
      <w:start w:val="1"/>
      <w:numFmt w:val="decimal"/>
      <w:lvlText w:val="%1.1"/>
      <w:lvlJc w:val="center"/>
      <w:pPr>
        <w:ind w:left="720" w:hanging="360"/>
      </w:pPr>
      <w:rPr>
        <w:rFonts w:ascii="Arial" w:hAnsi="Arial" w:hint="default"/>
        <w:color w:val="4472C4" w:themeColor="accen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824789"/>
    <w:multiLevelType w:val="multilevel"/>
    <w:tmpl w:val="752C856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E4B3F0D"/>
    <w:multiLevelType w:val="multilevel"/>
    <w:tmpl w:val="4A4CB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6728947">
    <w:abstractNumId w:val="3"/>
  </w:num>
  <w:num w:numId="2" w16cid:durableId="1335453720">
    <w:abstractNumId w:val="0"/>
  </w:num>
  <w:num w:numId="3" w16cid:durableId="563561463">
    <w:abstractNumId w:val="1"/>
  </w:num>
  <w:num w:numId="4" w16cid:durableId="5376792">
    <w:abstractNumId w:val="2"/>
  </w:num>
  <w:num w:numId="5" w16cid:durableId="1775787389">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EAD"/>
    <w:rsid w:val="00026BEA"/>
    <w:rsid w:val="00037BC3"/>
    <w:rsid w:val="0004011E"/>
    <w:rsid w:val="00041918"/>
    <w:rsid w:val="00085DFD"/>
    <w:rsid w:val="00097151"/>
    <w:rsid w:val="000A3BB0"/>
    <w:rsid w:val="000C1794"/>
    <w:rsid w:val="000C5E65"/>
    <w:rsid w:val="00123B00"/>
    <w:rsid w:val="0016535E"/>
    <w:rsid w:val="001745B5"/>
    <w:rsid w:val="001A0D71"/>
    <w:rsid w:val="001C323A"/>
    <w:rsid w:val="001F0F68"/>
    <w:rsid w:val="0023450F"/>
    <w:rsid w:val="00264E3D"/>
    <w:rsid w:val="00290E8B"/>
    <w:rsid w:val="002F2684"/>
    <w:rsid w:val="002F498A"/>
    <w:rsid w:val="00344A45"/>
    <w:rsid w:val="0034782D"/>
    <w:rsid w:val="00373742"/>
    <w:rsid w:val="003742CF"/>
    <w:rsid w:val="00382A4D"/>
    <w:rsid w:val="00393228"/>
    <w:rsid w:val="003B3147"/>
    <w:rsid w:val="003D4BFA"/>
    <w:rsid w:val="003E1097"/>
    <w:rsid w:val="004417CA"/>
    <w:rsid w:val="00474E63"/>
    <w:rsid w:val="004C7365"/>
    <w:rsid w:val="004E2491"/>
    <w:rsid w:val="004F3501"/>
    <w:rsid w:val="00520EBA"/>
    <w:rsid w:val="0057234B"/>
    <w:rsid w:val="00581403"/>
    <w:rsid w:val="00585B57"/>
    <w:rsid w:val="005A444E"/>
    <w:rsid w:val="005B15C5"/>
    <w:rsid w:val="005D05E1"/>
    <w:rsid w:val="005F1980"/>
    <w:rsid w:val="00602FE0"/>
    <w:rsid w:val="006308F0"/>
    <w:rsid w:val="00635078"/>
    <w:rsid w:val="007068FB"/>
    <w:rsid w:val="00736E9F"/>
    <w:rsid w:val="007C42F8"/>
    <w:rsid w:val="007D67D8"/>
    <w:rsid w:val="0080471A"/>
    <w:rsid w:val="00860EFE"/>
    <w:rsid w:val="00953EAD"/>
    <w:rsid w:val="009938B4"/>
    <w:rsid w:val="009C292B"/>
    <w:rsid w:val="009C6B01"/>
    <w:rsid w:val="00A13D90"/>
    <w:rsid w:val="00AB6D75"/>
    <w:rsid w:val="00AC2C2C"/>
    <w:rsid w:val="00B00BB0"/>
    <w:rsid w:val="00B00CBE"/>
    <w:rsid w:val="00B120F9"/>
    <w:rsid w:val="00B12687"/>
    <w:rsid w:val="00B16F0F"/>
    <w:rsid w:val="00B3692C"/>
    <w:rsid w:val="00B70311"/>
    <w:rsid w:val="00BA57F8"/>
    <w:rsid w:val="00BF4BC3"/>
    <w:rsid w:val="00C3251C"/>
    <w:rsid w:val="00C6099E"/>
    <w:rsid w:val="00C85119"/>
    <w:rsid w:val="00CA464E"/>
    <w:rsid w:val="00D0354E"/>
    <w:rsid w:val="00D925E3"/>
    <w:rsid w:val="00DE24F6"/>
    <w:rsid w:val="00E5152F"/>
    <w:rsid w:val="00E54BE1"/>
    <w:rsid w:val="00E71B83"/>
    <w:rsid w:val="00EA6E78"/>
    <w:rsid w:val="00EB075A"/>
    <w:rsid w:val="00EB0F1D"/>
    <w:rsid w:val="00F82C66"/>
    <w:rsid w:val="00F93984"/>
    <w:rsid w:val="00FA47A5"/>
    <w:rsid w:val="00FA6047"/>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D1214"/>
  <w15:chartTrackingRefBased/>
  <w15:docId w15:val="{023EC812-C368-4CD3-8ED6-DFC4DE7FE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047"/>
    <w:pPr>
      <w:spacing w:line="360" w:lineRule="auto"/>
      <w:jc w:val="both"/>
    </w:pPr>
  </w:style>
  <w:style w:type="paragraph" w:styleId="Heading1">
    <w:name w:val="heading 1"/>
    <w:basedOn w:val="Normal"/>
    <w:next w:val="Normal"/>
    <w:link w:val="Heading1Char"/>
    <w:uiPriority w:val="9"/>
    <w:qFormat/>
    <w:rsid w:val="00FA6047"/>
    <w:pPr>
      <w:keepNext/>
      <w:keepLines/>
      <w:numPr>
        <w:numId w:val="4"/>
      </w:numPr>
      <w:spacing w:before="360" w:after="80"/>
      <w:outlineLvl w:val="0"/>
    </w:pPr>
    <w:rPr>
      <w:rFonts w:ascii="Arial" w:eastAsiaTheme="majorEastAsia" w:hAnsi="Arial"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FA6047"/>
    <w:pPr>
      <w:keepNext/>
      <w:keepLines/>
      <w:numPr>
        <w:ilvl w:val="1"/>
        <w:numId w:val="4"/>
      </w:numPr>
      <w:spacing w:after="120"/>
      <w:outlineLvl w:val="1"/>
    </w:pPr>
    <w:rPr>
      <w:rFonts w:ascii="Arial" w:eastAsiaTheme="majorEastAsia" w:hAnsi="Arial" w:cstheme="majorBidi"/>
      <w:b/>
      <w:color w:val="2F5496" w:themeColor="accent1" w:themeShade="BF"/>
      <w:sz w:val="26"/>
      <w:szCs w:val="32"/>
    </w:rPr>
  </w:style>
  <w:style w:type="paragraph" w:styleId="Heading3">
    <w:name w:val="heading 3"/>
    <w:basedOn w:val="Normal"/>
    <w:next w:val="Normal"/>
    <w:link w:val="Heading3Char"/>
    <w:uiPriority w:val="9"/>
    <w:semiHidden/>
    <w:unhideWhenUsed/>
    <w:qFormat/>
    <w:rsid w:val="00953EAD"/>
    <w:pPr>
      <w:keepNext/>
      <w:keepLines/>
      <w:numPr>
        <w:ilvl w:val="2"/>
        <w:numId w:val="4"/>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3EAD"/>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3EAD"/>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3EAD"/>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EAD"/>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EAD"/>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EAD"/>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047"/>
    <w:rPr>
      <w:rFonts w:ascii="Arial" w:eastAsiaTheme="majorEastAsia" w:hAnsi="Arial" w:cstheme="majorBidi"/>
      <w:b/>
      <w:color w:val="2F5496" w:themeColor="accent1" w:themeShade="BF"/>
      <w:sz w:val="28"/>
      <w:szCs w:val="40"/>
    </w:rPr>
  </w:style>
  <w:style w:type="character" w:customStyle="1" w:styleId="Heading2Char">
    <w:name w:val="Heading 2 Char"/>
    <w:basedOn w:val="DefaultParagraphFont"/>
    <w:link w:val="Heading2"/>
    <w:uiPriority w:val="9"/>
    <w:rsid w:val="00FA6047"/>
    <w:rPr>
      <w:rFonts w:ascii="Arial" w:eastAsiaTheme="majorEastAsia" w:hAnsi="Arial" w:cstheme="majorBidi"/>
      <w:b/>
      <w:color w:val="2F5496" w:themeColor="accent1" w:themeShade="BF"/>
      <w:sz w:val="26"/>
      <w:szCs w:val="32"/>
    </w:rPr>
  </w:style>
  <w:style w:type="character" w:customStyle="1" w:styleId="Heading3Char">
    <w:name w:val="Heading 3 Char"/>
    <w:basedOn w:val="DefaultParagraphFont"/>
    <w:link w:val="Heading3"/>
    <w:uiPriority w:val="9"/>
    <w:semiHidden/>
    <w:rsid w:val="00953E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3E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3E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3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EAD"/>
    <w:rPr>
      <w:rFonts w:eastAsiaTheme="majorEastAsia" w:cstheme="majorBidi"/>
      <w:color w:val="272727" w:themeColor="text1" w:themeTint="D8"/>
    </w:rPr>
  </w:style>
  <w:style w:type="paragraph" w:styleId="Title">
    <w:name w:val="Title"/>
    <w:basedOn w:val="Normal"/>
    <w:next w:val="Normal"/>
    <w:link w:val="TitleChar"/>
    <w:uiPriority w:val="10"/>
    <w:qFormat/>
    <w:rsid w:val="00953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EAD"/>
    <w:pPr>
      <w:spacing w:before="160"/>
      <w:jc w:val="center"/>
    </w:pPr>
    <w:rPr>
      <w:i/>
      <w:iCs/>
      <w:color w:val="404040" w:themeColor="text1" w:themeTint="BF"/>
    </w:rPr>
  </w:style>
  <w:style w:type="character" w:customStyle="1" w:styleId="QuoteChar">
    <w:name w:val="Quote Char"/>
    <w:basedOn w:val="DefaultParagraphFont"/>
    <w:link w:val="Quote"/>
    <w:uiPriority w:val="29"/>
    <w:rsid w:val="00953EAD"/>
    <w:rPr>
      <w:i/>
      <w:iCs/>
      <w:color w:val="404040" w:themeColor="text1" w:themeTint="BF"/>
    </w:rPr>
  </w:style>
  <w:style w:type="paragraph" w:styleId="ListParagraph">
    <w:name w:val="List Paragraph"/>
    <w:basedOn w:val="Normal"/>
    <w:uiPriority w:val="34"/>
    <w:qFormat/>
    <w:rsid w:val="00953EAD"/>
    <w:pPr>
      <w:ind w:left="720"/>
      <w:contextualSpacing/>
    </w:pPr>
  </w:style>
  <w:style w:type="character" w:styleId="IntenseEmphasis">
    <w:name w:val="Intense Emphasis"/>
    <w:basedOn w:val="DefaultParagraphFont"/>
    <w:uiPriority w:val="21"/>
    <w:qFormat/>
    <w:rsid w:val="00953EAD"/>
    <w:rPr>
      <w:i/>
      <w:iCs/>
      <w:color w:val="2F5496" w:themeColor="accent1" w:themeShade="BF"/>
    </w:rPr>
  </w:style>
  <w:style w:type="paragraph" w:styleId="IntenseQuote">
    <w:name w:val="Intense Quote"/>
    <w:basedOn w:val="Normal"/>
    <w:next w:val="Normal"/>
    <w:link w:val="IntenseQuoteChar"/>
    <w:uiPriority w:val="30"/>
    <w:qFormat/>
    <w:rsid w:val="00953E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3EAD"/>
    <w:rPr>
      <w:i/>
      <w:iCs/>
      <w:color w:val="2F5496" w:themeColor="accent1" w:themeShade="BF"/>
    </w:rPr>
  </w:style>
  <w:style w:type="character" w:styleId="IntenseReference">
    <w:name w:val="Intense Reference"/>
    <w:basedOn w:val="DefaultParagraphFont"/>
    <w:uiPriority w:val="32"/>
    <w:qFormat/>
    <w:rsid w:val="00953EAD"/>
    <w:rPr>
      <w:b/>
      <w:bCs/>
      <w:smallCaps/>
      <w:color w:val="2F5496" w:themeColor="accent1" w:themeShade="BF"/>
      <w:spacing w:val="5"/>
    </w:rPr>
  </w:style>
  <w:style w:type="paragraph" w:styleId="NormalWeb">
    <w:name w:val="Normal (Web)"/>
    <w:basedOn w:val="Normal"/>
    <w:uiPriority w:val="99"/>
    <w:semiHidden/>
    <w:unhideWhenUsed/>
    <w:rsid w:val="00344A45"/>
    <w:rPr>
      <w:rFonts w:ascii="Times New Roman" w:hAnsi="Times New Roman" w:cs="Times New Roman"/>
    </w:rPr>
  </w:style>
  <w:style w:type="paragraph" w:styleId="TOCHeading">
    <w:name w:val="TOC Heading"/>
    <w:basedOn w:val="Heading1"/>
    <w:next w:val="Normal"/>
    <w:uiPriority w:val="39"/>
    <w:unhideWhenUsed/>
    <w:qFormat/>
    <w:rsid w:val="005A444E"/>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5A444E"/>
    <w:pPr>
      <w:spacing w:after="100"/>
    </w:pPr>
  </w:style>
  <w:style w:type="paragraph" w:styleId="TOC2">
    <w:name w:val="toc 2"/>
    <w:basedOn w:val="Normal"/>
    <w:next w:val="Normal"/>
    <w:autoRedefine/>
    <w:uiPriority w:val="39"/>
    <w:unhideWhenUsed/>
    <w:rsid w:val="005A444E"/>
    <w:pPr>
      <w:spacing w:after="100"/>
      <w:ind w:left="240"/>
    </w:pPr>
  </w:style>
  <w:style w:type="character" w:styleId="Hyperlink">
    <w:name w:val="Hyperlink"/>
    <w:basedOn w:val="DefaultParagraphFont"/>
    <w:uiPriority w:val="99"/>
    <w:unhideWhenUsed/>
    <w:rsid w:val="005A444E"/>
    <w:rPr>
      <w:color w:val="0563C1" w:themeColor="hyperlink"/>
      <w:u w:val="single"/>
    </w:rPr>
  </w:style>
  <w:style w:type="character" w:customStyle="1" w:styleId="markedcontent">
    <w:name w:val="markedcontent"/>
    <w:basedOn w:val="DefaultParagraphFont"/>
    <w:rsid w:val="00B3692C"/>
  </w:style>
  <w:style w:type="paragraph" w:styleId="Header">
    <w:name w:val="header"/>
    <w:basedOn w:val="Normal"/>
    <w:link w:val="HeaderChar"/>
    <w:uiPriority w:val="99"/>
    <w:unhideWhenUsed/>
    <w:rsid w:val="003E1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097"/>
  </w:style>
  <w:style w:type="paragraph" w:styleId="Footer">
    <w:name w:val="footer"/>
    <w:basedOn w:val="Normal"/>
    <w:link w:val="FooterChar"/>
    <w:uiPriority w:val="99"/>
    <w:unhideWhenUsed/>
    <w:rsid w:val="003E1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097"/>
  </w:style>
  <w:style w:type="character" w:styleId="Emphasis">
    <w:name w:val="Emphasis"/>
    <w:basedOn w:val="DefaultParagraphFont"/>
    <w:uiPriority w:val="20"/>
    <w:qFormat/>
    <w:rsid w:val="00FA60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4097/zpak7n10" TargetMode="External"/><Relationship Id="rId18" Type="http://schemas.openxmlformats.org/officeDocument/2006/relationships/hyperlink" Target="https://doi.org/10.18282/l-e.v10i7.3002" TargetMode="External"/><Relationship Id="rId26" Type="http://schemas.openxmlformats.org/officeDocument/2006/relationships/hyperlink" Target="https://www.nice.org.uk/guidance/qs50" TargetMode="External"/><Relationship Id="rId3" Type="http://schemas.openxmlformats.org/officeDocument/2006/relationships/styles" Target="styles.xml"/><Relationship Id="rId21" Type="http://schemas.openxmlformats.org/officeDocument/2006/relationships/hyperlink" Target="https://doi.org/10.3389/fpubh.2025.1615088"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38/s41598-025-20385-z" TargetMode="External"/><Relationship Id="rId17" Type="http://schemas.openxmlformats.org/officeDocument/2006/relationships/hyperlink" Target="https://doi.org/10.3389/fpubh.2023.1148758" TargetMode="External"/><Relationship Id="rId25" Type="http://schemas.openxmlformats.org/officeDocument/2006/relationships/hyperlink" Target="https://doi.org/10.3389/fmed.2022.912751"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57/s41285-018-0065-6" TargetMode="External"/><Relationship Id="rId20" Type="http://schemas.openxmlformats.org/officeDocument/2006/relationships/hyperlink" Target="https://doi.org/10.36948/ijfmr.2023.v05i06.9154" TargetMode="External"/><Relationship Id="rId29" Type="http://schemas.openxmlformats.org/officeDocument/2006/relationships/hyperlink" Target="https://doi.org/10.3233/nre-2011-07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adsp.12087" TargetMode="External"/><Relationship Id="rId24" Type="http://schemas.openxmlformats.org/officeDocument/2006/relationships/hyperlink" Target="https://doi.org/10.51622/pengabdian.v3i2.729" TargetMode="External"/><Relationship Id="rId32" Type="http://schemas.openxmlformats.org/officeDocument/2006/relationships/hyperlink" Target="https://doi.org/10.1177/21582440221134089" TargetMode="External"/><Relationship Id="rId5" Type="http://schemas.openxmlformats.org/officeDocument/2006/relationships/webSettings" Target="webSettings.xml"/><Relationship Id="rId15" Type="http://schemas.openxmlformats.org/officeDocument/2006/relationships/hyperlink" Target="https://doi.org/10.33790/jphip1100170" TargetMode="External"/><Relationship Id="rId23" Type="http://schemas.openxmlformats.org/officeDocument/2006/relationships/hyperlink" Target="https://doi.org/10.3389/fpubh.2025.1627983" TargetMode="External"/><Relationship Id="rId28" Type="http://schemas.openxmlformats.org/officeDocument/2006/relationships/hyperlink" Target="https://doi.org/10.31851/esteem.v8i1.17645" TargetMode="External"/><Relationship Id="rId10" Type="http://schemas.openxmlformats.org/officeDocument/2006/relationships/hyperlink" Target="http://www.asecib.ase.ro/mps/Bandura_SocialLearningTheory.pdf" TargetMode="External"/><Relationship Id="rId19" Type="http://schemas.openxmlformats.org/officeDocument/2006/relationships/hyperlink" Target="https://doi.org/10.33545/26174693.2024.v8.i3sd.784" TargetMode="External"/><Relationship Id="rId31" Type="http://schemas.openxmlformats.org/officeDocument/2006/relationships/hyperlink" Target="https://www.who.int/news-room/fact-sheets/detail/mental-health-of-older-adults" TargetMode="External"/><Relationship Id="rId4" Type="http://schemas.openxmlformats.org/officeDocument/2006/relationships/settings" Target="settings.xml"/><Relationship Id="rId9" Type="http://schemas.openxmlformats.org/officeDocument/2006/relationships/hyperlink" Target="https://doi.org/10.1016/b978-0-12-077150-9.50017-4" TargetMode="External"/><Relationship Id="rId14" Type="http://schemas.openxmlformats.org/officeDocument/2006/relationships/hyperlink" Target="https://doi.org/10.1002/pfi.21963" TargetMode="External"/><Relationship Id="rId22" Type="http://schemas.openxmlformats.org/officeDocument/2006/relationships/hyperlink" Target="https://doi.org/10.36088/alsys.v1i1.16" TargetMode="External"/><Relationship Id="rId27" Type="http://schemas.openxmlformats.org/officeDocument/2006/relationships/hyperlink" Target="https://doi.org/10.1007/s40520-024-02908-2" TargetMode="External"/><Relationship Id="rId30" Type="http://schemas.openxmlformats.org/officeDocument/2006/relationships/hyperlink" Target="https://doi.org/10.3389/fpsyg.2023.1233925"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3EAD4-A2B9-4037-B362-0C5728DE2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10</Pages>
  <Words>3036</Words>
  <Characters>17306</Characters>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2025-11-14T09:50:00Z</dcterms:created>
  <dcterms:modified xsi:type="dcterms:W3CDTF">2025-11-17T17:32:00Z</dcterms:modified>
</cp:coreProperties>
</file>