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b w:val="1"/>
          <w:bCs w:val="1"/>
          <w:color w:val="1f4e79"/>
          <w:sz w:val="40"/>
          <w:szCs w:val="40"/>
          <w:rtl w:val="0"/>
        </w:rPr>
        <w:t xml:space="preserve">PROJECT PROPOSAL</w:t>
      </w:r>
      <w:r w:rsidDel="00000000" w:rsidR="00000000" w:rsidRPr="00000000">
        <w:rPr>
          <w:rtl w:val="0"/>
        </w:rPr>
      </w:r>
    </w:p>
    <w:p w:rsidR="00000000" w:rsidDel="00000000" w:rsidP="00000000" w:rsidRDefault="00000000" w:rsidRPr="00000000" w14:paraId="00000002">
      <w:pPr>
        <w:jc w:val="center"/>
        <w:rPr>
          <w:i w:val="1"/>
          <w:iCs w:val="1"/>
          <w:sz w:val="22"/>
          <w:szCs w:val="22"/>
        </w:rPr>
      </w:pPr>
      <w:r w:rsidDel="00000000" w:rsidR="00000000" w:rsidRPr="00000000">
        <w:rPr>
          <w:i w:val="1"/>
          <w:iCs w:val="1"/>
          <w:sz w:val="22"/>
          <w:szCs w:val="22"/>
          <w:rtl w:val="0"/>
        </w:rPr>
        <w:t xml:space="preserve">Dementia and Person-Centred Care</w:t>
      </w:r>
    </w:p>
    <w:p w:rsidR="00000000" w:rsidDel="00000000" w:rsidP="00000000" w:rsidRDefault="00000000" w:rsidRPr="00000000" w14:paraId="00000003">
      <w:pPr>
        <w:jc w:val="center"/>
        <w:rPr>
          <w:i w:val="1"/>
          <w:iCs w:val="1"/>
          <w:sz w:val="22"/>
          <w:szCs w:val="22"/>
        </w:rPr>
      </w:pPr>
      <w:r w:rsidDel="00000000" w:rsidR="00000000" w:rsidRPr="00000000">
        <w:rPr>
          <w:rtl w:val="0"/>
        </w:rPr>
      </w:r>
    </w:p>
    <w:tbl>
      <w:tblPr>
        <w:tblStyle w:val="Table1"/>
        <w:tblW w:w="9936.0" w:type="dxa"/>
        <w:jc w:val="center"/>
        <w:tblLayout w:type="fixed"/>
        <w:tblLook w:val="0400"/>
      </w:tblPr>
      <w:tblGrid>
        <w:gridCol w:w="4968"/>
        <w:gridCol w:w="4968"/>
        <w:tblGridChange w:id="0">
          <w:tblGrid>
            <w:gridCol w:w="4968"/>
            <w:gridCol w:w="4968"/>
          </w:tblGrid>
        </w:tblGridChange>
      </w:tblGrid>
      <w:tr>
        <w:trPr>
          <w:cantSplit w:val="0"/>
          <w:tblHeader w:val="0"/>
        </w:trPr>
        <w:tc>
          <w:tcPr>
            <w:shd w:fill="d9eaf7" w:val="clear"/>
          </w:tcPr>
          <w:p w:rsidR="00000000" w:rsidDel="00000000" w:rsidP="00000000" w:rsidRDefault="00000000" w:rsidRPr="00000000" w14:paraId="00000004">
            <w:pPr>
              <w:rPr/>
            </w:pPr>
            <w:r w:rsidDel="00000000" w:rsidR="00000000" w:rsidRPr="00000000">
              <w:rPr>
                <w:b w:val="1"/>
                <w:bCs w:val="1"/>
                <w:color w:val="1f4e79"/>
                <w:rtl w:val="0"/>
              </w:rPr>
              <w:t xml:space="preserve">Student Name</w:t>
            </w:r>
            <w:r w:rsidDel="00000000" w:rsidR="00000000" w:rsidRPr="00000000">
              <w:rPr>
                <w:rtl w:val="0"/>
              </w:rPr>
            </w:r>
          </w:p>
        </w:tc>
        <w:tc>
          <w:tcPr>
            <w:shd w:fill="d9eaf7" w:val="clear"/>
          </w:tcPr>
          <w:p w:rsidR="00000000" w:rsidDel="00000000" w:rsidP="00000000" w:rsidRDefault="00000000" w:rsidRPr="00000000" w14:paraId="00000005">
            <w:pPr>
              <w:rPr/>
            </w:pPr>
            <w:r w:rsidDel="00000000" w:rsidR="00000000" w:rsidRPr="00000000">
              <w:rPr>
                <w:rtl w:val="0"/>
              </w:rPr>
              <w:t xml:space="preserve">Majida Waseem</w:t>
            </w:r>
          </w:p>
        </w:tc>
      </w:tr>
      <w:tr>
        <w:trPr>
          <w:cantSplit w:val="0"/>
          <w:tblHeader w:val="0"/>
        </w:trPr>
        <w:tc>
          <w:tcPr>
            <w:shd w:fill="d9eaf7" w:val="clear"/>
          </w:tcPr>
          <w:p w:rsidR="00000000" w:rsidDel="00000000" w:rsidP="00000000" w:rsidRDefault="00000000" w:rsidRPr="00000000" w14:paraId="00000006">
            <w:pPr>
              <w:rPr/>
            </w:pPr>
            <w:r w:rsidDel="00000000" w:rsidR="00000000" w:rsidRPr="00000000">
              <w:rPr>
                <w:b w:val="1"/>
                <w:bCs w:val="1"/>
                <w:color w:val="1f4e79"/>
                <w:rtl w:val="0"/>
              </w:rPr>
              <w:t xml:space="preserve">Student ID</w:t>
            </w:r>
            <w:r w:rsidDel="00000000" w:rsidR="00000000" w:rsidRPr="00000000">
              <w:rPr>
                <w:rtl w:val="0"/>
              </w:rPr>
            </w:r>
          </w:p>
        </w:tc>
        <w:tc>
          <w:tcPr>
            <w:shd w:fill="d9eaf7" w:val="clear"/>
          </w:tcPr>
          <w:p w:rsidR="00000000" w:rsidDel="00000000" w:rsidP="00000000" w:rsidRDefault="00000000" w:rsidRPr="00000000" w14:paraId="00000007">
            <w:pPr>
              <w:rPr/>
            </w:pPr>
            <w:r w:rsidDel="00000000" w:rsidR="00000000" w:rsidRPr="00000000">
              <w:rPr>
                <w:rtl w:val="0"/>
              </w:rPr>
              <w:t xml:space="preserve">2321115</w:t>
            </w:r>
          </w:p>
        </w:tc>
      </w:tr>
    </w:tbl>
    <w:p w:rsidR="00000000" w:rsidDel="00000000" w:rsidP="00000000" w:rsidRDefault="00000000" w:rsidRPr="00000000" w14:paraId="00000008">
      <w:pPr>
        <w:pStyle w:val="Heading1"/>
        <w:rPr/>
      </w:pPr>
      <w:r w:rsidDel="00000000" w:rsidR="00000000" w:rsidRPr="00000000">
        <w:rPr>
          <w:rtl w:val="0"/>
        </w:rPr>
        <w:t xml:space="preserve">Project title</w:t>
      </w:r>
    </w:p>
    <w:p w:rsidR="00000000" w:rsidDel="00000000" w:rsidP="00000000" w:rsidRDefault="00000000" w:rsidRPr="00000000" w14:paraId="00000009">
      <w:pPr>
        <w:jc w:val="center"/>
        <w:rPr/>
      </w:pPr>
      <w:r w:rsidDel="00000000" w:rsidR="00000000" w:rsidRPr="00000000">
        <w:rPr>
          <w:b w:val="1"/>
          <w:bCs w:val="1"/>
          <w:sz w:val="24"/>
          <w:szCs w:val="24"/>
          <w:rtl w:val="0"/>
        </w:rPr>
        <w:t xml:space="preserve">The Impact of Person-Centred Care on the Quality of Life of Older Adults Living with Dementia</w:t>
      </w:r>
      <w:r w:rsidDel="00000000" w:rsidR="00000000" w:rsidRPr="00000000">
        <w:rPr>
          <w:rtl w:val="0"/>
        </w:rPr>
      </w:r>
    </w:p>
    <w:p w:rsidR="00000000" w:rsidDel="00000000" w:rsidP="00000000" w:rsidRDefault="00000000" w:rsidRPr="00000000" w14:paraId="0000000A">
      <w:pPr>
        <w:pStyle w:val="Heading1"/>
        <w:rPr/>
      </w:pPr>
      <w:r w:rsidDel="00000000" w:rsidR="00000000" w:rsidRPr="00000000">
        <w:rPr>
          <w:rtl w:val="0"/>
        </w:rPr>
        <w:t xml:space="preserve">1) Aim</w:t>
      </w:r>
    </w:p>
    <w:p w:rsidR="00000000" w:rsidDel="00000000" w:rsidP="00000000" w:rsidRDefault="00000000" w:rsidRPr="00000000" w14:paraId="0000000B">
      <w:pPr>
        <w:jc w:val="both"/>
        <w:rPr/>
      </w:pPr>
      <w:r w:rsidDel="00000000" w:rsidR="00000000" w:rsidRPr="00000000">
        <w:rPr>
          <w:rtl w:val="0"/>
        </w:rPr>
        <w:t xml:space="preserve">The project will explore the potential for person-centred care to improve outcomes for older people with dementia. The project will concentrate on how individualised support, open communication, dignity preservation, individual decision making and active involvement can support emotional, social and physical wellbeing within services for health and social care. </w:t>
      </w:r>
    </w:p>
    <w:p w:rsidR="00000000" w:rsidDel="00000000" w:rsidP="00000000" w:rsidRDefault="00000000" w:rsidRPr="00000000" w14:paraId="0000000C">
      <w:pPr>
        <w:pStyle w:val="Heading1"/>
        <w:rPr/>
      </w:pPr>
      <w:r w:rsidDel="00000000" w:rsidR="00000000" w:rsidRPr="00000000">
        <w:rPr>
          <w:rtl w:val="0"/>
        </w:rPr>
        <w:t xml:space="preserve">2) Objectives</w:t>
      </w:r>
    </w:p>
    <w:p w:rsidR="00000000" w:rsidDel="00000000" w:rsidP="00000000" w:rsidRDefault="00000000" w:rsidRPr="00000000" w14:paraId="0000000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afterAutospacing="0" w:before="0" w:line="259" w:lineRule="auto"/>
        <w:ind w:left="720" w:right="0" w:hanging="360"/>
        <w:jc w:val="left"/>
        <w:rPr>
          <w:u w:val="none"/>
        </w:rPr>
      </w:pPr>
      <w:r w:rsidDel="00000000" w:rsidR="00000000" w:rsidRPr="00000000">
        <w:rPr>
          <w:rtl w:val="0"/>
        </w:rPr>
        <w:t xml:space="preserve">Explaining what dementia is and the impact it has on the health, wellbeing and daily lives of older people </w:t>
      </w:r>
    </w:p>
    <w:p w:rsidR="00000000" w:rsidDel="00000000" w:rsidP="00000000" w:rsidRDefault="00000000" w:rsidRPr="00000000" w14:paraId="0000000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afterAutospacing="0" w:before="0" w:line="259" w:lineRule="auto"/>
        <w:ind w:left="720" w:right="0" w:hanging="360"/>
        <w:jc w:val="left"/>
        <w:rPr>
          <w:u w:val="none"/>
        </w:rPr>
      </w:pPr>
      <w:r w:rsidDel="00000000" w:rsidR="00000000" w:rsidRPr="00000000">
        <w:rPr>
          <w:rtl w:val="0"/>
        </w:rPr>
        <w:t xml:space="preserve">To define person-centred dementia care and explain the principles underlying it and why they are as important in care environments. </w:t>
      </w:r>
    </w:p>
    <w:p w:rsidR="00000000" w:rsidDel="00000000" w:rsidP="00000000" w:rsidRDefault="00000000" w:rsidRPr="00000000" w14:paraId="0000000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afterAutospacing="0" w:before="0" w:line="259" w:lineRule="auto"/>
        <w:ind w:left="720" w:right="0" w:hanging="360"/>
        <w:jc w:val="left"/>
        <w:rPr>
          <w:u w:val="none"/>
        </w:rPr>
      </w:pPr>
      <w:r w:rsidDel="00000000" w:rsidR="00000000" w:rsidRPr="00000000">
        <w:rPr>
          <w:rtl w:val="0"/>
        </w:rPr>
        <w:t xml:space="preserve">To synthesise the evidence on the impact of person-centred approaches on quality of life, dignity, independence and emotional wellness for individuals with dementia. </w:t>
      </w:r>
    </w:p>
    <w:p w:rsidR="00000000" w:rsidDel="00000000" w:rsidP="00000000" w:rsidRDefault="00000000" w:rsidRPr="00000000" w14:paraId="0000001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00" w:before="0" w:line="259" w:lineRule="auto"/>
        <w:ind w:left="720" w:right="0" w:hanging="360"/>
        <w:jc w:val="left"/>
        <w:rPr>
          <w:u w:val="none"/>
        </w:rPr>
      </w:pPr>
      <w:r w:rsidDel="00000000" w:rsidR="00000000" w:rsidRPr="00000000">
        <w:rPr>
          <w:rtl w:val="0"/>
        </w:rPr>
        <w:t xml:space="preserve">Identifying obstacles to effective person-centred care and proposing evidence-based strategies to enhance care. </w:t>
      </w:r>
      <w:r w:rsidDel="00000000" w:rsidR="00000000" w:rsidRPr="00000000">
        <w:rPr>
          <w:rtl w:val="0"/>
        </w:rPr>
      </w:r>
    </w:p>
    <w:p w:rsidR="00000000" w:rsidDel="00000000" w:rsidP="00000000" w:rsidRDefault="00000000" w:rsidRPr="00000000" w14:paraId="00000011">
      <w:pPr>
        <w:pStyle w:val="Heading1"/>
        <w:rPr/>
      </w:pPr>
      <w:r w:rsidDel="00000000" w:rsidR="00000000" w:rsidRPr="00000000">
        <w:rPr>
          <w:rtl w:val="0"/>
        </w:rPr>
        <w:t xml:space="preserve">3) Rationale</w:t>
      </w:r>
    </w:p>
    <w:p w:rsidR="00000000" w:rsidDel="00000000" w:rsidP="00000000" w:rsidRDefault="00000000" w:rsidRPr="00000000" w14:paraId="00000012">
      <w:pPr>
        <w:jc w:val="both"/>
        <w:rPr/>
      </w:pPr>
      <w:r w:rsidDel="00000000" w:rsidR="00000000" w:rsidRPr="00000000">
        <w:rPr>
          <w:rtl w:val="0"/>
        </w:rPr>
        <w:t xml:space="preserve">Dementia is a progressive cognitive impairment disease in which the person experiences memory loss, changes in thinking, behaviour and in day to day activity performing capabilities (World Health Organization, 2025). Dementia largely impacts older people, and could severely affect anyone’s independence, relationships and overall quality of life. The impact of dementia continues to grow with ever greater numbers of individuals affected, their caregivers, and the systems of health and social care (Alzheimer’s Society, 2024).</w:t>
      </w:r>
    </w:p>
    <w:p w:rsidR="00000000" w:rsidDel="00000000" w:rsidP="00000000" w:rsidRDefault="00000000" w:rsidRPr="00000000" w14:paraId="00000013">
      <w:pPr>
        <w:jc w:val="both"/>
        <w:rPr/>
      </w:pPr>
      <w:r w:rsidDel="00000000" w:rsidR="00000000" w:rsidRPr="00000000">
        <w:rPr>
          <w:rtl w:val="0"/>
        </w:rPr>
        <w:t xml:space="preserve">Person-centred care considers each individual with dementia as a unique person and it is not used to describe, or label people by their diagnosis but instead reflects people’s preferences, life history, values and needs. Individuals with dementia have a right to care that aids their personal choice, participation, autonomy, and well-being (NICE, 2018). There is some indication to support that person-centered interventions can improve quality of life and may reduce behavioural and psychological symptoms in dementia (Kim and Park, 2017). Therefore, when considering dignity, well being and positive experiences of care, it is essential that person centred care for people with dementia is assessed for effectiveness. </w:t>
      </w:r>
    </w:p>
    <w:p w:rsidR="00000000" w:rsidDel="00000000" w:rsidP="00000000" w:rsidRDefault="00000000" w:rsidRPr="00000000" w14:paraId="00000014">
      <w:pPr>
        <w:jc w:val="both"/>
        <w:rPr/>
      </w:pPr>
      <w:r w:rsidDel="00000000" w:rsidR="00000000" w:rsidRPr="00000000">
        <w:rPr>
          <w:rtl w:val="0"/>
        </w:rPr>
      </w:r>
    </w:p>
    <w:p w:rsidR="00000000" w:rsidDel="00000000" w:rsidP="00000000" w:rsidRDefault="00000000" w:rsidRPr="00000000" w14:paraId="00000015">
      <w:pPr>
        <w:pStyle w:val="Heading1"/>
        <w:rPr/>
      </w:pPr>
      <w:r w:rsidDel="00000000" w:rsidR="00000000" w:rsidRPr="00000000">
        <w:rPr>
          <w:rtl w:val="0"/>
        </w:rPr>
        <w:t xml:space="preserve">4) Methods</w:t>
      </w:r>
    </w:p>
    <w:p w:rsidR="00000000" w:rsidDel="00000000" w:rsidP="00000000" w:rsidRDefault="00000000" w:rsidRPr="00000000" w14:paraId="00000016">
      <w:pPr>
        <w:jc w:val="both"/>
        <w:rPr/>
      </w:pPr>
      <w:r w:rsidDel="00000000" w:rsidR="00000000" w:rsidRPr="00000000">
        <w:rPr>
          <w:rtl w:val="0"/>
        </w:rPr>
        <w:t xml:space="preserve">This study is a secondary analysis and will not involve any collection of primary data from participants. The information will be obtained from the following sources: journal articles which have been reviewed by peers, systematic reviews, government publications, reports of recognised health organisations and professional guidance. Mainly on the basis of relevance, credibility and status; some key previous studies may be included where necessary. </w:t>
      </w:r>
    </w:p>
    <w:p w:rsidR="00000000" w:rsidDel="00000000" w:rsidP="00000000" w:rsidRDefault="00000000" w:rsidRPr="00000000" w14:paraId="00000017">
      <w:pPr>
        <w:pStyle w:val="Heading1"/>
        <w:rPr/>
      </w:pPr>
      <w:r w:rsidDel="00000000" w:rsidR="00000000" w:rsidRPr="00000000">
        <w:rPr>
          <w:rtl w:val="0"/>
        </w:rPr>
        <w:t xml:space="preserve">5) Resources</w:t>
      </w:r>
    </w:p>
    <w:p w:rsidR="00000000" w:rsidDel="00000000" w:rsidP="00000000" w:rsidRDefault="00000000" w:rsidRPr="00000000" w14:paraId="000000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pPr>
      <w:r w:rsidDel="00000000" w:rsidR="00000000" w:rsidRPr="00000000">
        <w:rPr>
          <w:rFonts w:ascii="Aptos" w:cs="Aptos" w:eastAsia="Aptos" w:hAnsi="Aptos"/>
          <w:b w:val="0"/>
          <w:bCs w:val="0"/>
          <w:i w:val="0"/>
          <w:iCs w:val="0"/>
          <w:smallCaps w:val="0"/>
          <w:strike w:val="0"/>
          <w:color w:val="000000"/>
          <w:sz w:val="21"/>
          <w:szCs w:val="21"/>
          <w:u w:val="none"/>
          <w:shd w:fill="auto" w:val="clear"/>
          <w:vertAlign w:val="baseline"/>
          <w:rtl w:val="0"/>
        </w:rPr>
        <w:t xml:space="preserve">Google Scholar, PubMed, CINAHL and Web of Science.</w:t>
      </w:r>
    </w:p>
    <w:p w:rsidR="00000000" w:rsidDel="00000000" w:rsidP="00000000" w:rsidRDefault="00000000" w:rsidRPr="00000000" w14:paraId="0000001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pPr>
      <w:r w:rsidDel="00000000" w:rsidR="00000000" w:rsidRPr="00000000">
        <w:rPr>
          <w:rFonts w:ascii="Aptos" w:cs="Aptos" w:eastAsia="Aptos" w:hAnsi="Aptos"/>
          <w:b w:val="0"/>
          <w:bCs w:val="0"/>
          <w:i w:val="0"/>
          <w:iCs w:val="0"/>
          <w:smallCaps w:val="0"/>
          <w:strike w:val="0"/>
          <w:color w:val="000000"/>
          <w:sz w:val="21"/>
          <w:szCs w:val="21"/>
          <w:u w:val="none"/>
          <w:shd w:fill="auto" w:val="clear"/>
          <w:vertAlign w:val="baseline"/>
          <w:rtl w:val="0"/>
        </w:rPr>
        <w:t xml:space="preserve">University Library Access</w:t>
      </w:r>
    </w:p>
    <w:p w:rsidR="00000000" w:rsidDel="00000000" w:rsidP="00000000" w:rsidRDefault="00000000" w:rsidRPr="00000000" w14:paraId="0000001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pPr>
      <w:r w:rsidDel="00000000" w:rsidR="00000000" w:rsidRPr="00000000">
        <w:rPr>
          <w:rFonts w:ascii="Aptos" w:cs="Aptos" w:eastAsia="Aptos" w:hAnsi="Aptos"/>
          <w:b w:val="0"/>
          <w:bCs w:val="0"/>
          <w:i w:val="0"/>
          <w:iCs w:val="0"/>
          <w:smallCaps w:val="0"/>
          <w:strike w:val="0"/>
          <w:color w:val="000000"/>
          <w:sz w:val="21"/>
          <w:szCs w:val="21"/>
          <w:u w:val="none"/>
          <w:shd w:fill="auto" w:val="clear"/>
          <w:vertAlign w:val="baseline"/>
          <w:rtl w:val="0"/>
        </w:rPr>
        <w:t xml:space="preserve">NICE, NHS resources</w:t>
      </w:r>
    </w:p>
    <w:p w:rsidR="00000000" w:rsidDel="00000000" w:rsidP="00000000" w:rsidRDefault="00000000" w:rsidRPr="00000000" w14:paraId="0000001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pPr>
      <w:r w:rsidDel="00000000" w:rsidR="00000000" w:rsidRPr="00000000">
        <w:rPr>
          <w:rFonts w:ascii="Aptos" w:cs="Aptos" w:eastAsia="Aptos" w:hAnsi="Aptos"/>
          <w:b w:val="0"/>
          <w:bCs w:val="0"/>
          <w:i w:val="0"/>
          <w:iCs w:val="0"/>
          <w:smallCaps w:val="0"/>
          <w:strike w:val="0"/>
          <w:color w:val="000000"/>
          <w:sz w:val="21"/>
          <w:szCs w:val="21"/>
          <w:u w:val="none"/>
          <w:shd w:fill="auto" w:val="clear"/>
          <w:vertAlign w:val="baseline"/>
          <w:rtl w:val="0"/>
        </w:rPr>
        <w:t xml:space="preserve">WHO and Alzheimer’s Society documents.</w:t>
      </w:r>
    </w:p>
    <w:p w:rsidR="00000000" w:rsidDel="00000000" w:rsidP="00000000" w:rsidRDefault="00000000" w:rsidRPr="00000000" w14:paraId="000000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00" w:before="0" w:line="259" w:lineRule="auto"/>
        <w:ind w:left="360" w:right="0" w:hanging="360"/>
        <w:jc w:val="left"/>
        <w:rPr/>
      </w:pPr>
      <w:r w:rsidDel="00000000" w:rsidR="00000000" w:rsidRPr="00000000">
        <w:rPr>
          <w:rFonts w:ascii="Aptos" w:cs="Aptos" w:eastAsia="Aptos" w:hAnsi="Aptos"/>
          <w:b w:val="0"/>
          <w:bCs w:val="0"/>
          <w:i w:val="0"/>
          <w:iCs w:val="0"/>
          <w:smallCaps w:val="0"/>
          <w:strike w:val="0"/>
          <w:color w:val="000000"/>
          <w:sz w:val="21"/>
          <w:szCs w:val="21"/>
          <w:u w:val="none"/>
          <w:shd w:fill="auto" w:val="clear"/>
          <w:vertAlign w:val="baseline"/>
          <w:rtl w:val="0"/>
        </w:rPr>
        <w:t xml:space="preserve">Resources for Word and References</w:t>
      </w:r>
    </w:p>
    <w:p w:rsidR="00000000" w:rsidDel="00000000" w:rsidP="00000000" w:rsidRDefault="00000000" w:rsidRPr="00000000" w14:paraId="0000001D">
      <w:pPr>
        <w:pStyle w:val="Heading1"/>
        <w:rPr/>
      </w:pPr>
      <w:r w:rsidDel="00000000" w:rsidR="00000000" w:rsidRPr="00000000">
        <w:rPr>
          <w:rtl w:val="0"/>
        </w:rPr>
        <w:t xml:space="preserve">6) Timescale</w:t>
      </w:r>
    </w:p>
    <w:tbl>
      <w:tblPr>
        <w:tblStyle w:val="Table2"/>
        <w:tblW w:w="993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968"/>
        <w:gridCol w:w="4968"/>
        <w:tblGridChange w:id="0">
          <w:tblGrid>
            <w:gridCol w:w="4968"/>
            <w:gridCol w:w="4968"/>
          </w:tblGrid>
        </w:tblGridChange>
      </w:tblGrid>
      <w:tr>
        <w:trPr>
          <w:cantSplit w:val="0"/>
          <w:tblHeader w:val="0"/>
        </w:trPr>
        <w:tc>
          <w:tcPr>
            <w:shd w:fill="1f4e79" w:val="clear"/>
          </w:tcPr>
          <w:p w:rsidR="00000000" w:rsidDel="00000000" w:rsidP="00000000" w:rsidRDefault="00000000" w:rsidRPr="00000000" w14:paraId="0000001E">
            <w:pPr>
              <w:rPr/>
            </w:pPr>
            <w:r w:rsidDel="00000000" w:rsidR="00000000" w:rsidRPr="00000000">
              <w:rPr>
                <w:b w:val="1"/>
                <w:bCs w:val="1"/>
                <w:color w:val="ffffff"/>
                <w:rtl w:val="0"/>
              </w:rPr>
              <w:t xml:space="preserve">Period</w:t>
            </w:r>
            <w:r w:rsidDel="00000000" w:rsidR="00000000" w:rsidRPr="00000000">
              <w:rPr>
                <w:rtl w:val="0"/>
              </w:rPr>
            </w:r>
          </w:p>
        </w:tc>
        <w:tc>
          <w:tcPr>
            <w:shd w:fill="1f4e79" w:val="clear"/>
          </w:tcPr>
          <w:p w:rsidR="00000000" w:rsidDel="00000000" w:rsidP="00000000" w:rsidRDefault="00000000" w:rsidRPr="00000000" w14:paraId="0000001F">
            <w:pPr>
              <w:rPr/>
            </w:pPr>
            <w:r w:rsidDel="00000000" w:rsidR="00000000" w:rsidRPr="00000000">
              <w:rPr>
                <w:b w:val="1"/>
                <w:bCs w:val="1"/>
                <w:color w:val="ffffff"/>
                <w:rtl w:val="0"/>
              </w:rPr>
              <w:t xml:space="preserve">Activity</w:t>
            </w:r>
            <w:r w:rsidDel="00000000" w:rsidR="00000000" w:rsidRPr="00000000">
              <w:rPr>
                <w:rtl w:val="0"/>
              </w:rPr>
            </w:r>
          </w:p>
        </w:tc>
      </w:tr>
      <w:tr>
        <w:trPr>
          <w:cantSplit w:val="0"/>
          <w:tblHeader w:val="0"/>
        </w:trPr>
        <w:tc>
          <w:tcPr/>
          <w:p w:rsidR="00000000" w:rsidDel="00000000" w:rsidP="00000000" w:rsidRDefault="00000000" w:rsidRPr="00000000" w14:paraId="00000020">
            <w:pPr>
              <w:rPr/>
            </w:pPr>
            <w:r w:rsidDel="00000000" w:rsidR="00000000" w:rsidRPr="00000000">
              <w:rPr>
                <w:rtl w:val="0"/>
              </w:rPr>
              <w:t xml:space="preserve">Week 1</w:t>
            </w:r>
          </w:p>
        </w:tc>
        <w:tc>
          <w:tcPr/>
          <w:p w:rsidR="00000000" w:rsidDel="00000000" w:rsidP="00000000" w:rsidRDefault="00000000" w:rsidRPr="00000000" w14:paraId="00000021">
            <w:pPr>
              <w:rPr/>
            </w:pPr>
            <w:r w:rsidDel="00000000" w:rsidR="00000000" w:rsidRPr="00000000">
              <w:rPr>
                <w:rtl w:val="0"/>
              </w:rPr>
              <w:t xml:space="preserve">Selection and finalisation of a research question and topic.</w:t>
            </w:r>
          </w:p>
        </w:tc>
      </w:tr>
      <w:tr>
        <w:trPr>
          <w:cantSplit w:val="0"/>
          <w:tblHeader w:val="0"/>
        </w:trPr>
        <w:tc>
          <w:tcPr/>
          <w:p w:rsidR="00000000" w:rsidDel="00000000" w:rsidP="00000000" w:rsidRDefault="00000000" w:rsidRPr="00000000" w14:paraId="00000022">
            <w:pPr>
              <w:rPr/>
            </w:pPr>
            <w:r w:rsidDel="00000000" w:rsidR="00000000" w:rsidRPr="00000000">
              <w:rPr>
                <w:rtl w:val="0"/>
              </w:rPr>
              <w:t xml:space="preserve">Weeks 2–3</w:t>
            </w:r>
          </w:p>
        </w:tc>
        <w:tc>
          <w:tcPr/>
          <w:p w:rsidR="00000000" w:rsidDel="00000000" w:rsidP="00000000" w:rsidRDefault="00000000" w:rsidRPr="00000000" w14:paraId="00000023">
            <w:pPr>
              <w:rPr/>
            </w:pPr>
            <w:r w:rsidDel="00000000" w:rsidR="00000000" w:rsidRPr="00000000">
              <w:rPr>
                <w:rtl w:val="0"/>
              </w:rPr>
              <w:t xml:space="preserve">Identify and choose appropriate reading material.</w:t>
            </w:r>
          </w:p>
        </w:tc>
      </w:tr>
      <w:tr>
        <w:trPr>
          <w:cantSplit w:val="0"/>
          <w:tblHeader w:val="0"/>
        </w:trPr>
        <w:tc>
          <w:tcPr/>
          <w:p w:rsidR="00000000" w:rsidDel="00000000" w:rsidP="00000000" w:rsidRDefault="00000000" w:rsidRPr="00000000" w14:paraId="00000024">
            <w:pPr>
              <w:rPr/>
            </w:pPr>
            <w:r w:rsidDel="00000000" w:rsidR="00000000" w:rsidRPr="00000000">
              <w:rPr>
                <w:rtl w:val="0"/>
              </w:rPr>
              <w:t xml:space="preserve">Weeks 4–5</w:t>
            </w:r>
          </w:p>
        </w:tc>
        <w:tc>
          <w:tcPr/>
          <w:p w:rsidR="00000000" w:rsidDel="00000000" w:rsidP="00000000" w:rsidRDefault="00000000" w:rsidRPr="00000000" w14:paraId="00000025">
            <w:pPr>
              <w:rPr/>
            </w:pPr>
            <w:r w:rsidDel="00000000" w:rsidR="00000000" w:rsidRPr="00000000">
              <w:rPr>
                <w:rtl w:val="0"/>
              </w:rPr>
              <w:t xml:space="preserve">Analyse findings and search for patterns.</w:t>
            </w:r>
          </w:p>
        </w:tc>
      </w:tr>
      <w:tr>
        <w:trPr>
          <w:cantSplit w:val="0"/>
          <w:tblHeader w:val="0"/>
        </w:trPr>
        <w:tc>
          <w:tcPr/>
          <w:p w:rsidR="00000000" w:rsidDel="00000000" w:rsidP="00000000" w:rsidRDefault="00000000" w:rsidRPr="00000000" w14:paraId="00000026">
            <w:pPr>
              <w:rPr/>
            </w:pPr>
            <w:r w:rsidDel="00000000" w:rsidR="00000000" w:rsidRPr="00000000">
              <w:rPr>
                <w:rtl w:val="0"/>
              </w:rPr>
              <w:t xml:space="preserve">Weeks 6–7</w:t>
            </w:r>
          </w:p>
        </w:tc>
        <w:tc>
          <w:tcPr/>
          <w:p w:rsidR="00000000" w:rsidDel="00000000" w:rsidP="00000000" w:rsidRDefault="00000000" w:rsidRPr="00000000" w14:paraId="00000027">
            <w:pPr>
              <w:rPr/>
            </w:pPr>
            <w:r w:rsidDel="00000000" w:rsidR="00000000" w:rsidRPr="00000000">
              <w:rPr>
                <w:rtl w:val="0"/>
              </w:rPr>
              <w:t xml:space="preserve">Write the essay.</w:t>
            </w:r>
          </w:p>
        </w:tc>
      </w:tr>
      <w:tr>
        <w:trPr>
          <w:cantSplit w:val="0"/>
          <w:tblHeader w:val="0"/>
        </w:trPr>
        <w:tc>
          <w:tcPr/>
          <w:p w:rsidR="00000000" w:rsidDel="00000000" w:rsidP="00000000" w:rsidRDefault="00000000" w:rsidRPr="00000000" w14:paraId="00000028">
            <w:pPr>
              <w:rPr/>
            </w:pPr>
            <w:r w:rsidDel="00000000" w:rsidR="00000000" w:rsidRPr="00000000">
              <w:rPr>
                <w:rtl w:val="0"/>
              </w:rPr>
              <w:t xml:space="preserve">Week 8</w:t>
            </w:r>
          </w:p>
        </w:tc>
        <w:tc>
          <w:tcPr/>
          <w:p w:rsidR="00000000" w:rsidDel="00000000" w:rsidP="00000000" w:rsidRDefault="00000000" w:rsidRPr="00000000" w14:paraId="00000029">
            <w:pPr>
              <w:rPr/>
            </w:pPr>
            <w:r w:rsidDel="00000000" w:rsidR="00000000" w:rsidRPr="00000000">
              <w:rPr>
                <w:rtl w:val="0"/>
              </w:rPr>
              <w:t xml:space="preserve">Edit, reference &amp; Submit.</w:t>
            </w:r>
          </w:p>
        </w:tc>
      </w:tr>
    </w:tbl>
    <w:p w:rsidR="00000000" w:rsidDel="00000000" w:rsidP="00000000" w:rsidRDefault="00000000" w:rsidRPr="00000000" w14:paraId="0000002A">
      <w:pPr>
        <w:pStyle w:val="Heading1"/>
        <w:rPr/>
      </w:pPr>
      <w:r w:rsidDel="00000000" w:rsidR="00000000" w:rsidRPr="00000000">
        <w:rPr>
          <w:rtl w:val="0"/>
        </w:rPr>
        <w:t xml:space="preserve">7) Self-reflection as researcher</w:t>
      </w:r>
    </w:p>
    <w:p w:rsidR="00000000" w:rsidDel="00000000" w:rsidP="00000000" w:rsidRDefault="00000000" w:rsidRPr="00000000" w14:paraId="0000002B">
      <w:pPr>
        <w:jc w:val="both"/>
        <w:rPr/>
      </w:pPr>
      <w:r w:rsidDel="00000000" w:rsidR="00000000" w:rsidRPr="00000000">
        <w:rPr>
          <w:rtl w:val="0"/>
        </w:rPr>
        <w:t xml:space="preserve">My strengths are I have a passion for health and social care, I have a keen eye for researching a variety of perspectives and I have a knack for putting information into order. The main challenge will be to identify the highest quality evidence from the enormous literature on dementia. This project will help me improve my literature searching skills, critical appraisal skills, academic writing skills and referencing skills. </w:t>
      </w:r>
    </w:p>
    <w:p w:rsidR="00000000" w:rsidDel="00000000" w:rsidP="00000000" w:rsidRDefault="00000000" w:rsidRPr="00000000" w14:paraId="0000002C">
      <w:pPr>
        <w:pStyle w:val="Heading1"/>
        <w:rPr/>
      </w:pPr>
      <w:r w:rsidDel="00000000" w:rsidR="00000000" w:rsidRPr="00000000">
        <w:rPr>
          <w:rtl w:val="0"/>
        </w:rPr>
        <w:t xml:space="preserve">References</w:t>
      </w:r>
    </w:p>
    <w:p w:rsidR="00000000" w:rsidDel="00000000" w:rsidP="00000000" w:rsidRDefault="00000000" w:rsidRPr="00000000" w14:paraId="0000002D">
      <w:pPr>
        <w:ind w:left="360" w:hanging="360"/>
        <w:rPr/>
      </w:pPr>
      <w:r w:rsidDel="00000000" w:rsidR="00000000" w:rsidRPr="00000000">
        <w:rPr>
          <w:rtl w:val="0"/>
        </w:rPr>
        <w:t xml:space="preserve">1. Alzheimer’s Society (2024) What is dementia? London: Alzheimer’s Society.</w:t>
      </w:r>
    </w:p>
    <w:p w:rsidR="00000000" w:rsidDel="00000000" w:rsidP="00000000" w:rsidRDefault="00000000" w:rsidRPr="00000000" w14:paraId="0000002E">
      <w:pPr>
        <w:ind w:left="360" w:hanging="360"/>
        <w:rPr/>
      </w:pPr>
      <w:r w:rsidDel="00000000" w:rsidR="00000000" w:rsidRPr="00000000">
        <w:rPr>
          <w:rtl w:val="0"/>
        </w:rPr>
        <w:t xml:space="preserve">2. British Psychological Society (2021) Code of Human Research Ethics. Leicester: British Psychological Society.</w:t>
      </w:r>
    </w:p>
    <w:p w:rsidR="00000000" w:rsidDel="00000000" w:rsidP="00000000" w:rsidRDefault="00000000" w:rsidRPr="00000000" w14:paraId="0000002F">
      <w:pPr>
        <w:ind w:left="360" w:hanging="360"/>
        <w:rPr/>
      </w:pPr>
      <w:r w:rsidDel="00000000" w:rsidR="00000000" w:rsidRPr="00000000">
        <w:rPr>
          <w:rtl w:val="0"/>
        </w:rPr>
        <w:t xml:space="preserve">3. Kim, S.K. and Park, M. (2017) ‘Effectiveness of person-centered care on people with dementia: a systematic review and meta-analysis’, Clinical Interventions in Aging, 12, pp. 381–397.</w:t>
      </w:r>
    </w:p>
    <w:p w:rsidR="00000000" w:rsidDel="00000000" w:rsidP="00000000" w:rsidRDefault="00000000" w:rsidRPr="00000000" w14:paraId="00000030">
      <w:pPr>
        <w:ind w:left="360" w:hanging="360"/>
        <w:rPr/>
      </w:pPr>
      <w:r w:rsidDel="00000000" w:rsidR="00000000" w:rsidRPr="00000000">
        <w:rPr>
          <w:rtl w:val="0"/>
        </w:rPr>
        <w:t xml:space="preserve">4. National Institute for Health and Care Excellence (NICE) (2018) Dementia: Assessment, Management and Support for People Living with Dementia and Their Carers (NG97). London: NICE.</w:t>
      </w:r>
    </w:p>
    <w:p w:rsidR="00000000" w:rsidDel="00000000" w:rsidP="00000000" w:rsidRDefault="00000000" w:rsidRPr="00000000" w14:paraId="00000031">
      <w:pPr>
        <w:ind w:left="360" w:hanging="360"/>
        <w:rPr/>
      </w:pPr>
      <w:r w:rsidDel="00000000" w:rsidR="00000000" w:rsidRPr="00000000">
        <w:rPr>
          <w:rtl w:val="0"/>
        </w:rPr>
        <w:t xml:space="preserve">5. NHS (2023) About dementia. London: National Health Service.</w:t>
      </w:r>
    </w:p>
    <w:p w:rsidR="00000000" w:rsidDel="00000000" w:rsidP="00000000" w:rsidRDefault="00000000" w:rsidRPr="00000000" w14:paraId="00000032">
      <w:pPr>
        <w:ind w:left="360" w:hanging="360"/>
        <w:rPr/>
      </w:pPr>
      <w:r w:rsidDel="00000000" w:rsidR="00000000" w:rsidRPr="00000000">
        <w:rPr>
          <w:rtl w:val="0"/>
        </w:rPr>
        <w:t xml:space="preserve">6. World Health Organization (2025) Dementia. Geneva: World Health Organization.</w:t>
      </w:r>
    </w:p>
    <w:sectPr>
      <w:footerReference r:id="rId6" w:type="default"/>
      <w:pgSz w:h="15840" w:w="12240" w:orient="portrait"/>
      <w:pgMar w:bottom="936" w:top="936" w:left="1152" w:right="115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1"/>
        <w:szCs w:val="21"/>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1"/>
        <w:szCs w:val="21"/>
        <w:lang w:val="en"/>
      </w:rPr>
    </w:rPrDefault>
    <w:pPrDefault>
      <w:pPr>
        <w:spacing w:after="10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Play" w:cs="Play" w:eastAsia="Play" w:hAnsi="Play"/>
      <w:b w:val="1"/>
      <w:bCs w:val="1"/>
      <w:color w:val="1f4e79"/>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Play" w:cs="Play" w:eastAsia="Play" w:hAnsi="Play"/>
      <w:color w:val="1f4e79"/>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