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4B350" w14:textId="4064FD57" w:rsidR="00D66CDD" w:rsidRPr="00842EBA" w:rsidRDefault="00EF6EA7" w:rsidP="00842EBA">
      <w:pPr>
        <w:pStyle w:val="Heading1"/>
      </w:pPr>
      <w:r w:rsidRPr="00842EBA">
        <w:t>Reflective Evaluation of the Stakeholder Approach in the Digital Strategy of the Welsh Ambulance Services NHS Trust</w:t>
      </w:r>
    </w:p>
    <w:p w14:paraId="6F007FDA" w14:textId="6314794E" w:rsidR="005E6134" w:rsidRPr="00374CFE" w:rsidRDefault="00AF21AF" w:rsidP="005E6134">
      <w:pPr>
        <w:spacing w:after="0"/>
      </w:pPr>
      <w:r w:rsidRPr="00842EBA">
        <w:rPr>
          <w:rStyle w:val="Heading2Char"/>
        </w:rPr>
        <w:t>Introduction:</w:t>
      </w:r>
      <w:r w:rsidRPr="00374CFE">
        <w:br/>
        <w:t>Digital transformation is now a central part of how healthcare systems improve services. It affects how care is delivered, how information is shared, and how patients and staff experience services. In this reflection, I critically evaluate</w:t>
      </w:r>
      <w:r w:rsidR="00F909AE" w:rsidRPr="00374CFE">
        <w:t>d</w:t>
      </w:r>
      <w:r w:rsidR="00271A7C" w:rsidRPr="00374CFE">
        <w:t xml:space="preserve"> </w:t>
      </w:r>
      <w:r w:rsidR="00854BAB" w:rsidRPr="00374CFE">
        <w:t>stakeholder</w:t>
      </w:r>
      <w:r w:rsidR="00271A7C" w:rsidRPr="00374CFE">
        <w:t xml:space="preserve"> en</w:t>
      </w:r>
      <w:r w:rsidR="00326FEB" w:rsidRPr="00374CFE">
        <w:t xml:space="preserve">gagement in </w:t>
      </w:r>
      <w:r w:rsidR="00F909AE" w:rsidRPr="00374CFE">
        <w:t>shaping the</w:t>
      </w:r>
      <w:r w:rsidRPr="00374CFE">
        <w:t xml:space="preserve"> digital transformation strategy of the Welsh Ambulance Services University NHS Trust (WAST).</w:t>
      </w:r>
    </w:p>
    <w:p w14:paraId="39DAE16F" w14:textId="3276F097" w:rsidR="00AF21AF" w:rsidRPr="00374CFE" w:rsidRDefault="00AF21AF" w:rsidP="005E6134">
      <w:pPr>
        <w:spacing w:after="0"/>
      </w:pPr>
      <w:r w:rsidRPr="00374CFE">
        <w:br/>
        <w:t>I underst</w:t>
      </w:r>
      <w:r w:rsidR="00A175C1" w:rsidRPr="00374CFE">
        <w:t>and</w:t>
      </w:r>
      <w:r w:rsidRPr="00374CFE">
        <w:t xml:space="preserve"> digital strategy in healthcare as a socio-technical system. This means that technology, people, and organisational culture are closely connected. They influence each other in practice. In my experience, digital tools alone do not improve services. Change happens when people adopt and use these tools in meaningful ways. This depends on behaviour, trust, training, and workplace culture.</w:t>
      </w:r>
    </w:p>
    <w:p w14:paraId="014D3D18" w14:textId="018A7F4E" w:rsidR="00E11DE3" w:rsidRPr="00374CFE" w:rsidRDefault="00AF21AF" w:rsidP="00E11DE3">
      <w:r w:rsidRPr="00AF21AF">
        <w:t>In emergency healthcare, these factors become even more important. Ambulance staff work in high-pressure environments. They must make quick decisions and communicate clearly with multiple teams. Digital systems must support this work rather than slow it down. If systems do not match real workflows, staff may resist using them or find workarounds. This can reduce effectiveness and safety.</w:t>
      </w:r>
      <w:r w:rsidRPr="00374CFE">
        <w:br/>
      </w:r>
      <w:r w:rsidRPr="00374CFE">
        <w:br/>
      </w:r>
      <w:r w:rsidR="00BD7F4E" w:rsidRPr="00374CFE">
        <w:t>I evaluate</w:t>
      </w:r>
      <w:r w:rsidR="00F909AE" w:rsidRPr="00374CFE">
        <w:t>d</w:t>
      </w:r>
      <w:r w:rsidR="00E11DE3" w:rsidRPr="00374CFE">
        <w:t xml:space="preserve"> the</w:t>
      </w:r>
      <w:r w:rsidRPr="00374CFE">
        <w:t xml:space="preserve"> WAST Digital Plan (2024–</w:t>
      </w:r>
      <w:r w:rsidR="00761004" w:rsidRPr="00374CFE">
        <w:t>2029</w:t>
      </w:r>
      <w:r w:rsidR="00761004" w:rsidRPr="00374CFE">
        <w:rPr>
          <w:rFonts w:ascii="Times New Roman" w:eastAsia="Times New Roman" w:hAnsi="Times New Roman" w:cs="Times New Roman"/>
          <w:kern w:val="0"/>
          <w:lang w:eastAsia="en-GB"/>
          <w14:ligatures w14:val="none"/>
        </w:rPr>
        <w:t>)</w:t>
      </w:r>
      <w:r w:rsidR="00E11DE3" w:rsidRPr="00374CFE">
        <w:t xml:space="preserve"> using stakeholder theory, co-production theory, and public value theory. I </w:t>
      </w:r>
      <w:r w:rsidR="002B7B30" w:rsidRPr="00374CFE">
        <w:t xml:space="preserve">have </w:t>
      </w:r>
      <w:r w:rsidR="00E11DE3" w:rsidRPr="00374CFE">
        <w:t xml:space="preserve">also </w:t>
      </w:r>
      <w:r w:rsidR="00E17B41" w:rsidRPr="00374CFE">
        <w:t>used recent</w:t>
      </w:r>
      <w:r w:rsidR="00E11DE3" w:rsidRPr="00374CFE">
        <w:t xml:space="preserve"> public sector and digital health literature to support my </w:t>
      </w:r>
      <w:r w:rsidR="00595E11" w:rsidRPr="00374CFE">
        <w:t>analysis.</w:t>
      </w:r>
      <w:r w:rsidR="00646277" w:rsidRPr="00374CFE">
        <w:rPr>
          <w:rFonts w:ascii="Times New Roman" w:eastAsia="Times New Roman" w:hAnsi="Times New Roman" w:cs="Times New Roman"/>
          <w:color w:val="000000"/>
          <w:kern w:val="0"/>
          <w:lang w:eastAsia="en-GB"/>
          <w14:ligatures w14:val="none"/>
        </w:rPr>
        <w:t xml:space="preserve"> </w:t>
      </w:r>
    </w:p>
    <w:p w14:paraId="0B2D71E7" w14:textId="669ECE05" w:rsidR="00E11DE3" w:rsidRPr="00E11DE3" w:rsidRDefault="00E11DE3" w:rsidP="00E11DE3">
      <w:r w:rsidRPr="00E11DE3">
        <w:t xml:space="preserve">The strategy shows a clear intention to deliver inclusive digital transformation. It identifies key stakeholders such as frontline staff, patients, leadership teams, and system partners. From a stakeholder theory perspective </w:t>
      </w:r>
      <w:sdt>
        <w:sdtPr>
          <w:rPr>
            <w:rFonts w:ascii="Aptos" w:hAnsi="Aptos"/>
            <w:color w:val="000000"/>
          </w:rPr>
          <w:tag w:val="MENDELEY_CITATION_v3_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"/>
          <w:id w:val="1752930641"/>
          <w:placeholder>
            <w:docPart w:val="DefaultPlaceholder_-1854013440"/>
          </w:placeholder>
        </w:sdtPr>
        <w:sdtContent>
          <w:r w:rsidR="00FF45FA" w:rsidRPr="00FF45FA">
            <w:rPr>
              <w:rFonts w:ascii="Aptos" w:eastAsia="Times New Roman" w:hAnsi="Aptos"/>
              <w:color w:val="000000"/>
            </w:rPr>
            <w:t>(Freeman, 1984; Freeman et al., 2010)</w:t>
          </w:r>
        </w:sdtContent>
      </w:sdt>
      <w:r w:rsidRPr="00E11DE3">
        <w:t>, I understand this as WAST recognising digital transformation as a shared process involving multiple groups rather than a purely technical change.</w:t>
      </w:r>
    </w:p>
    <w:p w14:paraId="223F5372" w14:textId="46083BBC" w:rsidR="00E11DE3" w:rsidRPr="00E11DE3" w:rsidRDefault="00E11DE3" w:rsidP="00E11DE3">
      <w:r w:rsidRPr="00E11DE3">
        <w:t xml:space="preserve">However, </w:t>
      </w:r>
      <w:r w:rsidR="00E17B41" w:rsidRPr="00374CFE">
        <w:t xml:space="preserve">I </w:t>
      </w:r>
      <w:r w:rsidRPr="00E11DE3">
        <w:t>notice</w:t>
      </w:r>
      <w:r w:rsidR="00D264E8" w:rsidRPr="00374CFE">
        <w:t>d</w:t>
      </w:r>
      <w:r w:rsidRPr="00E11DE3">
        <w:t xml:space="preserve"> that stakeholder identification is broad. There is limited detail on how </w:t>
      </w:r>
      <w:r w:rsidR="008C4E9A" w:rsidRPr="00374CFE">
        <w:t>distinct groups</w:t>
      </w:r>
      <w:r w:rsidRPr="00E11DE3">
        <w:t xml:space="preserve"> are segmented or prioritised. Recent digital government research suggests that effective engagement depends on more structured mapping of users and roles </w:t>
      </w:r>
      <w:sdt>
        <w:sdtPr>
          <w:rPr>
            <w:rFonts w:ascii="Aptos" w:hAnsi="Aptos"/>
            <w:color w:val="000000"/>
          </w:rPr>
          <w:tag w:val="MENDELEY_CITATION_v3_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"/>
          <w:id w:val="654187227"/>
          <w:placeholder>
            <w:docPart w:val="DefaultPlaceholder_-1854013440"/>
          </w:placeholder>
        </w:sdtPr>
        <w:sdtContent>
          <w:r w:rsidR="00FF45FA" w:rsidRPr="00FF45FA">
            <w:rPr>
              <w:rFonts w:ascii="Aptos" w:eastAsia="Times New Roman" w:hAnsi="Aptos"/>
              <w:color w:val="000000"/>
            </w:rPr>
            <w:t>(Janssen &amp; others, 2020; Mergel et al., 2019)</w:t>
          </w:r>
        </w:sdtContent>
      </w:sdt>
      <w:r w:rsidRPr="00E11DE3">
        <w:t>.Using co-production theory, I reflect</w:t>
      </w:r>
      <w:r w:rsidR="00595E11" w:rsidRPr="00374CFE">
        <w:t>ed</w:t>
      </w:r>
      <w:r w:rsidRPr="00E11DE3">
        <w:t xml:space="preserve"> on the depth of engagement. Co-production requires shared decision-making and ongoing collaboration, not only consultation </w:t>
      </w:r>
      <w:sdt>
        <w:sdtPr>
          <w:rPr>
            <w:rFonts w:ascii="Aptos" w:hAnsi="Aptos"/>
            <w:color w:val="000000"/>
          </w:rPr>
          <w:tag w:val="MENDELEY_CITATION_v3_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"/>
          <w:id w:val="1368796866"/>
          <w:placeholder>
            <w:docPart w:val="DefaultPlaceholder_-1854013440"/>
          </w:placeholder>
        </w:sdtPr>
        <w:sdtContent>
          <w:r w:rsidR="00FF45FA" w:rsidRPr="00FF45FA">
            <w:rPr>
              <w:rFonts w:ascii="Aptos" w:eastAsia="Times New Roman" w:hAnsi="Aptos"/>
              <w:color w:val="000000"/>
            </w:rPr>
            <w:t xml:space="preserve">(Bovaird &amp; Loeffler, 2012; Osborne &amp; </w:t>
          </w:r>
          <w:r w:rsidR="00FF45FA" w:rsidRPr="00FF45FA">
            <w:rPr>
              <w:rFonts w:ascii="Aptos" w:eastAsia="Times New Roman" w:hAnsi="Aptos"/>
              <w:color w:val="000000"/>
            </w:rPr>
            <w:lastRenderedPageBreak/>
            <w:t>others, 2021)</w:t>
          </w:r>
        </w:sdtContent>
      </w:sdt>
      <w:r w:rsidRPr="00E11DE3">
        <w:t>. In this case, engagement appears more focused on feedback than on joint design or shared strategy development.</w:t>
      </w:r>
    </w:p>
    <w:p w14:paraId="727108D7" w14:textId="1BBA9138" w:rsidR="00E11DE3" w:rsidRPr="00E11DE3" w:rsidRDefault="00E11DE3" w:rsidP="00E11DE3">
      <w:r w:rsidRPr="00E11DE3">
        <w:t xml:space="preserve">From a public value perspective, </w:t>
      </w:r>
      <w:r w:rsidR="005458B6" w:rsidRPr="00374CFE">
        <w:t>I considered</w:t>
      </w:r>
      <w:r w:rsidRPr="00E11DE3">
        <w:t xml:space="preserve"> how far stakeholder involvement shapes outcomes. Public value theory focuses on services that reflect collective needs and priorities </w:t>
      </w:r>
      <w:sdt>
        <w:sdtPr>
          <w:rPr>
            <w:rFonts w:ascii="Aptos" w:hAnsi="Aptos"/>
            <w:color w:val="000000"/>
          </w:rPr>
          <w:tag w:val="MENDELEY_CITATION_v3_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"/>
          <w:id w:val="-878309133"/>
          <w:placeholder>
            <w:docPart w:val="DefaultPlaceholder_-1854013440"/>
          </w:placeholder>
        </w:sdtPr>
        <w:sdtContent>
          <w:r w:rsidR="00FF45FA" w:rsidRPr="00FF45FA">
            <w:rPr>
              <w:rFonts w:ascii="Aptos" w:hAnsi="Aptos"/>
              <w:color w:val="000000"/>
            </w:rPr>
            <w:t>(Moore, 1995)</w:t>
          </w:r>
        </w:sdtContent>
      </w:sdt>
      <w:r w:rsidRPr="00E11DE3">
        <w:t xml:space="preserve">. In digital settings, value is created through collaboration across networks of stakeholders </w:t>
      </w:r>
      <w:sdt>
        <w:sdtPr>
          <w:rPr>
            <w:rFonts w:ascii="Aptos" w:hAnsi="Aptos"/>
            <w:color w:val="000000"/>
          </w:rPr>
          <w:tag w:val="MENDELEY_CITATION_v3_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"/>
          <w:id w:val="-2011758689"/>
          <w:placeholder>
            <w:docPart w:val="DefaultPlaceholder_-1854013440"/>
          </w:placeholder>
        </w:sdtPr>
        <w:sdtContent>
          <w:r w:rsidR="00FF45FA" w:rsidRPr="00FF45FA">
            <w:rPr>
              <w:rFonts w:ascii="Aptos" w:eastAsia="Times New Roman" w:hAnsi="Aptos"/>
              <w:color w:val="000000"/>
            </w:rPr>
            <w:t>(Cordella et.al, 2021)</w:t>
          </w:r>
        </w:sdtContent>
      </w:sdt>
      <w:r w:rsidRPr="00E11DE3">
        <w:t>.</w:t>
      </w:r>
    </w:p>
    <w:p w14:paraId="34E5629E" w14:textId="13649245" w:rsidR="00D94DEA" w:rsidRPr="00374CFE" w:rsidRDefault="00E11DE3" w:rsidP="00D94DEA">
      <w:r w:rsidRPr="00374CFE">
        <w:t xml:space="preserve"> In my evaluation, I focus</w:t>
      </w:r>
      <w:r w:rsidR="00D264E8" w:rsidRPr="00374CFE">
        <w:t>ed</w:t>
      </w:r>
      <w:r w:rsidRPr="00374CFE">
        <w:t xml:space="preserve"> on how stakeholders are identified, engaged, and involved in shaping digital transformation. I </w:t>
      </w:r>
      <w:r w:rsidR="005458B6" w:rsidRPr="00374CFE">
        <w:t>highlighted</w:t>
      </w:r>
      <w:r w:rsidRPr="00374CFE">
        <w:t xml:space="preserve"> key gaps in current practice. These gaps help</w:t>
      </w:r>
      <w:r w:rsidR="005458B6" w:rsidRPr="00374CFE">
        <w:t>ed</w:t>
      </w:r>
      <w:r w:rsidRPr="00374CFE">
        <w:t xml:space="preserve"> to inform my recommendations for further improvement.</w:t>
      </w:r>
      <w:r w:rsidRPr="00374CFE">
        <w:br/>
      </w:r>
      <w:r w:rsidRPr="00374CFE">
        <w:br/>
      </w:r>
      <w:r w:rsidR="00D94DEA" w:rsidRPr="00842EBA">
        <w:rPr>
          <w:rStyle w:val="Heading2Char"/>
        </w:rPr>
        <w:t>Stakeholder Identification and Critical Examination</w:t>
      </w:r>
      <w:r w:rsidR="00D94DEA" w:rsidRPr="00842EBA">
        <w:rPr>
          <w:rStyle w:val="Heading3Char"/>
        </w:rPr>
        <w:br/>
        <w:t xml:space="preserve"> Identification of Stakeholders</w:t>
      </w:r>
    </w:p>
    <w:p w14:paraId="5F051313" w14:textId="4721F0BC" w:rsidR="00D94DEA" w:rsidRPr="00D94DEA" w:rsidRDefault="00D94DEA" w:rsidP="00D94DEA">
      <w:r w:rsidRPr="00D94DEA">
        <w:t xml:space="preserve">From my perspective, the WAST Digital Plan identifies a wide range of stakeholders in a clear and structured way. These include frontline staff, patients and the public, leadership and governance bodies, digital and clinical informatics teams, and NHS Wales system partners. I see this as </w:t>
      </w:r>
      <w:r w:rsidR="005C4516" w:rsidRPr="00374CFE">
        <w:t>a solid foundation</w:t>
      </w:r>
      <w:r w:rsidRPr="00D94DEA">
        <w:t xml:space="preserve"> for digital transformation because it recognises both service users and system enablers.</w:t>
      </w:r>
    </w:p>
    <w:p w14:paraId="60B9AB46" w14:textId="0F66A9D3" w:rsidR="00D94DEA" w:rsidRPr="00D94DEA" w:rsidRDefault="00D94DEA" w:rsidP="00D94DEA">
      <w:r w:rsidRPr="00D94DEA">
        <w:t xml:space="preserve">The plan highlights that it was shaped through feedback from “staff, patients, and stakeholders” </w:t>
      </w:r>
      <w:sdt>
        <w:sdtPr>
          <w:rPr>
            <w:rFonts w:ascii="Aptos" w:hAnsi="Aptos"/>
            <w:color w:val="000000"/>
          </w:rPr>
          <w:tag w:val="MENDELEY_CITATION_v3_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"/>
          <w:id w:val="-1615968998"/>
          <w:placeholder>
            <w:docPart w:val="DefaultPlaceholder_-1854013440"/>
          </w:placeholder>
        </w:sdtPr>
        <w:sdtContent>
          <w:r w:rsidR="00FF45FA" w:rsidRPr="00FF45FA">
            <w:rPr>
              <w:rFonts w:ascii="Aptos" w:hAnsi="Aptos"/>
              <w:color w:val="000000"/>
            </w:rPr>
            <w:t>(Welsh Ambulance Services NHS Trust, 2024)</w:t>
          </w:r>
        </w:sdtContent>
      </w:sdt>
      <w:r w:rsidRPr="00D94DEA">
        <w:t>. I interpret</w:t>
      </w:r>
      <w:r w:rsidR="003F2510" w:rsidRPr="00374CFE">
        <w:t>ed</w:t>
      </w:r>
      <w:r w:rsidRPr="00D94DEA">
        <w:t xml:space="preserve"> this as evidence that stakeholder input is valued in shaping digital priorities rather than being treated as secondary input.</w:t>
      </w:r>
    </w:p>
    <w:p w14:paraId="4DEC816F" w14:textId="548D9BB9" w:rsidR="00D94DEA" w:rsidRPr="00D94DEA" w:rsidRDefault="00D94DEA" w:rsidP="00D94DEA">
      <w:r w:rsidRPr="00D94DEA">
        <w:t xml:space="preserve">Recent literature supports this inclusive approach. The NHS England digital transformation guidance emphasises that digital systems should be co-designed with both clinical staff and patients to ensure safety and usability </w:t>
      </w:r>
      <w:sdt>
        <w:sdtPr>
          <w:rPr>
            <w:rFonts w:ascii="Aptos" w:hAnsi="Aptos"/>
            <w:color w:val="000000"/>
          </w:rPr>
          <w:tag w:val="MENDELEY_CITATION_v3_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"/>
          <w:id w:val="1583715304"/>
          <w:placeholder>
            <w:docPart w:val="DefaultPlaceholder_-1854013440"/>
          </w:placeholder>
        </w:sdtPr>
        <w:sdtContent>
          <w:r w:rsidR="00FF45FA" w:rsidRPr="00FF45FA">
            <w:rPr>
              <w:rFonts w:ascii="Aptos" w:hAnsi="Aptos"/>
              <w:color w:val="000000"/>
            </w:rPr>
            <w:t>(NHS England, 2024)</w:t>
          </w:r>
        </w:sdtContent>
      </w:sdt>
      <w:r w:rsidRPr="00D94DEA">
        <w:t xml:space="preserve">. </w:t>
      </w:r>
    </w:p>
    <w:p w14:paraId="465765F6" w14:textId="586363EC" w:rsidR="00761004" w:rsidRDefault="00D94DEA" w:rsidP="00D94DEA">
      <w:r w:rsidRPr="00D94DEA">
        <w:t xml:space="preserve">However, I </w:t>
      </w:r>
      <w:r w:rsidR="003F2510" w:rsidRPr="00374CFE">
        <w:t>observed</w:t>
      </w:r>
      <w:r w:rsidRPr="00D94DEA">
        <w:t xml:space="preserve"> that stakeholder identification in the WAST plan remains </w:t>
      </w:r>
      <w:r w:rsidR="00097EF3" w:rsidRPr="00374CFE">
        <w:t>high level</w:t>
      </w:r>
      <w:r w:rsidRPr="00D94DEA">
        <w:t xml:space="preserve">. It lists groups but does not deeply analyse differences within them. For example, all frontline staff are grouped together, even though paramedics, call handlers, and operational managers have </w:t>
      </w:r>
      <w:r w:rsidR="00AE6D3C" w:rsidRPr="00374CFE">
        <w:t>hugely different</w:t>
      </w:r>
      <w:r w:rsidRPr="00D94DEA">
        <w:t xml:space="preserve"> digital needs.</w:t>
      </w:r>
    </w:p>
    <w:p w14:paraId="1295D069" w14:textId="77777777" w:rsidR="00842EBA" w:rsidRPr="00374CFE" w:rsidRDefault="00842EBA" w:rsidP="00D94DEA"/>
    <w:tbl>
      <w:tblPr>
        <w:tblStyle w:val="TableGrid"/>
        <w:tblW w:w="9209" w:type="dxa"/>
        <w:tblLook w:val="04A0" w:firstRow="1" w:lastRow="0" w:firstColumn="1" w:lastColumn="0" w:noHBand="0" w:noVBand="1"/>
      </w:tblPr>
      <w:tblGrid>
        <w:gridCol w:w="2405"/>
        <w:gridCol w:w="2410"/>
        <w:gridCol w:w="1123"/>
        <w:gridCol w:w="3271"/>
      </w:tblGrid>
      <w:tr w:rsidR="00761004" w:rsidRPr="00374CFE" w14:paraId="3198C5B1" w14:textId="77777777" w:rsidTr="00761004">
        <w:tc>
          <w:tcPr>
            <w:tcW w:w="2405" w:type="dxa"/>
            <w:vAlign w:val="center"/>
          </w:tcPr>
          <w:p w14:paraId="0B5C4952" w14:textId="7D58B21D" w:rsidR="00761004" w:rsidRPr="00374CFE" w:rsidRDefault="00761004" w:rsidP="00761004">
            <w:r w:rsidRPr="00C523D4">
              <w:rPr>
                <w:b/>
                <w:bCs/>
              </w:rPr>
              <w:t>Stakeholder Category</w:t>
            </w:r>
          </w:p>
        </w:tc>
        <w:tc>
          <w:tcPr>
            <w:tcW w:w="2410" w:type="dxa"/>
            <w:vAlign w:val="center"/>
          </w:tcPr>
          <w:p w14:paraId="6E758975" w14:textId="4EB5F566" w:rsidR="00761004" w:rsidRPr="00374CFE" w:rsidRDefault="00761004" w:rsidP="00761004">
            <w:r w:rsidRPr="00C523D4">
              <w:rPr>
                <w:b/>
                <w:bCs/>
              </w:rPr>
              <w:t>Examples</w:t>
            </w:r>
          </w:p>
        </w:tc>
        <w:tc>
          <w:tcPr>
            <w:tcW w:w="1123" w:type="dxa"/>
            <w:vAlign w:val="center"/>
          </w:tcPr>
          <w:p w14:paraId="2E272FF6" w14:textId="3594356E" w:rsidR="00761004" w:rsidRPr="00374CFE" w:rsidRDefault="00761004" w:rsidP="00761004">
            <w:r w:rsidRPr="00C523D4">
              <w:rPr>
                <w:b/>
                <w:bCs/>
              </w:rPr>
              <w:t>Internal / External</w:t>
            </w:r>
          </w:p>
        </w:tc>
        <w:tc>
          <w:tcPr>
            <w:tcW w:w="3271" w:type="dxa"/>
            <w:vAlign w:val="center"/>
          </w:tcPr>
          <w:p w14:paraId="3067BDEB" w14:textId="11D27B9B" w:rsidR="00761004" w:rsidRPr="00374CFE" w:rsidRDefault="00761004" w:rsidP="00761004">
            <w:r w:rsidRPr="00C523D4">
              <w:rPr>
                <w:b/>
                <w:bCs/>
              </w:rPr>
              <w:t>Role in Digital Transformation</w:t>
            </w:r>
          </w:p>
        </w:tc>
      </w:tr>
      <w:tr w:rsidR="00761004" w:rsidRPr="00374CFE" w14:paraId="06D59A50" w14:textId="77777777" w:rsidTr="00761004">
        <w:tc>
          <w:tcPr>
            <w:tcW w:w="2405" w:type="dxa"/>
            <w:vAlign w:val="center"/>
          </w:tcPr>
          <w:p w14:paraId="390A9B6B" w14:textId="52DC9717" w:rsidR="00761004" w:rsidRPr="00374CFE" w:rsidRDefault="00761004" w:rsidP="00761004">
            <w:r w:rsidRPr="00C523D4">
              <w:t>Frontline Staff</w:t>
            </w:r>
          </w:p>
        </w:tc>
        <w:tc>
          <w:tcPr>
            <w:tcW w:w="2410" w:type="dxa"/>
            <w:vAlign w:val="center"/>
          </w:tcPr>
          <w:p w14:paraId="66F93561" w14:textId="739D2684" w:rsidR="00761004" w:rsidRPr="00374CFE" w:rsidRDefault="00761004" w:rsidP="00761004">
            <w:r w:rsidRPr="00C523D4">
              <w:t>Paramedics, call handlers, operations</w:t>
            </w:r>
          </w:p>
        </w:tc>
        <w:tc>
          <w:tcPr>
            <w:tcW w:w="1123" w:type="dxa"/>
            <w:vAlign w:val="center"/>
          </w:tcPr>
          <w:p w14:paraId="0181BE75" w14:textId="6EDB9BFF" w:rsidR="00761004" w:rsidRPr="00374CFE" w:rsidRDefault="00761004" w:rsidP="00761004">
            <w:r w:rsidRPr="00C523D4">
              <w:t>Internal</w:t>
            </w:r>
          </w:p>
        </w:tc>
        <w:tc>
          <w:tcPr>
            <w:tcW w:w="3271" w:type="dxa"/>
            <w:vAlign w:val="center"/>
          </w:tcPr>
          <w:p w14:paraId="6974376A" w14:textId="79FC8430" w:rsidR="00761004" w:rsidRPr="00374CFE" w:rsidRDefault="00761004" w:rsidP="00761004">
            <w:r w:rsidRPr="00C523D4">
              <w:t>Primary system users and service delivery</w:t>
            </w:r>
          </w:p>
        </w:tc>
      </w:tr>
      <w:tr w:rsidR="00761004" w:rsidRPr="00374CFE" w14:paraId="1478F01C" w14:textId="77777777" w:rsidTr="00761004">
        <w:tc>
          <w:tcPr>
            <w:tcW w:w="2405" w:type="dxa"/>
            <w:vAlign w:val="center"/>
          </w:tcPr>
          <w:p w14:paraId="5B4F62D4" w14:textId="67681DB2" w:rsidR="00761004" w:rsidRPr="00374CFE" w:rsidRDefault="00761004" w:rsidP="00761004">
            <w:r w:rsidRPr="00C523D4">
              <w:t>Leadership</w:t>
            </w:r>
          </w:p>
        </w:tc>
        <w:tc>
          <w:tcPr>
            <w:tcW w:w="2410" w:type="dxa"/>
            <w:vAlign w:val="center"/>
          </w:tcPr>
          <w:p w14:paraId="0F8F3D21" w14:textId="20482409" w:rsidR="00761004" w:rsidRPr="00374CFE" w:rsidRDefault="00761004" w:rsidP="00761004">
            <w:r w:rsidRPr="00C523D4">
              <w:t>Board, executives</w:t>
            </w:r>
          </w:p>
        </w:tc>
        <w:tc>
          <w:tcPr>
            <w:tcW w:w="1123" w:type="dxa"/>
            <w:vAlign w:val="center"/>
          </w:tcPr>
          <w:p w14:paraId="0528D3DD" w14:textId="0A9B361A" w:rsidR="00761004" w:rsidRPr="00374CFE" w:rsidRDefault="00761004" w:rsidP="00761004">
            <w:r w:rsidRPr="00C523D4">
              <w:t>Internal</w:t>
            </w:r>
          </w:p>
        </w:tc>
        <w:tc>
          <w:tcPr>
            <w:tcW w:w="3271" w:type="dxa"/>
            <w:vAlign w:val="center"/>
          </w:tcPr>
          <w:p w14:paraId="0A547398" w14:textId="7F774C32" w:rsidR="00761004" w:rsidRPr="00374CFE" w:rsidRDefault="00761004" w:rsidP="00761004">
            <w:r w:rsidRPr="00C523D4">
              <w:t>Governance and strategic direction</w:t>
            </w:r>
          </w:p>
        </w:tc>
      </w:tr>
      <w:tr w:rsidR="00761004" w:rsidRPr="00374CFE" w14:paraId="5E06B780" w14:textId="77777777" w:rsidTr="00761004">
        <w:tc>
          <w:tcPr>
            <w:tcW w:w="2405" w:type="dxa"/>
            <w:vAlign w:val="center"/>
          </w:tcPr>
          <w:p w14:paraId="7ED1CA85" w14:textId="1EB328AE" w:rsidR="00761004" w:rsidRPr="00374CFE" w:rsidRDefault="00761004" w:rsidP="00761004">
            <w:r w:rsidRPr="00C523D4">
              <w:lastRenderedPageBreak/>
              <w:t>Digital Teams</w:t>
            </w:r>
          </w:p>
        </w:tc>
        <w:tc>
          <w:tcPr>
            <w:tcW w:w="2410" w:type="dxa"/>
            <w:vAlign w:val="center"/>
          </w:tcPr>
          <w:p w14:paraId="5153516B" w14:textId="5A2C6145" w:rsidR="00761004" w:rsidRPr="00374CFE" w:rsidRDefault="00761004" w:rsidP="00761004">
            <w:r w:rsidRPr="00C523D4">
              <w:t>IT, informatics, data specialists</w:t>
            </w:r>
          </w:p>
        </w:tc>
        <w:tc>
          <w:tcPr>
            <w:tcW w:w="1123" w:type="dxa"/>
            <w:vAlign w:val="center"/>
          </w:tcPr>
          <w:p w14:paraId="04674E84" w14:textId="739C6789" w:rsidR="00761004" w:rsidRPr="00374CFE" w:rsidRDefault="00761004" w:rsidP="00761004">
            <w:r w:rsidRPr="00C523D4">
              <w:t>Internal</w:t>
            </w:r>
          </w:p>
        </w:tc>
        <w:tc>
          <w:tcPr>
            <w:tcW w:w="3271" w:type="dxa"/>
            <w:vAlign w:val="center"/>
          </w:tcPr>
          <w:p w14:paraId="0A3BCCDD" w14:textId="523CD9F2" w:rsidR="00761004" w:rsidRPr="00374CFE" w:rsidRDefault="00761004" w:rsidP="00761004">
            <w:r w:rsidRPr="00C523D4">
              <w:t>System design and delivery</w:t>
            </w:r>
          </w:p>
        </w:tc>
      </w:tr>
      <w:tr w:rsidR="00761004" w:rsidRPr="00374CFE" w14:paraId="0C9D409F" w14:textId="77777777" w:rsidTr="00761004">
        <w:tc>
          <w:tcPr>
            <w:tcW w:w="2405" w:type="dxa"/>
            <w:vAlign w:val="center"/>
          </w:tcPr>
          <w:p w14:paraId="28B4F6EA" w14:textId="0381F767" w:rsidR="00761004" w:rsidRPr="00374CFE" w:rsidRDefault="00761004" w:rsidP="00761004">
            <w:r w:rsidRPr="00C523D4">
              <w:t>Patients and Public</w:t>
            </w:r>
          </w:p>
        </w:tc>
        <w:tc>
          <w:tcPr>
            <w:tcW w:w="2410" w:type="dxa"/>
            <w:vAlign w:val="center"/>
          </w:tcPr>
          <w:p w14:paraId="41712661" w14:textId="2BFCDFC5" w:rsidR="00761004" w:rsidRPr="00374CFE" w:rsidRDefault="00761004" w:rsidP="00761004">
            <w:r w:rsidRPr="00C523D4">
              <w:t>Service users</w:t>
            </w:r>
          </w:p>
        </w:tc>
        <w:tc>
          <w:tcPr>
            <w:tcW w:w="1123" w:type="dxa"/>
            <w:vAlign w:val="center"/>
          </w:tcPr>
          <w:p w14:paraId="2CDA39FF" w14:textId="1F2148A2" w:rsidR="00761004" w:rsidRPr="00374CFE" w:rsidRDefault="00761004" w:rsidP="00761004">
            <w:r w:rsidRPr="00C523D4">
              <w:t>External</w:t>
            </w:r>
          </w:p>
        </w:tc>
        <w:tc>
          <w:tcPr>
            <w:tcW w:w="3271" w:type="dxa"/>
            <w:vAlign w:val="center"/>
          </w:tcPr>
          <w:p w14:paraId="4AEFAE8C" w14:textId="5AEC2DF1" w:rsidR="00761004" w:rsidRPr="00374CFE" w:rsidRDefault="00761004" w:rsidP="00761004">
            <w:r w:rsidRPr="00C523D4">
              <w:t>Service experience and outcomes</w:t>
            </w:r>
          </w:p>
        </w:tc>
      </w:tr>
      <w:tr w:rsidR="00761004" w:rsidRPr="00374CFE" w14:paraId="219B122A" w14:textId="77777777" w:rsidTr="00761004">
        <w:tc>
          <w:tcPr>
            <w:tcW w:w="2405" w:type="dxa"/>
            <w:vAlign w:val="center"/>
          </w:tcPr>
          <w:p w14:paraId="18BD191F" w14:textId="31AB4E25" w:rsidR="00761004" w:rsidRPr="00374CFE" w:rsidRDefault="00761004" w:rsidP="00761004">
            <w:r w:rsidRPr="00C523D4">
              <w:t>NHS Wales Partners</w:t>
            </w:r>
          </w:p>
        </w:tc>
        <w:tc>
          <w:tcPr>
            <w:tcW w:w="2410" w:type="dxa"/>
            <w:vAlign w:val="center"/>
          </w:tcPr>
          <w:p w14:paraId="297988F0" w14:textId="13E1A1E2" w:rsidR="00761004" w:rsidRPr="00374CFE" w:rsidRDefault="00761004" w:rsidP="00761004">
            <w:r w:rsidRPr="00C523D4">
              <w:t>System-wide stakeholders</w:t>
            </w:r>
          </w:p>
        </w:tc>
        <w:tc>
          <w:tcPr>
            <w:tcW w:w="1123" w:type="dxa"/>
            <w:vAlign w:val="center"/>
          </w:tcPr>
          <w:p w14:paraId="36872E63" w14:textId="520C16AB" w:rsidR="00761004" w:rsidRPr="00374CFE" w:rsidRDefault="00761004" w:rsidP="00761004">
            <w:r w:rsidRPr="00C523D4">
              <w:t>External</w:t>
            </w:r>
          </w:p>
        </w:tc>
        <w:tc>
          <w:tcPr>
            <w:tcW w:w="3271" w:type="dxa"/>
            <w:vAlign w:val="center"/>
          </w:tcPr>
          <w:p w14:paraId="7B0B6593" w14:textId="34CE8779" w:rsidR="00761004" w:rsidRPr="00374CFE" w:rsidRDefault="00761004" w:rsidP="00761004">
            <w:r w:rsidRPr="00C523D4">
              <w:t>Integration and interoperability</w:t>
            </w:r>
          </w:p>
        </w:tc>
      </w:tr>
    </w:tbl>
    <w:p w14:paraId="4A73033C" w14:textId="50FE300E" w:rsidR="003218B9" w:rsidRPr="00374CFE" w:rsidRDefault="00761004" w:rsidP="00D94DEA">
      <w:r w:rsidRPr="00374CFE">
        <w:br/>
        <w:t xml:space="preserve"> Table 1: Internal and External Stakeholder</w:t>
      </w:r>
      <w:r w:rsidRPr="00D94DEA">
        <w:t xml:space="preserve"> identified</w:t>
      </w:r>
      <w:r w:rsidRPr="00374CFE">
        <w:t xml:space="preserve">, shaping </w:t>
      </w:r>
      <w:r w:rsidR="00D67CE4" w:rsidRPr="00374CFE">
        <w:t>the in</w:t>
      </w:r>
      <w:r w:rsidRPr="00D94DEA">
        <w:t xml:space="preserve"> the WAST Digital Plan</w:t>
      </w:r>
      <w:r w:rsidRPr="00374CFE">
        <w:br/>
      </w:r>
    </w:p>
    <w:p w14:paraId="48916B43" w14:textId="0959D79E" w:rsidR="003218B9" w:rsidRPr="00D94DEA" w:rsidRDefault="00761004" w:rsidP="00D94DEA">
      <w:r w:rsidRPr="00374CFE">
        <w:rPr>
          <w:noProof/>
        </w:rPr>
        <w:drawing>
          <wp:inline distT="0" distB="0" distL="0" distR="0" wp14:anchorId="56B1785A" wp14:editId="63938C7A">
            <wp:extent cx="5400675" cy="3577947"/>
            <wp:effectExtent l="0" t="0" r="0" b="3810"/>
            <wp:docPr id="1927225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225833" name=""/>
                    <pic:cNvPicPr/>
                  </pic:nvPicPr>
                  <pic:blipFill>
                    <a:blip r:embed="rId9"/>
                    <a:stretch>
                      <a:fillRect/>
                    </a:stretch>
                  </pic:blipFill>
                  <pic:spPr>
                    <a:xfrm>
                      <a:off x="0" y="0"/>
                      <a:ext cx="5408380" cy="3583052"/>
                    </a:xfrm>
                    <a:prstGeom prst="rect">
                      <a:avLst/>
                    </a:prstGeom>
                  </pic:spPr>
                </pic:pic>
              </a:graphicData>
            </a:graphic>
          </wp:inline>
        </w:drawing>
      </w:r>
    </w:p>
    <w:p w14:paraId="51A296BE" w14:textId="1DFB76AE" w:rsidR="003218B9" w:rsidRPr="00374CFE" w:rsidRDefault="00761004" w:rsidP="00D94DEA">
      <w:pPr>
        <w:rPr>
          <w:b/>
          <w:bCs/>
        </w:rPr>
      </w:pPr>
      <w:r w:rsidRPr="00374CFE">
        <w:t>Image 1:</w:t>
      </w:r>
      <w:r w:rsidRPr="00D94DEA">
        <w:t xml:space="preserve"> </w:t>
      </w:r>
      <w:r w:rsidRPr="008C43CF">
        <w:t>Power</w:t>
      </w:r>
      <w:r w:rsidRPr="00374CFE">
        <w:t>/</w:t>
      </w:r>
      <w:r w:rsidRPr="008C43CF">
        <w:t>Interest Matrix</w:t>
      </w:r>
    </w:p>
    <w:p w14:paraId="3E4ECC74" w14:textId="5E0DA66F" w:rsidR="00D94DEA" w:rsidRPr="00374CFE" w:rsidRDefault="003218B9" w:rsidP="00FF45FA">
      <w:r w:rsidRPr="00374CFE">
        <w:br/>
      </w:r>
    </w:p>
    <w:p w14:paraId="253B918C" w14:textId="77777777" w:rsidR="003218B9" w:rsidRPr="00D94DEA" w:rsidRDefault="003218B9" w:rsidP="00D94DEA"/>
    <w:tbl>
      <w:tblPr>
        <w:tblStyle w:val="TableGrid"/>
        <w:tblW w:w="0" w:type="auto"/>
        <w:tblLook w:val="04A0" w:firstRow="1" w:lastRow="0" w:firstColumn="1" w:lastColumn="0" w:noHBand="0" w:noVBand="1"/>
      </w:tblPr>
      <w:tblGrid>
        <w:gridCol w:w="2405"/>
        <w:gridCol w:w="2552"/>
        <w:gridCol w:w="3969"/>
      </w:tblGrid>
      <w:tr w:rsidR="003218B9" w:rsidRPr="00374CFE" w14:paraId="2E3A73E3" w14:textId="77777777" w:rsidTr="003218B9">
        <w:tc>
          <w:tcPr>
            <w:tcW w:w="2405" w:type="dxa"/>
            <w:vAlign w:val="center"/>
          </w:tcPr>
          <w:p w14:paraId="52C5CB51" w14:textId="794B7243" w:rsidR="003218B9" w:rsidRPr="00374CFE" w:rsidRDefault="003218B9" w:rsidP="003218B9">
            <w:pPr>
              <w:rPr>
                <w:b/>
                <w:bCs/>
              </w:rPr>
            </w:pPr>
            <w:r w:rsidRPr="00D94DEA">
              <w:rPr>
                <w:b/>
                <w:bCs/>
              </w:rPr>
              <w:t xml:space="preserve">Issue </w:t>
            </w:r>
          </w:p>
        </w:tc>
        <w:tc>
          <w:tcPr>
            <w:tcW w:w="2552" w:type="dxa"/>
            <w:vAlign w:val="center"/>
          </w:tcPr>
          <w:p w14:paraId="0915BDB1" w14:textId="639723C8" w:rsidR="003218B9" w:rsidRPr="00374CFE" w:rsidRDefault="003218B9" w:rsidP="003218B9">
            <w:pPr>
              <w:rPr>
                <w:b/>
                <w:bCs/>
              </w:rPr>
            </w:pPr>
            <w:r w:rsidRPr="00D94DEA">
              <w:rPr>
                <w:b/>
                <w:bCs/>
              </w:rPr>
              <w:t>Observation</w:t>
            </w:r>
          </w:p>
        </w:tc>
        <w:tc>
          <w:tcPr>
            <w:tcW w:w="3969" w:type="dxa"/>
            <w:vAlign w:val="center"/>
          </w:tcPr>
          <w:p w14:paraId="221AEBEC" w14:textId="38449CC1" w:rsidR="003218B9" w:rsidRPr="00374CFE" w:rsidRDefault="003218B9" w:rsidP="003218B9">
            <w:pPr>
              <w:rPr>
                <w:b/>
                <w:bCs/>
              </w:rPr>
            </w:pPr>
            <w:r w:rsidRPr="00D94DEA">
              <w:rPr>
                <w:b/>
                <w:bCs/>
              </w:rPr>
              <w:t>My interpretation</w:t>
            </w:r>
          </w:p>
        </w:tc>
      </w:tr>
      <w:tr w:rsidR="003218B9" w:rsidRPr="00374CFE" w14:paraId="2F7417CB" w14:textId="77777777" w:rsidTr="003218B9">
        <w:tc>
          <w:tcPr>
            <w:tcW w:w="2405" w:type="dxa"/>
            <w:vAlign w:val="center"/>
          </w:tcPr>
          <w:p w14:paraId="1964FCC9" w14:textId="3B3E5D93" w:rsidR="003218B9" w:rsidRPr="00374CFE" w:rsidRDefault="003218B9" w:rsidP="003218B9">
            <w:r w:rsidRPr="00D94DEA">
              <w:t>Segmentation</w:t>
            </w:r>
          </w:p>
        </w:tc>
        <w:tc>
          <w:tcPr>
            <w:tcW w:w="2552" w:type="dxa"/>
            <w:vAlign w:val="center"/>
          </w:tcPr>
          <w:p w14:paraId="52425A4C" w14:textId="6298927D" w:rsidR="003218B9" w:rsidRPr="00374CFE" w:rsidRDefault="003218B9" w:rsidP="003218B9">
            <w:r w:rsidRPr="00D94DEA">
              <w:t>No formal stakeholder mapping</w:t>
            </w:r>
          </w:p>
        </w:tc>
        <w:tc>
          <w:tcPr>
            <w:tcW w:w="3969" w:type="dxa"/>
            <w:vAlign w:val="center"/>
          </w:tcPr>
          <w:p w14:paraId="568F070D" w14:textId="1238A732" w:rsidR="003218B9" w:rsidRPr="00374CFE" w:rsidRDefault="003218B9" w:rsidP="003218B9">
            <w:r w:rsidRPr="00D94DEA">
              <w:t>Limits understanding of influence and priority</w:t>
            </w:r>
          </w:p>
        </w:tc>
      </w:tr>
      <w:tr w:rsidR="003218B9" w:rsidRPr="00374CFE" w14:paraId="0603CEA0" w14:textId="77777777" w:rsidTr="003218B9">
        <w:tc>
          <w:tcPr>
            <w:tcW w:w="2405" w:type="dxa"/>
            <w:vAlign w:val="center"/>
          </w:tcPr>
          <w:p w14:paraId="6947C0B9" w14:textId="2272DE37" w:rsidR="003218B9" w:rsidRPr="00374CFE" w:rsidRDefault="003218B9" w:rsidP="003218B9">
            <w:r w:rsidRPr="00D94DEA">
              <w:t>Workforce groups</w:t>
            </w:r>
          </w:p>
        </w:tc>
        <w:tc>
          <w:tcPr>
            <w:tcW w:w="2552" w:type="dxa"/>
            <w:vAlign w:val="center"/>
          </w:tcPr>
          <w:p w14:paraId="00B970B9" w14:textId="2BC3AE89" w:rsidR="003218B9" w:rsidRPr="00374CFE" w:rsidRDefault="003218B9" w:rsidP="003218B9">
            <w:r w:rsidRPr="00D94DEA">
              <w:t>Broad grouping of staff roles</w:t>
            </w:r>
          </w:p>
        </w:tc>
        <w:tc>
          <w:tcPr>
            <w:tcW w:w="3969" w:type="dxa"/>
            <w:vAlign w:val="center"/>
          </w:tcPr>
          <w:p w14:paraId="652611D1" w14:textId="0D0B8D59" w:rsidR="003218B9" w:rsidRPr="00374CFE" w:rsidRDefault="003218B9" w:rsidP="003218B9">
            <w:r w:rsidRPr="00D94DEA">
              <w:t>Oversimplifies operational differences</w:t>
            </w:r>
          </w:p>
        </w:tc>
      </w:tr>
      <w:tr w:rsidR="003218B9" w:rsidRPr="00374CFE" w14:paraId="23629AAE" w14:textId="77777777" w:rsidTr="003218B9">
        <w:tc>
          <w:tcPr>
            <w:tcW w:w="2405" w:type="dxa"/>
            <w:vAlign w:val="center"/>
          </w:tcPr>
          <w:p w14:paraId="3F9D5698" w14:textId="0F3A3F11" w:rsidR="003218B9" w:rsidRPr="00374CFE" w:rsidRDefault="003218B9" w:rsidP="003218B9">
            <w:r w:rsidRPr="00D94DEA">
              <w:t>Inclusion focus</w:t>
            </w:r>
          </w:p>
        </w:tc>
        <w:tc>
          <w:tcPr>
            <w:tcW w:w="2552" w:type="dxa"/>
            <w:vAlign w:val="center"/>
          </w:tcPr>
          <w:p w14:paraId="120FE1D6" w14:textId="48921756" w:rsidR="003218B9" w:rsidRPr="00374CFE" w:rsidRDefault="003218B9" w:rsidP="003218B9">
            <w:r w:rsidRPr="00D94DEA">
              <w:t>Limited reference to protected groups</w:t>
            </w:r>
          </w:p>
        </w:tc>
        <w:tc>
          <w:tcPr>
            <w:tcW w:w="3969" w:type="dxa"/>
            <w:vAlign w:val="center"/>
          </w:tcPr>
          <w:p w14:paraId="06577ACE" w14:textId="279625DF" w:rsidR="003218B9" w:rsidRPr="00374CFE" w:rsidRDefault="003218B9" w:rsidP="003218B9">
            <w:r w:rsidRPr="00D94DEA">
              <w:t>Risk of digital exclusion</w:t>
            </w:r>
          </w:p>
        </w:tc>
      </w:tr>
      <w:tr w:rsidR="003218B9" w:rsidRPr="00374CFE" w14:paraId="35E8D0A6" w14:textId="77777777" w:rsidTr="003218B9">
        <w:tc>
          <w:tcPr>
            <w:tcW w:w="2405" w:type="dxa"/>
            <w:vAlign w:val="center"/>
          </w:tcPr>
          <w:p w14:paraId="063A2FAC" w14:textId="46379781" w:rsidR="003218B9" w:rsidRPr="00374CFE" w:rsidRDefault="003218B9" w:rsidP="003218B9">
            <w:r w:rsidRPr="00D94DEA">
              <w:lastRenderedPageBreak/>
              <w:t>External partners</w:t>
            </w:r>
          </w:p>
        </w:tc>
        <w:tc>
          <w:tcPr>
            <w:tcW w:w="2552" w:type="dxa"/>
            <w:vAlign w:val="center"/>
          </w:tcPr>
          <w:p w14:paraId="014382A0" w14:textId="5DBC123E" w:rsidR="003218B9" w:rsidRPr="00374CFE" w:rsidRDefault="003218B9" w:rsidP="003218B9">
            <w:r w:rsidRPr="00D94DEA">
              <w:t>Weak visibility of social care involvement</w:t>
            </w:r>
          </w:p>
        </w:tc>
        <w:tc>
          <w:tcPr>
            <w:tcW w:w="3969" w:type="dxa"/>
            <w:vAlign w:val="center"/>
          </w:tcPr>
          <w:p w14:paraId="15F6DCE4" w14:textId="1314C153" w:rsidR="003218B9" w:rsidRPr="00374CFE" w:rsidRDefault="003218B9" w:rsidP="003218B9">
            <w:r w:rsidRPr="00D94DEA">
              <w:t>Reduces integrated care perspective</w:t>
            </w:r>
          </w:p>
        </w:tc>
      </w:tr>
    </w:tbl>
    <w:p w14:paraId="70064AA4" w14:textId="3521A0EB" w:rsidR="00D94DEA" w:rsidRPr="00D94DEA" w:rsidRDefault="00D94DEA" w:rsidP="00D94DEA"/>
    <w:p w14:paraId="18774DEC" w14:textId="30E26E33" w:rsidR="00D94DEA" w:rsidRPr="00D94DEA" w:rsidRDefault="008036A6" w:rsidP="00D94DEA">
      <w:r w:rsidRPr="00D94DEA">
        <w:t>Table 2: Key issues in stakeholder identification</w:t>
      </w:r>
      <w:r w:rsidRPr="00374CFE">
        <w:br/>
      </w:r>
      <w:r w:rsidRPr="00374CFE">
        <w:br/>
      </w:r>
      <w:r w:rsidR="00D94DEA" w:rsidRPr="00D94DEA">
        <w:t xml:space="preserve">From my analysis, these gaps show that while stakeholder groups are recognised, they are not deeply analysed. </w:t>
      </w:r>
      <w:r w:rsidR="007A1F97" w:rsidRPr="00374CFE">
        <w:t>This</w:t>
      </w:r>
      <w:r w:rsidR="00D94DEA" w:rsidRPr="00D94DEA">
        <w:t xml:space="preserve"> reduces the ability to design tailored digital solutions that respond to </w:t>
      </w:r>
      <w:r w:rsidR="00F0072D" w:rsidRPr="00374CFE">
        <w:t>diverse needs</w:t>
      </w:r>
      <w:r w:rsidR="00D94DEA" w:rsidRPr="00D94DEA">
        <w:t>.</w:t>
      </w:r>
    </w:p>
    <w:p w14:paraId="33F516A6" w14:textId="0BC664EB" w:rsidR="00D94DEA" w:rsidRPr="00D94DEA" w:rsidRDefault="00D94DEA" w:rsidP="00D94DEA"/>
    <w:p w14:paraId="5C72B5D2" w14:textId="48DEE616" w:rsidR="00D94DEA" w:rsidRPr="00842EBA" w:rsidRDefault="00D94DEA" w:rsidP="00842EBA">
      <w:pPr>
        <w:pStyle w:val="Heading3"/>
      </w:pPr>
      <w:r w:rsidRPr="00842EBA">
        <w:t xml:space="preserve"> Stakeholder Engagement</w:t>
      </w:r>
    </w:p>
    <w:p w14:paraId="37B61920" w14:textId="1C94C297" w:rsidR="00D94DEA" w:rsidRPr="00D94DEA" w:rsidRDefault="00D94DEA" w:rsidP="00D94DEA">
      <w:r w:rsidRPr="00D94DEA">
        <w:t xml:space="preserve">In my analysis, stakeholder engagement in the WAST Digital Plan is more visible at the operational level than at the strategic level. Frontline staff feedback has influenced improvements in electronic patient record usability, mobile working systems, and automation tools </w:t>
      </w:r>
      <w:sdt>
        <w:sdtPr>
          <w:rPr>
            <w:rFonts w:ascii="Aptos" w:hAnsi="Aptos"/>
            <w:color w:val="000000"/>
          </w:rPr>
          <w:tag w:val="MENDELEY_CITATION_v3_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"/>
          <w:id w:val="745307578"/>
          <w:placeholder>
            <w:docPart w:val="DefaultPlaceholder_-1854013440"/>
          </w:placeholder>
        </w:sdtPr>
        <w:sdtContent>
          <w:r w:rsidR="00FF45FA" w:rsidRPr="00FF45FA">
            <w:rPr>
              <w:rFonts w:ascii="Aptos" w:eastAsia="Times New Roman" w:hAnsi="Aptos"/>
              <w:color w:val="000000"/>
            </w:rPr>
            <w:t>(Digital Health and Care Wales Organisational Strategy 2024-2030: In Focus – HTN Health Tech News, n.d.)</w:t>
          </w:r>
        </w:sdtContent>
      </w:sdt>
      <w:r w:rsidRPr="00D94DEA">
        <w:t>.</w:t>
      </w:r>
    </w:p>
    <w:p w14:paraId="5FEEA050" w14:textId="4314B0C8" w:rsidR="00D94DEA" w:rsidRPr="00D94DEA" w:rsidRDefault="00D94DEA" w:rsidP="00D94DEA">
      <w:r w:rsidRPr="00D94DEA">
        <w:t xml:space="preserve">I </w:t>
      </w:r>
      <w:r w:rsidR="003F1BC1" w:rsidRPr="00374CFE">
        <w:t xml:space="preserve">have </w:t>
      </w:r>
      <w:r w:rsidR="008E2F1B" w:rsidRPr="00374CFE">
        <w:t xml:space="preserve">found </w:t>
      </w:r>
      <w:r w:rsidR="003F1BC1" w:rsidRPr="00374CFE">
        <w:t xml:space="preserve">the </w:t>
      </w:r>
      <w:r w:rsidRPr="00D94DEA">
        <w:t>evidence of patient involvement. Digital improvements in NHS 111 Wales and triage systems reflect feedback from service users. I interpret this as practical engagement that directly influences service delivery.</w:t>
      </w:r>
    </w:p>
    <w:p w14:paraId="60890609" w14:textId="08DDBFFA" w:rsidR="00D94DEA" w:rsidRPr="00D94DEA" w:rsidRDefault="00D94DEA" w:rsidP="00D94DEA">
      <w:r w:rsidRPr="00D94DEA">
        <w:t xml:space="preserve">Leadership engagement is also strong. Board-level approval of the digital strategy shows governance support and organisational commitment </w:t>
      </w:r>
      <w:sdt>
        <w:sdtPr>
          <w:rPr>
            <w:rFonts w:ascii="Aptos" w:hAnsi="Aptos"/>
            <w:color w:val="000000"/>
          </w:rPr>
          <w:tag w:val="MENDELEY_CITATION_v3_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"/>
          <w:id w:val="1140841921"/>
          <w:placeholder>
            <w:docPart w:val="DefaultPlaceholder_-1854013440"/>
          </w:placeholder>
        </w:sdtPr>
        <w:sdtContent>
          <w:r w:rsidR="00FF45FA" w:rsidRPr="00FF45FA">
            <w:rPr>
              <w:rFonts w:ascii="Aptos" w:hAnsi="Aptos"/>
              <w:color w:val="000000"/>
            </w:rPr>
            <w:t>(Cambrian News, 2024)</w:t>
          </w:r>
        </w:sdtContent>
      </w:sdt>
      <w:r w:rsidRPr="00D94DEA">
        <w:t>.</w:t>
      </w:r>
    </w:p>
    <w:p w14:paraId="03B97378" w14:textId="67B14D6C" w:rsidR="00D94DEA" w:rsidRPr="00D94DEA" w:rsidRDefault="00D94DEA" w:rsidP="00D94DEA">
      <w:r w:rsidRPr="00D94DEA">
        <w:t xml:space="preserve">Recent research highlights that effective digital transformation requires continuous stakeholder engagement rather than one-time consultation. A 2024 BMJ Digital Health review notes that ongoing feedback loops improve system usability and adoption in healthcare settings </w:t>
      </w:r>
      <w:sdt>
        <w:sdtPr>
          <w:rPr>
            <w:rFonts w:ascii="Aptos" w:hAnsi="Aptos"/>
            <w:color w:val="000000"/>
          </w:rPr>
          <w:tag w:val="MENDELEY_CITATION_v3_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"/>
          <w:id w:val="-1155989881"/>
          <w:placeholder>
            <w:docPart w:val="DefaultPlaceholder_-1854013440"/>
          </w:placeholder>
        </w:sdtPr>
        <w:sdtContent>
          <w:r w:rsidR="00FF45FA" w:rsidRPr="00FF45FA">
            <w:rPr>
              <w:rFonts w:ascii="Aptos" w:hAnsi="Aptos"/>
              <w:color w:val="000000"/>
            </w:rPr>
            <w:t>(BMJ Digital Health, 2024).</w:t>
          </w:r>
        </w:sdtContent>
      </w:sdt>
    </w:p>
    <w:tbl>
      <w:tblPr>
        <w:tblStyle w:val="TableGrid"/>
        <w:tblW w:w="9351" w:type="dxa"/>
        <w:tblLook w:val="04A0" w:firstRow="1" w:lastRow="0" w:firstColumn="1" w:lastColumn="0" w:noHBand="0" w:noVBand="1"/>
      </w:tblPr>
      <w:tblGrid>
        <w:gridCol w:w="2811"/>
        <w:gridCol w:w="2836"/>
        <w:gridCol w:w="3704"/>
      </w:tblGrid>
      <w:tr w:rsidR="00761004" w:rsidRPr="00374CFE" w14:paraId="25925FA5" w14:textId="77777777" w:rsidTr="00761004">
        <w:tc>
          <w:tcPr>
            <w:tcW w:w="2811" w:type="dxa"/>
            <w:vAlign w:val="center"/>
          </w:tcPr>
          <w:p w14:paraId="5AD03436" w14:textId="2AFF752D" w:rsidR="00761004" w:rsidRPr="00374CFE" w:rsidRDefault="00761004" w:rsidP="00761004">
            <w:pPr>
              <w:rPr>
                <w:b/>
                <w:bCs/>
              </w:rPr>
            </w:pPr>
            <w:r w:rsidRPr="00D94DEA">
              <w:rPr>
                <w:b/>
                <w:bCs/>
              </w:rPr>
              <w:t>Stakeholder group</w:t>
            </w:r>
          </w:p>
        </w:tc>
        <w:tc>
          <w:tcPr>
            <w:tcW w:w="2836" w:type="dxa"/>
            <w:vAlign w:val="center"/>
          </w:tcPr>
          <w:p w14:paraId="006FE8CB" w14:textId="253EFC91" w:rsidR="00761004" w:rsidRPr="00374CFE" w:rsidRDefault="00761004" w:rsidP="00761004">
            <w:pPr>
              <w:rPr>
                <w:b/>
                <w:bCs/>
              </w:rPr>
            </w:pPr>
            <w:r w:rsidRPr="00D94DEA">
              <w:rPr>
                <w:b/>
                <w:bCs/>
              </w:rPr>
              <w:t>Type of engagement</w:t>
            </w:r>
          </w:p>
        </w:tc>
        <w:tc>
          <w:tcPr>
            <w:tcW w:w="3704" w:type="dxa"/>
            <w:vAlign w:val="center"/>
          </w:tcPr>
          <w:p w14:paraId="604259CF" w14:textId="7C6C0982" w:rsidR="00761004" w:rsidRPr="00374CFE" w:rsidRDefault="00761004" w:rsidP="00761004">
            <w:pPr>
              <w:rPr>
                <w:b/>
                <w:bCs/>
              </w:rPr>
            </w:pPr>
            <w:r w:rsidRPr="00D94DEA">
              <w:rPr>
                <w:b/>
                <w:bCs/>
              </w:rPr>
              <w:t>Observed influence</w:t>
            </w:r>
          </w:p>
        </w:tc>
      </w:tr>
      <w:tr w:rsidR="00761004" w:rsidRPr="00374CFE" w14:paraId="7A73E231" w14:textId="77777777" w:rsidTr="00761004">
        <w:tc>
          <w:tcPr>
            <w:tcW w:w="2811" w:type="dxa"/>
            <w:vAlign w:val="center"/>
          </w:tcPr>
          <w:p w14:paraId="7577AEA9" w14:textId="57B5C154" w:rsidR="00761004" w:rsidRPr="00374CFE" w:rsidRDefault="00761004" w:rsidP="00761004">
            <w:r w:rsidRPr="00D94DEA">
              <w:t>Frontline staff</w:t>
            </w:r>
          </w:p>
        </w:tc>
        <w:tc>
          <w:tcPr>
            <w:tcW w:w="2836" w:type="dxa"/>
            <w:vAlign w:val="center"/>
          </w:tcPr>
          <w:p w14:paraId="0B747FB6" w14:textId="72C68C27" w:rsidR="00761004" w:rsidRPr="00374CFE" w:rsidRDefault="00761004" w:rsidP="00761004">
            <w:r w:rsidRPr="00D94DEA">
              <w:t>Feedback on systems and tools</w:t>
            </w:r>
          </w:p>
        </w:tc>
        <w:tc>
          <w:tcPr>
            <w:tcW w:w="3704" w:type="dxa"/>
            <w:vAlign w:val="center"/>
          </w:tcPr>
          <w:p w14:paraId="0F541567" w14:textId="45FBAFCD" w:rsidR="00761004" w:rsidRPr="00374CFE" w:rsidRDefault="00761004" w:rsidP="00761004">
            <w:r w:rsidRPr="00D94DEA">
              <w:t>Improved usability and automation</w:t>
            </w:r>
          </w:p>
        </w:tc>
      </w:tr>
      <w:tr w:rsidR="00761004" w:rsidRPr="00374CFE" w14:paraId="445504C5" w14:textId="77777777" w:rsidTr="00761004">
        <w:tc>
          <w:tcPr>
            <w:tcW w:w="2811" w:type="dxa"/>
            <w:vAlign w:val="center"/>
          </w:tcPr>
          <w:p w14:paraId="6AFB82B6" w14:textId="63941A38" w:rsidR="00761004" w:rsidRPr="00374CFE" w:rsidRDefault="00761004" w:rsidP="00761004">
            <w:r w:rsidRPr="00D94DEA">
              <w:t>Patients</w:t>
            </w:r>
          </w:p>
        </w:tc>
        <w:tc>
          <w:tcPr>
            <w:tcW w:w="2836" w:type="dxa"/>
            <w:vAlign w:val="center"/>
          </w:tcPr>
          <w:p w14:paraId="4DD2771A" w14:textId="43BED2E0" w:rsidR="00761004" w:rsidRPr="00374CFE" w:rsidRDefault="00761004" w:rsidP="00761004">
            <w:r w:rsidRPr="00D94DEA">
              <w:t>Service access feedback</w:t>
            </w:r>
          </w:p>
        </w:tc>
        <w:tc>
          <w:tcPr>
            <w:tcW w:w="3704" w:type="dxa"/>
            <w:vAlign w:val="center"/>
          </w:tcPr>
          <w:p w14:paraId="1E300B5F" w14:textId="0AACB0DF" w:rsidR="00761004" w:rsidRPr="00374CFE" w:rsidRDefault="00761004" w:rsidP="00761004">
            <w:r w:rsidRPr="00D94DEA">
              <w:t>Enhanced digital triage and access</w:t>
            </w:r>
          </w:p>
        </w:tc>
      </w:tr>
      <w:tr w:rsidR="00761004" w:rsidRPr="00374CFE" w14:paraId="2A12B12C" w14:textId="77777777" w:rsidTr="00761004">
        <w:tc>
          <w:tcPr>
            <w:tcW w:w="2811" w:type="dxa"/>
            <w:vAlign w:val="center"/>
          </w:tcPr>
          <w:p w14:paraId="55754443" w14:textId="1E0A1828" w:rsidR="00761004" w:rsidRPr="00374CFE" w:rsidRDefault="00761004" w:rsidP="00761004">
            <w:r w:rsidRPr="00D94DEA">
              <w:t>Leadership</w:t>
            </w:r>
          </w:p>
        </w:tc>
        <w:tc>
          <w:tcPr>
            <w:tcW w:w="2836" w:type="dxa"/>
            <w:vAlign w:val="center"/>
          </w:tcPr>
          <w:p w14:paraId="0EC89543" w14:textId="044D7267" w:rsidR="00761004" w:rsidRPr="00374CFE" w:rsidRDefault="00761004" w:rsidP="00761004">
            <w:r w:rsidRPr="00D94DEA">
              <w:t>Strategic approval</w:t>
            </w:r>
          </w:p>
        </w:tc>
        <w:tc>
          <w:tcPr>
            <w:tcW w:w="3704" w:type="dxa"/>
            <w:vAlign w:val="center"/>
          </w:tcPr>
          <w:p w14:paraId="4012D36D" w14:textId="2A2A91EA" w:rsidR="00761004" w:rsidRPr="00374CFE" w:rsidRDefault="00761004" w:rsidP="00761004">
            <w:r w:rsidRPr="00D94DEA">
              <w:t>Governance and direction setting</w:t>
            </w:r>
          </w:p>
        </w:tc>
      </w:tr>
      <w:tr w:rsidR="00761004" w:rsidRPr="00374CFE" w14:paraId="34040860" w14:textId="77777777" w:rsidTr="00761004">
        <w:tc>
          <w:tcPr>
            <w:tcW w:w="2811" w:type="dxa"/>
            <w:vAlign w:val="center"/>
          </w:tcPr>
          <w:p w14:paraId="6C45EC97" w14:textId="3E2C9633" w:rsidR="00761004" w:rsidRPr="00374CFE" w:rsidRDefault="00761004" w:rsidP="00761004">
            <w:r w:rsidRPr="00D94DEA">
              <w:t>System partners</w:t>
            </w:r>
          </w:p>
        </w:tc>
        <w:tc>
          <w:tcPr>
            <w:tcW w:w="2836" w:type="dxa"/>
            <w:vAlign w:val="center"/>
          </w:tcPr>
          <w:p w14:paraId="51923EDC" w14:textId="4F8AF459" w:rsidR="00761004" w:rsidRPr="00374CFE" w:rsidRDefault="00761004" w:rsidP="00761004">
            <w:r w:rsidRPr="00D94DEA">
              <w:t>Collaborative input</w:t>
            </w:r>
          </w:p>
        </w:tc>
        <w:tc>
          <w:tcPr>
            <w:tcW w:w="3704" w:type="dxa"/>
            <w:vAlign w:val="center"/>
          </w:tcPr>
          <w:p w14:paraId="72826E3D" w14:textId="20CCE1A9" w:rsidR="00761004" w:rsidRPr="00374CFE" w:rsidRDefault="00761004" w:rsidP="00761004">
            <w:r w:rsidRPr="00D94DEA">
              <w:t>Integration planning</w:t>
            </w:r>
          </w:p>
        </w:tc>
      </w:tr>
    </w:tbl>
    <w:p w14:paraId="4B67EAA3" w14:textId="77777777" w:rsidR="001C58B4" w:rsidRPr="00374CFE" w:rsidRDefault="001C58B4" w:rsidP="00D94DEA"/>
    <w:p w14:paraId="7C8F8128" w14:textId="479C1F41" w:rsidR="00D94DEA" w:rsidRPr="00D94DEA" w:rsidRDefault="00D94DEA" w:rsidP="00D94DEA">
      <w:r w:rsidRPr="00D94DEA">
        <w:t>Table 3: Evidence of stakeholder engagement</w:t>
      </w:r>
    </w:p>
    <w:p w14:paraId="5EAED780" w14:textId="5A359501" w:rsidR="00D94DEA" w:rsidRPr="00D94DEA" w:rsidRDefault="00D94DEA" w:rsidP="00D94DEA">
      <w:r w:rsidRPr="00D94DEA">
        <w:t>Th</w:t>
      </w:r>
      <w:r w:rsidR="001C58B4" w:rsidRPr="00374CFE">
        <w:t>e table 3</w:t>
      </w:r>
      <w:r w:rsidRPr="00D94DEA">
        <w:t xml:space="preserve"> helps me identify where engagement is strongest. I observe</w:t>
      </w:r>
      <w:r w:rsidR="003F1BC1" w:rsidRPr="00374CFE">
        <w:t>d</w:t>
      </w:r>
      <w:r w:rsidRPr="00D94DEA">
        <w:t xml:space="preserve"> that engagement has the most impact on operational improvements. However, </w:t>
      </w:r>
      <w:r w:rsidR="00854BAB" w:rsidRPr="00D94DEA">
        <w:t xml:space="preserve">engagement </w:t>
      </w:r>
      <w:r w:rsidR="00854BAB" w:rsidRPr="00D94DEA">
        <w:lastRenderedPageBreak/>
        <w:t>methods</w:t>
      </w:r>
      <w:r w:rsidRPr="00D94DEA">
        <w:t xml:space="preserve"> are not clearly described in terms of structure, frequency, or feedback resolution.</w:t>
      </w:r>
    </w:p>
    <w:p w14:paraId="748E3F96" w14:textId="5C309E7A" w:rsidR="00D94DEA" w:rsidRPr="00D94DEA" w:rsidRDefault="00D94DEA" w:rsidP="00D94DEA">
      <w:r w:rsidRPr="00D94DEA">
        <w:t xml:space="preserve">From my perspective, engagement is mostly consultative. Stakeholders provide feedback, but they are not fully involved in decision-making. This is important because co-production models are increasingly recommended in NHS digital strategy literature </w:t>
      </w:r>
      <w:sdt>
        <w:sdtPr>
          <w:rPr>
            <w:rFonts w:ascii="Aptos" w:hAnsi="Aptos"/>
            <w:color w:val="000000"/>
          </w:rPr>
          <w:tag w:val="MENDELEY_CITATION_v3_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"/>
          <w:id w:val="-872618297"/>
          <w:placeholder>
            <w:docPart w:val="DefaultPlaceholder_-1854013440"/>
          </w:placeholder>
        </w:sdtPr>
        <w:sdtContent>
          <w:r w:rsidR="00FF45FA" w:rsidRPr="00FF45FA">
            <w:rPr>
              <w:rFonts w:ascii="Aptos" w:hAnsi="Aptos"/>
              <w:color w:val="000000"/>
            </w:rPr>
            <w:t>(NHS England, 2024).</w:t>
          </w:r>
        </w:sdtContent>
      </w:sdt>
    </w:p>
    <w:p w14:paraId="102A4186" w14:textId="2FCDF896" w:rsidR="00D94DEA" w:rsidRPr="00D94DEA" w:rsidRDefault="00D94DEA" w:rsidP="00D94DEA"/>
    <w:p w14:paraId="4020780A" w14:textId="66DFB920" w:rsidR="00D94DEA" w:rsidRPr="00374CFE" w:rsidRDefault="00D94DEA" w:rsidP="001C58B4">
      <w:pPr>
        <w:pStyle w:val="Heading3"/>
        <w:rPr>
          <w:sz w:val="24"/>
          <w:szCs w:val="24"/>
        </w:rPr>
      </w:pPr>
      <w:r w:rsidRPr="00374CFE">
        <w:t>Stakeholder Involvement in Shaping the Strategy</w:t>
      </w:r>
    </w:p>
    <w:p w14:paraId="38A9E09D" w14:textId="3E323018" w:rsidR="00D94DEA" w:rsidRPr="00D94DEA" w:rsidRDefault="00D94DEA" w:rsidP="00D94DEA">
      <w:r w:rsidRPr="00D94DEA">
        <w:t>I observe</w:t>
      </w:r>
      <w:r w:rsidR="00E122E7" w:rsidRPr="00374CFE">
        <w:t>d</w:t>
      </w:r>
      <w:r w:rsidRPr="00D94DEA">
        <w:t xml:space="preserve"> that stakeholders have influenced several operational areas of the WAST Digital Plan. These include user experience improvements, automation pilots, workforce training, and digital capability development.</w:t>
      </w:r>
    </w:p>
    <w:p w14:paraId="681ABDBA" w14:textId="77777777" w:rsidR="00D94DEA" w:rsidRPr="00374CFE" w:rsidRDefault="00D94DEA" w:rsidP="00D94DEA">
      <w:r w:rsidRPr="00D94DEA">
        <w:t>Frontline staff feedback has helped improve electronic patient records and mobile systems. Patients have influenced improvements in access and triage systems. These changes show that stakeholder input has been translated into practical outcomes.</w:t>
      </w:r>
    </w:p>
    <w:tbl>
      <w:tblPr>
        <w:tblStyle w:val="TableGrid"/>
        <w:tblW w:w="0" w:type="auto"/>
        <w:tblLayout w:type="fixed"/>
        <w:tblLook w:val="04A0" w:firstRow="1" w:lastRow="0" w:firstColumn="1" w:lastColumn="0" w:noHBand="0" w:noVBand="1"/>
      </w:tblPr>
      <w:tblGrid>
        <w:gridCol w:w="2405"/>
        <w:gridCol w:w="3544"/>
        <w:gridCol w:w="2977"/>
      </w:tblGrid>
      <w:tr w:rsidR="001C58B4" w:rsidRPr="00374CFE" w14:paraId="6E414FB6" w14:textId="77777777" w:rsidTr="001C58B4">
        <w:tc>
          <w:tcPr>
            <w:tcW w:w="2405" w:type="dxa"/>
            <w:vAlign w:val="center"/>
          </w:tcPr>
          <w:p w14:paraId="625C113E" w14:textId="13BFB315" w:rsidR="001C58B4" w:rsidRPr="00374CFE" w:rsidRDefault="001C58B4" w:rsidP="001C58B4">
            <w:r w:rsidRPr="00D94DEA">
              <w:t>Area of influence</w:t>
            </w:r>
          </w:p>
        </w:tc>
        <w:tc>
          <w:tcPr>
            <w:tcW w:w="3544" w:type="dxa"/>
            <w:vAlign w:val="center"/>
          </w:tcPr>
          <w:p w14:paraId="010E696B" w14:textId="3C45F6E2" w:rsidR="001C58B4" w:rsidRPr="00374CFE" w:rsidRDefault="001C58B4" w:rsidP="001C58B4">
            <w:r w:rsidRPr="00D94DEA">
              <w:t>Examples</w:t>
            </w:r>
          </w:p>
        </w:tc>
        <w:tc>
          <w:tcPr>
            <w:tcW w:w="2977" w:type="dxa"/>
            <w:vAlign w:val="center"/>
          </w:tcPr>
          <w:p w14:paraId="20EEE4F2" w14:textId="631D162A" w:rsidR="001C58B4" w:rsidRPr="00374CFE" w:rsidRDefault="001C58B4" w:rsidP="001C58B4">
            <w:r w:rsidRPr="00D94DEA">
              <w:t>Level of impact</w:t>
            </w:r>
          </w:p>
        </w:tc>
      </w:tr>
      <w:tr w:rsidR="001C58B4" w:rsidRPr="00374CFE" w14:paraId="286E81F1" w14:textId="77777777" w:rsidTr="001C58B4">
        <w:tc>
          <w:tcPr>
            <w:tcW w:w="2405" w:type="dxa"/>
            <w:vAlign w:val="center"/>
          </w:tcPr>
          <w:p w14:paraId="195D1702" w14:textId="6DE82FD5" w:rsidR="001C58B4" w:rsidRPr="00374CFE" w:rsidRDefault="001C58B4" w:rsidP="001C58B4">
            <w:r w:rsidRPr="00D94DEA">
              <w:t>User experience</w:t>
            </w:r>
          </w:p>
        </w:tc>
        <w:tc>
          <w:tcPr>
            <w:tcW w:w="3544" w:type="dxa"/>
            <w:vAlign w:val="center"/>
          </w:tcPr>
          <w:p w14:paraId="23487039" w14:textId="7F7FF1C4" w:rsidR="001C58B4" w:rsidRPr="00374CFE" w:rsidRDefault="001C58B4" w:rsidP="001C58B4">
            <w:r w:rsidRPr="00D94DEA">
              <w:t>EPR usability improvements</w:t>
            </w:r>
          </w:p>
        </w:tc>
        <w:tc>
          <w:tcPr>
            <w:tcW w:w="2977" w:type="dxa"/>
            <w:vAlign w:val="center"/>
          </w:tcPr>
          <w:p w14:paraId="2D05F74A" w14:textId="6A6AE1EA" w:rsidR="001C58B4" w:rsidRPr="00374CFE" w:rsidRDefault="001C58B4" w:rsidP="001C58B4">
            <w:r w:rsidRPr="00D94DEA">
              <w:t>High operational impact</w:t>
            </w:r>
          </w:p>
        </w:tc>
      </w:tr>
      <w:tr w:rsidR="001C58B4" w:rsidRPr="00374CFE" w14:paraId="4EFDE6A3" w14:textId="77777777" w:rsidTr="001C58B4">
        <w:tc>
          <w:tcPr>
            <w:tcW w:w="2405" w:type="dxa"/>
            <w:vAlign w:val="center"/>
          </w:tcPr>
          <w:p w14:paraId="06D1847F" w14:textId="2169B5A3" w:rsidR="001C58B4" w:rsidRPr="00374CFE" w:rsidRDefault="001C58B4" w:rsidP="001C58B4">
            <w:r w:rsidRPr="00D94DEA">
              <w:t>Automation</w:t>
            </w:r>
          </w:p>
        </w:tc>
        <w:tc>
          <w:tcPr>
            <w:tcW w:w="3544" w:type="dxa"/>
            <w:vAlign w:val="center"/>
          </w:tcPr>
          <w:p w14:paraId="2ED4AB31" w14:textId="6F69E9B5" w:rsidR="001C58B4" w:rsidRPr="00374CFE" w:rsidRDefault="001C58B4" w:rsidP="001C58B4">
            <w:r w:rsidRPr="00D94DEA">
              <w:t>Workflow automation pilots</w:t>
            </w:r>
          </w:p>
        </w:tc>
        <w:tc>
          <w:tcPr>
            <w:tcW w:w="2977" w:type="dxa"/>
            <w:vAlign w:val="center"/>
          </w:tcPr>
          <w:p w14:paraId="2FB85357" w14:textId="4D37A722" w:rsidR="001C58B4" w:rsidRPr="00374CFE" w:rsidRDefault="001C58B4" w:rsidP="001C58B4">
            <w:r w:rsidRPr="00D94DEA">
              <w:t>Moderate to high</w:t>
            </w:r>
          </w:p>
        </w:tc>
      </w:tr>
      <w:tr w:rsidR="001C58B4" w:rsidRPr="00374CFE" w14:paraId="109EFF08" w14:textId="77777777" w:rsidTr="001C58B4">
        <w:tc>
          <w:tcPr>
            <w:tcW w:w="2405" w:type="dxa"/>
            <w:vAlign w:val="center"/>
          </w:tcPr>
          <w:p w14:paraId="4157D5B4" w14:textId="6B13B038" w:rsidR="001C58B4" w:rsidRPr="00374CFE" w:rsidRDefault="001C58B4" w:rsidP="001C58B4">
            <w:r w:rsidRPr="00D94DEA">
              <w:t>Digital capability</w:t>
            </w:r>
          </w:p>
        </w:tc>
        <w:tc>
          <w:tcPr>
            <w:tcW w:w="3544" w:type="dxa"/>
            <w:vAlign w:val="center"/>
          </w:tcPr>
          <w:p w14:paraId="61AE361A" w14:textId="6D5C519F" w:rsidR="001C58B4" w:rsidRPr="00374CFE" w:rsidRDefault="001C58B4" w:rsidP="001C58B4">
            <w:r w:rsidRPr="00D94DEA">
              <w:t>Training and workforce support</w:t>
            </w:r>
          </w:p>
        </w:tc>
        <w:tc>
          <w:tcPr>
            <w:tcW w:w="2977" w:type="dxa"/>
            <w:vAlign w:val="center"/>
          </w:tcPr>
          <w:p w14:paraId="735E69DF" w14:textId="09B43594" w:rsidR="001C58B4" w:rsidRPr="00374CFE" w:rsidRDefault="001C58B4" w:rsidP="001C58B4">
            <w:r w:rsidRPr="00D94DEA">
              <w:t>Organisational development</w:t>
            </w:r>
          </w:p>
        </w:tc>
      </w:tr>
      <w:tr w:rsidR="001C58B4" w:rsidRPr="00374CFE" w14:paraId="2F5F8689" w14:textId="77777777" w:rsidTr="001C58B4">
        <w:tc>
          <w:tcPr>
            <w:tcW w:w="2405" w:type="dxa"/>
            <w:vAlign w:val="center"/>
          </w:tcPr>
          <w:p w14:paraId="7A772DF8" w14:textId="61782922" w:rsidR="001C58B4" w:rsidRPr="00374CFE" w:rsidRDefault="001C58B4" w:rsidP="001C58B4">
            <w:r w:rsidRPr="00D94DEA">
              <w:t>Service access</w:t>
            </w:r>
          </w:p>
        </w:tc>
        <w:tc>
          <w:tcPr>
            <w:tcW w:w="3544" w:type="dxa"/>
            <w:vAlign w:val="center"/>
          </w:tcPr>
          <w:p w14:paraId="492B77D5" w14:textId="59CEEA4C" w:rsidR="001C58B4" w:rsidRPr="00374CFE" w:rsidRDefault="001C58B4" w:rsidP="001C58B4">
            <w:r w:rsidRPr="00D94DEA">
              <w:t>NHS 111 enhancements</w:t>
            </w:r>
          </w:p>
        </w:tc>
        <w:tc>
          <w:tcPr>
            <w:tcW w:w="2977" w:type="dxa"/>
            <w:vAlign w:val="center"/>
          </w:tcPr>
          <w:p w14:paraId="23A10038" w14:textId="71FF437E" w:rsidR="001C58B4" w:rsidRPr="00374CFE" w:rsidRDefault="001C58B4" w:rsidP="001C58B4">
            <w:r w:rsidRPr="00D94DEA">
              <w:t>Patient-facing improvement</w:t>
            </w:r>
          </w:p>
        </w:tc>
      </w:tr>
    </w:tbl>
    <w:p w14:paraId="06837D65" w14:textId="77777777" w:rsidR="001C58B4" w:rsidRPr="00374CFE" w:rsidRDefault="001C58B4" w:rsidP="00D94DEA"/>
    <w:p w14:paraId="64ED687A" w14:textId="4D45B6D2" w:rsidR="00D94DEA" w:rsidRPr="00D94DEA" w:rsidRDefault="00D94DEA" w:rsidP="00D94DEA">
      <w:r w:rsidRPr="00D94DEA">
        <w:t>Table 4: Areas influenced by stakeholder input</w:t>
      </w:r>
    </w:p>
    <w:p w14:paraId="17C2FD9B" w14:textId="245D7DF7" w:rsidR="00D94DEA" w:rsidRPr="00D94DEA" w:rsidRDefault="00D94DEA" w:rsidP="00D94DEA">
      <w:r w:rsidRPr="00D94DEA">
        <w:t xml:space="preserve">From my analysis, stakeholder influence is strongest in operational and technical areas. However, I </w:t>
      </w:r>
      <w:r w:rsidR="00E122E7" w:rsidRPr="00374CFE">
        <w:t>found</w:t>
      </w:r>
      <w:r w:rsidRPr="00D94DEA">
        <w:t xml:space="preserve"> limited evidence of involvement in strategic decision-making. For example, stakeholders are not clearly involved in defining performance metrics, governance structures, or risk frameworks.</w:t>
      </w:r>
    </w:p>
    <w:p w14:paraId="2E87D836" w14:textId="77777777" w:rsidR="00D94DEA" w:rsidRPr="00D94DEA" w:rsidRDefault="00D94DEA" w:rsidP="00D94DEA">
      <w:r w:rsidRPr="00D94DEA">
        <w:t>The King’s Fund (2024) highlights that digital transformation is more effective when stakeholders are involved in both design and governance stages. This ensures better alignment between system design and real-world service needs.</w:t>
      </w:r>
    </w:p>
    <w:p w14:paraId="2C7E4C3C" w14:textId="23CF7424" w:rsidR="00D94DEA" w:rsidRPr="00D94DEA" w:rsidRDefault="00D94DEA" w:rsidP="00D94DEA">
      <w:r w:rsidRPr="00D94DEA">
        <w:t xml:space="preserve">I </w:t>
      </w:r>
      <w:r w:rsidR="00BB10DE" w:rsidRPr="00374CFE">
        <w:t>have also found</w:t>
      </w:r>
      <w:r w:rsidRPr="00D94DEA">
        <w:t xml:space="preserve"> that while feedback is used to improve systems, there is limited transparency on how competing stakeholder views are managed. This is important in complex healthcare systems where priorities often conflict.</w:t>
      </w:r>
    </w:p>
    <w:p w14:paraId="5FFB38A0" w14:textId="26B2C14A" w:rsidR="00640E52" w:rsidRPr="00374CFE" w:rsidRDefault="00640E52" w:rsidP="00374CFE">
      <w:pPr>
        <w:pStyle w:val="Heading2"/>
      </w:pPr>
      <w:r w:rsidRPr="00374CFE">
        <w:t xml:space="preserve">Identified Gaps </w:t>
      </w:r>
    </w:p>
    <w:p w14:paraId="43B82ED0" w14:textId="5809D5B0" w:rsidR="00640E52" w:rsidRPr="00640E52" w:rsidRDefault="00640E52" w:rsidP="00640E52">
      <w:r w:rsidRPr="00640E52">
        <w:t xml:space="preserve">In my analysis of the WAST Digital Plan 2024–2029, </w:t>
      </w:r>
      <w:r w:rsidR="008E5815" w:rsidRPr="00374CFE">
        <w:t>I have</w:t>
      </w:r>
      <w:r w:rsidR="00A76D6A" w:rsidRPr="00374CFE">
        <w:t xml:space="preserve"> </w:t>
      </w:r>
      <w:r w:rsidR="00604D77" w:rsidRPr="00374CFE">
        <w:t>identified</w:t>
      </w:r>
      <w:r w:rsidRPr="00640E52">
        <w:t xml:space="preserve"> important gaps in stakeholder practice. These gaps do not suggest failure. Instead, they highlight areas </w:t>
      </w:r>
      <w:r w:rsidRPr="00640E52">
        <w:lastRenderedPageBreak/>
        <w:t>where stakeholder management could be strengthened to support more effective digital transformation.</w:t>
      </w:r>
    </w:p>
    <w:p w14:paraId="28371A34" w14:textId="2002EB61" w:rsidR="001C58B4" w:rsidRPr="00374CFE" w:rsidRDefault="00640E52" w:rsidP="00640E52">
      <w:r w:rsidRPr="00640E52">
        <w:t>To summarise these gaps clearly, I have organised them into a table below before providing a reflective explanation</w:t>
      </w:r>
      <w:r w:rsidR="00461533" w:rsidRPr="00374CFE">
        <w:t xml:space="preserve"> of it</w:t>
      </w:r>
      <w:r w:rsidRPr="00640E52">
        <w:t>.</w:t>
      </w:r>
    </w:p>
    <w:tbl>
      <w:tblPr>
        <w:tblStyle w:val="TableGrid"/>
        <w:tblW w:w="9351" w:type="dxa"/>
        <w:tblLook w:val="04A0" w:firstRow="1" w:lastRow="0" w:firstColumn="1" w:lastColumn="0" w:noHBand="0" w:noVBand="1"/>
      </w:tblPr>
      <w:tblGrid>
        <w:gridCol w:w="2263"/>
        <w:gridCol w:w="3119"/>
        <w:gridCol w:w="3969"/>
      </w:tblGrid>
      <w:tr w:rsidR="00636A6F" w:rsidRPr="00374CFE" w14:paraId="52E340EF" w14:textId="77777777" w:rsidTr="00636A6F">
        <w:tc>
          <w:tcPr>
            <w:tcW w:w="2263" w:type="dxa"/>
            <w:vAlign w:val="center"/>
          </w:tcPr>
          <w:p w14:paraId="1C8F78FA" w14:textId="3FA2F018" w:rsidR="00636A6F" w:rsidRPr="00374CFE" w:rsidRDefault="00636A6F" w:rsidP="001C58B4">
            <w:pPr>
              <w:rPr>
                <w:b/>
                <w:bCs/>
              </w:rPr>
            </w:pPr>
            <w:r w:rsidRPr="00640E52">
              <w:rPr>
                <w:b/>
                <w:bCs/>
              </w:rPr>
              <w:t>Area of gap</w:t>
            </w:r>
          </w:p>
        </w:tc>
        <w:tc>
          <w:tcPr>
            <w:tcW w:w="3119" w:type="dxa"/>
            <w:vAlign w:val="center"/>
          </w:tcPr>
          <w:p w14:paraId="4720CF2F" w14:textId="68E19C56" w:rsidR="00636A6F" w:rsidRPr="00374CFE" w:rsidRDefault="00636A6F" w:rsidP="001C58B4">
            <w:pPr>
              <w:rPr>
                <w:b/>
                <w:bCs/>
              </w:rPr>
            </w:pPr>
            <w:r w:rsidRPr="00640E52">
              <w:rPr>
                <w:b/>
                <w:bCs/>
              </w:rPr>
              <w:t>Key issue identified</w:t>
            </w:r>
          </w:p>
        </w:tc>
        <w:tc>
          <w:tcPr>
            <w:tcW w:w="3969" w:type="dxa"/>
            <w:vAlign w:val="center"/>
          </w:tcPr>
          <w:p w14:paraId="68025BBD" w14:textId="16DD6D3B" w:rsidR="00636A6F" w:rsidRPr="00374CFE" w:rsidRDefault="00636A6F" w:rsidP="001C58B4">
            <w:pPr>
              <w:rPr>
                <w:b/>
                <w:bCs/>
              </w:rPr>
            </w:pPr>
            <w:r w:rsidRPr="00640E52">
              <w:rPr>
                <w:b/>
                <w:bCs/>
              </w:rPr>
              <w:t>My interpretation</w:t>
            </w:r>
          </w:p>
        </w:tc>
      </w:tr>
      <w:tr w:rsidR="00636A6F" w:rsidRPr="00374CFE" w14:paraId="530A6768" w14:textId="77777777" w:rsidTr="00636A6F">
        <w:tc>
          <w:tcPr>
            <w:tcW w:w="2263" w:type="dxa"/>
            <w:vAlign w:val="center"/>
          </w:tcPr>
          <w:p w14:paraId="63D03636" w14:textId="47B41F90" w:rsidR="00636A6F" w:rsidRPr="00374CFE" w:rsidRDefault="00636A6F" w:rsidP="001C58B4">
            <w:r w:rsidRPr="00640E52">
              <w:t>Stakeholder mapping</w:t>
            </w:r>
          </w:p>
        </w:tc>
        <w:tc>
          <w:tcPr>
            <w:tcW w:w="3119" w:type="dxa"/>
            <w:vAlign w:val="center"/>
          </w:tcPr>
          <w:p w14:paraId="45BC9946" w14:textId="642BBAD1" w:rsidR="00636A6F" w:rsidRPr="00374CFE" w:rsidRDefault="00636A6F" w:rsidP="001C58B4">
            <w:r w:rsidRPr="00640E52">
              <w:t>Lack of formal tools such as RACI or stakeholder matrices</w:t>
            </w:r>
          </w:p>
        </w:tc>
        <w:tc>
          <w:tcPr>
            <w:tcW w:w="3969" w:type="dxa"/>
            <w:vAlign w:val="center"/>
          </w:tcPr>
          <w:p w14:paraId="0C1DC06B" w14:textId="3E80CB64" w:rsidR="00636A6F" w:rsidRPr="00374CFE" w:rsidRDefault="00636A6F" w:rsidP="001C58B4">
            <w:r w:rsidRPr="00640E52">
              <w:t>Reduces clarity, consistency, and transparency in engagement</w:t>
            </w:r>
          </w:p>
        </w:tc>
      </w:tr>
      <w:tr w:rsidR="00636A6F" w:rsidRPr="00374CFE" w14:paraId="697EBC88" w14:textId="77777777" w:rsidTr="00636A6F">
        <w:tc>
          <w:tcPr>
            <w:tcW w:w="2263" w:type="dxa"/>
            <w:vAlign w:val="center"/>
          </w:tcPr>
          <w:p w14:paraId="726BB58E" w14:textId="6E0793AB" w:rsidR="00636A6F" w:rsidRPr="00374CFE" w:rsidRDefault="00636A6F" w:rsidP="001C58B4">
            <w:r w:rsidRPr="00640E52">
              <w:t>Engagement depth</w:t>
            </w:r>
          </w:p>
        </w:tc>
        <w:tc>
          <w:tcPr>
            <w:tcW w:w="3119" w:type="dxa"/>
            <w:vAlign w:val="center"/>
          </w:tcPr>
          <w:p w14:paraId="2920ED37" w14:textId="33B8E6E1" w:rsidR="00636A6F" w:rsidRPr="00374CFE" w:rsidRDefault="00636A6F" w:rsidP="001C58B4">
            <w:r w:rsidRPr="00640E52">
              <w:t>Uneven involvement across stakeholder groups</w:t>
            </w:r>
          </w:p>
        </w:tc>
        <w:tc>
          <w:tcPr>
            <w:tcW w:w="3969" w:type="dxa"/>
            <w:vAlign w:val="center"/>
          </w:tcPr>
          <w:p w14:paraId="7FC23D94" w14:textId="1D5D3921" w:rsidR="00636A6F" w:rsidRPr="00374CFE" w:rsidRDefault="00636A6F" w:rsidP="001C58B4">
            <w:r w:rsidRPr="00640E52">
              <w:t>Risk of over-reliance on operational voices only</w:t>
            </w:r>
          </w:p>
        </w:tc>
      </w:tr>
      <w:tr w:rsidR="00636A6F" w:rsidRPr="00374CFE" w14:paraId="11ECE2E2" w14:textId="77777777" w:rsidTr="00636A6F">
        <w:tc>
          <w:tcPr>
            <w:tcW w:w="2263" w:type="dxa"/>
            <w:vAlign w:val="center"/>
          </w:tcPr>
          <w:p w14:paraId="693239D7" w14:textId="1C656435" w:rsidR="00636A6F" w:rsidRPr="00374CFE" w:rsidRDefault="00636A6F" w:rsidP="001C58B4">
            <w:r w:rsidRPr="00640E52">
              <w:t>Feedback loops</w:t>
            </w:r>
          </w:p>
        </w:tc>
        <w:tc>
          <w:tcPr>
            <w:tcW w:w="3119" w:type="dxa"/>
            <w:vAlign w:val="center"/>
          </w:tcPr>
          <w:p w14:paraId="46E1CD77" w14:textId="1A5BFBD8" w:rsidR="00636A6F" w:rsidRPr="00374CFE" w:rsidRDefault="00636A6F" w:rsidP="001C58B4">
            <w:r w:rsidRPr="00640E52">
              <w:t xml:space="preserve">Limited </w:t>
            </w:r>
            <w:r w:rsidR="00482BE5" w:rsidRPr="00374CFE">
              <w:t>feedback</w:t>
            </w:r>
            <w:r w:rsidRPr="00640E52">
              <w:t xml:space="preserve"> mechanisms</w:t>
            </w:r>
          </w:p>
        </w:tc>
        <w:tc>
          <w:tcPr>
            <w:tcW w:w="3969" w:type="dxa"/>
            <w:vAlign w:val="center"/>
          </w:tcPr>
          <w:p w14:paraId="4F76675E" w14:textId="63AAB25B" w:rsidR="00636A6F" w:rsidRPr="00374CFE" w:rsidRDefault="00636A6F" w:rsidP="001C58B4">
            <w:r w:rsidRPr="00640E52">
              <w:t>Weakens trust and limits organisational learning</w:t>
            </w:r>
          </w:p>
        </w:tc>
      </w:tr>
      <w:tr w:rsidR="00636A6F" w:rsidRPr="00374CFE" w14:paraId="7B847ABD" w14:textId="77777777" w:rsidTr="00636A6F">
        <w:tc>
          <w:tcPr>
            <w:tcW w:w="2263" w:type="dxa"/>
            <w:vAlign w:val="center"/>
          </w:tcPr>
          <w:p w14:paraId="1D9C4960" w14:textId="268948B1" w:rsidR="00636A6F" w:rsidRPr="00374CFE" w:rsidRDefault="00636A6F" w:rsidP="001C58B4">
            <w:r w:rsidRPr="00640E52">
              <w:t>Strategic co-production</w:t>
            </w:r>
          </w:p>
        </w:tc>
        <w:tc>
          <w:tcPr>
            <w:tcW w:w="3119" w:type="dxa"/>
            <w:vAlign w:val="center"/>
          </w:tcPr>
          <w:p w14:paraId="0FB797E8" w14:textId="7BB67CE6" w:rsidR="00636A6F" w:rsidRPr="00374CFE" w:rsidRDefault="00636A6F" w:rsidP="001C58B4">
            <w:r w:rsidRPr="00640E52">
              <w:t>Limited stakeholder influence at strategy level</w:t>
            </w:r>
          </w:p>
        </w:tc>
        <w:tc>
          <w:tcPr>
            <w:tcW w:w="3969" w:type="dxa"/>
            <w:vAlign w:val="center"/>
          </w:tcPr>
          <w:p w14:paraId="142DF192" w14:textId="36CDAFB5" w:rsidR="00636A6F" w:rsidRPr="00374CFE" w:rsidRDefault="00636A6F" w:rsidP="001C58B4">
            <w:r w:rsidRPr="00640E52">
              <w:t xml:space="preserve">Engagement remains </w:t>
            </w:r>
            <w:r w:rsidR="00A76D6A" w:rsidRPr="00374CFE">
              <w:t>consultative</w:t>
            </w:r>
            <w:r w:rsidRPr="00640E52">
              <w:t xml:space="preserve"> rather than shared decision-making</w:t>
            </w:r>
          </w:p>
        </w:tc>
      </w:tr>
      <w:tr w:rsidR="00636A6F" w:rsidRPr="00374CFE" w14:paraId="6C66AD87" w14:textId="77777777" w:rsidTr="00636A6F">
        <w:tc>
          <w:tcPr>
            <w:tcW w:w="2263" w:type="dxa"/>
            <w:vAlign w:val="center"/>
          </w:tcPr>
          <w:p w14:paraId="2C14A634" w14:textId="520F05E3" w:rsidR="00636A6F" w:rsidRPr="00374CFE" w:rsidRDefault="00636A6F" w:rsidP="001C58B4">
            <w:r w:rsidRPr="00640E52">
              <w:t>Cross-boundary working</w:t>
            </w:r>
          </w:p>
        </w:tc>
        <w:tc>
          <w:tcPr>
            <w:tcW w:w="3119" w:type="dxa"/>
            <w:vAlign w:val="center"/>
          </w:tcPr>
          <w:p w14:paraId="2F38D9A1" w14:textId="2561BEBE" w:rsidR="00636A6F" w:rsidRPr="00374CFE" w:rsidRDefault="00636A6F" w:rsidP="001C58B4">
            <w:r w:rsidRPr="00640E52">
              <w:t>Limited involvement of social and community partners</w:t>
            </w:r>
          </w:p>
        </w:tc>
        <w:tc>
          <w:tcPr>
            <w:tcW w:w="3969" w:type="dxa"/>
            <w:vAlign w:val="center"/>
          </w:tcPr>
          <w:p w14:paraId="671F9F53" w14:textId="5BCEFC97" w:rsidR="00636A6F" w:rsidRPr="00374CFE" w:rsidRDefault="00636A6F" w:rsidP="001C58B4">
            <w:r w:rsidRPr="00640E52">
              <w:t>Restricts system-wide integration and interoperability</w:t>
            </w:r>
          </w:p>
        </w:tc>
      </w:tr>
    </w:tbl>
    <w:p w14:paraId="5907F721" w14:textId="6A8770D1" w:rsidR="00640E52" w:rsidRPr="00640E52" w:rsidRDefault="001C58B4" w:rsidP="00640E52">
      <w:r w:rsidRPr="00374CFE">
        <w:br/>
      </w:r>
      <w:r w:rsidR="00640E52" w:rsidRPr="00640E52">
        <w:t xml:space="preserve">Table </w:t>
      </w:r>
      <w:r w:rsidRPr="00374CFE">
        <w:t>5</w:t>
      </w:r>
      <w:r w:rsidR="00640E52" w:rsidRPr="00640E52">
        <w:t xml:space="preserve">: Summary of Identified </w:t>
      </w:r>
      <w:r w:rsidRPr="00640E52">
        <w:t>Gaps</w:t>
      </w:r>
      <w:r w:rsidRPr="00374CFE">
        <w:t xml:space="preserve"> </w:t>
      </w:r>
    </w:p>
    <w:p w14:paraId="3B67A0D8" w14:textId="31D8B251" w:rsidR="00640E52" w:rsidRPr="00640E52" w:rsidRDefault="00640E52" w:rsidP="00640E52">
      <w:r w:rsidRPr="00640E52">
        <w:t>The table</w:t>
      </w:r>
      <w:r w:rsidR="001C58B4" w:rsidRPr="00374CFE">
        <w:t xml:space="preserve"> 5</w:t>
      </w:r>
      <w:r w:rsidRPr="00640E52">
        <w:t xml:space="preserve"> above summarises the </w:t>
      </w:r>
      <w:r w:rsidR="00A76D6A" w:rsidRPr="00374CFE">
        <w:t>fundamental areas</w:t>
      </w:r>
      <w:r w:rsidRPr="00640E52">
        <w:t xml:space="preserve"> where I</w:t>
      </w:r>
      <w:r w:rsidR="00A76D6A" w:rsidRPr="00374CFE">
        <w:t xml:space="preserve"> have</w:t>
      </w:r>
      <w:r w:rsidRPr="00640E52">
        <w:t xml:space="preserve"> </w:t>
      </w:r>
      <w:r w:rsidR="00604D77" w:rsidRPr="00374CFE">
        <w:t>identified</w:t>
      </w:r>
      <w:r w:rsidRPr="00640E52">
        <w:t xml:space="preserve"> limitations in current stakeholder practice. Each gap is interconnected and contributes to a broader issue of inconsistent stakeholder integration across strategic and operational levels.</w:t>
      </w:r>
    </w:p>
    <w:p w14:paraId="11925CCE" w14:textId="3A15E0DF" w:rsidR="00640E52" w:rsidRPr="00640E52" w:rsidRDefault="008E5815" w:rsidP="00640E52">
      <w:r w:rsidRPr="00374CFE">
        <w:t>I have found that</w:t>
      </w:r>
      <w:r w:rsidR="00640E52" w:rsidRPr="00640E52">
        <w:t xml:space="preserve"> the absence of formal stakeholder mapping is particularly significant because it affects how clearly roles, responsibilities, and influence are understood across the organisation. Without structured tools such as stakeholder matrices or RACI frameworks, engagement becomes more dependent on informal knowledge. NHS England (2024) emphasises that structured governance tools are essential in complex digital programmes to ensure clarity and accountability. From my perspective, this lack of structure reduces consistency across initiatives and makes engagement harder to replicate or evaluate.</w:t>
      </w:r>
    </w:p>
    <w:p w14:paraId="36FF189D" w14:textId="4AD74956" w:rsidR="00640E52" w:rsidRPr="00640E52" w:rsidRDefault="004530C7" w:rsidP="00640E52">
      <w:r w:rsidRPr="00374CFE">
        <w:t>I have</w:t>
      </w:r>
      <w:r w:rsidR="00BB10DE" w:rsidRPr="00374CFE">
        <w:t xml:space="preserve"> </w:t>
      </w:r>
      <w:r w:rsidR="00640E52" w:rsidRPr="00640E52">
        <w:t xml:space="preserve">also </w:t>
      </w:r>
      <w:r w:rsidRPr="00374CFE">
        <w:t>observed</w:t>
      </w:r>
      <w:r w:rsidR="00640E52" w:rsidRPr="00640E52">
        <w:t xml:space="preserve"> that engagement is uneven across stakeholder groups. While frontline staff and patients are strongly represented, other groups such as information professionals, corporate services, equality and inclusion stakeholders, and workforce development teams are less visible. The King’s Fund (2024) highlights that successful digital transformation requires balanced engagement across clinical, technical, and organisational domains. In my analysis, this imbalance risks over-prioritising operational perspectives while under-representing system-level and equity-focused considerations.</w:t>
      </w:r>
    </w:p>
    <w:p w14:paraId="73600757" w14:textId="6E8CAA86" w:rsidR="00640E52" w:rsidRPr="00640E52" w:rsidRDefault="00640E52" w:rsidP="00640E52">
      <w:r w:rsidRPr="00640E52">
        <w:lastRenderedPageBreak/>
        <w:t>Another key limitation is the lack of visible feedback loops. From my perspective, this absence weakens transparency and makes it difficult for stakeholders to see how their input influences decisions. It also limits organisational learning and reduces perceived accountability.</w:t>
      </w:r>
    </w:p>
    <w:p w14:paraId="4606794F" w14:textId="6103377C" w:rsidR="00640E52" w:rsidRPr="00640E52" w:rsidRDefault="00640E52" w:rsidP="00640E52">
      <w:r w:rsidRPr="00640E52">
        <w:t xml:space="preserve">I </w:t>
      </w:r>
      <w:r w:rsidR="004530C7" w:rsidRPr="00374CFE">
        <w:t xml:space="preserve">have </w:t>
      </w:r>
      <w:r w:rsidRPr="00640E52">
        <w:t xml:space="preserve">also </w:t>
      </w:r>
      <w:r w:rsidR="004530C7" w:rsidRPr="00374CFE">
        <w:t>identified</w:t>
      </w:r>
      <w:r w:rsidRPr="00640E52">
        <w:t xml:space="preserve"> a gap in strategic-level co-production. While stakeholder engagement is evident in operational improvements, there is limited evidence of involvement in strategic decisions such as investment prioritisation, definition of long-term outcomes, or governance of transformation sequencing. NHS England (2024) highlights that effective digital transformation requires co-production at both design and strategic levels. In my view, the current approach remains closer to consultation than shared decision-making, which limits ownership of long-term strategy.</w:t>
      </w:r>
    </w:p>
    <w:p w14:paraId="6F61E95B" w14:textId="28504C7C" w:rsidR="00640E52" w:rsidRPr="00374CFE" w:rsidRDefault="00640E52" w:rsidP="00640E52">
      <w:r w:rsidRPr="00640E52">
        <w:t xml:space="preserve">Finally, I </w:t>
      </w:r>
      <w:r w:rsidR="004314B2" w:rsidRPr="00374CFE">
        <w:t>have observed</w:t>
      </w:r>
      <w:r w:rsidRPr="00640E52">
        <w:t xml:space="preserve"> that cross-boundary engagement is </w:t>
      </w:r>
      <w:r w:rsidR="00422FD2" w:rsidRPr="00374CFE">
        <w:t>limited</w:t>
      </w:r>
      <w:r w:rsidRPr="00640E52">
        <w:t>. Although alignment with NHS Wales structures is strong, there is less visible involvement of external partners such as social care services, local authorities, and third-sector organisations. The King’s Fund (2024) stresses that integrated care systems rely on strong cross-sector collaboration to achieve interoperability and continuity of care. From my analysis, this gap may restrict the full potential of integrated digital health systems and limit wider system transformation.</w:t>
      </w:r>
    </w:p>
    <w:p w14:paraId="502B0DB9" w14:textId="77777777" w:rsidR="00640E52" w:rsidRPr="00374CFE" w:rsidRDefault="00640E52" w:rsidP="00374CFE">
      <w:pPr>
        <w:pStyle w:val="Heading2"/>
      </w:pPr>
      <w:r w:rsidRPr="00374CFE">
        <w:t>Recommended Improvement Actions</w:t>
      </w:r>
    </w:p>
    <w:p w14:paraId="1EBA4920" w14:textId="59C29452" w:rsidR="00640E52" w:rsidRPr="00374CFE" w:rsidRDefault="00640E52" w:rsidP="00640E52">
      <w:r w:rsidRPr="00640E52">
        <w:t xml:space="preserve">Building on the gaps I identified in current practice, I set out a series of improvement actions to strengthen stakeholder identification, engagement, and governance within the WAST Digital Plan. </w:t>
      </w:r>
    </w:p>
    <w:p w14:paraId="270C216C" w14:textId="77777777" w:rsidR="00636A6F" w:rsidRPr="00374CFE" w:rsidRDefault="00636A6F" w:rsidP="00640E52"/>
    <w:tbl>
      <w:tblPr>
        <w:tblStyle w:val="TableGrid"/>
        <w:tblW w:w="9493" w:type="dxa"/>
        <w:tblLook w:val="04A0" w:firstRow="1" w:lastRow="0" w:firstColumn="1" w:lastColumn="0" w:noHBand="0" w:noVBand="1"/>
      </w:tblPr>
      <w:tblGrid>
        <w:gridCol w:w="2689"/>
        <w:gridCol w:w="3260"/>
        <w:gridCol w:w="3544"/>
      </w:tblGrid>
      <w:tr w:rsidR="00636A6F" w:rsidRPr="00374CFE" w14:paraId="0628C9BE" w14:textId="77777777" w:rsidTr="00636A6F">
        <w:tc>
          <w:tcPr>
            <w:tcW w:w="2689" w:type="dxa"/>
            <w:vAlign w:val="center"/>
          </w:tcPr>
          <w:p w14:paraId="51AC8BBD" w14:textId="3CDF76B5" w:rsidR="00636A6F" w:rsidRPr="00374CFE" w:rsidRDefault="00636A6F" w:rsidP="00636A6F">
            <w:pPr>
              <w:rPr>
                <w:b/>
                <w:bCs/>
              </w:rPr>
            </w:pPr>
            <w:r w:rsidRPr="00640E52">
              <w:rPr>
                <w:b/>
                <w:bCs/>
              </w:rPr>
              <w:t>Improvement area</w:t>
            </w:r>
          </w:p>
        </w:tc>
        <w:tc>
          <w:tcPr>
            <w:tcW w:w="3260" w:type="dxa"/>
            <w:vAlign w:val="center"/>
          </w:tcPr>
          <w:p w14:paraId="6379BB3B" w14:textId="63D9D7F7" w:rsidR="00636A6F" w:rsidRPr="00374CFE" w:rsidRDefault="00636A6F" w:rsidP="00636A6F">
            <w:pPr>
              <w:rPr>
                <w:b/>
                <w:bCs/>
              </w:rPr>
            </w:pPr>
            <w:r w:rsidRPr="00640E52">
              <w:rPr>
                <w:b/>
                <w:bCs/>
              </w:rPr>
              <w:t>Key focus</w:t>
            </w:r>
          </w:p>
        </w:tc>
        <w:tc>
          <w:tcPr>
            <w:tcW w:w="3544" w:type="dxa"/>
            <w:vAlign w:val="center"/>
          </w:tcPr>
          <w:p w14:paraId="5010C403" w14:textId="373F133F" w:rsidR="00636A6F" w:rsidRPr="00374CFE" w:rsidRDefault="00636A6F" w:rsidP="00636A6F">
            <w:pPr>
              <w:rPr>
                <w:b/>
                <w:bCs/>
              </w:rPr>
            </w:pPr>
            <w:r w:rsidRPr="00640E52">
              <w:rPr>
                <w:b/>
                <w:bCs/>
              </w:rPr>
              <w:t>Intended outcome</w:t>
            </w:r>
          </w:p>
        </w:tc>
      </w:tr>
      <w:tr w:rsidR="00636A6F" w:rsidRPr="00374CFE" w14:paraId="012154FE" w14:textId="77777777" w:rsidTr="00636A6F">
        <w:tc>
          <w:tcPr>
            <w:tcW w:w="2689" w:type="dxa"/>
            <w:vAlign w:val="center"/>
          </w:tcPr>
          <w:p w14:paraId="6A9A7DAF" w14:textId="5CA2C295" w:rsidR="00636A6F" w:rsidRPr="00374CFE" w:rsidRDefault="00636A6F" w:rsidP="00636A6F">
            <w:r w:rsidRPr="00640E52">
              <w:t>Stakeholder identification</w:t>
            </w:r>
          </w:p>
        </w:tc>
        <w:tc>
          <w:tcPr>
            <w:tcW w:w="3260" w:type="dxa"/>
            <w:vAlign w:val="center"/>
          </w:tcPr>
          <w:p w14:paraId="43D49CDB" w14:textId="6B0FAEA2" w:rsidR="00636A6F" w:rsidRPr="00374CFE" w:rsidRDefault="00636A6F" w:rsidP="00636A6F">
            <w:r w:rsidRPr="00640E52">
              <w:t>Formal mapping using tools like influence–interest and RACI</w:t>
            </w:r>
          </w:p>
        </w:tc>
        <w:tc>
          <w:tcPr>
            <w:tcW w:w="3544" w:type="dxa"/>
            <w:vAlign w:val="center"/>
          </w:tcPr>
          <w:p w14:paraId="4E92682E" w14:textId="53AB7B41" w:rsidR="00636A6F" w:rsidRPr="00374CFE" w:rsidRDefault="00636A6F" w:rsidP="00636A6F">
            <w:r w:rsidRPr="00640E52">
              <w:t>Clearer roles and better transparency</w:t>
            </w:r>
          </w:p>
        </w:tc>
      </w:tr>
      <w:tr w:rsidR="00636A6F" w:rsidRPr="00374CFE" w14:paraId="2F28C905" w14:textId="77777777" w:rsidTr="00636A6F">
        <w:tc>
          <w:tcPr>
            <w:tcW w:w="2689" w:type="dxa"/>
            <w:vAlign w:val="center"/>
          </w:tcPr>
          <w:p w14:paraId="6728CE03" w14:textId="5FA8055C" w:rsidR="00636A6F" w:rsidRPr="00374CFE" w:rsidRDefault="00636A6F" w:rsidP="00636A6F">
            <w:r w:rsidRPr="00640E52">
              <w:t>Strategic co-production</w:t>
            </w:r>
          </w:p>
        </w:tc>
        <w:tc>
          <w:tcPr>
            <w:tcW w:w="3260" w:type="dxa"/>
            <w:vAlign w:val="center"/>
          </w:tcPr>
          <w:p w14:paraId="237425A1" w14:textId="4BE2820C" w:rsidR="00636A6F" w:rsidRPr="00374CFE" w:rsidRDefault="00636A6F" w:rsidP="00636A6F">
            <w:r w:rsidRPr="00640E52">
              <w:t>Strategy-level reference group</w:t>
            </w:r>
          </w:p>
        </w:tc>
        <w:tc>
          <w:tcPr>
            <w:tcW w:w="3544" w:type="dxa"/>
            <w:vAlign w:val="center"/>
          </w:tcPr>
          <w:p w14:paraId="39D4517A" w14:textId="4BA3E837" w:rsidR="00636A6F" w:rsidRPr="00374CFE" w:rsidRDefault="00636A6F" w:rsidP="00636A6F">
            <w:r w:rsidRPr="00640E52">
              <w:t>Shared ownership of priorities</w:t>
            </w:r>
          </w:p>
        </w:tc>
      </w:tr>
      <w:tr w:rsidR="00636A6F" w:rsidRPr="00374CFE" w14:paraId="0CE433F8" w14:textId="77777777" w:rsidTr="00636A6F">
        <w:tc>
          <w:tcPr>
            <w:tcW w:w="2689" w:type="dxa"/>
            <w:vAlign w:val="center"/>
          </w:tcPr>
          <w:p w14:paraId="5F90DE49" w14:textId="12807E39" w:rsidR="00636A6F" w:rsidRPr="00374CFE" w:rsidRDefault="00636A6F" w:rsidP="00636A6F">
            <w:r w:rsidRPr="00640E52">
              <w:t>Stakeholder representation</w:t>
            </w:r>
          </w:p>
        </w:tc>
        <w:tc>
          <w:tcPr>
            <w:tcW w:w="3260" w:type="dxa"/>
            <w:vAlign w:val="center"/>
          </w:tcPr>
          <w:p w14:paraId="53AC7BF9" w14:textId="6676FA4A" w:rsidR="00636A6F" w:rsidRPr="00374CFE" w:rsidRDefault="00636A6F" w:rsidP="00636A6F">
            <w:r w:rsidRPr="00640E52">
              <w:t>Inclusion of under-represented groups</w:t>
            </w:r>
          </w:p>
        </w:tc>
        <w:tc>
          <w:tcPr>
            <w:tcW w:w="3544" w:type="dxa"/>
            <w:vAlign w:val="center"/>
          </w:tcPr>
          <w:p w14:paraId="1B1CD70D" w14:textId="7D6CE1D0" w:rsidR="00636A6F" w:rsidRPr="00374CFE" w:rsidRDefault="00636A6F" w:rsidP="00636A6F">
            <w:r w:rsidRPr="00640E52">
              <w:t>More equitable digital design</w:t>
            </w:r>
          </w:p>
        </w:tc>
      </w:tr>
      <w:tr w:rsidR="00636A6F" w:rsidRPr="00374CFE" w14:paraId="06F29CF5" w14:textId="77777777" w:rsidTr="00636A6F">
        <w:tc>
          <w:tcPr>
            <w:tcW w:w="2689" w:type="dxa"/>
            <w:vAlign w:val="center"/>
          </w:tcPr>
          <w:p w14:paraId="2E337401" w14:textId="4528ADD4" w:rsidR="00636A6F" w:rsidRPr="00374CFE" w:rsidRDefault="00636A6F" w:rsidP="00636A6F">
            <w:r w:rsidRPr="00640E52">
              <w:t>Engagement planning</w:t>
            </w:r>
          </w:p>
        </w:tc>
        <w:tc>
          <w:tcPr>
            <w:tcW w:w="3260" w:type="dxa"/>
            <w:vAlign w:val="center"/>
          </w:tcPr>
          <w:p w14:paraId="06F60CAE" w14:textId="44A1753B" w:rsidR="00636A6F" w:rsidRPr="00374CFE" w:rsidRDefault="00636A6F" w:rsidP="00636A6F">
            <w:r w:rsidRPr="00640E52">
              <w:t>Structured engagement framework</w:t>
            </w:r>
          </w:p>
        </w:tc>
        <w:tc>
          <w:tcPr>
            <w:tcW w:w="3544" w:type="dxa"/>
            <w:vAlign w:val="center"/>
          </w:tcPr>
          <w:p w14:paraId="2851192C" w14:textId="011B42C3" w:rsidR="00636A6F" w:rsidRPr="00374CFE" w:rsidRDefault="00636A6F" w:rsidP="00636A6F">
            <w:r w:rsidRPr="00640E52">
              <w:t>Clear and consistent engagement</w:t>
            </w:r>
          </w:p>
        </w:tc>
      </w:tr>
      <w:tr w:rsidR="00636A6F" w:rsidRPr="00374CFE" w14:paraId="4A235F93" w14:textId="77777777" w:rsidTr="00636A6F">
        <w:tc>
          <w:tcPr>
            <w:tcW w:w="2689" w:type="dxa"/>
            <w:vAlign w:val="center"/>
          </w:tcPr>
          <w:p w14:paraId="37109F4A" w14:textId="6D09B3C8" w:rsidR="00636A6F" w:rsidRPr="00374CFE" w:rsidRDefault="00636A6F" w:rsidP="00636A6F">
            <w:r w:rsidRPr="00640E52">
              <w:t>Feedback loops</w:t>
            </w:r>
          </w:p>
        </w:tc>
        <w:tc>
          <w:tcPr>
            <w:tcW w:w="3260" w:type="dxa"/>
            <w:vAlign w:val="center"/>
          </w:tcPr>
          <w:p w14:paraId="13BB9887" w14:textId="36C53FC6" w:rsidR="00636A6F" w:rsidRPr="00374CFE" w:rsidRDefault="00636A6F" w:rsidP="00636A6F">
            <w:r w:rsidRPr="00640E52">
              <w:t>Regular updates</w:t>
            </w:r>
          </w:p>
        </w:tc>
        <w:tc>
          <w:tcPr>
            <w:tcW w:w="3544" w:type="dxa"/>
            <w:vAlign w:val="center"/>
          </w:tcPr>
          <w:p w14:paraId="1ED72C4A" w14:textId="2874D537" w:rsidR="00636A6F" w:rsidRPr="00374CFE" w:rsidRDefault="00636A6F" w:rsidP="00636A6F">
            <w:r w:rsidRPr="00640E52">
              <w:t>Stronger trust and accountability</w:t>
            </w:r>
          </w:p>
        </w:tc>
      </w:tr>
      <w:tr w:rsidR="00636A6F" w:rsidRPr="00374CFE" w14:paraId="20B8D542" w14:textId="77777777" w:rsidTr="00636A6F">
        <w:tc>
          <w:tcPr>
            <w:tcW w:w="2689" w:type="dxa"/>
            <w:vAlign w:val="center"/>
          </w:tcPr>
          <w:p w14:paraId="000C03D1" w14:textId="7DEC3F21" w:rsidR="00636A6F" w:rsidRPr="00374CFE" w:rsidRDefault="00636A6F" w:rsidP="00636A6F">
            <w:r w:rsidRPr="00640E52">
              <w:t>Benefits realisation</w:t>
            </w:r>
          </w:p>
        </w:tc>
        <w:tc>
          <w:tcPr>
            <w:tcW w:w="3260" w:type="dxa"/>
            <w:vAlign w:val="center"/>
          </w:tcPr>
          <w:p w14:paraId="67FB0BB1" w14:textId="6B3ECD78" w:rsidR="00636A6F" w:rsidRPr="00374CFE" w:rsidRDefault="00636A6F" w:rsidP="00636A6F">
            <w:r w:rsidRPr="00640E52">
              <w:t>Co-defined outcomes</w:t>
            </w:r>
          </w:p>
        </w:tc>
        <w:tc>
          <w:tcPr>
            <w:tcW w:w="3544" w:type="dxa"/>
            <w:vAlign w:val="center"/>
          </w:tcPr>
          <w:p w14:paraId="24FC69EF" w14:textId="635D77CB" w:rsidR="00636A6F" w:rsidRPr="00374CFE" w:rsidRDefault="00636A6F" w:rsidP="00636A6F">
            <w:r w:rsidRPr="00640E52">
              <w:t>More meaningful success measures</w:t>
            </w:r>
          </w:p>
        </w:tc>
      </w:tr>
      <w:tr w:rsidR="00636A6F" w:rsidRPr="00374CFE" w14:paraId="4665DC43" w14:textId="77777777" w:rsidTr="00636A6F">
        <w:tc>
          <w:tcPr>
            <w:tcW w:w="2689" w:type="dxa"/>
            <w:vAlign w:val="center"/>
          </w:tcPr>
          <w:p w14:paraId="15179C9C" w14:textId="34A7488B" w:rsidR="00636A6F" w:rsidRPr="00374CFE" w:rsidRDefault="00636A6F" w:rsidP="00636A6F">
            <w:r w:rsidRPr="00640E52">
              <w:t>Governance integration</w:t>
            </w:r>
          </w:p>
        </w:tc>
        <w:tc>
          <w:tcPr>
            <w:tcW w:w="3260" w:type="dxa"/>
            <w:vAlign w:val="center"/>
          </w:tcPr>
          <w:p w14:paraId="45DFB835" w14:textId="1096D597" w:rsidR="00636A6F" w:rsidRPr="00374CFE" w:rsidRDefault="00636A6F" w:rsidP="00636A6F">
            <w:r w:rsidRPr="00640E52">
              <w:t>Clear escalation pathways</w:t>
            </w:r>
          </w:p>
        </w:tc>
        <w:tc>
          <w:tcPr>
            <w:tcW w:w="3544" w:type="dxa"/>
            <w:vAlign w:val="center"/>
          </w:tcPr>
          <w:p w14:paraId="32AA9130" w14:textId="058CB436" w:rsidR="00636A6F" w:rsidRPr="00374CFE" w:rsidRDefault="00636A6F" w:rsidP="00636A6F">
            <w:r w:rsidRPr="00640E52">
              <w:t>Better decision transparency</w:t>
            </w:r>
          </w:p>
        </w:tc>
      </w:tr>
      <w:tr w:rsidR="00636A6F" w:rsidRPr="00374CFE" w14:paraId="0ADC2F1B" w14:textId="77777777" w:rsidTr="00636A6F">
        <w:tc>
          <w:tcPr>
            <w:tcW w:w="2689" w:type="dxa"/>
            <w:vAlign w:val="center"/>
          </w:tcPr>
          <w:p w14:paraId="1B764A9C" w14:textId="10797941" w:rsidR="00636A6F" w:rsidRPr="00374CFE" w:rsidRDefault="00636A6F" w:rsidP="00636A6F">
            <w:r w:rsidRPr="00640E52">
              <w:t>Engagement capability</w:t>
            </w:r>
          </w:p>
        </w:tc>
        <w:tc>
          <w:tcPr>
            <w:tcW w:w="3260" w:type="dxa"/>
            <w:vAlign w:val="center"/>
          </w:tcPr>
          <w:p w14:paraId="24190C1B" w14:textId="1F2D7B39" w:rsidR="00636A6F" w:rsidRPr="00374CFE" w:rsidRDefault="00636A6F" w:rsidP="00636A6F">
            <w:r w:rsidRPr="00640E52">
              <w:t>Training and toolkits</w:t>
            </w:r>
          </w:p>
        </w:tc>
        <w:tc>
          <w:tcPr>
            <w:tcW w:w="3544" w:type="dxa"/>
            <w:vAlign w:val="center"/>
          </w:tcPr>
          <w:p w14:paraId="6FF21B95" w14:textId="2EDD0490" w:rsidR="00636A6F" w:rsidRPr="00374CFE" w:rsidRDefault="00636A6F" w:rsidP="00636A6F">
            <w:r w:rsidRPr="00640E52">
              <w:t>Stronger engagement skills</w:t>
            </w:r>
          </w:p>
        </w:tc>
      </w:tr>
    </w:tbl>
    <w:p w14:paraId="7EAFA5C3" w14:textId="77777777" w:rsidR="00636A6F" w:rsidRPr="00640E52" w:rsidRDefault="00636A6F" w:rsidP="00640E52"/>
    <w:p w14:paraId="6B941F13" w14:textId="3E750E5E" w:rsidR="00640E52" w:rsidRPr="00640E52" w:rsidRDefault="00640E52" w:rsidP="00640E52">
      <w:r w:rsidRPr="00640E52">
        <w:lastRenderedPageBreak/>
        <w:t xml:space="preserve">Table </w:t>
      </w:r>
      <w:r w:rsidR="00636A6F" w:rsidRPr="00374CFE">
        <w:t>6</w:t>
      </w:r>
      <w:r w:rsidRPr="00640E52">
        <w:t>: Summary of Recommended Improvement Actions</w:t>
      </w:r>
    </w:p>
    <w:p w14:paraId="17818A83" w14:textId="77777777" w:rsidR="00640E52" w:rsidRPr="00640E52" w:rsidRDefault="00000000" w:rsidP="00640E52">
      <w:r>
        <w:pict w14:anchorId="63D10C24">
          <v:rect id="_x0000_i1025" style="width:0;height:1.5pt" o:hralign="center" o:hrstd="t" o:hr="t" fillcolor="#a0a0a0" stroked="f"/>
        </w:pict>
      </w:r>
    </w:p>
    <w:p w14:paraId="52FA76B4" w14:textId="40B6EA76" w:rsidR="00640E52" w:rsidRPr="00640E52" w:rsidRDefault="00640E52" w:rsidP="00640E52">
      <w:r w:rsidRPr="00640E52">
        <w:t xml:space="preserve">I believe formal stakeholder identification should be the starting point. At present, I see engagement as largely informal. I think a structured stakeholder map would improve clarity. It would show who is involved and what role they play. It would also make influence and responsibility easier to understand. Freeman’s stakeholder theory supports this structured approach </w:t>
      </w:r>
      <w:sdt>
        <w:sdtPr>
          <w:rPr>
            <w:rFonts w:ascii="Aptos" w:hAnsi="Aptos"/>
            <w:color w:val="000000"/>
          </w:rPr>
          <w:tag w:val="MENDELEY_CITATION_v3_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"/>
          <w:id w:val="185031978"/>
          <w:placeholder>
            <w:docPart w:val="DefaultPlaceholder_-1854013440"/>
          </w:placeholder>
        </w:sdtPr>
        <w:sdtContent>
          <w:r w:rsidR="00FF45FA" w:rsidRPr="00FF45FA">
            <w:rPr>
              <w:rFonts w:ascii="Aptos" w:hAnsi="Aptos"/>
              <w:color w:val="000000"/>
            </w:rPr>
            <w:t>(Freeman et al., 2010)</w:t>
          </w:r>
        </w:sdtContent>
      </w:sdt>
    </w:p>
    <w:p w14:paraId="6DA8C95B" w14:textId="7E871AE4" w:rsidR="00640E52" w:rsidRPr="00640E52" w:rsidRDefault="00640E52" w:rsidP="00640E52">
      <w:r w:rsidRPr="00640E52">
        <w:t xml:space="preserve">I also think co-production at strategy level needs strengthening. I see strong engagement at operational level, but less influence at strategic level. I believe a digital strategy reference group would help with this. It would allow staff, patients, and data teams to shape priorities earlier. </w:t>
      </w:r>
      <w:r w:rsidR="007341B1" w:rsidRPr="00374CFE">
        <w:t>In my view</w:t>
      </w:r>
      <w:r w:rsidRPr="00640E52">
        <w:t>, early involvement increases ownership and reduces resistance to change.</w:t>
      </w:r>
    </w:p>
    <w:p w14:paraId="418C4508" w14:textId="078C4D77" w:rsidR="00183352" w:rsidRPr="00640E52" w:rsidRDefault="00640E52" w:rsidP="00640E52">
      <w:r w:rsidRPr="00640E52">
        <w:t>Another area I reflect</w:t>
      </w:r>
      <w:r w:rsidR="00357F7C" w:rsidRPr="00374CFE">
        <w:t>ed</w:t>
      </w:r>
      <w:r w:rsidRPr="00640E52">
        <w:t xml:space="preserve"> on is stakeholder representation. I notice that some groups are more visible than others. Frontline staff and patients are strongly included. However, information teams, corporate services, equality groups, and external partners are less visible. </w:t>
      </w:r>
      <w:r w:rsidR="007341B1" w:rsidRPr="00374CFE">
        <w:t>This</w:t>
      </w:r>
      <w:r w:rsidRPr="00640E52">
        <w:t xml:space="preserve"> creates an imbalance in decision-making. </w:t>
      </w:r>
      <w:sdt>
        <w:sdtPr>
          <w:rPr>
            <w:rFonts w:ascii="Aptos" w:hAnsi="Aptos"/>
            <w:color w:val="000000"/>
          </w:rPr>
          <w:tag w:val="MENDELEY_CITATION_v3_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"/>
          <w:id w:val="917909560"/>
          <w:placeholder>
            <w:docPart w:val="DefaultPlaceholder_-1854013440"/>
          </w:placeholder>
        </w:sdtPr>
        <w:sdtContent>
          <w:r w:rsidR="00FF45FA" w:rsidRPr="00FF45FA">
            <w:rPr>
              <w:rFonts w:ascii="Aptos" w:eastAsia="Times New Roman" w:hAnsi="Aptos"/>
              <w:color w:val="000000"/>
            </w:rPr>
            <w:t>Greenhalgh (2022)</w:t>
          </w:r>
        </w:sdtContent>
      </w:sdt>
      <w:r w:rsidRPr="00640E52">
        <w:t xml:space="preserve"> warn that excluding diverse voices can increase inequality in digital systems</w:t>
      </w:r>
      <w:r w:rsidR="004C362D" w:rsidRPr="00374CFE">
        <w:t>.</w:t>
      </w:r>
    </w:p>
    <w:p w14:paraId="10B673FF" w14:textId="0D93CE9E" w:rsidR="00640E52" w:rsidRPr="00640E52" w:rsidRDefault="00640E52" w:rsidP="00640E52">
      <w:r w:rsidRPr="00640E52">
        <w:t xml:space="preserve">I </w:t>
      </w:r>
      <w:r w:rsidR="00406CFE" w:rsidRPr="00374CFE">
        <w:t>reflected</w:t>
      </w:r>
      <w:r w:rsidRPr="00640E52">
        <w:t xml:space="preserve"> on engagement planning. </w:t>
      </w:r>
      <w:r w:rsidR="00406CFE" w:rsidRPr="00374CFE">
        <w:t>I have found</w:t>
      </w:r>
      <w:r w:rsidRPr="00640E52">
        <w:t xml:space="preserve"> engagement as inconsistent. I think a structured plan would help. It should clearly explain who is involved, why they are involved, and how they contribute. It should also define when engagement happens. </w:t>
      </w:r>
    </w:p>
    <w:p w14:paraId="76FF66AC" w14:textId="64BD66FB" w:rsidR="00183352" w:rsidRPr="003A7EF7" w:rsidRDefault="00640E52" w:rsidP="00442CA5">
      <w:r w:rsidRPr="00640E52">
        <w:t>I also think stakeholders should be more involved in benefits realisation. At present, I see benefits defined in a technical way. I think this should change. Staff and patients should help define what success looks like</w:t>
      </w:r>
      <w:sdt>
        <w:sdtPr>
          <w:rPr>
            <w:rFonts w:ascii="Aptos" w:hAnsi="Aptos"/>
            <w:color w:val="000000"/>
          </w:rPr>
          <w:tag w:val="MENDELEY_CITATION_v3_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"/>
          <w:id w:val="-721292504"/>
          <w:placeholder>
            <w:docPart w:val="DefaultPlaceholder_-1854013440"/>
          </w:placeholder>
        </w:sdtPr>
        <w:sdtContent>
          <w:r w:rsidR="00FF45FA" w:rsidRPr="00FF45FA">
            <w:rPr>
              <w:rFonts w:ascii="Aptos" w:hAnsi="Aptos"/>
              <w:color w:val="000000"/>
            </w:rPr>
            <w:t>(The King’s Fund, 2024)</w:t>
          </w:r>
        </w:sdtContent>
      </w:sdt>
      <w:r w:rsidRPr="00640E52">
        <w:t>. I believe this would make performance measures more meaningful and grounded in real service experience.</w:t>
      </w:r>
    </w:p>
    <w:p w14:paraId="16D62DD3" w14:textId="1800EFE2" w:rsidR="00442CA5" w:rsidRPr="00374CFE" w:rsidRDefault="00442CA5" w:rsidP="003A7EF7">
      <w:pPr>
        <w:pStyle w:val="Heading2"/>
        <w:rPr>
          <w:rFonts w:eastAsiaTheme="minorHAnsi"/>
        </w:rPr>
      </w:pPr>
      <w:r w:rsidRPr="00374CFE">
        <w:rPr>
          <w:rFonts w:eastAsiaTheme="minorHAnsi"/>
        </w:rPr>
        <w:t>Overall Reflective Conclusion</w:t>
      </w:r>
    </w:p>
    <w:p w14:paraId="31A8A6DC" w14:textId="66B26743" w:rsidR="00442CA5" w:rsidRPr="00442CA5" w:rsidRDefault="00442CA5" w:rsidP="00442CA5">
      <w:r w:rsidRPr="00442CA5">
        <w:t>In reflecting on my analysis of the WAST Digital Plan 2024–2029, I conclude</w:t>
      </w:r>
      <w:r w:rsidR="002210FE" w:rsidRPr="00374CFE">
        <w:t>d</w:t>
      </w:r>
      <w:r w:rsidRPr="00442CA5">
        <w:t xml:space="preserve"> that stakeholder identification and engagement are clearly embedded within the organisation’s digital transformation approach, but they remain uneven in depth, structure, and strategic integration.</w:t>
      </w:r>
    </w:p>
    <w:p w14:paraId="2E160A08" w14:textId="4370E9CA" w:rsidR="00442CA5" w:rsidRPr="00442CA5" w:rsidRDefault="00442CA5" w:rsidP="00442CA5">
      <w:r w:rsidRPr="00442CA5">
        <w:t>I recognise</w:t>
      </w:r>
      <w:r w:rsidR="002210FE" w:rsidRPr="00374CFE">
        <w:t>d</w:t>
      </w:r>
      <w:r w:rsidRPr="00442CA5">
        <w:t xml:space="preserve"> that WAST demonstrates </w:t>
      </w:r>
      <w:r w:rsidR="00395EB6" w:rsidRPr="00374CFE">
        <w:t>a solid foundation</w:t>
      </w:r>
      <w:r w:rsidRPr="00442CA5">
        <w:t xml:space="preserve"> in identifying key stakeholder groups, particularly frontline staff, patients, leadership, and NHS Wales system partners. This inclusive starting point aligns with NHS digital transformation principles, which emphasise the importance of multi-stakeholder involvement in service redesign </w:t>
      </w:r>
      <w:sdt>
        <w:sdtPr>
          <w:rPr>
            <w:rFonts w:ascii="Aptos" w:hAnsi="Aptos"/>
            <w:color w:val="000000"/>
          </w:rPr>
          <w:tag w:val="MENDELEY_CITATION_v3_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"/>
          <w:id w:val="-973905232"/>
          <w:placeholder>
            <w:docPart w:val="DefaultPlaceholder_-1854013440"/>
          </w:placeholder>
        </w:sdtPr>
        <w:sdtContent>
          <w:r w:rsidR="00FF45FA" w:rsidRPr="00FF45FA">
            <w:rPr>
              <w:rFonts w:ascii="Aptos" w:hAnsi="Aptos"/>
              <w:color w:val="000000"/>
            </w:rPr>
            <w:t>(NHS England, 2024)</w:t>
          </w:r>
        </w:sdtContent>
      </w:sdt>
      <w:r w:rsidRPr="00442CA5">
        <w:t xml:space="preserve">. I </w:t>
      </w:r>
      <w:r w:rsidR="002210FE" w:rsidRPr="00374CFE">
        <w:t>acknowledged</w:t>
      </w:r>
      <w:r w:rsidRPr="00442CA5">
        <w:t xml:space="preserve"> that stakeholder feedback has had visible influence on operational improvements such as usability enhancements, digital access </w:t>
      </w:r>
      <w:r w:rsidRPr="00442CA5">
        <w:lastRenderedPageBreak/>
        <w:t>tools, and workflow efficiency. This indicates that engagement is not symbolic but has produced tangible service-level outcomes.</w:t>
      </w:r>
    </w:p>
    <w:p w14:paraId="1E8BB305" w14:textId="423B8BAD" w:rsidR="00442CA5" w:rsidRPr="00442CA5" w:rsidRDefault="00442CA5" w:rsidP="00442CA5">
      <w:r w:rsidRPr="00442CA5">
        <w:t xml:space="preserve">However, my reflection also highlights important limitations. </w:t>
      </w:r>
      <w:r w:rsidR="00CC7AAA" w:rsidRPr="00374CFE">
        <w:t>Stakeholder identification</w:t>
      </w:r>
      <w:r w:rsidRPr="00442CA5">
        <w:t xml:space="preserve"> remains </w:t>
      </w:r>
      <w:r w:rsidR="00CC7AAA" w:rsidRPr="00374CFE">
        <w:t>descriptive</w:t>
      </w:r>
      <w:r w:rsidRPr="00442CA5">
        <w:t xml:space="preserve"> rather than analytically structured. There is limited evidence of formal mapping tools that would clarify influence, accountability, and priority across stakeholder groups. This reduces the transparency of engagement and makes it harder to understand how decisions are shaped across the system.</w:t>
      </w:r>
    </w:p>
    <w:p w14:paraId="705F7FAF" w14:textId="0F298E26" w:rsidR="00442CA5" w:rsidRPr="00442CA5" w:rsidRDefault="00442CA5" w:rsidP="00442CA5">
      <w:r w:rsidRPr="00442CA5">
        <w:t xml:space="preserve">I </w:t>
      </w:r>
      <w:r w:rsidR="00856F5A" w:rsidRPr="00374CFE">
        <w:t xml:space="preserve">observed </w:t>
      </w:r>
      <w:r w:rsidRPr="00442CA5">
        <w:t>that engagement is stronger at operational levels than at strategic levels. While frontline staff and patients are involved in shaping service improvements, their influence on long-term priorities, investment decisions, and governance frameworks is less visible. Literature from the King’s Fund (2024</w:t>
      </w:r>
      <w:r w:rsidR="00CC7AAA" w:rsidRPr="00374CFE">
        <w:t>)</w:t>
      </w:r>
      <w:r w:rsidR="009F2D6F" w:rsidRPr="00374CFE">
        <w:t xml:space="preserve"> </w:t>
      </w:r>
      <w:r w:rsidRPr="00442CA5">
        <w:t>consistently emphasises that sustainable digital transformation requires co-production at both operational and strategic levels, not consultation alone.</w:t>
      </w:r>
    </w:p>
    <w:p w14:paraId="1AB2579C" w14:textId="77777777" w:rsidR="00442CA5" w:rsidRPr="00442CA5" w:rsidRDefault="00442CA5" w:rsidP="00442CA5">
      <w:r w:rsidRPr="00442CA5">
        <w:t>Another key reflection is the limited visibility of structured feedback loops. Although engagement activity is present, there is little evidence of systematic reporting that demonstrates how stakeholder input directly influences decisions. From my perspective, this weakens transparency and reduces opportunities for organisational learning. Effective digital systems depend on continuous feedback mechanisms that close the loop between input, action, and outcomes.</w:t>
      </w:r>
    </w:p>
    <w:p w14:paraId="46D7B90A" w14:textId="2D13E06F" w:rsidR="00442CA5" w:rsidRPr="00442CA5" w:rsidRDefault="00442CA5" w:rsidP="00442CA5">
      <w:r w:rsidRPr="00442CA5">
        <w:t xml:space="preserve">I </w:t>
      </w:r>
      <w:r w:rsidR="00D437A1" w:rsidRPr="00374CFE">
        <w:t>ref</w:t>
      </w:r>
      <w:r w:rsidR="003153C5" w:rsidRPr="00374CFE">
        <w:t>lected</w:t>
      </w:r>
      <w:r w:rsidRPr="00442CA5">
        <w:t xml:space="preserve"> on the uneven representation of stakeholder groups. While clinical and patient voices are </w:t>
      </w:r>
      <w:r w:rsidR="009F2D6F" w:rsidRPr="00374CFE">
        <w:t>strong</w:t>
      </w:r>
      <w:r w:rsidRPr="00442CA5">
        <w:t xml:space="preserve">, other groups such as information analysts, enabling services, equality stakeholders, and cross-boundary partners are less visible. This creates a risk that digital transformation may not fully reflect system-wide needs or address structural inequalities in access and design. </w:t>
      </w:r>
      <w:sdt>
        <w:sdtPr>
          <w:rPr>
            <w:rFonts w:ascii="Aptos" w:hAnsi="Aptos"/>
            <w:color w:val="000000"/>
          </w:rPr>
          <w:tag w:val="MENDELEY_CITATION_v3_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"/>
          <w:id w:val="-248816057"/>
          <w:placeholder>
            <w:docPart w:val="CD213BCC767A49DA920246FEC533A86B"/>
          </w:placeholder>
        </w:sdtPr>
        <w:sdtContent>
          <w:r w:rsidR="00FF45FA" w:rsidRPr="00FF45FA">
            <w:rPr>
              <w:rFonts w:ascii="Aptos" w:hAnsi="Aptos"/>
              <w:color w:val="000000"/>
            </w:rPr>
            <w:t>Greenhalgh (2017)</w:t>
          </w:r>
        </w:sdtContent>
      </w:sdt>
      <w:r w:rsidR="009F2D6F" w:rsidRPr="00374CFE">
        <w:t xml:space="preserve"> </w:t>
      </w:r>
      <w:r w:rsidRPr="00442CA5">
        <w:t>emphasise that inclusive participation is essential to avoid reinforcing existing disparities in digital health systems.</w:t>
      </w:r>
    </w:p>
    <w:p w14:paraId="5CE28567" w14:textId="33D3D3B1" w:rsidR="00442CA5" w:rsidRPr="00442CA5" w:rsidRDefault="00442CA5" w:rsidP="00442CA5">
      <w:r w:rsidRPr="00442CA5">
        <w:t>Despite these limitations, I recognise</w:t>
      </w:r>
      <w:r w:rsidR="00D437A1" w:rsidRPr="00374CFE">
        <w:t>d</w:t>
      </w:r>
      <w:r w:rsidRPr="00442CA5">
        <w:t xml:space="preserve"> that WAST is operating in a complex and resource-constrained environment, where achieving perfect stakeholder integration is challenging. The progress made to date demonstrates organisational commitment and a clear intention to embed stakeholder perspectives in digital development.</w:t>
      </w:r>
    </w:p>
    <w:p w14:paraId="7924B946" w14:textId="6880E4BB" w:rsidR="00442CA5" w:rsidRPr="00442CA5" w:rsidRDefault="00442CA5" w:rsidP="00442CA5">
      <w:r w:rsidRPr="00442CA5">
        <w:t>Overall, my reflection led me to conclude that WAST is at a developing stage of stakeholder maturity. The organisation has moved beyond basic consultation, but it has not yet fully achieved structured, co-produced, and system-wide engagement. Strengthening formal stakeholder mapping, improving feedback mechanisms, expanding cross-boundary inclusion, and embedding co-production at strategic level would significantly enhance the effectiveness of its digital transformation approach.</w:t>
      </w:r>
    </w:p>
    <w:p w14:paraId="10E4B21C" w14:textId="46791CE3" w:rsidR="00442CA5" w:rsidRPr="00442CA5" w:rsidRDefault="009F2D6F" w:rsidP="00442CA5">
      <w:r w:rsidRPr="00374CFE">
        <w:lastRenderedPageBreak/>
        <w:t>I</w:t>
      </w:r>
      <w:r w:rsidR="00442CA5" w:rsidRPr="00442CA5">
        <w:t xml:space="preserve"> view stakeholder engagement not as a procedural requirement, but as a core driver of sustainable digital change. Developing this further would ensure that digital transformation within WAST is not only technologically effective but also inclusive, transparent, and aligned with the realities of service delivery across the wider health and care system.</w:t>
      </w:r>
    </w:p>
    <w:p w14:paraId="5C5948F2" w14:textId="3091A36E" w:rsidR="00640E52" w:rsidRPr="00374CFE" w:rsidRDefault="00640E52" w:rsidP="00640E52"/>
    <w:p w14:paraId="2B476036" w14:textId="77777777" w:rsidR="00096546" w:rsidRPr="00374CFE" w:rsidRDefault="00123105" w:rsidP="00097564">
      <w:pPr>
        <w:pStyle w:val="Heading2"/>
        <w:divId w:val="2106460121"/>
      </w:pPr>
      <w:r w:rsidRPr="00374CFE">
        <w:t>References:</w:t>
      </w:r>
      <w:r w:rsidRPr="00374CFE">
        <w:br/>
      </w:r>
    </w:p>
    <w:sdt>
      <w:sdtPr>
        <w:rPr>
          <w:rFonts w:ascii="Aptos" w:hAnsi="Aptos"/>
          <w:color w:val="000000"/>
        </w:rPr>
        <w:tag w:val="MENDELEY_BIBLIOGRAPHY"/>
        <w:id w:val="588127748"/>
        <w:placeholder>
          <w:docPart w:val="DefaultPlaceholder_-1854013440"/>
        </w:placeholder>
      </w:sdtPr>
      <w:sdtContent>
        <w:p w14:paraId="604BA5BA" w14:textId="77777777" w:rsidR="00C7708F" w:rsidRPr="00374CFE" w:rsidRDefault="00C7708F">
          <w:pPr>
            <w:autoSpaceDE w:val="0"/>
            <w:autoSpaceDN w:val="0"/>
            <w:ind w:hanging="480"/>
            <w:divId w:val="936058733"/>
            <w:rPr>
              <w:rFonts w:ascii="Aptos" w:eastAsia="Times New Roman" w:hAnsi="Aptos"/>
              <w:color w:val="000000"/>
              <w:kern w:val="0"/>
              <w14:ligatures w14:val="none"/>
            </w:rPr>
          </w:pPr>
          <w:r w:rsidRPr="00374CFE">
            <w:rPr>
              <w:rFonts w:ascii="Aptos" w:eastAsia="Times New Roman" w:hAnsi="Aptos"/>
              <w:color w:val="000000"/>
            </w:rPr>
            <w:t xml:space="preserve">BMJ Digital Health. (2024). </w:t>
          </w:r>
          <w:r w:rsidRPr="00374CFE">
            <w:rPr>
              <w:rFonts w:ascii="Aptos" w:eastAsia="Times New Roman" w:hAnsi="Aptos"/>
              <w:i/>
              <w:iCs/>
              <w:color w:val="000000"/>
            </w:rPr>
            <w:t>Stakeholder Engagement in Digital Health Systems and Co-production Approaches</w:t>
          </w:r>
          <w:r w:rsidRPr="00374CFE">
            <w:rPr>
              <w:rFonts w:ascii="Aptos" w:eastAsia="Times New Roman" w:hAnsi="Aptos"/>
              <w:color w:val="000000"/>
            </w:rPr>
            <w:t>. https://digitalhealth.bmj.com</w:t>
          </w:r>
        </w:p>
        <w:p w14:paraId="5121B57F" w14:textId="77777777" w:rsidR="00C7708F" w:rsidRPr="00374CFE" w:rsidRDefault="00C7708F">
          <w:pPr>
            <w:autoSpaceDE w:val="0"/>
            <w:autoSpaceDN w:val="0"/>
            <w:ind w:hanging="480"/>
            <w:divId w:val="1750688477"/>
            <w:rPr>
              <w:rFonts w:ascii="Aptos" w:eastAsia="Times New Roman" w:hAnsi="Aptos"/>
              <w:color w:val="000000"/>
            </w:rPr>
          </w:pPr>
          <w:r w:rsidRPr="00374CFE">
            <w:rPr>
              <w:rFonts w:ascii="Aptos" w:eastAsia="Times New Roman" w:hAnsi="Aptos"/>
              <w:color w:val="000000"/>
            </w:rPr>
            <w:t xml:space="preserve">Bovaird, T., &amp; Loeffler, E. (2012). Co-production of Public Services. </w:t>
          </w:r>
          <w:r w:rsidRPr="00374CFE">
            <w:rPr>
              <w:rFonts w:ascii="Aptos" w:eastAsia="Times New Roman" w:hAnsi="Aptos"/>
              <w:i/>
              <w:iCs/>
              <w:color w:val="000000"/>
            </w:rPr>
            <w:t>Public Management Review</w:t>
          </w:r>
          <w:r w:rsidRPr="00374CFE">
            <w:rPr>
              <w:rFonts w:ascii="Aptos" w:eastAsia="Times New Roman" w:hAnsi="Aptos"/>
              <w:color w:val="000000"/>
            </w:rPr>
            <w:t>. https://doi.org/10.1111/j.1467-9299.2011.01933.x</w:t>
          </w:r>
        </w:p>
        <w:p w14:paraId="153CBCAE" w14:textId="77777777" w:rsidR="00C7708F" w:rsidRPr="00374CFE" w:rsidRDefault="00C7708F">
          <w:pPr>
            <w:autoSpaceDE w:val="0"/>
            <w:autoSpaceDN w:val="0"/>
            <w:ind w:hanging="480"/>
            <w:divId w:val="325591783"/>
            <w:rPr>
              <w:rFonts w:ascii="Aptos" w:eastAsia="Times New Roman" w:hAnsi="Aptos"/>
              <w:color w:val="000000"/>
            </w:rPr>
          </w:pPr>
          <w:r w:rsidRPr="00374CFE">
            <w:rPr>
              <w:rFonts w:ascii="Aptos" w:eastAsia="Times New Roman" w:hAnsi="Aptos"/>
              <w:color w:val="000000"/>
            </w:rPr>
            <w:t xml:space="preserve">Cambrian News. (2024). </w:t>
          </w:r>
          <w:r w:rsidRPr="00374CFE">
            <w:rPr>
              <w:rFonts w:ascii="Aptos" w:eastAsia="Times New Roman" w:hAnsi="Aptos"/>
              <w:i/>
              <w:iCs/>
              <w:color w:val="000000"/>
            </w:rPr>
            <w:t>NHS Wales Digital Strategy and Governance Developments</w:t>
          </w:r>
          <w:r w:rsidRPr="00374CFE">
            <w:rPr>
              <w:rFonts w:ascii="Aptos" w:eastAsia="Times New Roman" w:hAnsi="Aptos"/>
              <w:color w:val="000000"/>
            </w:rPr>
            <w:t>. https://www.cambrian-news.co.uk</w:t>
          </w:r>
        </w:p>
        <w:p w14:paraId="561F1622" w14:textId="77777777" w:rsidR="00C7708F" w:rsidRPr="00374CFE" w:rsidRDefault="00C7708F">
          <w:pPr>
            <w:autoSpaceDE w:val="0"/>
            <w:autoSpaceDN w:val="0"/>
            <w:ind w:hanging="480"/>
            <w:divId w:val="855387902"/>
            <w:rPr>
              <w:rFonts w:ascii="Aptos" w:eastAsia="Times New Roman" w:hAnsi="Aptos"/>
              <w:color w:val="000000"/>
            </w:rPr>
          </w:pPr>
          <w:r w:rsidRPr="00374CFE">
            <w:rPr>
              <w:rFonts w:ascii="Aptos" w:eastAsia="Times New Roman" w:hAnsi="Aptos"/>
              <w:color w:val="000000"/>
            </w:rPr>
            <w:t xml:space="preserve">Cordella, A., &amp; Tempini, N. (2021). Digital Governance and Public Value Creation. </w:t>
          </w:r>
          <w:r w:rsidRPr="00374CFE">
            <w:rPr>
              <w:rFonts w:ascii="Aptos" w:eastAsia="Times New Roman" w:hAnsi="Aptos"/>
              <w:i/>
              <w:iCs/>
              <w:color w:val="000000"/>
            </w:rPr>
            <w:t>Government Information Quarterly</w:t>
          </w:r>
          <w:r w:rsidRPr="00374CFE">
            <w:rPr>
              <w:rFonts w:ascii="Aptos" w:eastAsia="Times New Roman" w:hAnsi="Aptos"/>
              <w:color w:val="000000"/>
            </w:rPr>
            <w:t>. https://doi.org/10.1016/j.giq.2021.101561</w:t>
          </w:r>
        </w:p>
        <w:p w14:paraId="01A0F5AA" w14:textId="7D02FF59" w:rsidR="00C7708F" w:rsidRPr="00374CFE" w:rsidRDefault="00C7708F">
          <w:pPr>
            <w:autoSpaceDE w:val="0"/>
            <w:autoSpaceDN w:val="0"/>
            <w:ind w:hanging="480"/>
            <w:divId w:val="257520346"/>
            <w:rPr>
              <w:rFonts w:ascii="Aptos" w:eastAsia="Times New Roman" w:hAnsi="Aptos"/>
              <w:color w:val="000000"/>
            </w:rPr>
          </w:pPr>
          <w:r w:rsidRPr="00374CFE">
            <w:rPr>
              <w:rFonts w:ascii="Aptos" w:eastAsia="Times New Roman" w:hAnsi="Aptos"/>
              <w:i/>
              <w:iCs/>
              <w:color w:val="000000"/>
            </w:rPr>
            <w:t>Digital Health and Care Wales organisational strategy 2024-2030: in focus – HTN Health Tech News</w:t>
          </w:r>
          <w:r w:rsidRPr="00374CFE">
            <w:rPr>
              <w:rFonts w:ascii="Aptos" w:eastAsia="Times New Roman" w:hAnsi="Aptos"/>
              <w:color w:val="000000"/>
            </w:rPr>
            <w:t>. (n.d.). Retrieved November 26, 2025, from https://htn.co.uk/2024/07/03/digital-health-and-care-wales-organisational-strategy-2024-2030-in-focus/</w:t>
          </w:r>
        </w:p>
        <w:p w14:paraId="16FD3009" w14:textId="77777777" w:rsidR="00C7708F" w:rsidRPr="00374CFE" w:rsidRDefault="00C7708F">
          <w:pPr>
            <w:autoSpaceDE w:val="0"/>
            <w:autoSpaceDN w:val="0"/>
            <w:ind w:hanging="480"/>
            <w:divId w:val="1923486849"/>
            <w:rPr>
              <w:rFonts w:ascii="Aptos" w:eastAsia="Times New Roman" w:hAnsi="Aptos"/>
              <w:color w:val="000000"/>
            </w:rPr>
          </w:pPr>
          <w:r w:rsidRPr="00374CFE">
            <w:rPr>
              <w:rFonts w:ascii="Aptos" w:eastAsia="Times New Roman" w:hAnsi="Aptos"/>
              <w:color w:val="000000"/>
            </w:rPr>
            <w:t xml:space="preserve">Freeman, R. E. (1984). </w:t>
          </w:r>
          <w:r w:rsidRPr="00374CFE">
            <w:rPr>
              <w:rFonts w:ascii="Aptos" w:eastAsia="Times New Roman" w:hAnsi="Aptos"/>
              <w:i/>
              <w:iCs/>
              <w:color w:val="000000"/>
            </w:rPr>
            <w:t>Strategic Management: A Stakeholder Approach</w:t>
          </w:r>
          <w:r w:rsidRPr="00374CFE">
            <w:rPr>
              <w:rFonts w:ascii="Aptos" w:eastAsia="Times New Roman" w:hAnsi="Aptos"/>
              <w:color w:val="000000"/>
            </w:rPr>
            <w:t>. Pitman.</w:t>
          </w:r>
        </w:p>
        <w:p w14:paraId="0A28825F" w14:textId="77777777" w:rsidR="00C7708F" w:rsidRPr="00374CFE" w:rsidRDefault="00C7708F">
          <w:pPr>
            <w:autoSpaceDE w:val="0"/>
            <w:autoSpaceDN w:val="0"/>
            <w:ind w:hanging="480"/>
            <w:divId w:val="161943264"/>
            <w:rPr>
              <w:rFonts w:ascii="Aptos" w:eastAsia="Times New Roman" w:hAnsi="Aptos"/>
              <w:color w:val="000000"/>
            </w:rPr>
          </w:pPr>
          <w:r w:rsidRPr="00374CFE">
            <w:rPr>
              <w:rFonts w:ascii="Aptos" w:eastAsia="Times New Roman" w:hAnsi="Aptos"/>
              <w:color w:val="000000"/>
            </w:rPr>
            <w:t xml:space="preserve">Freeman, R. E., Harrison, J. S., Wicks, A. C., Parmar, B. L., &amp; de Colle, S. (2010). </w:t>
          </w:r>
          <w:r w:rsidRPr="00374CFE">
            <w:rPr>
              <w:rFonts w:ascii="Aptos" w:eastAsia="Times New Roman" w:hAnsi="Aptos"/>
              <w:i/>
              <w:iCs/>
              <w:color w:val="000000"/>
            </w:rPr>
            <w:t>Stakeholder Theory: The State of the Art</w:t>
          </w:r>
          <w:r w:rsidRPr="00374CFE">
            <w:rPr>
              <w:rFonts w:ascii="Aptos" w:eastAsia="Times New Roman" w:hAnsi="Aptos"/>
              <w:color w:val="000000"/>
            </w:rPr>
            <w:t>. Cambridge University Press. https://www.academia.edu/1091029/Stakeholder_theory_The_state_of_the_art</w:t>
          </w:r>
        </w:p>
        <w:p w14:paraId="4F1E1EDC" w14:textId="09971657" w:rsidR="00C7708F" w:rsidRPr="00374CFE" w:rsidRDefault="00C7708F">
          <w:pPr>
            <w:autoSpaceDE w:val="0"/>
            <w:autoSpaceDN w:val="0"/>
            <w:ind w:hanging="480"/>
            <w:divId w:val="392050704"/>
            <w:rPr>
              <w:rFonts w:ascii="Aptos" w:eastAsia="Times New Roman" w:hAnsi="Aptos"/>
              <w:color w:val="000000"/>
            </w:rPr>
          </w:pPr>
          <w:r w:rsidRPr="00374CFE">
            <w:rPr>
              <w:rFonts w:ascii="Aptos" w:eastAsia="Times New Roman" w:hAnsi="Aptos"/>
              <w:color w:val="000000"/>
            </w:rPr>
            <w:t xml:space="preserve">Greenhalgh, T., &amp; others. (2022). Beyond adoption: A new framework for theorising and evaluating non-adoption, </w:t>
          </w:r>
          <w:r w:rsidR="00B87178" w:rsidRPr="00374CFE">
            <w:rPr>
              <w:rFonts w:ascii="Aptos" w:eastAsia="Times New Roman" w:hAnsi="Aptos"/>
              <w:color w:val="000000"/>
            </w:rPr>
            <w:t>abandonment,</w:t>
          </w:r>
          <w:r w:rsidRPr="00374CFE">
            <w:rPr>
              <w:rFonts w:ascii="Aptos" w:eastAsia="Times New Roman" w:hAnsi="Aptos"/>
              <w:color w:val="000000"/>
            </w:rPr>
            <w:t xml:space="preserve"> and challenges to scale-up of health technologies. </w:t>
          </w:r>
          <w:r w:rsidRPr="00374CFE">
            <w:rPr>
              <w:rFonts w:ascii="Aptos" w:eastAsia="Times New Roman" w:hAnsi="Aptos"/>
              <w:i/>
              <w:iCs/>
              <w:color w:val="000000"/>
            </w:rPr>
            <w:t>Journal of Medical Internet Research</w:t>
          </w:r>
          <w:r w:rsidRPr="00374CFE">
            <w:rPr>
              <w:rFonts w:ascii="Aptos" w:eastAsia="Times New Roman" w:hAnsi="Aptos"/>
              <w:color w:val="000000"/>
            </w:rPr>
            <w:t>. https://doi.org/10.2196/36794</w:t>
          </w:r>
        </w:p>
        <w:p w14:paraId="5192C3C9" w14:textId="77777777" w:rsidR="00C7708F" w:rsidRPr="00374CFE" w:rsidRDefault="00C7708F">
          <w:pPr>
            <w:autoSpaceDE w:val="0"/>
            <w:autoSpaceDN w:val="0"/>
            <w:ind w:hanging="480"/>
            <w:divId w:val="1401904978"/>
            <w:rPr>
              <w:rFonts w:ascii="Aptos" w:eastAsia="Times New Roman" w:hAnsi="Aptos"/>
              <w:color w:val="000000"/>
            </w:rPr>
          </w:pPr>
          <w:r w:rsidRPr="00374CFE">
            <w:rPr>
              <w:rFonts w:ascii="Aptos" w:eastAsia="Times New Roman" w:hAnsi="Aptos"/>
              <w:color w:val="000000"/>
            </w:rPr>
            <w:t xml:space="preserve">Greenhalgh, T., Wherton, J., Papoutsi, C., Lynch, J., Hughes, G., A’Court, C., Hinder, S., &amp; Procter, R. (2017). Beyond Adoption: A New Framework for Theorizing and Evaluating Nonadoption, Abandonment, and Challenges to the Scale-up of Health and Care Technologies. </w:t>
          </w:r>
          <w:r w:rsidRPr="00374CFE">
            <w:rPr>
              <w:rFonts w:ascii="Aptos" w:eastAsia="Times New Roman" w:hAnsi="Aptos"/>
              <w:i/>
              <w:iCs/>
              <w:color w:val="000000"/>
            </w:rPr>
            <w:t>BMJ</w:t>
          </w:r>
          <w:r w:rsidRPr="00374CFE">
            <w:rPr>
              <w:rFonts w:ascii="Aptos" w:eastAsia="Times New Roman" w:hAnsi="Aptos"/>
              <w:color w:val="000000"/>
            </w:rPr>
            <w:t xml:space="preserve">, </w:t>
          </w:r>
          <w:r w:rsidRPr="00374CFE">
            <w:rPr>
              <w:rFonts w:ascii="Aptos" w:eastAsia="Times New Roman" w:hAnsi="Aptos"/>
              <w:i/>
              <w:iCs/>
              <w:color w:val="000000"/>
            </w:rPr>
            <w:t>357</w:t>
          </w:r>
          <w:r w:rsidRPr="00374CFE">
            <w:rPr>
              <w:rFonts w:ascii="Aptos" w:eastAsia="Times New Roman" w:hAnsi="Aptos"/>
              <w:color w:val="000000"/>
            </w:rPr>
            <w:t>, j2987. https://doi.org/10.1136/bmj.j1506</w:t>
          </w:r>
        </w:p>
        <w:p w14:paraId="066DE0B9" w14:textId="77777777" w:rsidR="00C7708F" w:rsidRPr="00374CFE" w:rsidRDefault="00C7708F">
          <w:pPr>
            <w:autoSpaceDE w:val="0"/>
            <w:autoSpaceDN w:val="0"/>
            <w:ind w:hanging="480"/>
            <w:divId w:val="13456873"/>
            <w:rPr>
              <w:rFonts w:ascii="Aptos" w:eastAsia="Times New Roman" w:hAnsi="Aptos"/>
              <w:color w:val="000000"/>
            </w:rPr>
          </w:pPr>
          <w:r w:rsidRPr="00374CFE">
            <w:rPr>
              <w:rFonts w:ascii="Aptos" w:eastAsia="Times New Roman" w:hAnsi="Aptos"/>
              <w:color w:val="000000"/>
            </w:rPr>
            <w:t xml:space="preserve">Janssen, M., &amp; others. (2020). Digital Transformation in Public Sector Organizations. </w:t>
          </w:r>
          <w:r w:rsidRPr="00374CFE">
            <w:rPr>
              <w:rFonts w:ascii="Aptos" w:eastAsia="Times New Roman" w:hAnsi="Aptos"/>
              <w:i/>
              <w:iCs/>
              <w:color w:val="000000"/>
            </w:rPr>
            <w:t>Government Information Quarterly</w:t>
          </w:r>
          <w:r w:rsidRPr="00374CFE">
            <w:rPr>
              <w:rFonts w:ascii="Aptos" w:eastAsia="Times New Roman" w:hAnsi="Aptos"/>
              <w:color w:val="000000"/>
            </w:rPr>
            <w:t>. https://doi.org/10.1016/j.giq.2020.101527</w:t>
          </w:r>
        </w:p>
        <w:p w14:paraId="4052BF7F" w14:textId="77777777" w:rsidR="00C7708F" w:rsidRPr="00374CFE" w:rsidRDefault="00C7708F">
          <w:pPr>
            <w:autoSpaceDE w:val="0"/>
            <w:autoSpaceDN w:val="0"/>
            <w:ind w:hanging="480"/>
            <w:divId w:val="1660769931"/>
            <w:rPr>
              <w:rFonts w:ascii="Aptos" w:eastAsia="Times New Roman" w:hAnsi="Aptos"/>
              <w:color w:val="000000"/>
            </w:rPr>
          </w:pPr>
          <w:r w:rsidRPr="00374CFE">
            <w:rPr>
              <w:rFonts w:ascii="Aptos" w:eastAsia="Times New Roman" w:hAnsi="Aptos"/>
              <w:color w:val="000000"/>
            </w:rPr>
            <w:lastRenderedPageBreak/>
            <w:t xml:space="preserve">Mergel, I., Edelmann, N., &amp; Haug, N. (2019). Defining Digital Transformation: Results from Expert Interviews. </w:t>
          </w:r>
          <w:r w:rsidRPr="00374CFE">
            <w:rPr>
              <w:rFonts w:ascii="Aptos" w:eastAsia="Times New Roman" w:hAnsi="Aptos"/>
              <w:i/>
              <w:iCs/>
              <w:color w:val="000000"/>
            </w:rPr>
            <w:t>Government Information Quarterly</w:t>
          </w:r>
          <w:r w:rsidRPr="00374CFE">
            <w:rPr>
              <w:rFonts w:ascii="Aptos" w:eastAsia="Times New Roman" w:hAnsi="Aptos"/>
              <w:color w:val="000000"/>
            </w:rPr>
            <w:t>. https://doi.org/10.1080/01900692.2019.1575661</w:t>
          </w:r>
        </w:p>
        <w:p w14:paraId="41893E02" w14:textId="77777777" w:rsidR="00C7708F" w:rsidRPr="00374CFE" w:rsidRDefault="00C7708F">
          <w:pPr>
            <w:autoSpaceDE w:val="0"/>
            <w:autoSpaceDN w:val="0"/>
            <w:ind w:hanging="480"/>
            <w:divId w:val="373971656"/>
            <w:rPr>
              <w:rFonts w:ascii="Aptos" w:eastAsia="Times New Roman" w:hAnsi="Aptos"/>
              <w:color w:val="000000"/>
            </w:rPr>
          </w:pPr>
          <w:r w:rsidRPr="00374CFE">
            <w:rPr>
              <w:rFonts w:ascii="Aptos" w:eastAsia="Times New Roman" w:hAnsi="Aptos"/>
              <w:color w:val="000000"/>
            </w:rPr>
            <w:t xml:space="preserve">Moore, M. H. (1995). </w:t>
          </w:r>
          <w:r w:rsidRPr="00374CFE">
            <w:rPr>
              <w:rFonts w:ascii="Aptos" w:eastAsia="Times New Roman" w:hAnsi="Aptos"/>
              <w:i/>
              <w:iCs/>
              <w:color w:val="000000"/>
            </w:rPr>
            <w:t>Creating Public Value: Strategic Management in Government</w:t>
          </w:r>
          <w:r w:rsidRPr="00374CFE">
            <w:rPr>
              <w:rFonts w:ascii="Aptos" w:eastAsia="Times New Roman" w:hAnsi="Aptos"/>
              <w:color w:val="000000"/>
            </w:rPr>
            <w:t>. Harvard University Press. https://www.hks.harvard.edu/books/creating-public-value</w:t>
          </w:r>
        </w:p>
        <w:p w14:paraId="491CA885" w14:textId="77777777" w:rsidR="00C7708F" w:rsidRPr="00374CFE" w:rsidRDefault="00C7708F">
          <w:pPr>
            <w:autoSpaceDE w:val="0"/>
            <w:autoSpaceDN w:val="0"/>
            <w:ind w:hanging="480"/>
            <w:divId w:val="2024939914"/>
            <w:rPr>
              <w:rFonts w:ascii="Aptos" w:eastAsia="Times New Roman" w:hAnsi="Aptos"/>
              <w:color w:val="000000"/>
            </w:rPr>
          </w:pPr>
          <w:r w:rsidRPr="00374CFE">
            <w:rPr>
              <w:rFonts w:ascii="Aptos" w:eastAsia="Times New Roman" w:hAnsi="Aptos"/>
              <w:color w:val="000000"/>
            </w:rPr>
            <w:t xml:space="preserve">NHS England. (2024). </w:t>
          </w:r>
          <w:r w:rsidRPr="00374CFE">
            <w:rPr>
              <w:rFonts w:ascii="Aptos" w:eastAsia="Times New Roman" w:hAnsi="Aptos"/>
              <w:i/>
              <w:iCs/>
              <w:color w:val="000000"/>
            </w:rPr>
            <w:t>Digital Transformation and NHS Digital Strategy Guidance</w:t>
          </w:r>
          <w:r w:rsidRPr="00374CFE">
            <w:rPr>
              <w:rFonts w:ascii="Aptos" w:eastAsia="Times New Roman" w:hAnsi="Aptos"/>
              <w:color w:val="000000"/>
            </w:rPr>
            <w:t>. https://www.england.nhs.uk</w:t>
          </w:r>
        </w:p>
        <w:p w14:paraId="6B79CF54" w14:textId="77777777" w:rsidR="00C7708F" w:rsidRPr="00374CFE" w:rsidRDefault="00C7708F">
          <w:pPr>
            <w:autoSpaceDE w:val="0"/>
            <w:autoSpaceDN w:val="0"/>
            <w:ind w:hanging="480"/>
            <w:divId w:val="1063675687"/>
            <w:rPr>
              <w:rFonts w:ascii="Aptos" w:eastAsia="Times New Roman" w:hAnsi="Aptos"/>
              <w:color w:val="000000"/>
            </w:rPr>
          </w:pPr>
          <w:r w:rsidRPr="00374CFE">
            <w:rPr>
              <w:rFonts w:ascii="Aptos" w:eastAsia="Times New Roman" w:hAnsi="Aptos"/>
              <w:color w:val="000000"/>
            </w:rPr>
            <w:t xml:space="preserve">Osborne, S. P., &amp; others. (2021). Public Service Logic and Co-production. </w:t>
          </w:r>
          <w:r w:rsidRPr="00374CFE">
            <w:rPr>
              <w:rFonts w:ascii="Aptos" w:eastAsia="Times New Roman" w:hAnsi="Aptos"/>
              <w:i/>
              <w:iCs/>
              <w:color w:val="000000"/>
            </w:rPr>
            <w:t>International Journal of Management Reviews</w:t>
          </w:r>
          <w:r w:rsidRPr="00374CFE">
            <w:rPr>
              <w:rFonts w:ascii="Aptos" w:eastAsia="Times New Roman" w:hAnsi="Aptos"/>
              <w:color w:val="000000"/>
            </w:rPr>
            <w:t>. https://doi.org/10.1080/14719037.2019.1645872</w:t>
          </w:r>
        </w:p>
        <w:p w14:paraId="3B13C1A0" w14:textId="77777777" w:rsidR="00C7708F" w:rsidRPr="00374CFE" w:rsidRDefault="00C7708F">
          <w:pPr>
            <w:autoSpaceDE w:val="0"/>
            <w:autoSpaceDN w:val="0"/>
            <w:ind w:hanging="480"/>
            <w:divId w:val="35206698"/>
            <w:rPr>
              <w:rFonts w:ascii="Aptos" w:eastAsia="Times New Roman" w:hAnsi="Aptos"/>
              <w:color w:val="000000"/>
            </w:rPr>
          </w:pPr>
          <w:r w:rsidRPr="00374CFE">
            <w:rPr>
              <w:rFonts w:ascii="Aptos" w:eastAsia="Times New Roman" w:hAnsi="Aptos"/>
              <w:color w:val="000000"/>
            </w:rPr>
            <w:t xml:space="preserve">The King’s Fund. (2024). </w:t>
          </w:r>
          <w:r w:rsidRPr="00374CFE">
            <w:rPr>
              <w:rFonts w:ascii="Aptos" w:eastAsia="Times New Roman" w:hAnsi="Aptos"/>
              <w:i/>
              <w:iCs/>
              <w:color w:val="000000"/>
            </w:rPr>
            <w:t>Digital Transformation in the NHS and Integrated Care Systems</w:t>
          </w:r>
          <w:r w:rsidRPr="00374CFE">
            <w:rPr>
              <w:rFonts w:ascii="Aptos" w:eastAsia="Times New Roman" w:hAnsi="Aptos"/>
              <w:color w:val="000000"/>
            </w:rPr>
            <w:t>. https://www.kingsfund.org.uk</w:t>
          </w:r>
        </w:p>
        <w:p w14:paraId="7FF7F78E" w14:textId="77777777" w:rsidR="00C7708F" w:rsidRPr="00374CFE" w:rsidRDefault="00C7708F">
          <w:pPr>
            <w:autoSpaceDE w:val="0"/>
            <w:autoSpaceDN w:val="0"/>
            <w:ind w:hanging="480"/>
            <w:divId w:val="2026058727"/>
            <w:rPr>
              <w:rFonts w:ascii="Aptos" w:eastAsia="Times New Roman" w:hAnsi="Aptos"/>
              <w:color w:val="000000"/>
            </w:rPr>
          </w:pPr>
          <w:r w:rsidRPr="00374CFE">
            <w:rPr>
              <w:rFonts w:ascii="Aptos" w:eastAsia="Times New Roman" w:hAnsi="Aptos"/>
              <w:color w:val="000000"/>
            </w:rPr>
            <w:t xml:space="preserve">Welsh Ambulance Services NHS Trust. (2024). </w:t>
          </w:r>
          <w:r w:rsidRPr="00374CFE">
            <w:rPr>
              <w:rFonts w:ascii="Aptos" w:eastAsia="Times New Roman" w:hAnsi="Aptos"/>
              <w:i/>
              <w:iCs/>
              <w:color w:val="000000"/>
            </w:rPr>
            <w:t>Digital Plan 2024–2029</w:t>
          </w:r>
          <w:r w:rsidRPr="00374CFE">
            <w:rPr>
              <w:rFonts w:ascii="Aptos" w:eastAsia="Times New Roman" w:hAnsi="Aptos"/>
              <w:color w:val="000000"/>
            </w:rPr>
            <w:t>. https://ambulance.nhs.wales</w:t>
          </w:r>
        </w:p>
        <w:p w14:paraId="1DB39DF0" w14:textId="77777777" w:rsidR="000104E2" w:rsidRDefault="00C7708F" w:rsidP="00640E52">
          <w:pPr>
            <w:rPr>
              <w:rFonts w:ascii="Aptos" w:hAnsi="Aptos"/>
              <w:color w:val="000000"/>
            </w:rPr>
          </w:pPr>
          <w:r w:rsidRPr="00374CFE">
            <w:rPr>
              <w:rFonts w:ascii="Aptos" w:eastAsia="Times New Roman" w:hAnsi="Aptos"/>
              <w:color w:val="000000"/>
            </w:rPr>
            <w:t> </w:t>
          </w:r>
        </w:p>
      </w:sdtContent>
    </w:sdt>
    <w:p w14:paraId="67BA1B44" w14:textId="1D45E6CA" w:rsidR="00123105" w:rsidRPr="00640E52" w:rsidRDefault="000104E2" w:rsidP="00640E52">
      <w:r w:rsidRPr="000104E2">
        <w:rPr>
          <w:rFonts w:ascii="Arial" w:hAnsi="Arial" w:cs="Arial"/>
          <w:color w:val="000000"/>
          <w:shd w:val="clear" w:color="auto" w:fill="FFFFFF"/>
          <w:lang w:val="en-US"/>
        </w:rPr>
        <w:t xml:space="preserve"> </w:t>
      </w:r>
      <w:r w:rsidRPr="000104E2">
        <w:rPr>
          <w:rFonts w:ascii="Aptos" w:hAnsi="Aptos"/>
          <w:color w:val="000000"/>
          <w:lang w:val="en-US"/>
        </w:rPr>
        <w:t>“I confirm this essay is my own original work and does not include text created by a generative artificial intelligence tool.”</w:t>
      </w:r>
      <w:r w:rsidRPr="000104E2">
        <w:rPr>
          <w:rFonts w:ascii="Arial" w:hAnsi="Arial" w:cs="Arial"/>
          <w:color w:val="000000"/>
        </w:rPr>
        <w:t> </w:t>
      </w:r>
      <w:r w:rsidRPr="000104E2">
        <w:rPr>
          <w:rFonts w:ascii="Aptos" w:hAnsi="Aptos"/>
          <w:color w:val="000000"/>
        </w:rPr>
        <w:t> </w:t>
      </w:r>
    </w:p>
    <w:sectPr w:rsidR="00123105" w:rsidRPr="00640E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166D5"/>
    <w:multiLevelType w:val="multilevel"/>
    <w:tmpl w:val="81E84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8F6B97"/>
    <w:multiLevelType w:val="multilevel"/>
    <w:tmpl w:val="85267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810A1A"/>
    <w:multiLevelType w:val="multilevel"/>
    <w:tmpl w:val="8C96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870FD2"/>
    <w:multiLevelType w:val="multilevel"/>
    <w:tmpl w:val="3D3EB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EC10ED"/>
    <w:multiLevelType w:val="multilevel"/>
    <w:tmpl w:val="F326A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0E672E"/>
    <w:multiLevelType w:val="multilevel"/>
    <w:tmpl w:val="374CE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3E3AAE"/>
    <w:multiLevelType w:val="multilevel"/>
    <w:tmpl w:val="E30A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0379D5"/>
    <w:multiLevelType w:val="multilevel"/>
    <w:tmpl w:val="8640A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5175684">
    <w:abstractNumId w:val="7"/>
  </w:num>
  <w:num w:numId="2" w16cid:durableId="916475403">
    <w:abstractNumId w:val="1"/>
  </w:num>
  <w:num w:numId="3" w16cid:durableId="967006781">
    <w:abstractNumId w:val="3"/>
  </w:num>
  <w:num w:numId="4" w16cid:durableId="1853034754">
    <w:abstractNumId w:val="2"/>
  </w:num>
  <w:num w:numId="5" w16cid:durableId="223221279">
    <w:abstractNumId w:val="4"/>
  </w:num>
  <w:num w:numId="6" w16cid:durableId="702290463">
    <w:abstractNumId w:val="5"/>
  </w:num>
  <w:num w:numId="7" w16cid:durableId="770322873">
    <w:abstractNumId w:val="6"/>
  </w:num>
  <w:num w:numId="8" w16cid:durableId="952786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4D2"/>
    <w:rsid w:val="000104E2"/>
    <w:rsid w:val="00015E9C"/>
    <w:rsid w:val="00034CD9"/>
    <w:rsid w:val="00096546"/>
    <w:rsid w:val="00097564"/>
    <w:rsid w:val="00097EF3"/>
    <w:rsid w:val="000A64A7"/>
    <w:rsid w:val="00122213"/>
    <w:rsid w:val="00123105"/>
    <w:rsid w:val="001520D1"/>
    <w:rsid w:val="00166425"/>
    <w:rsid w:val="00183352"/>
    <w:rsid w:val="001B0DB2"/>
    <w:rsid w:val="001B10AF"/>
    <w:rsid w:val="001C58B4"/>
    <w:rsid w:val="001D7DAD"/>
    <w:rsid w:val="002210FE"/>
    <w:rsid w:val="0023188A"/>
    <w:rsid w:val="00271A7C"/>
    <w:rsid w:val="00277AA1"/>
    <w:rsid w:val="002B7B30"/>
    <w:rsid w:val="002C76C9"/>
    <w:rsid w:val="003153C5"/>
    <w:rsid w:val="003218B9"/>
    <w:rsid w:val="00324E87"/>
    <w:rsid w:val="00326FEB"/>
    <w:rsid w:val="00357F7C"/>
    <w:rsid w:val="00360598"/>
    <w:rsid w:val="003637B8"/>
    <w:rsid w:val="00374CFE"/>
    <w:rsid w:val="00395EB6"/>
    <w:rsid w:val="003A7EF7"/>
    <w:rsid w:val="003B4AC9"/>
    <w:rsid w:val="003C4C2E"/>
    <w:rsid w:val="003D63DD"/>
    <w:rsid w:val="003E239A"/>
    <w:rsid w:val="003F1BC1"/>
    <w:rsid w:val="003F2510"/>
    <w:rsid w:val="00406CFE"/>
    <w:rsid w:val="00422FD2"/>
    <w:rsid w:val="00425521"/>
    <w:rsid w:val="004314B2"/>
    <w:rsid w:val="00442CA5"/>
    <w:rsid w:val="004530C7"/>
    <w:rsid w:val="004563E7"/>
    <w:rsid w:val="00461533"/>
    <w:rsid w:val="00482BE5"/>
    <w:rsid w:val="004C362D"/>
    <w:rsid w:val="005458B6"/>
    <w:rsid w:val="00546B9C"/>
    <w:rsid w:val="0057678A"/>
    <w:rsid w:val="00594EFD"/>
    <w:rsid w:val="00595E11"/>
    <w:rsid w:val="005B1975"/>
    <w:rsid w:val="005C3E42"/>
    <w:rsid w:val="005C4516"/>
    <w:rsid w:val="005E6134"/>
    <w:rsid w:val="005F5D2F"/>
    <w:rsid w:val="00604D77"/>
    <w:rsid w:val="00636A6F"/>
    <w:rsid w:val="00637326"/>
    <w:rsid w:val="00640E52"/>
    <w:rsid w:val="00643A48"/>
    <w:rsid w:val="00646277"/>
    <w:rsid w:val="00682F8C"/>
    <w:rsid w:val="006A6F0C"/>
    <w:rsid w:val="006A7B16"/>
    <w:rsid w:val="006C1048"/>
    <w:rsid w:val="00711159"/>
    <w:rsid w:val="00711916"/>
    <w:rsid w:val="007179D9"/>
    <w:rsid w:val="007341B1"/>
    <w:rsid w:val="00761004"/>
    <w:rsid w:val="007A1F97"/>
    <w:rsid w:val="007B361C"/>
    <w:rsid w:val="007F72A2"/>
    <w:rsid w:val="008036A6"/>
    <w:rsid w:val="00842EBA"/>
    <w:rsid w:val="00854BAB"/>
    <w:rsid w:val="00856F5A"/>
    <w:rsid w:val="008C43CF"/>
    <w:rsid w:val="008C4E9A"/>
    <w:rsid w:val="008E2F1B"/>
    <w:rsid w:val="008E5815"/>
    <w:rsid w:val="009976D8"/>
    <w:rsid w:val="009F2D6F"/>
    <w:rsid w:val="00A175C1"/>
    <w:rsid w:val="00A44991"/>
    <w:rsid w:val="00A76D6A"/>
    <w:rsid w:val="00AD07B6"/>
    <w:rsid w:val="00AE6D3C"/>
    <w:rsid w:val="00AF21AF"/>
    <w:rsid w:val="00B87178"/>
    <w:rsid w:val="00BB10DE"/>
    <w:rsid w:val="00BD7F4E"/>
    <w:rsid w:val="00C523D4"/>
    <w:rsid w:val="00C7708F"/>
    <w:rsid w:val="00C81D22"/>
    <w:rsid w:val="00CC4668"/>
    <w:rsid w:val="00CC7AAA"/>
    <w:rsid w:val="00D264E8"/>
    <w:rsid w:val="00D437A1"/>
    <w:rsid w:val="00D66CDD"/>
    <w:rsid w:val="00D67906"/>
    <w:rsid w:val="00D67CE4"/>
    <w:rsid w:val="00D84ED3"/>
    <w:rsid w:val="00D94DEA"/>
    <w:rsid w:val="00DF4319"/>
    <w:rsid w:val="00E03F24"/>
    <w:rsid w:val="00E11DE3"/>
    <w:rsid w:val="00E122E7"/>
    <w:rsid w:val="00E17B41"/>
    <w:rsid w:val="00E30156"/>
    <w:rsid w:val="00E32217"/>
    <w:rsid w:val="00EC676E"/>
    <w:rsid w:val="00EF67AC"/>
    <w:rsid w:val="00EF6EA7"/>
    <w:rsid w:val="00F0072D"/>
    <w:rsid w:val="00F24611"/>
    <w:rsid w:val="00F304D2"/>
    <w:rsid w:val="00F33425"/>
    <w:rsid w:val="00F909AE"/>
    <w:rsid w:val="00F955A0"/>
    <w:rsid w:val="00FC6AAF"/>
    <w:rsid w:val="00FC6B6E"/>
    <w:rsid w:val="00FD1B76"/>
    <w:rsid w:val="00FF4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CB068"/>
  <w15:chartTrackingRefBased/>
  <w15:docId w15:val="{2A6F0144-543F-46C2-87B3-1CA629C23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4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04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304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304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04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04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04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04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04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4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04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304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304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04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04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04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04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04D2"/>
    <w:rPr>
      <w:rFonts w:eastAsiaTheme="majorEastAsia" w:cstheme="majorBidi"/>
      <w:color w:val="272727" w:themeColor="text1" w:themeTint="D8"/>
    </w:rPr>
  </w:style>
  <w:style w:type="paragraph" w:styleId="Title">
    <w:name w:val="Title"/>
    <w:basedOn w:val="Normal"/>
    <w:next w:val="Normal"/>
    <w:link w:val="TitleChar"/>
    <w:uiPriority w:val="10"/>
    <w:qFormat/>
    <w:rsid w:val="00F304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04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04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04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04D2"/>
    <w:pPr>
      <w:spacing w:before="160"/>
      <w:jc w:val="center"/>
    </w:pPr>
    <w:rPr>
      <w:i/>
      <w:iCs/>
      <w:color w:val="404040" w:themeColor="text1" w:themeTint="BF"/>
    </w:rPr>
  </w:style>
  <w:style w:type="character" w:customStyle="1" w:styleId="QuoteChar">
    <w:name w:val="Quote Char"/>
    <w:basedOn w:val="DefaultParagraphFont"/>
    <w:link w:val="Quote"/>
    <w:uiPriority w:val="29"/>
    <w:rsid w:val="00F304D2"/>
    <w:rPr>
      <w:i/>
      <w:iCs/>
      <w:color w:val="404040" w:themeColor="text1" w:themeTint="BF"/>
    </w:rPr>
  </w:style>
  <w:style w:type="paragraph" w:styleId="ListParagraph">
    <w:name w:val="List Paragraph"/>
    <w:basedOn w:val="Normal"/>
    <w:uiPriority w:val="34"/>
    <w:qFormat/>
    <w:rsid w:val="00F304D2"/>
    <w:pPr>
      <w:ind w:left="720"/>
      <w:contextualSpacing/>
    </w:pPr>
  </w:style>
  <w:style w:type="character" w:styleId="IntenseEmphasis">
    <w:name w:val="Intense Emphasis"/>
    <w:basedOn w:val="DefaultParagraphFont"/>
    <w:uiPriority w:val="21"/>
    <w:qFormat/>
    <w:rsid w:val="00F304D2"/>
    <w:rPr>
      <w:i/>
      <w:iCs/>
      <w:color w:val="0F4761" w:themeColor="accent1" w:themeShade="BF"/>
    </w:rPr>
  </w:style>
  <w:style w:type="paragraph" w:styleId="IntenseQuote">
    <w:name w:val="Intense Quote"/>
    <w:basedOn w:val="Normal"/>
    <w:next w:val="Normal"/>
    <w:link w:val="IntenseQuoteChar"/>
    <w:uiPriority w:val="30"/>
    <w:qFormat/>
    <w:rsid w:val="00F304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04D2"/>
    <w:rPr>
      <w:i/>
      <w:iCs/>
      <w:color w:val="0F4761" w:themeColor="accent1" w:themeShade="BF"/>
    </w:rPr>
  </w:style>
  <w:style w:type="character" w:styleId="IntenseReference">
    <w:name w:val="Intense Reference"/>
    <w:basedOn w:val="DefaultParagraphFont"/>
    <w:uiPriority w:val="32"/>
    <w:qFormat/>
    <w:rsid w:val="00F304D2"/>
    <w:rPr>
      <w:b/>
      <w:bCs/>
      <w:smallCaps/>
      <w:color w:val="0F4761" w:themeColor="accent1" w:themeShade="BF"/>
      <w:spacing w:val="5"/>
    </w:rPr>
  </w:style>
  <w:style w:type="character" w:styleId="Hyperlink">
    <w:name w:val="Hyperlink"/>
    <w:basedOn w:val="DefaultParagraphFont"/>
    <w:uiPriority w:val="99"/>
    <w:unhideWhenUsed/>
    <w:rsid w:val="00F304D2"/>
    <w:rPr>
      <w:color w:val="467886" w:themeColor="hyperlink"/>
      <w:u w:val="single"/>
    </w:rPr>
  </w:style>
  <w:style w:type="character" w:styleId="UnresolvedMention">
    <w:name w:val="Unresolved Mention"/>
    <w:basedOn w:val="DefaultParagraphFont"/>
    <w:uiPriority w:val="99"/>
    <w:semiHidden/>
    <w:unhideWhenUsed/>
    <w:rsid w:val="00F304D2"/>
    <w:rPr>
      <w:color w:val="605E5C"/>
      <w:shd w:val="clear" w:color="auto" w:fill="E1DFDD"/>
    </w:rPr>
  </w:style>
  <w:style w:type="paragraph" w:styleId="NormalWeb">
    <w:name w:val="Normal (Web)"/>
    <w:basedOn w:val="Normal"/>
    <w:uiPriority w:val="99"/>
    <w:semiHidden/>
    <w:unhideWhenUsed/>
    <w:rsid w:val="00AF21AF"/>
    <w:rPr>
      <w:rFonts w:ascii="Times New Roman" w:hAnsi="Times New Roman" w:cs="Times New Roman"/>
    </w:rPr>
  </w:style>
  <w:style w:type="table" w:styleId="TableGrid">
    <w:name w:val="Table Grid"/>
    <w:basedOn w:val="TableNormal"/>
    <w:uiPriority w:val="39"/>
    <w:rsid w:val="008036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3221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56873">
      <w:marLeft w:val="480"/>
      <w:marRight w:val="0"/>
      <w:marTop w:val="0"/>
      <w:marBottom w:val="0"/>
      <w:divBdr>
        <w:top w:val="none" w:sz="0" w:space="0" w:color="auto"/>
        <w:left w:val="none" w:sz="0" w:space="0" w:color="auto"/>
        <w:bottom w:val="none" w:sz="0" w:space="0" w:color="auto"/>
        <w:right w:val="none" w:sz="0" w:space="0" w:color="auto"/>
      </w:divBdr>
    </w:div>
    <w:div w:id="35206698">
      <w:marLeft w:val="480"/>
      <w:marRight w:val="0"/>
      <w:marTop w:val="0"/>
      <w:marBottom w:val="0"/>
      <w:divBdr>
        <w:top w:val="none" w:sz="0" w:space="0" w:color="auto"/>
        <w:left w:val="none" w:sz="0" w:space="0" w:color="auto"/>
        <w:bottom w:val="none" w:sz="0" w:space="0" w:color="auto"/>
        <w:right w:val="none" w:sz="0" w:space="0" w:color="auto"/>
      </w:divBdr>
    </w:div>
    <w:div w:id="106705978">
      <w:marLeft w:val="0"/>
      <w:marRight w:val="0"/>
      <w:marTop w:val="0"/>
      <w:marBottom w:val="0"/>
      <w:divBdr>
        <w:top w:val="none" w:sz="0" w:space="0" w:color="auto"/>
        <w:left w:val="none" w:sz="0" w:space="0" w:color="auto"/>
        <w:bottom w:val="none" w:sz="0" w:space="0" w:color="auto"/>
        <w:right w:val="none" w:sz="0" w:space="0" w:color="auto"/>
      </w:divBdr>
    </w:div>
    <w:div w:id="161943264">
      <w:marLeft w:val="480"/>
      <w:marRight w:val="0"/>
      <w:marTop w:val="0"/>
      <w:marBottom w:val="0"/>
      <w:divBdr>
        <w:top w:val="none" w:sz="0" w:space="0" w:color="auto"/>
        <w:left w:val="none" w:sz="0" w:space="0" w:color="auto"/>
        <w:bottom w:val="none" w:sz="0" w:space="0" w:color="auto"/>
        <w:right w:val="none" w:sz="0" w:space="0" w:color="auto"/>
      </w:divBdr>
    </w:div>
    <w:div w:id="257520346">
      <w:marLeft w:val="480"/>
      <w:marRight w:val="0"/>
      <w:marTop w:val="0"/>
      <w:marBottom w:val="0"/>
      <w:divBdr>
        <w:top w:val="none" w:sz="0" w:space="0" w:color="auto"/>
        <w:left w:val="none" w:sz="0" w:space="0" w:color="auto"/>
        <w:bottom w:val="none" w:sz="0" w:space="0" w:color="auto"/>
        <w:right w:val="none" w:sz="0" w:space="0" w:color="auto"/>
      </w:divBdr>
    </w:div>
    <w:div w:id="325591783">
      <w:marLeft w:val="480"/>
      <w:marRight w:val="0"/>
      <w:marTop w:val="0"/>
      <w:marBottom w:val="0"/>
      <w:divBdr>
        <w:top w:val="none" w:sz="0" w:space="0" w:color="auto"/>
        <w:left w:val="none" w:sz="0" w:space="0" w:color="auto"/>
        <w:bottom w:val="none" w:sz="0" w:space="0" w:color="auto"/>
        <w:right w:val="none" w:sz="0" w:space="0" w:color="auto"/>
      </w:divBdr>
    </w:div>
    <w:div w:id="329719695">
      <w:marLeft w:val="0"/>
      <w:marRight w:val="0"/>
      <w:marTop w:val="0"/>
      <w:marBottom w:val="0"/>
      <w:divBdr>
        <w:top w:val="none" w:sz="0" w:space="0" w:color="auto"/>
        <w:left w:val="none" w:sz="0" w:space="0" w:color="auto"/>
        <w:bottom w:val="none" w:sz="0" w:space="0" w:color="auto"/>
        <w:right w:val="none" w:sz="0" w:space="0" w:color="auto"/>
      </w:divBdr>
    </w:div>
    <w:div w:id="373971656">
      <w:marLeft w:val="480"/>
      <w:marRight w:val="0"/>
      <w:marTop w:val="0"/>
      <w:marBottom w:val="0"/>
      <w:divBdr>
        <w:top w:val="none" w:sz="0" w:space="0" w:color="auto"/>
        <w:left w:val="none" w:sz="0" w:space="0" w:color="auto"/>
        <w:bottom w:val="none" w:sz="0" w:space="0" w:color="auto"/>
        <w:right w:val="none" w:sz="0" w:space="0" w:color="auto"/>
      </w:divBdr>
    </w:div>
    <w:div w:id="392050704">
      <w:marLeft w:val="480"/>
      <w:marRight w:val="0"/>
      <w:marTop w:val="0"/>
      <w:marBottom w:val="0"/>
      <w:divBdr>
        <w:top w:val="none" w:sz="0" w:space="0" w:color="auto"/>
        <w:left w:val="none" w:sz="0" w:space="0" w:color="auto"/>
        <w:bottom w:val="none" w:sz="0" w:space="0" w:color="auto"/>
        <w:right w:val="none" w:sz="0" w:space="0" w:color="auto"/>
      </w:divBdr>
    </w:div>
    <w:div w:id="401952156">
      <w:marLeft w:val="480"/>
      <w:marRight w:val="0"/>
      <w:marTop w:val="0"/>
      <w:marBottom w:val="0"/>
      <w:divBdr>
        <w:top w:val="none" w:sz="0" w:space="0" w:color="auto"/>
        <w:left w:val="none" w:sz="0" w:space="0" w:color="auto"/>
        <w:bottom w:val="none" w:sz="0" w:space="0" w:color="auto"/>
        <w:right w:val="none" w:sz="0" w:space="0" w:color="auto"/>
      </w:divBdr>
    </w:div>
    <w:div w:id="855387902">
      <w:marLeft w:val="480"/>
      <w:marRight w:val="0"/>
      <w:marTop w:val="0"/>
      <w:marBottom w:val="0"/>
      <w:divBdr>
        <w:top w:val="none" w:sz="0" w:space="0" w:color="auto"/>
        <w:left w:val="none" w:sz="0" w:space="0" w:color="auto"/>
        <w:bottom w:val="none" w:sz="0" w:space="0" w:color="auto"/>
        <w:right w:val="none" w:sz="0" w:space="0" w:color="auto"/>
      </w:divBdr>
    </w:div>
    <w:div w:id="936058733">
      <w:marLeft w:val="480"/>
      <w:marRight w:val="0"/>
      <w:marTop w:val="0"/>
      <w:marBottom w:val="0"/>
      <w:divBdr>
        <w:top w:val="none" w:sz="0" w:space="0" w:color="auto"/>
        <w:left w:val="none" w:sz="0" w:space="0" w:color="auto"/>
        <w:bottom w:val="none" w:sz="0" w:space="0" w:color="auto"/>
        <w:right w:val="none" w:sz="0" w:space="0" w:color="auto"/>
      </w:divBdr>
    </w:div>
    <w:div w:id="1063675687">
      <w:marLeft w:val="480"/>
      <w:marRight w:val="0"/>
      <w:marTop w:val="0"/>
      <w:marBottom w:val="0"/>
      <w:divBdr>
        <w:top w:val="none" w:sz="0" w:space="0" w:color="auto"/>
        <w:left w:val="none" w:sz="0" w:space="0" w:color="auto"/>
        <w:bottom w:val="none" w:sz="0" w:space="0" w:color="auto"/>
        <w:right w:val="none" w:sz="0" w:space="0" w:color="auto"/>
      </w:divBdr>
    </w:div>
    <w:div w:id="1318342540">
      <w:marLeft w:val="0"/>
      <w:marRight w:val="0"/>
      <w:marTop w:val="0"/>
      <w:marBottom w:val="0"/>
      <w:divBdr>
        <w:top w:val="none" w:sz="0" w:space="0" w:color="auto"/>
        <w:left w:val="none" w:sz="0" w:space="0" w:color="auto"/>
        <w:bottom w:val="none" w:sz="0" w:space="0" w:color="auto"/>
        <w:right w:val="none" w:sz="0" w:space="0" w:color="auto"/>
      </w:divBdr>
    </w:div>
    <w:div w:id="1401904978">
      <w:marLeft w:val="480"/>
      <w:marRight w:val="0"/>
      <w:marTop w:val="0"/>
      <w:marBottom w:val="0"/>
      <w:divBdr>
        <w:top w:val="none" w:sz="0" w:space="0" w:color="auto"/>
        <w:left w:val="none" w:sz="0" w:space="0" w:color="auto"/>
        <w:bottom w:val="none" w:sz="0" w:space="0" w:color="auto"/>
        <w:right w:val="none" w:sz="0" w:space="0" w:color="auto"/>
      </w:divBdr>
    </w:div>
    <w:div w:id="1660769931">
      <w:marLeft w:val="480"/>
      <w:marRight w:val="0"/>
      <w:marTop w:val="0"/>
      <w:marBottom w:val="0"/>
      <w:divBdr>
        <w:top w:val="none" w:sz="0" w:space="0" w:color="auto"/>
        <w:left w:val="none" w:sz="0" w:space="0" w:color="auto"/>
        <w:bottom w:val="none" w:sz="0" w:space="0" w:color="auto"/>
        <w:right w:val="none" w:sz="0" w:space="0" w:color="auto"/>
      </w:divBdr>
    </w:div>
    <w:div w:id="1750688477">
      <w:marLeft w:val="480"/>
      <w:marRight w:val="0"/>
      <w:marTop w:val="0"/>
      <w:marBottom w:val="0"/>
      <w:divBdr>
        <w:top w:val="none" w:sz="0" w:space="0" w:color="auto"/>
        <w:left w:val="none" w:sz="0" w:space="0" w:color="auto"/>
        <w:bottom w:val="none" w:sz="0" w:space="0" w:color="auto"/>
        <w:right w:val="none" w:sz="0" w:space="0" w:color="auto"/>
      </w:divBdr>
    </w:div>
    <w:div w:id="1923486849">
      <w:marLeft w:val="480"/>
      <w:marRight w:val="0"/>
      <w:marTop w:val="0"/>
      <w:marBottom w:val="0"/>
      <w:divBdr>
        <w:top w:val="none" w:sz="0" w:space="0" w:color="auto"/>
        <w:left w:val="none" w:sz="0" w:space="0" w:color="auto"/>
        <w:bottom w:val="none" w:sz="0" w:space="0" w:color="auto"/>
        <w:right w:val="none" w:sz="0" w:space="0" w:color="auto"/>
      </w:divBdr>
    </w:div>
    <w:div w:id="2024939914">
      <w:marLeft w:val="480"/>
      <w:marRight w:val="0"/>
      <w:marTop w:val="0"/>
      <w:marBottom w:val="0"/>
      <w:divBdr>
        <w:top w:val="none" w:sz="0" w:space="0" w:color="auto"/>
        <w:left w:val="none" w:sz="0" w:space="0" w:color="auto"/>
        <w:bottom w:val="none" w:sz="0" w:space="0" w:color="auto"/>
        <w:right w:val="none" w:sz="0" w:space="0" w:color="auto"/>
      </w:divBdr>
    </w:div>
    <w:div w:id="2026058727">
      <w:marLeft w:val="480"/>
      <w:marRight w:val="0"/>
      <w:marTop w:val="0"/>
      <w:marBottom w:val="0"/>
      <w:divBdr>
        <w:top w:val="none" w:sz="0" w:space="0" w:color="auto"/>
        <w:left w:val="none" w:sz="0" w:space="0" w:color="auto"/>
        <w:bottom w:val="none" w:sz="0" w:space="0" w:color="auto"/>
        <w:right w:val="none" w:sz="0" w:space="0" w:color="auto"/>
      </w:divBdr>
    </w:div>
    <w:div w:id="210646012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7EE0C2C-5908-4535-9471-E110E36FB435}"/>
      </w:docPartPr>
      <w:docPartBody>
        <w:p w:rsidR="0025443A" w:rsidRDefault="0025443A">
          <w:r w:rsidRPr="009B3F3A">
            <w:rPr>
              <w:rStyle w:val="PlaceholderText"/>
            </w:rPr>
            <w:t>Click or tap here to enter text.</w:t>
          </w:r>
        </w:p>
      </w:docPartBody>
    </w:docPart>
    <w:docPart>
      <w:docPartPr>
        <w:name w:val="CD213BCC767A49DA920246FEC533A86B"/>
        <w:category>
          <w:name w:val="General"/>
          <w:gallery w:val="placeholder"/>
        </w:category>
        <w:types>
          <w:type w:val="bbPlcHdr"/>
        </w:types>
        <w:behaviors>
          <w:behavior w:val="content"/>
        </w:behaviors>
        <w:guid w:val="{A556822B-4437-483A-99AE-CF1F50EFF20D}"/>
      </w:docPartPr>
      <w:docPartBody>
        <w:p w:rsidR="0025443A" w:rsidRDefault="0025443A" w:rsidP="0025443A">
          <w:pPr>
            <w:pStyle w:val="CD213BCC767A49DA920246FEC533A86B"/>
          </w:pPr>
          <w:r w:rsidRPr="009B3F3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43A"/>
    <w:rsid w:val="001B0DB2"/>
    <w:rsid w:val="0025443A"/>
    <w:rsid w:val="00B818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5443A"/>
    <w:rPr>
      <w:color w:val="666666"/>
    </w:rPr>
  </w:style>
  <w:style w:type="paragraph" w:customStyle="1" w:styleId="CD213BCC767A49DA920246FEC533A86B">
    <w:name w:val="CD213BCC767A49DA920246FEC533A86B"/>
    <w:rsid w:val="002544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3BDBEE2-02C9-44F4-AF31-44FB076D9134}">
  <we:reference id="wa104382081" version="1.55.1.0" store="en-US" storeType="OMEX"/>
  <we:alternateReferences>
    <we:reference id="WA104382081" version="1.55.1.0" store="" storeType="OMEX"/>
  </we:alternateReferences>
  <we:properties>
    <we:property name="MENDELEY_BIBLIOGRAPHY_IS_DIRTY" value="true"/>
    <we:property name="MENDELEY_BIBLIOGRAPHY_LAST_MODIFIED" value="1777054700928"/>
    <we:property name="MENDELEY_CITATIONS" value="[{&quot;citationID&quot;:&quot;MENDELEY_CITATION_d21392b0-d82e-43a4-ae3e-0c90fc392a71&quot;,&quot;properties&quot;:{&quot;noteIndex&quot;:0},&quot;isEdited&quot;:false,&quot;manualOverride&quot;:{&quot;isManuallyOverridden&quot;:false,&quot;citeprocText&quot;:&quot;(Freeman, 1984; Freeman et al., 2010)&quot;,&quot;manualOverrideText&quot;:&quot;&quot;},&quot;citationTag&quot;:&quot;MENDELEY_CITATION_v3_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&quot;,&quot;citationItems&quot;:[{&quot;id&quot;:&quot;4477ff9a-3bd6-3dc0-8ee5-fb3cf6d0e46f&quot;,&quot;itemData&quot;:{&quot;type&quot;:&quot;book&quot;,&quot;id&quot;:&quot;4477ff9a-3bd6-3dc0-8ee5-fb3cf6d0e46f&quot;,&quot;title&quot;:&quot;Strategic Management: A Stakeholder Approach&quot;,&quot;author&quot;:[{&quot;family&quot;:&quot;Freeman&quot;,&quot;given&quot;:&quot;R Edward&quot;,&quot;parse-names&quot;:false,&quot;dropping-particle&quot;:&quot;&quot;,&quot;non-dropping-particle&quot;:&quot;&quot;}],&quot;issued&quot;:{&quot;date-parts&quot;:[[1984]]},&quot;publisher&quot;:&quot;Pitman&quot;,&quot;container-title-short&quot;:&quot;&quot;},&quot;isTemporary&quot;:false},{&quot;id&quot;:&quot;ba8a1ec2-3449-3c6d-94f7-83db326371f8&quot;,&quot;itemData&quot;:{&quot;type&quot;:&quot;book&quot;,&quot;id&quot;:&quot;ba8a1ec2-3449-3c6d-94f7-83db326371f8&quot;,&quot;title&quot;:&quot;Stakeholder Theory: The State of the Art&quot;,&quot;author&quot;:[{&quot;family&quot;:&quot;Freeman&quot;,&quot;given&quot;:&quot;R Edward&quot;,&quot;parse-names&quot;:false,&quot;dropping-particle&quot;:&quot;&quot;,&quot;non-dropping-particle&quot;:&quot;&quot;},{&quot;family&quot;:&quot;Harrison&quot;,&quot;given&quot;:&quot;Jeffrey S&quot;,&quot;parse-names&quot;:false,&quot;dropping-particle&quot;:&quot;&quot;,&quot;non-dropping-particle&quot;:&quot;&quot;},{&quot;family&quot;:&quot;Wicks&quot;,&quot;given&quot;:&quot;Andrew C&quot;,&quot;parse-names&quot;:false,&quot;dropping-particle&quot;:&quot;&quot;,&quot;non-dropping-particle&quot;:&quot;&quot;},{&quot;family&quot;:&quot;Parmar&quot;,&quot;given&quot;:&quot;Bidhan L&quot;,&quot;parse-names&quot;:false,&quot;dropping-particle&quot;:&quot;&quot;,&quot;non-dropping-particle&quot;:&quot;&quot;},{&quot;family&quot;:&quot;Colle&quot;,&quot;given&quot;:&quot;Simone&quot;,&quot;parse-names&quot;:false,&quot;dropping-particle&quot;:&quot;&quot;,&quot;non-dropping-particle&quot;:&quot;de&quot;}],&quot;URL&quot;:&quot;https://www.academia.edu/1091029/Stakeholder_theory_The_state_of_the_art&quot;,&quot;issued&quot;:{&quot;date-parts&quot;:[[2010]]},&quot;publisher-place&quot;:&quot;Cambridge&quot;,&quot;publisher&quot;:&quot;Cambridge University Press&quot;,&quot;container-title-short&quot;:&quot;&quot;},&quot;isTemporary&quot;:false}]},{&quot;citationID&quot;:&quot;MENDELEY_CITATION_da3ff04b-6688-4e3a-a08e-439eda75cfd5&quot;,&quot;properties&quot;:{&quot;noteIndex&quot;:0},&quot;isEdited&quot;:false,&quot;manualOverride&quot;:{&quot;isManuallyOverridden&quot;:false,&quot;citeprocText&quot;:&quot;(Janssen &amp;#38; others, 2020; Mergel et al., 2019)&quot;,&quot;manualOverrideText&quot;:&quot;&quot;},&quot;citationTag&quot;:&quot;MENDELEY_CITATION_v3_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&quot;,&quot;citationItems&quot;:[{&quot;id&quot;:&quot;0af2d629-8d63-3cb9-aa78-3680d34e2852&quot;,&quot;itemData&quot;:{&quot;type&quot;:&quot;article-journal&quot;,&quot;id&quot;:&quot;0af2d629-8d63-3cb9-aa78-3680d34e2852&quot;,&quot;title&quot;:&quot;Defining Digital Transformation: Results from Expert Interviews&quot;,&quot;author&quot;:[{&quot;family&quot;:&quot;Mergel&quot;,&quot;given&quot;:&quot;Ines&quot;,&quot;parse-names&quot;:false,&quot;dropping-particle&quot;:&quot;&quot;,&quot;non-dropping-particle&quot;:&quot;&quot;},{&quot;family&quot;:&quot;Edelmann&quot;,&quot;given&quot;:&quot;Noella&quot;,&quot;parse-names&quot;:false,&quot;dropping-particle&quot;:&quot;&quot;,&quot;non-dropping-particle&quot;:&quot;&quot;},{&quot;family&quot;:&quot;Haug&quot;,&quot;given&quot;:&quot;Nathalie&quot;,&quot;parse-names&quot;:false,&quot;dropping-particle&quot;:&quot;&quot;,&quot;non-dropping-particle&quot;:&quot;&quot;}],&quot;container-title&quot;:&quot;Government Information Quarterly&quot;,&quot;container-title-short&quot;:&quot;Gov. Inf. Q.&quot;,&quot;DOI&quot;:&quot;10.1080/01900692.2019.1575661&quot;,&quot;URL&quot;:&quot;https://doi.org/10.1080/01900692.2019.1575661&quot;,&quot;issued&quot;:{&quot;date-parts&quot;:[[2019]]}},&quot;isTemporary&quot;:false},{&quot;id&quot;:&quot;1296e881-3348-3f3b-b312-cdfb87f3187f&quot;,&quot;itemData&quot;:{&quot;type&quot;:&quot;article-journal&quot;,&quot;id&quot;:&quot;1296e881-3348-3f3b-b312-cdfb87f3187f&quot;,&quot;title&quot;:&quot;Digital Transformation in Public Sector Organizations&quot;,&quot;author&quot;:[{&quot;family&quot;:&quot;Janssen&quot;,&quot;given&quot;:&quot;Marijn&quot;,&quot;parse-names&quot;:false,&quot;dropping-particle&quot;:&quot;&quot;,&quot;non-dropping-particle&quot;:&quot;&quot;},{&quot;family&quot;:&quot;others&quot;,&quot;given&quot;:&quot;&quot;,&quot;parse-names&quot;:false,&quot;dropping-particle&quot;:&quot;&quot;,&quot;non-dropping-particle&quot;:&quot;&quot;}],&quot;container-title&quot;:&quot;Government Information Quarterly&quot;,&quot;container-title-short&quot;:&quot;Gov. Inf. Q.&quot;,&quot;DOI&quot;:&quot;10.1016/j.giq.2020.101527&quot;,&quot;URL&quot;:&quot;https://doi.org/10.1016/j.giq.2020.101527&quot;,&quot;issued&quot;:{&quot;date-parts&quot;:[[2020]]}},&quot;isTemporary&quot;:false}]},{&quot;citationID&quot;:&quot;MENDELEY_CITATION_cf418fad-17c8-4912-867b-a4fc74b4b471&quot;,&quot;properties&quot;:{&quot;noteIndex&quot;:0},&quot;isEdited&quot;:false,&quot;manualOverride&quot;:{&quot;isManuallyOverridden&quot;:false,&quot;citeprocText&quot;:&quot;(Bovaird &amp;#38; Loeffler, 2012; Osborne &amp;#38; others, 2021)&quot;,&quot;manualOverrideText&quot;:&quot;&quot;},&quot;citationTag&quot;:&quot;MENDELEY_CITATION_v3_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&quot;,&quot;citationItems&quot;:[{&quot;id&quot;:&quot;13acc9c2-e4e6-398f-aafd-88a358729103&quot;,&quot;itemData&quot;:{&quot;type&quot;:&quot;article-journal&quot;,&quot;id&quot;:&quot;13acc9c2-e4e6-398f-aafd-88a358729103&quot;,&quot;title&quot;:&quot;Co-production of Public Services&quot;,&quot;author&quot;:[{&quot;family&quot;:&quot;Bovaird&quot;,&quot;given&quot;:&quot;Tony&quot;,&quot;parse-names&quot;:false,&quot;dropping-particle&quot;:&quot;&quot;,&quot;non-dropping-particle&quot;:&quot;&quot;},{&quot;family&quot;:&quot;Loeffler&quot;,&quot;given&quot;:&quot;Elke&quot;,&quot;parse-names&quot;:false,&quot;dropping-particle&quot;:&quot;&quot;,&quot;non-dropping-particle&quot;:&quot;&quot;}],&quot;container-title&quot;:&quot;Public Management Review&quot;,&quot;DOI&quot;:&quot;10.1111/j.1467-9299.2011.01933.x&quot;,&quot;URL&quot;:&quot;https://doi.org/10.1111/j.1467-9299.2011.01933.x&quot;,&quot;issued&quot;:{&quot;date-parts&quot;:[[2012]]},&quot;container-title-short&quot;:&quot;&quot;},&quot;isTemporary&quot;:false},{&quot;id&quot;:&quot;108ea183-23c9-3692-b95b-fe159620b85a&quot;,&quot;itemData&quot;:{&quot;type&quot;:&quot;article-journal&quot;,&quot;id&quot;:&quot;108ea183-23c9-3692-b95b-fe159620b85a&quot;,&quot;title&quot;:&quot;Public Service Logic and Co-production&quot;,&quot;author&quot;:[{&quot;family&quot;:&quot;Osborne&quot;,&quot;given&quot;:&quot;Stephen P&quot;,&quot;parse-names&quot;:false,&quot;dropping-particle&quot;:&quot;&quot;,&quot;non-dropping-particle&quot;:&quot;&quot;},{&quot;family&quot;:&quot;others&quot;,&quot;given&quot;:&quot;&quot;,&quot;parse-names&quot;:false,&quot;dropping-particle&quot;:&quot;&quot;,&quot;non-dropping-particle&quot;:&quot;&quot;}],&quot;container-title&quot;:&quot;International Journal of Management Reviews&quot;,&quot;DOI&quot;:&quot;10.1080/14719037.2019.1645872&quot;,&quot;URL&quot;:&quot;https://doi.org/10.1080/14719037.2019.1645872&quot;,&quot;issued&quot;:{&quot;date-parts&quot;:[[2021]]},&quot;container-title-short&quot;:&quot;&quot;},&quot;isTemporary&quot;:false}]},{&quot;citationID&quot;:&quot;MENDELEY_CITATION_0e64c88c-bbcc-461b-87dd-1e4b5294561b&quot;,&quot;properties&quot;:{&quot;noteIndex&quot;:0},&quot;isEdited&quot;:false,&quot;manualOverride&quot;:{&quot;isManuallyOverridden&quot;:false,&quot;citeprocText&quot;:&quot;(Moore, 1995)&quot;,&quot;manualOverrideText&quot;:&quot;&quot;},&quot;citationTag&quot;:&quot;MENDELEY_CITATION_v3_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&quot;,&quot;citationItems&quot;:[{&quot;id&quot;:&quot;99a37439-fc8e-343b-8628-a85fe5cf1301&quot;,&quot;itemData&quot;:{&quot;type&quot;:&quot;book&quot;,&quot;id&quot;:&quot;99a37439-fc8e-343b-8628-a85fe5cf1301&quot;,&quot;title&quot;:&quot;Creating Public Value: Strategic Management in Government&quot;,&quot;author&quot;:[{&quot;family&quot;:&quot;Moore&quot;,&quot;given&quot;:&quot;Mark H&quot;,&quot;parse-names&quot;:false,&quot;dropping-particle&quot;:&quot;&quot;,&quot;non-dropping-particle&quot;:&quot;&quot;}],&quot;URL&quot;:&quot;https://www.hks.harvard.edu/books/creating-public-value&quot;,&quot;issued&quot;:{&quot;date-parts&quot;:[[1995]]},&quot;publisher&quot;:&quot;Harvard University Press&quot;,&quot;container-title-short&quot;:&quot;&quot;},&quot;isTemporary&quot;:false}]},{&quot;citationID&quot;:&quot;MENDELEY_CITATION_32b14b31-e3ba-4404-950d-e14f7e2873a7&quot;,&quot;properties&quot;:{&quot;noteIndex&quot;:0},&quot;isEdited&quot;:false,&quot;manualOverride&quot;:{&quot;isManuallyOverridden&quot;:true,&quot;citeprocText&quot;:&quot;(Cordella &amp;#38; Tempini, 2021)&quot;,&quot;manualOverrideText&quot;:&quot;(Cordella et.al, 2021)&quot;},&quot;citationTag&quot;:&quot;MENDELEY_CITATION_v3_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&quot;,&quot;citationItems&quot;:[{&quot;id&quot;:&quot;c6f9c776-8247-3d9e-8f47-c95745ea8add&quot;,&quot;itemData&quot;:{&quot;type&quot;:&quot;article-journal&quot;,&quot;id&quot;:&quot;c6f9c776-8247-3d9e-8f47-c95745ea8add&quot;,&quot;title&quot;:&quot;Digital Governance and Public Value Creation&quot;,&quot;author&quot;:[{&quot;family&quot;:&quot;Cordella&quot;,&quot;given&quot;:&quot;Antonio&quot;,&quot;parse-names&quot;:false,&quot;dropping-particle&quot;:&quot;&quot;,&quot;non-dropping-particle&quot;:&quot;&quot;},{&quot;family&quot;:&quot;Tempini&quot;,&quot;given&quot;:&quot;Niccolò&quot;,&quot;parse-names&quot;:false,&quot;dropping-particle&quot;:&quot;&quot;,&quot;non-dropping-particle&quot;:&quot;&quot;}],&quot;container-title&quot;:&quot;Government Information Quarterly&quot;,&quot;container-title-short&quot;:&quot;Gov. Inf. Q.&quot;,&quot;DOI&quot;:&quot;10.1016/j.giq.2021.101561&quot;,&quot;URL&quot;:&quot;https://doi.org/10.1016/j.giq.2021.101561&quot;,&quot;issued&quot;:{&quot;date-parts&quot;:[[2021]]}},&quot;isTemporary&quot;:false}]},{&quot;citationID&quot;:&quot;MENDELEY_CITATION_e8f5ef0f-7443-45b0-a5dd-b15030f8920f&quot;,&quot;properties&quot;:{&quot;noteIndex&quot;:0},&quot;isEdited&quot;:false,&quot;manualOverride&quot;:{&quot;isManuallyOverridden&quot;:false,&quot;citeprocText&quot;:&quot;(Welsh Ambulance Services NHS Trust, 2024)&quot;,&quot;manualOverrideText&quot;:&quot;&quot;},&quot;citationTag&quot;:&quot;MENDELEY_CITATION_v3_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&quot;,&quot;citationItems&quot;:[{&quot;id&quot;:&quot;5d7751a9-d8a8-3dc4-89ac-abe0b3ccf0ce&quot;,&quot;itemData&quot;:{&quot;type&quot;:&quot;article&quot;,&quot;id&quot;:&quot;5d7751a9-d8a8-3dc4-89ac-abe0b3ccf0ce&quot;,&quot;title&quot;:&quot;Digital Plan 2024–2029&quot;,&quot;author&quot;:[{&quot;family&quot;:&quot;Welsh Ambulance Services NHS Trust&quot;,&quot;given&quot;:&quot;&quot;,&quot;parse-names&quot;:false,&quot;dropping-particle&quot;:&quot;&quot;,&quot;non-dropping-particle&quot;:&quot;&quot;}],&quot;URL&quot;:&quot;https://ambulance.nhs.wales&quot;,&quot;issued&quot;:{&quot;date-parts&quot;:[[2024]]},&quot;container-title-short&quot;:&quot;&quot;},&quot;isTemporary&quot;:false}]},{&quot;citationID&quot;:&quot;MENDELEY_CITATION_d60b3cef-dc21-42bd-8cb4-0bfd4026719f&quot;,&quot;properties&quot;:{&quot;noteIndex&quot;:0},&quot;isEdited&quot;:false,&quot;manualOverride&quot;:{&quot;isManuallyOverridden&quot;:false,&quot;citeprocText&quot;:&quot;(NHS England, 2024)&quot;,&quot;manualOverrideText&quot;:&quot;&quot;},&quot;citationTag&quot;:&quot;MENDELEY_CITATION_v3_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&quot;,&quot;citationItems&quot;:[{&quot;id&quot;:&quot;066a4b0a-502f-3629-b8d7-4cc3e1aaa5f7&quot;,&quot;itemData&quot;:{&quot;type&quot;:&quot;article&quot;,&quot;id&quot;:&quot;066a4b0a-502f-3629-b8d7-4cc3e1aaa5f7&quot;,&quot;title&quot;:&quot;Digital Transformation and NHS Digital Strategy Guidance&quot;,&quot;author&quot;:[{&quot;family&quot;:&quot;NHS England&quot;,&quot;given&quot;:&quot;&quot;,&quot;parse-names&quot;:false,&quot;dropping-particle&quot;:&quot;&quot;,&quot;non-dropping-particle&quot;:&quot;&quot;}],&quot;URL&quot;:&quot;https://www.england.nhs.uk&quot;,&quot;issued&quot;:{&quot;date-parts&quot;:[[2024]]},&quot;container-title-short&quot;:&quot;&quot;},&quot;isTemporary&quot;:false}]},{&quot;citationID&quot;:&quot;MENDELEY_CITATION_5f38a12b-e3b8-43d7-beeb-863e7da28e52&quot;,&quot;properties&quot;:{&quot;noteIndex&quot;:0},&quot;isEdited&quot;:false,&quot;manualOverride&quot;:{&quot;isManuallyOverridden&quot;:true,&quot;citeprocText&quot;:&quot;(&lt;i&gt;Digital Health and Care Wales’ Organisational Strategy 2024-2030: In Focus – HTN Health Tech News&lt;/i&gt;, n.d.)&quot;,&quot;manualOverrideText&quot;:&quot;(Digital Health and Care Wales Organisational Strategy 2024-2030: In Focus – HTN Health Tech News, n.d.)&quot;},&quot;citationTag&quot;:&quot;MENDELEY_CITATION_v3_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&quot;,&quot;citationItems&quot;:[{&quot;id&quot;:&quot;0f3d4fe4-efe2-3a8a-be48-7db53876d125&quot;,&quot;itemData&quot;:{&quot;type&quot;:&quot;webpage&quot;,&quot;id&quot;:&quot;0f3d4fe4-efe2-3a8a-be48-7db53876d125&quot;,&quot;title&quot;:&quot;Digital Health and Care Wales’ organisational strategy 2024-2030: in focus – HTN Health Tech News&quot;,&quot;accessed&quot;:{&quot;date-parts&quot;:[[2025,11,26]]},&quot;URL&quot;:&quot;https://htn.co.uk/2024/07/03/digital-health-and-care-wales-organisational-strategy-2024-2030-in-focus/&quot;,&quot;container-title-short&quot;:&quot;&quot;},&quot;isTemporary&quot;:false}]},{&quot;citationID&quot;:&quot;MENDELEY_CITATION_dc7ff894-4d53-4ef9-8592-13dc4bc20377&quot;,&quot;properties&quot;:{&quot;noteIndex&quot;:0},&quot;isEdited&quot;:false,&quot;manualOverride&quot;:{&quot;isManuallyOverridden&quot;:false,&quot;citeprocText&quot;:&quot;(Cambrian News, 2024)&quot;,&quot;manualOverrideText&quot;:&quot;&quot;},&quot;citationTag&quot;:&quot;MENDELEY_CITATION_v3_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&quot;,&quot;citationItems&quot;:[{&quot;id&quot;:&quot;4a08b71c-0b8d-341f-b2cd-d6485ac2fdf2&quot;,&quot;itemData&quot;:{&quot;type&quot;:&quot;article&quot;,&quot;id&quot;:&quot;4a08b71c-0b8d-341f-b2cd-d6485ac2fdf2&quot;,&quot;title&quot;:&quot;NHS Wales Digital Strategy and Governance Developments&quot;,&quot;author&quot;:[{&quot;family&quot;:&quot;Cambrian News&quot;,&quot;given&quot;:&quot;&quot;,&quot;parse-names&quot;:false,&quot;dropping-particle&quot;:&quot;&quot;,&quot;non-dropping-particle&quot;:&quot;&quot;}],&quot;URL&quot;:&quot;https://www.cambrian-news.co.uk&quot;,&quot;issued&quot;:{&quot;date-parts&quot;:[[2024]]},&quot;container-title-short&quot;:&quot;&quot;},&quot;isTemporary&quot;:false}]},{&quot;citationID&quot;:&quot;MENDELEY_CITATION_96eb9471-cd7d-4899-8253-c78e0faa5bbd&quot;,&quot;properties&quot;:{&quot;noteIndex&quot;:0},&quot;isEdited&quot;:false,&quot;manualOverride&quot;:{&quot;isManuallyOverridden&quot;:true,&quot;citeprocText&quot;:&quot;(BMJ Digital Health, 2024)&quot;,&quot;manualOverrideText&quot;:&quot;(BMJ Digital Health, 2024).&quot;},&quot;citationTag&quot;:&quot;MENDELEY_CITATION_v3_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&quot;,&quot;citationItems&quot;:[{&quot;id&quot;:&quot;d2e626be-9607-3888-982c-103ab88f0edd&quot;,&quot;itemData&quot;:{&quot;type&quot;:&quot;article&quot;,&quot;id&quot;:&quot;d2e626be-9607-3888-982c-103ab88f0edd&quot;,&quot;title&quot;:&quot;Stakeholder Engagement in Digital Health Systems and Co-production Approaches&quot;,&quot;author&quot;:[{&quot;family&quot;:&quot;BMJ Digital Health&quot;,&quot;given&quot;:&quot;&quot;,&quot;parse-names&quot;:false,&quot;dropping-particle&quot;:&quot;&quot;,&quot;non-dropping-particle&quot;:&quot;&quot;}],&quot;URL&quot;:&quot;https://digitalhealth.bmj.com&quot;,&quot;issued&quot;:{&quot;date-parts&quot;:[[2024]]},&quot;container-title-short&quot;:&quot;&quot;},&quot;isTemporary&quot;:false}]},{&quot;citationID&quot;:&quot;MENDELEY_CITATION_72f5c5fd-8107-45fc-aaa9-423efb82f575&quot;,&quot;properties&quot;:{&quot;noteIndex&quot;:0},&quot;isEdited&quot;:false,&quot;manualOverride&quot;:{&quot;isManuallyOverridden&quot;:true,&quot;citeprocText&quot;:&quot;(NHS England, 2024)&quot;,&quot;manualOverrideText&quot;:&quot;(NHS England, 2024).&quot;},&quot;citationTag&quot;:&quot;MENDELEY_CITATION_v3_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&quot;,&quot;citationItems&quot;:[{&quot;id&quot;:&quot;066a4b0a-502f-3629-b8d7-4cc3e1aaa5f7&quot;,&quot;itemData&quot;:{&quot;type&quot;:&quot;article&quot;,&quot;id&quot;:&quot;066a4b0a-502f-3629-b8d7-4cc3e1aaa5f7&quot;,&quot;title&quot;:&quot;Digital Transformation and NHS Digital Strategy Guidance&quot;,&quot;author&quot;:[{&quot;family&quot;:&quot;NHS England&quot;,&quot;given&quot;:&quot;&quot;,&quot;parse-names&quot;:false,&quot;dropping-particle&quot;:&quot;&quot;,&quot;non-dropping-particle&quot;:&quot;&quot;}],&quot;URL&quot;:&quot;https://www.england.nhs.uk&quot;,&quot;issued&quot;:{&quot;date-parts&quot;:[[2024]]},&quot;container-title-short&quot;:&quot;&quot;},&quot;isTemporary&quot;:false}]},{&quot;citationID&quot;:&quot;MENDELEY_CITATION_1aa95e73-f3bd-448a-9fe3-cae91d1a22f5&quot;,&quot;properties&quot;:{&quot;noteIndex&quot;:0},&quot;isEdited&quot;:false,&quot;manualOverride&quot;:{&quot;isManuallyOverridden&quot;:false,&quot;citeprocText&quot;:&quot;(Freeman et al., 2010)&quot;,&quot;manualOverrideText&quot;:&quot;&quot;},&quot;citationItems&quot;:[{&quot;id&quot;:&quot;ba8a1ec2-3449-3c6d-94f7-83db326371f8&quot;,&quot;itemData&quot;:{&quot;type&quot;:&quot;book&quot;,&quot;id&quot;:&quot;ba8a1ec2-3449-3c6d-94f7-83db326371f8&quot;,&quot;title&quot;:&quot;Stakeholder Theory: The State of the Art&quot;,&quot;author&quot;:[{&quot;family&quot;:&quot;Freeman&quot;,&quot;given&quot;:&quot;R Edward&quot;,&quot;parse-names&quot;:false,&quot;dropping-particle&quot;:&quot;&quot;,&quot;non-dropping-particle&quot;:&quot;&quot;},{&quot;family&quot;:&quot;Harrison&quot;,&quot;given&quot;:&quot;Jeffrey S&quot;,&quot;parse-names&quot;:false,&quot;dropping-particle&quot;:&quot;&quot;,&quot;non-dropping-particle&quot;:&quot;&quot;},{&quot;family&quot;:&quot;Wicks&quot;,&quot;given&quot;:&quot;Andrew C&quot;,&quot;parse-names&quot;:false,&quot;dropping-particle&quot;:&quot;&quot;,&quot;non-dropping-particle&quot;:&quot;&quot;},{&quot;family&quot;:&quot;Parmar&quot;,&quot;given&quot;:&quot;Bidhan L&quot;,&quot;parse-names&quot;:false,&quot;dropping-particle&quot;:&quot;&quot;,&quot;non-dropping-particle&quot;:&quot;&quot;},{&quot;family&quot;:&quot;Colle&quot;,&quot;given&quot;:&quot;Simone&quot;,&quot;parse-names&quot;:false,&quot;dropping-particle&quot;:&quot;&quot;,&quot;non-dropping-particle&quot;:&quot;de&quot;}],&quot;URL&quot;:&quot;https://www.academia.edu/1091029/Stakeholder_theory_The_state_of_the_art&quot;,&quot;issued&quot;:{&quot;date-parts&quot;:[[2010]]},&quot;publisher-place&quot;:&quot;Cambridge&quot;,&quot;publisher&quot;:&quot;Cambridge University Press&quot;,&quot;container-title-short&quot;:&quot;&quot;},&quot;isTemporary&quot;:false}],&quot;citationTag&quot;:&quot;MENDELEY_CITATION_v3_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&quot;},{&quot;citationID&quot;:&quot;MENDELEY_CITATION_2132f830-265c-4f44-80d6-528ac97c9c24&quot;,&quot;properties&quot;:{&quot;noteIndex&quot;:0},&quot;isEdited&quot;:false,&quot;manualOverride&quot;:{&quot;isManuallyOverridden&quot;:true,&quot;citeprocText&quot;:&quot;(Greenhalgh et al., 2017)&quot;,&quot;manualOverrideText&quot;:&quot;Greenhalgh (2022)&quot;},&quot;citationItems&quot;:[{&quot;id&quot;:&quot;cfc51023-7ed2-3b16-86de-3a5b5c083102&quot;,&quot;itemData&quot;:{&quot;type&quot;:&quot;article-journal&quot;,&quot;id&quot;:&quot;cfc51023-7ed2-3b16-86de-3a5b5c083102&quot;,&quot;title&quot;:&quot;Beyond Adoption: A New Framework for Theorizing and Evaluating Nonadoption, Abandonment, and Challenges to the Scale-up of Health and Care Technologies&quot;,&quot;author&quot;:[{&quot;family&quot;:&quot;Greenhalgh&quot;,&quot;given&quot;:&quot;Trisha&quot;,&quot;parse-names&quot;:false,&quot;dropping-particle&quot;:&quot;&quot;,&quot;non-dropping-particle&quot;:&quot;&quot;},{&quot;family&quot;:&quot;Wherton&quot;,&quot;given&quot;:&quot;Joseph&quot;,&quot;parse-names&quot;:false,&quot;dropping-particle&quot;:&quot;&quot;,&quot;non-dropping-particle&quot;:&quot;&quot;},{&quot;family&quot;:&quot;Papoutsi&quot;,&quot;given&quot;:&quot;Chrysanthi&quot;,&quot;parse-names&quot;:false,&quot;dropping-particle&quot;:&quot;&quot;,&quot;non-dropping-particle&quot;:&quot;&quot;},{&quot;family&quot;:&quot;Lynch&quot;,&quot;given&quot;:&quot;Jacinta&quot;,&quot;parse-names&quot;:false,&quot;dropping-particle&quot;:&quot;&quot;,&quot;non-dropping-particle&quot;:&quot;&quot;},{&quot;family&quot;:&quot;Hughes&quot;,&quot;given&quot;:&quot;Gemma&quot;,&quot;parse-names&quot;:false,&quot;dropping-particle&quot;:&quot;&quot;,&quot;non-dropping-particle&quot;:&quot;&quot;},{&quot;family&quot;:&quot;A'Court&quot;,&quot;given&quot;:&quot;Christine&quot;,&quot;parse-names&quot;:false,&quot;dropping-particle&quot;:&quot;&quot;,&quot;non-dropping-particle&quot;:&quot;&quot;},{&quot;family&quot;:&quot;Hinder&quot;,&quot;given&quot;:&quot;Susan&quot;,&quot;parse-names&quot;:false,&quot;dropping-particle&quot;:&quot;&quot;,&quot;non-dropping-particle&quot;:&quot;&quot;},{&quot;family&quot;:&quot;Procter&quot;,&quot;given&quot;:&quot;Rob&quot;,&quot;parse-names&quot;:false,&quot;dropping-particle&quot;:&quot;&quot;,&quot;non-dropping-particle&quot;:&quot;&quot;}],&quot;container-title&quot;:&quot;BMJ&quot;,&quot;DOI&quot;:&quot;10.1136/bmj.j1506&quot;,&quot;issued&quot;:{&quot;date-parts&quot;:[[2017]]},&quot;page&quot;:&quot;j2987&quot;,&quot;volume&quot;:&quot;357&quot;},&quot;isTemporary&quot;:false}],&quot;citationTag&quot;:&quot;MENDELEY_CITATION_v3_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&quot;},{&quot;citationID&quot;:&quot;MENDELEY_CITATION_a8a575a1-077b-4274-ad71-35b081203c03&quot;,&quot;properties&quot;:{&quot;noteIndex&quot;:0},&quot;isEdited&quot;:false,&quot;manualOverride&quot;:{&quot;isManuallyOverridden&quot;:false,&quot;citeprocText&quot;:&quot;(The King’s Fund, 2024)&quot;,&quot;manualOverrideText&quot;:&quot;&quot;},&quot;citationTag&quot;:&quot;MENDELEY_CITATION_v3_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&quot;,&quot;citationItems&quot;:[{&quot;id&quot;:&quot;7d7a9078-0aa2-3a94-8534-a5671afa93f4&quot;,&quot;itemData&quot;:{&quot;type&quot;:&quot;article&quot;,&quot;id&quot;:&quot;7d7a9078-0aa2-3a94-8534-a5671afa93f4&quot;,&quot;title&quot;:&quot;Digital Transformation in the NHS and Integrated Care Systems&quot;,&quot;author&quot;:[{&quot;family&quot;:&quot;The King's Fund&quot;,&quot;given&quot;:&quot;&quot;,&quot;parse-names&quot;:false,&quot;dropping-particle&quot;:&quot;&quot;,&quot;non-dropping-particle&quot;:&quot;&quot;}],&quot;URL&quot;:&quot;https://www.kingsfund.org.uk&quot;,&quot;issued&quot;:{&quot;date-parts&quot;:[[2024]]},&quot;container-title-short&quot;:&quot;&quot;},&quot;isTemporary&quot;:false}]},{&quot;citationID&quot;:&quot;MENDELEY_CITATION_86c7ff81-a985-4f25-8e15-05128040daff&quot;,&quot;properties&quot;:{&quot;noteIndex&quot;:0},&quot;isEdited&quot;:false,&quot;manualOverride&quot;:{&quot;isManuallyOverridden&quot;:false,&quot;citeprocText&quot;:&quot;(NHS England, 2024)&quot;,&quot;manualOverrideText&quot;:&quot;&quot;},&quot;citationTag&quot;:&quot;MENDELEY_CITATION_v3_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&quot;,&quot;citationItems&quot;:[{&quot;id&quot;:&quot;066a4b0a-502f-3629-b8d7-4cc3e1aaa5f7&quot;,&quot;itemData&quot;:{&quot;type&quot;:&quot;article&quot;,&quot;id&quot;:&quot;066a4b0a-502f-3629-b8d7-4cc3e1aaa5f7&quot;,&quot;title&quot;:&quot;Digital Transformation and NHS Digital Strategy Guidance&quot;,&quot;author&quot;:[{&quot;family&quot;:&quot;NHS England&quot;,&quot;given&quot;:&quot;&quot;,&quot;parse-names&quot;:false,&quot;dropping-particle&quot;:&quot;&quot;,&quot;non-dropping-particle&quot;:&quot;&quot;}],&quot;URL&quot;:&quot;https://www.england.nhs.uk&quot;,&quot;issued&quot;:{&quot;date-parts&quot;:[[2024]]},&quot;container-title-short&quot;:&quot;&quot;},&quot;isTemporary&quot;:false}]},{&quot;citationID&quot;:&quot;MENDELEY_CITATION_12550143-0a10-47df-9c83-b94825a13653&quot;,&quot;properties&quot;:{&quot;noteIndex&quot;:0},&quot;isEdited&quot;:false,&quot;manualOverride&quot;:{&quot;isManuallyOverridden&quot;:true,&quot;citeprocText&quot;:&quot;(Greenhalgh et al., 2017)&quot;,&quot;manualOverrideText&quot;:&quot;Greenhalgh (2017)&quot;},&quot;citationItems&quot;:[{&quot;id&quot;:&quot;cfc51023-7ed2-3b16-86de-3a5b5c083102&quot;,&quot;itemData&quot;:{&quot;type&quot;:&quot;article-journal&quot;,&quot;id&quot;:&quot;cfc51023-7ed2-3b16-86de-3a5b5c083102&quot;,&quot;title&quot;:&quot;Beyond Adoption: A New Framework for Theorizing and Evaluating Nonadoption, Abandonment, and Challenges to the Scale-up of Health and Care Technologies&quot;,&quot;author&quot;:[{&quot;family&quot;:&quot;Greenhalgh&quot;,&quot;given&quot;:&quot;Trisha&quot;,&quot;parse-names&quot;:false,&quot;dropping-particle&quot;:&quot;&quot;,&quot;non-dropping-particle&quot;:&quot;&quot;},{&quot;family&quot;:&quot;Wherton&quot;,&quot;given&quot;:&quot;Joseph&quot;,&quot;parse-names&quot;:false,&quot;dropping-particle&quot;:&quot;&quot;,&quot;non-dropping-particle&quot;:&quot;&quot;},{&quot;family&quot;:&quot;Papoutsi&quot;,&quot;given&quot;:&quot;Chrysanthi&quot;,&quot;parse-names&quot;:false,&quot;dropping-particle&quot;:&quot;&quot;,&quot;non-dropping-particle&quot;:&quot;&quot;},{&quot;family&quot;:&quot;Lynch&quot;,&quot;given&quot;:&quot;Jacinta&quot;,&quot;parse-names&quot;:false,&quot;dropping-particle&quot;:&quot;&quot;,&quot;non-dropping-particle&quot;:&quot;&quot;},{&quot;family&quot;:&quot;Hughes&quot;,&quot;given&quot;:&quot;Gemma&quot;,&quot;parse-names&quot;:false,&quot;dropping-particle&quot;:&quot;&quot;,&quot;non-dropping-particle&quot;:&quot;&quot;},{&quot;family&quot;:&quot;A'Court&quot;,&quot;given&quot;:&quot;Christine&quot;,&quot;parse-names&quot;:false,&quot;dropping-particle&quot;:&quot;&quot;,&quot;non-dropping-particle&quot;:&quot;&quot;},{&quot;family&quot;:&quot;Hinder&quot;,&quot;given&quot;:&quot;Susan&quot;,&quot;parse-names&quot;:false,&quot;dropping-particle&quot;:&quot;&quot;,&quot;non-dropping-particle&quot;:&quot;&quot;},{&quot;family&quot;:&quot;Procter&quot;,&quot;given&quot;:&quot;Rob&quot;,&quot;parse-names&quot;:false,&quot;dropping-particle&quot;:&quot;&quot;,&quot;non-dropping-particle&quot;:&quot;&quot;}],&quot;container-title&quot;:&quot;BMJ&quot;,&quot;DOI&quot;:&quot;10.1136/bmj.j1506&quot;,&quot;issued&quot;:{&quot;date-parts&quot;:[[2017]]},&quot;page&quot;:&quot;j2987&quot;,&quot;volume&quot;:&quot;357&quot;,&quot;container-title-short&quot;:&quot;&quot;},&quot;isTemporary&quot;:false}],&quot;citationTag&quot;:&quot;MENDELEY_CITATION_v3_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&quot;}]"/>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f2b4c27ff23f5fc9d5e28aae4844833a">
  <xsd:schema xmlns:xsd="http://www.w3.org/2001/XMLSchema" xmlns:xs="http://www.w3.org/2001/XMLSchema" xmlns:p="http://schemas.microsoft.com/office/2006/metadata/properties" xmlns:ns3="b4f9f7ee-5770-4a14-8925-17f3d16e50b7" targetNamespace="http://schemas.microsoft.com/office/2006/metadata/properties" ma:root="true" ma:fieldsID="bc0e55f36608c47e74cd95affb563ac6" ns3:_="">
    <xsd:import namespace="b4f9f7ee-5770-4a14-8925-17f3d16e50b7"/>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8D07798A-B5FC-47E3-84DC-3358B98ECCE8}">
  <ds:schemaRefs>
    <ds:schemaRef ds:uri="http://schemas.microsoft.com/sharepoint/v3/contenttype/forms"/>
  </ds:schemaRefs>
</ds:datastoreItem>
</file>

<file path=customXml/itemProps2.xml><?xml version="1.0" encoding="utf-8"?>
<ds:datastoreItem xmlns:ds="http://schemas.openxmlformats.org/officeDocument/2006/customXml" ds:itemID="{0FAD0A58-E600-42C9-8BF2-5B5509AD87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E31D1D-DC18-4A5E-9F6D-60C39D5996FA}">
  <ds:schemaRefs>
    <ds:schemaRef ds:uri="http://schemas.openxmlformats.org/officeDocument/2006/bibliography"/>
  </ds:schemaRefs>
</ds:datastoreItem>
</file>

<file path=customXml/itemProps4.xml><?xml version="1.0" encoding="utf-8"?>
<ds:datastoreItem xmlns:ds="http://schemas.openxmlformats.org/officeDocument/2006/customXml" ds:itemID="{694D29D7-E9B5-4C7E-8065-B9E24D2808B1}">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3422</Words>
  <Characters>19506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Pooja Chawla (Welsh Ambulance Service NHS Trust - 020)</dc:creator>
  <cp:keywords/>
  <dc:description/>
  <cp:lastModifiedBy>Pooja Chawla (2515021)</cp:lastModifiedBy>
  <cp:revision>3</cp:revision>
  <dcterms:created xsi:type="dcterms:W3CDTF">2026-04-24T19:15:00Z</dcterms:created>
  <dcterms:modified xsi:type="dcterms:W3CDTF">2026-04-24T19:17:00Z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