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9A725" w14:textId="77777777" w:rsidR="00A12401" w:rsidRDefault="00A12401"/>
    <w:p w14:paraId="4D7E4016" w14:textId="77777777" w:rsidR="00A12401" w:rsidRDefault="00A12401"/>
    <w:p w14:paraId="7F6D5964" w14:textId="77777777" w:rsidR="00A12401" w:rsidRDefault="00A12401">
      <w:pPr>
        <w:jc w:val="center"/>
        <w:rPr>
          <w:b/>
          <w:bCs/>
        </w:rPr>
      </w:pPr>
    </w:p>
    <w:p w14:paraId="210B4385" w14:textId="77777777" w:rsidR="00A12401" w:rsidRDefault="00A25E1C">
      <w:pPr>
        <w:jc w:val="center"/>
        <w:rPr>
          <w:b/>
          <w:bCs/>
          <w:sz w:val="28"/>
          <w:szCs w:val="28"/>
        </w:rPr>
      </w:pPr>
      <w:r>
        <w:rPr>
          <w:sz w:val="28"/>
          <w:szCs w:val="28"/>
        </w:rPr>
        <w:t>Corporate Social Responsibility Marketing Activities and Their Influence on Brand Preference in the UK Retail Sector: A Study on Tesco</w:t>
      </w:r>
      <w:r>
        <w:rPr>
          <w:sz w:val="28"/>
          <w:szCs w:val="28"/>
        </w:rPr>
        <w:br/>
      </w:r>
    </w:p>
    <w:p w14:paraId="482A1843" w14:textId="77777777" w:rsidR="00A12401" w:rsidRDefault="00A25E1C">
      <w:pPr>
        <w:jc w:val="center"/>
      </w:pPr>
      <w:r>
        <w:rPr>
          <w:b/>
          <w:bCs/>
        </w:rPr>
        <w:t>Module Name:</w:t>
      </w:r>
      <w:r>
        <w:t xml:space="preserve"> Dissertation</w:t>
      </w:r>
      <w:r>
        <w:br/>
      </w:r>
      <w:r>
        <w:rPr>
          <w:b/>
          <w:bCs/>
        </w:rPr>
        <w:t>Module Code:</w:t>
      </w:r>
      <w:r>
        <w:t xml:space="preserve"> LCMB7035</w:t>
      </w:r>
    </w:p>
    <w:p w14:paraId="11F19F1B" w14:textId="77777777" w:rsidR="00A12401" w:rsidRDefault="00A25E1C">
      <w:pPr>
        <w:jc w:val="center"/>
      </w:pPr>
      <w:r>
        <w:br/>
      </w:r>
      <w:proofErr w:type="spellStart"/>
      <w:r>
        <w:rPr>
          <w:b/>
          <w:bCs/>
        </w:rPr>
        <w:t>Programme</w:t>
      </w:r>
      <w:proofErr w:type="spellEnd"/>
      <w:r>
        <w:rPr>
          <w:b/>
          <w:bCs/>
        </w:rPr>
        <w:t>:</w:t>
      </w:r>
      <w:r>
        <w:t xml:space="preserve"> Master of Business Administration</w:t>
      </w:r>
      <w:r>
        <w:br/>
      </w:r>
      <w:r>
        <w:rPr>
          <w:b/>
          <w:bCs/>
        </w:rPr>
        <w:t>Student Name:</w:t>
      </w:r>
      <w:r>
        <w:t xml:space="preserve"> Mahfuz Ahmed Sizan</w:t>
      </w:r>
      <w:r>
        <w:br/>
      </w:r>
      <w:r>
        <w:rPr>
          <w:b/>
          <w:bCs/>
        </w:rPr>
        <w:t>Student ID:</w:t>
      </w:r>
      <w:r>
        <w:t xml:space="preserve">  2432238</w:t>
      </w:r>
    </w:p>
    <w:p w14:paraId="7D717D56" w14:textId="77777777" w:rsidR="00A12401" w:rsidRDefault="00A12401">
      <w:pPr>
        <w:jc w:val="center"/>
      </w:pPr>
    </w:p>
    <w:p w14:paraId="05E244BB" w14:textId="1D1FBE07" w:rsidR="00A12401" w:rsidRDefault="00A25E1C">
      <w:pPr>
        <w:jc w:val="center"/>
      </w:pPr>
      <w:r>
        <w:br/>
      </w:r>
      <w:r>
        <w:rPr>
          <w:b/>
          <w:bCs/>
        </w:rPr>
        <w:t>Submission Date:</w:t>
      </w:r>
      <w:r>
        <w:t xml:space="preserve"> </w:t>
      </w:r>
      <w:r w:rsidR="00EF0665">
        <w:t>05/06/2026</w:t>
      </w:r>
      <w:r>
        <w:br w:type="page"/>
      </w:r>
    </w:p>
    <w:p w14:paraId="54737068" w14:textId="77777777" w:rsidR="00A12401" w:rsidRDefault="00A25E1C">
      <w:pPr>
        <w:pStyle w:val="Heading1"/>
      </w:pPr>
      <w:bookmarkStart w:id="0" w:name="_dc9w5zet8evy" w:colFirst="0" w:colLast="0"/>
      <w:bookmarkEnd w:id="0"/>
      <w:r>
        <w:t>AI Use Declaration</w:t>
      </w:r>
    </w:p>
    <w:p w14:paraId="6BAC21A4" w14:textId="77777777" w:rsidR="00A12401" w:rsidRDefault="00A25E1C">
      <w:r>
        <w:t xml:space="preserve">I affirm that this dissertation proposal is entirely original and has been developed within the specifications of the university policy on academic integrity and Generative Artificial Intelligence. I know the rules concerning the use of AI tools and ensure that the case of any </w:t>
      </w:r>
      <w:proofErr w:type="spellStart"/>
      <w:r>
        <w:t>authorised</w:t>
      </w:r>
      <w:proofErr w:type="spellEnd"/>
      <w:r>
        <w:t xml:space="preserve"> usage is outlined below.</w:t>
      </w:r>
    </w:p>
    <w:p w14:paraId="459384F1" w14:textId="77777777" w:rsidR="00A12401" w:rsidRDefault="00A25E1C">
      <w:r>
        <w:t>Mahfuz Ahmed Sizan</w:t>
      </w:r>
    </w:p>
    <w:p w14:paraId="475FEED6" w14:textId="77777777" w:rsidR="00A12401" w:rsidRDefault="00A25E1C">
      <w:pPr>
        <w:keepNext/>
        <w:pBdr>
          <w:top w:val="nil"/>
          <w:left w:val="nil"/>
          <w:bottom w:val="nil"/>
          <w:right w:val="nil"/>
          <w:between w:val="nil"/>
        </w:pBdr>
        <w:spacing w:after="200" w:line="240" w:lineRule="auto"/>
        <w:rPr>
          <w:i/>
          <w:iCs/>
          <w:color w:val="1F497D"/>
          <w:sz w:val="22"/>
          <w:szCs w:val="22"/>
        </w:rPr>
      </w:pPr>
      <w:r>
        <w:rPr>
          <w:i/>
          <w:iCs/>
          <w:color w:val="1F497D"/>
          <w:sz w:val="22"/>
          <w:szCs w:val="22"/>
        </w:rPr>
        <w:t>Table 1: AI Use Disclosure</w:t>
      </w:r>
    </w:p>
    <w:tbl>
      <w:tblPr>
        <w:tblStyle w:val="a"/>
        <w:tblW w:w="5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02"/>
        <w:gridCol w:w="1976"/>
      </w:tblGrid>
      <w:tr w:rsidR="00A12401" w14:paraId="76155DE1" w14:textId="77777777">
        <w:tc>
          <w:tcPr>
            <w:tcW w:w="4002" w:type="dxa"/>
          </w:tcPr>
          <w:p w14:paraId="465A670D" w14:textId="77777777" w:rsidR="00A12401" w:rsidRDefault="00A25E1C">
            <w:pPr>
              <w:rPr>
                <w:b/>
                <w:bCs/>
              </w:rPr>
            </w:pPr>
            <w:r>
              <w:rPr>
                <w:b/>
                <w:bCs/>
              </w:rPr>
              <w:t>Category of Use</w:t>
            </w:r>
          </w:p>
        </w:tc>
        <w:tc>
          <w:tcPr>
            <w:tcW w:w="1976" w:type="dxa"/>
          </w:tcPr>
          <w:p w14:paraId="1530395D" w14:textId="77777777" w:rsidR="00A12401" w:rsidRDefault="00A25E1C">
            <w:pPr>
              <w:rPr>
                <w:b/>
                <w:bCs/>
              </w:rPr>
            </w:pPr>
            <w:r>
              <w:rPr>
                <w:b/>
                <w:bCs/>
              </w:rPr>
              <w:t>AI Used (Yes/No)</w:t>
            </w:r>
          </w:p>
        </w:tc>
      </w:tr>
      <w:tr w:rsidR="00A12401" w14:paraId="2C23ABFD" w14:textId="77777777">
        <w:tc>
          <w:tcPr>
            <w:tcW w:w="4002" w:type="dxa"/>
          </w:tcPr>
          <w:p w14:paraId="2CBF6A50" w14:textId="77777777" w:rsidR="00A12401" w:rsidRDefault="00A25E1C">
            <w:r>
              <w:t>Research Support</w:t>
            </w:r>
          </w:p>
        </w:tc>
        <w:tc>
          <w:tcPr>
            <w:tcW w:w="1976" w:type="dxa"/>
          </w:tcPr>
          <w:p w14:paraId="465E565B" w14:textId="77777777" w:rsidR="00A12401" w:rsidRDefault="00A25E1C">
            <w:r>
              <w:t>No</w:t>
            </w:r>
          </w:p>
        </w:tc>
      </w:tr>
      <w:tr w:rsidR="00A12401" w14:paraId="602339E4" w14:textId="77777777">
        <w:tc>
          <w:tcPr>
            <w:tcW w:w="4002" w:type="dxa"/>
          </w:tcPr>
          <w:p w14:paraId="6F89D4F6" w14:textId="77777777" w:rsidR="00A12401" w:rsidRDefault="00A25E1C">
            <w:r>
              <w:t>Structure Development</w:t>
            </w:r>
          </w:p>
        </w:tc>
        <w:tc>
          <w:tcPr>
            <w:tcW w:w="1976" w:type="dxa"/>
          </w:tcPr>
          <w:p w14:paraId="15BBC939" w14:textId="77777777" w:rsidR="00A12401" w:rsidRDefault="00A25E1C">
            <w:r>
              <w:t>No</w:t>
            </w:r>
          </w:p>
        </w:tc>
      </w:tr>
      <w:tr w:rsidR="00A12401" w14:paraId="3E206A60" w14:textId="77777777">
        <w:tc>
          <w:tcPr>
            <w:tcW w:w="4002" w:type="dxa"/>
          </w:tcPr>
          <w:p w14:paraId="4270C3C8" w14:textId="77777777" w:rsidR="00A12401" w:rsidRDefault="00A25E1C">
            <w:r>
              <w:t>Writing / Content Generation</w:t>
            </w:r>
          </w:p>
        </w:tc>
        <w:tc>
          <w:tcPr>
            <w:tcW w:w="1976" w:type="dxa"/>
          </w:tcPr>
          <w:p w14:paraId="7B13B555" w14:textId="77777777" w:rsidR="00A12401" w:rsidRDefault="00A25E1C">
            <w:r>
              <w:t>No</w:t>
            </w:r>
          </w:p>
        </w:tc>
      </w:tr>
      <w:tr w:rsidR="00A12401" w14:paraId="7338B4D4" w14:textId="77777777">
        <w:tc>
          <w:tcPr>
            <w:tcW w:w="4002" w:type="dxa"/>
          </w:tcPr>
          <w:p w14:paraId="7C9DBF4F" w14:textId="77777777" w:rsidR="00A12401" w:rsidRDefault="00A25E1C">
            <w:r>
              <w:t>Proofreading (Grammar / Clarity Only)</w:t>
            </w:r>
          </w:p>
        </w:tc>
        <w:tc>
          <w:tcPr>
            <w:tcW w:w="1976" w:type="dxa"/>
          </w:tcPr>
          <w:p w14:paraId="4AC1431E" w14:textId="77777777" w:rsidR="00A12401" w:rsidRDefault="00A25E1C">
            <w:r>
              <w:t>Yes</w:t>
            </w:r>
          </w:p>
        </w:tc>
      </w:tr>
      <w:tr w:rsidR="00A12401" w14:paraId="74A65FD1" w14:textId="77777777">
        <w:tc>
          <w:tcPr>
            <w:tcW w:w="4002" w:type="dxa"/>
          </w:tcPr>
          <w:p w14:paraId="617E2E89" w14:textId="77777777" w:rsidR="00A12401" w:rsidRDefault="00A25E1C">
            <w:r>
              <w:t>Data Analysis Support</w:t>
            </w:r>
          </w:p>
        </w:tc>
        <w:tc>
          <w:tcPr>
            <w:tcW w:w="1976" w:type="dxa"/>
          </w:tcPr>
          <w:p w14:paraId="40CC31FC" w14:textId="77777777" w:rsidR="00A12401" w:rsidRDefault="00A25E1C">
            <w:r>
              <w:t>No</w:t>
            </w:r>
          </w:p>
        </w:tc>
      </w:tr>
      <w:tr w:rsidR="00A12401" w14:paraId="231E5AD1" w14:textId="77777777">
        <w:tc>
          <w:tcPr>
            <w:tcW w:w="4002" w:type="dxa"/>
          </w:tcPr>
          <w:p w14:paraId="2DB6DBE0" w14:textId="77777777" w:rsidR="00A12401" w:rsidRDefault="00A25E1C">
            <w:r>
              <w:t>Creative Content (Images / Figures)</w:t>
            </w:r>
          </w:p>
        </w:tc>
        <w:tc>
          <w:tcPr>
            <w:tcW w:w="1976" w:type="dxa"/>
          </w:tcPr>
          <w:p w14:paraId="5B1DD918" w14:textId="77777777" w:rsidR="00A12401" w:rsidRDefault="00A25E1C">
            <w:r>
              <w:t>No</w:t>
            </w:r>
          </w:p>
        </w:tc>
      </w:tr>
    </w:tbl>
    <w:p w14:paraId="5E8EC962" w14:textId="77777777" w:rsidR="00A12401" w:rsidRDefault="00A25E1C">
      <w:r>
        <w:br w:type="page"/>
      </w:r>
    </w:p>
    <w:p w14:paraId="26D09D0E" w14:textId="77777777" w:rsidR="00A12401" w:rsidRDefault="00A25E1C">
      <w:pPr>
        <w:pStyle w:val="Heading1"/>
        <w:jc w:val="center"/>
      </w:pPr>
      <w:bookmarkStart w:id="1" w:name="_ibufvjx8ia92" w:colFirst="0" w:colLast="0"/>
      <w:bookmarkEnd w:id="1"/>
      <w:r>
        <w:t>Executive Summary</w:t>
      </w:r>
    </w:p>
    <w:p w14:paraId="2C25DD81" w14:textId="77777777" w:rsidR="00A12401" w:rsidRDefault="00A25E1C">
      <w:r>
        <w:t xml:space="preserve">The study explored the relationship of the CSR activities of Tesco and consumers' brand preference in retailing context. In particular, the relationship between consumer awareness, perception, trust, loyalty, and purchasing </w:t>
      </w:r>
      <w:proofErr w:type="spellStart"/>
      <w:r>
        <w:t>behavioural</w:t>
      </w:r>
      <w:proofErr w:type="spellEnd"/>
      <w:r>
        <w:t xml:space="preserve"> intentions were considered. The structured survey data for twenty Tesco users were gathered through quantitative research methods in various demographic segments. The primary data analysis consisted of systematic descriptive statistics, net promoter scores and Pearson correlation relationship measurements. Results showed that moderate awareness about the CSR marketing initiatives of Tesco, as 65% of respondents were aware of it.</w:t>
      </w:r>
    </w:p>
    <w:p w14:paraId="43AF7947" w14:textId="77777777" w:rsidR="00A12401" w:rsidRDefault="00A25E1C">
      <w:r>
        <w:t xml:space="preserve">Forty-seven per cent of respondents throughout the collected survey data indicated that environmental sustainability activities were most appealing to consumers. Social media was still the key communication tool, with sixty-eight percent of respondents reporting their influence on Tesco's awareness of sustainability. The results of Net Promoter Score revealed positive perception development, but not directly purchasing preference was comparatively weaker. Consumers found responsible </w:t>
      </w:r>
      <w:proofErr w:type="spellStart"/>
      <w:r>
        <w:t>organisational</w:t>
      </w:r>
      <w:proofErr w:type="spellEnd"/>
      <w:r>
        <w:t xml:space="preserve"> </w:t>
      </w:r>
      <w:proofErr w:type="spellStart"/>
      <w:r>
        <w:t>behaviour</w:t>
      </w:r>
      <w:proofErr w:type="spellEnd"/>
      <w:r>
        <w:t xml:space="preserve"> attractive but remained doubtful about authenticity and promotional CSR communication activities. Strong positive correlation was found between awareness and trust, awareness and loyalty, awareness and recommendation </w:t>
      </w:r>
      <w:proofErr w:type="spellStart"/>
      <w:r>
        <w:t>behaviour</w:t>
      </w:r>
      <w:proofErr w:type="spellEnd"/>
      <w:r>
        <w:t>, and awareness and consumer preference.</w:t>
      </w:r>
    </w:p>
    <w:p w14:paraId="3DCC6359" w14:textId="77777777" w:rsidR="00A12401" w:rsidRDefault="00A25E1C">
      <w:r>
        <w:t xml:space="preserve">Research was very much in line with the Brand Equity Theory – improved perception and responsible </w:t>
      </w:r>
      <w:proofErr w:type="spellStart"/>
      <w:r>
        <w:t>organisational</w:t>
      </w:r>
      <w:proofErr w:type="spellEnd"/>
      <w:r>
        <w:t xml:space="preserve"> association development. Stakeholder Theory was supported due to the expectations of the customers of Tesco for environmental responsibility, ethical sourcing and community engagement. Consumer Perception Theory also clarified the importance and impact of communication transparency and authenticity on consumer trust building. The study found that sustainability-oriented campaigns prompted a stronger </w:t>
      </w:r>
      <w:proofErr w:type="spellStart"/>
      <w:r>
        <w:t>behavioural</w:t>
      </w:r>
      <w:proofErr w:type="spellEnd"/>
      <w:r>
        <w:t xml:space="preserve"> reaction than did marketing activities for charitable </w:t>
      </w:r>
      <w:proofErr w:type="spellStart"/>
      <w:r>
        <w:t>organisations</w:t>
      </w:r>
      <w:proofErr w:type="spellEnd"/>
      <w:r>
        <w:t>. Transparent c</w:t>
      </w:r>
      <w:r>
        <w:t>ommunication, community involvement, effective sustainability as a constant focus and better consumer engagement strategies were all advised repeatedly. In total, Tesco needs to focus on genuine corporate responsibility policies that contribute to consumer trust and competitive advantage.</w:t>
      </w:r>
      <w:r>
        <w:br w:type="page"/>
      </w:r>
    </w:p>
    <w:p w14:paraId="650C1CE7" w14:textId="77777777" w:rsidR="00A12401" w:rsidRDefault="00A25E1C">
      <w:pPr>
        <w:keepNext/>
        <w:keepLines/>
        <w:pBdr>
          <w:top w:val="nil"/>
          <w:left w:val="nil"/>
          <w:bottom w:val="nil"/>
          <w:right w:val="nil"/>
          <w:between w:val="nil"/>
        </w:pBdr>
        <w:spacing w:before="240" w:after="0" w:line="259" w:lineRule="auto"/>
        <w:jc w:val="left"/>
        <w:rPr>
          <w:rFonts w:ascii="Cambria" w:eastAsia="Cambria" w:hAnsi="Cambria" w:cs="Cambria"/>
          <w:color w:val="366091"/>
          <w:sz w:val="32"/>
          <w:szCs w:val="32"/>
        </w:rPr>
      </w:pPr>
      <w:r>
        <w:rPr>
          <w:rFonts w:ascii="Cambria" w:eastAsia="Cambria" w:hAnsi="Cambria" w:cs="Cambria"/>
          <w:color w:val="366091"/>
          <w:sz w:val="32"/>
          <w:szCs w:val="32"/>
        </w:rPr>
        <w:t>Table of Contents</w:t>
      </w:r>
    </w:p>
    <w:sdt>
      <w:sdtPr>
        <w:id w:val="-1136658742"/>
        <w:docPartObj>
          <w:docPartGallery w:val="Table of Contents"/>
          <w:docPartUnique/>
        </w:docPartObj>
      </w:sdtPr>
      <w:sdtEndPr/>
      <w:sdtContent>
        <w:p w14:paraId="1CBDC660" w14:textId="77777777" w:rsidR="00A12401" w:rsidRDefault="00A25E1C">
          <w:pPr>
            <w:pBdr>
              <w:top w:val="nil"/>
              <w:left w:val="nil"/>
              <w:bottom w:val="nil"/>
              <w:right w:val="nil"/>
              <w:between w:val="nil"/>
            </w:pBdr>
            <w:tabs>
              <w:tab w:val="right" w:leader="dot" w:pos="9016"/>
            </w:tabs>
            <w:spacing w:after="100"/>
            <w:rPr>
              <w:rFonts w:ascii="Calibri" w:eastAsia="Calibri" w:hAnsi="Calibri" w:cs="Calibri"/>
              <w:color w:val="000000"/>
            </w:rPr>
          </w:pPr>
          <w:r>
            <w:fldChar w:fldCharType="begin"/>
          </w:r>
          <w:r>
            <w:instrText xml:space="preserve"> TOC \h \u \z \t "Heading 1,1,Heading 2,2,Heading 3,3,"</w:instrText>
          </w:r>
          <w:r>
            <w:fldChar w:fldCharType="separate"/>
          </w:r>
          <w:hyperlink w:anchor="_dc9w5zet8evy">
            <w:r>
              <w:rPr>
                <w:color w:val="000000"/>
              </w:rPr>
              <w:t>AI Use Declaration</w:t>
            </w:r>
            <w:r>
              <w:rPr>
                <w:color w:val="000000"/>
              </w:rPr>
              <w:tab/>
              <w:t>1</w:t>
            </w:r>
          </w:hyperlink>
        </w:p>
        <w:p w14:paraId="37701F67" w14:textId="77777777" w:rsidR="00A12401" w:rsidRDefault="00A25E1C">
          <w:pPr>
            <w:pBdr>
              <w:top w:val="nil"/>
              <w:left w:val="nil"/>
              <w:bottom w:val="nil"/>
              <w:right w:val="nil"/>
              <w:between w:val="nil"/>
            </w:pBdr>
            <w:tabs>
              <w:tab w:val="right" w:leader="dot" w:pos="9016"/>
            </w:tabs>
            <w:spacing w:after="100"/>
            <w:rPr>
              <w:rFonts w:ascii="Calibri" w:eastAsia="Calibri" w:hAnsi="Calibri" w:cs="Calibri"/>
              <w:color w:val="000000"/>
            </w:rPr>
          </w:pPr>
          <w:hyperlink w:anchor="_ibufvjx8ia92">
            <w:r>
              <w:rPr>
                <w:color w:val="000000"/>
              </w:rPr>
              <w:t>Executive Summary</w:t>
            </w:r>
            <w:r>
              <w:rPr>
                <w:color w:val="000000"/>
              </w:rPr>
              <w:tab/>
              <w:t>2</w:t>
            </w:r>
          </w:hyperlink>
        </w:p>
        <w:p w14:paraId="637173AE" w14:textId="77777777" w:rsidR="00A12401" w:rsidRDefault="00A25E1C">
          <w:pPr>
            <w:pBdr>
              <w:top w:val="nil"/>
              <w:left w:val="nil"/>
              <w:bottom w:val="nil"/>
              <w:right w:val="nil"/>
              <w:between w:val="nil"/>
            </w:pBdr>
            <w:tabs>
              <w:tab w:val="right" w:leader="dot" w:pos="9016"/>
            </w:tabs>
            <w:spacing w:after="100"/>
            <w:rPr>
              <w:rFonts w:ascii="Calibri" w:eastAsia="Calibri" w:hAnsi="Calibri" w:cs="Calibri"/>
              <w:color w:val="000000"/>
            </w:rPr>
          </w:pPr>
          <w:hyperlink w:anchor="_mpbjrzfdurn">
            <w:r>
              <w:rPr>
                <w:color w:val="000000"/>
              </w:rPr>
              <w:t>Chapter 1: Introduction</w:t>
            </w:r>
            <w:r>
              <w:rPr>
                <w:color w:val="000000"/>
              </w:rPr>
              <w:tab/>
              <w:t>7</w:t>
            </w:r>
          </w:hyperlink>
        </w:p>
        <w:p w14:paraId="126FBC12"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rnzb03duhtk5">
            <w:r>
              <w:rPr>
                <w:color w:val="000000"/>
              </w:rPr>
              <w:t>1.1 Background and Research Context</w:t>
            </w:r>
            <w:r>
              <w:rPr>
                <w:color w:val="000000"/>
              </w:rPr>
              <w:tab/>
              <w:t>7</w:t>
            </w:r>
          </w:hyperlink>
        </w:p>
        <w:p w14:paraId="638EBA8E"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4sgtpcciv5rz">
            <w:r>
              <w:rPr>
                <w:color w:val="000000"/>
              </w:rPr>
              <w:t>1.2 Research Problem</w:t>
            </w:r>
            <w:r>
              <w:rPr>
                <w:color w:val="000000"/>
              </w:rPr>
              <w:tab/>
              <w:t>8</w:t>
            </w:r>
          </w:hyperlink>
        </w:p>
        <w:p w14:paraId="7597C661"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1p22cflpztl6">
            <w:r>
              <w:rPr>
                <w:color w:val="000000"/>
              </w:rPr>
              <w:t>1.3 Aim, Objectives, and Questions of the research</w:t>
            </w:r>
            <w:r>
              <w:rPr>
                <w:color w:val="000000"/>
              </w:rPr>
              <w:tab/>
              <w:t>9</w:t>
            </w:r>
          </w:hyperlink>
        </w:p>
        <w:p w14:paraId="5AA26D8C"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2gmllypz64et">
            <w:r>
              <w:rPr>
                <w:color w:val="000000"/>
              </w:rPr>
              <w:t>1.4 Research Significance and Contribution</w:t>
            </w:r>
            <w:r>
              <w:rPr>
                <w:color w:val="000000"/>
              </w:rPr>
              <w:tab/>
              <w:t>9</w:t>
            </w:r>
          </w:hyperlink>
        </w:p>
        <w:p w14:paraId="24518CDF"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1b3p6emvex2o">
            <w:r>
              <w:rPr>
                <w:color w:val="000000"/>
              </w:rPr>
              <w:t>1.5 Theoretical Framework</w:t>
            </w:r>
            <w:r>
              <w:rPr>
                <w:color w:val="000000"/>
              </w:rPr>
              <w:tab/>
              <w:t>10</w:t>
            </w:r>
          </w:hyperlink>
        </w:p>
        <w:p w14:paraId="679607E6"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39tfzpa537bv">
            <w:r>
              <w:rPr>
                <w:color w:val="000000"/>
              </w:rPr>
              <w:t>1.6 Methodology Overview</w:t>
            </w:r>
            <w:r>
              <w:rPr>
                <w:color w:val="000000"/>
              </w:rPr>
              <w:tab/>
              <w:t>10</w:t>
            </w:r>
          </w:hyperlink>
        </w:p>
        <w:p w14:paraId="01B9E7F0"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z6orrbiqm2gn">
            <w:r>
              <w:rPr>
                <w:color w:val="000000"/>
              </w:rPr>
              <w:t>1.7 Dissertation Structure</w:t>
            </w:r>
            <w:r>
              <w:rPr>
                <w:color w:val="000000"/>
              </w:rPr>
              <w:tab/>
              <w:t>11</w:t>
            </w:r>
          </w:hyperlink>
        </w:p>
        <w:p w14:paraId="54038C72" w14:textId="77777777" w:rsidR="00A12401" w:rsidRDefault="00A25E1C">
          <w:pPr>
            <w:pBdr>
              <w:top w:val="nil"/>
              <w:left w:val="nil"/>
              <w:bottom w:val="nil"/>
              <w:right w:val="nil"/>
              <w:between w:val="nil"/>
            </w:pBdr>
            <w:tabs>
              <w:tab w:val="right" w:leader="dot" w:pos="9016"/>
            </w:tabs>
            <w:spacing w:after="100"/>
            <w:rPr>
              <w:rFonts w:ascii="Calibri" w:eastAsia="Calibri" w:hAnsi="Calibri" w:cs="Calibri"/>
              <w:color w:val="000000"/>
            </w:rPr>
          </w:pPr>
          <w:hyperlink w:anchor="_eh5gddjnulq5">
            <w:r>
              <w:rPr>
                <w:color w:val="000000"/>
              </w:rPr>
              <w:t>2. Literature Review</w:t>
            </w:r>
            <w:r>
              <w:rPr>
                <w:color w:val="000000"/>
              </w:rPr>
              <w:tab/>
              <w:t>12</w:t>
            </w:r>
          </w:hyperlink>
        </w:p>
        <w:p w14:paraId="272FDC57"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o8ped6l6xkn">
            <w:r>
              <w:rPr>
                <w:color w:val="000000"/>
              </w:rPr>
              <w:t>2.1 Introduction</w:t>
            </w:r>
            <w:r>
              <w:rPr>
                <w:color w:val="000000"/>
              </w:rPr>
              <w:tab/>
              <w:t>12</w:t>
            </w:r>
          </w:hyperlink>
        </w:p>
        <w:p w14:paraId="7224C7CD"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9sl1trs9kl7p">
            <w:r>
              <w:rPr>
                <w:color w:val="000000"/>
              </w:rPr>
              <w:t>2.2 Idea and History of CSR</w:t>
            </w:r>
            <w:r>
              <w:rPr>
                <w:color w:val="000000"/>
              </w:rPr>
              <w:tab/>
              <w:t>12</w:t>
            </w:r>
          </w:hyperlink>
        </w:p>
        <w:p w14:paraId="0811E748"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41ts0l46yk6y">
            <w:r>
              <w:rPr>
                <w:color w:val="000000"/>
              </w:rPr>
              <w:t>2.3 CSR in the Retail Industry</w:t>
            </w:r>
            <w:r>
              <w:rPr>
                <w:color w:val="000000"/>
              </w:rPr>
              <w:tab/>
              <w:t>14</w:t>
            </w:r>
          </w:hyperlink>
        </w:p>
        <w:p w14:paraId="31E26689"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mfj8io30i4b">
            <w:r>
              <w:rPr>
                <w:color w:val="000000"/>
              </w:rPr>
              <w:t>2.4 CSR Marketing Activities</w:t>
            </w:r>
            <w:r>
              <w:rPr>
                <w:color w:val="000000"/>
              </w:rPr>
              <w:tab/>
              <w:t>15</w:t>
            </w:r>
          </w:hyperlink>
        </w:p>
        <w:p w14:paraId="55846425"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jwzxsi3wsgfl">
            <w:r>
              <w:rPr>
                <w:color w:val="000000"/>
              </w:rPr>
              <w:t>Cause-Related Marketing</w:t>
            </w:r>
            <w:r>
              <w:rPr>
                <w:color w:val="000000"/>
              </w:rPr>
              <w:tab/>
              <w:t>15</w:t>
            </w:r>
          </w:hyperlink>
        </w:p>
        <w:p w14:paraId="5302B921"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rv4hqomg3eez">
            <w:r>
              <w:rPr>
                <w:color w:val="000000"/>
              </w:rPr>
              <w:t>Sustainability Campaigns</w:t>
            </w:r>
            <w:r>
              <w:rPr>
                <w:color w:val="000000"/>
              </w:rPr>
              <w:tab/>
              <w:t>16</w:t>
            </w:r>
          </w:hyperlink>
        </w:p>
        <w:p w14:paraId="2A851117"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4a5ybjtuuws4">
            <w:r>
              <w:rPr>
                <w:color w:val="000000"/>
              </w:rPr>
              <w:t>Ethical Sourcing</w:t>
            </w:r>
            <w:r>
              <w:rPr>
                <w:color w:val="000000"/>
              </w:rPr>
              <w:tab/>
              <w:t>16</w:t>
            </w:r>
          </w:hyperlink>
        </w:p>
        <w:p w14:paraId="4DED5AA0"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9fy9jhxz1i9q">
            <w:r>
              <w:rPr>
                <w:color w:val="000000"/>
              </w:rPr>
              <w:t>Critical Evaluation of CSR Marketing Activities</w:t>
            </w:r>
            <w:r>
              <w:rPr>
                <w:color w:val="000000"/>
              </w:rPr>
              <w:tab/>
              <w:t>17</w:t>
            </w:r>
          </w:hyperlink>
        </w:p>
        <w:p w14:paraId="25BA799A"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or0iu47csu">
            <w:r>
              <w:rPr>
                <w:color w:val="000000"/>
              </w:rPr>
              <w:t>2.5 Consumer Behaviour and Brand Preference Theory</w:t>
            </w:r>
            <w:r>
              <w:rPr>
                <w:color w:val="000000"/>
              </w:rPr>
              <w:tab/>
              <w:t>17</w:t>
            </w:r>
          </w:hyperlink>
        </w:p>
        <w:p w14:paraId="7DD7DBBD"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ebljyxmwf6mp">
            <w:r>
              <w:rPr>
                <w:color w:val="000000"/>
              </w:rPr>
              <w:t>2.6 CSR/ Brand Outcomes.</w:t>
            </w:r>
            <w:r>
              <w:rPr>
                <w:color w:val="000000"/>
              </w:rPr>
              <w:tab/>
              <w:t>19</w:t>
            </w:r>
          </w:hyperlink>
        </w:p>
        <w:p w14:paraId="5D15D6D9"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4yd4jh2j7u81">
            <w:r>
              <w:rPr>
                <w:color w:val="000000"/>
              </w:rPr>
              <w:t>CSR and Consumer Trust</w:t>
            </w:r>
            <w:r>
              <w:rPr>
                <w:color w:val="000000"/>
              </w:rPr>
              <w:tab/>
              <w:t>19</w:t>
            </w:r>
          </w:hyperlink>
        </w:p>
        <w:p w14:paraId="29E01FF8"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jrrg8fw2rpsf">
            <w:r>
              <w:rPr>
                <w:color w:val="000000"/>
              </w:rPr>
              <w:t>Consumer Loyalty and CSR</w:t>
            </w:r>
            <w:r>
              <w:rPr>
                <w:color w:val="000000"/>
              </w:rPr>
              <w:tab/>
              <w:t>20</w:t>
            </w:r>
          </w:hyperlink>
        </w:p>
        <w:p w14:paraId="16373E78"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ecd5i43js2n3">
            <w:r>
              <w:rPr>
                <w:color w:val="000000"/>
              </w:rPr>
              <w:t>Customer Satisfaction and CSR.</w:t>
            </w:r>
            <w:r>
              <w:rPr>
                <w:color w:val="000000"/>
              </w:rPr>
              <w:tab/>
              <w:t>20</w:t>
            </w:r>
          </w:hyperlink>
        </w:p>
        <w:p w14:paraId="60643F1C"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u6llp3oy3jp">
            <w:r>
              <w:rPr>
                <w:color w:val="000000"/>
              </w:rPr>
              <w:t>CSR and Brand Equity</w:t>
            </w:r>
            <w:r>
              <w:rPr>
                <w:color w:val="000000"/>
              </w:rPr>
              <w:tab/>
              <w:t>21</w:t>
            </w:r>
          </w:hyperlink>
        </w:p>
        <w:p w14:paraId="00D5F3E3"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idwm5qrc7d64">
            <w:r>
              <w:rPr>
                <w:color w:val="000000"/>
              </w:rPr>
              <w:t>Critical Reflection on the Outcomes of CSR</w:t>
            </w:r>
            <w:r>
              <w:rPr>
                <w:color w:val="000000"/>
              </w:rPr>
              <w:tab/>
              <w:t>21</w:t>
            </w:r>
          </w:hyperlink>
        </w:p>
        <w:p w14:paraId="2AF9EF5B"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u8xx918qw65b">
            <w:r>
              <w:rPr>
                <w:color w:val="000000"/>
              </w:rPr>
              <w:t>2.7 Theoretical Framework</w:t>
            </w:r>
            <w:r>
              <w:rPr>
                <w:color w:val="000000"/>
              </w:rPr>
              <w:tab/>
              <w:t>22</w:t>
            </w:r>
          </w:hyperlink>
        </w:p>
        <w:p w14:paraId="5160501F"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39xnvctonmye">
            <w:r>
              <w:rPr>
                <w:color w:val="000000"/>
              </w:rPr>
              <w:t>Key Theories Results</w:t>
            </w:r>
            <w:r>
              <w:rPr>
                <w:color w:val="000000"/>
              </w:rPr>
              <w:tab/>
              <w:t>22</w:t>
            </w:r>
          </w:hyperlink>
        </w:p>
        <w:p w14:paraId="76EEA756"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x60qxppbtlqo">
            <w:r>
              <w:rPr>
                <w:color w:val="000000"/>
              </w:rPr>
              <w:t>Conceptual Relationships</w:t>
            </w:r>
            <w:r>
              <w:rPr>
                <w:color w:val="000000"/>
              </w:rPr>
              <w:tab/>
              <w:t>22</w:t>
            </w:r>
          </w:hyperlink>
        </w:p>
        <w:p w14:paraId="3C969051"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lhmo9lw56i4m">
            <w:r>
              <w:rPr>
                <w:color w:val="000000"/>
              </w:rPr>
              <w:t>Justification of Variables</w:t>
            </w:r>
            <w:r>
              <w:rPr>
                <w:color w:val="000000"/>
              </w:rPr>
              <w:tab/>
              <w:t>23</w:t>
            </w:r>
          </w:hyperlink>
        </w:p>
        <w:p w14:paraId="772B59DA"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vua1otw5rmut">
            <w:r>
              <w:rPr>
                <w:color w:val="000000"/>
              </w:rPr>
              <w:t>2.8 Literature Gap</w:t>
            </w:r>
            <w:r>
              <w:rPr>
                <w:color w:val="000000"/>
              </w:rPr>
              <w:tab/>
              <w:t>23</w:t>
            </w:r>
          </w:hyperlink>
        </w:p>
        <w:p w14:paraId="5522E5A6"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xlj6kzwvr774">
            <w:r>
              <w:rPr>
                <w:color w:val="000000"/>
              </w:rPr>
              <w:t>2.9 Conceptual Framework and Hypothesis Development</w:t>
            </w:r>
            <w:r>
              <w:rPr>
                <w:color w:val="000000"/>
              </w:rPr>
              <w:tab/>
              <w:t>24</w:t>
            </w:r>
          </w:hyperlink>
        </w:p>
        <w:p w14:paraId="36D0E90C" w14:textId="77777777" w:rsidR="00A12401" w:rsidRDefault="00A25E1C">
          <w:pPr>
            <w:pBdr>
              <w:top w:val="nil"/>
              <w:left w:val="nil"/>
              <w:bottom w:val="nil"/>
              <w:right w:val="nil"/>
              <w:between w:val="nil"/>
            </w:pBdr>
            <w:tabs>
              <w:tab w:val="left" w:pos="480"/>
              <w:tab w:val="right" w:leader="dot" w:pos="9016"/>
            </w:tabs>
            <w:spacing w:after="100"/>
            <w:rPr>
              <w:rFonts w:ascii="Calibri" w:eastAsia="Calibri" w:hAnsi="Calibri" w:cs="Calibri"/>
              <w:color w:val="000000"/>
            </w:rPr>
          </w:pPr>
          <w:hyperlink w:anchor="_2mvjv2pe8ibx">
            <w:r>
              <w:rPr>
                <w:color w:val="000000"/>
              </w:rPr>
              <w:t>3.</w:t>
            </w:r>
          </w:hyperlink>
          <w:hyperlink w:anchor="_2mvjv2pe8ibx">
            <w:r>
              <w:rPr>
                <w:rFonts w:ascii="Calibri" w:eastAsia="Calibri" w:hAnsi="Calibri" w:cs="Calibri"/>
                <w:color w:val="000000"/>
              </w:rPr>
              <w:tab/>
            </w:r>
          </w:hyperlink>
          <w:r>
            <w:fldChar w:fldCharType="begin"/>
          </w:r>
          <w:r>
            <w:instrText xml:space="preserve"> PAGEREF _2mvjv2pe8ibx \h </w:instrText>
          </w:r>
          <w:r>
            <w:fldChar w:fldCharType="separate"/>
          </w:r>
          <w:r>
            <w:rPr>
              <w:color w:val="000000"/>
            </w:rPr>
            <w:t>Methodology</w:t>
          </w:r>
          <w:r>
            <w:rPr>
              <w:color w:val="000000"/>
            </w:rPr>
            <w:tab/>
            <w:t>26</w:t>
          </w:r>
          <w:r>
            <w:fldChar w:fldCharType="end"/>
          </w:r>
        </w:p>
        <w:p w14:paraId="07893FBD"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6wktg2ryi4jx">
            <w:r>
              <w:rPr>
                <w:color w:val="000000"/>
              </w:rPr>
              <w:t>3.1 Introduction</w:t>
            </w:r>
            <w:r>
              <w:rPr>
                <w:color w:val="000000"/>
              </w:rPr>
              <w:tab/>
              <w:t>26</w:t>
            </w:r>
          </w:hyperlink>
        </w:p>
        <w:p w14:paraId="375EE8FD"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f6ic86sf1bip">
            <w:r>
              <w:rPr>
                <w:color w:val="000000"/>
              </w:rPr>
              <w:t>3.2 Research Philosophy</w:t>
            </w:r>
            <w:r>
              <w:rPr>
                <w:color w:val="000000"/>
              </w:rPr>
              <w:tab/>
              <w:t>26</w:t>
            </w:r>
          </w:hyperlink>
        </w:p>
        <w:p w14:paraId="4F1CF5A5"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m3cjboav4bju">
            <w:r>
              <w:rPr>
                <w:color w:val="000000"/>
              </w:rPr>
              <w:t>3.3 Research Approach</w:t>
            </w:r>
            <w:r>
              <w:rPr>
                <w:color w:val="000000"/>
              </w:rPr>
              <w:tab/>
              <w:t>27</w:t>
            </w:r>
          </w:hyperlink>
        </w:p>
        <w:p w14:paraId="25089C93"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li0li86z6la3">
            <w:r>
              <w:rPr>
                <w:color w:val="000000"/>
              </w:rPr>
              <w:t>3.4 Research Strategy, and Design</w:t>
            </w:r>
            <w:r>
              <w:rPr>
                <w:color w:val="000000"/>
              </w:rPr>
              <w:tab/>
              <w:t>27</w:t>
            </w:r>
          </w:hyperlink>
        </w:p>
        <w:p w14:paraId="566B80E1"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io1lwgk61fjq">
            <w:r>
              <w:rPr>
                <w:color w:val="000000"/>
              </w:rPr>
              <w:t>3.4.1 Research Strategy</w:t>
            </w:r>
            <w:r>
              <w:rPr>
                <w:color w:val="000000"/>
              </w:rPr>
              <w:tab/>
              <w:t>27</w:t>
            </w:r>
          </w:hyperlink>
        </w:p>
        <w:p w14:paraId="753C0A88"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h23qsj2nu4l6">
            <w:r>
              <w:rPr>
                <w:color w:val="000000"/>
              </w:rPr>
              <w:t>3.4.2 Research Design</w:t>
            </w:r>
            <w:r>
              <w:rPr>
                <w:color w:val="000000"/>
              </w:rPr>
              <w:tab/>
              <w:t>27</w:t>
            </w:r>
          </w:hyperlink>
        </w:p>
        <w:p w14:paraId="1B6CF899"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dnzcp69l0by7">
            <w:r>
              <w:rPr>
                <w:color w:val="000000"/>
              </w:rPr>
              <w:t>3.5 Research Choice</w:t>
            </w:r>
            <w:r>
              <w:rPr>
                <w:color w:val="000000"/>
              </w:rPr>
              <w:tab/>
              <w:t>28</w:t>
            </w:r>
          </w:hyperlink>
        </w:p>
        <w:p w14:paraId="3E89BC5B"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dtaxuprr36bi">
            <w:r>
              <w:rPr>
                <w:color w:val="000000"/>
              </w:rPr>
              <w:t>3.6 Data Types and Data Sources</w:t>
            </w:r>
            <w:r>
              <w:rPr>
                <w:color w:val="000000"/>
              </w:rPr>
              <w:tab/>
              <w:t>28</w:t>
            </w:r>
          </w:hyperlink>
        </w:p>
        <w:p w14:paraId="450BC06E"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iteszdyejob">
            <w:r>
              <w:rPr>
                <w:color w:val="000000"/>
              </w:rPr>
              <w:t>3.7 Data Collection Method</w:t>
            </w:r>
            <w:r>
              <w:rPr>
                <w:color w:val="000000"/>
              </w:rPr>
              <w:tab/>
              <w:t>29</w:t>
            </w:r>
          </w:hyperlink>
        </w:p>
        <w:p w14:paraId="6EE21FD6"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4nrrlsu5kf6">
            <w:r>
              <w:rPr>
                <w:color w:val="000000"/>
              </w:rPr>
              <w:t>3.7.1 Questionnaire Design</w:t>
            </w:r>
            <w:r>
              <w:rPr>
                <w:color w:val="000000"/>
              </w:rPr>
              <w:tab/>
              <w:t>29</w:t>
            </w:r>
          </w:hyperlink>
        </w:p>
        <w:p w14:paraId="73EC59D0"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tocpdnceeh3y">
            <w:r>
              <w:rPr>
                <w:color w:val="000000"/>
              </w:rPr>
              <w:t>3.7.2 Data Collection Process</w:t>
            </w:r>
            <w:r>
              <w:rPr>
                <w:color w:val="000000"/>
              </w:rPr>
              <w:tab/>
              <w:t>29</w:t>
            </w:r>
          </w:hyperlink>
        </w:p>
        <w:p w14:paraId="4D3E712E"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813f73qocqri">
            <w:r>
              <w:rPr>
                <w:color w:val="000000"/>
              </w:rPr>
              <w:t>3.8 Sampling Strategy</w:t>
            </w:r>
            <w:r>
              <w:rPr>
                <w:color w:val="000000"/>
              </w:rPr>
              <w:tab/>
              <w:t>30</w:t>
            </w:r>
          </w:hyperlink>
        </w:p>
        <w:p w14:paraId="6F88CBD9"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46d8p4g88ze2">
            <w:r>
              <w:rPr>
                <w:color w:val="000000"/>
              </w:rPr>
              <w:t>3.8.1 Target Population</w:t>
            </w:r>
            <w:r>
              <w:rPr>
                <w:color w:val="000000"/>
              </w:rPr>
              <w:tab/>
              <w:t>30</w:t>
            </w:r>
          </w:hyperlink>
        </w:p>
        <w:p w14:paraId="6E013160"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qk6bj7qk382j">
            <w:r>
              <w:rPr>
                <w:color w:val="000000"/>
              </w:rPr>
              <w:t>3.8.2 Sampling Technique</w:t>
            </w:r>
            <w:r>
              <w:rPr>
                <w:color w:val="000000"/>
              </w:rPr>
              <w:tab/>
              <w:t>30</w:t>
            </w:r>
          </w:hyperlink>
        </w:p>
        <w:p w14:paraId="3ED01F4B"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2p631gqj4fgk">
            <w:r>
              <w:rPr>
                <w:color w:val="000000"/>
              </w:rPr>
              <w:t>3.8.3 Sample Size</w:t>
            </w:r>
            <w:r>
              <w:rPr>
                <w:color w:val="000000"/>
              </w:rPr>
              <w:tab/>
              <w:t>31</w:t>
            </w:r>
          </w:hyperlink>
        </w:p>
        <w:p w14:paraId="514D5DFB"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xujysmy2k3zk">
            <w:r>
              <w:rPr>
                <w:color w:val="000000"/>
              </w:rPr>
              <w:t>3.9 Data Analysis Techniques</w:t>
            </w:r>
            <w:r>
              <w:rPr>
                <w:color w:val="000000"/>
              </w:rPr>
              <w:tab/>
              <w:t>31</w:t>
            </w:r>
          </w:hyperlink>
        </w:p>
        <w:p w14:paraId="201B48F1"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z4cspfenccpo">
            <w:r>
              <w:rPr>
                <w:color w:val="000000"/>
              </w:rPr>
              <w:t>3.10 Reliability and Validity</w:t>
            </w:r>
            <w:r>
              <w:rPr>
                <w:color w:val="000000"/>
              </w:rPr>
              <w:tab/>
              <w:t>32</w:t>
            </w:r>
          </w:hyperlink>
        </w:p>
        <w:p w14:paraId="51CA0876" w14:textId="77777777" w:rsidR="00A12401" w:rsidRDefault="00A25E1C">
          <w:pPr>
            <w:pBdr>
              <w:top w:val="nil"/>
              <w:left w:val="nil"/>
              <w:bottom w:val="nil"/>
              <w:right w:val="nil"/>
              <w:between w:val="nil"/>
            </w:pBdr>
            <w:tabs>
              <w:tab w:val="left" w:pos="480"/>
              <w:tab w:val="right" w:leader="dot" w:pos="9016"/>
            </w:tabs>
            <w:spacing w:after="100"/>
            <w:rPr>
              <w:rFonts w:ascii="Calibri" w:eastAsia="Calibri" w:hAnsi="Calibri" w:cs="Calibri"/>
              <w:color w:val="000000"/>
            </w:rPr>
          </w:pPr>
          <w:hyperlink w:anchor="_n7r1fmey1d2a">
            <w:r>
              <w:rPr>
                <w:color w:val="000000"/>
              </w:rPr>
              <w:t>4.</w:t>
            </w:r>
          </w:hyperlink>
          <w:hyperlink w:anchor="_n7r1fmey1d2a">
            <w:r>
              <w:rPr>
                <w:rFonts w:ascii="Calibri" w:eastAsia="Calibri" w:hAnsi="Calibri" w:cs="Calibri"/>
                <w:color w:val="000000"/>
              </w:rPr>
              <w:tab/>
            </w:r>
          </w:hyperlink>
          <w:r>
            <w:fldChar w:fldCharType="begin"/>
          </w:r>
          <w:r>
            <w:instrText xml:space="preserve"> PAGEREF _n7r1fmey1d2a \h </w:instrText>
          </w:r>
          <w:r>
            <w:fldChar w:fldCharType="separate"/>
          </w:r>
          <w:r>
            <w:rPr>
              <w:color w:val="000000"/>
            </w:rPr>
            <w:t>Data Analysis</w:t>
          </w:r>
          <w:r>
            <w:rPr>
              <w:color w:val="000000"/>
            </w:rPr>
            <w:tab/>
            <w:t>33</w:t>
          </w:r>
          <w:r>
            <w:fldChar w:fldCharType="end"/>
          </w:r>
        </w:p>
        <w:p w14:paraId="4EB37893"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36m19245k51w">
            <w:r>
              <w:rPr>
                <w:color w:val="000000"/>
              </w:rPr>
              <w:t>4.1 Introduction</w:t>
            </w:r>
            <w:r>
              <w:rPr>
                <w:color w:val="000000"/>
              </w:rPr>
              <w:tab/>
              <w:t>33</w:t>
            </w:r>
          </w:hyperlink>
        </w:p>
        <w:p w14:paraId="562573D8" w14:textId="77777777" w:rsidR="00A12401" w:rsidRDefault="00A25E1C">
          <w:pPr>
            <w:pBdr>
              <w:top w:val="nil"/>
              <w:left w:val="nil"/>
              <w:bottom w:val="nil"/>
              <w:right w:val="nil"/>
              <w:between w:val="nil"/>
            </w:pBdr>
            <w:tabs>
              <w:tab w:val="left" w:pos="960"/>
              <w:tab w:val="right" w:leader="dot" w:pos="9016"/>
            </w:tabs>
            <w:spacing w:after="100"/>
            <w:ind w:left="240"/>
            <w:rPr>
              <w:rFonts w:ascii="Calibri" w:eastAsia="Calibri" w:hAnsi="Calibri" w:cs="Calibri"/>
              <w:color w:val="000000"/>
            </w:rPr>
          </w:pPr>
          <w:hyperlink w:anchor="_qb02p2atvptk">
            <w:r>
              <w:rPr>
                <w:color w:val="000000"/>
              </w:rPr>
              <w:t>4.2</w:t>
            </w:r>
          </w:hyperlink>
          <w:hyperlink w:anchor="_qb02p2atvptk">
            <w:r>
              <w:rPr>
                <w:rFonts w:ascii="Calibri" w:eastAsia="Calibri" w:hAnsi="Calibri" w:cs="Calibri"/>
                <w:color w:val="000000"/>
              </w:rPr>
              <w:tab/>
            </w:r>
          </w:hyperlink>
          <w:r>
            <w:fldChar w:fldCharType="begin"/>
          </w:r>
          <w:r>
            <w:instrText xml:space="preserve"> PAGEREF _qb02p2atvptk \h </w:instrText>
          </w:r>
          <w:r>
            <w:fldChar w:fldCharType="separate"/>
          </w:r>
          <w:r>
            <w:rPr>
              <w:color w:val="000000"/>
            </w:rPr>
            <w:t>Demographic Profile of Respondents (N=20)</w:t>
          </w:r>
          <w:r>
            <w:rPr>
              <w:color w:val="000000"/>
            </w:rPr>
            <w:tab/>
            <w:t>33</w:t>
          </w:r>
          <w:r>
            <w:fldChar w:fldCharType="end"/>
          </w:r>
        </w:p>
        <w:p w14:paraId="75DA1A81" w14:textId="77777777" w:rsidR="00A12401" w:rsidRDefault="00A25E1C">
          <w:pPr>
            <w:pBdr>
              <w:top w:val="nil"/>
              <w:left w:val="nil"/>
              <w:bottom w:val="nil"/>
              <w:right w:val="nil"/>
              <w:between w:val="nil"/>
            </w:pBdr>
            <w:tabs>
              <w:tab w:val="left" w:pos="960"/>
              <w:tab w:val="right" w:leader="dot" w:pos="9016"/>
            </w:tabs>
            <w:spacing w:after="100"/>
            <w:ind w:left="240"/>
            <w:rPr>
              <w:rFonts w:ascii="Calibri" w:eastAsia="Calibri" w:hAnsi="Calibri" w:cs="Calibri"/>
              <w:color w:val="000000"/>
            </w:rPr>
          </w:pPr>
          <w:hyperlink w:anchor="_u1cqqfkefru6">
            <w:r>
              <w:rPr>
                <w:color w:val="000000"/>
              </w:rPr>
              <w:t>4.3</w:t>
            </w:r>
          </w:hyperlink>
          <w:hyperlink w:anchor="_u1cqqfkefru6">
            <w:r>
              <w:rPr>
                <w:rFonts w:ascii="Calibri" w:eastAsia="Calibri" w:hAnsi="Calibri" w:cs="Calibri"/>
                <w:color w:val="000000"/>
              </w:rPr>
              <w:tab/>
            </w:r>
          </w:hyperlink>
          <w:r>
            <w:fldChar w:fldCharType="begin"/>
          </w:r>
          <w:r>
            <w:instrText xml:space="preserve"> PAGEREF _u1cqqfkefru6 \h </w:instrText>
          </w:r>
          <w:r>
            <w:fldChar w:fldCharType="separate"/>
          </w:r>
          <w:r>
            <w:rPr>
              <w:color w:val="000000"/>
            </w:rPr>
            <w:t>Shopping Frequency &amp; CSR Awareness</w:t>
          </w:r>
          <w:r>
            <w:rPr>
              <w:color w:val="000000"/>
            </w:rPr>
            <w:tab/>
            <w:t>34</w:t>
          </w:r>
          <w:r>
            <w:fldChar w:fldCharType="end"/>
          </w:r>
        </w:p>
        <w:p w14:paraId="4B37BC6D" w14:textId="77777777" w:rsidR="00A12401" w:rsidRDefault="00A25E1C">
          <w:pPr>
            <w:pBdr>
              <w:top w:val="nil"/>
              <w:left w:val="nil"/>
              <w:bottom w:val="nil"/>
              <w:right w:val="nil"/>
              <w:between w:val="nil"/>
            </w:pBdr>
            <w:tabs>
              <w:tab w:val="left" w:pos="960"/>
              <w:tab w:val="right" w:leader="dot" w:pos="9016"/>
            </w:tabs>
            <w:spacing w:after="100"/>
            <w:ind w:left="240"/>
            <w:rPr>
              <w:rFonts w:ascii="Calibri" w:eastAsia="Calibri" w:hAnsi="Calibri" w:cs="Calibri"/>
              <w:color w:val="000000"/>
            </w:rPr>
          </w:pPr>
          <w:hyperlink w:anchor="_7jebo8chrpxk">
            <w:r>
              <w:rPr>
                <w:color w:val="000000"/>
              </w:rPr>
              <w:t>4.4</w:t>
            </w:r>
          </w:hyperlink>
          <w:hyperlink w:anchor="_7jebo8chrpxk">
            <w:r>
              <w:rPr>
                <w:rFonts w:ascii="Calibri" w:eastAsia="Calibri" w:hAnsi="Calibri" w:cs="Calibri"/>
                <w:color w:val="000000"/>
              </w:rPr>
              <w:tab/>
            </w:r>
          </w:hyperlink>
          <w:r>
            <w:fldChar w:fldCharType="begin"/>
          </w:r>
          <w:r>
            <w:instrText xml:space="preserve"> PAGEREF _7jebo8chrpxk \h </w:instrText>
          </w:r>
          <w:r>
            <w:fldChar w:fldCharType="separate"/>
          </w:r>
          <w:r>
            <w:rPr>
              <w:color w:val="000000"/>
            </w:rPr>
            <w:t>Net Promoter Score (Nps) Analysis – Q6 To Q19</w:t>
          </w:r>
          <w:r>
            <w:rPr>
              <w:color w:val="000000"/>
            </w:rPr>
            <w:tab/>
            <w:t>36</w:t>
          </w:r>
          <w:r>
            <w:fldChar w:fldCharType="end"/>
          </w:r>
        </w:p>
        <w:p w14:paraId="34447B4A"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dfi13l3hs7gg">
            <w:r>
              <w:rPr>
                <w:color w:val="000000"/>
              </w:rPr>
              <w:t>4.5 Descriptive Statistics – NPS-Based Variables</w:t>
            </w:r>
            <w:r>
              <w:rPr>
                <w:color w:val="000000"/>
              </w:rPr>
              <w:tab/>
              <w:t>37</w:t>
            </w:r>
          </w:hyperlink>
        </w:p>
        <w:p w14:paraId="423A899E"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6ybnb6qp646x">
            <w:r>
              <w:rPr>
                <w:color w:val="000000"/>
              </w:rPr>
              <w:t>4.6 Pearson Correlation Matrix (R) – Q6 To Q19 (N=20)</w:t>
            </w:r>
            <w:r>
              <w:rPr>
                <w:color w:val="000000"/>
              </w:rPr>
              <w:tab/>
              <w:t>38</w:t>
            </w:r>
          </w:hyperlink>
        </w:p>
        <w:p w14:paraId="5ABE5407"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704xy1y3jo1r">
            <w:r>
              <w:rPr>
                <w:color w:val="000000"/>
              </w:rPr>
              <w:t>4.7 Key Findings Linked to Research Objectives</w:t>
            </w:r>
            <w:r>
              <w:rPr>
                <w:color w:val="000000"/>
              </w:rPr>
              <w:tab/>
              <w:t>40</w:t>
            </w:r>
          </w:hyperlink>
        </w:p>
        <w:p w14:paraId="52AA8462"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ignse1kw9w78">
            <w:r>
              <w:rPr>
                <w:color w:val="000000"/>
              </w:rPr>
              <w:t>4.8 Limitations</w:t>
            </w:r>
            <w:r>
              <w:rPr>
                <w:color w:val="000000"/>
              </w:rPr>
              <w:tab/>
              <w:t>40</w:t>
            </w:r>
          </w:hyperlink>
        </w:p>
        <w:p w14:paraId="72A57665"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4u7dwut6r7d4">
            <w:r>
              <w:rPr>
                <w:color w:val="000000"/>
              </w:rPr>
              <w:t>4.9 Conclusion</w:t>
            </w:r>
            <w:r>
              <w:rPr>
                <w:color w:val="000000"/>
              </w:rPr>
              <w:tab/>
              <w:t>41</w:t>
            </w:r>
          </w:hyperlink>
        </w:p>
        <w:p w14:paraId="50BBF5E1" w14:textId="77777777" w:rsidR="00A12401" w:rsidRDefault="00A25E1C">
          <w:pPr>
            <w:pBdr>
              <w:top w:val="nil"/>
              <w:left w:val="nil"/>
              <w:bottom w:val="nil"/>
              <w:right w:val="nil"/>
              <w:between w:val="nil"/>
            </w:pBdr>
            <w:tabs>
              <w:tab w:val="right" w:leader="dot" w:pos="9016"/>
            </w:tabs>
            <w:spacing w:after="100"/>
            <w:rPr>
              <w:rFonts w:ascii="Calibri" w:eastAsia="Calibri" w:hAnsi="Calibri" w:cs="Calibri"/>
              <w:color w:val="000000"/>
            </w:rPr>
          </w:pPr>
          <w:hyperlink w:anchor="_3zbnfw75vne0">
            <w:r>
              <w:rPr>
                <w:color w:val="000000"/>
              </w:rPr>
              <w:t>5. Discussion</w:t>
            </w:r>
            <w:r>
              <w:rPr>
                <w:color w:val="000000"/>
              </w:rPr>
              <w:tab/>
              <w:t>42</w:t>
            </w:r>
          </w:hyperlink>
        </w:p>
        <w:p w14:paraId="55D495E0"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cdt0x7bv8dg5">
            <w:r>
              <w:rPr>
                <w:color w:val="000000"/>
              </w:rPr>
              <w:t>5.1 Introduction</w:t>
            </w:r>
            <w:r>
              <w:rPr>
                <w:color w:val="000000"/>
              </w:rPr>
              <w:tab/>
              <w:t>42</w:t>
            </w:r>
          </w:hyperlink>
        </w:p>
        <w:p w14:paraId="578683BF"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zhjv1ekj0wcu">
            <w:r>
              <w:rPr>
                <w:color w:val="000000"/>
              </w:rPr>
              <w:t>5.2 Discussion in relation to themes in the literature review</w:t>
            </w:r>
            <w:r>
              <w:rPr>
                <w:color w:val="000000"/>
              </w:rPr>
              <w:tab/>
              <w:t>42</w:t>
            </w:r>
          </w:hyperlink>
        </w:p>
        <w:p w14:paraId="5E791A44"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hsj3ogc0i7bg">
            <w:r>
              <w:rPr>
                <w:color w:val="000000"/>
              </w:rPr>
              <w:t>5.2.1 Discussion Related to the Idea and History of CSR</w:t>
            </w:r>
            <w:r>
              <w:rPr>
                <w:color w:val="000000"/>
              </w:rPr>
              <w:tab/>
              <w:t>42</w:t>
            </w:r>
          </w:hyperlink>
        </w:p>
        <w:p w14:paraId="66F18169"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ydvsgn8u5sc0">
            <w:r>
              <w:rPr>
                <w:color w:val="000000"/>
              </w:rPr>
              <w:t>5.2.2 Discussion Related to CSR in the Retail Industry</w:t>
            </w:r>
            <w:r>
              <w:rPr>
                <w:color w:val="000000"/>
              </w:rPr>
              <w:tab/>
              <w:t>42</w:t>
            </w:r>
          </w:hyperlink>
        </w:p>
        <w:p w14:paraId="59FE89C3"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tx12zu146olk">
            <w:r>
              <w:rPr>
                <w:color w:val="000000"/>
              </w:rPr>
              <w:t>5.2.3 Discussion Related to CSR Marketing Activities</w:t>
            </w:r>
            <w:r>
              <w:rPr>
                <w:color w:val="000000"/>
              </w:rPr>
              <w:tab/>
              <w:t>43</w:t>
            </w:r>
          </w:hyperlink>
        </w:p>
        <w:p w14:paraId="14F7D7E8"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e508vc5gi7a">
            <w:r>
              <w:rPr>
                <w:color w:val="000000"/>
              </w:rPr>
              <w:t>5.2.4 Discussion for Consumer Behaviour and Brand Preference Theory</w:t>
            </w:r>
            <w:r>
              <w:rPr>
                <w:color w:val="000000"/>
              </w:rPr>
              <w:tab/>
              <w:t>43</w:t>
            </w:r>
          </w:hyperlink>
        </w:p>
        <w:p w14:paraId="03229F80"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ngjoakr8f3lo">
            <w:r>
              <w:rPr>
                <w:color w:val="000000"/>
              </w:rPr>
              <w:t>5.2.5 Discussion Related to CSR Brand Outcomes</w:t>
            </w:r>
            <w:r>
              <w:rPr>
                <w:color w:val="000000"/>
              </w:rPr>
              <w:tab/>
              <w:t>44</w:t>
            </w:r>
          </w:hyperlink>
        </w:p>
        <w:p w14:paraId="624D9829"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ih70jhf62vcr">
            <w:r>
              <w:rPr>
                <w:color w:val="000000"/>
              </w:rPr>
              <w:t>5.3 Discussion in relation to research objectives</w:t>
            </w:r>
            <w:r>
              <w:rPr>
                <w:color w:val="000000"/>
              </w:rPr>
              <w:tab/>
              <w:t>44</w:t>
            </w:r>
          </w:hyperlink>
        </w:p>
        <w:p w14:paraId="55D3529C"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qebavjogwiap">
            <w:r>
              <w:rPr>
                <w:color w:val="000000"/>
              </w:rPr>
              <w:t>5.3.1 Discussion of Research Objective 1</w:t>
            </w:r>
            <w:r>
              <w:rPr>
                <w:color w:val="000000"/>
              </w:rPr>
              <w:tab/>
              <w:t>44</w:t>
            </w:r>
          </w:hyperlink>
        </w:p>
        <w:p w14:paraId="271502DD"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te81nf84r95i">
            <w:r>
              <w:rPr>
                <w:color w:val="000000"/>
              </w:rPr>
              <w:t>5.3.2 Discussion of Research Objective 2</w:t>
            </w:r>
            <w:r>
              <w:rPr>
                <w:color w:val="000000"/>
              </w:rPr>
              <w:tab/>
              <w:t>46</w:t>
            </w:r>
          </w:hyperlink>
        </w:p>
        <w:p w14:paraId="6C1BAA1B" w14:textId="77777777" w:rsidR="00A12401" w:rsidRDefault="00A25E1C">
          <w:pPr>
            <w:pBdr>
              <w:top w:val="nil"/>
              <w:left w:val="nil"/>
              <w:bottom w:val="nil"/>
              <w:right w:val="nil"/>
              <w:between w:val="nil"/>
            </w:pBdr>
            <w:tabs>
              <w:tab w:val="right" w:leader="dot" w:pos="9016"/>
            </w:tabs>
            <w:spacing w:after="100"/>
            <w:ind w:left="480"/>
            <w:rPr>
              <w:rFonts w:ascii="Calibri" w:eastAsia="Calibri" w:hAnsi="Calibri" w:cs="Calibri"/>
              <w:color w:val="000000"/>
            </w:rPr>
          </w:pPr>
          <w:hyperlink w:anchor="_ugjdjbitea5p">
            <w:r>
              <w:rPr>
                <w:color w:val="000000"/>
              </w:rPr>
              <w:t>5.3.4 Discussion of Research Objective 3 (Recommendation)</w:t>
            </w:r>
            <w:r>
              <w:rPr>
                <w:color w:val="000000"/>
              </w:rPr>
              <w:tab/>
              <w:t>47</w:t>
            </w:r>
          </w:hyperlink>
        </w:p>
        <w:p w14:paraId="7C59B522"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33s29u7judql">
            <w:r>
              <w:rPr>
                <w:color w:val="000000"/>
              </w:rPr>
              <w:t>5.4 Overall Discussion Summary</w:t>
            </w:r>
            <w:r>
              <w:rPr>
                <w:color w:val="000000"/>
              </w:rPr>
              <w:tab/>
              <w:t>49</w:t>
            </w:r>
          </w:hyperlink>
        </w:p>
        <w:p w14:paraId="1886C5C7" w14:textId="77777777" w:rsidR="00A12401" w:rsidRDefault="00A25E1C">
          <w:pPr>
            <w:pBdr>
              <w:top w:val="nil"/>
              <w:left w:val="nil"/>
              <w:bottom w:val="nil"/>
              <w:right w:val="nil"/>
              <w:between w:val="nil"/>
            </w:pBdr>
            <w:tabs>
              <w:tab w:val="right" w:leader="dot" w:pos="9016"/>
            </w:tabs>
            <w:spacing w:after="100"/>
            <w:rPr>
              <w:rFonts w:ascii="Calibri" w:eastAsia="Calibri" w:hAnsi="Calibri" w:cs="Calibri"/>
              <w:color w:val="000000"/>
            </w:rPr>
          </w:pPr>
          <w:hyperlink w:anchor="_x2e4toyrtlq1">
            <w:r>
              <w:rPr>
                <w:color w:val="000000"/>
              </w:rPr>
              <w:t>6. Conclusion</w:t>
            </w:r>
            <w:r>
              <w:rPr>
                <w:color w:val="000000"/>
              </w:rPr>
              <w:tab/>
              <w:t>50</w:t>
            </w:r>
          </w:hyperlink>
        </w:p>
        <w:p w14:paraId="055E107B"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ok9fk8xfpntz">
            <w:r>
              <w:rPr>
                <w:color w:val="000000"/>
              </w:rPr>
              <w:t>6.1 Overview</w:t>
            </w:r>
            <w:r>
              <w:rPr>
                <w:color w:val="000000"/>
              </w:rPr>
              <w:tab/>
              <w:t>50</w:t>
            </w:r>
          </w:hyperlink>
        </w:p>
        <w:p w14:paraId="04AAE01B"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kbzvxf7wrqat">
            <w:r>
              <w:rPr>
                <w:color w:val="000000"/>
              </w:rPr>
              <w:t>6.2 Summary of Research Objectives and Findings</w:t>
            </w:r>
            <w:r>
              <w:rPr>
                <w:color w:val="000000"/>
              </w:rPr>
              <w:tab/>
              <w:t>50</w:t>
            </w:r>
          </w:hyperlink>
        </w:p>
        <w:p w14:paraId="2A641FBC"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ddxgj4evh2xa">
            <w:r>
              <w:rPr>
                <w:color w:val="000000"/>
              </w:rPr>
              <w:t>6.3 Literature Contribution &amp; Theoretical Framework</w:t>
            </w:r>
            <w:r>
              <w:rPr>
                <w:color w:val="000000"/>
              </w:rPr>
              <w:tab/>
              <w:t>51</w:t>
            </w:r>
          </w:hyperlink>
        </w:p>
        <w:p w14:paraId="5E22446A"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sp9hfqvh8olb">
            <w:r>
              <w:rPr>
                <w:color w:val="000000"/>
              </w:rPr>
              <w:t>6.4 Final Conclusion</w:t>
            </w:r>
            <w:r>
              <w:rPr>
                <w:color w:val="000000"/>
              </w:rPr>
              <w:tab/>
              <w:t>52</w:t>
            </w:r>
          </w:hyperlink>
        </w:p>
        <w:p w14:paraId="63A77D88" w14:textId="77777777" w:rsidR="00A12401" w:rsidRDefault="00A25E1C">
          <w:pPr>
            <w:pBdr>
              <w:top w:val="nil"/>
              <w:left w:val="nil"/>
              <w:bottom w:val="nil"/>
              <w:right w:val="nil"/>
              <w:between w:val="nil"/>
            </w:pBdr>
            <w:tabs>
              <w:tab w:val="right" w:leader="dot" w:pos="9016"/>
            </w:tabs>
            <w:spacing w:after="100"/>
            <w:rPr>
              <w:rFonts w:ascii="Calibri" w:eastAsia="Calibri" w:hAnsi="Calibri" w:cs="Calibri"/>
              <w:color w:val="000000"/>
            </w:rPr>
          </w:pPr>
          <w:hyperlink w:anchor="_x3pweh4tpjp">
            <w:r>
              <w:rPr>
                <w:color w:val="000000"/>
              </w:rPr>
              <w:t>References</w:t>
            </w:r>
            <w:r>
              <w:rPr>
                <w:color w:val="000000"/>
              </w:rPr>
              <w:tab/>
              <w:t>53</w:t>
            </w:r>
          </w:hyperlink>
        </w:p>
        <w:p w14:paraId="2B87C13E" w14:textId="77777777" w:rsidR="00A12401" w:rsidRDefault="00A25E1C">
          <w:pPr>
            <w:pBdr>
              <w:top w:val="nil"/>
              <w:left w:val="nil"/>
              <w:bottom w:val="nil"/>
              <w:right w:val="nil"/>
              <w:between w:val="nil"/>
            </w:pBdr>
            <w:tabs>
              <w:tab w:val="right" w:leader="dot" w:pos="9016"/>
            </w:tabs>
            <w:spacing w:after="100"/>
            <w:rPr>
              <w:rFonts w:ascii="Calibri" w:eastAsia="Calibri" w:hAnsi="Calibri" w:cs="Calibri"/>
              <w:color w:val="000000"/>
            </w:rPr>
          </w:pPr>
          <w:hyperlink w:anchor="_eybnbume0h6p">
            <w:r>
              <w:rPr>
                <w:color w:val="000000"/>
              </w:rPr>
              <w:t>Appendix</w:t>
            </w:r>
            <w:r>
              <w:rPr>
                <w:color w:val="000000"/>
              </w:rPr>
              <w:tab/>
              <w:t>58</w:t>
            </w:r>
          </w:hyperlink>
        </w:p>
        <w:p w14:paraId="120D4483"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xn88px5kb1gv">
            <w:r>
              <w:rPr>
                <w:color w:val="000000"/>
              </w:rPr>
              <w:t>Appendix A: Survey Questions</w:t>
            </w:r>
            <w:r>
              <w:rPr>
                <w:color w:val="000000"/>
              </w:rPr>
              <w:tab/>
              <w:t>58</w:t>
            </w:r>
          </w:hyperlink>
        </w:p>
        <w:p w14:paraId="220A1907" w14:textId="77777777" w:rsidR="00A12401" w:rsidRDefault="00A25E1C">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2zgw6qkap88x">
            <w:r>
              <w:rPr>
                <w:color w:val="000000"/>
              </w:rPr>
              <w:t>Appendix B: Survey Response Summary</w:t>
            </w:r>
            <w:r>
              <w:rPr>
                <w:color w:val="000000"/>
              </w:rPr>
              <w:tab/>
              <w:t>59</w:t>
            </w:r>
          </w:hyperlink>
        </w:p>
        <w:p w14:paraId="786EE74C" w14:textId="77777777" w:rsidR="00A12401" w:rsidRDefault="00A25E1C">
          <w:pPr>
            <w:pBdr>
              <w:top w:val="nil"/>
              <w:left w:val="nil"/>
              <w:bottom w:val="nil"/>
              <w:right w:val="nil"/>
              <w:between w:val="nil"/>
            </w:pBdr>
            <w:tabs>
              <w:tab w:val="right" w:leader="dot" w:pos="9016"/>
            </w:tabs>
            <w:spacing w:after="100"/>
            <w:rPr>
              <w:color w:val="000000"/>
            </w:rPr>
          </w:pPr>
          <w:r>
            <w:fldChar w:fldCharType="end"/>
          </w:r>
        </w:p>
      </w:sdtContent>
    </w:sdt>
    <w:p w14:paraId="51AC52EF" w14:textId="77777777" w:rsidR="00A12401" w:rsidRDefault="00A12401"/>
    <w:p w14:paraId="5AF66C45" w14:textId="77777777" w:rsidR="00A12401" w:rsidRDefault="00A12401"/>
    <w:sdt>
      <w:sdtPr>
        <w:id w:val="-205814797"/>
        <w:docPartObj>
          <w:docPartGallery w:val="Table of Contents"/>
          <w:docPartUnique/>
        </w:docPartObj>
      </w:sdtPr>
      <w:sdtEndPr/>
      <w:sdtContent>
        <w:p w14:paraId="3AA47DEA" w14:textId="77777777" w:rsidR="00A12401" w:rsidRDefault="00A25E1C">
          <w:pPr>
            <w:pBdr>
              <w:top w:val="nil"/>
              <w:left w:val="nil"/>
              <w:bottom w:val="nil"/>
              <w:right w:val="nil"/>
              <w:between w:val="nil"/>
            </w:pBdr>
            <w:tabs>
              <w:tab w:val="right" w:pos="9016"/>
            </w:tabs>
            <w:spacing w:after="0"/>
            <w:rPr>
              <w:rFonts w:ascii="Calibri" w:eastAsia="Calibri" w:hAnsi="Calibri" w:cs="Calibri"/>
              <w:color w:val="000000"/>
            </w:rPr>
          </w:pPr>
          <w:r>
            <w:fldChar w:fldCharType="begin"/>
          </w:r>
          <w:r>
            <w:instrText xml:space="preserve"> TOC \h \u \z \t "Heading 1,1,Heading 2,2,Heading 3,3,Heading 4,4,Heading 5,5,Heading 6,6,"</w:instrText>
          </w:r>
          <w:r>
            <w:fldChar w:fldCharType="separate"/>
          </w:r>
          <w:hyperlink w:anchor="_cudw5xrrac8d">
            <w:r>
              <w:rPr>
                <w:color w:val="000000"/>
              </w:rPr>
              <w:t>Figure 1: Conceptual framework (Made by Author)</w:t>
            </w:r>
            <w:r>
              <w:rPr>
                <w:color w:val="000000"/>
              </w:rPr>
              <w:tab/>
              <w:t>24</w:t>
            </w:r>
          </w:hyperlink>
          <w:r>
            <w:fldChar w:fldCharType="end"/>
          </w:r>
        </w:p>
      </w:sdtContent>
    </w:sdt>
    <w:p w14:paraId="537F5498" w14:textId="77777777" w:rsidR="00A12401" w:rsidRDefault="00A25E1C">
      <w:r>
        <w:br w:type="page"/>
      </w:r>
    </w:p>
    <w:p w14:paraId="56DD3C36" w14:textId="77777777" w:rsidR="00A12401" w:rsidRDefault="00A25E1C">
      <w:pPr>
        <w:pStyle w:val="Heading1"/>
        <w:spacing w:after="0"/>
      </w:pPr>
      <w:bookmarkStart w:id="2" w:name="_mpbjrzfdurn" w:colFirst="0" w:colLast="0"/>
      <w:bookmarkEnd w:id="2"/>
      <w:r>
        <w:t>Chapter 1: Introduction</w:t>
      </w:r>
    </w:p>
    <w:p w14:paraId="005BBA2A" w14:textId="77777777" w:rsidR="00A12401" w:rsidRDefault="00A25E1C">
      <w:pPr>
        <w:pStyle w:val="Heading2"/>
      </w:pPr>
      <w:bookmarkStart w:id="3" w:name="_rnzb03duhtk5" w:colFirst="0" w:colLast="0"/>
      <w:bookmarkEnd w:id="3"/>
      <w:r>
        <w:t>1.1 Background and Research Context</w:t>
      </w:r>
    </w:p>
    <w:p w14:paraId="5A0188DD" w14:textId="77777777" w:rsidR="00A12401" w:rsidRDefault="00A25E1C">
      <w:r>
        <w:t xml:space="preserve">Corporate Social Responsibility (CSR) is no longer a selfless practice but a business strategic operation that directly affects the performance and relationship of the stakeholders in the </w:t>
      </w:r>
      <w:proofErr w:type="spellStart"/>
      <w:r>
        <w:t>organisation</w:t>
      </w:r>
      <w:proofErr w:type="spellEnd"/>
      <w:r>
        <w:t xml:space="preserve">. According to Carroll and Shabana (2010), CSR has ceased to be a matter of ethical responsibility, but rather, it is being incorporated into the very business strategy to create long-term value. On the same note, Aras and </w:t>
      </w:r>
      <w:proofErr w:type="spellStart"/>
      <w:r>
        <w:t>Daidj</w:t>
      </w:r>
      <w:proofErr w:type="spellEnd"/>
      <w:r>
        <w:t xml:space="preserve"> (2016) indicate that CSR can offer a sustainable competitive advantage in a firm that is in tandem with corporate objectives. Although initial CSR practices were described as charitable contributions, Bhattacharya et al. (2009) state that the current CSR is concerned wit</w:t>
      </w:r>
      <w:r>
        <w:t xml:space="preserve">h the establishment of mutually beneficial relationships between </w:t>
      </w:r>
      <w:proofErr w:type="spellStart"/>
      <w:r>
        <w:t>organisations</w:t>
      </w:r>
      <w:proofErr w:type="spellEnd"/>
      <w:r>
        <w:t xml:space="preserve"> and stakeholders. Du et al. (2010) extend this argument by showing that good communication in CSR increases the returns in the business by creating a stronger perception and involvement by the consumer.</w:t>
      </w:r>
    </w:p>
    <w:p w14:paraId="07EC7B8E" w14:textId="77777777" w:rsidR="00A12401" w:rsidRDefault="00A25E1C">
      <w:r>
        <w:t>The increased relevance of CSR has been closely associated with evolving consumer demand in contemporary markets. The consumers have become more socially conscious and would like to associate with brands which are ethical, environmentally, and socially responsible. According to Green and Peloza, CSR generates emotional and social value to the consumers that has a profound effect on the buying decisions (712). Conversely, Ferrell et al. (2019) lay stress on the fact that brand attitudes are also influenced b</w:t>
      </w:r>
      <w:r>
        <w:t xml:space="preserve">y CSR, as it strengthens ethical views. Nevertheless, </w:t>
      </w:r>
      <w:proofErr w:type="spellStart"/>
      <w:r>
        <w:t>Baskentli</w:t>
      </w:r>
      <w:proofErr w:type="spellEnd"/>
      <w:r>
        <w:t xml:space="preserve"> et al. (2019) posit that the consumer reactions toward CSR are not uniform regardless of the kind of CSR engagement, which implies that not all CSR projects produce the same degree of effects. This implies that though CSR is crucial, its performance is determined by the </w:t>
      </w:r>
      <w:proofErr w:type="gramStart"/>
      <w:r>
        <w:t>manner in which</w:t>
      </w:r>
      <w:proofErr w:type="gramEnd"/>
      <w:r>
        <w:t xml:space="preserve"> it is executed and communicated.</w:t>
      </w:r>
    </w:p>
    <w:p w14:paraId="164C9C5A" w14:textId="77777777" w:rsidR="00A12401" w:rsidRDefault="00A25E1C">
      <w:r>
        <w:t>In the UK retail scenario, CSR is even more important in the presence of very tough competition and heightened consumer sensitivity. The retailer is in proximity to the consumer, and as such, their social and environmental activities are very visible. According to Dal Mas et al. (2022), CSR also increases the transparency and accountability in retail business, which, in turn, has a direct impact on consumer trust. Due to the rising competition, retailers are turning to CSR as an instrument of strategic diff</w:t>
      </w:r>
      <w:r>
        <w:t xml:space="preserve">erentiation </w:t>
      </w:r>
      <w:proofErr w:type="gramStart"/>
      <w:r>
        <w:t>as a means to</w:t>
      </w:r>
      <w:proofErr w:type="gramEnd"/>
      <w:r>
        <w:t xml:space="preserve"> drive brand positioning.</w:t>
      </w:r>
    </w:p>
    <w:p w14:paraId="1416F127" w14:textId="77777777" w:rsidR="00A12401" w:rsidRDefault="00A25E1C">
      <w:r>
        <w:t>Tesco is among the top retailers in the UK, and it serves as a good example of how CSR can be applied within the strategy of business. Tesco PLC (2025) has been noted to comply with sustainability programs, ethical sourcing, as well as community development programs. These are meant to lower the environmental impact and enhance stakeholder relations. CSR enables Tesco to develop a unique brand image of responsibility and trust, which is comparatively different to the traditional ways of marketing. Thus, CSR</w:t>
      </w:r>
      <w:r>
        <w:t xml:space="preserve"> becomes not a moral requirement anymore but one of the main marketing tools which determines consumer perception and competitive positioning in the retail market.</w:t>
      </w:r>
    </w:p>
    <w:p w14:paraId="4F2E3172" w14:textId="77777777" w:rsidR="00A12401" w:rsidRDefault="00A25E1C">
      <w:pPr>
        <w:pStyle w:val="Heading2"/>
      </w:pPr>
      <w:bookmarkStart w:id="4" w:name="_4sgtpcciv5rz" w:colFirst="0" w:colLast="0"/>
      <w:bookmarkEnd w:id="4"/>
      <w:r>
        <w:t>1.2 Research Problem</w:t>
      </w:r>
    </w:p>
    <w:p w14:paraId="3A2BB8CF" w14:textId="77777777" w:rsidR="00A12401" w:rsidRDefault="00A25E1C">
      <w:r>
        <w:t xml:space="preserve">Although the use of CSR is slowly gaining acceptance in all industries, its direct effects on consumer brand choice are not clear. Although Carroll and Shabana (2010) highlight the general advantages of CSR on </w:t>
      </w:r>
      <w:proofErr w:type="spellStart"/>
      <w:r>
        <w:t>organisational</w:t>
      </w:r>
      <w:proofErr w:type="spellEnd"/>
      <w:r>
        <w:t xml:space="preserve"> performance, there is no specific reference to the effect on consumer choice </w:t>
      </w:r>
      <w:proofErr w:type="spellStart"/>
      <w:r>
        <w:t>behaviour</w:t>
      </w:r>
      <w:proofErr w:type="spellEnd"/>
      <w:r>
        <w:t xml:space="preserve">. In a similar manner, the study of Bhattacharya et al. (2009) dwells on relationships between </w:t>
      </w:r>
      <w:proofErr w:type="gramStart"/>
      <w:r>
        <w:t>stakeholders, but</w:t>
      </w:r>
      <w:proofErr w:type="gramEnd"/>
      <w:r>
        <w:t xml:space="preserve"> lacks information on CSR impact on brand selection on the consumer level. It means that there is a disconnect between the benefits of </w:t>
      </w:r>
      <w:proofErr w:type="spellStart"/>
      <w:r>
        <w:t>organisations</w:t>
      </w:r>
      <w:proofErr w:type="spellEnd"/>
      <w:r>
        <w:t xml:space="preserve"> and the outcomes of consumer </w:t>
      </w:r>
      <w:proofErr w:type="spellStart"/>
      <w:r>
        <w:t>behaviour</w:t>
      </w:r>
      <w:proofErr w:type="spellEnd"/>
      <w:r>
        <w:t>.</w:t>
      </w:r>
    </w:p>
    <w:p w14:paraId="3A5DA13C" w14:textId="77777777" w:rsidR="00A12401" w:rsidRDefault="00A25E1C">
      <w:r>
        <w:t>Available literature mainly focuses on CSR regarding the consequences that it yields to the corporation, including trust, loyalty and corporate image. Indicatively, Martinez and Rodriguez del Bosque (2013) present a case of how CSR improves customer confidence, which boosts brand relationship. Park et al. (2017) also validate this by showing that CSR has a positive effect on consumer loyalty in a retail environment. Lacap et al. (2021) elaborate this argument by demonstrating that CSR enhances brand satisfa</w:t>
      </w:r>
      <w:r>
        <w:t xml:space="preserve">ction and perceived quality. These studies, however, </w:t>
      </w:r>
      <w:proofErr w:type="spellStart"/>
      <w:r>
        <w:t>centre</w:t>
      </w:r>
      <w:proofErr w:type="spellEnd"/>
      <w:r>
        <w:t xml:space="preserve"> more on the relational results as opposed to actual brand preference, which is a major variable in the process of consumer decision making.</w:t>
      </w:r>
    </w:p>
    <w:p w14:paraId="34FF51F1" w14:textId="77777777" w:rsidR="00A12401" w:rsidRDefault="00A25E1C">
      <w:r>
        <w:t xml:space="preserve">This leaves a significant research gap in that brand preference is where consumers decide on one brand instead of the other. Luo and Bhattacharya (2006) </w:t>
      </w:r>
      <w:proofErr w:type="spellStart"/>
      <w:r>
        <w:t>emphasise</w:t>
      </w:r>
      <w:proofErr w:type="spellEnd"/>
      <w:r>
        <w:t xml:space="preserve"> that customer satisfaction and market value may be increased with the help of CSR, whereas the connection between CSR and preference is not studied properly. However, with Tesco, this factor is even more significant, with the company spending a lot of money on CSR-related activities without any apparent understanding of the impact of such activities on consumer selection. Thus, the proposed research fills the gap in </w:t>
      </w:r>
      <w:proofErr w:type="spellStart"/>
      <w:r>
        <w:t>analysing</w:t>
      </w:r>
      <w:proofErr w:type="spellEnd"/>
      <w:r>
        <w:t xml:space="preserve"> the direct correlation between CSR marketing practices and the brand pre</w:t>
      </w:r>
      <w:r>
        <w:t>ference of consumers.</w:t>
      </w:r>
    </w:p>
    <w:p w14:paraId="41F7478B" w14:textId="77777777" w:rsidR="00A12401" w:rsidRDefault="00A25E1C">
      <w:pPr>
        <w:pStyle w:val="Heading2"/>
      </w:pPr>
      <w:bookmarkStart w:id="5" w:name="_1p22cflpztl6" w:colFirst="0" w:colLast="0"/>
      <w:bookmarkEnd w:id="5"/>
      <w:r>
        <w:t>1.3 Aim, Objectives, and Questions of the research</w:t>
      </w:r>
    </w:p>
    <w:p w14:paraId="468073CA" w14:textId="77777777" w:rsidR="00A12401" w:rsidRDefault="00A25E1C">
      <w:pPr>
        <w:rPr>
          <w:b/>
          <w:bCs/>
        </w:rPr>
      </w:pPr>
      <w:r>
        <w:rPr>
          <w:b/>
          <w:bCs/>
        </w:rPr>
        <w:t>Research Aim</w:t>
      </w:r>
    </w:p>
    <w:p w14:paraId="48E6F37C" w14:textId="77777777" w:rsidR="00A12401" w:rsidRDefault="00A25E1C">
      <w:r>
        <w:t>The aim of this study is to examine how CSR marketing activities influence consumer brand preference and develop recommendations for engagement in the Tesco retail company.</w:t>
      </w:r>
    </w:p>
    <w:p w14:paraId="5F17B37D" w14:textId="77777777" w:rsidR="00A12401" w:rsidRDefault="00A25E1C">
      <w:pPr>
        <w:rPr>
          <w:b/>
          <w:bCs/>
        </w:rPr>
      </w:pPr>
      <w:r>
        <w:rPr>
          <w:b/>
          <w:bCs/>
        </w:rPr>
        <w:t>Research Objectives</w:t>
      </w:r>
    </w:p>
    <w:p w14:paraId="2B4D9B47" w14:textId="77777777" w:rsidR="00A12401" w:rsidRDefault="00A25E1C">
      <w:pPr>
        <w:numPr>
          <w:ilvl w:val="0"/>
          <w:numId w:val="1"/>
        </w:numPr>
      </w:pPr>
      <w:r>
        <w:t>To identify the main CSR marketing activities used by the Tesco retail company.</w:t>
      </w:r>
    </w:p>
    <w:p w14:paraId="5B4AB69A" w14:textId="77777777" w:rsidR="00A12401" w:rsidRDefault="00A25E1C">
      <w:pPr>
        <w:numPr>
          <w:ilvl w:val="0"/>
          <w:numId w:val="1"/>
        </w:numPr>
      </w:pPr>
      <w:r>
        <w:t>To examine the effect of CSR marketing activities on consumer brand preference in the Tesco retail company.</w:t>
      </w:r>
    </w:p>
    <w:p w14:paraId="5C4C1A8B" w14:textId="77777777" w:rsidR="00A12401" w:rsidRDefault="00A25E1C">
      <w:pPr>
        <w:numPr>
          <w:ilvl w:val="0"/>
          <w:numId w:val="1"/>
        </w:numPr>
      </w:pPr>
      <w:r>
        <w:t>To provide recommendations for improving consumer engagement in CSR marketing activities within the Tesco retail company.</w:t>
      </w:r>
    </w:p>
    <w:p w14:paraId="6EA33636" w14:textId="77777777" w:rsidR="00A12401" w:rsidRDefault="00A25E1C">
      <w:pPr>
        <w:rPr>
          <w:b/>
          <w:bCs/>
        </w:rPr>
      </w:pPr>
      <w:bookmarkStart w:id="6" w:name="_jmnxqyoc3sm7" w:colFirst="0" w:colLast="0"/>
      <w:bookmarkEnd w:id="6"/>
      <w:r>
        <w:rPr>
          <w:b/>
          <w:bCs/>
        </w:rPr>
        <w:t>Research Questions</w:t>
      </w:r>
    </w:p>
    <w:p w14:paraId="0663AF28" w14:textId="77777777" w:rsidR="00A12401" w:rsidRDefault="00A25E1C">
      <w:pPr>
        <w:numPr>
          <w:ilvl w:val="0"/>
          <w:numId w:val="2"/>
        </w:numPr>
      </w:pPr>
      <w:r>
        <w:t>What CSR marketing activities are currently used by the Tesco retail company?</w:t>
      </w:r>
    </w:p>
    <w:p w14:paraId="3943369F" w14:textId="77777777" w:rsidR="00A12401" w:rsidRDefault="00A25E1C">
      <w:pPr>
        <w:numPr>
          <w:ilvl w:val="0"/>
          <w:numId w:val="2"/>
        </w:numPr>
      </w:pPr>
      <w:r>
        <w:t>How do CSR marketing activities influence consumer brand preference towards the Tesco retail company?</w:t>
      </w:r>
    </w:p>
    <w:p w14:paraId="6293483A" w14:textId="77777777" w:rsidR="00A12401" w:rsidRDefault="00A25E1C">
      <w:pPr>
        <w:numPr>
          <w:ilvl w:val="0"/>
          <w:numId w:val="2"/>
        </w:numPr>
      </w:pPr>
      <w:r>
        <w:t>What strategies can the Tesco retail company use to increase consumer engagement in CSR marketing activities?</w:t>
      </w:r>
    </w:p>
    <w:p w14:paraId="4746CA70" w14:textId="77777777" w:rsidR="00A12401" w:rsidRDefault="00A25E1C">
      <w:pPr>
        <w:pStyle w:val="Heading2"/>
        <w:spacing w:after="0"/>
      </w:pPr>
      <w:bookmarkStart w:id="7" w:name="_2gmllypz64et" w:colFirst="0" w:colLast="0"/>
      <w:bookmarkEnd w:id="7"/>
      <w:r>
        <w:t>1.4 Research Significance and Contribution</w:t>
      </w:r>
    </w:p>
    <w:p w14:paraId="01D0FDB6" w14:textId="77777777" w:rsidR="00A12401" w:rsidRDefault="00A25E1C">
      <w:r>
        <w:t xml:space="preserve">The current research presents a valuable contribution to both the academic and practical contribution of the CSR area, as it is where there is a gap in the research. Academically, the research builds on the current literature with emphasis on the association between the CSR marketing activities and brand preference. Although Fatma and Rahman (2015) </w:t>
      </w:r>
      <w:proofErr w:type="spellStart"/>
      <w:r>
        <w:t>emphasise</w:t>
      </w:r>
      <w:proofErr w:type="spellEnd"/>
      <w:r>
        <w:t xml:space="preserve"> the significance of CSR as a consumer, the authors mainly refer to the overall perceptions instead of the </w:t>
      </w:r>
      <w:proofErr w:type="gramStart"/>
      <w:r>
        <w:t xml:space="preserve">particular </w:t>
      </w:r>
      <w:proofErr w:type="spellStart"/>
      <w:r>
        <w:t>behavioural</w:t>
      </w:r>
      <w:proofErr w:type="spellEnd"/>
      <w:proofErr w:type="gramEnd"/>
      <w:r>
        <w:t xml:space="preserve"> outcomes. On the same note, </w:t>
      </w:r>
      <w:proofErr w:type="spellStart"/>
      <w:r>
        <w:t>Baskentli</w:t>
      </w:r>
      <w:proofErr w:type="spellEnd"/>
      <w:r>
        <w:t xml:space="preserve"> et al. (2019) investigate the response of consumers to various CSR </w:t>
      </w:r>
      <w:proofErr w:type="gramStart"/>
      <w:r>
        <w:t>areas, yet</w:t>
      </w:r>
      <w:proofErr w:type="gramEnd"/>
      <w:r>
        <w:t xml:space="preserve"> fail to focus on the brand preference. Thus, the research contributes to the existing knowledge by establishing the direct correlation between CSR activities and consumer choice </w:t>
      </w:r>
      <w:proofErr w:type="spellStart"/>
      <w:r>
        <w:t>behaviour</w:t>
      </w:r>
      <w:proofErr w:type="spellEnd"/>
      <w:r>
        <w:t>.</w:t>
      </w:r>
    </w:p>
    <w:p w14:paraId="49A1EC7C" w14:textId="77777777" w:rsidR="00A12401" w:rsidRDefault="00A25E1C">
      <w:r>
        <w:t xml:space="preserve">Pragmatically, the research offers desirable details to Tesco. This is because CSR investments are very expensive, and </w:t>
      </w:r>
      <w:proofErr w:type="spellStart"/>
      <w:r>
        <w:t>organisations</w:t>
      </w:r>
      <w:proofErr w:type="spellEnd"/>
      <w:r>
        <w:t xml:space="preserve"> must know the effectiveness of the investment in addressing consumer </w:t>
      </w:r>
      <w:proofErr w:type="spellStart"/>
      <w:r>
        <w:t>behaviour</w:t>
      </w:r>
      <w:proofErr w:type="spellEnd"/>
      <w:r>
        <w:t xml:space="preserve">. Examining the correlation of CSR and brand preference, the research is useful in assisting Tesco in enhancing its CSR marketing initiatives and consumer response. This is also in tandem with the results of Green and Peloza (2011), who have claimed that CSR adds value to the consumer, but it </w:t>
      </w:r>
      <w:proofErr w:type="gramStart"/>
      <w:r>
        <w:t>has to</w:t>
      </w:r>
      <w:proofErr w:type="gramEnd"/>
      <w:r>
        <w:t xml:space="preserve"> be communicated properly to enhance its effectiveness.</w:t>
      </w:r>
    </w:p>
    <w:p w14:paraId="63FA21D2" w14:textId="77777777" w:rsidR="00A12401" w:rsidRDefault="00A25E1C">
      <w:pPr>
        <w:spacing w:after="0"/>
      </w:pPr>
      <w:r>
        <w:t xml:space="preserve">The study can help managers make decisions related to the best CSR activities because it should be possible to identify what activities have the greatest impact on consumer preference. This will enable managers to use resources better and create focused marketing programs. Moreover, the research has more social impact because it contributes to responsible consumption and ethical business </w:t>
      </w:r>
      <w:proofErr w:type="spellStart"/>
      <w:r>
        <w:t>behaviours</w:t>
      </w:r>
      <w:proofErr w:type="spellEnd"/>
      <w:r>
        <w:t>. With the growing awareness of people about environmental sustainability, the studies conducted in this field are becoming more significant both to businesses and society.</w:t>
      </w:r>
    </w:p>
    <w:p w14:paraId="0DF05ECB" w14:textId="77777777" w:rsidR="00A12401" w:rsidRDefault="00A25E1C">
      <w:pPr>
        <w:pStyle w:val="Heading2"/>
      </w:pPr>
      <w:bookmarkStart w:id="8" w:name="_1b3p6emvex2o" w:colFirst="0" w:colLast="0"/>
      <w:bookmarkEnd w:id="8"/>
      <w:r>
        <w:t>1.5 Theoretical Framework</w:t>
      </w:r>
    </w:p>
    <w:p w14:paraId="59713BA1" w14:textId="77777777" w:rsidR="00A12401" w:rsidRDefault="00A25E1C">
      <w:pPr>
        <w:spacing w:after="0"/>
      </w:pPr>
      <w:r>
        <w:t xml:space="preserve">Various important theories form the basis of this study and explain the connection between the CSR marketing activities and the consumer </w:t>
      </w:r>
      <w:proofErr w:type="spellStart"/>
      <w:r>
        <w:t>behaviour</w:t>
      </w:r>
      <w:proofErr w:type="spellEnd"/>
      <w:r>
        <w:t>. As per the theory of Brand Equity, which was suggested by Keller (2013), positive associations and perceptions help to build strong brands. These associations are assisted by CSR activities in improving the brand image and credibility, and this determines the brand preference.</w:t>
      </w:r>
    </w:p>
    <w:p w14:paraId="68097DEE" w14:textId="77777777" w:rsidR="00A12401" w:rsidRDefault="00A25E1C">
      <w:pPr>
        <w:spacing w:after="0"/>
      </w:pPr>
      <w:r>
        <w:t xml:space="preserve">The Consumer Perception Theory also describes how people respond and perceive CSR initiatives. According to Green and Peloza (2011), CSR generates emotional and social value, which forms the attitude of the consumer. Romani et al. (2013) affirm this, implying that CSR is a source of emotional reactions, which impact </w:t>
      </w:r>
      <w:proofErr w:type="spellStart"/>
      <w:r>
        <w:t>behavioural</w:t>
      </w:r>
      <w:proofErr w:type="spellEnd"/>
      <w:r>
        <w:t xml:space="preserve"> intentions. The responses could, however, differ based on the consumer's beliefs and expectations, which suggests that there is a need to have an effective CSR communication.</w:t>
      </w:r>
    </w:p>
    <w:p w14:paraId="4F31099F" w14:textId="77777777" w:rsidR="00A12401" w:rsidRDefault="00A25E1C">
      <w:pPr>
        <w:spacing w:after="0"/>
      </w:pPr>
      <w:r>
        <w:t>The Stakeholder Theory offers a wider approach that focuses on the necessity to take the needs of all stakeholders into consideration. According to Bhattacharya et al. (2009), CSR reinforces liaison between firms and the stakeholders, such as consumers. He and Li (2011) also establish that CSR improves the brand identification that generates greater consumer attachment and loyalty. Collectively, these theories deliver a clear-cut picture of the impact of CSR marketing activities on consumer brand preference</w:t>
      </w:r>
      <w:r>
        <w:t>.</w:t>
      </w:r>
    </w:p>
    <w:p w14:paraId="274B03C3" w14:textId="77777777" w:rsidR="00A12401" w:rsidRDefault="00A25E1C">
      <w:pPr>
        <w:pStyle w:val="Heading2"/>
      </w:pPr>
      <w:bookmarkStart w:id="9" w:name="_39tfzpa537bv" w:colFirst="0" w:colLast="0"/>
      <w:bookmarkEnd w:id="9"/>
      <w:r>
        <w:t>1.6 Methodology Overview</w:t>
      </w:r>
    </w:p>
    <w:p w14:paraId="03DC1201" w14:textId="77777777" w:rsidR="00A12401" w:rsidRDefault="00A25E1C">
      <w:r>
        <w:t xml:space="preserve">The paper takes the method of a quantitative research study to see the relationship between the activities of CSR marketing and consumer choice of brands. Primary data is collected using a survey approach where Tesco consumers are surveyed, because it enables them to be </w:t>
      </w:r>
      <w:proofErr w:type="spellStart"/>
      <w:r>
        <w:t>analysed</w:t>
      </w:r>
      <w:proofErr w:type="spellEnd"/>
      <w:r>
        <w:t xml:space="preserve"> in a structured and measurable manner. According to Bryman (2016), quantitative research is appropriate to test a correlation between variables, whereas Creswell and Creswell (2017) </w:t>
      </w:r>
      <w:proofErr w:type="spellStart"/>
      <w:r>
        <w:t>emphasise</w:t>
      </w:r>
      <w:proofErr w:type="spellEnd"/>
      <w:r>
        <w:t xml:space="preserve"> the importance of quantitative methods in the process of verifying theoretical hypotheses.</w:t>
      </w:r>
    </w:p>
    <w:p w14:paraId="2CAB72C0" w14:textId="77777777" w:rsidR="00A12401" w:rsidRDefault="00A25E1C">
      <w:r>
        <w:t>A structured questionnaire comprising closed-ended questions is used in the data collection process. The target will consist of those who have participated in shopping at Tesco, and their responses are going to be relevant to the research objectives. The reason behind the convenience sampling is the time and accessibility constraints, which enable efficient data collection during the study time.</w:t>
      </w:r>
    </w:p>
    <w:p w14:paraId="485E070B" w14:textId="77777777" w:rsidR="00A12401" w:rsidRDefault="00A25E1C">
      <w:r>
        <w:t xml:space="preserve">The data obtained is </w:t>
      </w:r>
      <w:proofErr w:type="spellStart"/>
      <w:r>
        <w:t>analysed</w:t>
      </w:r>
      <w:proofErr w:type="spellEnd"/>
      <w:r>
        <w:t xml:space="preserve"> by use of the Microsoft Excel, which aids in descriptive statistics, correlation, as well as regression analysis. As it is noted by Hair et al. (2010), these methods are suitable for finding a correlation between variables. Such a methodological approach will make the study have objective and reliable outcomes.\</w:t>
      </w:r>
    </w:p>
    <w:p w14:paraId="5A40FBEC" w14:textId="77777777" w:rsidR="00A12401" w:rsidRDefault="00A25E1C">
      <w:r>
        <w:t xml:space="preserve">The rationale for the choice of the consumers, Tesco, is that they are a leading UK retailer with CSR marketing activities in their business and are known for their consumer engagement. Appropriateness of survey strategy is justified, since it is a feasible way to get the opinions of consumers within the time allotted for the dissertation, and the data is measurable. Structured questionnaires can also help to </w:t>
      </w:r>
      <w:proofErr w:type="spellStart"/>
      <w:r>
        <w:t>analyse</w:t>
      </w:r>
      <w:proofErr w:type="spellEnd"/>
      <w:r>
        <w:t xml:space="preserve"> in an objective way the perception of consumers, their trust and the relationships of their preferences with the different brands.</w:t>
      </w:r>
    </w:p>
    <w:p w14:paraId="0A0D7F27" w14:textId="77777777" w:rsidR="00A12401" w:rsidRDefault="00A25E1C">
      <w:pPr>
        <w:pStyle w:val="Heading2"/>
      </w:pPr>
      <w:bookmarkStart w:id="10" w:name="_z6orrbiqm2gn" w:colFirst="0" w:colLast="0"/>
      <w:bookmarkEnd w:id="10"/>
      <w:r>
        <w:t>1.7 Dissertation Structure</w:t>
      </w:r>
    </w:p>
    <w:p w14:paraId="42D3BCA8" w14:textId="77777777" w:rsidR="00A12401" w:rsidRDefault="00A25E1C">
      <w:r>
        <w:t>This dissertation is divided into 6 chapters. Chapter one gives the introduction in which the background of the research, the problem, objectives, and importance are given. The second chapter is a critical discussion of literature that has been published on CSR and brand preference. In chapter three, the methodology of the research, including the techniques of data collection and data analysis, is described. In chapter four, the researcher gives the findings of the research, using the data collected. Chapte</w:t>
      </w:r>
      <w:r>
        <w:t xml:space="preserve">r five is the discussion of findings with reference to the existing literature and theoretical frameworks. Chapter six is therefore the final part of the work that </w:t>
      </w:r>
      <w:proofErr w:type="spellStart"/>
      <w:r>
        <w:t>summarises</w:t>
      </w:r>
      <w:proofErr w:type="spellEnd"/>
      <w:r>
        <w:t xml:space="preserve"> the major findings, limitations and offers recommendations to carry out future studies.</w:t>
      </w:r>
      <w:r>
        <w:br w:type="page"/>
      </w:r>
    </w:p>
    <w:p w14:paraId="4FF9496E" w14:textId="77777777" w:rsidR="00A12401" w:rsidRDefault="00A25E1C">
      <w:pPr>
        <w:pStyle w:val="Heading1"/>
      </w:pPr>
      <w:bookmarkStart w:id="11" w:name="_nbzb6ejkz8x2" w:colFirst="0" w:colLast="0"/>
      <w:bookmarkEnd w:id="11"/>
      <w:r>
        <w:t>2. Literature Review</w:t>
      </w:r>
    </w:p>
    <w:p w14:paraId="2982D6FB" w14:textId="77777777" w:rsidR="00A12401" w:rsidRDefault="00A25E1C">
      <w:pPr>
        <w:pStyle w:val="Heading2"/>
      </w:pPr>
      <w:bookmarkStart w:id="12" w:name="_jdz8bplfpj9b" w:colFirst="0" w:colLast="0"/>
      <w:bookmarkEnd w:id="12"/>
      <w:r>
        <w:t>2.1 Introduction</w:t>
      </w:r>
    </w:p>
    <w:p w14:paraId="1B7E22BE" w14:textId="77777777" w:rsidR="00A12401" w:rsidRDefault="00A25E1C">
      <w:r>
        <w:t xml:space="preserve">This chapter is also a critical review of the current literature on CSR, CSR marketing and brand preference. It seeks to give a systematic perspective on how CSR motivates consumer </w:t>
      </w:r>
      <w:proofErr w:type="spellStart"/>
      <w:r>
        <w:t>behaviour</w:t>
      </w:r>
      <w:proofErr w:type="spellEnd"/>
      <w:r>
        <w:t xml:space="preserve"> in the retail context. The chapter is strongly related to the research objective that considers Tesco in the UK retail sector. Past research has covered the issue of CSR from many angles, such as the strategic, ethical, and stakeholder approaches. But their results are still disjointed and even less consistent in various industry settings. Hence, one should critically </w:t>
      </w:r>
      <w:proofErr w:type="spellStart"/>
      <w:r>
        <w:t>analyse</w:t>
      </w:r>
      <w:proofErr w:type="spellEnd"/>
      <w:r>
        <w:t xml:space="preserve"> the main arguments and find the gaps in the research.</w:t>
      </w:r>
    </w:p>
    <w:p w14:paraId="51079868" w14:textId="77777777" w:rsidR="00A12401" w:rsidRDefault="00A25E1C">
      <w:r>
        <w:t xml:space="preserve">The review is thematic in such a way that logical development and analytical lucidity are maintained throughout the discussion. It starts with the idea and development of CSR, and then the application of CSR in retail. All sections are comparative of various scholarly views as opposed to independent author standpoints. According to Crane et al (2019), CSR is supposed to be studied in theoretical as well as practical perspectives. Likewise, </w:t>
      </w:r>
      <w:proofErr w:type="spellStart"/>
      <w:r>
        <w:t>Aguinis</w:t>
      </w:r>
      <w:proofErr w:type="spellEnd"/>
      <w:r>
        <w:t xml:space="preserve"> and Glavas (2019) claim that CSR studies should bridge between </w:t>
      </w:r>
      <w:proofErr w:type="spellStart"/>
      <w:r>
        <w:t>organisational</w:t>
      </w:r>
      <w:proofErr w:type="spellEnd"/>
      <w:r>
        <w:t xml:space="preserve"> intentions and perceptions among stakeholders. Such an approach is taken in this chapter by connecting the theory of CSR to practical application at Tesco.</w:t>
      </w:r>
    </w:p>
    <w:p w14:paraId="2B6EAF44" w14:textId="77777777" w:rsidR="00A12401" w:rsidRDefault="00A25E1C">
      <w:r>
        <w:t xml:space="preserve">Moreover, this review finds knowledge gaps regarding the specific impact of CSR on the outcome of brand preference. Numerous studies focus on </w:t>
      </w:r>
      <w:proofErr w:type="spellStart"/>
      <w:r>
        <w:t>organisational</w:t>
      </w:r>
      <w:proofErr w:type="spellEnd"/>
      <w:r>
        <w:t xml:space="preserve"> advantages, but not on consumer decision-making </w:t>
      </w:r>
      <w:proofErr w:type="spellStart"/>
      <w:r>
        <w:t>behaviour</w:t>
      </w:r>
      <w:proofErr w:type="spellEnd"/>
      <w:r>
        <w:t>. Therefore, this chapter sets a platform for the research on the effectiveness of CSR marketing in Tesco.</w:t>
      </w:r>
    </w:p>
    <w:p w14:paraId="5046833E" w14:textId="77777777" w:rsidR="00A12401" w:rsidRDefault="00A25E1C">
      <w:pPr>
        <w:pStyle w:val="Heading2"/>
      </w:pPr>
      <w:bookmarkStart w:id="13" w:name="_f4jz0dhad6m1" w:colFirst="0" w:colLast="0"/>
      <w:bookmarkEnd w:id="13"/>
      <w:r>
        <w:t>2.2 Idea and History of CSR</w:t>
      </w:r>
    </w:p>
    <w:p w14:paraId="3C25BC90" w14:textId="77777777" w:rsidR="00A12401" w:rsidRDefault="00A25E1C">
      <w:r>
        <w:t xml:space="preserve">CSR changed from traditional philanthropy to a larger strategic business responsibility. Previously, there was the perception that CSR was regarded as voluntary giving that helped social groups or communities. Today, however, it is common in the business world to link CSR with a competitive advantage and </w:t>
      </w:r>
      <w:proofErr w:type="spellStart"/>
      <w:r>
        <w:t>organisational</w:t>
      </w:r>
      <w:proofErr w:type="spellEnd"/>
      <w:r>
        <w:t xml:space="preserve"> sustainability. McWilliams and Siegel (2016) contend that CSR is effective in boosting </w:t>
      </w:r>
      <w:proofErr w:type="spellStart"/>
      <w:r>
        <w:t>organisational</w:t>
      </w:r>
      <w:proofErr w:type="spellEnd"/>
      <w:r>
        <w:t xml:space="preserve"> performance and, at the same time, serves an important role in meeting </w:t>
      </w:r>
      <w:proofErr w:type="spellStart"/>
      <w:r>
        <w:t>organisational</w:t>
      </w:r>
      <w:proofErr w:type="spellEnd"/>
      <w:r>
        <w:t xml:space="preserve"> goals. Likewise, in their study, </w:t>
      </w:r>
      <w:proofErr w:type="spellStart"/>
      <w:r>
        <w:t>Schaltegger</w:t>
      </w:r>
      <w:proofErr w:type="spellEnd"/>
      <w:r>
        <w:t xml:space="preserve"> and Burritt (2018) stress the integration of sustainability in corporate planning and operations. The viewpoints indicate that CSR is not a single ethical activity but is a strategic management in practice.</w:t>
      </w:r>
    </w:p>
    <w:p w14:paraId="0EBFAE64" w14:textId="77777777" w:rsidR="00A12401" w:rsidRDefault="00A25E1C">
      <w:r>
        <w:t xml:space="preserve">Major theoretical changes in the management and business research literature have also been mirrored by the development of CSR. Garriga and </w:t>
      </w:r>
      <w:proofErr w:type="spellStart"/>
      <w:r>
        <w:t>Melé</w:t>
      </w:r>
      <w:proofErr w:type="spellEnd"/>
      <w:r>
        <w:t xml:space="preserve"> (2017) </w:t>
      </w:r>
      <w:proofErr w:type="spellStart"/>
      <w:r>
        <w:t>categorise</w:t>
      </w:r>
      <w:proofErr w:type="spellEnd"/>
      <w:r>
        <w:t xml:space="preserve"> CSR theories into 3 types of approaches by the </w:t>
      </w:r>
      <w:proofErr w:type="spellStart"/>
      <w:r>
        <w:t>organisation</w:t>
      </w:r>
      <w:proofErr w:type="spellEnd"/>
      <w:r>
        <w:t xml:space="preserve">: ethical, political and instrumental approaches. Moral duties are central in ethical viewpoints, whereas in instrumental viewpoints, this is profitability and outcomes of the business performance. Nevertheless, </w:t>
      </w:r>
      <w:proofErr w:type="spellStart"/>
      <w:r>
        <w:t>Frynas</w:t>
      </w:r>
      <w:proofErr w:type="spellEnd"/>
      <w:r>
        <w:t xml:space="preserve"> and </w:t>
      </w:r>
      <w:proofErr w:type="spellStart"/>
      <w:r>
        <w:t>Yamahaki</w:t>
      </w:r>
      <w:proofErr w:type="spellEnd"/>
      <w:r>
        <w:t xml:space="preserve"> (2016) state that a good CSR sometimes involves a mix of ethical ideas and business strategies. In this comparison, the concern is raised about the conflicting views on </w:t>
      </w:r>
      <w:proofErr w:type="gramStart"/>
      <w:r>
        <w:t>whether or not</w:t>
      </w:r>
      <w:proofErr w:type="gramEnd"/>
      <w:r>
        <w:t xml:space="preserve"> the social goo</w:t>
      </w:r>
      <w:r>
        <w:t xml:space="preserve">d of CSR takes precedence over profit-making. In turn, CSR </w:t>
      </w:r>
      <w:proofErr w:type="gramStart"/>
      <w:r>
        <w:t>more and more</w:t>
      </w:r>
      <w:proofErr w:type="gramEnd"/>
      <w:r>
        <w:t xml:space="preserve"> interferes with ethical obligations together with </w:t>
      </w:r>
      <w:proofErr w:type="spellStart"/>
      <w:r>
        <w:t>organisational</w:t>
      </w:r>
      <w:proofErr w:type="spellEnd"/>
      <w:r>
        <w:t xml:space="preserve"> interests in a competitive setting.</w:t>
      </w:r>
    </w:p>
    <w:p w14:paraId="6A91F024" w14:textId="77777777" w:rsidR="00A12401" w:rsidRDefault="00A25E1C">
      <w:proofErr w:type="spellStart"/>
      <w:r>
        <w:t>Aguinis</w:t>
      </w:r>
      <w:proofErr w:type="spellEnd"/>
      <w:r>
        <w:t xml:space="preserve"> and Glavas (2019) say that CSR </w:t>
      </w:r>
      <w:proofErr w:type="spellStart"/>
      <w:r>
        <w:t>emphasises</w:t>
      </w:r>
      <w:proofErr w:type="spellEnd"/>
      <w:r>
        <w:t xml:space="preserve"> having authentic relationships and engagement processes with stakeholder groups. Alternatively, Jamali et al. (2017) suggest that CSR practices vary significantly in the institutional field and in the market field. Their results suggest that cultural expectations and economic conditions, as well as regulatory environments, are important factors impacting the adoption of CSR strategies. Overall, these arguments showed that CSR does not work magically in every indust</w:t>
      </w:r>
      <w:r>
        <w:t xml:space="preserve">ry and in international business markets. However, there are gaps in CSR literature in terms of consumers' </w:t>
      </w:r>
      <w:proofErr w:type="spellStart"/>
      <w:r>
        <w:t>behaviours</w:t>
      </w:r>
      <w:proofErr w:type="spellEnd"/>
      <w:r>
        <w:t xml:space="preserve"> and buying responses directly. Much of the content of McWilliams &amp; Siegel (2016) focuses on the profitability of </w:t>
      </w:r>
      <w:proofErr w:type="spellStart"/>
      <w:r>
        <w:t>organisations</w:t>
      </w:r>
      <w:proofErr w:type="spellEnd"/>
      <w:r>
        <w:t xml:space="preserve">, with little significance given to consumer decision-making </w:t>
      </w:r>
      <w:proofErr w:type="spellStart"/>
      <w:r>
        <w:t>behaviour</w:t>
      </w:r>
      <w:proofErr w:type="spellEnd"/>
      <w:r>
        <w:t xml:space="preserve">. Similarly, </w:t>
      </w:r>
      <w:proofErr w:type="spellStart"/>
      <w:r>
        <w:t>Schaltegger</w:t>
      </w:r>
      <w:proofErr w:type="spellEnd"/>
      <w:r>
        <w:t xml:space="preserve"> and Burritt (2018) focus on the performance of sustainability rather than a critical analysis of the formation of consumer preferences.</w:t>
      </w:r>
    </w:p>
    <w:p w14:paraId="7BB68FA8" w14:textId="77777777" w:rsidR="00A12401" w:rsidRDefault="00A25E1C">
      <w:r>
        <w:t xml:space="preserve">In the UK retail sector, CSR currently exists as a competitive positioning and strategic practice. Sustainability, ethics, and community engagement are now becoming part of retail </w:t>
      </w:r>
      <w:proofErr w:type="spellStart"/>
      <w:r>
        <w:t>organisations'</w:t>
      </w:r>
      <w:proofErr w:type="spellEnd"/>
      <w:r>
        <w:t xml:space="preserve"> wider marketing strategies in a more strategic way. Crane et al (2019) claim that strategic CSR is an effective tool in promoting the growth of relationships within </w:t>
      </w:r>
      <w:proofErr w:type="spellStart"/>
      <w:r>
        <w:t>organisations</w:t>
      </w:r>
      <w:proofErr w:type="spellEnd"/>
      <w:r>
        <w:t xml:space="preserve">, amongst stakeholders and between </w:t>
      </w:r>
      <w:proofErr w:type="spellStart"/>
      <w:r>
        <w:t>organisations</w:t>
      </w:r>
      <w:proofErr w:type="spellEnd"/>
      <w:r>
        <w:t xml:space="preserve"> and their communities. Tesco illustrates that change in the following actions, driven by its sustainability efforts, responsible sourcing and operational improvements that seek to create a positive impact on the environment. But the consumers' perception and the </w:t>
      </w:r>
      <w:proofErr w:type="spellStart"/>
      <w:r>
        <w:t>behavio</w:t>
      </w:r>
      <w:r>
        <w:t>ur</w:t>
      </w:r>
      <w:proofErr w:type="spellEnd"/>
      <w:r>
        <w:t xml:space="preserve"> of the communication significantly affect the outcome of positive responses from such CSR activities. This indicates that CSR must rely to the same extent on </w:t>
      </w:r>
      <w:proofErr w:type="spellStart"/>
      <w:r>
        <w:t>organisational</w:t>
      </w:r>
      <w:proofErr w:type="spellEnd"/>
      <w:r>
        <w:t xml:space="preserve"> practices, communication effectiveness and consumer reception processes. Hence, it is an emergence of CSR as a gradual shift from charitable responsibility to consumer-focused strategic business practice in general.</w:t>
      </w:r>
    </w:p>
    <w:p w14:paraId="25B22688" w14:textId="77777777" w:rsidR="00A12401" w:rsidRDefault="00A25E1C">
      <w:pPr>
        <w:pStyle w:val="Heading2"/>
      </w:pPr>
      <w:bookmarkStart w:id="14" w:name="_kqlyw2976gg4" w:colFirst="0" w:colLast="0"/>
      <w:bookmarkEnd w:id="14"/>
      <w:r>
        <w:t>2.3 CSR in the Retail Industry</w:t>
      </w:r>
    </w:p>
    <w:p w14:paraId="3E7CE4AE" w14:textId="77777777" w:rsidR="00A12401" w:rsidRDefault="00A25E1C">
      <w:r>
        <w:t xml:space="preserve">Within retail, CSR has become a significant part of retail as consumers see the </w:t>
      </w:r>
      <w:proofErr w:type="spellStart"/>
      <w:r>
        <w:t>organisation's</w:t>
      </w:r>
      <w:proofErr w:type="spellEnd"/>
      <w:r>
        <w:t xml:space="preserve"> business activities. In modern United Kingdom retailers, sustainability has growing importance in strategic planning across their operations, states Jones et al. (2016). Visibility also goes a long way in increasing the retailer's responsibility, as stakeholders regularly keep themselves abreast of the </w:t>
      </w:r>
      <w:proofErr w:type="spellStart"/>
      <w:r>
        <w:t>organisational</w:t>
      </w:r>
      <w:proofErr w:type="spellEnd"/>
      <w:r>
        <w:t xml:space="preserve"> </w:t>
      </w:r>
      <w:proofErr w:type="spellStart"/>
      <w:r>
        <w:t>behaviour</w:t>
      </w:r>
      <w:proofErr w:type="spellEnd"/>
      <w:r>
        <w:t xml:space="preserve"> and performance. Accordingly, retailers feel more pressure to exhibit responsible business practices than other commercial sectors, which are not as consumer-facing. Th</w:t>
      </w:r>
      <w:r>
        <w:t xml:space="preserve">e notion of retail CSR is not just about being law-abiding, but it focuses on extending towards social responsibility commitments as well (Camilleri, 2017). Marketing efforts are increasingly being used to convey ethical sourcing, protecting the environment and promoting and supporting the community to retail </w:t>
      </w:r>
      <w:proofErr w:type="spellStart"/>
      <w:r>
        <w:t>organisations</w:t>
      </w:r>
      <w:proofErr w:type="spellEnd"/>
      <w:r>
        <w:t>. Similarly, Sustainability practices have been reported as having a strong influence on consumer perception and purchasing considerations (Wiese et al., 2018). These results show that CSR</w:t>
      </w:r>
      <w:r>
        <w:t xml:space="preserve"> is now more of an adjunct to branding, communication and reputation management in retailing.</w:t>
      </w:r>
    </w:p>
    <w:p w14:paraId="585DC6AB" w14:textId="77777777" w:rsidR="00A12401" w:rsidRDefault="00A25E1C">
      <w:r>
        <w:t xml:space="preserve">Based on that, Dal Mas et al (2022) consider that transparency has a very positive effect on the accountability and consumer confidence in retail </w:t>
      </w:r>
      <w:proofErr w:type="spellStart"/>
      <w:r>
        <w:t>organisations</w:t>
      </w:r>
      <w:proofErr w:type="spellEnd"/>
      <w:r>
        <w:t xml:space="preserve">. There is a growing consumer interest in information about source, the environment and ethical </w:t>
      </w:r>
      <w:proofErr w:type="spellStart"/>
      <w:r>
        <w:t>organisational</w:t>
      </w:r>
      <w:proofErr w:type="spellEnd"/>
      <w:r>
        <w:t xml:space="preserve"> requirements. Tesco PLC (2025) does this by the means of sustainability reporting and communication on Responsible Sourcing. But transparency is not enough to ensure positive consumer reactions in the absence of constant </w:t>
      </w:r>
      <w:proofErr w:type="spellStart"/>
      <w:r>
        <w:t>behaviour</w:t>
      </w:r>
      <w:proofErr w:type="spellEnd"/>
      <w:r>
        <w:t xml:space="preserve"> of the </w:t>
      </w:r>
      <w:proofErr w:type="spellStart"/>
      <w:r>
        <w:t>organisation</w:t>
      </w:r>
      <w:proofErr w:type="spellEnd"/>
      <w:r>
        <w:t xml:space="preserve"> and credibility. Hristov and Chirico (2019) state that showrooms, stores and shopping are exposed to more monitoring </w:t>
      </w:r>
      <w:proofErr w:type="gramStart"/>
      <w:r>
        <w:t>due to the fact that</w:t>
      </w:r>
      <w:proofErr w:type="gramEnd"/>
      <w:r>
        <w:t xml:space="preserve"> consumers are geographically closer to the retail </w:t>
      </w:r>
      <w:proofErr w:type="spellStart"/>
      <w:r>
        <w:t>organisation</w:t>
      </w:r>
      <w:proofErr w:type="spellEnd"/>
      <w:r>
        <w:t xml:space="preserve">. This is why it's essential that consumers have fewer reasons to distrust CSR communication efforts when there are disconnects between CSR communication activities and what a company </w:t>
      </w:r>
      <w:proofErr w:type="gramStart"/>
      <w:r>
        <w:t>actually does</w:t>
      </w:r>
      <w:proofErr w:type="gramEnd"/>
      <w:r>
        <w:t>. Retailers need to ensure they have a genuine and responsible level of communication and a level of responsible activity that can help in the development of trust with their stakeholders for the long-term.</w:t>
      </w:r>
    </w:p>
    <w:p w14:paraId="209B77B3" w14:textId="77777777" w:rsidR="00A12401" w:rsidRDefault="00A25E1C">
      <w:r>
        <w:t>Moreover, the impact of CSR activities varies based on the visibility of the CSR activities, relevance to the product, and consumers' values. The general pattern of what consumers value when it comes to sustainability activities is that they respond the most to those that are evident and affect their everyday experiences during purchasing, as explained by Wiese et al. (2018). Projects that address sustainability issues generally receive more attention because people on the street can see the package and the</w:t>
      </w:r>
      <w:r>
        <w:t xml:space="preserve"> recycling locations. However, other, less visible, initiatives do not always benefit from such strong consumer recognition, despite their weight and importance in the </w:t>
      </w:r>
      <w:proofErr w:type="spellStart"/>
      <w:r>
        <w:t>organisation</w:t>
      </w:r>
      <w:proofErr w:type="spellEnd"/>
      <w:r>
        <w:t>. Furthermore, Jones et al. (2016) recommend that sustainability initiatives enhance the retailer's advantage in increasingly competitive markets. Tesco also promotes its environmentally friendly products and community projects across its wider consumer relationship development programs.</w:t>
      </w:r>
    </w:p>
    <w:p w14:paraId="074BBEE2" w14:textId="77777777" w:rsidR="00A12401" w:rsidRDefault="00A25E1C">
      <w:r>
        <w:t xml:space="preserve">Effective consumer response is highly related to communication effectiveness, credibility of communications, and the perceived authenticity of the communication being sent in a CSR sense. In fact, according to Camilleri (2017), poor communication often undermines the impact of </w:t>
      </w:r>
      <w:proofErr w:type="spellStart"/>
      <w:r>
        <w:t>behaviour</w:t>
      </w:r>
      <w:proofErr w:type="spellEnd"/>
      <w:r>
        <w:t xml:space="preserve"> in the presence of considerable </w:t>
      </w:r>
      <w:proofErr w:type="spellStart"/>
      <w:r>
        <w:t>organisational</w:t>
      </w:r>
      <w:proofErr w:type="spellEnd"/>
      <w:r>
        <w:t xml:space="preserve"> sustainability initiatives and spending. Thus, the effectiveness of retail CSR is reliant upon strategic implementation, communication and </w:t>
      </w:r>
      <w:proofErr w:type="spellStart"/>
      <w:r>
        <w:t>organisational</w:t>
      </w:r>
      <w:proofErr w:type="spellEnd"/>
      <w:r>
        <w:t xml:space="preserve"> practice of CSR that is </w:t>
      </w:r>
      <w:proofErr w:type="gramStart"/>
      <w:r>
        <w:t>consumer-oriented</w:t>
      </w:r>
      <w:proofErr w:type="gramEnd"/>
      <w:r>
        <w:t>.</w:t>
      </w:r>
    </w:p>
    <w:p w14:paraId="7FE6A80F" w14:textId="77777777" w:rsidR="00A12401" w:rsidRDefault="00A25E1C">
      <w:pPr>
        <w:pStyle w:val="Heading2"/>
      </w:pPr>
      <w:bookmarkStart w:id="15" w:name="_op8bb7gvxhy3" w:colFirst="0" w:colLast="0"/>
      <w:bookmarkEnd w:id="15"/>
      <w:r>
        <w:t>2.4 CSR Marketing Activities</w:t>
      </w:r>
    </w:p>
    <w:p w14:paraId="4ECA3DFC" w14:textId="77777777" w:rsidR="00A12401" w:rsidRDefault="00A25E1C">
      <w:pPr>
        <w:pStyle w:val="Heading3"/>
      </w:pPr>
      <w:bookmarkStart w:id="16" w:name="_ynjegen2jb35" w:colFirst="0" w:colLast="0"/>
      <w:bookmarkEnd w:id="16"/>
      <w:r>
        <w:t>Cause-Related Marketing</w:t>
      </w:r>
    </w:p>
    <w:p w14:paraId="3FB8D42C" w14:textId="77777777" w:rsidR="00A12401" w:rsidRDefault="00A25E1C">
      <w:r>
        <w:t xml:space="preserve">Cause Related Marketing relates the activities of an </w:t>
      </w:r>
      <w:proofErr w:type="spellStart"/>
      <w:r>
        <w:t>organisation</w:t>
      </w:r>
      <w:proofErr w:type="spellEnd"/>
      <w:r>
        <w:t xml:space="preserve"> with a social cause that formulates the attitudes of its consumers towards their responsible brands. Nan and Heo (2007) believe that brand-cause co-alignment can help build trust, credibility and positive consumer perceptions. But when there is poor alignment of the campaign with the </w:t>
      </w:r>
      <w:proofErr w:type="spellStart"/>
      <w:r>
        <w:t>organisation's</w:t>
      </w:r>
      <w:proofErr w:type="spellEnd"/>
      <w:r>
        <w:t xml:space="preserve"> identity, the trust of the consumers in the </w:t>
      </w:r>
      <w:proofErr w:type="spellStart"/>
      <w:r>
        <w:t>organisation's</w:t>
      </w:r>
      <w:proofErr w:type="spellEnd"/>
      <w:r>
        <w:t xml:space="preserve"> intent is often undermined. Similarly, Kim and Ferguson (2018) very strongly note the need for the clearness of communication to influence s</w:t>
      </w:r>
      <w:r>
        <w:t>takeholder interpretations in support of CSR campaigns. In addition, transparent communication has been related to enhanced stakeholder relationships and perceived authenticity by Lim and Greenwood (2017). These arguments, collectively, suggest that there is a strong link between elements of communication and consumer responses to the CMA nature of the activities. However, Peloza and Shang (2016) suggest that CSR activities are useful only if consumers believe that there is value added. Conversely, Schmeltz</w:t>
      </w:r>
      <w:r>
        <w:t xml:space="preserve"> (2017) asserts that poor communication often leads to misunderstandings, doubts and negative perceptions among consumers. Tesco's cause-related marketing (CRM) involves charitable relationships, giving to the community and corporate social responsibility campaigns. But the consumer responses are primarily driven by perceived sincerity, rather than promotional communication activities.</w:t>
      </w:r>
    </w:p>
    <w:p w14:paraId="30B07DD8" w14:textId="77777777" w:rsidR="00A12401" w:rsidRDefault="00A25E1C">
      <w:pPr>
        <w:pStyle w:val="Heading3"/>
      </w:pPr>
      <w:bookmarkStart w:id="17" w:name="_tfs1naietn4b" w:colFirst="0" w:colLast="0"/>
      <w:bookmarkEnd w:id="17"/>
      <w:r>
        <w:t>Sustainability Campaigns</w:t>
      </w:r>
    </w:p>
    <w:p w14:paraId="7DD8837C" w14:textId="77777777" w:rsidR="00A12401" w:rsidRDefault="00A25E1C">
      <w:r>
        <w:t xml:space="preserve">Sustainability campaigns are an important CSR marketing initiative in today's day and age of retail </w:t>
      </w:r>
      <w:proofErr w:type="spellStart"/>
      <w:r>
        <w:t>organisations</w:t>
      </w:r>
      <w:proofErr w:type="spellEnd"/>
      <w:r>
        <w:t xml:space="preserve"> and competitive consumer markets. It is suggested by Testa et al. (2018) that environmental practices can only have a positive impact on external stakeholder perceptions if they are integrated within the </w:t>
      </w:r>
      <w:proofErr w:type="spellStart"/>
      <w:r>
        <w:t>organisation</w:t>
      </w:r>
      <w:proofErr w:type="spellEnd"/>
      <w:r>
        <w:t xml:space="preserve">. Likewise, Hsu et al. (2017) shed light on the fact that people's buying decisions are positively affected by increasing campaigns of environmental responsibility. Customers are </w:t>
      </w:r>
      <w:proofErr w:type="gramStart"/>
      <w:r>
        <w:t>more and more</w:t>
      </w:r>
      <w:proofErr w:type="gramEnd"/>
      <w:r>
        <w:t xml:space="preserve"> opting for </w:t>
      </w:r>
      <w:proofErr w:type="spellStart"/>
      <w:r>
        <w:t>organisations</w:t>
      </w:r>
      <w:proofErr w:type="spellEnd"/>
      <w:r>
        <w:t xml:space="preserve"> that are truly committed to sustainability, the environment, and</w:t>
      </w:r>
      <w:r>
        <w:t xml:space="preserve"> responsible operating practices. But the level of communication is still important as customers don't always have full information about sustainability, which can deceive them considerably. Kim and Ferguson (2018) state that incoherent environmental communication awareness is diminished in </w:t>
      </w:r>
      <w:proofErr w:type="spellStart"/>
      <w:r>
        <w:t>organisational</w:t>
      </w:r>
      <w:proofErr w:type="spellEnd"/>
      <w:r>
        <w:t xml:space="preserve"> initiatives to create environmental responsibility. Similarly, Schmeltz (2017) states that consumers tend to be cynical when they are exposed to overly high expectations for sustainability. Tesco supports </w:t>
      </w:r>
      <w:r>
        <w:t xml:space="preserve">sustainability by </w:t>
      </w:r>
      <w:proofErr w:type="spellStart"/>
      <w:r>
        <w:t>minimising</w:t>
      </w:r>
      <w:proofErr w:type="spellEnd"/>
      <w:r>
        <w:t xml:space="preserve"> plastic waste, emissions and fostering eco-friendly customer </w:t>
      </w:r>
      <w:proofErr w:type="spellStart"/>
      <w:r>
        <w:t>behaviours</w:t>
      </w:r>
      <w:proofErr w:type="spellEnd"/>
      <w:r>
        <w:t xml:space="preserve">. These activities are an effort at building brands and at enhancing consumer relations in retail markets that are more environmentally friendly. But Peloza and Shang (2016) highlight that </w:t>
      </w:r>
      <w:proofErr w:type="gramStart"/>
      <w:r>
        <w:t>in order to</w:t>
      </w:r>
      <w:proofErr w:type="gramEnd"/>
      <w:r>
        <w:t xml:space="preserve"> effectively influence consumers, sustainability campaigns must feature visible consumer value. Sustainability communication thus always </w:t>
      </w:r>
      <w:proofErr w:type="gramStart"/>
      <w:r>
        <w:t>has to</w:t>
      </w:r>
      <w:proofErr w:type="gramEnd"/>
      <w:r>
        <w:t xml:space="preserve"> stay sincere, stable, and ground-truth material related to the consu</w:t>
      </w:r>
      <w:r>
        <w:t>mers' expectations.</w:t>
      </w:r>
    </w:p>
    <w:p w14:paraId="763918D7" w14:textId="77777777" w:rsidR="00A12401" w:rsidRDefault="00A25E1C">
      <w:pPr>
        <w:pStyle w:val="Heading3"/>
      </w:pPr>
      <w:bookmarkStart w:id="18" w:name="_chs5z4yyk4yz" w:colFirst="0" w:colLast="0"/>
      <w:bookmarkEnd w:id="18"/>
      <w:r>
        <w:t>Ethical Sourcing</w:t>
      </w:r>
    </w:p>
    <w:p w14:paraId="077AE66C" w14:textId="77777777" w:rsidR="00A12401" w:rsidRDefault="00A25E1C">
      <w:r>
        <w:t xml:space="preserve">Ethical sourcing means effective supply chain management, fair </w:t>
      </w:r>
      <w:proofErr w:type="spellStart"/>
      <w:r>
        <w:t>labour</w:t>
      </w:r>
      <w:proofErr w:type="spellEnd"/>
      <w:r>
        <w:t xml:space="preserve">, and transparent procurement activities. According to Lim and Greenwood (2017), the advance of sourcing transparency enhances </w:t>
      </w:r>
      <w:proofErr w:type="spellStart"/>
      <w:r>
        <w:t>organisational</w:t>
      </w:r>
      <w:proofErr w:type="spellEnd"/>
      <w:r>
        <w:t xml:space="preserve"> credibility and builds consumers' trust. Likewise, Khan et al. (2015) describe ethical </w:t>
      </w:r>
      <w:proofErr w:type="spellStart"/>
      <w:r>
        <w:t>organisational</w:t>
      </w:r>
      <w:proofErr w:type="spellEnd"/>
      <w:r>
        <w:t xml:space="preserve"> </w:t>
      </w:r>
      <w:proofErr w:type="spellStart"/>
      <w:r>
        <w:t>behaviour</w:t>
      </w:r>
      <w:proofErr w:type="spellEnd"/>
      <w:r>
        <w:t xml:space="preserve"> as positively impacting consumer attitudes and purchase intention. Buyers are increasingly asking more questions about the origin of products, standards for </w:t>
      </w:r>
      <w:proofErr w:type="spellStart"/>
      <w:r>
        <w:t>labour</w:t>
      </w:r>
      <w:proofErr w:type="spellEnd"/>
      <w:r>
        <w:t xml:space="preserve"> and the ethical conduct of suppliers. Every time, though, when an </w:t>
      </w:r>
      <w:proofErr w:type="spellStart"/>
      <w:r>
        <w:t>organisation's</w:t>
      </w:r>
      <w:proofErr w:type="spellEnd"/>
      <w:r>
        <w:t xml:space="preserve"> message</w:t>
      </w:r>
      <w:r>
        <w:t xml:space="preserve"> is not reflected in the way it behaves, it erodes consumer trust and, in turn, brand credibility. Schmeltz (2017) states that if values in CSR messages are incongruent with actual CSR practices, then stakeholder </w:t>
      </w:r>
      <w:proofErr w:type="spellStart"/>
      <w:r>
        <w:t>scepticism</w:t>
      </w:r>
      <w:proofErr w:type="spellEnd"/>
      <w:r>
        <w:t xml:space="preserve"> goes up significantly. Tesco are implementing ethical sourcing practices for responsible supplier relationships, product quality and sustainability improvement practices. However, the effectiveness of ethical sourcing should strongly rely on the clarity of communication and the </w:t>
      </w:r>
      <w:proofErr w:type="spellStart"/>
      <w:r>
        <w:t>organisat</w:t>
      </w:r>
      <w:r>
        <w:t>ion’s</w:t>
      </w:r>
      <w:proofErr w:type="spellEnd"/>
      <w:r>
        <w:t xml:space="preserve"> practice of sourcing. Transparent communication greatly enhances consumer confidence in trustworthy institutional practices, according to Kim and Ferguson (2018). As a result, consumers' environments will only be affected by ethical sourcing if the </w:t>
      </w:r>
      <w:proofErr w:type="spellStart"/>
      <w:r>
        <w:t>organisations'</w:t>
      </w:r>
      <w:proofErr w:type="spellEnd"/>
      <w:r>
        <w:t xml:space="preserve"> operational environment is demonstrated and credible.</w:t>
      </w:r>
    </w:p>
    <w:p w14:paraId="10E66985" w14:textId="77777777" w:rsidR="00A12401" w:rsidRDefault="00A25E1C">
      <w:pPr>
        <w:pStyle w:val="Heading3"/>
      </w:pPr>
      <w:bookmarkStart w:id="19" w:name="_1n1rm6wqgszd" w:colFirst="0" w:colLast="0"/>
      <w:bookmarkEnd w:id="19"/>
      <w:r>
        <w:t>Critical Evaluation of CSR Marketing Activities</w:t>
      </w:r>
    </w:p>
    <w:p w14:paraId="726AD434" w14:textId="77777777" w:rsidR="00A12401" w:rsidRDefault="00A25E1C">
      <w:r>
        <w:t xml:space="preserve">Another significant CSR marketing initiative in competitive retail and consumer relationship settings is through community engagement. Rather and </w:t>
      </w:r>
      <w:proofErr w:type="spellStart"/>
      <w:r>
        <w:t>Hollebeek</w:t>
      </w:r>
      <w:proofErr w:type="spellEnd"/>
      <w:r>
        <w:t xml:space="preserve"> (2019) state that CSR programs effectively build emotional relationships as they provide meaningful opportunities for consumers to engage. Likewise, Islam et al. (2021) cited that CSR activities in a community will build trust and lead to higher satisfaction, this will then enhance loyalty. </w:t>
      </w:r>
      <w:proofErr w:type="gramStart"/>
      <w:r>
        <w:t>But,</w:t>
      </w:r>
      <w:proofErr w:type="gramEnd"/>
      <w:r>
        <w:t xml:space="preserve"> Khan et al. (2015) suggest that consumers react differently based on </w:t>
      </w:r>
      <w:proofErr w:type="spellStart"/>
      <w:r>
        <w:t>organisational</w:t>
      </w:r>
      <w:proofErr w:type="spellEnd"/>
      <w:r>
        <w:t xml:space="preserve"> authenticity perceptions. Consumer confidence often falls when they don't think that community activities are carried out</w:t>
      </w:r>
      <w:r>
        <w:t xml:space="preserve"> for anything more than commercial </w:t>
      </w:r>
      <w:proofErr w:type="spellStart"/>
      <w:r>
        <w:t>organisational</w:t>
      </w:r>
      <w:proofErr w:type="spellEnd"/>
      <w:r>
        <w:t xml:space="preserve"> interests. Tesco promotes community involvement via charity-promoting </w:t>
      </w:r>
      <w:proofErr w:type="spellStart"/>
      <w:r>
        <w:t>programmes</w:t>
      </w:r>
      <w:proofErr w:type="spellEnd"/>
      <w:r>
        <w:t xml:space="preserve">, local collaborations and food donations. The campaigns try to enhance consumer relationships whilst underlining Tesco's strategic corporate reputation as a socially responsible </w:t>
      </w:r>
      <w:proofErr w:type="spellStart"/>
      <w:r>
        <w:t>organisation</w:t>
      </w:r>
      <w:proofErr w:type="spellEnd"/>
      <w:r>
        <w:t>. However, the quality of communication and perceived sincerity have a high impact on the overall effectiveness of CSR activities that are executed in the community. Kim and Ferguson (2018) h</w:t>
      </w:r>
      <w:r>
        <w:t xml:space="preserve">ighlight the need for transparency, consistency and the use of simple, stakeholder-centric communications </w:t>
      </w:r>
      <w:proofErr w:type="gramStart"/>
      <w:r>
        <w:t>in order to</w:t>
      </w:r>
      <w:proofErr w:type="gramEnd"/>
      <w:r>
        <w:t xml:space="preserve"> be effective in CSR communication. Similarly, Lim and Greenwood (2017) state that with communication alone, there won't be any </w:t>
      </w:r>
      <w:proofErr w:type="spellStart"/>
      <w:r>
        <w:t>behavioural</w:t>
      </w:r>
      <w:proofErr w:type="spellEnd"/>
      <w:r>
        <w:t xml:space="preserve"> responses if the communication lacks authenticity. Peloza and Shang (2016) also recommend that CSR activities bring both economic and social values to consumers. On the other hand, Schmeltz (2017) asserts that out-of-sync CSR programs often generate doubt</w:t>
      </w:r>
      <w:r>
        <w:t xml:space="preserve">s and reduce the credibility of the </w:t>
      </w:r>
      <w:proofErr w:type="spellStart"/>
      <w:r>
        <w:t>organisation</w:t>
      </w:r>
      <w:proofErr w:type="spellEnd"/>
      <w:r>
        <w:t xml:space="preserve">. Testa et al (2018) also found that levels of internal </w:t>
      </w:r>
      <w:proofErr w:type="spellStart"/>
      <w:r>
        <w:t>organisational</w:t>
      </w:r>
      <w:proofErr w:type="spellEnd"/>
      <w:r>
        <w:t xml:space="preserve"> commitment have a significant effect on establishing the effectiveness of external CSR campaigns. Thus, the success of Tesco's CSR marketing programs relies on their sincere execution, clear information and a consumer's positive interpretation.</w:t>
      </w:r>
    </w:p>
    <w:p w14:paraId="075BB446" w14:textId="77777777" w:rsidR="00A12401" w:rsidRDefault="00A25E1C">
      <w:pPr>
        <w:pStyle w:val="Heading2"/>
      </w:pPr>
      <w:bookmarkStart w:id="20" w:name="_m6954xe3po0b" w:colFirst="0" w:colLast="0"/>
      <w:bookmarkEnd w:id="20"/>
      <w:r>
        <w:t xml:space="preserve">2.5 Consumer </w:t>
      </w:r>
      <w:proofErr w:type="spellStart"/>
      <w:r>
        <w:t>Behaviour</w:t>
      </w:r>
      <w:proofErr w:type="spellEnd"/>
      <w:r>
        <w:t xml:space="preserve"> and Brand Preference Theory</w:t>
      </w:r>
    </w:p>
    <w:p w14:paraId="641F8BC3" w14:textId="77777777" w:rsidR="00A12401" w:rsidRDefault="00A25E1C">
      <w:r>
        <w:t xml:space="preserve">According to the brand equity theory, consumer choice is fueled by a combination of brand awareness, associations, credibility, and perceived </w:t>
      </w:r>
      <w:proofErr w:type="spellStart"/>
      <w:r>
        <w:t>organisational</w:t>
      </w:r>
      <w:proofErr w:type="spellEnd"/>
      <w:r>
        <w:t xml:space="preserve"> benefits. Consumers' perceptions, brand loyalty and competitive ability are strongly affected by strong brand equity, as suggested by Keller (2013). But if CSR is going to have a positive impact on equity, then the consumer needs to perceive a benefit of the </w:t>
      </w:r>
      <w:proofErr w:type="spellStart"/>
      <w:r>
        <w:t>organisation</w:t>
      </w:r>
      <w:proofErr w:type="spellEnd"/>
      <w:r>
        <w:t>. (Peloza, Shang, 2016) Likewise, Islam et al (2021) find that CSR activities are linked positively with satisfaction, trust, and bond between consumers and brands. All these studies point to CSR having an indirect influence o</w:t>
      </w:r>
      <w:r>
        <w:t xml:space="preserve">n brand equity through positive psychological and </w:t>
      </w:r>
      <w:proofErr w:type="spellStart"/>
      <w:r>
        <w:t>behavioural</w:t>
      </w:r>
      <w:proofErr w:type="spellEnd"/>
      <w:r>
        <w:t xml:space="preserve"> responses of the consumers. Tesco is adopting sustainability </w:t>
      </w:r>
      <w:proofErr w:type="spellStart"/>
      <w:r>
        <w:t>programmes</w:t>
      </w:r>
      <w:proofErr w:type="spellEnd"/>
      <w:r>
        <w:t xml:space="preserve"> strategically to enhance responsible brand attachment and consumer positive perception of the product as environmentally responsible in over 37 countries in the world. However, these associations will depend on consumer experiences and communication quality, and this largely affects their credibility and persuasiveness over time.</w:t>
      </w:r>
    </w:p>
    <w:p w14:paraId="2941A9BC" w14:textId="77777777" w:rsidR="00A12401" w:rsidRDefault="00A25E1C">
      <w:r>
        <w:t xml:space="preserve">Consumer perception theory explores the way that consumers take in the information present in the </w:t>
      </w:r>
      <w:proofErr w:type="spellStart"/>
      <w:r>
        <w:t>organisation</w:t>
      </w:r>
      <w:proofErr w:type="spellEnd"/>
      <w:r>
        <w:t xml:space="preserve"> and interpret the activities of the </w:t>
      </w:r>
      <w:proofErr w:type="spellStart"/>
      <w:r>
        <w:t>organisation</w:t>
      </w:r>
      <w:proofErr w:type="spellEnd"/>
      <w:r>
        <w:t xml:space="preserve"> from an emotional perspective. According to Green and Peloza (2011), CSR develops emotional value on top of significant social and functional benefits to residents. Similarly, Hsu et al. (2017) report that the uptake of environmental initiatives has become relevant in consumers' buying </w:t>
      </w:r>
      <w:proofErr w:type="spellStart"/>
      <w:r>
        <w:t>behaviour</w:t>
      </w:r>
      <w:proofErr w:type="spellEnd"/>
      <w:r>
        <w:t xml:space="preserve"> and their intentions. But Khan et al. (2015) suggest there are strong differences between individual beliefs, expectations, and perceptions about consume</w:t>
      </w:r>
      <w:r>
        <w:t>rs' experiences. Kim and Ferguson (2018) also contend that consumer understanding in the context of CSR initiatives is greatly influenced by the process of communication clarity. The strategy is a strategic approach of combining sustainability campaigns and ethical communication strategies that impact the perception development processes of broader consumers. Therefore, Tesco's strategic approach is to strategically combine sustainability campaigns and ethical communication to influence the perception devel</w:t>
      </w:r>
      <w:r>
        <w:t xml:space="preserve">opment processes of wider consumers. However, consumers have different meanings of the same CSR practices according to trust, awareness and past </w:t>
      </w:r>
      <w:proofErr w:type="spellStart"/>
      <w:r>
        <w:t>organisational</w:t>
      </w:r>
      <w:proofErr w:type="spellEnd"/>
      <w:r>
        <w:t xml:space="preserve"> experiences separately.</w:t>
      </w:r>
    </w:p>
    <w:p w14:paraId="5719485E" w14:textId="77777777" w:rsidR="00A12401" w:rsidRDefault="00A25E1C">
      <w:r>
        <w:t xml:space="preserve">In the present times, emotional reactions have a great impact on the </w:t>
      </w:r>
      <w:proofErr w:type="spellStart"/>
      <w:r>
        <w:t>behavioural</w:t>
      </w:r>
      <w:proofErr w:type="spellEnd"/>
      <w:r>
        <w:t xml:space="preserve"> intentions and long–term brand preference of responsible retail </w:t>
      </w:r>
      <w:proofErr w:type="spellStart"/>
      <w:r>
        <w:t>organisations</w:t>
      </w:r>
      <w:proofErr w:type="spellEnd"/>
      <w:r>
        <w:t xml:space="preserve"> worldwide. Romani et al. (2013) say that CSR activities generate emotional responses to influence attitudes and purchasing </w:t>
      </w:r>
      <w:proofErr w:type="spellStart"/>
      <w:r>
        <w:t>behaviour</w:t>
      </w:r>
      <w:proofErr w:type="spellEnd"/>
      <w:r>
        <w:t xml:space="preserve"> in a </w:t>
      </w:r>
      <w:proofErr w:type="spellStart"/>
      <w:r>
        <w:t>favourable</w:t>
      </w:r>
      <w:proofErr w:type="spellEnd"/>
      <w:r>
        <w:t xml:space="preserve"> manner. Similarly, Rather and </w:t>
      </w:r>
      <w:proofErr w:type="spellStart"/>
      <w:r>
        <w:t>Hollebeek</w:t>
      </w:r>
      <w:proofErr w:type="spellEnd"/>
      <w:r>
        <w:t xml:space="preserve"> (2019) point out that emotional engagement significantly enhances brand-consumer relationships significantly. Islam et al. (2021) also explicate that emotional attachment raises consumer loyalty, satisfaction, and consumer commitment</w:t>
      </w:r>
      <w:r>
        <w:t xml:space="preserve"> to the product remarkably. Nevertheless, Schmeltz (2017) argues that when a message is not received as sincere, it often elicits doubts, which significantly lowers the effectiveness of communication and credibility of the </w:t>
      </w:r>
      <w:proofErr w:type="spellStart"/>
      <w:r>
        <w:t>organisation</w:t>
      </w:r>
      <w:proofErr w:type="spellEnd"/>
      <w:r>
        <w:t xml:space="preserve">. As such, it is still crucial for having to successfully evoke </w:t>
      </w:r>
      <w:proofErr w:type="spellStart"/>
      <w:r>
        <w:t>favourable</w:t>
      </w:r>
      <w:proofErr w:type="spellEnd"/>
      <w:r>
        <w:t xml:space="preserve"> emotional responses and consumers’ trust on an ongoing basis when it comes to implementing CSR.</w:t>
      </w:r>
    </w:p>
    <w:p w14:paraId="7FFA2B64" w14:textId="77777777" w:rsidR="00A12401" w:rsidRDefault="00A25E1C">
      <w:r>
        <w:t xml:space="preserve">The purchases of CSR activities are </w:t>
      </w:r>
      <w:proofErr w:type="gramStart"/>
      <w:r>
        <w:t>actually routinely</w:t>
      </w:r>
      <w:proofErr w:type="gramEnd"/>
      <w:r>
        <w:t xml:space="preserve"> assessed by consumers by both rational and emotional analysis that takes place in the purchasing decision-making process. According to Hsu et al. (2017), cognitive evaluation makes consideration of the benefits of the environment, ethics and functional </w:t>
      </w:r>
      <w:proofErr w:type="spellStart"/>
      <w:r>
        <w:t>organisational</w:t>
      </w:r>
      <w:proofErr w:type="spellEnd"/>
      <w:r>
        <w:t xml:space="preserve"> performance. On the other hand, Romani et al. (2013) highlighted that emotional reactions can in many instances have a stronger effect on </w:t>
      </w:r>
      <w:proofErr w:type="spellStart"/>
      <w:r>
        <w:t>behavioural</w:t>
      </w:r>
      <w:proofErr w:type="spellEnd"/>
      <w:r>
        <w:t xml:space="preserve"> intentions than cognition. As reported by Lim and Greenwood (2017), consume</w:t>
      </w:r>
      <w:r>
        <w:t xml:space="preserve">rs' perception is often more important than real CSR performance in influencing consumer </w:t>
      </w:r>
      <w:proofErr w:type="spellStart"/>
      <w:r>
        <w:t>behaviour</w:t>
      </w:r>
      <w:proofErr w:type="spellEnd"/>
      <w:r>
        <w:t xml:space="preserve">. Thus, Tesco </w:t>
      </w:r>
      <w:proofErr w:type="gramStart"/>
      <w:r>
        <w:t>has to</w:t>
      </w:r>
      <w:proofErr w:type="gramEnd"/>
      <w:r>
        <w:t xml:space="preserve"> pursue both genuine actions and effective communication that simultaneously boost consumer belief and brand choice.</w:t>
      </w:r>
    </w:p>
    <w:p w14:paraId="3B5F9516" w14:textId="77777777" w:rsidR="00A12401" w:rsidRDefault="00A25E1C">
      <w:pPr>
        <w:pStyle w:val="Heading2"/>
      </w:pPr>
      <w:bookmarkStart w:id="21" w:name="_ljl8nvcjjhcq" w:colFirst="0" w:colLast="0"/>
      <w:bookmarkEnd w:id="21"/>
      <w:r>
        <w:t>2.6 CSR/ Brand Outcomes.</w:t>
      </w:r>
    </w:p>
    <w:p w14:paraId="5CE74D46" w14:textId="77777777" w:rsidR="00A12401" w:rsidRDefault="00A25E1C">
      <w:pPr>
        <w:pStyle w:val="Heading3"/>
      </w:pPr>
      <w:bookmarkStart w:id="22" w:name="_tfqipw4eid5" w:colFirst="0" w:colLast="0"/>
      <w:bookmarkEnd w:id="22"/>
      <w:r>
        <w:t>CSR and Consumer Trust</w:t>
      </w:r>
    </w:p>
    <w:p w14:paraId="308C5FEE" w14:textId="77777777" w:rsidR="00A12401" w:rsidRDefault="00A25E1C">
      <w:r>
        <w:t xml:space="preserve">In today's competitive retail landscape, corporate social responsibility has a considerable impact on customer trust. Trust builds and maintains a long-term benefit, credibility, responsibility and consistent actions between </w:t>
      </w:r>
      <w:proofErr w:type="spellStart"/>
      <w:r>
        <w:t>organisations</w:t>
      </w:r>
      <w:proofErr w:type="spellEnd"/>
      <w:r>
        <w:t xml:space="preserve"> and consumers. Kim and Kim (2016) suggest that CSR responsibility, perceived as such, has a significant positive relationship on the consumer level with brand trust. Also, Vlachos et al. (2016) state that consumers believe </w:t>
      </w:r>
      <w:proofErr w:type="spellStart"/>
      <w:r>
        <w:t>organisations</w:t>
      </w:r>
      <w:proofErr w:type="spellEnd"/>
      <w:r>
        <w:t xml:space="preserve"> who have a sincere, responsible intention to act over </w:t>
      </w:r>
      <w:proofErr w:type="gramStart"/>
      <w:r>
        <w:t>a period of time</w:t>
      </w:r>
      <w:proofErr w:type="gramEnd"/>
      <w:r>
        <w:t>. But Sharma (2020) argues that the level of transparency and communication plays a significant role in the establishment of trust between consumers. Negative responses are often reduced by p</w:t>
      </w:r>
      <w:r>
        <w:t xml:space="preserve">oor communication, which raises consumer doubts about </w:t>
      </w:r>
      <w:proofErr w:type="spellStart"/>
      <w:r>
        <w:t>organisational</w:t>
      </w:r>
      <w:proofErr w:type="spellEnd"/>
      <w:r>
        <w:t xml:space="preserve"> sincerity and motivations when the reaction is </w:t>
      </w:r>
      <w:proofErr w:type="spellStart"/>
      <w:r>
        <w:t>favourable</w:t>
      </w:r>
      <w:proofErr w:type="spellEnd"/>
      <w:r>
        <w:t xml:space="preserve">. Pérez and Rodríguez del Bosque (2017) also suggest that individual levels of consumer factors affect the interpretation of CSR to varying extents. This means that the same CSR program can elicit varying levels of consumer trust responses from different consumer groups. </w:t>
      </w:r>
      <w:proofErr w:type="spellStart"/>
      <w:r>
        <w:t>Ventzileas</w:t>
      </w:r>
      <w:proofErr w:type="spellEnd"/>
      <w:r>
        <w:t xml:space="preserve"> and Myntti (2016) also argue that the conflict between communication and </w:t>
      </w:r>
      <w:proofErr w:type="spellStart"/>
      <w:r>
        <w:t>organisational</w:t>
      </w:r>
      <w:proofErr w:type="spellEnd"/>
      <w:r>
        <w:t xml:space="preserve"> </w:t>
      </w:r>
      <w:proofErr w:type="spellStart"/>
      <w:r>
        <w:t>behaviour</w:t>
      </w:r>
      <w:proofErr w:type="spellEnd"/>
      <w:r>
        <w:t xml:space="preserve"> erode</w:t>
      </w:r>
      <w:r>
        <w:t xml:space="preserve">s consumer confidence greatly. Tesco tries to build trust through their sustainability </w:t>
      </w:r>
      <w:proofErr w:type="spellStart"/>
      <w:r>
        <w:t>programmes</w:t>
      </w:r>
      <w:proofErr w:type="spellEnd"/>
      <w:r>
        <w:t xml:space="preserve">, ethical sourcing practices and operating the business responsibly in the environment. However, when consumers are not convinced of the consistency of </w:t>
      </w:r>
      <w:proofErr w:type="spellStart"/>
      <w:r>
        <w:t>organisational</w:t>
      </w:r>
      <w:proofErr w:type="spellEnd"/>
      <w:r>
        <w:t xml:space="preserve"> </w:t>
      </w:r>
      <w:proofErr w:type="spellStart"/>
      <w:r>
        <w:t>behaviour</w:t>
      </w:r>
      <w:proofErr w:type="spellEnd"/>
      <w:r>
        <w:t>, such strategies will not work. Hence, the CSR has a positive connection with the construction of trust, but the quality of communication and credibility are significant factors that moderate consumer response.</w:t>
      </w:r>
    </w:p>
    <w:p w14:paraId="1448FDB6" w14:textId="77777777" w:rsidR="00A12401" w:rsidRDefault="00A25E1C">
      <w:pPr>
        <w:pStyle w:val="Heading3"/>
      </w:pPr>
      <w:bookmarkStart w:id="23" w:name="_gxdr0ohwcn84" w:colFirst="0" w:colLast="0"/>
      <w:bookmarkEnd w:id="23"/>
      <w:r>
        <w:t>Consumer Loyalty and CSR</w:t>
      </w:r>
    </w:p>
    <w:p w14:paraId="4F39F733" w14:textId="77777777" w:rsidR="00A12401" w:rsidRDefault="00A25E1C">
      <w:r>
        <w:t>Consumer loyalty is also one of the significant elements affected by CSR in contemporary retail networks around the globe. Based on the literature review, Bianchi et al. (2019) suggest that CSR initiatives create positive relationship engagement and emotional attachment, which in turn build up loyalty. Similarly, Hur et al. (2018) describe that trust and satisfaction are variables that can positively affect the development of long-term consumer loyalty. However, it would depend on the value of consumers tha</w:t>
      </w:r>
      <w:r>
        <w:t>t Pérez and Rodríguez del Bosque (2017) imply would produce different responses of loyalty. There are consumers who have more of an eye for the ethical aspect of a brand, and others more on the product quality and convenience side of things. Further, Bianchi et al. (2019) described that loyalty is a result of the emission of both emotional and cognitive evaluations made by the consumers. Tesco builds loyalty through community support activities, sustainability and environmentally friendly operational strate</w:t>
      </w:r>
      <w:r>
        <w:t xml:space="preserve">gies. However, Sharma (2020) points out that loyalty penalties occur when consumers lack trust on motives and sincerity of the </w:t>
      </w:r>
      <w:proofErr w:type="spellStart"/>
      <w:r>
        <w:t>organisation</w:t>
      </w:r>
      <w:proofErr w:type="spellEnd"/>
      <w:r>
        <w:t xml:space="preserve"> in CSR. Therefore, the effects of communication methods on consumer expectations, their effectiveness and authenticity to CSR on the improvement of loyalty are very significant.</w:t>
      </w:r>
    </w:p>
    <w:p w14:paraId="7DCD2F53" w14:textId="77777777" w:rsidR="00A12401" w:rsidRDefault="00A25E1C">
      <w:pPr>
        <w:pStyle w:val="Heading3"/>
      </w:pPr>
      <w:bookmarkStart w:id="24" w:name="_w1bbfet9dw4r" w:colFirst="0" w:colLast="0"/>
      <w:bookmarkEnd w:id="24"/>
      <w:r>
        <w:t>Customer Satisfaction and CSR.</w:t>
      </w:r>
    </w:p>
    <w:p w14:paraId="439D6E26" w14:textId="77777777" w:rsidR="00A12401" w:rsidRDefault="00A25E1C">
      <w:proofErr w:type="spellStart"/>
      <w:r>
        <w:t>Organisational</w:t>
      </w:r>
      <w:proofErr w:type="spellEnd"/>
      <w:r>
        <w:t xml:space="preserve"> CSR activities in retail markets are also related to customer satisfaction as an important outcome. According to the arguments of Lacap et al. (2021), CSR raises satisfaction </w:t>
      </w:r>
      <w:proofErr w:type="gramStart"/>
      <w:r>
        <w:t>as a result of</w:t>
      </w:r>
      <w:proofErr w:type="gramEnd"/>
      <w:r>
        <w:t xml:space="preserve"> greater perceived quality and value of the </w:t>
      </w:r>
      <w:proofErr w:type="spellStart"/>
      <w:r>
        <w:t>organisation</w:t>
      </w:r>
      <w:proofErr w:type="spellEnd"/>
      <w:r>
        <w:t xml:space="preserve">. Likewise, Hur and her colleagues (2018) make responsible </w:t>
      </w:r>
      <w:proofErr w:type="spellStart"/>
      <w:r>
        <w:t>organisational</w:t>
      </w:r>
      <w:proofErr w:type="spellEnd"/>
      <w:r>
        <w:t xml:space="preserve"> </w:t>
      </w:r>
      <w:proofErr w:type="spellStart"/>
      <w:r>
        <w:t>behaviour</w:t>
      </w:r>
      <w:proofErr w:type="spellEnd"/>
      <w:r>
        <w:t xml:space="preserve"> contribute to positive experiences and satisfaction among consumers. However, the satisfaction experiences vary since consumers appraise the CSR differently in terms of their beliefs</w:t>
      </w:r>
      <w:r>
        <w:t xml:space="preserve"> and expectations. Sharma (2020) argues that consumers supporting ethical values usually demonstrate stronger satisfaction toward CSR activities significantly. At other times, however, when consumers' expectations are not met, their reactions to </w:t>
      </w:r>
      <w:proofErr w:type="spellStart"/>
      <w:r>
        <w:t>organisation</w:t>
      </w:r>
      <w:proofErr w:type="spellEnd"/>
      <w:r>
        <w:t xml:space="preserve"> initiatives are neutral or negative. Bianchi et al. (2019) additionally suggest that emotional and rational evaluations jointly influence consumer satisfaction levels. Tesco thus encourages products and responsible operations that will enhance customer </w:t>
      </w:r>
      <w:r>
        <w:t xml:space="preserve">satisfaction and positive perceptions of the </w:t>
      </w:r>
      <w:proofErr w:type="spellStart"/>
      <w:r>
        <w:t>organisation</w:t>
      </w:r>
      <w:proofErr w:type="spellEnd"/>
      <w:r>
        <w:t xml:space="preserve"> as sustainable. However, the consumer's satisfaction very much depends on the value the consumer derives from the product, the clarity of communication, and the past experiences of the consumer significantly.</w:t>
      </w:r>
    </w:p>
    <w:p w14:paraId="09979055" w14:textId="77777777" w:rsidR="00A12401" w:rsidRDefault="00A25E1C">
      <w:pPr>
        <w:pStyle w:val="Heading3"/>
      </w:pPr>
      <w:bookmarkStart w:id="25" w:name="_uymr4o61qys6" w:colFirst="0" w:colLast="0"/>
      <w:bookmarkEnd w:id="25"/>
      <w:r>
        <w:t>CSR and Brand Equity</w:t>
      </w:r>
    </w:p>
    <w:p w14:paraId="1688CF45" w14:textId="77777777" w:rsidR="00A12401" w:rsidRDefault="00A25E1C">
      <w:r>
        <w:t xml:space="preserve">Another key </w:t>
      </w:r>
      <w:proofErr w:type="spellStart"/>
      <w:r>
        <w:t>organisational</w:t>
      </w:r>
      <w:proofErr w:type="spellEnd"/>
      <w:r>
        <w:t xml:space="preserve"> benefit leads to brand equity, which is significantly driven by undertaking effective CSR marketing activities and works on an international level. This study follows up on </w:t>
      </w:r>
      <w:proofErr w:type="spellStart"/>
      <w:r>
        <w:t>Aljarah</w:t>
      </w:r>
      <w:proofErr w:type="spellEnd"/>
      <w:r>
        <w:t xml:space="preserve"> et al. (2020) findings that suggest CSR elevates brand equity because of the power of its brand image and perceived value. Equally, Iglesias et al. (2019) state that CSR fosters positive linkage with customer credibility and enhances the customer relationship. Rather (2018), however, argues that CSR has an indirect</w:t>
      </w:r>
      <w:r>
        <w:t xml:space="preserve"> effect on brand equity, as it </w:t>
      </w:r>
      <w:proofErr w:type="gramStart"/>
      <w:r>
        <w:t>is connected with</w:t>
      </w:r>
      <w:proofErr w:type="gramEnd"/>
      <w:r>
        <w:t xml:space="preserve"> processes of building trust and satisfaction. This is agreed by Hur et al. (2018) as they point out emotional relationships as important elements to be </w:t>
      </w:r>
      <w:proofErr w:type="spellStart"/>
      <w:r>
        <w:t>emphasised</w:t>
      </w:r>
      <w:proofErr w:type="spellEnd"/>
      <w:r>
        <w:t xml:space="preserve"> throughout the brand equity formation processes. In addition, </w:t>
      </w:r>
      <w:proofErr w:type="spellStart"/>
      <w:r>
        <w:t>Baskentli</w:t>
      </w:r>
      <w:proofErr w:type="spellEnd"/>
      <w:r>
        <w:t xml:space="preserve"> et al. (2019) provide a description of how each of these CSR domains can elicit different consumer responses and </w:t>
      </w:r>
      <w:proofErr w:type="spellStart"/>
      <w:r>
        <w:t>behavioural</w:t>
      </w:r>
      <w:proofErr w:type="spellEnd"/>
      <w:r>
        <w:t xml:space="preserve"> outcomes. Environmental initiatives sometimes evoke more reaction from consumers than do social activit</w:t>
      </w:r>
      <w:r>
        <w:t xml:space="preserve">ies, depending on consumers' priorities and awareness. However, Sharma (2020) claims that consumers' doubts often undermine CSR-brand equity links. When conducting a CSR campaign, consumers tend to see it as a marketing ploy if they have questions about an </w:t>
      </w:r>
      <w:proofErr w:type="spellStart"/>
      <w:r>
        <w:t>organisation's</w:t>
      </w:r>
      <w:proofErr w:type="spellEnd"/>
      <w:r>
        <w:t xml:space="preserve"> motives. In doing so, Tesco encourages sustainability and ethical procurement, fostering a sense of credibility, trust, and positive branding. But these programs are only successful if the consumer sees the </w:t>
      </w:r>
      <w:proofErr w:type="spellStart"/>
      <w:r>
        <w:t>organisation's</w:t>
      </w:r>
      <w:proofErr w:type="spellEnd"/>
      <w:r>
        <w:t xml:space="preserve"> attempts as being </w:t>
      </w:r>
      <w:r>
        <w:t>sincere and responsible every time.</w:t>
      </w:r>
    </w:p>
    <w:p w14:paraId="19843AFF" w14:textId="77777777" w:rsidR="00A12401" w:rsidRDefault="00A25E1C">
      <w:pPr>
        <w:pStyle w:val="Heading3"/>
      </w:pPr>
      <w:bookmarkStart w:id="26" w:name="_c7xrc3nn5fpd" w:colFirst="0" w:colLast="0"/>
      <w:bookmarkEnd w:id="26"/>
      <w:r>
        <w:t>Critical Reflection on the Outcomes of CSR</w:t>
      </w:r>
    </w:p>
    <w:p w14:paraId="00D81392" w14:textId="77777777" w:rsidR="00A12401" w:rsidRDefault="00A25E1C">
      <w:r>
        <w:t xml:space="preserve">Previous studies greatly link CSR with trust, loyalty, satisfaction and affirm the development of an </w:t>
      </w:r>
      <w:proofErr w:type="spellStart"/>
      <w:r>
        <w:t>organisation's</w:t>
      </w:r>
      <w:proofErr w:type="spellEnd"/>
      <w:r>
        <w:t xml:space="preserve"> brand equity outcomes. Most previous studies have, however, concentrated mainly on loyalty and focused on the direct consumer brand preference relationship. The focus of Bianchi et al. (2019 and Hur et al. (2018 is rather loyalty development, rather than consumer preference. Similarly, </w:t>
      </w:r>
      <w:proofErr w:type="spellStart"/>
      <w:r>
        <w:t>Aljarah</w:t>
      </w:r>
      <w:proofErr w:type="spellEnd"/>
      <w:r>
        <w:t xml:space="preserve"> et al. (2020) highlight the importance of brand equity without discussing the actual consumer choice </w:t>
      </w:r>
      <w:proofErr w:type="spellStart"/>
      <w:r>
        <w:t>behaviour</w:t>
      </w:r>
      <w:proofErr w:type="spellEnd"/>
      <w:r>
        <w:t>. Furthermore, Sharma (2020) also states that doubt is a big problem in modern times for CSR</w:t>
      </w:r>
      <w:r>
        <w:t xml:space="preserve"> consumer research. Thus, although there are positive </w:t>
      </w:r>
      <w:proofErr w:type="spellStart"/>
      <w:r>
        <w:t>organisational</w:t>
      </w:r>
      <w:proofErr w:type="spellEnd"/>
      <w:r>
        <w:t xml:space="preserve"> outcomes, there is not sufficient research investigating how CSR can affect brand preference in retail. The gap is even more significant as retail consumers are checking out </w:t>
      </w:r>
      <w:proofErr w:type="spellStart"/>
      <w:r>
        <w:t>organisations</w:t>
      </w:r>
      <w:proofErr w:type="spellEnd"/>
      <w:r>
        <w:t xml:space="preserve"> for their visible sustainability efforts on a frequent basis. Hence, in this dissertation, the focus is on the consumers of Tesco and the limited evidence of CSR influencing brand preference.</w:t>
      </w:r>
    </w:p>
    <w:p w14:paraId="7C736DBA" w14:textId="77777777" w:rsidR="00A12401" w:rsidRDefault="00A25E1C">
      <w:pPr>
        <w:pStyle w:val="Heading2"/>
      </w:pPr>
      <w:bookmarkStart w:id="27" w:name="_eeakkwvp94v8" w:colFirst="0" w:colLast="0"/>
      <w:bookmarkEnd w:id="27"/>
      <w:r>
        <w:t>2.7 Theoretical Framework</w:t>
      </w:r>
    </w:p>
    <w:p w14:paraId="7345606B" w14:textId="77777777" w:rsidR="00A12401" w:rsidRDefault="00A25E1C">
      <w:pPr>
        <w:pStyle w:val="Heading3"/>
      </w:pPr>
      <w:bookmarkStart w:id="28" w:name="_6z87s7vfj6kc" w:colFirst="0" w:colLast="0"/>
      <w:bookmarkEnd w:id="28"/>
      <w:r>
        <w:t>Key Theories Results</w:t>
      </w:r>
    </w:p>
    <w:p w14:paraId="4790EB2C" w14:textId="77777777" w:rsidR="00A12401" w:rsidRDefault="00A25E1C">
      <w:r>
        <w:t xml:space="preserve">The theoretical model incorporates the brand equity theory, the stakeholder theory and consumer perception to elaborate on the CSR outcomes. According to Freeman et al. (2017), the stakeholder theory focuses on the relations between </w:t>
      </w:r>
      <w:proofErr w:type="spellStart"/>
      <w:r>
        <w:t>organisations</w:t>
      </w:r>
      <w:proofErr w:type="spellEnd"/>
      <w:r>
        <w:t xml:space="preserve"> and stakeholders. CSR activities denote the </w:t>
      </w:r>
      <w:proofErr w:type="spellStart"/>
      <w:r>
        <w:t>organisational</w:t>
      </w:r>
      <w:proofErr w:type="spellEnd"/>
      <w:r>
        <w:t xml:space="preserve"> initiatives to fulfil the expectations of the stakeholders and earn shared value.</w:t>
      </w:r>
    </w:p>
    <w:p w14:paraId="1D9ACC08" w14:textId="77777777" w:rsidR="00A12401" w:rsidRDefault="00A25E1C">
      <w:r>
        <w:t>The brand equity theory is the explanation of the effect of CSR on the perceptions and brand value of the consumer. Iglesias et al. (2019) suggest that CSR enhances brand equity through trust and emotional connections. Equally, according to Rather (2018), CSR helps to support brand equity, which is customer-based, by perceived value.</w:t>
      </w:r>
    </w:p>
    <w:p w14:paraId="5692089A" w14:textId="77777777" w:rsidR="00A12401" w:rsidRDefault="00A25E1C">
      <w:r>
        <w:t xml:space="preserve">Consumer perception theory dwells on the way individuals interpret CSR information and how attitudes are formed. Pérez and Rodríguez del Bosque (2017) </w:t>
      </w:r>
      <w:proofErr w:type="spellStart"/>
      <w:r>
        <w:t>emphasise</w:t>
      </w:r>
      <w:proofErr w:type="spellEnd"/>
      <w:r>
        <w:t xml:space="preserve"> that perception is a key factor in the determination of </w:t>
      </w:r>
      <w:proofErr w:type="spellStart"/>
      <w:r>
        <w:t>behavioural</w:t>
      </w:r>
      <w:proofErr w:type="spellEnd"/>
      <w:r>
        <w:t xml:space="preserve"> outcomes. This shows that the effectiveness of CSR is dependent on the evaluation of </w:t>
      </w:r>
      <w:proofErr w:type="spellStart"/>
      <w:r>
        <w:t>organisational</w:t>
      </w:r>
      <w:proofErr w:type="spellEnd"/>
      <w:r>
        <w:t xml:space="preserve"> actions by the consumers.</w:t>
      </w:r>
    </w:p>
    <w:p w14:paraId="3B60D08A" w14:textId="77777777" w:rsidR="00A12401" w:rsidRDefault="00A25E1C">
      <w:pPr>
        <w:pStyle w:val="Heading3"/>
      </w:pPr>
      <w:bookmarkStart w:id="29" w:name="_oxiugek6h9od" w:colFirst="0" w:colLast="0"/>
      <w:bookmarkEnd w:id="29"/>
      <w:r>
        <w:t>Conceptual Relationships</w:t>
      </w:r>
    </w:p>
    <w:p w14:paraId="0C2D1ABF" w14:textId="77777777" w:rsidR="00A12401" w:rsidRDefault="00A25E1C">
      <w:r>
        <w:t>The model suggests that CSR affects brand preference with a set of relations that are interdependent. First, the CSR activities influence consumer perception by creating a social and environmental value. With the help of Sharma (2020), it is important to note that communication and personal beliefs affect the formation of perception.</w:t>
      </w:r>
    </w:p>
    <w:p w14:paraId="3967D858" w14:textId="77777777" w:rsidR="00A12401" w:rsidRDefault="00A25E1C">
      <w:r>
        <w:t xml:space="preserve">Second, incrementally positive perceptions result in the development of trust, which makes consumer relations stronger on the brand. According to Kim and Kim (2016), the primary mediator between the results of CSR and the brand is trust. Third, trust has an impact on </w:t>
      </w:r>
      <w:proofErr w:type="spellStart"/>
      <w:r>
        <w:t>behavioural</w:t>
      </w:r>
      <w:proofErr w:type="spellEnd"/>
      <w:r>
        <w:t xml:space="preserve"> outcomes like loyalty and preference.</w:t>
      </w:r>
    </w:p>
    <w:p w14:paraId="5FE38255" w14:textId="77777777" w:rsidR="00A12401" w:rsidRDefault="00A25E1C">
      <w:r>
        <w:t xml:space="preserve">Lastly, brand preference comes </w:t>
      </w:r>
      <w:proofErr w:type="gramStart"/>
      <w:r>
        <w:t>as a consequence of</w:t>
      </w:r>
      <w:proofErr w:type="gramEnd"/>
      <w:r>
        <w:t xml:space="preserve"> integrated cognitive and emotional judgment. According to Hur et al. (2018), consumers make decisions based on both logical and emotional aspects. Thus, CSR can have indirect effects on preference via perception and trust.</w:t>
      </w:r>
    </w:p>
    <w:p w14:paraId="360BD2F7" w14:textId="77777777" w:rsidR="00A12401" w:rsidRDefault="00A25E1C">
      <w:pPr>
        <w:pStyle w:val="Heading3"/>
      </w:pPr>
      <w:bookmarkStart w:id="30" w:name="_2ddus286t4a9" w:colFirst="0" w:colLast="0"/>
      <w:bookmarkEnd w:id="30"/>
      <w:r>
        <w:t>Justification of Variables</w:t>
      </w:r>
    </w:p>
    <w:p w14:paraId="7EA930A2" w14:textId="77777777" w:rsidR="00A12401" w:rsidRDefault="00A25E1C">
      <w:r>
        <w:t xml:space="preserve">The choice of variables is explained by the attention to the available literature and theoretical basis. CSR is taken as the independent variable that has an effect over the consumer </w:t>
      </w:r>
      <w:proofErr w:type="spellStart"/>
      <w:r>
        <w:t>behaviour</w:t>
      </w:r>
      <w:proofErr w:type="spellEnd"/>
      <w:r>
        <w:t>. Perception and trust are the mediating variables between CSR and brand results.</w:t>
      </w:r>
    </w:p>
    <w:p w14:paraId="3BBBAE10" w14:textId="77777777" w:rsidR="00A12401" w:rsidRDefault="00A25E1C">
      <w:r>
        <w:t xml:space="preserve">A dependent variable is brand preference, which is a consumer choice </w:t>
      </w:r>
      <w:proofErr w:type="spellStart"/>
      <w:r>
        <w:t>behaviour</w:t>
      </w:r>
      <w:proofErr w:type="spellEnd"/>
      <w:r>
        <w:t xml:space="preserve">. There are already works </w:t>
      </w:r>
      <w:proofErr w:type="gramStart"/>
      <w:r>
        <w:t>in the area of</w:t>
      </w:r>
      <w:proofErr w:type="gramEnd"/>
      <w:r>
        <w:t xml:space="preserve"> loyalty and satisfaction, yet preference is a subject under-researched. This paper fills this gap by discussing preference in the context of CSR in Tesco.</w:t>
      </w:r>
    </w:p>
    <w:p w14:paraId="2A11755A" w14:textId="77777777" w:rsidR="00A12401" w:rsidRDefault="00A25E1C">
      <w:proofErr w:type="gramStart"/>
      <w:r>
        <w:t>On the whole</w:t>
      </w:r>
      <w:proofErr w:type="gramEnd"/>
      <w:r>
        <w:t xml:space="preserve">, the theoretical framework offers a systematic method of discussion of the role of CSR in consumer </w:t>
      </w:r>
      <w:proofErr w:type="spellStart"/>
      <w:r>
        <w:t>behaviour</w:t>
      </w:r>
      <w:proofErr w:type="spellEnd"/>
      <w:r>
        <w:t>. It combines various theories to understand relationships among CSR, perception, trust, and preference.</w:t>
      </w:r>
    </w:p>
    <w:p w14:paraId="7ACFD9DB" w14:textId="77777777" w:rsidR="00A12401" w:rsidRDefault="00A25E1C">
      <w:pPr>
        <w:pStyle w:val="Heading2"/>
      </w:pPr>
      <w:bookmarkStart w:id="31" w:name="_8lywx5hj0cgn" w:colFirst="0" w:colLast="0"/>
      <w:bookmarkEnd w:id="31"/>
      <w:r>
        <w:t>2.8 Literature Gap</w:t>
      </w:r>
    </w:p>
    <w:p w14:paraId="12E5906F" w14:textId="77777777" w:rsidR="00A12401" w:rsidRDefault="00A25E1C">
      <w:r>
        <w:t xml:space="preserve">The prior studies on corporate social responsibility have yielded useful information on the outcome of business and consumers. Nevertheless, there are still </w:t>
      </w:r>
      <w:proofErr w:type="gramStart"/>
      <w:r>
        <w:t>a number of</w:t>
      </w:r>
      <w:proofErr w:type="gramEnd"/>
      <w:r>
        <w:t xml:space="preserve"> significant gaps in the body of literature. This is one of the major limitations in the absence of a focus on brand preference as a specific outcome variable. Numerous reports focus on loyalty and satisfaction or trust, but do not focus on the actual consumer choice </w:t>
      </w:r>
      <w:proofErr w:type="spellStart"/>
      <w:r>
        <w:t>behaviour</w:t>
      </w:r>
      <w:proofErr w:type="spellEnd"/>
      <w:r>
        <w:t xml:space="preserve">. Although these variables are significant, they alone do not give the complete explanation for why consumers </w:t>
      </w:r>
      <w:proofErr w:type="spellStart"/>
      <w:r>
        <w:t>favour</w:t>
      </w:r>
      <w:proofErr w:type="spellEnd"/>
      <w:r>
        <w:t xml:space="preserve"> one brand over another. Thus, it can be concluded that the linkage between CSR marketing and brand preferen</w:t>
      </w:r>
      <w:r>
        <w:t>ce is not well-explored and should be investigated.</w:t>
      </w:r>
    </w:p>
    <w:p w14:paraId="0BE2BF21" w14:textId="77777777" w:rsidR="00A12401" w:rsidRDefault="00A25E1C">
      <w:r>
        <w:t xml:space="preserve">The other major disconnect is connected to the fact that little attention has been paid to Tesco </w:t>
      </w:r>
      <w:proofErr w:type="gramStart"/>
      <w:r>
        <w:t>with regard to</w:t>
      </w:r>
      <w:proofErr w:type="gramEnd"/>
      <w:r>
        <w:t xml:space="preserve"> the study of CSR. </w:t>
      </w:r>
      <w:proofErr w:type="gramStart"/>
      <w:r>
        <w:t>The majority of</w:t>
      </w:r>
      <w:proofErr w:type="gramEnd"/>
      <w:r>
        <w:t xml:space="preserve"> studies have researched the topic of CSR on an overview of retailing rather than on a case-by-case basis of a company. This leads to a gap in comprehension of the functioning of CSR strategies in specific </w:t>
      </w:r>
      <w:proofErr w:type="spellStart"/>
      <w:r>
        <w:t>organisations</w:t>
      </w:r>
      <w:proofErr w:type="spellEnd"/>
      <w:r>
        <w:t>. Tesco is a large UK retailer that undertakes different CSR activities. Nonetheless, very little scholarly work has been done to investigate the effects these initiatives have on consumer perceptions and preferences. This shows that concrete re</w:t>
      </w:r>
      <w:r>
        <w:t>search is necessary to investigate CSR in the context of the operations of Tesco.</w:t>
      </w:r>
    </w:p>
    <w:p w14:paraId="14CB0F6F" w14:textId="77777777" w:rsidR="00A12401" w:rsidRDefault="00A25E1C">
      <w:r>
        <w:t xml:space="preserve">Moreover, a low emphasis on CSR marketing communication is observed in the existing literature. Although a lot of studies are recorded on CSR activities, there have been few studies on the communication of these activities to consumers. Communication is a key to establishing trust and consumer perception. The activities of CSR may not be able to bring about any changes in consumer </w:t>
      </w:r>
      <w:proofErr w:type="spellStart"/>
      <w:r>
        <w:t>behaviour</w:t>
      </w:r>
      <w:proofErr w:type="spellEnd"/>
      <w:r>
        <w:t>, although the activities can be very important. Thus, a survey of the impact of CSR communication on consumer reactions is critical towards assessing its efficiency.</w:t>
      </w:r>
    </w:p>
    <w:p w14:paraId="4D1BE2E0" w14:textId="77777777" w:rsidR="00A12401" w:rsidRDefault="00A25E1C">
      <w:r>
        <w:t>Also, a lack of consistency in the results of various types of CSR is another significant literature gap. Certain actions of the CSR practices, including environmental sustainability, ethical sourcing, and community engagement, do not lead to the same results. There are studies that indicate that environmental activities are more effective in getting consumers to believe in them, whereas there are studies that point to social programs as more effective. These examples suggest that CSR effectiveness should b</w:t>
      </w:r>
      <w:r>
        <w:t>e based on the context, communication, and consumer expectations.</w:t>
      </w:r>
    </w:p>
    <w:p w14:paraId="41DB8524" w14:textId="77777777" w:rsidR="00A12401" w:rsidRDefault="00A25E1C">
      <w:r>
        <w:t>Overall, these gaps point to the necessity of additional studies focusing on the issue of CSR marketing and brand preference in the retail setting. This research work attempts to fill these gaps through Tesco and an investigation of the effect of CSR activity on consumer brand preference.</w:t>
      </w:r>
    </w:p>
    <w:p w14:paraId="1D8F80C9" w14:textId="77777777" w:rsidR="00A12401" w:rsidRDefault="00A25E1C">
      <w:pPr>
        <w:pStyle w:val="Heading2"/>
      </w:pPr>
      <w:bookmarkStart w:id="32" w:name="_ypw33mmkuvyr" w:colFirst="0" w:colLast="0"/>
      <w:bookmarkEnd w:id="32"/>
      <w:r>
        <w:t>2.9 Conceptual Framework and Hypothesis Development</w:t>
      </w:r>
    </w:p>
    <w:p w14:paraId="254C562B" w14:textId="77777777" w:rsidR="00A12401" w:rsidRDefault="00A25E1C">
      <w:pPr>
        <w:keepNext/>
      </w:pPr>
      <w:r>
        <w:rPr>
          <w:noProof/>
        </w:rPr>
        <w:drawing>
          <wp:inline distT="0" distB="0" distL="0" distR="0" wp14:anchorId="67571DB0" wp14:editId="141ACAA6">
            <wp:extent cx="5731510" cy="270593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16133"/>
                    <a:stretch>
                      <a:fillRect/>
                    </a:stretch>
                  </pic:blipFill>
                  <pic:spPr>
                    <a:xfrm>
                      <a:off x="0" y="0"/>
                      <a:ext cx="5731510" cy="2705930"/>
                    </a:xfrm>
                    <a:prstGeom prst="rect">
                      <a:avLst/>
                    </a:prstGeom>
                    <a:ln/>
                  </pic:spPr>
                </pic:pic>
              </a:graphicData>
            </a:graphic>
          </wp:inline>
        </w:drawing>
      </w:r>
    </w:p>
    <w:p w14:paraId="7C927D78" w14:textId="77777777" w:rsidR="00A12401" w:rsidRDefault="00A25E1C">
      <w:pPr>
        <w:pBdr>
          <w:top w:val="nil"/>
          <w:left w:val="nil"/>
          <w:bottom w:val="nil"/>
          <w:right w:val="nil"/>
          <w:between w:val="nil"/>
        </w:pBdr>
        <w:spacing w:after="200" w:line="240" w:lineRule="auto"/>
        <w:jc w:val="center"/>
        <w:rPr>
          <w:i/>
          <w:iCs/>
          <w:color w:val="1F497D"/>
          <w:sz w:val="22"/>
          <w:szCs w:val="22"/>
        </w:rPr>
      </w:pPr>
      <w:bookmarkStart w:id="33" w:name="_cudw5xrrac8d" w:colFirst="0" w:colLast="0"/>
      <w:bookmarkEnd w:id="33"/>
      <w:r>
        <w:rPr>
          <w:i/>
          <w:iCs/>
          <w:color w:val="1F497D"/>
          <w:sz w:val="22"/>
          <w:szCs w:val="22"/>
        </w:rPr>
        <w:t>Figure 1: Conceptual framework (Made by Author)</w:t>
      </w:r>
    </w:p>
    <w:p w14:paraId="1AE45A3C" w14:textId="77777777" w:rsidR="00A12401" w:rsidRDefault="00A25E1C">
      <w:r>
        <w:t xml:space="preserve">In this research, a conceptual framework is formulated </w:t>
      </w:r>
      <w:proofErr w:type="gramStart"/>
      <w:r>
        <w:t>in an attempt to</w:t>
      </w:r>
      <w:proofErr w:type="gramEnd"/>
      <w:r>
        <w:t xml:space="preserve"> explain the linkage between CSR marketing activities and brand preference. The model </w:t>
      </w:r>
      <w:proofErr w:type="spellStart"/>
      <w:r>
        <w:t>hypothesises</w:t>
      </w:r>
      <w:proofErr w:type="spellEnd"/>
      <w:r>
        <w:t xml:space="preserve"> that CSR activities impact the consumer perception and trust, which in turn impacts the brand preference. Sustainability, ethical sourcing and community engagement practices are among the CSR activities adopted by Tesco.</w:t>
      </w:r>
    </w:p>
    <w:p w14:paraId="45666A2A" w14:textId="77777777" w:rsidR="00A12401" w:rsidRDefault="00A25E1C">
      <w:r>
        <w:t>First, CSR activities will lead to consumer perception in that they will be offering information about the social responsibility of a company. Positive perception occurs when the consumers consider CSR activities to be authentic and of purpose. This image affects the ways the consumers consider the brand and its values.</w:t>
      </w:r>
    </w:p>
    <w:p w14:paraId="0503BA35" w14:textId="77777777" w:rsidR="00A12401" w:rsidRDefault="00A25E1C">
      <w:r>
        <w:t xml:space="preserve">Second, there is the development of trust, </w:t>
      </w:r>
      <w:proofErr w:type="gramStart"/>
      <w:r>
        <w:t>as a result of</w:t>
      </w:r>
      <w:proofErr w:type="gramEnd"/>
      <w:r>
        <w:t xml:space="preserve"> consumer perception, which is significant in decision-making. Trust can decrease the amount of doubt and augment conviction in the actions and wishes of the brand. Trust in a brand is likely to result in positive attitudes towards the brand in consumers.</w:t>
      </w:r>
    </w:p>
    <w:p w14:paraId="7B0B3AC6" w14:textId="77777777" w:rsidR="00A12401" w:rsidRDefault="00A25E1C">
      <w:r>
        <w:t xml:space="preserve">Lastly, brand preference can be collectively determined by trust and perception, which will indicate consumer choice </w:t>
      </w:r>
      <w:proofErr w:type="spellStart"/>
      <w:r>
        <w:t>behaviour</w:t>
      </w:r>
      <w:proofErr w:type="spellEnd"/>
      <w:r>
        <w:t>. The concept of brand preference is where one consumer prefers one brand over the other(s) due to perceived value and trust.</w:t>
      </w:r>
    </w:p>
    <w:p w14:paraId="78DAAE9E" w14:textId="77777777" w:rsidR="00A12401" w:rsidRDefault="00A25E1C">
      <w:r>
        <w:t xml:space="preserve">The conceptual model can be </w:t>
      </w:r>
      <w:proofErr w:type="spellStart"/>
      <w:r>
        <w:t>summarised</w:t>
      </w:r>
      <w:proofErr w:type="spellEnd"/>
      <w:r>
        <w:t xml:space="preserve"> as follows: CSR activities impact perception, perception leads to trust, and trust creates brand preference. This theoretical framework gives the researcher a systematic way of </w:t>
      </w:r>
      <w:proofErr w:type="spellStart"/>
      <w:r>
        <w:t>analysing</w:t>
      </w:r>
      <w:proofErr w:type="spellEnd"/>
      <w:r>
        <w:t xml:space="preserve"> the effect of CSR marketing on consumer </w:t>
      </w:r>
      <w:proofErr w:type="spellStart"/>
      <w:r>
        <w:t>behaviour</w:t>
      </w:r>
      <w:proofErr w:type="spellEnd"/>
      <w:r>
        <w:t xml:space="preserve"> in Tesco.</w:t>
      </w:r>
      <w:r>
        <w:br w:type="page"/>
      </w:r>
    </w:p>
    <w:p w14:paraId="7869EACA" w14:textId="77777777" w:rsidR="00A12401" w:rsidRDefault="00A25E1C">
      <w:pPr>
        <w:pStyle w:val="Heading1"/>
        <w:numPr>
          <w:ilvl w:val="0"/>
          <w:numId w:val="3"/>
        </w:numPr>
      </w:pPr>
      <w:bookmarkStart w:id="34" w:name="_vr6tzgyo1v3t" w:colFirst="0" w:colLast="0"/>
      <w:bookmarkEnd w:id="34"/>
      <w:r>
        <w:t>Methodology</w:t>
      </w:r>
    </w:p>
    <w:p w14:paraId="12615048" w14:textId="77777777" w:rsidR="00A12401" w:rsidRDefault="00A25E1C">
      <w:pPr>
        <w:pStyle w:val="Heading2"/>
      </w:pPr>
      <w:bookmarkStart w:id="35" w:name="_6wktg2ryi4jx" w:colFirst="0" w:colLast="0"/>
      <w:bookmarkEnd w:id="35"/>
      <w:r>
        <w:t>3.1 Introduction</w:t>
      </w:r>
    </w:p>
    <w:p w14:paraId="3A51883D" w14:textId="77777777" w:rsidR="00A12401" w:rsidRDefault="00A25E1C">
      <w:r>
        <w:t>The methodology decisions made for the investigations of CSR marketing and consumer brand preference are explained in this chapter. The methodology chapter is crucial as it enhances the transparency, credibility, and academic consistency of research investigations. Saunders, Lewis and Thornhill (2019) explain that methodology justifies procedures used during research investigations. Methodological clarity boosts analytical understanding, as Bell, Bryman and Harley (2019) argue. The methodological procedures</w:t>
      </w:r>
      <w:r>
        <w:t xml:space="preserve"> are looked at in the context of CSR marketing activities in Tesco's retail environment in this chapter. The decisions regarding the methodology to be used during the dissertation research are directed by the Research Onion model. Some methodological areas that are significant are philosophy, approach, strategy, design, sampling, data collection and ethical issues. The consumers were chosen from Tesco as it represents the visible CSR activities in United Kingdom retail sector. Survey strategy was chosen due</w:t>
      </w:r>
      <w:r>
        <w:t xml:space="preserve"> to its ability to gather measurable consumer opinions within a short period of time.</w:t>
      </w:r>
    </w:p>
    <w:p w14:paraId="64E45AD5" w14:textId="77777777" w:rsidR="00A12401" w:rsidRDefault="00A25E1C">
      <w:pPr>
        <w:pStyle w:val="Heading2"/>
      </w:pPr>
      <w:bookmarkStart w:id="36" w:name="_f6ic86sf1bip" w:colFirst="0" w:colLast="0"/>
      <w:bookmarkEnd w:id="36"/>
      <w:r>
        <w:t>3.2 Research Philosophy</w:t>
      </w:r>
    </w:p>
    <w:p w14:paraId="277D92F1" w14:textId="77777777" w:rsidR="00A12401" w:rsidRDefault="00A25E1C">
      <w:r>
        <w:t xml:space="preserve">Research philosophy is the make-up of the assumptions within the investigation of academic research in the creation of knowledge and understanding. Crotty (1998) states that research philosophy impacts how data are interpreted and methodologies choices made throughout investigations. It examines the variables of the consumers' </w:t>
      </w:r>
      <w:proofErr w:type="spellStart"/>
      <w:r>
        <w:t>behaviour</w:t>
      </w:r>
      <w:proofErr w:type="spellEnd"/>
      <w:r>
        <w:t xml:space="preserve"> objectively in measurable </w:t>
      </w:r>
      <w:proofErr w:type="gramStart"/>
      <w:r>
        <w:t>ways,</w:t>
      </w:r>
      <w:proofErr w:type="gramEnd"/>
      <w:r>
        <w:t xml:space="preserve"> thus, this study is positivist. According to Saunders Lewis and Thornhill (2019) positivism relies on objective measurement which is done scientifically. In positivism, reality is believed to be objective, so it can be observed through an investigation of measurable research. Consumer trust, awareness and preference for the brand can therefore be measured by quantitative research methods. According to Easterby-Smith (2021), positivism applies research investigation </w:t>
      </w:r>
      <w:r>
        <w:t xml:space="preserve">techniques to establish objectivity in the process. This philosophy is apt as the research is concerned about relation between measurable variables of consumer. Investigations can all be quantitatively observed using the CSR marketing activities, consumer trust, and brand preference. The levels of reliability of the research can also be increased by positivism as researcher bias can be reduced by </w:t>
      </w:r>
      <w:proofErr w:type="spellStart"/>
      <w:r>
        <w:t>standardised</w:t>
      </w:r>
      <w:proofErr w:type="spellEnd"/>
      <w:r>
        <w:t xml:space="preserve"> procedures. Additionally, Saunders, Lewis and Thornhill (2019) explain that positivist investigatio</w:t>
      </w:r>
      <w:r>
        <w:t>ns have structured and predictable processes. As a result, positivism seems suitable to study Tesco's consumers' perception about CSR Marketing activities and preferences.</w:t>
      </w:r>
    </w:p>
    <w:p w14:paraId="177B012B" w14:textId="77777777" w:rsidR="00A12401" w:rsidRDefault="00A25E1C">
      <w:pPr>
        <w:pStyle w:val="Heading2"/>
      </w:pPr>
      <w:bookmarkStart w:id="37" w:name="_m3cjboav4bju" w:colFirst="0" w:colLast="0"/>
      <w:bookmarkEnd w:id="37"/>
      <w:r>
        <w:t>3.3 Research Approach</w:t>
      </w:r>
    </w:p>
    <w:p w14:paraId="64E88B63" w14:textId="77777777" w:rsidR="00A12401" w:rsidRDefault="00A25E1C">
      <w:r>
        <w:t xml:space="preserve">The method that used in this study is deductive research because it involves the examination of the CSR marketing and brand preference relationship. Creswell and Creswell (2017) describe that deduction starts with theories and then moves on to systematically test research relationships. Deductive approach is suitable because it is an empirical test and verification of the existing CSR and consumer </w:t>
      </w:r>
      <w:proofErr w:type="spellStart"/>
      <w:r>
        <w:t>behaviour</w:t>
      </w:r>
      <w:proofErr w:type="spellEnd"/>
      <w:r>
        <w:t xml:space="preserve"> theories. The deductive approach to research is heavily dependent on the theoretical assumptions already made (Bell, Bryman and Harley 2019). As a result, this dissertation investigation is influenced by the previous CSR theories, and the consumer </w:t>
      </w:r>
      <w:proofErr w:type="spellStart"/>
      <w:r>
        <w:t>behaviour</w:t>
      </w:r>
      <w:proofErr w:type="spellEnd"/>
      <w:r>
        <w:t xml:space="preserve"> theories within the Tesco context. Categoric answers to the survey questions are collected which can be used to objectively review the relationships between the CSRs and consumer perceptions. Deductive approach also facilitates structured analy</w:t>
      </w:r>
      <w:r>
        <w:t>sis using the pre-determined variables, objectives and measurable research relationships. Additionally, deduction also fits well into the positivist philosophy and research methodological demands during dissertation studies.</w:t>
      </w:r>
    </w:p>
    <w:p w14:paraId="48383AB8" w14:textId="77777777" w:rsidR="00A12401" w:rsidRDefault="00A25E1C">
      <w:pPr>
        <w:pStyle w:val="Heading2"/>
      </w:pPr>
      <w:bookmarkStart w:id="38" w:name="_li0li86z6la3" w:colFirst="0" w:colLast="0"/>
      <w:bookmarkEnd w:id="38"/>
      <w:r>
        <w:t>3.4 Research Strategy, and Design</w:t>
      </w:r>
    </w:p>
    <w:p w14:paraId="303171F2" w14:textId="77777777" w:rsidR="00A12401" w:rsidRDefault="00A25E1C">
      <w:pPr>
        <w:pStyle w:val="Heading3"/>
      </w:pPr>
      <w:bookmarkStart w:id="39" w:name="_io1lwgk61fjq" w:colFirst="0" w:colLast="0"/>
      <w:bookmarkEnd w:id="39"/>
      <w:r>
        <w:t>3.4.1 Research Strategy</w:t>
      </w:r>
    </w:p>
    <w:p w14:paraId="73ED273B" w14:textId="77777777" w:rsidR="00A12401" w:rsidRDefault="00A25E1C">
      <w:r>
        <w:t>Survey strategy used because it can be an efficient way of getting quantitative information straight from Tesco consumers. According to Saunders, Lewis and Thornhill (2019), surveys allow for a consistent measure of the participants' responses. The survey is conducted since this research is based on the three topics – consumer perceptions, consumer trust and consumer brand preference. Structured questionnaires also help to ensure consistency since they have the same set of questions and response options. Su</w:t>
      </w:r>
      <w:r>
        <w:t>rveys are recommended by Sekaran and Bougie (2016), as they are cost effective and feasible during short investigations. Hence, survey strategy is important in collecting the consumers' feedback of Tesco efficiently.</w:t>
      </w:r>
    </w:p>
    <w:p w14:paraId="6C06E5DC" w14:textId="77777777" w:rsidR="00A12401" w:rsidRDefault="00A25E1C">
      <w:pPr>
        <w:pStyle w:val="Heading3"/>
      </w:pPr>
      <w:bookmarkStart w:id="40" w:name="_h23qsj2nu4l6" w:colFirst="0" w:colLast="0"/>
      <w:bookmarkEnd w:id="40"/>
      <w:r>
        <w:t>3.4.2 Research Design</w:t>
      </w:r>
    </w:p>
    <w:p w14:paraId="5FAD2A9F" w14:textId="77777777" w:rsidR="00A12401" w:rsidRDefault="00A25E1C">
      <w:r>
        <w:t>This research has been designed as quantitative cross-sectional method to analyze Tesco consumer perception towards Tesco's CSR related activities in marketing. Creswell and Creswell (2017) explain that quantitative research focuses upon measurement, numbers, and statistical interpretation procedures. A cross-sectional design involves a single "snapshot" of information as opposed to longer-term longitudinal studies. This design continues to be appropriate, as there is still a limited amount of time availabl</w:t>
      </w:r>
      <w:r>
        <w:t xml:space="preserve">e for data collection during the research of a dissertation. Quantitative methods also increase objectivity, as results are based upon the measurable, corresponding consumers' responses gathered across investigation. Saunders, Lewis and Thornhill (2019) tell that the reliability is enhanced in a quantitative design with </w:t>
      </w:r>
      <w:proofErr w:type="spellStart"/>
      <w:r>
        <w:t>standardised</w:t>
      </w:r>
      <w:proofErr w:type="spellEnd"/>
      <w:r>
        <w:t xml:space="preserve"> procedures of the research. Structured questionnaires also assist in having the responses compared because every one of the participants is given identical questions and compara</w:t>
      </w:r>
      <w:r>
        <w:t xml:space="preserve">ble response options. </w:t>
      </w:r>
      <w:proofErr w:type="gramStart"/>
      <w:r>
        <w:t>Thus</w:t>
      </w:r>
      <w:proofErr w:type="gramEnd"/>
      <w:r>
        <w:t xml:space="preserve"> descriptive statistical analysis will identify consumer perceptions of Tesco related to CSR marketing and preference relationship to Tesco's brand. But due to academic time constraints there may be only at best about twenty questionnaire responses. Thus, the use of any statistics, such as regression and correlation, in a dissertation requires careful interpretation. May develop smaller statistical significance and greater </w:t>
      </w:r>
      <w:proofErr w:type="spellStart"/>
      <w:r>
        <w:t>generalisation</w:t>
      </w:r>
      <w:proofErr w:type="spellEnd"/>
      <w:r>
        <w:t xml:space="preserve"> across wider Tesco consumer populations </w:t>
      </w:r>
      <w:proofErr w:type="gramStart"/>
      <w:r>
        <w:t>as a</w:t>
      </w:r>
      <w:r>
        <w:t xml:space="preserve"> result of</w:t>
      </w:r>
      <w:proofErr w:type="gramEnd"/>
      <w:r>
        <w:t xml:space="preserve"> a small sample size.</w:t>
      </w:r>
    </w:p>
    <w:p w14:paraId="1148FFCA" w14:textId="77777777" w:rsidR="00A12401" w:rsidRDefault="00A25E1C">
      <w:pPr>
        <w:pStyle w:val="Heading2"/>
      </w:pPr>
      <w:bookmarkStart w:id="41" w:name="_dnzcp69l0by7" w:colFirst="0" w:colLast="0"/>
      <w:bookmarkEnd w:id="41"/>
      <w:r>
        <w:t>3.5 Research Choice</w:t>
      </w:r>
    </w:p>
    <w:p w14:paraId="38899CAF" w14:textId="77777777" w:rsidR="00A12401" w:rsidRDefault="00A25E1C">
      <w:r>
        <w:t xml:space="preserve">The method chosen for conducting this dissertation is mono-method quantitative research with the assistance of the Research Onion method. According to Saunders, Lewis and Thornhill (2019), mono-method studies are those which use only one main technique in research. This study aims to investigate objective relationships between selected consumer </w:t>
      </w:r>
      <w:proofErr w:type="spellStart"/>
      <w:r>
        <w:t>behaviour</w:t>
      </w:r>
      <w:proofErr w:type="spellEnd"/>
      <w:r>
        <w:t xml:space="preserve"> variables which are measurable, therefore, quantitative methods are suitable. Relationships between CSR activities, consumer trust and consumer awareness and brand preference can be statistically analyzed with the use of structured questionnaires. According to Sekaran and Bougie (2016), Quantitative techniques aid in better objective reporting and in maintaining analytical alignment in investigations. Mono-method quantitative design further factors in feasibility, since the time frame for disserta</w:t>
      </w:r>
      <w:r>
        <w:t>tion research is constrained.</w:t>
      </w:r>
    </w:p>
    <w:p w14:paraId="124CB72D" w14:textId="77777777" w:rsidR="00A12401" w:rsidRDefault="00A25E1C">
      <w:pPr>
        <w:pStyle w:val="Heading2"/>
      </w:pPr>
      <w:bookmarkStart w:id="42" w:name="_dtaxuprr36bi" w:colFirst="0" w:colLast="0"/>
      <w:bookmarkEnd w:id="42"/>
      <w:r>
        <w:t>3.6 Data Types and Data Sources</w:t>
      </w:r>
    </w:p>
    <w:p w14:paraId="241BE568" w14:textId="77777777" w:rsidR="00A12401" w:rsidRDefault="00A25E1C">
      <w:pPr>
        <w:rPr>
          <w:b/>
          <w:bCs/>
        </w:rPr>
      </w:pPr>
      <w:r>
        <w:rPr>
          <w:b/>
          <w:bCs/>
        </w:rPr>
        <w:t>Primary Data</w:t>
      </w:r>
    </w:p>
    <w:p w14:paraId="5D3C9920" w14:textId="77777777" w:rsidR="00A12401" w:rsidRDefault="00A25E1C">
      <w:r>
        <w:t xml:space="preserve">Here the primary Data means the information or the data gathered first-hand from the respondents in response to the research questions. According to Bell et al. (2019), primary data is an effective way to convey original research information that is both relevant and up to date. This dissertation is a compilation of primary data gathered from Tesco consumers by the distribution of questionnaires online. Through the questionnaire response, the preoccupations of consumers with </w:t>
      </w:r>
      <w:proofErr w:type="spellStart"/>
      <w:r>
        <w:t>CSRMarketing</w:t>
      </w:r>
      <w:proofErr w:type="spellEnd"/>
      <w:r>
        <w:t xml:space="preserve"> activities and preference relationship of brands are objectively </w:t>
      </w:r>
      <w:proofErr w:type="spellStart"/>
      <w:r>
        <w:t>analysed</w:t>
      </w:r>
      <w:proofErr w:type="spellEnd"/>
      <w:r>
        <w:t xml:space="preserve">. Further quantitative research investigates consumer awareness, trust and </w:t>
      </w:r>
      <w:proofErr w:type="spellStart"/>
      <w:r>
        <w:t>behaviour</w:t>
      </w:r>
      <w:proofErr w:type="spellEnd"/>
      <w:r>
        <w:t xml:space="preserve"> in terms of Tesco CSR practices throughout the researchers. According to Anghel et al. (2011), consumer attitude studies can only be interpreted based on consumers' own responses. Structured questionnaires also enhance consistency, by having the same questions with </w:t>
      </w:r>
      <w:proofErr w:type="spellStart"/>
      <w:r>
        <w:t>standardised</w:t>
      </w:r>
      <w:proofErr w:type="spellEnd"/>
      <w:r>
        <w:t xml:space="preserve"> categories for answers. Thus, primary data appropriately enabl</w:t>
      </w:r>
      <w:r>
        <w:t xml:space="preserve">es the objective exploration of Tesco attitudes and </w:t>
      </w:r>
      <w:proofErr w:type="spellStart"/>
      <w:r>
        <w:t>behaviour</w:t>
      </w:r>
      <w:proofErr w:type="spellEnd"/>
      <w:r>
        <w:t xml:space="preserve"> amongst consumers.</w:t>
      </w:r>
    </w:p>
    <w:p w14:paraId="78CB525D" w14:textId="77777777" w:rsidR="00A12401" w:rsidRDefault="00A25E1C">
      <w:pPr>
        <w:rPr>
          <w:b/>
          <w:bCs/>
        </w:rPr>
      </w:pPr>
      <w:r>
        <w:rPr>
          <w:b/>
          <w:bCs/>
        </w:rPr>
        <w:t>Secondary Data</w:t>
      </w:r>
    </w:p>
    <w:p w14:paraId="2B23AFA6" w14:textId="77777777" w:rsidR="00A12401" w:rsidRDefault="00A25E1C">
      <w:r>
        <w:t>Theoretical understanding and conceptual development are backed up by secondary academic sources for investigations, as is the creation of a questionnaire. Bell et al. (2019) describe how secondary sources "reinforce conceptual understanding and interpretation during research investigations. The journal articles, academic books, and Tesco reports were effective for the development of research variables and the structure of the questionnaire.</w:t>
      </w:r>
    </w:p>
    <w:p w14:paraId="13164282" w14:textId="77777777" w:rsidR="00A12401" w:rsidRDefault="00A25E1C">
      <w:pPr>
        <w:pStyle w:val="Heading2"/>
      </w:pPr>
      <w:bookmarkStart w:id="43" w:name="_iteszdyejob" w:colFirst="0" w:colLast="0"/>
      <w:bookmarkEnd w:id="43"/>
      <w:r>
        <w:t>3.7 Data Collection Method</w:t>
      </w:r>
    </w:p>
    <w:p w14:paraId="5802287A" w14:textId="77777777" w:rsidR="00A12401" w:rsidRDefault="00A25E1C">
      <w:pPr>
        <w:pStyle w:val="Heading3"/>
      </w:pPr>
      <w:bookmarkStart w:id="44" w:name="_4nrrlsu5kf6" w:colFirst="0" w:colLast="0"/>
      <w:bookmarkEnd w:id="44"/>
      <w:r>
        <w:t>3.7.1 Questionnaire Design</w:t>
      </w:r>
    </w:p>
    <w:p w14:paraId="65D7B373" w14:textId="77777777" w:rsidR="00A12401" w:rsidRDefault="00A25E1C">
      <w:r>
        <w:t>This research incorporates a structured questionnaire in collecting measured yet systematic Tesco customers response. Bryman (2016) states that questionnaires' benefits are in standardizing questions and the response process. Closed questions were chosen as they are more conducive to comparison and interpretation of participants. The questionnaire investigation process led to every participant giving similar categories of answers to the same questions. The questionnaire was designed to address the issues of</w:t>
      </w:r>
      <w:r>
        <w:t xml:space="preserve"> consumer awareness, trust, perception and brand preferences on Tesco corporate social responsibility interventions. For measurement of participant response intensity, other response categories were promoters, passives and detractors. Bryman (2016) also says that structured questionnaires enhance clarity and boost the reliability of research. As a result of the structured questionnaire design, it produced quantifiable data which was used to investigate Tesco consumer </w:t>
      </w:r>
      <w:proofErr w:type="spellStart"/>
      <w:r>
        <w:t>behaviour</w:t>
      </w:r>
      <w:proofErr w:type="spellEnd"/>
      <w:r>
        <w:t xml:space="preserve">. The questionnaire design was </w:t>
      </w:r>
      <w:r>
        <w:t xml:space="preserve">also influenced by the findings of previous consumer research studies on CSR perception and </w:t>
      </w:r>
      <w:proofErr w:type="spellStart"/>
      <w:r>
        <w:t>behaviour</w:t>
      </w:r>
      <w:proofErr w:type="spellEnd"/>
      <w:r>
        <w:t xml:space="preserve"> links. These methods of survey had been used in a similar manner in quantitative CSR and consumers </w:t>
      </w:r>
      <w:proofErr w:type="spellStart"/>
      <w:r>
        <w:t>behaviour</w:t>
      </w:r>
      <w:proofErr w:type="spellEnd"/>
      <w:r>
        <w:t xml:space="preserve"> studies. Thus, questionnaire was still applicable in the case of structured and objective responses from the respondents of Tesco.</w:t>
      </w:r>
    </w:p>
    <w:p w14:paraId="1F0C2888" w14:textId="77777777" w:rsidR="00A12401" w:rsidRDefault="00A25E1C">
      <w:pPr>
        <w:pStyle w:val="Heading3"/>
      </w:pPr>
      <w:bookmarkStart w:id="45" w:name="_tocpdnceeh3y" w:colFirst="0" w:colLast="0"/>
      <w:bookmarkEnd w:id="45"/>
      <w:r>
        <w:t>3.7.2 Data Collection Process</w:t>
      </w:r>
    </w:p>
    <w:p w14:paraId="307BB682" w14:textId="77777777" w:rsidR="00A12401" w:rsidRDefault="00A25E1C">
      <w:r>
        <w:t xml:space="preserve">The survey was sent out online </w:t>
      </w:r>
      <w:proofErr w:type="gramStart"/>
      <w:r>
        <w:t>in order to</w:t>
      </w:r>
      <w:proofErr w:type="gramEnd"/>
      <w:r>
        <w:t xml:space="preserve"> increase accessibility and participation amongst consumers. According to Dillman et al., (2014) online questionnaires are flexible and have efficient management procedures for responses. Tesco consumers voluntarily filled questionnaires via digital communication channel and online distribution methods. A social communication link was provided with the questionnaire to systematically encourage the responses of the participants. Data collection took place within a specified period to ensure data c</w:t>
      </w:r>
      <w:r>
        <w:t xml:space="preserve">ollection procedures were conducted in the same manner across dissertation investigation. According to Bryman (2016), </w:t>
      </w:r>
      <w:proofErr w:type="spellStart"/>
      <w:r>
        <w:t>organised</w:t>
      </w:r>
      <w:proofErr w:type="spellEnd"/>
      <w:r>
        <w:t xml:space="preserve"> collecting duration decreases futile hampering in academic investigation investigations. The data collection was completed online, which provided an opportunity for the participants to complete the responses without any researcher influence. This procedure was effective in making it easier for participants to respond within flexible and familiar environments on their own without be</w:t>
      </w:r>
      <w:r>
        <w:t xml:space="preserve">ing affected by their neutrality. Online surveys were chosen because they are still affordable for specific dissertation research, within a limited time frame. In addition, Dillman et al. (2014) write that online surveys are easier to administer and more efficient in return. </w:t>
      </w:r>
      <w:proofErr w:type="spellStart"/>
      <w:r>
        <w:t>Digitalised</w:t>
      </w:r>
      <w:proofErr w:type="spellEnd"/>
      <w:r>
        <w:t xml:space="preserve"> questionnaires also enhanced </w:t>
      </w:r>
      <w:proofErr w:type="spellStart"/>
      <w:r>
        <w:t>organisation</w:t>
      </w:r>
      <w:proofErr w:type="spellEnd"/>
      <w:r>
        <w:t>, storage and interpretation of data from the consumer responses provided by Tesco. With these benefits, however, the number of responses was still relatively small due to investigati</w:t>
      </w:r>
      <w:r>
        <w:t xml:space="preserve">on academic time constraints. About twenty answers to the questionnaires were aimed for as responses needed </w:t>
      </w:r>
      <w:proofErr w:type="spellStart"/>
      <w:r>
        <w:t>longly</w:t>
      </w:r>
      <w:proofErr w:type="spellEnd"/>
      <w:r>
        <w:t xml:space="preserve"> collected periods that are impossible </w:t>
      </w:r>
      <w:proofErr w:type="gramStart"/>
      <w:r>
        <w:t>at the moment</w:t>
      </w:r>
      <w:proofErr w:type="gramEnd"/>
      <w:r>
        <w:t>. Thus, the online questionnaires were used as tools for collecting the Tesco consumer's behavior information, which were effective and convenient.</w:t>
      </w:r>
    </w:p>
    <w:p w14:paraId="15156F8C" w14:textId="77777777" w:rsidR="00A12401" w:rsidRDefault="00A25E1C">
      <w:pPr>
        <w:pStyle w:val="Heading2"/>
      </w:pPr>
      <w:bookmarkStart w:id="46" w:name="_813f73qocqri" w:colFirst="0" w:colLast="0"/>
      <w:bookmarkEnd w:id="46"/>
      <w:r>
        <w:t>3.8 Sampling Strategy</w:t>
      </w:r>
    </w:p>
    <w:p w14:paraId="72650AEC" w14:textId="77777777" w:rsidR="00A12401" w:rsidRDefault="00A25E1C">
      <w:pPr>
        <w:pStyle w:val="Heading3"/>
      </w:pPr>
      <w:bookmarkStart w:id="47" w:name="_46d8p4g88ze2" w:colFirst="0" w:colLast="0"/>
      <w:bookmarkEnd w:id="47"/>
      <w:r>
        <w:t>3.8.1 Target Population</w:t>
      </w:r>
    </w:p>
    <w:p w14:paraId="2961015D" w14:textId="77777777" w:rsidR="00A12401" w:rsidRDefault="00A25E1C">
      <w:r>
        <w:t>The target population in this research is that of customers of Tesco in the retail market environment in the United Kingdom. According to Saunders et al. (2019) target populations need to be directly linked to established research objectives. The consumers were suitability chosen as respondents since the investigation in the dissertation focused on their perception of Tesco CSR marketing activities. Thus, selected respondents were examined for Relationships of consumer trust, awareness, perception and brand</w:t>
      </w:r>
      <w:r>
        <w:t xml:space="preserve"> preference.</w:t>
      </w:r>
    </w:p>
    <w:p w14:paraId="097E098E" w14:textId="77777777" w:rsidR="00A12401" w:rsidRDefault="00A25E1C">
      <w:pPr>
        <w:pStyle w:val="Heading3"/>
      </w:pPr>
      <w:bookmarkStart w:id="48" w:name="_qk6bj7qk382j" w:colFirst="0" w:colLast="0"/>
      <w:bookmarkEnd w:id="48"/>
      <w:r>
        <w:t>3.8.2 Sampling Technique</w:t>
      </w:r>
    </w:p>
    <w:p w14:paraId="43414BFA" w14:textId="77777777" w:rsidR="00A12401" w:rsidRDefault="00A25E1C">
      <w:r>
        <w:t xml:space="preserve">Convenience sampling was chosen because it is best for practical research investigations in limited situations. Convenience sampling was greatly influenced by accessibility and limited research time for dissertation investigations. Convenience is described as a sampling method which involves taking convenient participants in the study, as per the explanation by </w:t>
      </w:r>
      <w:proofErr w:type="spellStart"/>
      <w:r>
        <w:t>Etikan</w:t>
      </w:r>
      <w:proofErr w:type="spellEnd"/>
      <w:r>
        <w:t xml:space="preserve"> et al. (2016). This approach was still appropriate as investigation time and resources and academic research time were also constrained during investigations. Within smaller scale academic research investigations often time, convenience sampling is still applicable (Saunders et al., 2019). Convenience sampling facilitated effective communication with consumers in the case of Tesco consumers for the purpose of distributing questionnaires.</w:t>
      </w:r>
    </w:p>
    <w:p w14:paraId="3B0C82EC" w14:textId="77777777" w:rsidR="00A12401" w:rsidRDefault="00A25E1C">
      <w:pPr>
        <w:pStyle w:val="Heading3"/>
      </w:pPr>
      <w:bookmarkStart w:id="49" w:name="_2p631gqj4fgk" w:colFirst="0" w:colLast="0"/>
      <w:bookmarkEnd w:id="49"/>
      <w:r>
        <w:t>3.8.3 Sample Size</w:t>
      </w:r>
    </w:p>
    <w:p w14:paraId="6A076E0D" w14:textId="77777777" w:rsidR="00A12401" w:rsidRDefault="00A25E1C">
      <w:r>
        <w:t xml:space="preserve">The research was intended to gather around twenty responses on the consumer questionnaire from Tesco. Saunders et al. (2019) state that moderate-sized samples adequately enable basic statistical analysis in dissertations. The participants needed to have an experience of shopping in Tesco, </w:t>
      </w:r>
      <w:proofErr w:type="gramStart"/>
      <w:r>
        <w:t>and also</w:t>
      </w:r>
      <w:proofErr w:type="gramEnd"/>
      <w:r>
        <w:t xml:space="preserve"> aware of Tesco CSR marketing activities particularly. Including, all the participants were required to be adults when they participated in questionnaires providing informed consumer perceptions. Questionnaire participation activities were omitted from those people who had no experience of shopping with </w:t>
      </w:r>
      <w:proofErr w:type="spellStart"/>
      <w:r>
        <w:t>tesco</w:t>
      </w:r>
      <w:proofErr w:type="spellEnd"/>
      <w:r>
        <w:t xml:space="preserve"> or were unaware of their CSR. There were significant restrictions on sample collection due to practical constraints, such as access to participants and time. Studies relating to shopping </w:t>
      </w:r>
      <w:proofErr w:type="spellStart"/>
      <w:r>
        <w:t>behavi</w:t>
      </w:r>
      <w:r>
        <w:t>our</w:t>
      </w:r>
      <w:proofErr w:type="spellEnd"/>
      <w:r>
        <w:t>, gender and age were done with special care to encourage participant diversity. Thus, in this way relevant information of consumer Tesco was collected throughout the investigations of the dissertation successfully in satisfying ways using sampling strategy.</w:t>
      </w:r>
    </w:p>
    <w:p w14:paraId="3A15CC27" w14:textId="77777777" w:rsidR="00A12401" w:rsidRDefault="00A25E1C">
      <w:pPr>
        <w:pStyle w:val="Heading2"/>
      </w:pPr>
      <w:bookmarkStart w:id="50" w:name="_xujysmy2k3zk" w:colFirst="0" w:colLast="0"/>
      <w:bookmarkEnd w:id="50"/>
      <w:r>
        <w:t>3.9 Data Analysis Techniques</w:t>
      </w:r>
    </w:p>
    <w:p w14:paraId="7145CF6E" w14:textId="77777777" w:rsidR="00A12401" w:rsidRDefault="00A25E1C">
      <w:pPr>
        <w:rPr>
          <w:b/>
          <w:bCs/>
        </w:rPr>
      </w:pPr>
      <w:r>
        <w:rPr>
          <w:b/>
          <w:bCs/>
        </w:rPr>
        <w:t>Primary Data Analysis</w:t>
      </w:r>
    </w:p>
    <w:p w14:paraId="1E3391F2" w14:textId="77777777" w:rsidR="00A12401" w:rsidRDefault="00A25E1C">
      <w:r>
        <w:t>The data obtained from the respondents of consumer questionnaires conducted in Tesco has been analyzed carefully by descriptive statistic method and correlation analysis techniques. According to Hair et al., (2019) descriptive data provides a summary of a set of numerical information in terms of percentage, mean and frequency. Correlation analysis objectively analyzed the relationships between CSR marketing variables and the brand preference responses from consumers at Tesco. According to Field (2024), corr</w:t>
      </w:r>
      <w:r>
        <w:t>elation provides an understanding of the relationship in terms of both level of strength and direction of the relationships explored in the research variables strategically. These techniques facilitated the interpretation of Tesco consumer perception, confidence, knowledge and interactions pattern. During investigations, however, the size of the response to questionnaires was relatively small, so that the use of advanced statistical analysis was limited. Hence, caution should be exercised when summarizing t</w:t>
      </w:r>
      <w:r>
        <w:t xml:space="preserve">he results of correlation analysis and making conclusions about the extent of statistical </w:t>
      </w:r>
      <w:proofErr w:type="spellStart"/>
      <w:r>
        <w:t>generalisability</w:t>
      </w:r>
      <w:proofErr w:type="spellEnd"/>
      <w:r>
        <w:t>.</w:t>
      </w:r>
    </w:p>
    <w:p w14:paraId="3B72A271" w14:textId="77777777" w:rsidR="00A12401" w:rsidRDefault="00A25E1C">
      <w:pPr>
        <w:rPr>
          <w:b/>
          <w:bCs/>
        </w:rPr>
      </w:pPr>
      <w:r>
        <w:rPr>
          <w:b/>
          <w:bCs/>
        </w:rPr>
        <w:t>Secondary Data Analysis</w:t>
      </w:r>
    </w:p>
    <w:p w14:paraId="37CEA55D" w14:textId="77777777" w:rsidR="00A12401" w:rsidRDefault="00A25E1C">
      <w:r>
        <w:t xml:space="preserve">Literature development and interpretation were also supported </w:t>
      </w:r>
      <w:proofErr w:type="gramStart"/>
      <w:r>
        <w:t>during the course of</w:t>
      </w:r>
      <w:proofErr w:type="gramEnd"/>
      <w:r>
        <w:t xml:space="preserve"> dissertation investigation procedures with the help of secondary academic sources. The articles published in the journal, books, Tesco reports and databases reinforced the relationship between the CSR marketing and consumer </w:t>
      </w:r>
      <w:proofErr w:type="spellStart"/>
      <w:r>
        <w:t>behaviour</w:t>
      </w:r>
      <w:proofErr w:type="spellEnd"/>
      <w:r>
        <w:t>. Questionnaire development and interpretation of primary findings were also supported during dissertation investigations carefully with the help of secondary sources.</w:t>
      </w:r>
    </w:p>
    <w:p w14:paraId="0DAAB23C" w14:textId="77777777" w:rsidR="00A12401" w:rsidRDefault="00A25E1C">
      <w:pPr>
        <w:rPr>
          <w:b/>
          <w:bCs/>
        </w:rPr>
      </w:pPr>
      <w:r>
        <w:rPr>
          <w:b/>
          <w:bCs/>
        </w:rPr>
        <w:t>Software</w:t>
      </w:r>
    </w:p>
    <w:p w14:paraId="68846C47" w14:textId="77777777" w:rsidR="00A12401" w:rsidRDefault="00A25E1C">
      <w:r>
        <w:t xml:space="preserve">The responses to the Tesco's consumer questionnaire were </w:t>
      </w:r>
      <w:proofErr w:type="spellStart"/>
      <w:r>
        <w:t>organised</w:t>
      </w:r>
      <w:proofErr w:type="spellEnd"/>
      <w:r>
        <w:t xml:space="preserve">, </w:t>
      </w:r>
      <w:proofErr w:type="spellStart"/>
      <w:r>
        <w:t>analysed</w:t>
      </w:r>
      <w:proofErr w:type="spellEnd"/>
      <w:r>
        <w:t xml:space="preserve"> and interpreted systematically using Microsoft Excel software. Field (2024) describes how statistical software increases accuracy when doing calculations and makes conducting a quantitative analytical process a lot easier.</w:t>
      </w:r>
    </w:p>
    <w:p w14:paraId="3B3AE0BF" w14:textId="77777777" w:rsidR="00A12401" w:rsidRDefault="00A25E1C">
      <w:pPr>
        <w:pStyle w:val="Heading2"/>
      </w:pPr>
      <w:bookmarkStart w:id="51" w:name="_z4cspfenccpo" w:colFirst="0" w:colLast="0"/>
      <w:bookmarkEnd w:id="51"/>
      <w:r>
        <w:t>3.10 Reliability and Validity</w:t>
      </w:r>
    </w:p>
    <w:p w14:paraId="5CCCCA04" w14:textId="77777777" w:rsidR="00A12401" w:rsidRDefault="00A25E1C">
      <w:r>
        <w:t xml:space="preserve">Reliability and validity are pertinent to the consistent and accurate execution of quantitative dissertation investigations. Heale and Twycross (2015) view reliability as regularity of measurements and research data gathered systematically. The use of structured questionnaires led to better reliability as responses were given in the same way, across the entire survey, using a </w:t>
      </w:r>
      <w:proofErr w:type="spellStart"/>
      <w:r>
        <w:t>standardised</w:t>
      </w:r>
      <w:proofErr w:type="spellEnd"/>
      <w:r>
        <w:t xml:space="preserve"> list of response categories. </w:t>
      </w:r>
      <w:proofErr w:type="spellStart"/>
      <w:r>
        <w:t>Taherdoost</w:t>
      </w:r>
      <w:proofErr w:type="spellEnd"/>
      <w:r>
        <w:t xml:space="preserve"> (2016) states that the </w:t>
      </w:r>
      <w:proofErr w:type="spellStart"/>
      <w:r>
        <w:t>standardisation</w:t>
      </w:r>
      <w:proofErr w:type="spellEnd"/>
      <w:r>
        <w:t xml:space="preserve"> of procedures </w:t>
      </w:r>
      <w:proofErr w:type="gramStart"/>
      <w:r>
        <w:t>minimize</w:t>
      </w:r>
      <w:proofErr w:type="gramEnd"/>
      <w:r>
        <w:t xml:space="preserve"> measurement errors considerably and increase the uniformity of research significantly. </w:t>
      </w:r>
      <w:proofErr w:type="gramStart"/>
      <w:r>
        <w:t>Also</w:t>
      </w:r>
      <w:proofErr w:type="gramEnd"/>
      <w:r>
        <w:t xml:space="preserve"> the same questionnaire structure and expressions were effective in minimizing misunderstanding during consumer participation activities at Tesco. Validity is related to the accuracy of research instruments in measuring theoretical variables and research concepts in the researched phenomena. Validity adds</w:t>
      </w:r>
      <w:r>
        <w:t xml:space="preserve"> significantly to the level of confidence in the interpretation of gathered research findings, he and Twycross write (2015). The literature supported questionnaire variables are measured to effectively describe the perception, trust, and preference relationships of Tesco consumers. These procedures helped to ensure consistency across the dissertation research investigations.</w:t>
      </w:r>
      <w:r>
        <w:br w:type="page"/>
      </w:r>
    </w:p>
    <w:p w14:paraId="376ED1FF" w14:textId="77777777" w:rsidR="00A12401" w:rsidRDefault="00A25E1C">
      <w:pPr>
        <w:pStyle w:val="Heading1"/>
        <w:numPr>
          <w:ilvl w:val="0"/>
          <w:numId w:val="3"/>
        </w:numPr>
      </w:pPr>
      <w:bookmarkStart w:id="52" w:name="_n7r1fmey1d2a" w:colFirst="0" w:colLast="0"/>
      <w:bookmarkEnd w:id="52"/>
      <w:r>
        <w:t>Data Analysis</w:t>
      </w:r>
    </w:p>
    <w:p w14:paraId="317AF59C" w14:textId="77777777" w:rsidR="00A12401" w:rsidRDefault="00A25E1C">
      <w:pPr>
        <w:pStyle w:val="Heading2"/>
      </w:pPr>
      <w:bookmarkStart w:id="53" w:name="_36m19245k51w" w:colFirst="0" w:colLast="0"/>
      <w:bookmarkEnd w:id="53"/>
      <w:r>
        <w:t>4.1 Introduction</w:t>
      </w:r>
    </w:p>
    <w:p w14:paraId="552D3092" w14:textId="77777777" w:rsidR="00A12401" w:rsidRDefault="00A25E1C">
      <w:r>
        <w:t xml:space="preserve">This chapter provides an overview of the main findings on Tesco CSR marketing activities and consumer brand preference. The chapter examines the relationship between consumer perception, trust, loyalty and consumer </w:t>
      </w:r>
      <w:proofErr w:type="spellStart"/>
      <w:r>
        <w:t>behaviour</w:t>
      </w:r>
      <w:proofErr w:type="spellEnd"/>
      <w:r>
        <w:t xml:space="preserve"> towards purchasing. Results showed that sustainability campaigns were more effective than charity or employee welfare campaigns. The survey results confirmed that social media continued as the main communication channel for CSR with 68% of respondents affected by it. Results additionally confirmed moderate awareness because 65% respondents </w:t>
      </w:r>
      <w:proofErr w:type="spellStart"/>
      <w:r>
        <w:t>recognised</w:t>
      </w:r>
      <w:proofErr w:type="spellEnd"/>
      <w:r>
        <w:t xml:space="preserve"> Tesco CSR activities successfully. The correlation analysis showed high correlation between the awareness, trust, perception, loyalty and </w:t>
      </w:r>
      <w:proofErr w:type="spellStart"/>
      <w:r>
        <w:t>behavioural</w:t>
      </w:r>
      <w:proofErr w:type="spellEnd"/>
      <w:r>
        <w:t xml:space="preserve"> preference variables. In general, the chapter provides an understanding of the impact of Tesco CSR on consumers' attitudes and </w:t>
      </w:r>
      <w:proofErr w:type="spellStart"/>
      <w:r>
        <w:t>organisational</w:t>
      </w:r>
      <w:proofErr w:type="spellEnd"/>
      <w:r>
        <w:t xml:space="preserve"> credibility in the retail markets.</w:t>
      </w:r>
    </w:p>
    <w:p w14:paraId="41AD3525" w14:textId="77777777" w:rsidR="00A12401" w:rsidRDefault="00A25E1C">
      <w:pPr>
        <w:pStyle w:val="Heading2"/>
        <w:numPr>
          <w:ilvl w:val="1"/>
          <w:numId w:val="4"/>
        </w:numPr>
      </w:pPr>
      <w:bookmarkStart w:id="54" w:name="_qb02p2atvptk" w:colFirst="0" w:colLast="0"/>
      <w:bookmarkEnd w:id="54"/>
      <w:r>
        <w:t>Demographic Profile of Respondents (N=20)</w:t>
      </w:r>
    </w:p>
    <w:tbl>
      <w:tblPr>
        <w:tblStyle w:val="a0"/>
        <w:tblW w:w="6400" w:type="dxa"/>
        <w:tblInd w:w="0" w:type="dxa"/>
        <w:tblLayout w:type="fixed"/>
        <w:tblLook w:val="0400" w:firstRow="0" w:lastRow="0" w:firstColumn="0" w:lastColumn="0" w:noHBand="0" w:noVBand="1"/>
      </w:tblPr>
      <w:tblGrid>
        <w:gridCol w:w="3080"/>
        <w:gridCol w:w="1660"/>
        <w:gridCol w:w="1660"/>
      </w:tblGrid>
      <w:tr w:rsidR="00A12401" w14:paraId="2600FF8F" w14:textId="77777777">
        <w:trPr>
          <w:trHeight w:val="390"/>
        </w:trPr>
        <w:tc>
          <w:tcPr>
            <w:tcW w:w="6400" w:type="dxa"/>
            <w:gridSpan w:val="3"/>
            <w:tcBorders>
              <w:top w:val="nil"/>
              <w:left w:val="nil"/>
              <w:bottom w:val="nil"/>
              <w:right w:val="nil"/>
            </w:tcBorders>
            <w:shd w:val="clear" w:color="auto" w:fill="C6D9F1"/>
            <w:vAlign w:val="center"/>
          </w:tcPr>
          <w:p w14:paraId="2CDC99B2"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Table 1.1 – Age Group Distribution</w:t>
            </w:r>
          </w:p>
        </w:tc>
      </w:tr>
      <w:tr w:rsidR="00A12401" w14:paraId="3992DD61" w14:textId="77777777">
        <w:trPr>
          <w:trHeight w:val="290"/>
        </w:trPr>
        <w:tc>
          <w:tcPr>
            <w:tcW w:w="3080" w:type="dxa"/>
            <w:tcBorders>
              <w:top w:val="single" w:sz="4" w:space="0" w:color="AAAAAA"/>
              <w:left w:val="single" w:sz="4" w:space="0" w:color="AAAAAA"/>
              <w:bottom w:val="single" w:sz="4" w:space="0" w:color="AAAAAA"/>
              <w:right w:val="single" w:sz="4" w:space="0" w:color="AAAAAA"/>
            </w:tcBorders>
            <w:shd w:val="clear" w:color="auto" w:fill="C6D9F1"/>
            <w:vAlign w:val="center"/>
          </w:tcPr>
          <w:p w14:paraId="0F58C5C7"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Age Group</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5BA818F1"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Responses</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5AD1B17D"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Percentage (%)</w:t>
            </w:r>
          </w:p>
        </w:tc>
      </w:tr>
      <w:tr w:rsidR="00A12401" w14:paraId="737015F6"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5243AB54"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18–24</w:t>
            </w:r>
          </w:p>
        </w:tc>
        <w:tc>
          <w:tcPr>
            <w:tcW w:w="1660" w:type="dxa"/>
            <w:tcBorders>
              <w:top w:val="nil"/>
              <w:left w:val="nil"/>
              <w:bottom w:val="single" w:sz="4" w:space="0" w:color="AAAAAA"/>
              <w:right w:val="single" w:sz="4" w:space="0" w:color="AAAAAA"/>
            </w:tcBorders>
            <w:vAlign w:val="center"/>
          </w:tcPr>
          <w:p w14:paraId="09108E3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660" w:type="dxa"/>
            <w:tcBorders>
              <w:top w:val="nil"/>
              <w:left w:val="nil"/>
              <w:bottom w:val="single" w:sz="4" w:space="0" w:color="AAAAAA"/>
              <w:right w:val="single" w:sz="4" w:space="0" w:color="AAAAAA"/>
            </w:tcBorders>
            <w:vAlign w:val="center"/>
          </w:tcPr>
          <w:p w14:paraId="5B2D49A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25%</w:t>
            </w:r>
          </w:p>
        </w:tc>
      </w:tr>
      <w:tr w:rsidR="00A12401" w14:paraId="39411FB5"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2E076D56"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25–35</w:t>
            </w:r>
          </w:p>
        </w:tc>
        <w:tc>
          <w:tcPr>
            <w:tcW w:w="1660" w:type="dxa"/>
            <w:tcBorders>
              <w:top w:val="nil"/>
              <w:left w:val="nil"/>
              <w:bottom w:val="single" w:sz="4" w:space="0" w:color="AAAAAA"/>
              <w:right w:val="single" w:sz="4" w:space="0" w:color="AAAAAA"/>
            </w:tcBorders>
            <w:shd w:val="clear" w:color="auto" w:fill="EBF3FB"/>
            <w:vAlign w:val="center"/>
          </w:tcPr>
          <w:p w14:paraId="6DFA568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w:t>
            </w:r>
          </w:p>
        </w:tc>
        <w:tc>
          <w:tcPr>
            <w:tcW w:w="1660" w:type="dxa"/>
            <w:tcBorders>
              <w:top w:val="nil"/>
              <w:left w:val="nil"/>
              <w:bottom w:val="single" w:sz="4" w:space="0" w:color="AAAAAA"/>
              <w:right w:val="single" w:sz="4" w:space="0" w:color="AAAAAA"/>
            </w:tcBorders>
            <w:shd w:val="clear" w:color="auto" w:fill="EBF3FB"/>
            <w:vAlign w:val="center"/>
          </w:tcPr>
          <w:p w14:paraId="37D6748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r>
      <w:tr w:rsidR="00A12401" w14:paraId="269C013A"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126A333B"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35–45</w:t>
            </w:r>
          </w:p>
        </w:tc>
        <w:tc>
          <w:tcPr>
            <w:tcW w:w="1660" w:type="dxa"/>
            <w:tcBorders>
              <w:top w:val="nil"/>
              <w:left w:val="nil"/>
              <w:bottom w:val="single" w:sz="4" w:space="0" w:color="AAAAAA"/>
              <w:right w:val="single" w:sz="4" w:space="0" w:color="AAAAAA"/>
            </w:tcBorders>
            <w:vAlign w:val="center"/>
          </w:tcPr>
          <w:p w14:paraId="0F3C150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w:t>
            </w:r>
          </w:p>
        </w:tc>
        <w:tc>
          <w:tcPr>
            <w:tcW w:w="1660" w:type="dxa"/>
            <w:tcBorders>
              <w:top w:val="nil"/>
              <w:left w:val="nil"/>
              <w:bottom w:val="single" w:sz="4" w:space="0" w:color="AAAAAA"/>
              <w:right w:val="single" w:sz="4" w:space="0" w:color="AAAAAA"/>
            </w:tcBorders>
            <w:vAlign w:val="center"/>
          </w:tcPr>
          <w:p w14:paraId="0F00A3E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15%</w:t>
            </w:r>
          </w:p>
        </w:tc>
      </w:tr>
      <w:tr w:rsidR="00A12401" w14:paraId="22B29E7D"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49E7C5AB"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45–55</w:t>
            </w:r>
          </w:p>
        </w:tc>
        <w:tc>
          <w:tcPr>
            <w:tcW w:w="1660" w:type="dxa"/>
            <w:tcBorders>
              <w:top w:val="nil"/>
              <w:left w:val="nil"/>
              <w:bottom w:val="single" w:sz="4" w:space="0" w:color="AAAAAA"/>
              <w:right w:val="single" w:sz="4" w:space="0" w:color="AAAAAA"/>
            </w:tcBorders>
            <w:shd w:val="clear" w:color="auto" w:fill="EBF3FB"/>
            <w:vAlign w:val="center"/>
          </w:tcPr>
          <w:p w14:paraId="5B97026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660" w:type="dxa"/>
            <w:tcBorders>
              <w:top w:val="nil"/>
              <w:left w:val="nil"/>
              <w:bottom w:val="single" w:sz="4" w:space="0" w:color="AAAAAA"/>
              <w:right w:val="single" w:sz="4" w:space="0" w:color="AAAAAA"/>
            </w:tcBorders>
            <w:shd w:val="clear" w:color="auto" w:fill="EBF3FB"/>
            <w:vAlign w:val="center"/>
          </w:tcPr>
          <w:p w14:paraId="4B449FC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25%</w:t>
            </w:r>
          </w:p>
        </w:tc>
      </w:tr>
      <w:tr w:rsidR="00A12401" w14:paraId="410B68A9"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3976EB4A"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55–65</w:t>
            </w:r>
          </w:p>
        </w:tc>
        <w:tc>
          <w:tcPr>
            <w:tcW w:w="1660" w:type="dxa"/>
            <w:tcBorders>
              <w:top w:val="nil"/>
              <w:left w:val="nil"/>
              <w:bottom w:val="single" w:sz="4" w:space="0" w:color="AAAAAA"/>
              <w:right w:val="single" w:sz="4" w:space="0" w:color="AAAAAA"/>
            </w:tcBorders>
            <w:vAlign w:val="center"/>
          </w:tcPr>
          <w:p w14:paraId="222D537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w:t>
            </w:r>
          </w:p>
        </w:tc>
        <w:tc>
          <w:tcPr>
            <w:tcW w:w="1660" w:type="dxa"/>
            <w:tcBorders>
              <w:top w:val="nil"/>
              <w:left w:val="nil"/>
              <w:bottom w:val="single" w:sz="4" w:space="0" w:color="AAAAAA"/>
              <w:right w:val="single" w:sz="4" w:space="0" w:color="AAAAAA"/>
            </w:tcBorders>
            <w:vAlign w:val="center"/>
          </w:tcPr>
          <w:p w14:paraId="3FE7F76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15%</w:t>
            </w:r>
          </w:p>
        </w:tc>
      </w:tr>
      <w:tr w:rsidR="00A12401" w14:paraId="343388E8" w14:textId="77777777">
        <w:trPr>
          <w:trHeight w:val="290"/>
        </w:trPr>
        <w:tc>
          <w:tcPr>
            <w:tcW w:w="3080" w:type="dxa"/>
            <w:tcBorders>
              <w:top w:val="nil"/>
              <w:left w:val="single" w:sz="4" w:space="0" w:color="AAAAAA"/>
              <w:bottom w:val="single" w:sz="4" w:space="0" w:color="AAAAAA"/>
              <w:right w:val="single" w:sz="4" w:space="0" w:color="AAAAAA"/>
            </w:tcBorders>
            <w:shd w:val="clear" w:color="auto" w:fill="003087"/>
            <w:vAlign w:val="center"/>
          </w:tcPr>
          <w:p w14:paraId="6DBAFC59"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TOTAL</w:t>
            </w:r>
          </w:p>
        </w:tc>
        <w:tc>
          <w:tcPr>
            <w:tcW w:w="1660" w:type="dxa"/>
            <w:tcBorders>
              <w:top w:val="nil"/>
              <w:left w:val="nil"/>
              <w:bottom w:val="single" w:sz="4" w:space="0" w:color="AAAAAA"/>
              <w:right w:val="single" w:sz="4" w:space="0" w:color="AAAAAA"/>
            </w:tcBorders>
            <w:shd w:val="clear" w:color="auto" w:fill="003087"/>
            <w:vAlign w:val="center"/>
          </w:tcPr>
          <w:p w14:paraId="396FE42F"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20</w:t>
            </w:r>
          </w:p>
        </w:tc>
        <w:tc>
          <w:tcPr>
            <w:tcW w:w="1660" w:type="dxa"/>
            <w:tcBorders>
              <w:top w:val="nil"/>
              <w:left w:val="nil"/>
              <w:bottom w:val="single" w:sz="4" w:space="0" w:color="AAAAAA"/>
              <w:right w:val="single" w:sz="4" w:space="0" w:color="AAAAAA"/>
            </w:tcBorders>
            <w:shd w:val="clear" w:color="auto" w:fill="003087"/>
            <w:vAlign w:val="center"/>
          </w:tcPr>
          <w:p w14:paraId="1491B0AD"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100%</w:t>
            </w:r>
          </w:p>
        </w:tc>
      </w:tr>
    </w:tbl>
    <w:p w14:paraId="3817FEA1" w14:textId="77777777" w:rsidR="00A12401" w:rsidRDefault="00A25E1C">
      <w:r>
        <w:rPr>
          <w:noProof/>
        </w:rPr>
        <w:drawing>
          <wp:inline distT="0" distB="0" distL="0" distR="0" wp14:anchorId="62DCFBD9" wp14:editId="52B6A0DA">
            <wp:extent cx="4805575" cy="314444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805575" cy="3144441"/>
                    </a:xfrm>
                    <a:prstGeom prst="rect">
                      <a:avLst/>
                    </a:prstGeom>
                    <a:ln/>
                  </pic:spPr>
                </pic:pic>
              </a:graphicData>
            </a:graphic>
          </wp:inline>
        </w:drawing>
      </w:r>
    </w:p>
    <w:tbl>
      <w:tblPr>
        <w:tblStyle w:val="a1"/>
        <w:tblW w:w="6400" w:type="dxa"/>
        <w:tblInd w:w="0" w:type="dxa"/>
        <w:tblLayout w:type="fixed"/>
        <w:tblLook w:val="0400" w:firstRow="0" w:lastRow="0" w:firstColumn="0" w:lastColumn="0" w:noHBand="0" w:noVBand="1"/>
      </w:tblPr>
      <w:tblGrid>
        <w:gridCol w:w="3080"/>
        <w:gridCol w:w="1660"/>
        <w:gridCol w:w="1660"/>
      </w:tblGrid>
      <w:tr w:rsidR="00A12401" w14:paraId="35D5E126" w14:textId="77777777">
        <w:trPr>
          <w:trHeight w:val="390"/>
        </w:trPr>
        <w:tc>
          <w:tcPr>
            <w:tcW w:w="6400" w:type="dxa"/>
            <w:gridSpan w:val="3"/>
            <w:tcBorders>
              <w:top w:val="nil"/>
              <w:left w:val="nil"/>
              <w:bottom w:val="nil"/>
              <w:right w:val="nil"/>
            </w:tcBorders>
            <w:shd w:val="clear" w:color="auto" w:fill="C6D9F1"/>
            <w:vAlign w:val="center"/>
          </w:tcPr>
          <w:p w14:paraId="0B9031DF"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Table 1.2 – Gender Distribution</w:t>
            </w:r>
          </w:p>
        </w:tc>
      </w:tr>
      <w:tr w:rsidR="00A12401" w14:paraId="7924C1D3" w14:textId="77777777">
        <w:trPr>
          <w:trHeight w:val="290"/>
        </w:trPr>
        <w:tc>
          <w:tcPr>
            <w:tcW w:w="3080" w:type="dxa"/>
            <w:tcBorders>
              <w:top w:val="single" w:sz="4" w:space="0" w:color="AAAAAA"/>
              <w:left w:val="single" w:sz="4" w:space="0" w:color="AAAAAA"/>
              <w:bottom w:val="single" w:sz="4" w:space="0" w:color="AAAAAA"/>
              <w:right w:val="single" w:sz="4" w:space="0" w:color="AAAAAA"/>
            </w:tcBorders>
            <w:shd w:val="clear" w:color="auto" w:fill="C6D9F1"/>
            <w:vAlign w:val="center"/>
          </w:tcPr>
          <w:p w14:paraId="692B3DED"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Gender</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3AF3A61C"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Responses</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30384110"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Percentage (%)</w:t>
            </w:r>
          </w:p>
        </w:tc>
      </w:tr>
      <w:tr w:rsidR="00A12401" w14:paraId="27A675F0"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122CB2A4"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Woman</w:t>
            </w:r>
          </w:p>
        </w:tc>
        <w:tc>
          <w:tcPr>
            <w:tcW w:w="1660" w:type="dxa"/>
            <w:tcBorders>
              <w:top w:val="nil"/>
              <w:left w:val="nil"/>
              <w:bottom w:val="single" w:sz="4" w:space="0" w:color="AAAAAA"/>
              <w:right w:val="single" w:sz="4" w:space="0" w:color="AAAAAA"/>
            </w:tcBorders>
            <w:vAlign w:val="center"/>
          </w:tcPr>
          <w:p w14:paraId="57CE022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660" w:type="dxa"/>
            <w:tcBorders>
              <w:top w:val="nil"/>
              <w:left w:val="nil"/>
              <w:bottom w:val="single" w:sz="4" w:space="0" w:color="AAAAAA"/>
              <w:right w:val="single" w:sz="4" w:space="0" w:color="AAAAAA"/>
            </w:tcBorders>
            <w:vAlign w:val="bottom"/>
          </w:tcPr>
          <w:p w14:paraId="1534DA4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w:t>
            </w:r>
          </w:p>
        </w:tc>
      </w:tr>
      <w:tr w:rsidR="00A12401" w14:paraId="158C15D5"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38074F1B"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Man</w:t>
            </w:r>
          </w:p>
        </w:tc>
        <w:tc>
          <w:tcPr>
            <w:tcW w:w="1660" w:type="dxa"/>
            <w:tcBorders>
              <w:top w:val="nil"/>
              <w:left w:val="nil"/>
              <w:bottom w:val="single" w:sz="4" w:space="0" w:color="AAAAAA"/>
              <w:right w:val="single" w:sz="4" w:space="0" w:color="AAAAAA"/>
            </w:tcBorders>
            <w:shd w:val="clear" w:color="auto" w:fill="EBF3FB"/>
            <w:vAlign w:val="center"/>
          </w:tcPr>
          <w:p w14:paraId="0B728D4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12</w:t>
            </w:r>
          </w:p>
        </w:tc>
        <w:tc>
          <w:tcPr>
            <w:tcW w:w="1660" w:type="dxa"/>
            <w:tcBorders>
              <w:top w:val="nil"/>
              <w:left w:val="nil"/>
              <w:bottom w:val="single" w:sz="4" w:space="0" w:color="AAAAAA"/>
              <w:right w:val="single" w:sz="4" w:space="0" w:color="AAAAAA"/>
            </w:tcBorders>
            <w:shd w:val="clear" w:color="auto" w:fill="EBF3FB"/>
            <w:vAlign w:val="bottom"/>
          </w:tcPr>
          <w:p w14:paraId="44A1FDA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w:t>
            </w:r>
          </w:p>
        </w:tc>
      </w:tr>
      <w:tr w:rsidR="00A12401" w14:paraId="67F6B8FA"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3A2E4806"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Non-binary</w:t>
            </w:r>
          </w:p>
        </w:tc>
        <w:tc>
          <w:tcPr>
            <w:tcW w:w="1660" w:type="dxa"/>
            <w:tcBorders>
              <w:top w:val="nil"/>
              <w:left w:val="nil"/>
              <w:bottom w:val="single" w:sz="4" w:space="0" w:color="AAAAAA"/>
              <w:right w:val="single" w:sz="4" w:space="0" w:color="AAAAAA"/>
            </w:tcBorders>
            <w:vAlign w:val="center"/>
          </w:tcPr>
          <w:p w14:paraId="1C8DD82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0</w:t>
            </w:r>
          </w:p>
        </w:tc>
        <w:tc>
          <w:tcPr>
            <w:tcW w:w="1660" w:type="dxa"/>
            <w:tcBorders>
              <w:top w:val="nil"/>
              <w:left w:val="nil"/>
              <w:bottom w:val="single" w:sz="4" w:space="0" w:color="AAAAAA"/>
              <w:right w:val="single" w:sz="4" w:space="0" w:color="AAAAAA"/>
            </w:tcBorders>
            <w:vAlign w:val="bottom"/>
          </w:tcPr>
          <w:p w14:paraId="08A974E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0%</w:t>
            </w:r>
          </w:p>
        </w:tc>
      </w:tr>
      <w:tr w:rsidR="00A12401" w14:paraId="5B9F7FDC"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7F2340B5"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Prefer not to say</w:t>
            </w:r>
          </w:p>
        </w:tc>
        <w:tc>
          <w:tcPr>
            <w:tcW w:w="1660" w:type="dxa"/>
            <w:tcBorders>
              <w:top w:val="nil"/>
              <w:left w:val="nil"/>
              <w:bottom w:val="single" w:sz="4" w:space="0" w:color="AAAAAA"/>
              <w:right w:val="single" w:sz="4" w:space="0" w:color="AAAAAA"/>
            </w:tcBorders>
            <w:shd w:val="clear" w:color="auto" w:fill="EBF3FB"/>
            <w:vAlign w:val="center"/>
          </w:tcPr>
          <w:p w14:paraId="0676638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w:t>
            </w:r>
          </w:p>
        </w:tc>
        <w:tc>
          <w:tcPr>
            <w:tcW w:w="1660" w:type="dxa"/>
            <w:tcBorders>
              <w:top w:val="nil"/>
              <w:left w:val="nil"/>
              <w:bottom w:val="single" w:sz="4" w:space="0" w:color="AAAAAA"/>
              <w:right w:val="single" w:sz="4" w:space="0" w:color="AAAAAA"/>
            </w:tcBorders>
            <w:shd w:val="clear" w:color="auto" w:fill="EBF3FB"/>
            <w:vAlign w:val="bottom"/>
          </w:tcPr>
          <w:p w14:paraId="06D6058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r>
      <w:tr w:rsidR="00A12401" w14:paraId="6DECC17D" w14:textId="77777777">
        <w:trPr>
          <w:trHeight w:val="290"/>
        </w:trPr>
        <w:tc>
          <w:tcPr>
            <w:tcW w:w="3080" w:type="dxa"/>
            <w:tcBorders>
              <w:top w:val="nil"/>
              <w:left w:val="single" w:sz="4" w:space="0" w:color="AAAAAA"/>
              <w:bottom w:val="single" w:sz="4" w:space="0" w:color="AAAAAA"/>
              <w:right w:val="single" w:sz="4" w:space="0" w:color="AAAAAA"/>
            </w:tcBorders>
            <w:shd w:val="clear" w:color="auto" w:fill="003087"/>
            <w:vAlign w:val="bottom"/>
          </w:tcPr>
          <w:p w14:paraId="10F8F703"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TOTAL</w:t>
            </w:r>
          </w:p>
        </w:tc>
        <w:tc>
          <w:tcPr>
            <w:tcW w:w="1660" w:type="dxa"/>
            <w:tcBorders>
              <w:top w:val="nil"/>
              <w:left w:val="nil"/>
              <w:bottom w:val="single" w:sz="4" w:space="0" w:color="AAAAAA"/>
              <w:right w:val="single" w:sz="4" w:space="0" w:color="AAAAAA"/>
            </w:tcBorders>
            <w:shd w:val="clear" w:color="auto" w:fill="003087"/>
            <w:vAlign w:val="bottom"/>
          </w:tcPr>
          <w:p w14:paraId="3A28EAA2"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20</w:t>
            </w:r>
          </w:p>
        </w:tc>
        <w:tc>
          <w:tcPr>
            <w:tcW w:w="1660" w:type="dxa"/>
            <w:tcBorders>
              <w:top w:val="nil"/>
              <w:left w:val="nil"/>
              <w:bottom w:val="single" w:sz="4" w:space="0" w:color="AAAAAA"/>
              <w:right w:val="single" w:sz="4" w:space="0" w:color="AAAAAA"/>
            </w:tcBorders>
            <w:shd w:val="clear" w:color="auto" w:fill="003087"/>
            <w:vAlign w:val="bottom"/>
          </w:tcPr>
          <w:p w14:paraId="4EBE19B3"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100%</w:t>
            </w:r>
          </w:p>
        </w:tc>
      </w:tr>
    </w:tbl>
    <w:p w14:paraId="2EC7D3F8" w14:textId="77777777" w:rsidR="00A12401" w:rsidRDefault="00A25E1C">
      <w:r>
        <w:rPr>
          <w:noProof/>
        </w:rPr>
        <w:drawing>
          <wp:inline distT="0" distB="0" distL="0" distR="0" wp14:anchorId="4345B00D" wp14:editId="637FA8EE">
            <wp:extent cx="4784997" cy="312355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84997" cy="3123554"/>
                    </a:xfrm>
                    <a:prstGeom prst="rect">
                      <a:avLst/>
                    </a:prstGeom>
                    <a:ln/>
                  </pic:spPr>
                </pic:pic>
              </a:graphicData>
            </a:graphic>
          </wp:inline>
        </w:drawing>
      </w:r>
    </w:p>
    <w:p w14:paraId="431B98CD" w14:textId="77777777" w:rsidR="00A12401" w:rsidRDefault="00A25E1C">
      <w:pPr>
        <w:pStyle w:val="Heading2"/>
        <w:numPr>
          <w:ilvl w:val="1"/>
          <w:numId w:val="4"/>
        </w:numPr>
      </w:pPr>
      <w:bookmarkStart w:id="55" w:name="_u1cqqfkefru6" w:colFirst="0" w:colLast="0"/>
      <w:bookmarkEnd w:id="55"/>
      <w:r>
        <w:t>Shopping Frequency &amp; CSR Awareness</w:t>
      </w:r>
    </w:p>
    <w:tbl>
      <w:tblPr>
        <w:tblStyle w:val="a2"/>
        <w:tblW w:w="6400" w:type="dxa"/>
        <w:tblInd w:w="0" w:type="dxa"/>
        <w:tblLayout w:type="fixed"/>
        <w:tblLook w:val="0400" w:firstRow="0" w:lastRow="0" w:firstColumn="0" w:lastColumn="0" w:noHBand="0" w:noVBand="1"/>
      </w:tblPr>
      <w:tblGrid>
        <w:gridCol w:w="3080"/>
        <w:gridCol w:w="1660"/>
        <w:gridCol w:w="1660"/>
      </w:tblGrid>
      <w:tr w:rsidR="00A12401" w14:paraId="68811BFC" w14:textId="77777777">
        <w:trPr>
          <w:trHeight w:val="300"/>
        </w:trPr>
        <w:tc>
          <w:tcPr>
            <w:tcW w:w="6400" w:type="dxa"/>
            <w:gridSpan w:val="3"/>
            <w:tcBorders>
              <w:top w:val="nil"/>
              <w:left w:val="nil"/>
              <w:bottom w:val="nil"/>
              <w:right w:val="nil"/>
            </w:tcBorders>
            <w:shd w:val="clear" w:color="auto" w:fill="C6D9F1"/>
            <w:vAlign w:val="center"/>
          </w:tcPr>
          <w:p w14:paraId="14C1C3CC"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Table 2.1 – Shopping Frequency at Tesco (Q3)</w:t>
            </w:r>
          </w:p>
        </w:tc>
      </w:tr>
      <w:tr w:rsidR="00A12401" w14:paraId="1CF64436" w14:textId="77777777">
        <w:trPr>
          <w:trHeight w:val="290"/>
        </w:trPr>
        <w:tc>
          <w:tcPr>
            <w:tcW w:w="3080" w:type="dxa"/>
            <w:tcBorders>
              <w:top w:val="single" w:sz="4" w:space="0" w:color="AAAAAA"/>
              <w:left w:val="single" w:sz="4" w:space="0" w:color="AAAAAA"/>
              <w:bottom w:val="single" w:sz="4" w:space="0" w:color="AAAAAA"/>
              <w:right w:val="single" w:sz="4" w:space="0" w:color="AAAAAA"/>
            </w:tcBorders>
            <w:shd w:val="clear" w:color="auto" w:fill="C6D9F1"/>
            <w:vAlign w:val="center"/>
          </w:tcPr>
          <w:p w14:paraId="3C1B7933"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Frequency</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05056D87"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Responses</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3C4778E9"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Percentage (%)</w:t>
            </w:r>
          </w:p>
        </w:tc>
      </w:tr>
      <w:tr w:rsidR="00A12401" w14:paraId="6E9B2060"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2EA37C9F"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Daily</w:t>
            </w:r>
          </w:p>
        </w:tc>
        <w:tc>
          <w:tcPr>
            <w:tcW w:w="1660" w:type="dxa"/>
            <w:tcBorders>
              <w:top w:val="nil"/>
              <w:left w:val="nil"/>
              <w:bottom w:val="single" w:sz="4" w:space="0" w:color="AAAAAA"/>
              <w:right w:val="single" w:sz="4" w:space="0" w:color="AAAAAA"/>
            </w:tcBorders>
            <w:vAlign w:val="center"/>
          </w:tcPr>
          <w:p w14:paraId="50F0B1A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0</w:t>
            </w:r>
          </w:p>
        </w:tc>
        <w:tc>
          <w:tcPr>
            <w:tcW w:w="1660" w:type="dxa"/>
            <w:tcBorders>
              <w:top w:val="nil"/>
              <w:left w:val="nil"/>
              <w:bottom w:val="single" w:sz="4" w:space="0" w:color="AAAAAA"/>
              <w:right w:val="single" w:sz="4" w:space="0" w:color="AAAAAA"/>
            </w:tcBorders>
            <w:vAlign w:val="bottom"/>
          </w:tcPr>
          <w:p w14:paraId="3CDC685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0%</w:t>
            </w:r>
          </w:p>
        </w:tc>
      </w:tr>
      <w:tr w:rsidR="00A12401" w14:paraId="35198BB2"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5035F61D"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Weekly</w:t>
            </w:r>
          </w:p>
        </w:tc>
        <w:tc>
          <w:tcPr>
            <w:tcW w:w="1660" w:type="dxa"/>
            <w:tcBorders>
              <w:top w:val="nil"/>
              <w:left w:val="nil"/>
              <w:bottom w:val="single" w:sz="4" w:space="0" w:color="AAAAAA"/>
              <w:right w:val="single" w:sz="4" w:space="0" w:color="AAAAAA"/>
            </w:tcBorders>
            <w:shd w:val="clear" w:color="auto" w:fill="EBF3FB"/>
            <w:vAlign w:val="center"/>
          </w:tcPr>
          <w:p w14:paraId="412F9E7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14</w:t>
            </w:r>
          </w:p>
        </w:tc>
        <w:tc>
          <w:tcPr>
            <w:tcW w:w="1660" w:type="dxa"/>
            <w:tcBorders>
              <w:top w:val="nil"/>
              <w:left w:val="nil"/>
              <w:bottom w:val="single" w:sz="4" w:space="0" w:color="AAAAAA"/>
              <w:right w:val="single" w:sz="4" w:space="0" w:color="AAAAAA"/>
            </w:tcBorders>
            <w:shd w:val="clear" w:color="auto" w:fill="EBF3FB"/>
            <w:vAlign w:val="bottom"/>
          </w:tcPr>
          <w:p w14:paraId="5ADEEC3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70%</w:t>
            </w:r>
          </w:p>
        </w:tc>
      </w:tr>
      <w:tr w:rsidR="00A12401" w14:paraId="13E33EA9"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3010F399"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Monthly</w:t>
            </w:r>
          </w:p>
        </w:tc>
        <w:tc>
          <w:tcPr>
            <w:tcW w:w="1660" w:type="dxa"/>
            <w:tcBorders>
              <w:top w:val="nil"/>
              <w:left w:val="nil"/>
              <w:bottom w:val="single" w:sz="4" w:space="0" w:color="AAAAAA"/>
              <w:right w:val="single" w:sz="4" w:space="0" w:color="AAAAAA"/>
            </w:tcBorders>
            <w:vAlign w:val="center"/>
          </w:tcPr>
          <w:p w14:paraId="155DF67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w:t>
            </w:r>
          </w:p>
        </w:tc>
        <w:tc>
          <w:tcPr>
            <w:tcW w:w="1660" w:type="dxa"/>
            <w:tcBorders>
              <w:top w:val="nil"/>
              <w:left w:val="nil"/>
              <w:bottom w:val="single" w:sz="4" w:space="0" w:color="AAAAAA"/>
              <w:right w:val="single" w:sz="4" w:space="0" w:color="AAAAAA"/>
            </w:tcBorders>
            <w:vAlign w:val="bottom"/>
          </w:tcPr>
          <w:p w14:paraId="50C4404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15%</w:t>
            </w:r>
          </w:p>
        </w:tc>
      </w:tr>
      <w:tr w:rsidR="00A12401" w14:paraId="61E5FF5D"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0FE7A2D4"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Seasonal</w:t>
            </w:r>
          </w:p>
        </w:tc>
        <w:tc>
          <w:tcPr>
            <w:tcW w:w="1660" w:type="dxa"/>
            <w:tcBorders>
              <w:top w:val="nil"/>
              <w:left w:val="nil"/>
              <w:bottom w:val="single" w:sz="4" w:space="0" w:color="AAAAAA"/>
              <w:right w:val="single" w:sz="4" w:space="0" w:color="AAAAAA"/>
            </w:tcBorders>
            <w:shd w:val="clear" w:color="auto" w:fill="EBF3FB"/>
            <w:vAlign w:val="center"/>
          </w:tcPr>
          <w:p w14:paraId="445E52C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w:t>
            </w:r>
          </w:p>
        </w:tc>
        <w:tc>
          <w:tcPr>
            <w:tcW w:w="1660" w:type="dxa"/>
            <w:tcBorders>
              <w:top w:val="nil"/>
              <w:left w:val="nil"/>
              <w:bottom w:val="single" w:sz="4" w:space="0" w:color="AAAAAA"/>
              <w:right w:val="single" w:sz="4" w:space="0" w:color="AAAAAA"/>
            </w:tcBorders>
            <w:shd w:val="clear" w:color="auto" w:fill="EBF3FB"/>
            <w:vAlign w:val="bottom"/>
          </w:tcPr>
          <w:p w14:paraId="719AFCED"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r>
      <w:tr w:rsidR="00A12401" w14:paraId="2F24C75F"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4F8288F2"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Yearly</w:t>
            </w:r>
          </w:p>
        </w:tc>
        <w:tc>
          <w:tcPr>
            <w:tcW w:w="1660" w:type="dxa"/>
            <w:tcBorders>
              <w:top w:val="nil"/>
              <w:left w:val="nil"/>
              <w:bottom w:val="single" w:sz="4" w:space="0" w:color="AAAAAA"/>
              <w:right w:val="single" w:sz="4" w:space="0" w:color="AAAAAA"/>
            </w:tcBorders>
            <w:vAlign w:val="center"/>
          </w:tcPr>
          <w:p w14:paraId="5DCC96E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0</w:t>
            </w:r>
          </w:p>
        </w:tc>
        <w:tc>
          <w:tcPr>
            <w:tcW w:w="1660" w:type="dxa"/>
            <w:tcBorders>
              <w:top w:val="nil"/>
              <w:left w:val="nil"/>
              <w:bottom w:val="single" w:sz="4" w:space="0" w:color="AAAAAA"/>
              <w:right w:val="single" w:sz="4" w:space="0" w:color="AAAAAA"/>
            </w:tcBorders>
            <w:vAlign w:val="bottom"/>
          </w:tcPr>
          <w:p w14:paraId="0CC6512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0%</w:t>
            </w:r>
          </w:p>
        </w:tc>
      </w:tr>
      <w:tr w:rsidR="00A12401" w14:paraId="644DCB76"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31015ECE"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Never</w:t>
            </w:r>
          </w:p>
        </w:tc>
        <w:tc>
          <w:tcPr>
            <w:tcW w:w="1660" w:type="dxa"/>
            <w:tcBorders>
              <w:top w:val="nil"/>
              <w:left w:val="nil"/>
              <w:bottom w:val="single" w:sz="4" w:space="0" w:color="AAAAAA"/>
              <w:right w:val="single" w:sz="4" w:space="0" w:color="AAAAAA"/>
            </w:tcBorders>
            <w:shd w:val="clear" w:color="auto" w:fill="EBF3FB"/>
            <w:vAlign w:val="center"/>
          </w:tcPr>
          <w:p w14:paraId="1C9ECFC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w:t>
            </w:r>
          </w:p>
        </w:tc>
        <w:tc>
          <w:tcPr>
            <w:tcW w:w="1660" w:type="dxa"/>
            <w:tcBorders>
              <w:top w:val="nil"/>
              <w:left w:val="nil"/>
              <w:bottom w:val="single" w:sz="4" w:space="0" w:color="AAAAAA"/>
              <w:right w:val="single" w:sz="4" w:space="0" w:color="AAAAAA"/>
            </w:tcBorders>
            <w:shd w:val="clear" w:color="auto" w:fill="EBF3FB"/>
            <w:vAlign w:val="bottom"/>
          </w:tcPr>
          <w:p w14:paraId="13955E4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10%</w:t>
            </w:r>
          </w:p>
        </w:tc>
      </w:tr>
      <w:tr w:rsidR="00A12401" w14:paraId="6B02F867" w14:textId="77777777">
        <w:trPr>
          <w:trHeight w:val="290"/>
        </w:trPr>
        <w:tc>
          <w:tcPr>
            <w:tcW w:w="3080" w:type="dxa"/>
            <w:tcBorders>
              <w:top w:val="nil"/>
              <w:left w:val="single" w:sz="4" w:space="0" w:color="AAAAAA"/>
              <w:bottom w:val="single" w:sz="4" w:space="0" w:color="AAAAAA"/>
              <w:right w:val="single" w:sz="4" w:space="0" w:color="AAAAAA"/>
            </w:tcBorders>
            <w:shd w:val="clear" w:color="auto" w:fill="003087"/>
            <w:vAlign w:val="bottom"/>
          </w:tcPr>
          <w:p w14:paraId="178364A2"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TOTAL</w:t>
            </w:r>
          </w:p>
        </w:tc>
        <w:tc>
          <w:tcPr>
            <w:tcW w:w="1660" w:type="dxa"/>
            <w:tcBorders>
              <w:top w:val="nil"/>
              <w:left w:val="nil"/>
              <w:bottom w:val="single" w:sz="4" w:space="0" w:color="AAAAAA"/>
              <w:right w:val="single" w:sz="4" w:space="0" w:color="AAAAAA"/>
            </w:tcBorders>
            <w:shd w:val="clear" w:color="auto" w:fill="003087"/>
            <w:vAlign w:val="bottom"/>
          </w:tcPr>
          <w:p w14:paraId="26B84A82"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20</w:t>
            </w:r>
          </w:p>
        </w:tc>
        <w:tc>
          <w:tcPr>
            <w:tcW w:w="1660" w:type="dxa"/>
            <w:tcBorders>
              <w:top w:val="nil"/>
              <w:left w:val="nil"/>
              <w:bottom w:val="single" w:sz="4" w:space="0" w:color="AAAAAA"/>
              <w:right w:val="single" w:sz="4" w:space="0" w:color="AAAAAA"/>
            </w:tcBorders>
            <w:shd w:val="clear" w:color="auto" w:fill="003087"/>
            <w:vAlign w:val="bottom"/>
          </w:tcPr>
          <w:p w14:paraId="070F24C9"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100%</w:t>
            </w:r>
          </w:p>
        </w:tc>
      </w:tr>
      <w:tr w:rsidR="00A12401" w14:paraId="3E41F055" w14:textId="77777777">
        <w:trPr>
          <w:trHeight w:val="290"/>
        </w:trPr>
        <w:tc>
          <w:tcPr>
            <w:tcW w:w="3080" w:type="dxa"/>
            <w:tcBorders>
              <w:top w:val="nil"/>
              <w:left w:val="nil"/>
              <w:bottom w:val="nil"/>
              <w:right w:val="nil"/>
            </w:tcBorders>
            <w:vAlign w:val="bottom"/>
          </w:tcPr>
          <w:p w14:paraId="6C0068E6" w14:textId="77777777" w:rsidR="00A12401" w:rsidRDefault="00A12401">
            <w:pPr>
              <w:spacing w:after="0" w:line="240" w:lineRule="auto"/>
              <w:jc w:val="center"/>
              <w:rPr>
                <w:rFonts w:ascii="Arial" w:eastAsia="Arial" w:hAnsi="Arial" w:cs="Arial"/>
                <w:b/>
                <w:bCs/>
                <w:color w:val="FFFFFF"/>
                <w:sz w:val="20"/>
                <w:szCs w:val="20"/>
              </w:rPr>
            </w:pPr>
          </w:p>
        </w:tc>
        <w:tc>
          <w:tcPr>
            <w:tcW w:w="1660" w:type="dxa"/>
            <w:tcBorders>
              <w:top w:val="nil"/>
              <w:left w:val="nil"/>
              <w:bottom w:val="nil"/>
              <w:right w:val="nil"/>
            </w:tcBorders>
            <w:vAlign w:val="bottom"/>
          </w:tcPr>
          <w:p w14:paraId="66C52588" w14:textId="77777777" w:rsidR="00A12401" w:rsidRDefault="00A12401">
            <w:pPr>
              <w:spacing w:after="0" w:line="240" w:lineRule="auto"/>
              <w:jc w:val="left"/>
              <w:rPr>
                <w:sz w:val="20"/>
                <w:szCs w:val="20"/>
              </w:rPr>
            </w:pPr>
          </w:p>
        </w:tc>
        <w:tc>
          <w:tcPr>
            <w:tcW w:w="1660" w:type="dxa"/>
            <w:tcBorders>
              <w:top w:val="nil"/>
              <w:left w:val="nil"/>
              <w:bottom w:val="nil"/>
              <w:right w:val="nil"/>
            </w:tcBorders>
            <w:vAlign w:val="bottom"/>
          </w:tcPr>
          <w:p w14:paraId="343DB47D" w14:textId="77777777" w:rsidR="00A12401" w:rsidRDefault="00A12401">
            <w:pPr>
              <w:spacing w:after="0" w:line="240" w:lineRule="auto"/>
              <w:jc w:val="left"/>
              <w:rPr>
                <w:sz w:val="20"/>
                <w:szCs w:val="20"/>
              </w:rPr>
            </w:pPr>
          </w:p>
        </w:tc>
      </w:tr>
      <w:tr w:rsidR="00A12401" w14:paraId="60AA4722" w14:textId="77777777">
        <w:trPr>
          <w:trHeight w:val="300"/>
        </w:trPr>
        <w:tc>
          <w:tcPr>
            <w:tcW w:w="6400" w:type="dxa"/>
            <w:gridSpan w:val="3"/>
            <w:tcBorders>
              <w:top w:val="nil"/>
              <w:left w:val="nil"/>
              <w:bottom w:val="nil"/>
              <w:right w:val="nil"/>
            </w:tcBorders>
            <w:shd w:val="clear" w:color="auto" w:fill="C6D9F1"/>
            <w:vAlign w:val="center"/>
          </w:tcPr>
          <w:p w14:paraId="02ADCD51"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Table 2.2 – CSR Awareness (Q4)</w:t>
            </w:r>
          </w:p>
        </w:tc>
      </w:tr>
      <w:tr w:rsidR="00A12401" w14:paraId="60D6E96B" w14:textId="77777777">
        <w:trPr>
          <w:trHeight w:val="290"/>
        </w:trPr>
        <w:tc>
          <w:tcPr>
            <w:tcW w:w="3080" w:type="dxa"/>
            <w:tcBorders>
              <w:top w:val="single" w:sz="4" w:space="0" w:color="AAAAAA"/>
              <w:left w:val="single" w:sz="4" w:space="0" w:color="AAAAAA"/>
              <w:bottom w:val="single" w:sz="4" w:space="0" w:color="AAAAAA"/>
              <w:right w:val="single" w:sz="4" w:space="0" w:color="AAAAAA"/>
            </w:tcBorders>
            <w:shd w:val="clear" w:color="auto" w:fill="C6D9F1"/>
            <w:vAlign w:val="center"/>
          </w:tcPr>
          <w:p w14:paraId="7F77D1B8"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Response</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32B5860B"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Responses</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78E413C2"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Percentage (%)</w:t>
            </w:r>
          </w:p>
        </w:tc>
      </w:tr>
      <w:tr w:rsidR="00A12401" w14:paraId="734D3915"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2FC59619"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Yes</w:t>
            </w:r>
          </w:p>
        </w:tc>
        <w:tc>
          <w:tcPr>
            <w:tcW w:w="1660" w:type="dxa"/>
            <w:tcBorders>
              <w:top w:val="nil"/>
              <w:left w:val="nil"/>
              <w:bottom w:val="single" w:sz="4" w:space="0" w:color="AAAAAA"/>
              <w:right w:val="single" w:sz="4" w:space="0" w:color="AAAAAA"/>
            </w:tcBorders>
            <w:vAlign w:val="center"/>
          </w:tcPr>
          <w:p w14:paraId="4A1C09F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13</w:t>
            </w:r>
          </w:p>
        </w:tc>
        <w:tc>
          <w:tcPr>
            <w:tcW w:w="1660" w:type="dxa"/>
            <w:tcBorders>
              <w:top w:val="nil"/>
              <w:left w:val="nil"/>
              <w:bottom w:val="single" w:sz="4" w:space="0" w:color="AAAAAA"/>
              <w:right w:val="single" w:sz="4" w:space="0" w:color="AAAAAA"/>
            </w:tcBorders>
            <w:vAlign w:val="bottom"/>
          </w:tcPr>
          <w:p w14:paraId="30B6E3C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65%</w:t>
            </w:r>
          </w:p>
        </w:tc>
      </w:tr>
      <w:tr w:rsidR="00A12401" w14:paraId="75107454"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7493DB21"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No</w:t>
            </w:r>
          </w:p>
        </w:tc>
        <w:tc>
          <w:tcPr>
            <w:tcW w:w="1660" w:type="dxa"/>
            <w:tcBorders>
              <w:top w:val="nil"/>
              <w:left w:val="nil"/>
              <w:bottom w:val="single" w:sz="4" w:space="0" w:color="AAAAAA"/>
              <w:right w:val="single" w:sz="4" w:space="0" w:color="AAAAAA"/>
            </w:tcBorders>
            <w:shd w:val="clear" w:color="auto" w:fill="EBF3FB"/>
            <w:vAlign w:val="center"/>
          </w:tcPr>
          <w:p w14:paraId="674A6E9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660" w:type="dxa"/>
            <w:tcBorders>
              <w:top w:val="nil"/>
              <w:left w:val="nil"/>
              <w:bottom w:val="single" w:sz="4" w:space="0" w:color="AAAAAA"/>
              <w:right w:val="single" w:sz="4" w:space="0" w:color="AAAAAA"/>
            </w:tcBorders>
            <w:shd w:val="clear" w:color="auto" w:fill="EBF3FB"/>
            <w:vAlign w:val="bottom"/>
          </w:tcPr>
          <w:p w14:paraId="2D82269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w:t>
            </w:r>
          </w:p>
        </w:tc>
      </w:tr>
      <w:tr w:rsidR="00A12401" w14:paraId="7018FC85" w14:textId="77777777">
        <w:trPr>
          <w:trHeight w:val="290"/>
        </w:trPr>
        <w:tc>
          <w:tcPr>
            <w:tcW w:w="3080" w:type="dxa"/>
            <w:tcBorders>
              <w:top w:val="nil"/>
              <w:left w:val="single" w:sz="4" w:space="0" w:color="AAAAAA"/>
              <w:bottom w:val="single" w:sz="4" w:space="0" w:color="AAAAAA"/>
              <w:right w:val="single" w:sz="4" w:space="0" w:color="AAAAAA"/>
            </w:tcBorders>
            <w:shd w:val="clear" w:color="auto" w:fill="003087"/>
            <w:vAlign w:val="bottom"/>
          </w:tcPr>
          <w:p w14:paraId="134BC12A"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TOTAL</w:t>
            </w:r>
          </w:p>
        </w:tc>
        <w:tc>
          <w:tcPr>
            <w:tcW w:w="1660" w:type="dxa"/>
            <w:tcBorders>
              <w:top w:val="nil"/>
              <w:left w:val="nil"/>
              <w:bottom w:val="single" w:sz="4" w:space="0" w:color="AAAAAA"/>
              <w:right w:val="single" w:sz="4" w:space="0" w:color="AAAAAA"/>
            </w:tcBorders>
            <w:shd w:val="clear" w:color="auto" w:fill="003087"/>
            <w:vAlign w:val="bottom"/>
          </w:tcPr>
          <w:p w14:paraId="5C3E2B78"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20</w:t>
            </w:r>
          </w:p>
        </w:tc>
        <w:tc>
          <w:tcPr>
            <w:tcW w:w="1660" w:type="dxa"/>
            <w:tcBorders>
              <w:top w:val="nil"/>
              <w:left w:val="nil"/>
              <w:bottom w:val="single" w:sz="4" w:space="0" w:color="AAAAAA"/>
              <w:right w:val="single" w:sz="4" w:space="0" w:color="AAAAAA"/>
            </w:tcBorders>
            <w:shd w:val="clear" w:color="auto" w:fill="003087"/>
            <w:vAlign w:val="bottom"/>
          </w:tcPr>
          <w:p w14:paraId="581671CF"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100%</w:t>
            </w:r>
          </w:p>
        </w:tc>
      </w:tr>
      <w:tr w:rsidR="00A12401" w14:paraId="30AAF1D3" w14:textId="77777777">
        <w:trPr>
          <w:trHeight w:val="290"/>
        </w:trPr>
        <w:tc>
          <w:tcPr>
            <w:tcW w:w="3080" w:type="dxa"/>
            <w:tcBorders>
              <w:top w:val="nil"/>
              <w:left w:val="nil"/>
              <w:bottom w:val="nil"/>
              <w:right w:val="nil"/>
            </w:tcBorders>
            <w:vAlign w:val="bottom"/>
          </w:tcPr>
          <w:p w14:paraId="099C70DB" w14:textId="77777777" w:rsidR="00A12401" w:rsidRDefault="00A12401">
            <w:pPr>
              <w:spacing w:after="0" w:line="240" w:lineRule="auto"/>
              <w:jc w:val="center"/>
              <w:rPr>
                <w:rFonts w:ascii="Arial" w:eastAsia="Arial" w:hAnsi="Arial" w:cs="Arial"/>
                <w:b/>
                <w:bCs/>
                <w:color w:val="FFFFFF"/>
                <w:sz w:val="20"/>
                <w:szCs w:val="20"/>
              </w:rPr>
            </w:pPr>
          </w:p>
        </w:tc>
        <w:tc>
          <w:tcPr>
            <w:tcW w:w="1660" w:type="dxa"/>
            <w:tcBorders>
              <w:top w:val="nil"/>
              <w:left w:val="nil"/>
              <w:bottom w:val="nil"/>
              <w:right w:val="nil"/>
            </w:tcBorders>
            <w:vAlign w:val="bottom"/>
          </w:tcPr>
          <w:p w14:paraId="51A242D2" w14:textId="77777777" w:rsidR="00A12401" w:rsidRDefault="00A12401">
            <w:pPr>
              <w:spacing w:after="0" w:line="240" w:lineRule="auto"/>
              <w:jc w:val="left"/>
              <w:rPr>
                <w:sz w:val="20"/>
                <w:szCs w:val="20"/>
              </w:rPr>
            </w:pPr>
          </w:p>
        </w:tc>
        <w:tc>
          <w:tcPr>
            <w:tcW w:w="1660" w:type="dxa"/>
            <w:tcBorders>
              <w:top w:val="nil"/>
              <w:left w:val="nil"/>
              <w:bottom w:val="nil"/>
              <w:right w:val="nil"/>
            </w:tcBorders>
            <w:vAlign w:val="bottom"/>
          </w:tcPr>
          <w:p w14:paraId="58EA5425" w14:textId="77777777" w:rsidR="00A12401" w:rsidRDefault="00A12401">
            <w:pPr>
              <w:spacing w:after="0" w:line="240" w:lineRule="auto"/>
              <w:jc w:val="left"/>
              <w:rPr>
                <w:sz w:val="20"/>
                <w:szCs w:val="20"/>
              </w:rPr>
            </w:pPr>
          </w:p>
        </w:tc>
      </w:tr>
      <w:tr w:rsidR="00A12401" w14:paraId="4A5305F1" w14:textId="77777777">
        <w:trPr>
          <w:trHeight w:val="300"/>
        </w:trPr>
        <w:tc>
          <w:tcPr>
            <w:tcW w:w="6400" w:type="dxa"/>
            <w:gridSpan w:val="3"/>
            <w:tcBorders>
              <w:top w:val="nil"/>
              <w:left w:val="nil"/>
              <w:bottom w:val="nil"/>
              <w:right w:val="nil"/>
            </w:tcBorders>
            <w:shd w:val="clear" w:color="auto" w:fill="C6D9F1"/>
            <w:vAlign w:val="center"/>
          </w:tcPr>
          <w:p w14:paraId="290BF216"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Table 2.3 – Channels for Learning about Tesco CSR (Q5)</w:t>
            </w:r>
          </w:p>
        </w:tc>
      </w:tr>
      <w:tr w:rsidR="00A12401" w14:paraId="2BB6C1C2" w14:textId="77777777">
        <w:trPr>
          <w:trHeight w:val="290"/>
        </w:trPr>
        <w:tc>
          <w:tcPr>
            <w:tcW w:w="3080" w:type="dxa"/>
            <w:tcBorders>
              <w:top w:val="single" w:sz="4" w:space="0" w:color="AAAAAA"/>
              <w:left w:val="single" w:sz="4" w:space="0" w:color="AAAAAA"/>
              <w:bottom w:val="single" w:sz="4" w:space="0" w:color="AAAAAA"/>
              <w:right w:val="single" w:sz="4" w:space="0" w:color="AAAAAA"/>
            </w:tcBorders>
            <w:shd w:val="clear" w:color="auto" w:fill="C6D9F1"/>
            <w:vAlign w:val="center"/>
          </w:tcPr>
          <w:p w14:paraId="6E17C11F"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Channel</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2058A28C"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Responses</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03609813"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Percentage (%)</w:t>
            </w:r>
          </w:p>
        </w:tc>
      </w:tr>
      <w:tr w:rsidR="00A12401" w14:paraId="4630370D"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1D33F370"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Email</w:t>
            </w:r>
          </w:p>
        </w:tc>
        <w:tc>
          <w:tcPr>
            <w:tcW w:w="1660" w:type="dxa"/>
            <w:tcBorders>
              <w:top w:val="nil"/>
              <w:left w:val="nil"/>
              <w:bottom w:val="single" w:sz="4" w:space="0" w:color="AAAAAA"/>
              <w:right w:val="single" w:sz="4" w:space="0" w:color="AAAAAA"/>
            </w:tcBorders>
            <w:vAlign w:val="center"/>
          </w:tcPr>
          <w:p w14:paraId="6D0EDFD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w:t>
            </w:r>
          </w:p>
        </w:tc>
        <w:tc>
          <w:tcPr>
            <w:tcW w:w="1660" w:type="dxa"/>
            <w:tcBorders>
              <w:top w:val="nil"/>
              <w:left w:val="nil"/>
              <w:bottom w:val="single" w:sz="4" w:space="0" w:color="AAAAAA"/>
              <w:right w:val="single" w:sz="4" w:space="0" w:color="AAAAAA"/>
            </w:tcBorders>
            <w:vAlign w:val="bottom"/>
          </w:tcPr>
          <w:p w14:paraId="6EAEE26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11%</w:t>
            </w:r>
          </w:p>
        </w:tc>
      </w:tr>
      <w:tr w:rsidR="00A12401" w14:paraId="5BA0DA13"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42BCB907"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Phone</w:t>
            </w:r>
          </w:p>
        </w:tc>
        <w:tc>
          <w:tcPr>
            <w:tcW w:w="1660" w:type="dxa"/>
            <w:tcBorders>
              <w:top w:val="nil"/>
              <w:left w:val="nil"/>
              <w:bottom w:val="single" w:sz="4" w:space="0" w:color="AAAAAA"/>
              <w:right w:val="single" w:sz="4" w:space="0" w:color="AAAAAA"/>
            </w:tcBorders>
            <w:shd w:val="clear" w:color="auto" w:fill="EBF3FB"/>
            <w:vAlign w:val="center"/>
          </w:tcPr>
          <w:p w14:paraId="5D130A1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w:t>
            </w:r>
          </w:p>
        </w:tc>
        <w:tc>
          <w:tcPr>
            <w:tcW w:w="1660" w:type="dxa"/>
            <w:tcBorders>
              <w:top w:val="nil"/>
              <w:left w:val="nil"/>
              <w:bottom w:val="single" w:sz="4" w:space="0" w:color="AAAAAA"/>
              <w:right w:val="single" w:sz="4" w:space="0" w:color="AAAAAA"/>
            </w:tcBorders>
            <w:shd w:val="clear" w:color="auto" w:fill="EBF3FB"/>
            <w:vAlign w:val="bottom"/>
          </w:tcPr>
          <w:p w14:paraId="3E764E2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r>
      <w:tr w:rsidR="00A12401" w14:paraId="0B20F124"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44DAF5AD" w14:textId="77777777" w:rsidR="00A12401" w:rsidRDefault="00A25E1C">
            <w:pPr>
              <w:spacing w:after="0" w:line="240" w:lineRule="auto"/>
              <w:jc w:val="left"/>
              <w:rPr>
                <w:rFonts w:ascii="Arial" w:eastAsia="Arial" w:hAnsi="Arial" w:cs="Arial"/>
                <w:sz w:val="20"/>
                <w:szCs w:val="20"/>
              </w:rPr>
            </w:pPr>
            <w:proofErr w:type="gramStart"/>
            <w:r>
              <w:rPr>
                <w:rFonts w:ascii="Arial" w:eastAsia="Arial" w:hAnsi="Arial" w:cs="Arial"/>
                <w:sz w:val="20"/>
                <w:szCs w:val="20"/>
              </w:rPr>
              <w:t>Social Media</w:t>
            </w:r>
            <w:proofErr w:type="gramEnd"/>
          </w:p>
        </w:tc>
        <w:tc>
          <w:tcPr>
            <w:tcW w:w="1660" w:type="dxa"/>
            <w:tcBorders>
              <w:top w:val="nil"/>
              <w:left w:val="nil"/>
              <w:bottom w:val="single" w:sz="4" w:space="0" w:color="AAAAAA"/>
              <w:right w:val="single" w:sz="4" w:space="0" w:color="AAAAAA"/>
            </w:tcBorders>
            <w:vAlign w:val="center"/>
          </w:tcPr>
          <w:p w14:paraId="1F0FC17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13</w:t>
            </w:r>
          </w:p>
        </w:tc>
        <w:tc>
          <w:tcPr>
            <w:tcW w:w="1660" w:type="dxa"/>
            <w:tcBorders>
              <w:top w:val="nil"/>
              <w:left w:val="nil"/>
              <w:bottom w:val="single" w:sz="4" w:space="0" w:color="AAAAAA"/>
              <w:right w:val="single" w:sz="4" w:space="0" w:color="AAAAAA"/>
            </w:tcBorders>
            <w:vAlign w:val="bottom"/>
          </w:tcPr>
          <w:p w14:paraId="3A7DE75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68%</w:t>
            </w:r>
          </w:p>
        </w:tc>
      </w:tr>
      <w:tr w:rsidR="00A12401" w14:paraId="1D523BB1"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09CFA136"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TV Ads</w:t>
            </w:r>
          </w:p>
        </w:tc>
        <w:tc>
          <w:tcPr>
            <w:tcW w:w="1660" w:type="dxa"/>
            <w:tcBorders>
              <w:top w:val="nil"/>
              <w:left w:val="nil"/>
              <w:bottom w:val="single" w:sz="4" w:space="0" w:color="AAAAAA"/>
              <w:right w:val="single" w:sz="4" w:space="0" w:color="AAAAAA"/>
            </w:tcBorders>
            <w:shd w:val="clear" w:color="auto" w:fill="EBF3FB"/>
            <w:vAlign w:val="center"/>
          </w:tcPr>
          <w:p w14:paraId="7D6851C1"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0</w:t>
            </w:r>
          </w:p>
        </w:tc>
        <w:tc>
          <w:tcPr>
            <w:tcW w:w="1660" w:type="dxa"/>
            <w:tcBorders>
              <w:top w:val="nil"/>
              <w:left w:val="nil"/>
              <w:bottom w:val="single" w:sz="4" w:space="0" w:color="AAAAAA"/>
              <w:right w:val="single" w:sz="4" w:space="0" w:color="AAAAAA"/>
            </w:tcBorders>
            <w:shd w:val="clear" w:color="auto" w:fill="EBF3FB"/>
            <w:vAlign w:val="bottom"/>
          </w:tcPr>
          <w:p w14:paraId="261561B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0%</w:t>
            </w:r>
          </w:p>
        </w:tc>
      </w:tr>
      <w:tr w:rsidR="00A12401" w14:paraId="46261DC1"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76C8AE18"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In-store Promotions</w:t>
            </w:r>
          </w:p>
        </w:tc>
        <w:tc>
          <w:tcPr>
            <w:tcW w:w="1660" w:type="dxa"/>
            <w:tcBorders>
              <w:top w:val="nil"/>
              <w:left w:val="nil"/>
              <w:bottom w:val="single" w:sz="4" w:space="0" w:color="AAAAAA"/>
              <w:right w:val="single" w:sz="4" w:space="0" w:color="AAAAAA"/>
            </w:tcBorders>
            <w:vAlign w:val="center"/>
          </w:tcPr>
          <w:p w14:paraId="0BCBC2C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w:t>
            </w:r>
          </w:p>
        </w:tc>
        <w:tc>
          <w:tcPr>
            <w:tcW w:w="1660" w:type="dxa"/>
            <w:tcBorders>
              <w:top w:val="nil"/>
              <w:left w:val="nil"/>
              <w:bottom w:val="single" w:sz="4" w:space="0" w:color="AAAAAA"/>
              <w:right w:val="single" w:sz="4" w:space="0" w:color="AAAAAA"/>
            </w:tcBorders>
            <w:vAlign w:val="bottom"/>
          </w:tcPr>
          <w:p w14:paraId="22FC5A6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16%</w:t>
            </w:r>
          </w:p>
        </w:tc>
      </w:tr>
      <w:tr w:rsidR="00A12401" w14:paraId="60BAA72D" w14:textId="77777777">
        <w:trPr>
          <w:trHeight w:val="290"/>
        </w:trPr>
        <w:tc>
          <w:tcPr>
            <w:tcW w:w="3080" w:type="dxa"/>
            <w:tcBorders>
              <w:top w:val="nil"/>
              <w:left w:val="single" w:sz="4" w:space="0" w:color="AAAAAA"/>
              <w:bottom w:val="single" w:sz="4" w:space="0" w:color="AAAAAA"/>
              <w:right w:val="single" w:sz="4" w:space="0" w:color="AAAAAA"/>
            </w:tcBorders>
            <w:shd w:val="clear" w:color="auto" w:fill="003087"/>
            <w:vAlign w:val="bottom"/>
          </w:tcPr>
          <w:p w14:paraId="3F504F41"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TOTAL</w:t>
            </w:r>
          </w:p>
        </w:tc>
        <w:tc>
          <w:tcPr>
            <w:tcW w:w="1660" w:type="dxa"/>
            <w:tcBorders>
              <w:top w:val="nil"/>
              <w:left w:val="nil"/>
              <w:bottom w:val="single" w:sz="4" w:space="0" w:color="AAAAAA"/>
              <w:right w:val="single" w:sz="4" w:space="0" w:color="AAAAAA"/>
            </w:tcBorders>
            <w:shd w:val="clear" w:color="auto" w:fill="003087"/>
            <w:vAlign w:val="bottom"/>
          </w:tcPr>
          <w:p w14:paraId="06FD37CD"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19</w:t>
            </w:r>
          </w:p>
        </w:tc>
        <w:tc>
          <w:tcPr>
            <w:tcW w:w="1660" w:type="dxa"/>
            <w:tcBorders>
              <w:top w:val="nil"/>
              <w:left w:val="nil"/>
              <w:bottom w:val="single" w:sz="4" w:space="0" w:color="AAAAAA"/>
              <w:right w:val="single" w:sz="4" w:space="0" w:color="AAAAAA"/>
            </w:tcBorders>
            <w:shd w:val="clear" w:color="auto" w:fill="003087"/>
            <w:vAlign w:val="bottom"/>
          </w:tcPr>
          <w:p w14:paraId="3B525604"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100%</w:t>
            </w:r>
          </w:p>
        </w:tc>
      </w:tr>
      <w:tr w:rsidR="00A12401" w14:paraId="0E2866DC" w14:textId="77777777">
        <w:trPr>
          <w:trHeight w:val="290"/>
        </w:trPr>
        <w:tc>
          <w:tcPr>
            <w:tcW w:w="3080" w:type="dxa"/>
            <w:tcBorders>
              <w:top w:val="nil"/>
              <w:left w:val="nil"/>
              <w:bottom w:val="nil"/>
              <w:right w:val="nil"/>
            </w:tcBorders>
            <w:vAlign w:val="bottom"/>
          </w:tcPr>
          <w:p w14:paraId="73AC4D60" w14:textId="77777777" w:rsidR="00A12401" w:rsidRDefault="00A12401">
            <w:pPr>
              <w:spacing w:after="0" w:line="240" w:lineRule="auto"/>
              <w:jc w:val="center"/>
              <w:rPr>
                <w:rFonts w:ascii="Arial" w:eastAsia="Arial" w:hAnsi="Arial" w:cs="Arial"/>
                <w:b/>
                <w:bCs/>
                <w:color w:val="FFFFFF"/>
                <w:sz w:val="20"/>
                <w:szCs w:val="20"/>
              </w:rPr>
            </w:pPr>
          </w:p>
        </w:tc>
        <w:tc>
          <w:tcPr>
            <w:tcW w:w="1660" w:type="dxa"/>
            <w:tcBorders>
              <w:top w:val="nil"/>
              <w:left w:val="nil"/>
              <w:bottom w:val="nil"/>
              <w:right w:val="nil"/>
            </w:tcBorders>
            <w:vAlign w:val="bottom"/>
          </w:tcPr>
          <w:p w14:paraId="34214886" w14:textId="77777777" w:rsidR="00A12401" w:rsidRDefault="00A12401">
            <w:pPr>
              <w:spacing w:after="0" w:line="240" w:lineRule="auto"/>
              <w:jc w:val="left"/>
              <w:rPr>
                <w:sz w:val="20"/>
                <w:szCs w:val="20"/>
              </w:rPr>
            </w:pPr>
          </w:p>
        </w:tc>
        <w:tc>
          <w:tcPr>
            <w:tcW w:w="1660" w:type="dxa"/>
            <w:tcBorders>
              <w:top w:val="nil"/>
              <w:left w:val="nil"/>
              <w:bottom w:val="nil"/>
              <w:right w:val="nil"/>
            </w:tcBorders>
            <w:vAlign w:val="bottom"/>
          </w:tcPr>
          <w:p w14:paraId="7BE7FED7" w14:textId="77777777" w:rsidR="00A12401" w:rsidRDefault="00A12401">
            <w:pPr>
              <w:spacing w:after="0" w:line="240" w:lineRule="auto"/>
              <w:jc w:val="left"/>
              <w:rPr>
                <w:sz w:val="20"/>
                <w:szCs w:val="20"/>
              </w:rPr>
            </w:pPr>
          </w:p>
        </w:tc>
      </w:tr>
      <w:tr w:rsidR="00A12401" w14:paraId="4CBF53DD" w14:textId="77777777">
        <w:trPr>
          <w:trHeight w:val="300"/>
        </w:trPr>
        <w:tc>
          <w:tcPr>
            <w:tcW w:w="6400" w:type="dxa"/>
            <w:gridSpan w:val="3"/>
            <w:tcBorders>
              <w:top w:val="nil"/>
              <w:left w:val="nil"/>
              <w:bottom w:val="nil"/>
              <w:right w:val="nil"/>
            </w:tcBorders>
            <w:shd w:val="clear" w:color="auto" w:fill="C6D9F1"/>
            <w:vAlign w:val="center"/>
          </w:tcPr>
          <w:p w14:paraId="3EFEB700"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Table 2.4 – CSR Activities Influencing Consumers Most (Q20)</w:t>
            </w:r>
          </w:p>
        </w:tc>
      </w:tr>
      <w:tr w:rsidR="00A12401" w14:paraId="1BE0236E" w14:textId="77777777">
        <w:trPr>
          <w:trHeight w:val="290"/>
        </w:trPr>
        <w:tc>
          <w:tcPr>
            <w:tcW w:w="3080" w:type="dxa"/>
            <w:tcBorders>
              <w:top w:val="single" w:sz="4" w:space="0" w:color="AAAAAA"/>
              <w:left w:val="single" w:sz="4" w:space="0" w:color="AAAAAA"/>
              <w:bottom w:val="single" w:sz="4" w:space="0" w:color="AAAAAA"/>
              <w:right w:val="single" w:sz="4" w:space="0" w:color="AAAAAA"/>
            </w:tcBorders>
            <w:shd w:val="clear" w:color="auto" w:fill="C6D9F1"/>
            <w:vAlign w:val="center"/>
          </w:tcPr>
          <w:p w14:paraId="63012F75"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CSR Activity</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3F86841B"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Responses</w:t>
            </w:r>
          </w:p>
        </w:tc>
        <w:tc>
          <w:tcPr>
            <w:tcW w:w="1660" w:type="dxa"/>
            <w:tcBorders>
              <w:top w:val="single" w:sz="4" w:space="0" w:color="AAAAAA"/>
              <w:left w:val="nil"/>
              <w:bottom w:val="single" w:sz="4" w:space="0" w:color="AAAAAA"/>
              <w:right w:val="single" w:sz="4" w:space="0" w:color="AAAAAA"/>
            </w:tcBorders>
            <w:shd w:val="clear" w:color="auto" w:fill="C6D9F1"/>
            <w:vAlign w:val="center"/>
          </w:tcPr>
          <w:p w14:paraId="2686C92A"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Percentage (%)</w:t>
            </w:r>
          </w:p>
        </w:tc>
      </w:tr>
      <w:tr w:rsidR="00A12401" w14:paraId="6CFBE7BB"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00BBFE45"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Environmental Sustainability</w:t>
            </w:r>
          </w:p>
        </w:tc>
        <w:tc>
          <w:tcPr>
            <w:tcW w:w="1660" w:type="dxa"/>
            <w:tcBorders>
              <w:top w:val="nil"/>
              <w:left w:val="nil"/>
              <w:bottom w:val="single" w:sz="4" w:space="0" w:color="AAAAAA"/>
              <w:right w:val="single" w:sz="4" w:space="0" w:color="AAAAAA"/>
            </w:tcBorders>
            <w:shd w:val="clear" w:color="auto" w:fill="EBF3FB"/>
            <w:vAlign w:val="center"/>
          </w:tcPr>
          <w:p w14:paraId="47163F3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w:t>
            </w:r>
          </w:p>
        </w:tc>
        <w:tc>
          <w:tcPr>
            <w:tcW w:w="1660" w:type="dxa"/>
            <w:tcBorders>
              <w:top w:val="nil"/>
              <w:left w:val="nil"/>
              <w:bottom w:val="single" w:sz="4" w:space="0" w:color="AAAAAA"/>
              <w:right w:val="single" w:sz="4" w:space="0" w:color="AAAAAA"/>
            </w:tcBorders>
            <w:shd w:val="clear" w:color="auto" w:fill="EBF3FB"/>
            <w:vAlign w:val="bottom"/>
          </w:tcPr>
          <w:p w14:paraId="3B84B40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47%</w:t>
            </w:r>
          </w:p>
        </w:tc>
      </w:tr>
      <w:tr w:rsidR="00A12401" w14:paraId="1D9CFD88"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16F5D3B1"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Charity &amp; Donations</w:t>
            </w:r>
          </w:p>
        </w:tc>
        <w:tc>
          <w:tcPr>
            <w:tcW w:w="1660" w:type="dxa"/>
            <w:tcBorders>
              <w:top w:val="nil"/>
              <w:left w:val="nil"/>
              <w:bottom w:val="single" w:sz="4" w:space="0" w:color="AAAAAA"/>
              <w:right w:val="single" w:sz="4" w:space="0" w:color="AAAAAA"/>
            </w:tcBorders>
            <w:vAlign w:val="center"/>
          </w:tcPr>
          <w:p w14:paraId="6FC6F05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w:t>
            </w:r>
          </w:p>
        </w:tc>
        <w:tc>
          <w:tcPr>
            <w:tcW w:w="1660" w:type="dxa"/>
            <w:tcBorders>
              <w:top w:val="nil"/>
              <w:left w:val="nil"/>
              <w:bottom w:val="single" w:sz="4" w:space="0" w:color="AAAAAA"/>
              <w:right w:val="single" w:sz="4" w:space="0" w:color="AAAAAA"/>
            </w:tcBorders>
            <w:vAlign w:val="bottom"/>
          </w:tcPr>
          <w:p w14:paraId="3DFFE911"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r>
      <w:tr w:rsidR="00A12401" w14:paraId="16617A8C"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2AB70168"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Ethical Sourcing</w:t>
            </w:r>
          </w:p>
        </w:tc>
        <w:tc>
          <w:tcPr>
            <w:tcW w:w="1660" w:type="dxa"/>
            <w:tcBorders>
              <w:top w:val="nil"/>
              <w:left w:val="nil"/>
              <w:bottom w:val="single" w:sz="4" w:space="0" w:color="AAAAAA"/>
              <w:right w:val="single" w:sz="4" w:space="0" w:color="AAAAAA"/>
            </w:tcBorders>
            <w:shd w:val="clear" w:color="auto" w:fill="EBF3FB"/>
            <w:vAlign w:val="center"/>
          </w:tcPr>
          <w:p w14:paraId="49BDB2B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w:t>
            </w:r>
          </w:p>
        </w:tc>
        <w:tc>
          <w:tcPr>
            <w:tcW w:w="1660" w:type="dxa"/>
            <w:tcBorders>
              <w:top w:val="nil"/>
              <w:left w:val="nil"/>
              <w:bottom w:val="single" w:sz="4" w:space="0" w:color="AAAAAA"/>
              <w:right w:val="single" w:sz="4" w:space="0" w:color="AAAAAA"/>
            </w:tcBorders>
            <w:shd w:val="clear" w:color="auto" w:fill="EBF3FB"/>
            <w:vAlign w:val="bottom"/>
          </w:tcPr>
          <w:p w14:paraId="0D7D2E2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16%</w:t>
            </w:r>
          </w:p>
        </w:tc>
      </w:tr>
      <w:tr w:rsidR="00A12401" w14:paraId="3E2C7E55" w14:textId="77777777">
        <w:trPr>
          <w:trHeight w:val="290"/>
        </w:trPr>
        <w:tc>
          <w:tcPr>
            <w:tcW w:w="3080" w:type="dxa"/>
            <w:tcBorders>
              <w:top w:val="nil"/>
              <w:left w:val="single" w:sz="4" w:space="0" w:color="AAAAAA"/>
              <w:bottom w:val="single" w:sz="4" w:space="0" w:color="AAAAAA"/>
              <w:right w:val="single" w:sz="4" w:space="0" w:color="AAAAAA"/>
            </w:tcBorders>
            <w:vAlign w:val="center"/>
          </w:tcPr>
          <w:p w14:paraId="34A70C8D"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Employee Welfare</w:t>
            </w:r>
          </w:p>
        </w:tc>
        <w:tc>
          <w:tcPr>
            <w:tcW w:w="1660" w:type="dxa"/>
            <w:tcBorders>
              <w:top w:val="nil"/>
              <w:left w:val="nil"/>
              <w:bottom w:val="single" w:sz="4" w:space="0" w:color="AAAAAA"/>
              <w:right w:val="single" w:sz="4" w:space="0" w:color="AAAAAA"/>
            </w:tcBorders>
            <w:vAlign w:val="center"/>
          </w:tcPr>
          <w:p w14:paraId="07993FD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w:t>
            </w:r>
          </w:p>
        </w:tc>
        <w:tc>
          <w:tcPr>
            <w:tcW w:w="1660" w:type="dxa"/>
            <w:tcBorders>
              <w:top w:val="nil"/>
              <w:left w:val="nil"/>
              <w:bottom w:val="single" w:sz="4" w:space="0" w:color="AAAAAA"/>
              <w:right w:val="single" w:sz="4" w:space="0" w:color="AAAAAA"/>
            </w:tcBorders>
            <w:vAlign w:val="bottom"/>
          </w:tcPr>
          <w:p w14:paraId="1D32BA9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11%</w:t>
            </w:r>
          </w:p>
        </w:tc>
      </w:tr>
      <w:tr w:rsidR="00A12401" w14:paraId="70B8D8EC" w14:textId="77777777">
        <w:trPr>
          <w:trHeight w:val="290"/>
        </w:trPr>
        <w:tc>
          <w:tcPr>
            <w:tcW w:w="3080" w:type="dxa"/>
            <w:tcBorders>
              <w:top w:val="nil"/>
              <w:left w:val="single" w:sz="4" w:space="0" w:color="AAAAAA"/>
              <w:bottom w:val="single" w:sz="4" w:space="0" w:color="AAAAAA"/>
              <w:right w:val="single" w:sz="4" w:space="0" w:color="AAAAAA"/>
            </w:tcBorders>
            <w:shd w:val="clear" w:color="auto" w:fill="EBF3FB"/>
            <w:vAlign w:val="center"/>
          </w:tcPr>
          <w:p w14:paraId="4BF7500E"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Community Support</w:t>
            </w:r>
          </w:p>
        </w:tc>
        <w:tc>
          <w:tcPr>
            <w:tcW w:w="1660" w:type="dxa"/>
            <w:tcBorders>
              <w:top w:val="nil"/>
              <w:left w:val="nil"/>
              <w:bottom w:val="single" w:sz="4" w:space="0" w:color="AAAAAA"/>
              <w:right w:val="single" w:sz="4" w:space="0" w:color="AAAAAA"/>
            </w:tcBorders>
            <w:shd w:val="clear" w:color="auto" w:fill="EBF3FB"/>
            <w:vAlign w:val="center"/>
          </w:tcPr>
          <w:p w14:paraId="69C7065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w:t>
            </w:r>
          </w:p>
        </w:tc>
        <w:tc>
          <w:tcPr>
            <w:tcW w:w="1660" w:type="dxa"/>
            <w:tcBorders>
              <w:top w:val="nil"/>
              <w:left w:val="nil"/>
              <w:bottom w:val="single" w:sz="4" w:space="0" w:color="AAAAAA"/>
              <w:right w:val="single" w:sz="4" w:space="0" w:color="AAAAAA"/>
            </w:tcBorders>
            <w:shd w:val="clear" w:color="auto" w:fill="EBF3FB"/>
            <w:vAlign w:val="bottom"/>
          </w:tcPr>
          <w:p w14:paraId="134C49D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21%</w:t>
            </w:r>
          </w:p>
        </w:tc>
      </w:tr>
      <w:tr w:rsidR="00A12401" w14:paraId="0E0E1C27" w14:textId="77777777">
        <w:trPr>
          <w:trHeight w:val="290"/>
        </w:trPr>
        <w:tc>
          <w:tcPr>
            <w:tcW w:w="3080" w:type="dxa"/>
            <w:tcBorders>
              <w:top w:val="nil"/>
              <w:left w:val="single" w:sz="4" w:space="0" w:color="AAAAAA"/>
              <w:bottom w:val="single" w:sz="4" w:space="0" w:color="AAAAAA"/>
              <w:right w:val="single" w:sz="4" w:space="0" w:color="AAAAAA"/>
            </w:tcBorders>
            <w:shd w:val="clear" w:color="auto" w:fill="003087"/>
            <w:vAlign w:val="bottom"/>
          </w:tcPr>
          <w:p w14:paraId="7E66DB8E"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TOTAL</w:t>
            </w:r>
          </w:p>
        </w:tc>
        <w:tc>
          <w:tcPr>
            <w:tcW w:w="1660" w:type="dxa"/>
            <w:tcBorders>
              <w:top w:val="nil"/>
              <w:left w:val="nil"/>
              <w:bottom w:val="single" w:sz="4" w:space="0" w:color="AAAAAA"/>
              <w:right w:val="single" w:sz="4" w:space="0" w:color="AAAAAA"/>
            </w:tcBorders>
            <w:shd w:val="clear" w:color="auto" w:fill="003087"/>
            <w:vAlign w:val="bottom"/>
          </w:tcPr>
          <w:p w14:paraId="4B01C04F"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19</w:t>
            </w:r>
          </w:p>
        </w:tc>
        <w:tc>
          <w:tcPr>
            <w:tcW w:w="1660" w:type="dxa"/>
            <w:tcBorders>
              <w:top w:val="nil"/>
              <w:left w:val="nil"/>
              <w:bottom w:val="single" w:sz="4" w:space="0" w:color="AAAAAA"/>
              <w:right w:val="single" w:sz="4" w:space="0" w:color="AAAAAA"/>
            </w:tcBorders>
            <w:shd w:val="clear" w:color="auto" w:fill="003087"/>
            <w:vAlign w:val="bottom"/>
          </w:tcPr>
          <w:p w14:paraId="1D3B7BEE"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100%</w:t>
            </w:r>
          </w:p>
        </w:tc>
      </w:tr>
    </w:tbl>
    <w:p w14:paraId="4E5AAA9B" w14:textId="77777777" w:rsidR="00A12401" w:rsidRDefault="00A12401"/>
    <w:p w14:paraId="074FDD1F" w14:textId="77777777" w:rsidR="00A12401" w:rsidRDefault="00A25E1C">
      <w:pPr>
        <w:rPr>
          <w:b/>
          <w:bCs/>
        </w:rPr>
      </w:pPr>
      <w:r>
        <w:rPr>
          <w:b/>
          <w:bCs/>
        </w:rPr>
        <w:t>Interpretation</w:t>
      </w:r>
    </w:p>
    <w:p w14:paraId="1DE29574" w14:textId="77777777" w:rsidR="00A12401" w:rsidRDefault="00A25E1C">
      <w:r>
        <w:t>The results suggest that Tesco is still a popular store since 14 of the participants (70%) visit the store weekly, whereas 2 of the participants (10%) never visited Tesco. The awareness on CSR was moderate with 65% of the respondents aware of Tesco's CSR activities and 35% unaware. However, social media was the most important communication platform for 13 of the respondents, 16% through in store promotions and none through TV. Consumption showed more interest in environmental responsibility as the most infl</w:t>
      </w:r>
      <w:r>
        <w:t>uential CSR activity was selected by 9 respondents (47%), followed by community support (21%) and ethical sourcing (16%).</w:t>
      </w:r>
    </w:p>
    <w:p w14:paraId="188C368B" w14:textId="77777777" w:rsidR="00A12401" w:rsidRDefault="00A25E1C">
      <w:pPr>
        <w:pStyle w:val="Heading2"/>
        <w:numPr>
          <w:ilvl w:val="1"/>
          <w:numId w:val="4"/>
        </w:numPr>
      </w:pPr>
      <w:bookmarkStart w:id="56" w:name="_7jebo8chrpxk" w:colFirst="0" w:colLast="0"/>
      <w:bookmarkEnd w:id="56"/>
      <w:r>
        <w:t>Net Promoter Score (</w:t>
      </w:r>
      <w:proofErr w:type="spellStart"/>
      <w:r>
        <w:t>Nps</w:t>
      </w:r>
      <w:proofErr w:type="spellEnd"/>
      <w:r>
        <w:t>) Analysis – Q6 To Q19</w:t>
      </w:r>
    </w:p>
    <w:tbl>
      <w:tblPr>
        <w:tblStyle w:val="a3"/>
        <w:tblW w:w="9255" w:type="dxa"/>
        <w:tblInd w:w="0" w:type="dxa"/>
        <w:tblLayout w:type="fixed"/>
        <w:tblLook w:val="0400" w:firstRow="0" w:lastRow="0" w:firstColumn="0" w:lastColumn="0" w:noHBand="0" w:noVBand="1"/>
      </w:tblPr>
      <w:tblGrid>
        <w:gridCol w:w="3455"/>
        <w:gridCol w:w="1217"/>
        <w:gridCol w:w="1129"/>
        <w:gridCol w:w="1217"/>
        <w:gridCol w:w="1104"/>
        <w:gridCol w:w="1133"/>
      </w:tblGrid>
      <w:tr w:rsidR="00A12401" w14:paraId="743BC8F0" w14:textId="77777777">
        <w:trPr>
          <w:trHeight w:val="441"/>
        </w:trPr>
        <w:tc>
          <w:tcPr>
            <w:tcW w:w="3455" w:type="dxa"/>
            <w:tcBorders>
              <w:top w:val="single" w:sz="4" w:space="0" w:color="AAAAAA"/>
              <w:left w:val="single" w:sz="4" w:space="0" w:color="AAAAAA"/>
              <w:bottom w:val="single" w:sz="4" w:space="0" w:color="AAAAAA"/>
              <w:right w:val="single" w:sz="4" w:space="0" w:color="AAAAAA"/>
            </w:tcBorders>
            <w:shd w:val="clear" w:color="auto" w:fill="C6D9F1"/>
            <w:vAlign w:val="center"/>
          </w:tcPr>
          <w:p w14:paraId="56153D33"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Question / Statement</w:t>
            </w:r>
          </w:p>
        </w:tc>
        <w:tc>
          <w:tcPr>
            <w:tcW w:w="1217" w:type="dxa"/>
            <w:tcBorders>
              <w:top w:val="single" w:sz="4" w:space="0" w:color="AAAAAA"/>
              <w:left w:val="nil"/>
              <w:bottom w:val="single" w:sz="4" w:space="0" w:color="AAAAAA"/>
              <w:right w:val="single" w:sz="4" w:space="0" w:color="AAAAAA"/>
            </w:tcBorders>
            <w:shd w:val="clear" w:color="auto" w:fill="C6D9F1"/>
            <w:vAlign w:val="center"/>
          </w:tcPr>
          <w:p w14:paraId="07D9AB0B"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Promoters</w:t>
            </w:r>
          </w:p>
        </w:tc>
        <w:tc>
          <w:tcPr>
            <w:tcW w:w="1129" w:type="dxa"/>
            <w:tcBorders>
              <w:top w:val="single" w:sz="4" w:space="0" w:color="AAAAAA"/>
              <w:left w:val="nil"/>
              <w:bottom w:val="single" w:sz="4" w:space="0" w:color="AAAAAA"/>
              <w:right w:val="single" w:sz="4" w:space="0" w:color="AAAAAA"/>
            </w:tcBorders>
            <w:shd w:val="clear" w:color="auto" w:fill="C6D9F1"/>
            <w:vAlign w:val="center"/>
          </w:tcPr>
          <w:p w14:paraId="44836C7C"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Passives</w:t>
            </w:r>
          </w:p>
        </w:tc>
        <w:tc>
          <w:tcPr>
            <w:tcW w:w="1217" w:type="dxa"/>
            <w:tcBorders>
              <w:top w:val="single" w:sz="4" w:space="0" w:color="AAAAAA"/>
              <w:left w:val="nil"/>
              <w:bottom w:val="single" w:sz="4" w:space="0" w:color="AAAAAA"/>
              <w:right w:val="single" w:sz="4" w:space="0" w:color="AAAAAA"/>
            </w:tcBorders>
            <w:shd w:val="clear" w:color="auto" w:fill="C6D9F1"/>
            <w:vAlign w:val="center"/>
          </w:tcPr>
          <w:p w14:paraId="00E5A053"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Detractors</w:t>
            </w:r>
          </w:p>
        </w:tc>
        <w:tc>
          <w:tcPr>
            <w:tcW w:w="1104" w:type="dxa"/>
            <w:tcBorders>
              <w:top w:val="single" w:sz="4" w:space="0" w:color="AAAAAA"/>
              <w:left w:val="nil"/>
              <w:bottom w:val="single" w:sz="4" w:space="0" w:color="AAAAAA"/>
              <w:right w:val="single" w:sz="4" w:space="0" w:color="AAAAAA"/>
            </w:tcBorders>
            <w:shd w:val="clear" w:color="auto" w:fill="C6D9F1"/>
            <w:vAlign w:val="center"/>
          </w:tcPr>
          <w:p w14:paraId="04444A60"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Total</w:t>
            </w:r>
          </w:p>
        </w:tc>
        <w:tc>
          <w:tcPr>
            <w:tcW w:w="1133" w:type="dxa"/>
            <w:tcBorders>
              <w:top w:val="single" w:sz="4" w:space="0" w:color="AAAAAA"/>
              <w:left w:val="nil"/>
              <w:bottom w:val="single" w:sz="4" w:space="0" w:color="AAAAAA"/>
              <w:right w:val="single" w:sz="4" w:space="0" w:color="AAAAAA"/>
            </w:tcBorders>
            <w:shd w:val="clear" w:color="auto" w:fill="C6D9F1"/>
            <w:vAlign w:val="center"/>
          </w:tcPr>
          <w:p w14:paraId="4AE5FD86"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NPS Score</w:t>
            </w:r>
          </w:p>
        </w:tc>
      </w:tr>
      <w:tr w:rsidR="00A12401" w14:paraId="2C378604" w14:textId="77777777">
        <w:trPr>
          <w:trHeight w:val="395"/>
        </w:trPr>
        <w:tc>
          <w:tcPr>
            <w:tcW w:w="3455" w:type="dxa"/>
            <w:tcBorders>
              <w:top w:val="nil"/>
              <w:left w:val="single" w:sz="4" w:space="0" w:color="AAAAAA"/>
              <w:bottom w:val="single" w:sz="4" w:space="0" w:color="AAAAAA"/>
              <w:right w:val="single" w:sz="4" w:space="0" w:color="AAAAAA"/>
            </w:tcBorders>
            <w:vAlign w:val="center"/>
          </w:tcPr>
          <w:p w14:paraId="3498962D"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w:t>
            </w:r>
            <w:proofErr w:type="gramStart"/>
            <w:r>
              <w:rPr>
                <w:rFonts w:ascii="Arial" w:eastAsia="Arial" w:hAnsi="Arial" w:cs="Arial"/>
                <w:sz w:val="20"/>
                <w:szCs w:val="20"/>
              </w:rPr>
              <w:t>6  –</w:t>
            </w:r>
            <w:proofErr w:type="gramEnd"/>
            <w:r>
              <w:rPr>
                <w:rFonts w:ascii="Arial" w:eastAsia="Arial" w:hAnsi="Arial" w:cs="Arial"/>
                <w:sz w:val="20"/>
                <w:szCs w:val="20"/>
              </w:rPr>
              <w:t xml:space="preserve"> Level of awareness of Tesco's CSR activities</w:t>
            </w:r>
          </w:p>
        </w:tc>
        <w:tc>
          <w:tcPr>
            <w:tcW w:w="1217" w:type="dxa"/>
            <w:tcBorders>
              <w:top w:val="nil"/>
              <w:left w:val="nil"/>
              <w:bottom w:val="single" w:sz="4" w:space="0" w:color="AAAAAA"/>
              <w:right w:val="single" w:sz="4" w:space="0" w:color="AAAAAA"/>
            </w:tcBorders>
            <w:vAlign w:val="center"/>
          </w:tcPr>
          <w:p w14:paraId="5CC600E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w:t>
            </w:r>
          </w:p>
        </w:tc>
        <w:tc>
          <w:tcPr>
            <w:tcW w:w="1129" w:type="dxa"/>
            <w:tcBorders>
              <w:top w:val="nil"/>
              <w:left w:val="nil"/>
              <w:bottom w:val="single" w:sz="4" w:space="0" w:color="AAAAAA"/>
              <w:right w:val="single" w:sz="4" w:space="0" w:color="AAAAAA"/>
            </w:tcBorders>
            <w:vAlign w:val="center"/>
          </w:tcPr>
          <w:p w14:paraId="331DA5D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w:t>
            </w:r>
          </w:p>
        </w:tc>
        <w:tc>
          <w:tcPr>
            <w:tcW w:w="1217" w:type="dxa"/>
            <w:tcBorders>
              <w:top w:val="nil"/>
              <w:left w:val="nil"/>
              <w:bottom w:val="single" w:sz="4" w:space="0" w:color="AAAAAA"/>
              <w:right w:val="single" w:sz="4" w:space="0" w:color="AAAAAA"/>
            </w:tcBorders>
            <w:vAlign w:val="center"/>
          </w:tcPr>
          <w:p w14:paraId="136FEF9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04" w:type="dxa"/>
            <w:tcBorders>
              <w:top w:val="nil"/>
              <w:left w:val="nil"/>
              <w:bottom w:val="single" w:sz="4" w:space="0" w:color="AAAAAA"/>
              <w:right w:val="single" w:sz="4" w:space="0" w:color="AAAAAA"/>
            </w:tcBorders>
            <w:vAlign w:val="center"/>
          </w:tcPr>
          <w:p w14:paraId="484830F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148ACF18"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-15</w:t>
            </w:r>
          </w:p>
        </w:tc>
      </w:tr>
      <w:tr w:rsidR="00A12401" w14:paraId="64508282" w14:textId="77777777">
        <w:trPr>
          <w:trHeight w:val="395"/>
        </w:trPr>
        <w:tc>
          <w:tcPr>
            <w:tcW w:w="3455" w:type="dxa"/>
            <w:tcBorders>
              <w:top w:val="nil"/>
              <w:left w:val="single" w:sz="4" w:space="0" w:color="AAAAAA"/>
              <w:bottom w:val="single" w:sz="4" w:space="0" w:color="AAAAAA"/>
              <w:right w:val="single" w:sz="4" w:space="0" w:color="AAAAAA"/>
            </w:tcBorders>
            <w:shd w:val="clear" w:color="auto" w:fill="EBF3FB"/>
            <w:vAlign w:val="center"/>
          </w:tcPr>
          <w:p w14:paraId="691D0711"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w:t>
            </w:r>
            <w:proofErr w:type="gramStart"/>
            <w:r>
              <w:rPr>
                <w:rFonts w:ascii="Arial" w:eastAsia="Arial" w:hAnsi="Arial" w:cs="Arial"/>
                <w:sz w:val="20"/>
                <w:szCs w:val="20"/>
              </w:rPr>
              <w:t>7  –</w:t>
            </w:r>
            <w:proofErr w:type="gramEnd"/>
            <w:r>
              <w:rPr>
                <w:rFonts w:ascii="Arial" w:eastAsia="Arial" w:hAnsi="Arial" w:cs="Arial"/>
                <w:sz w:val="20"/>
                <w:szCs w:val="20"/>
              </w:rPr>
              <w:t xml:space="preserve"> Tesco actively contributes to environmental sustainability</w:t>
            </w:r>
          </w:p>
        </w:tc>
        <w:tc>
          <w:tcPr>
            <w:tcW w:w="1217" w:type="dxa"/>
            <w:tcBorders>
              <w:top w:val="nil"/>
              <w:left w:val="nil"/>
              <w:bottom w:val="single" w:sz="4" w:space="0" w:color="AAAAAA"/>
              <w:right w:val="single" w:sz="4" w:space="0" w:color="AAAAAA"/>
            </w:tcBorders>
            <w:shd w:val="clear" w:color="auto" w:fill="EBF3FB"/>
            <w:vAlign w:val="center"/>
          </w:tcPr>
          <w:p w14:paraId="19A4F92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w:t>
            </w:r>
          </w:p>
        </w:tc>
        <w:tc>
          <w:tcPr>
            <w:tcW w:w="1129" w:type="dxa"/>
            <w:tcBorders>
              <w:top w:val="nil"/>
              <w:left w:val="nil"/>
              <w:bottom w:val="single" w:sz="4" w:space="0" w:color="AAAAAA"/>
              <w:right w:val="single" w:sz="4" w:space="0" w:color="AAAAAA"/>
            </w:tcBorders>
            <w:shd w:val="clear" w:color="auto" w:fill="EBF3FB"/>
            <w:vAlign w:val="center"/>
          </w:tcPr>
          <w:p w14:paraId="68F84A0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w:t>
            </w:r>
          </w:p>
        </w:tc>
        <w:tc>
          <w:tcPr>
            <w:tcW w:w="1217" w:type="dxa"/>
            <w:tcBorders>
              <w:top w:val="nil"/>
              <w:left w:val="nil"/>
              <w:bottom w:val="single" w:sz="4" w:space="0" w:color="AAAAAA"/>
              <w:right w:val="single" w:sz="4" w:space="0" w:color="AAAAAA"/>
            </w:tcBorders>
            <w:shd w:val="clear" w:color="auto" w:fill="EBF3FB"/>
            <w:vAlign w:val="center"/>
          </w:tcPr>
          <w:p w14:paraId="183CD31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04" w:type="dxa"/>
            <w:tcBorders>
              <w:top w:val="nil"/>
              <w:left w:val="nil"/>
              <w:bottom w:val="single" w:sz="4" w:space="0" w:color="AAAAAA"/>
              <w:right w:val="single" w:sz="4" w:space="0" w:color="AAAAAA"/>
            </w:tcBorders>
            <w:shd w:val="clear" w:color="auto" w:fill="EBF3FB"/>
            <w:vAlign w:val="center"/>
          </w:tcPr>
          <w:p w14:paraId="707B36C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41F1622F"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-15</w:t>
            </w:r>
          </w:p>
        </w:tc>
      </w:tr>
      <w:tr w:rsidR="00A12401" w14:paraId="7792607B" w14:textId="77777777">
        <w:trPr>
          <w:trHeight w:val="395"/>
        </w:trPr>
        <w:tc>
          <w:tcPr>
            <w:tcW w:w="3455" w:type="dxa"/>
            <w:tcBorders>
              <w:top w:val="nil"/>
              <w:left w:val="single" w:sz="4" w:space="0" w:color="AAAAAA"/>
              <w:bottom w:val="single" w:sz="4" w:space="0" w:color="AAAAAA"/>
              <w:right w:val="single" w:sz="4" w:space="0" w:color="AAAAAA"/>
            </w:tcBorders>
            <w:vAlign w:val="center"/>
          </w:tcPr>
          <w:p w14:paraId="7FABA278"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w:t>
            </w:r>
            <w:proofErr w:type="gramStart"/>
            <w:r>
              <w:rPr>
                <w:rFonts w:ascii="Arial" w:eastAsia="Arial" w:hAnsi="Arial" w:cs="Arial"/>
                <w:sz w:val="20"/>
                <w:szCs w:val="20"/>
              </w:rPr>
              <w:t>8  –</w:t>
            </w:r>
            <w:proofErr w:type="gramEnd"/>
            <w:r>
              <w:rPr>
                <w:rFonts w:ascii="Arial" w:eastAsia="Arial" w:hAnsi="Arial" w:cs="Arial"/>
                <w:sz w:val="20"/>
                <w:szCs w:val="20"/>
              </w:rPr>
              <w:t xml:space="preserve"> Tesco supports local communities effectively</w:t>
            </w:r>
          </w:p>
        </w:tc>
        <w:tc>
          <w:tcPr>
            <w:tcW w:w="1217" w:type="dxa"/>
            <w:tcBorders>
              <w:top w:val="nil"/>
              <w:left w:val="nil"/>
              <w:bottom w:val="single" w:sz="4" w:space="0" w:color="AAAAAA"/>
              <w:right w:val="single" w:sz="4" w:space="0" w:color="AAAAAA"/>
            </w:tcBorders>
            <w:vAlign w:val="center"/>
          </w:tcPr>
          <w:p w14:paraId="7684CF5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129" w:type="dxa"/>
            <w:tcBorders>
              <w:top w:val="nil"/>
              <w:left w:val="nil"/>
              <w:bottom w:val="single" w:sz="4" w:space="0" w:color="AAAAAA"/>
              <w:right w:val="single" w:sz="4" w:space="0" w:color="AAAAAA"/>
            </w:tcBorders>
            <w:vAlign w:val="center"/>
          </w:tcPr>
          <w:p w14:paraId="60138FF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10</w:t>
            </w:r>
          </w:p>
        </w:tc>
        <w:tc>
          <w:tcPr>
            <w:tcW w:w="1217" w:type="dxa"/>
            <w:tcBorders>
              <w:top w:val="nil"/>
              <w:left w:val="nil"/>
              <w:bottom w:val="single" w:sz="4" w:space="0" w:color="AAAAAA"/>
              <w:right w:val="single" w:sz="4" w:space="0" w:color="AAAAAA"/>
            </w:tcBorders>
            <w:vAlign w:val="center"/>
          </w:tcPr>
          <w:p w14:paraId="6987536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104" w:type="dxa"/>
            <w:tcBorders>
              <w:top w:val="nil"/>
              <w:left w:val="nil"/>
              <w:bottom w:val="single" w:sz="4" w:space="0" w:color="AAAAAA"/>
              <w:right w:val="single" w:sz="4" w:space="0" w:color="AAAAAA"/>
            </w:tcBorders>
            <w:vAlign w:val="center"/>
          </w:tcPr>
          <w:p w14:paraId="079720E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F2CC"/>
            <w:vAlign w:val="center"/>
          </w:tcPr>
          <w:p w14:paraId="4BD64E9B" w14:textId="77777777" w:rsidR="00A12401" w:rsidRDefault="00A25E1C">
            <w:pPr>
              <w:spacing w:after="0" w:line="240" w:lineRule="auto"/>
              <w:jc w:val="center"/>
              <w:rPr>
                <w:rFonts w:ascii="Arial" w:eastAsia="Arial" w:hAnsi="Arial" w:cs="Arial"/>
                <w:b/>
                <w:bCs/>
                <w:color w:val="333333"/>
                <w:sz w:val="20"/>
                <w:szCs w:val="20"/>
              </w:rPr>
            </w:pPr>
            <w:r>
              <w:rPr>
                <w:rFonts w:ascii="Arial" w:eastAsia="Arial" w:hAnsi="Arial" w:cs="Arial"/>
                <w:b/>
                <w:bCs/>
                <w:color w:val="333333"/>
                <w:sz w:val="20"/>
                <w:szCs w:val="20"/>
              </w:rPr>
              <w:t>0</w:t>
            </w:r>
          </w:p>
        </w:tc>
      </w:tr>
      <w:tr w:rsidR="00A12401" w14:paraId="7634BC59" w14:textId="77777777">
        <w:trPr>
          <w:trHeight w:val="395"/>
        </w:trPr>
        <w:tc>
          <w:tcPr>
            <w:tcW w:w="3455" w:type="dxa"/>
            <w:tcBorders>
              <w:top w:val="nil"/>
              <w:left w:val="single" w:sz="4" w:space="0" w:color="AAAAAA"/>
              <w:bottom w:val="single" w:sz="4" w:space="0" w:color="AAAAAA"/>
              <w:right w:val="single" w:sz="4" w:space="0" w:color="AAAAAA"/>
            </w:tcBorders>
            <w:shd w:val="clear" w:color="auto" w:fill="EBF3FB"/>
            <w:vAlign w:val="center"/>
          </w:tcPr>
          <w:p w14:paraId="458C3629"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w:t>
            </w:r>
            <w:proofErr w:type="gramStart"/>
            <w:r>
              <w:rPr>
                <w:rFonts w:ascii="Arial" w:eastAsia="Arial" w:hAnsi="Arial" w:cs="Arial"/>
                <w:sz w:val="20"/>
                <w:szCs w:val="20"/>
              </w:rPr>
              <w:t>9  –</w:t>
            </w:r>
            <w:proofErr w:type="gramEnd"/>
            <w:r>
              <w:rPr>
                <w:rFonts w:ascii="Arial" w:eastAsia="Arial" w:hAnsi="Arial" w:cs="Arial"/>
                <w:sz w:val="20"/>
                <w:szCs w:val="20"/>
              </w:rPr>
              <w:t xml:space="preserve"> Tesco behaves ethically in its business operations</w:t>
            </w:r>
          </w:p>
        </w:tc>
        <w:tc>
          <w:tcPr>
            <w:tcW w:w="1217" w:type="dxa"/>
            <w:tcBorders>
              <w:top w:val="nil"/>
              <w:left w:val="nil"/>
              <w:bottom w:val="single" w:sz="4" w:space="0" w:color="AAAAAA"/>
              <w:right w:val="single" w:sz="4" w:space="0" w:color="AAAAAA"/>
            </w:tcBorders>
            <w:shd w:val="clear" w:color="auto" w:fill="EBF3FB"/>
            <w:vAlign w:val="center"/>
          </w:tcPr>
          <w:p w14:paraId="2F0696E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w:t>
            </w:r>
          </w:p>
        </w:tc>
        <w:tc>
          <w:tcPr>
            <w:tcW w:w="1129" w:type="dxa"/>
            <w:tcBorders>
              <w:top w:val="nil"/>
              <w:left w:val="nil"/>
              <w:bottom w:val="single" w:sz="4" w:space="0" w:color="AAAAAA"/>
              <w:right w:val="single" w:sz="4" w:space="0" w:color="AAAAAA"/>
            </w:tcBorders>
            <w:shd w:val="clear" w:color="auto" w:fill="EBF3FB"/>
            <w:vAlign w:val="center"/>
          </w:tcPr>
          <w:p w14:paraId="2AD7740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w:t>
            </w:r>
          </w:p>
        </w:tc>
        <w:tc>
          <w:tcPr>
            <w:tcW w:w="1217" w:type="dxa"/>
            <w:tcBorders>
              <w:top w:val="nil"/>
              <w:left w:val="nil"/>
              <w:bottom w:val="single" w:sz="4" w:space="0" w:color="AAAAAA"/>
              <w:right w:val="single" w:sz="4" w:space="0" w:color="AAAAAA"/>
            </w:tcBorders>
            <w:shd w:val="clear" w:color="auto" w:fill="EBF3FB"/>
            <w:vAlign w:val="center"/>
          </w:tcPr>
          <w:p w14:paraId="268C250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04" w:type="dxa"/>
            <w:tcBorders>
              <w:top w:val="nil"/>
              <w:left w:val="nil"/>
              <w:bottom w:val="single" w:sz="4" w:space="0" w:color="AAAAAA"/>
              <w:right w:val="single" w:sz="4" w:space="0" w:color="AAAAAA"/>
            </w:tcBorders>
            <w:shd w:val="clear" w:color="auto" w:fill="EBF3FB"/>
            <w:vAlign w:val="center"/>
          </w:tcPr>
          <w:p w14:paraId="6974BB7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3E484967"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-15</w:t>
            </w:r>
          </w:p>
        </w:tc>
      </w:tr>
      <w:tr w:rsidR="00A12401" w14:paraId="3FAF492E" w14:textId="77777777">
        <w:trPr>
          <w:trHeight w:val="395"/>
        </w:trPr>
        <w:tc>
          <w:tcPr>
            <w:tcW w:w="3455" w:type="dxa"/>
            <w:tcBorders>
              <w:top w:val="nil"/>
              <w:left w:val="single" w:sz="4" w:space="0" w:color="AAAAAA"/>
              <w:bottom w:val="single" w:sz="4" w:space="0" w:color="AAAAAA"/>
              <w:right w:val="single" w:sz="4" w:space="0" w:color="AAAAAA"/>
            </w:tcBorders>
            <w:vAlign w:val="center"/>
          </w:tcPr>
          <w:p w14:paraId="602A8A8E"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Q10 – CSR initiatives are genuine (not just marketing)</w:t>
            </w:r>
          </w:p>
        </w:tc>
        <w:tc>
          <w:tcPr>
            <w:tcW w:w="1217" w:type="dxa"/>
            <w:tcBorders>
              <w:top w:val="nil"/>
              <w:left w:val="nil"/>
              <w:bottom w:val="single" w:sz="4" w:space="0" w:color="AAAAAA"/>
              <w:right w:val="single" w:sz="4" w:space="0" w:color="AAAAAA"/>
            </w:tcBorders>
            <w:vAlign w:val="center"/>
          </w:tcPr>
          <w:p w14:paraId="5B125CE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w:t>
            </w:r>
          </w:p>
        </w:tc>
        <w:tc>
          <w:tcPr>
            <w:tcW w:w="1129" w:type="dxa"/>
            <w:tcBorders>
              <w:top w:val="nil"/>
              <w:left w:val="nil"/>
              <w:bottom w:val="single" w:sz="4" w:space="0" w:color="AAAAAA"/>
              <w:right w:val="single" w:sz="4" w:space="0" w:color="AAAAAA"/>
            </w:tcBorders>
            <w:vAlign w:val="center"/>
          </w:tcPr>
          <w:p w14:paraId="6A82D24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11</w:t>
            </w:r>
          </w:p>
        </w:tc>
        <w:tc>
          <w:tcPr>
            <w:tcW w:w="1217" w:type="dxa"/>
            <w:tcBorders>
              <w:top w:val="nil"/>
              <w:left w:val="nil"/>
              <w:bottom w:val="single" w:sz="4" w:space="0" w:color="AAAAAA"/>
              <w:right w:val="single" w:sz="4" w:space="0" w:color="AAAAAA"/>
            </w:tcBorders>
            <w:vAlign w:val="center"/>
          </w:tcPr>
          <w:p w14:paraId="37CA994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04" w:type="dxa"/>
            <w:tcBorders>
              <w:top w:val="nil"/>
              <w:left w:val="nil"/>
              <w:bottom w:val="single" w:sz="4" w:space="0" w:color="AAAAAA"/>
              <w:right w:val="single" w:sz="4" w:space="0" w:color="AAAAAA"/>
            </w:tcBorders>
            <w:vAlign w:val="center"/>
          </w:tcPr>
          <w:p w14:paraId="726739A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7D1C3F24"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-25</w:t>
            </w:r>
          </w:p>
        </w:tc>
      </w:tr>
      <w:tr w:rsidR="00A12401" w14:paraId="56702E8B" w14:textId="77777777">
        <w:trPr>
          <w:trHeight w:val="395"/>
        </w:trPr>
        <w:tc>
          <w:tcPr>
            <w:tcW w:w="3455" w:type="dxa"/>
            <w:tcBorders>
              <w:top w:val="nil"/>
              <w:left w:val="single" w:sz="4" w:space="0" w:color="AAAAAA"/>
              <w:bottom w:val="single" w:sz="4" w:space="0" w:color="AAAAAA"/>
              <w:right w:val="single" w:sz="4" w:space="0" w:color="AAAAAA"/>
            </w:tcBorders>
            <w:shd w:val="clear" w:color="auto" w:fill="EBF3FB"/>
            <w:vAlign w:val="center"/>
          </w:tcPr>
          <w:p w14:paraId="4297425A"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Q11 – Tesco communicates CSR activities clearly</w:t>
            </w:r>
          </w:p>
        </w:tc>
        <w:tc>
          <w:tcPr>
            <w:tcW w:w="1217" w:type="dxa"/>
            <w:tcBorders>
              <w:top w:val="nil"/>
              <w:left w:val="nil"/>
              <w:bottom w:val="single" w:sz="4" w:space="0" w:color="AAAAAA"/>
              <w:right w:val="single" w:sz="4" w:space="0" w:color="AAAAAA"/>
            </w:tcBorders>
            <w:shd w:val="clear" w:color="auto" w:fill="EBF3FB"/>
            <w:vAlign w:val="center"/>
          </w:tcPr>
          <w:p w14:paraId="3FD94BF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w:t>
            </w:r>
          </w:p>
        </w:tc>
        <w:tc>
          <w:tcPr>
            <w:tcW w:w="1129" w:type="dxa"/>
            <w:tcBorders>
              <w:top w:val="nil"/>
              <w:left w:val="nil"/>
              <w:bottom w:val="single" w:sz="4" w:space="0" w:color="AAAAAA"/>
              <w:right w:val="single" w:sz="4" w:space="0" w:color="AAAAAA"/>
            </w:tcBorders>
            <w:shd w:val="clear" w:color="auto" w:fill="EBF3FB"/>
            <w:vAlign w:val="center"/>
          </w:tcPr>
          <w:p w14:paraId="0E44115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11</w:t>
            </w:r>
          </w:p>
        </w:tc>
        <w:tc>
          <w:tcPr>
            <w:tcW w:w="1217" w:type="dxa"/>
            <w:tcBorders>
              <w:top w:val="nil"/>
              <w:left w:val="nil"/>
              <w:bottom w:val="single" w:sz="4" w:space="0" w:color="AAAAAA"/>
              <w:right w:val="single" w:sz="4" w:space="0" w:color="AAAAAA"/>
            </w:tcBorders>
            <w:shd w:val="clear" w:color="auto" w:fill="EBF3FB"/>
            <w:vAlign w:val="center"/>
          </w:tcPr>
          <w:p w14:paraId="6459B21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104" w:type="dxa"/>
            <w:tcBorders>
              <w:top w:val="nil"/>
              <w:left w:val="nil"/>
              <w:bottom w:val="single" w:sz="4" w:space="0" w:color="AAAAAA"/>
              <w:right w:val="single" w:sz="4" w:space="0" w:color="AAAAAA"/>
            </w:tcBorders>
            <w:shd w:val="clear" w:color="auto" w:fill="EBF3FB"/>
            <w:vAlign w:val="center"/>
          </w:tcPr>
          <w:p w14:paraId="6012B9E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4972DC09"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-5</w:t>
            </w:r>
          </w:p>
        </w:tc>
      </w:tr>
      <w:tr w:rsidR="00A12401" w14:paraId="01F22546" w14:textId="77777777">
        <w:trPr>
          <w:trHeight w:val="395"/>
        </w:trPr>
        <w:tc>
          <w:tcPr>
            <w:tcW w:w="3455" w:type="dxa"/>
            <w:tcBorders>
              <w:top w:val="nil"/>
              <w:left w:val="single" w:sz="4" w:space="0" w:color="AAAAAA"/>
              <w:bottom w:val="single" w:sz="4" w:space="0" w:color="AAAAAA"/>
              <w:right w:val="single" w:sz="4" w:space="0" w:color="AAAAAA"/>
            </w:tcBorders>
            <w:vAlign w:val="center"/>
          </w:tcPr>
          <w:p w14:paraId="28B66C34"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Q12 – CSR activities positively influence brand perception</w:t>
            </w:r>
          </w:p>
        </w:tc>
        <w:tc>
          <w:tcPr>
            <w:tcW w:w="1217" w:type="dxa"/>
            <w:tcBorders>
              <w:top w:val="nil"/>
              <w:left w:val="nil"/>
              <w:bottom w:val="single" w:sz="4" w:space="0" w:color="AAAAAA"/>
              <w:right w:val="single" w:sz="4" w:space="0" w:color="AAAAAA"/>
            </w:tcBorders>
            <w:vAlign w:val="center"/>
          </w:tcPr>
          <w:p w14:paraId="7961DB5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w:t>
            </w:r>
          </w:p>
        </w:tc>
        <w:tc>
          <w:tcPr>
            <w:tcW w:w="1129" w:type="dxa"/>
            <w:tcBorders>
              <w:top w:val="nil"/>
              <w:left w:val="nil"/>
              <w:bottom w:val="single" w:sz="4" w:space="0" w:color="AAAAAA"/>
              <w:right w:val="single" w:sz="4" w:space="0" w:color="AAAAAA"/>
            </w:tcBorders>
            <w:vAlign w:val="center"/>
          </w:tcPr>
          <w:p w14:paraId="3A2840E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w:t>
            </w:r>
          </w:p>
        </w:tc>
        <w:tc>
          <w:tcPr>
            <w:tcW w:w="1217" w:type="dxa"/>
            <w:tcBorders>
              <w:top w:val="nil"/>
              <w:left w:val="nil"/>
              <w:bottom w:val="single" w:sz="4" w:space="0" w:color="AAAAAA"/>
              <w:right w:val="single" w:sz="4" w:space="0" w:color="AAAAAA"/>
            </w:tcBorders>
            <w:vAlign w:val="center"/>
          </w:tcPr>
          <w:p w14:paraId="354F46B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104" w:type="dxa"/>
            <w:tcBorders>
              <w:top w:val="nil"/>
              <w:left w:val="nil"/>
              <w:bottom w:val="single" w:sz="4" w:space="0" w:color="AAAAAA"/>
              <w:right w:val="single" w:sz="4" w:space="0" w:color="AAAAAA"/>
            </w:tcBorders>
            <w:vAlign w:val="center"/>
          </w:tcPr>
          <w:p w14:paraId="3D58E86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E2EFDA"/>
            <w:vAlign w:val="center"/>
          </w:tcPr>
          <w:p w14:paraId="16D84595" w14:textId="77777777" w:rsidR="00A12401" w:rsidRDefault="00A25E1C">
            <w:pPr>
              <w:spacing w:after="0" w:line="240" w:lineRule="auto"/>
              <w:jc w:val="center"/>
              <w:rPr>
                <w:rFonts w:ascii="Arial" w:eastAsia="Arial" w:hAnsi="Arial" w:cs="Arial"/>
                <w:b/>
                <w:bCs/>
                <w:color w:val="006400"/>
                <w:sz w:val="20"/>
                <w:szCs w:val="20"/>
              </w:rPr>
            </w:pPr>
            <w:r>
              <w:rPr>
                <w:rFonts w:ascii="Arial" w:eastAsia="Arial" w:hAnsi="Arial" w:cs="Arial"/>
                <w:b/>
                <w:bCs/>
                <w:color w:val="006400"/>
                <w:sz w:val="20"/>
                <w:szCs w:val="20"/>
              </w:rPr>
              <w:t>5</w:t>
            </w:r>
          </w:p>
        </w:tc>
      </w:tr>
      <w:tr w:rsidR="00A12401" w14:paraId="59253526" w14:textId="77777777">
        <w:trPr>
          <w:trHeight w:val="395"/>
        </w:trPr>
        <w:tc>
          <w:tcPr>
            <w:tcW w:w="3455" w:type="dxa"/>
            <w:tcBorders>
              <w:top w:val="nil"/>
              <w:left w:val="single" w:sz="4" w:space="0" w:color="AAAAAA"/>
              <w:bottom w:val="single" w:sz="4" w:space="0" w:color="AAAAAA"/>
              <w:right w:val="single" w:sz="4" w:space="0" w:color="AAAAAA"/>
            </w:tcBorders>
            <w:shd w:val="clear" w:color="auto" w:fill="EBF3FB"/>
            <w:vAlign w:val="center"/>
          </w:tcPr>
          <w:p w14:paraId="418C8E20"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Q13 – I prefer shopping at Tesco because of CSR efforts</w:t>
            </w:r>
          </w:p>
        </w:tc>
        <w:tc>
          <w:tcPr>
            <w:tcW w:w="1217" w:type="dxa"/>
            <w:tcBorders>
              <w:top w:val="nil"/>
              <w:left w:val="nil"/>
              <w:bottom w:val="single" w:sz="4" w:space="0" w:color="AAAAAA"/>
              <w:right w:val="single" w:sz="4" w:space="0" w:color="AAAAAA"/>
            </w:tcBorders>
            <w:shd w:val="clear" w:color="auto" w:fill="EBF3FB"/>
            <w:vAlign w:val="center"/>
          </w:tcPr>
          <w:p w14:paraId="4835351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w:t>
            </w:r>
          </w:p>
        </w:tc>
        <w:tc>
          <w:tcPr>
            <w:tcW w:w="1129" w:type="dxa"/>
            <w:tcBorders>
              <w:top w:val="nil"/>
              <w:left w:val="nil"/>
              <w:bottom w:val="single" w:sz="4" w:space="0" w:color="AAAAAA"/>
              <w:right w:val="single" w:sz="4" w:space="0" w:color="AAAAAA"/>
            </w:tcBorders>
            <w:shd w:val="clear" w:color="auto" w:fill="EBF3FB"/>
            <w:vAlign w:val="center"/>
          </w:tcPr>
          <w:p w14:paraId="3C42D7E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10</w:t>
            </w:r>
          </w:p>
        </w:tc>
        <w:tc>
          <w:tcPr>
            <w:tcW w:w="1217" w:type="dxa"/>
            <w:tcBorders>
              <w:top w:val="nil"/>
              <w:left w:val="nil"/>
              <w:bottom w:val="single" w:sz="4" w:space="0" w:color="AAAAAA"/>
              <w:right w:val="single" w:sz="4" w:space="0" w:color="AAAAAA"/>
            </w:tcBorders>
            <w:shd w:val="clear" w:color="auto" w:fill="EBF3FB"/>
            <w:vAlign w:val="center"/>
          </w:tcPr>
          <w:p w14:paraId="6B6167E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04" w:type="dxa"/>
            <w:tcBorders>
              <w:top w:val="nil"/>
              <w:left w:val="nil"/>
              <w:bottom w:val="single" w:sz="4" w:space="0" w:color="AAAAAA"/>
              <w:right w:val="single" w:sz="4" w:space="0" w:color="AAAAAA"/>
            </w:tcBorders>
            <w:shd w:val="clear" w:color="auto" w:fill="EBF3FB"/>
            <w:vAlign w:val="center"/>
          </w:tcPr>
          <w:p w14:paraId="12DBB820"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123367E3"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-20</w:t>
            </w:r>
          </w:p>
        </w:tc>
      </w:tr>
      <w:tr w:rsidR="00A12401" w14:paraId="71258E7D" w14:textId="77777777">
        <w:trPr>
          <w:trHeight w:val="395"/>
        </w:trPr>
        <w:tc>
          <w:tcPr>
            <w:tcW w:w="3455" w:type="dxa"/>
            <w:tcBorders>
              <w:top w:val="nil"/>
              <w:left w:val="single" w:sz="4" w:space="0" w:color="AAAAAA"/>
              <w:bottom w:val="single" w:sz="4" w:space="0" w:color="AAAAAA"/>
              <w:right w:val="single" w:sz="4" w:space="0" w:color="AAAAAA"/>
            </w:tcBorders>
            <w:vAlign w:val="center"/>
          </w:tcPr>
          <w:p w14:paraId="0374C9CD"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Q14 – CSR initiatives increase my trust in the brand</w:t>
            </w:r>
          </w:p>
        </w:tc>
        <w:tc>
          <w:tcPr>
            <w:tcW w:w="1217" w:type="dxa"/>
            <w:tcBorders>
              <w:top w:val="nil"/>
              <w:left w:val="nil"/>
              <w:bottom w:val="single" w:sz="4" w:space="0" w:color="AAAAAA"/>
              <w:right w:val="single" w:sz="4" w:space="0" w:color="AAAAAA"/>
            </w:tcBorders>
            <w:vAlign w:val="center"/>
          </w:tcPr>
          <w:p w14:paraId="326E6C8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129" w:type="dxa"/>
            <w:tcBorders>
              <w:top w:val="nil"/>
              <w:left w:val="nil"/>
              <w:bottom w:val="single" w:sz="4" w:space="0" w:color="AAAAAA"/>
              <w:right w:val="single" w:sz="4" w:space="0" w:color="AAAAAA"/>
            </w:tcBorders>
            <w:vAlign w:val="center"/>
          </w:tcPr>
          <w:p w14:paraId="5146539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8</w:t>
            </w:r>
          </w:p>
        </w:tc>
        <w:tc>
          <w:tcPr>
            <w:tcW w:w="1217" w:type="dxa"/>
            <w:tcBorders>
              <w:top w:val="nil"/>
              <w:left w:val="nil"/>
              <w:bottom w:val="single" w:sz="4" w:space="0" w:color="AAAAAA"/>
              <w:right w:val="single" w:sz="4" w:space="0" w:color="AAAAAA"/>
            </w:tcBorders>
            <w:vAlign w:val="center"/>
          </w:tcPr>
          <w:p w14:paraId="12013B1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04" w:type="dxa"/>
            <w:tcBorders>
              <w:top w:val="nil"/>
              <w:left w:val="nil"/>
              <w:bottom w:val="single" w:sz="4" w:space="0" w:color="AAAAAA"/>
              <w:right w:val="single" w:sz="4" w:space="0" w:color="AAAAAA"/>
            </w:tcBorders>
            <w:vAlign w:val="center"/>
          </w:tcPr>
          <w:p w14:paraId="5445CC6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14BEA751"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-10</w:t>
            </w:r>
          </w:p>
        </w:tc>
      </w:tr>
      <w:tr w:rsidR="00A12401" w14:paraId="7AB01F3F" w14:textId="77777777">
        <w:trPr>
          <w:trHeight w:val="395"/>
        </w:trPr>
        <w:tc>
          <w:tcPr>
            <w:tcW w:w="3455" w:type="dxa"/>
            <w:tcBorders>
              <w:top w:val="nil"/>
              <w:left w:val="single" w:sz="4" w:space="0" w:color="AAAAAA"/>
              <w:bottom w:val="single" w:sz="4" w:space="0" w:color="AAAAAA"/>
              <w:right w:val="single" w:sz="4" w:space="0" w:color="AAAAAA"/>
            </w:tcBorders>
            <w:shd w:val="clear" w:color="auto" w:fill="EBF3FB"/>
            <w:vAlign w:val="center"/>
          </w:tcPr>
          <w:p w14:paraId="48D836DD"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Q15 – I am more loyal to Tesco due to CSR activities</w:t>
            </w:r>
          </w:p>
        </w:tc>
        <w:tc>
          <w:tcPr>
            <w:tcW w:w="1217" w:type="dxa"/>
            <w:tcBorders>
              <w:top w:val="nil"/>
              <w:left w:val="nil"/>
              <w:bottom w:val="single" w:sz="4" w:space="0" w:color="AAAAAA"/>
              <w:right w:val="single" w:sz="4" w:space="0" w:color="AAAAAA"/>
            </w:tcBorders>
            <w:shd w:val="clear" w:color="auto" w:fill="EBF3FB"/>
            <w:vAlign w:val="center"/>
          </w:tcPr>
          <w:p w14:paraId="29BD940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w:t>
            </w:r>
          </w:p>
        </w:tc>
        <w:tc>
          <w:tcPr>
            <w:tcW w:w="1129" w:type="dxa"/>
            <w:tcBorders>
              <w:top w:val="nil"/>
              <w:left w:val="nil"/>
              <w:bottom w:val="single" w:sz="4" w:space="0" w:color="AAAAAA"/>
              <w:right w:val="single" w:sz="4" w:space="0" w:color="AAAAAA"/>
            </w:tcBorders>
            <w:shd w:val="clear" w:color="auto" w:fill="EBF3FB"/>
            <w:vAlign w:val="center"/>
          </w:tcPr>
          <w:p w14:paraId="68E49EE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217" w:type="dxa"/>
            <w:tcBorders>
              <w:top w:val="nil"/>
              <w:left w:val="nil"/>
              <w:bottom w:val="single" w:sz="4" w:space="0" w:color="AAAAAA"/>
              <w:right w:val="single" w:sz="4" w:space="0" w:color="AAAAAA"/>
            </w:tcBorders>
            <w:shd w:val="clear" w:color="auto" w:fill="EBF3FB"/>
            <w:vAlign w:val="center"/>
          </w:tcPr>
          <w:p w14:paraId="25B17710"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04" w:type="dxa"/>
            <w:tcBorders>
              <w:top w:val="nil"/>
              <w:left w:val="nil"/>
              <w:bottom w:val="single" w:sz="4" w:space="0" w:color="AAAAAA"/>
              <w:right w:val="single" w:sz="4" w:space="0" w:color="AAAAAA"/>
            </w:tcBorders>
            <w:shd w:val="clear" w:color="auto" w:fill="EBF3FB"/>
            <w:vAlign w:val="center"/>
          </w:tcPr>
          <w:p w14:paraId="2431648D"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15EB307E"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-5</w:t>
            </w:r>
          </w:p>
        </w:tc>
      </w:tr>
      <w:tr w:rsidR="00A12401" w14:paraId="22A502E2" w14:textId="77777777">
        <w:trPr>
          <w:trHeight w:val="395"/>
        </w:trPr>
        <w:tc>
          <w:tcPr>
            <w:tcW w:w="3455" w:type="dxa"/>
            <w:tcBorders>
              <w:top w:val="nil"/>
              <w:left w:val="single" w:sz="4" w:space="0" w:color="AAAAAA"/>
              <w:bottom w:val="single" w:sz="4" w:space="0" w:color="AAAAAA"/>
              <w:right w:val="single" w:sz="4" w:space="0" w:color="AAAAAA"/>
            </w:tcBorders>
            <w:vAlign w:val="center"/>
          </w:tcPr>
          <w:p w14:paraId="51ABAD0C"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Q16 – I would recommend Tesco based on CSR practices</w:t>
            </w:r>
          </w:p>
        </w:tc>
        <w:tc>
          <w:tcPr>
            <w:tcW w:w="1217" w:type="dxa"/>
            <w:tcBorders>
              <w:top w:val="nil"/>
              <w:left w:val="nil"/>
              <w:bottom w:val="single" w:sz="4" w:space="0" w:color="AAAAAA"/>
              <w:right w:val="single" w:sz="4" w:space="0" w:color="AAAAAA"/>
            </w:tcBorders>
            <w:vAlign w:val="center"/>
          </w:tcPr>
          <w:p w14:paraId="421A744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129" w:type="dxa"/>
            <w:tcBorders>
              <w:top w:val="nil"/>
              <w:left w:val="nil"/>
              <w:bottom w:val="single" w:sz="4" w:space="0" w:color="AAAAAA"/>
              <w:right w:val="single" w:sz="4" w:space="0" w:color="AAAAAA"/>
            </w:tcBorders>
            <w:vAlign w:val="center"/>
          </w:tcPr>
          <w:p w14:paraId="0BEAEC1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w:t>
            </w:r>
          </w:p>
        </w:tc>
        <w:tc>
          <w:tcPr>
            <w:tcW w:w="1217" w:type="dxa"/>
            <w:tcBorders>
              <w:top w:val="nil"/>
              <w:left w:val="nil"/>
              <w:bottom w:val="single" w:sz="4" w:space="0" w:color="AAAAAA"/>
              <w:right w:val="single" w:sz="4" w:space="0" w:color="AAAAAA"/>
            </w:tcBorders>
            <w:vAlign w:val="center"/>
          </w:tcPr>
          <w:p w14:paraId="4E6FAEE1"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w:t>
            </w:r>
          </w:p>
        </w:tc>
        <w:tc>
          <w:tcPr>
            <w:tcW w:w="1104" w:type="dxa"/>
            <w:tcBorders>
              <w:top w:val="nil"/>
              <w:left w:val="nil"/>
              <w:bottom w:val="single" w:sz="4" w:space="0" w:color="AAAAAA"/>
              <w:right w:val="single" w:sz="4" w:space="0" w:color="AAAAAA"/>
            </w:tcBorders>
            <w:vAlign w:val="center"/>
          </w:tcPr>
          <w:p w14:paraId="2D94D1F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4148D876"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-5</w:t>
            </w:r>
          </w:p>
        </w:tc>
      </w:tr>
      <w:tr w:rsidR="00A12401" w14:paraId="74FA8DE4" w14:textId="77777777">
        <w:trPr>
          <w:trHeight w:val="395"/>
        </w:trPr>
        <w:tc>
          <w:tcPr>
            <w:tcW w:w="3455" w:type="dxa"/>
            <w:tcBorders>
              <w:top w:val="nil"/>
              <w:left w:val="single" w:sz="4" w:space="0" w:color="AAAAAA"/>
              <w:bottom w:val="single" w:sz="4" w:space="0" w:color="AAAAAA"/>
              <w:right w:val="single" w:sz="4" w:space="0" w:color="AAAAAA"/>
            </w:tcBorders>
            <w:shd w:val="clear" w:color="auto" w:fill="EBF3FB"/>
            <w:vAlign w:val="center"/>
          </w:tcPr>
          <w:p w14:paraId="2F6C4DAD"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Q17 – Likely to choose Tesco over competitors for CSR</w:t>
            </w:r>
          </w:p>
        </w:tc>
        <w:tc>
          <w:tcPr>
            <w:tcW w:w="1217" w:type="dxa"/>
            <w:tcBorders>
              <w:top w:val="nil"/>
              <w:left w:val="nil"/>
              <w:bottom w:val="single" w:sz="4" w:space="0" w:color="AAAAAA"/>
              <w:right w:val="single" w:sz="4" w:space="0" w:color="AAAAAA"/>
            </w:tcBorders>
            <w:shd w:val="clear" w:color="auto" w:fill="EBF3FB"/>
            <w:vAlign w:val="center"/>
          </w:tcPr>
          <w:p w14:paraId="68ECBAD0"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w:t>
            </w:r>
          </w:p>
        </w:tc>
        <w:tc>
          <w:tcPr>
            <w:tcW w:w="1129" w:type="dxa"/>
            <w:tcBorders>
              <w:top w:val="nil"/>
              <w:left w:val="nil"/>
              <w:bottom w:val="single" w:sz="4" w:space="0" w:color="AAAAAA"/>
              <w:right w:val="single" w:sz="4" w:space="0" w:color="AAAAAA"/>
            </w:tcBorders>
            <w:shd w:val="clear" w:color="auto" w:fill="EBF3FB"/>
            <w:vAlign w:val="center"/>
          </w:tcPr>
          <w:p w14:paraId="5CC7BD0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10</w:t>
            </w:r>
          </w:p>
        </w:tc>
        <w:tc>
          <w:tcPr>
            <w:tcW w:w="1217" w:type="dxa"/>
            <w:tcBorders>
              <w:top w:val="nil"/>
              <w:left w:val="nil"/>
              <w:bottom w:val="single" w:sz="4" w:space="0" w:color="AAAAAA"/>
              <w:right w:val="single" w:sz="4" w:space="0" w:color="AAAAAA"/>
            </w:tcBorders>
            <w:shd w:val="clear" w:color="auto" w:fill="EBF3FB"/>
            <w:vAlign w:val="center"/>
          </w:tcPr>
          <w:p w14:paraId="75AB1B2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w:t>
            </w:r>
          </w:p>
        </w:tc>
        <w:tc>
          <w:tcPr>
            <w:tcW w:w="1104" w:type="dxa"/>
            <w:tcBorders>
              <w:top w:val="nil"/>
              <w:left w:val="nil"/>
              <w:bottom w:val="single" w:sz="4" w:space="0" w:color="AAAAAA"/>
              <w:right w:val="single" w:sz="4" w:space="0" w:color="AAAAAA"/>
            </w:tcBorders>
            <w:shd w:val="clear" w:color="auto" w:fill="EBF3FB"/>
            <w:vAlign w:val="center"/>
          </w:tcPr>
          <w:p w14:paraId="403E1CD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29E5EE7A"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-10</w:t>
            </w:r>
          </w:p>
        </w:tc>
      </w:tr>
      <w:tr w:rsidR="00A12401" w14:paraId="4E982543" w14:textId="77777777">
        <w:trPr>
          <w:trHeight w:val="395"/>
        </w:trPr>
        <w:tc>
          <w:tcPr>
            <w:tcW w:w="3455" w:type="dxa"/>
            <w:tcBorders>
              <w:top w:val="nil"/>
              <w:left w:val="single" w:sz="4" w:space="0" w:color="AAAAAA"/>
              <w:bottom w:val="single" w:sz="4" w:space="0" w:color="AAAAAA"/>
              <w:right w:val="single" w:sz="4" w:space="0" w:color="AAAAAA"/>
            </w:tcBorders>
            <w:vAlign w:val="center"/>
          </w:tcPr>
          <w:p w14:paraId="4B226049"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Q18 – Willing to pay more for Tesco's responsible practices</w:t>
            </w:r>
          </w:p>
        </w:tc>
        <w:tc>
          <w:tcPr>
            <w:tcW w:w="1217" w:type="dxa"/>
            <w:tcBorders>
              <w:top w:val="nil"/>
              <w:left w:val="nil"/>
              <w:bottom w:val="single" w:sz="4" w:space="0" w:color="AAAAAA"/>
              <w:right w:val="single" w:sz="4" w:space="0" w:color="AAAAAA"/>
            </w:tcBorders>
            <w:vAlign w:val="center"/>
          </w:tcPr>
          <w:p w14:paraId="00D49F20"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w:t>
            </w:r>
          </w:p>
        </w:tc>
        <w:tc>
          <w:tcPr>
            <w:tcW w:w="1129" w:type="dxa"/>
            <w:tcBorders>
              <w:top w:val="nil"/>
              <w:left w:val="nil"/>
              <w:bottom w:val="single" w:sz="4" w:space="0" w:color="AAAAAA"/>
              <w:right w:val="single" w:sz="4" w:space="0" w:color="AAAAAA"/>
            </w:tcBorders>
            <w:vAlign w:val="center"/>
          </w:tcPr>
          <w:p w14:paraId="77E9307D"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11</w:t>
            </w:r>
          </w:p>
        </w:tc>
        <w:tc>
          <w:tcPr>
            <w:tcW w:w="1217" w:type="dxa"/>
            <w:tcBorders>
              <w:top w:val="nil"/>
              <w:left w:val="nil"/>
              <w:bottom w:val="single" w:sz="4" w:space="0" w:color="AAAAAA"/>
              <w:right w:val="single" w:sz="4" w:space="0" w:color="AAAAAA"/>
            </w:tcBorders>
            <w:vAlign w:val="center"/>
          </w:tcPr>
          <w:p w14:paraId="47F62F8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04" w:type="dxa"/>
            <w:tcBorders>
              <w:top w:val="nil"/>
              <w:left w:val="nil"/>
              <w:bottom w:val="single" w:sz="4" w:space="0" w:color="AAAAAA"/>
              <w:right w:val="single" w:sz="4" w:space="0" w:color="AAAAAA"/>
            </w:tcBorders>
            <w:vAlign w:val="center"/>
          </w:tcPr>
          <w:p w14:paraId="4A897C9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177DC26A"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-25</w:t>
            </w:r>
          </w:p>
        </w:tc>
      </w:tr>
      <w:tr w:rsidR="00A12401" w14:paraId="58C1D70E" w14:textId="77777777">
        <w:trPr>
          <w:trHeight w:val="395"/>
        </w:trPr>
        <w:tc>
          <w:tcPr>
            <w:tcW w:w="3455" w:type="dxa"/>
            <w:tcBorders>
              <w:top w:val="nil"/>
              <w:left w:val="single" w:sz="4" w:space="0" w:color="AAAAAA"/>
              <w:bottom w:val="single" w:sz="4" w:space="0" w:color="AAAAAA"/>
              <w:right w:val="single" w:sz="4" w:space="0" w:color="AAAAAA"/>
            </w:tcBorders>
            <w:shd w:val="clear" w:color="auto" w:fill="EBF3FB"/>
            <w:vAlign w:val="center"/>
          </w:tcPr>
          <w:p w14:paraId="3DDA637E"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Q19 – Tesco's CSR performance vs other UK retailers</w:t>
            </w:r>
          </w:p>
        </w:tc>
        <w:tc>
          <w:tcPr>
            <w:tcW w:w="1217" w:type="dxa"/>
            <w:tcBorders>
              <w:top w:val="nil"/>
              <w:left w:val="nil"/>
              <w:bottom w:val="single" w:sz="4" w:space="0" w:color="AAAAAA"/>
              <w:right w:val="single" w:sz="4" w:space="0" w:color="AAAAAA"/>
            </w:tcBorders>
            <w:shd w:val="clear" w:color="auto" w:fill="EBF3FB"/>
            <w:vAlign w:val="center"/>
          </w:tcPr>
          <w:p w14:paraId="7E279EA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129" w:type="dxa"/>
            <w:tcBorders>
              <w:top w:val="nil"/>
              <w:left w:val="nil"/>
              <w:bottom w:val="single" w:sz="4" w:space="0" w:color="AAAAAA"/>
              <w:right w:val="single" w:sz="4" w:space="0" w:color="AAAAAA"/>
            </w:tcBorders>
            <w:shd w:val="clear" w:color="auto" w:fill="EBF3FB"/>
            <w:vAlign w:val="center"/>
          </w:tcPr>
          <w:p w14:paraId="50FF651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w:t>
            </w:r>
          </w:p>
        </w:tc>
        <w:tc>
          <w:tcPr>
            <w:tcW w:w="1217" w:type="dxa"/>
            <w:tcBorders>
              <w:top w:val="nil"/>
              <w:left w:val="nil"/>
              <w:bottom w:val="single" w:sz="4" w:space="0" w:color="AAAAAA"/>
              <w:right w:val="single" w:sz="4" w:space="0" w:color="AAAAAA"/>
            </w:tcBorders>
            <w:shd w:val="clear" w:color="auto" w:fill="EBF3FB"/>
            <w:vAlign w:val="center"/>
          </w:tcPr>
          <w:p w14:paraId="70D6AC3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w:t>
            </w:r>
          </w:p>
        </w:tc>
        <w:tc>
          <w:tcPr>
            <w:tcW w:w="1104" w:type="dxa"/>
            <w:tcBorders>
              <w:top w:val="nil"/>
              <w:left w:val="nil"/>
              <w:bottom w:val="single" w:sz="4" w:space="0" w:color="AAAAAA"/>
              <w:right w:val="single" w:sz="4" w:space="0" w:color="AAAAAA"/>
            </w:tcBorders>
            <w:shd w:val="clear" w:color="auto" w:fill="EBF3FB"/>
            <w:vAlign w:val="center"/>
          </w:tcPr>
          <w:p w14:paraId="769A0AB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133" w:type="dxa"/>
            <w:tcBorders>
              <w:top w:val="nil"/>
              <w:left w:val="nil"/>
              <w:bottom w:val="single" w:sz="4" w:space="0" w:color="AAAAAA"/>
              <w:right w:val="single" w:sz="4" w:space="0" w:color="AAAAAA"/>
            </w:tcBorders>
            <w:shd w:val="clear" w:color="auto" w:fill="FFE7E7"/>
            <w:vAlign w:val="center"/>
          </w:tcPr>
          <w:p w14:paraId="0E9A83E0" w14:textId="77777777" w:rsidR="00A12401" w:rsidRDefault="00A25E1C">
            <w:pPr>
              <w:spacing w:after="0" w:line="240" w:lineRule="auto"/>
              <w:jc w:val="center"/>
              <w:rPr>
                <w:rFonts w:ascii="Arial" w:eastAsia="Arial" w:hAnsi="Arial" w:cs="Arial"/>
                <w:b/>
                <w:bCs/>
                <w:color w:val="CC0000"/>
                <w:sz w:val="20"/>
                <w:szCs w:val="20"/>
              </w:rPr>
            </w:pPr>
            <w:r>
              <w:rPr>
                <w:rFonts w:ascii="Arial" w:eastAsia="Arial" w:hAnsi="Arial" w:cs="Arial"/>
                <w:b/>
                <w:bCs/>
                <w:color w:val="CC0000"/>
                <w:sz w:val="20"/>
                <w:szCs w:val="20"/>
              </w:rPr>
              <w:t>-5</w:t>
            </w:r>
          </w:p>
        </w:tc>
      </w:tr>
    </w:tbl>
    <w:p w14:paraId="1F641425" w14:textId="77777777" w:rsidR="00A12401" w:rsidRDefault="00A25E1C">
      <w:r>
        <w:tab/>
      </w:r>
    </w:p>
    <w:p w14:paraId="5D65A409" w14:textId="77777777" w:rsidR="00A12401" w:rsidRDefault="00A25E1C">
      <w:r>
        <w:rPr>
          <w:noProof/>
        </w:rPr>
        <w:drawing>
          <wp:inline distT="0" distB="0" distL="0" distR="0" wp14:anchorId="338093DE" wp14:editId="66B58A95">
            <wp:extent cx="5731510" cy="43275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510" cy="4327525"/>
                    </a:xfrm>
                    <a:prstGeom prst="rect">
                      <a:avLst/>
                    </a:prstGeom>
                    <a:ln/>
                  </pic:spPr>
                </pic:pic>
              </a:graphicData>
            </a:graphic>
          </wp:inline>
        </w:drawing>
      </w:r>
    </w:p>
    <w:p w14:paraId="1F52C9E2" w14:textId="77777777" w:rsidR="00A12401" w:rsidRDefault="00A25E1C">
      <w:pPr>
        <w:rPr>
          <w:b/>
          <w:bCs/>
        </w:rPr>
      </w:pPr>
      <w:r>
        <w:rPr>
          <w:b/>
          <w:bCs/>
        </w:rPr>
        <w:t>Interpretation</w:t>
      </w:r>
    </w:p>
    <w:p w14:paraId="4617AA0F" w14:textId="77777777" w:rsidR="00A12401" w:rsidRDefault="00A25E1C">
      <w:r>
        <w:t>Overall, NPS responds suggest a cautious attitude to Tesco's CSR initiatives among consumers. Positive brand perception (Q12, NPS = 5) was the highest score and there were more than 5 promoters than detractors, indicating that CSR could positively influence the brand image. Community support got a neutral rating (Q8, NPS = 0), showing that it has equal numbers of positive and negative responses. CSR genuineness (Q10, NPS = -25), however, and willingness to pay more (Q18, NPS = -25) received the lowest score</w:t>
      </w:r>
      <w:r>
        <w:t xml:space="preserve">s with only 2 promoters and 7 detractors, respectively. While there was a positive sign of CSR improving perception (NPS = -20), the results were not significant enough on the other questions that composed </w:t>
      </w:r>
      <w:proofErr w:type="spellStart"/>
      <w:r>
        <w:t>behavioural</w:t>
      </w:r>
      <w:proofErr w:type="spellEnd"/>
      <w:r>
        <w:t xml:space="preserve"> outcomes (brand preference = NPS = -20; trust = NPS = -10; competitor choice = NPS = -10) for any inferences to be drawn.</w:t>
      </w:r>
    </w:p>
    <w:p w14:paraId="14E3DBD1" w14:textId="77777777" w:rsidR="00A12401" w:rsidRDefault="00A25E1C">
      <w:pPr>
        <w:pStyle w:val="Heading2"/>
      </w:pPr>
      <w:bookmarkStart w:id="57" w:name="_dfi13l3hs7gg" w:colFirst="0" w:colLast="0"/>
      <w:bookmarkEnd w:id="57"/>
      <w:r>
        <w:t>4.5 Descriptive Statistics – NPS-Based Variables</w:t>
      </w:r>
      <w:r>
        <w:tab/>
      </w:r>
      <w:r>
        <w:tab/>
      </w:r>
      <w:r>
        <w:tab/>
      </w:r>
      <w:r>
        <w:tab/>
      </w:r>
      <w:r>
        <w:tab/>
      </w:r>
    </w:p>
    <w:tbl>
      <w:tblPr>
        <w:tblStyle w:val="a4"/>
        <w:tblW w:w="9016" w:type="dxa"/>
        <w:tblInd w:w="0" w:type="dxa"/>
        <w:tblLayout w:type="fixed"/>
        <w:tblLook w:val="0400" w:firstRow="0" w:lastRow="0" w:firstColumn="0" w:lastColumn="0" w:noHBand="0" w:noVBand="1"/>
      </w:tblPr>
      <w:tblGrid>
        <w:gridCol w:w="2418"/>
        <w:gridCol w:w="764"/>
        <w:gridCol w:w="764"/>
        <w:gridCol w:w="903"/>
        <w:gridCol w:w="764"/>
        <w:gridCol w:w="1048"/>
        <w:gridCol w:w="764"/>
        <w:gridCol w:w="764"/>
        <w:gridCol w:w="827"/>
      </w:tblGrid>
      <w:tr w:rsidR="00A12401" w14:paraId="639CA8F8" w14:textId="77777777">
        <w:trPr>
          <w:trHeight w:val="443"/>
        </w:trPr>
        <w:tc>
          <w:tcPr>
            <w:tcW w:w="2418" w:type="dxa"/>
            <w:tcBorders>
              <w:top w:val="single" w:sz="4" w:space="0" w:color="AAAAAA"/>
              <w:left w:val="single" w:sz="4" w:space="0" w:color="AAAAAA"/>
              <w:bottom w:val="single" w:sz="4" w:space="0" w:color="AAAAAA"/>
              <w:right w:val="single" w:sz="4" w:space="0" w:color="AAAAAA"/>
            </w:tcBorders>
            <w:shd w:val="clear" w:color="auto" w:fill="C6D9F1"/>
            <w:vAlign w:val="center"/>
          </w:tcPr>
          <w:p w14:paraId="047496A7"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Question / Statement</w:t>
            </w:r>
          </w:p>
        </w:tc>
        <w:tc>
          <w:tcPr>
            <w:tcW w:w="764" w:type="dxa"/>
            <w:tcBorders>
              <w:top w:val="single" w:sz="4" w:space="0" w:color="AAAAAA"/>
              <w:left w:val="nil"/>
              <w:bottom w:val="single" w:sz="4" w:space="0" w:color="AAAAAA"/>
              <w:right w:val="single" w:sz="4" w:space="0" w:color="AAAAAA"/>
            </w:tcBorders>
            <w:shd w:val="clear" w:color="auto" w:fill="C6D9F1"/>
            <w:vAlign w:val="center"/>
          </w:tcPr>
          <w:p w14:paraId="07C44137"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n</w:t>
            </w:r>
          </w:p>
        </w:tc>
        <w:tc>
          <w:tcPr>
            <w:tcW w:w="764" w:type="dxa"/>
            <w:tcBorders>
              <w:top w:val="single" w:sz="4" w:space="0" w:color="AAAAAA"/>
              <w:left w:val="nil"/>
              <w:bottom w:val="single" w:sz="4" w:space="0" w:color="AAAAAA"/>
              <w:right w:val="single" w:sz="4" w:space="0" w:color="AAAAAA"/>
            </w:tcBorders>
            <w:shd w:val="clear" w:color="auto" w:fill="C6D9F1"/>
            <w:vAlign w:val="center"/>
          </w:tcPr>
          <w:p w14:paraId="0F068578"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Mean</w:t>
            </w:r>
          </w:p>
        </w:tc>
        <w:tc>
          <w:tcPr>
            <w:tcW w:w="903" w:type="dxa"/>
            <w:tcBorders>
              <w:top w:val="single" w:sz="4" w:space="0" w:color="AAAAAA"/>
              <w:left w:val="nil"/>
              <w:bottom w:val="single" w:sz="4" w:space="0" w:color="AAAAAA"/>
              <w:right w:val="single" w:sz="4" w:space="0" w:color="AAAAAA"/>
            </w:tcBorders>
            <w:shd w:val="clear" w:color="auto" w:fill="C6D9F1"/>
            <w:vAlign w:val="center"/>
          </w:tcPr>
          <w:p w14:paraId="083AFFB3"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Median</w:t>
            </w:r>
          </w:p>
        </w:tc>
        <w:tc>
          <w:tcPr>
            <w:tcW w:w="764" w:type="dxa"/>
            <w:tcBorders>
              <w:top w:val="single" w:sz="4" w:space="0" w:color="AAAAAA"/>
              <w:left w:val="nil"/>
              <w:bottom w:val="single" w:sz="4" w:space="0" w:color="AAAAAA"/>
              <w:right w:val="single" w:sz="4" w:space="0" w:color="AAAAAA"/>
            </w:tcBorders>
            <w:shd w:val="clear" w:color="auto" w:fill="C6D9F1"/>
            <w:vAlign w:val="center"/>
          </w:tcPr>
          <w:p w14:paraId="5A7024DB"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Std Dev</w:t>
            </w:r>
          </w:p>
        </w:tc>
        <w:tc>
          <w:tcPr>
            <w:tcW w:w="1048" w:type="dxa"/>
            <w:tcBorders>
              <w:top w:val="single" w:sz="4" w:space="0" w:color="AAAAAA"/>
              <w:left w:val="nil"/>
              <w:bottom w:val="single" w:sz="4" w:space="0" w:color="AAAAAA"/>
              <w:right w:val="single" w:sz="4" w:space="0" w:color="AAAAAA"/>
            </w:tcBorders>
            <w:shd w:val="clear" w:color="auto" w:fill="C6D9F1"/>
            <w:vAlign w:val="center"/>
          </w:tcPr>
          <w:p w14:paraId="1B42D38E"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Variance</w:t>
            </w:r>
          </w:p>
        </w:tc>
        <w:tc>
          <w:tcPr>
            <w:tcW w:w="764" w:type="dxa"/>
            <w:tcBorders>
              <w:top w:val="single" w:sz="4" w:space="0" w:color="AAAAAA"/>
              <w:left w:val="nil"/>
              <w:bottom w:val="single" w:sz="4" w:space="0" w:color="AAAAAA"/>
              <w:right w:val="single" w:sz="4" w:space="0" w:color="AAAAAA"/>
            </w:tcBorders>
            <w:shd w:val="clear" w:color="auto" w:fill="C6D9F1"/>
            <w:vAlign w:val="center"/>
          </w:tcPr>
          <w:p w14:paraId="6DBABAEF"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Min</w:t>
            </w:r>
          </w:p>
        </w:tc>
        <w:tc>
          <w:tcPr>
            <w:tcW w:w="764" w:type="dxa"/>
            <w:tcBorders>
              <w:top w:val="single" w:sz="4" w:space="0" w:color="AAAAAA"/>
              <w:left w:val="nil"/>
              <w:bottom w:val="single" w:sz="4" w:space="0" w:color="AAAAAA"/>
              <w:right w:val="single" w:sz="4" w:space="0" w:color="AAAAAA"/>
            </w:tcBorders>
            <w:shd w:val="clear" w:color="auto" w:fill="C6D9F1"/>
            <w:vAlign w:val="center"/>
          </w:tcPr>
          <w:p w14:paraId="2FA2668D"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Max</w:t>
            </w:r>
          </w:p>
        </w:tc>
        <w:tc>
          <w:tcPr>
            <w:tcW w:w="827" w:type="dxa"/>
            <w:tcBorders>
              <w:top w:val="single" w:sz="4" w:space="0" w:color="AAAAAA"/>
              <w:left w:val="nil"/>
              <w:bottom w:val="single" w:sz="4" w:space="0" w:color="AAAAAA"/>
              <w:right w:val="single" w:sz="4" w:space="0" w:color="AAAAAA"/>
            </w:tcBorders>
            <w:shd w:val="clear" w:color="auto" w:fill="C6D9F1"/>
            <w:vAlign w:val="center"/>
          </w:tcPr>
          <w:p w14:paraId="0444EF4A"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Range</w:t>
            </w:r>
          </w:p>
        </w:tc>
      </w:tr>
      <w:tr w:rsidR="00A12401" w14:paraId="5695E4E4" w14:textId="77777777">
        <w:trPr>
          <w:trHeight w:val="397"/>
        </w:trPr>
        <w:tc>
          <w:tcPr>
            <w:tcW w:w="2418" w:type="dxa"/>
            <w:tcBorders>
              <w:top w:val="nil"/>
              <w:left w:val="single" w:sz="4" w:space="0" w:color="AAAAAA"/>
              <w:bottom w:val="single" w:sz="4" w:space="0" w:color="AAAAAA"/>
              <w:right w:val="single" w:sz="4" w:space="0" w:color="AAAAAA"/>
            </w:tcBorders>
            <w:vAlign w:val="center"/>
          </w:tcPr>
          <w:p w14:paraId="0C0B300D"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Q6 – CSR Awareness Level</w:t>
            </w:r>
          </w:p>
        </w:tc>
        <w:tc>
          <w:tcPr>
            <w:tcW w:w="764" w:type="dxa"/>
            <w:tcBorders>
              <w:top w:val="nil"/>
              <w:left w:val="nil"/>
              <w:bottom w:val="single" w:sz="4" w:space="0" w:color="AAAAAA"/>
              <w:right w:val="single" w:sz="4" w:space="0" w:color="AAAAAA"/>
            </w:tcBorders>
            <w:vAlign w:val="bottom"/>
          </w:tcPr>
          <w:p w14:paraId="243F232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vAlign w:val="bottom"/>
          </w:tcPr>
          <w:p w14:paraId="2534BDD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6.50</w:t>
            </w:r>
          </w:p>
        </w:tc>
        <w:tc>
          <w:tcPr>
            <w:tcW w:w="903" w:type="dxa"/>
            <w:tcBorders>
              <w:top w:val="nil"/>
              <w:left w:val="nil"/>
              <w:bottom w:val="single" w:sz="4" w:space="0" w:color="AAAAAA"/>
              <w:right w:val="single" w:sz="4" w:space="0" w:color="AAAAAA"/>
            </w:tcBorders>
            <w:vAlign w:val="bottom"/>
          </w:tcPr>
          <w:p w14:paraId="73633100"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vAlign w:val="bottom"/>
          </w:tcPr>
          <w:p w14:paraId="3F5BB5AD"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2.38</w:t>
            </w:r>
          </w:p>
        </w:tc>
        <w:tc>
          <w:tcPr>
            <w:tcW w:w="1048" w:type="dxa"/>
            <w:tcBorders>
              <w:top w:val="nil"/>
              <w:left w:val="nil"/>
              <w:bottom w:val="single" w:sz="4" w:space="0" w:color="AAAAAA"/>
              <w:right w:val="single" w:sz="4" w:space="0" w:color="AAAAAA"/>
            </w:tcBorders>
            <w:vAlign w:val="bottom"/>
          </w:tcPr>
          <w:p w14:paraId="3C557E3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5.68</w:t>
            </w:r>
          </w:p>
        </w:tc>
        <w:tc>
          <w:tcPr>
            <w:tcW w:w="764" w:type="dxa"/>
            <w:tcBorders>
              <w:top w:val="nil"/>
              <w:left w:val="nil"/>
              <w:bottom w:val="single" w:sz="4" w:space="0" w:color="AAAAAA"/>
              <w:right w:val="single" w:sz="4" w:space="0" w:color="AAAAAA"/>
            </w:tcBorders>
            <w:vAlign w:val="bottom"/>
          </w:tcPr>
          <w:p w14:paraId="36D90CE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vAlign w:val="bottom"/>
          </w:tcPr>
          <w:p w14:paraId="3FD0E7D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vAlign w:val="bottom"/>
          </w:tcPr>
          <w:p w14:paraId="4C5AE87D"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5D972095" w14:textId="77777777">
        <w:trPr>
          <w:trHeight w:val="397"/>
        </w:trPr>
        <w:tc>
          <w:tcPr>
            <w:tcW w:w="2418" w:type="dxa"/>
            <w:tcBorders>
              <w:top w:val="nil"/>
              <w:left w:val="single" w:sz="4" w:space="0" w:color="AAAAAA"/>
              <w:bottom w:val="single" w:sz="4" w:space="0" w:color="AAAAAA"/>
              <w:right w:val="single" w:sz="4" w:space="0" w:color="AAAAAA"/>
            </w:tcBorders>
            <w:shd w:val="clear" w:color="auto" w:fill="EBF3FB"/>
            <w:vAlign w:val="center"/>
          </w:tcPr>
          <w:p w14:paraId="4F7AE4BB"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Q7 – Environmental Sustainability</w:t>
            </w:r>
          </w:p>
        </w:tc>
        <w:tc>
          <w:tcPr>
            <w:tcW w:w="764" w:type="dxa"/>
            <w:tcBorders>
              <w:top w:val="nil"/>
              <w:left w:val="nil"/>
              <w:bottom w:val="single" w:sz="4" w:space="0" w:color="AAAAAA"/>
              <w:right w:val="single" w:sz="4" w:space="0" w:color="AAAAAA"/>
            </w:tcBorders>
            <w:shd w:val="clear" w:color="auto" w:fill="EBF3FB"/>
            <w:vAlign w:val="bottom"/>
          </w:tcPr>
          <w:p w14:paraId="38A5B4F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shd w:val="clear" w:color="auto" w:fill="EBF3FB"/>
            <w:vAlign w:val="bottom"/>
          </w:tcPr>
          <w:p w14:paraId="481C828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6.50</w:t>
            </w:r>
          </w:p>
        </w:tc>
        <w:tc>
          <w:tcPr>
            <w:tcW w:w="903" w:type="dxa"/>
            <w:tcBorders>
              <w:top w:val="nil"/>
              <w:left w:val="nil"/>
              <w:bottom w:val="single" w:sz="4" w:space="0" w:color="AAAAAA"/>
              <w:right w:val="single" w:sz="4" w:space="0" w:color="AAAAAA"/>
            </w:tcBorders>
            <w:shd w:val="clear" w:color="auto" w:fill="EBF3FB"/>
            <w:vAlign w:val="bottom"/>
          </w:tcPr>
          <w:p w14:paraId="08C87F9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shd w:val="clear" w:color="auto" w:fill="EBF3FB"/>
            <w:vAlign w:val="bottom"/>
          </w:tcPr>
          <w:p w14:paraId="0ED371B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2.38</w:t>
            </w:r>
          </w:p>
        </w:tc>
        <w:tc>
          <w:tcPr>
            <w:tcW w:w="1048" w:type="dxa"/>
            <w:tcBorders>
              <w:top w:val="nil"/>
              <w:left w:val="nil"/>
              <w:bottom w:val="single" w:sz="4" w:space="0" w:color="AAAAAA"/>
              <w:right w:val="single" w:sz="4" w:space="0" w:color="AAAAAA"/>
            </w:tcBorders>
            <w:shd w:val="clear" w:color="auto" w:fill="EBF3FB"/>
            <w:vAlign w:val="bottom"/>
          </w:tcPr>
          <w:p w14:paraId="60BE3340"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5.68</w:t>
            </w:r>
          </w:p>
        </w:tc>
        <w:tc>
          <w:tcPr>
            <w:tcW w:w="764" w:type="dxa"/>
            <w:tcBorders>
              <w:top w:val="nil"/>
              <w:left w:val="nil"/>
              <w:bottom w:val="single" w:sz="4" w:space="0" w:color="AAAAAA"/>
              <w:right w:val="single" w:sz="4" w:space="0" w:color="AAAAAA"/>
            </w:tcBorders>
            <w:shd w:val="clear" w:color="auto" w:fill="EBF3FB"/>
            <w:vAlign w:val="bottom"/>
          </w:tcPr>
          <w:p w14:paraId="7BC0F9C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shd w:val="clear" w:color="auto" w:fill="EBF3FB"/>
            <w:vAlign w:val="bottom"/>
          </w:tcPr>
          <w:p w14:paraId="353C790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shd w:val="clear" w:color="auto" w:fill="EBF3FB"/>
            <w:vAlign w:val="bottom"/>
          </w:tcPr>
          <w:p w14:paraId="6BFCD57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05A07B8F" w14:textId="77777777">
        <w:trPr>
          <w:trHeight w:val="397"/>
        </w:trPr>
        <w:tc>
          <w:tcPr>
            <w:tcW w:w="2418" w:type="dxa"/>
            <w:tcBorders>
              <w:top w:val="nil"/>
              <w:left w:val="single" w:sz="4" w:space="0" w:color="AAAAAA"/>
              <w:bottom w:val="single" w:sz="4" w:space="0" w:color="AAAAAA"/>
              <w:right w:val="single" w:sz="4" w:space="0" w:color="AAAAAA"/>
            </w:tcBorders>
            <w:vAlign w:val="center"/>
          </w:tcPr>
          <w:p w14:paraId="09C9DDDB"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Q8 – Community Support</w:t>
            </w:r>
          </w:p>
        </w:tc>
        <w:tc>
          <w:tcPr>
            <w:tcW w:w="764" w:type="dxa"/>
            <w:tcBorders>
              <w:top w:val="nil"/>
              <w:left w:val="nil"/>
              <w:bottom w:val="single" w:sz="4" w:space="0" w:color="AAAAAA"/>
              <w:right w:val="single" w:sz="4" w:space="0" w:color="AAAAAA"/>
            </w:tcBorders>
            <w:vAlign w:val="bottom"/>
          </w:tcPr>
          <w:p w14:paraId="2050D95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vAlign w:val="bottom"/>
          </w:tcPr>
          <w:p w14:paraId="58AF0D6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7.00</w:t>
            </w:r>
          </w:p>
        </w:tc>
        <w:tc>
          <w:tcPr>
            <w:tcW w:w="903" w:type="dxa"/>
            <w:tcBorders>
              <w:top w:val="nil"/>
              <w:left w:val="nil"/>
              <w:bottom w:val="single" w:sz="4" w:space="0" w:color="AAAAAA"/>
              <w:right w:val="single" w:sz="4" w:space="0" w:color="AAAAAA"/>
            </w:tcBorders>
            <w:vAlign w:val="bottom"/>
          </w:tcPr>
          <w:p w14:paraId="4EA26C6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vAlign w:val="bottom"/>
          </w:tcPr>
          <w:p w14:paraId="4826986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2.24</w:t>
            </w:r>
          </w:p>
        </w:tc>
        <w:tc>
          <w:tcPr>
            <w:tcW w:w="1048" w:type="dxa"/>
            <w:tcBorders>
              <w:top w:val="nil"/>
              <w:left w:val="nil"/>
              <w:bottom w:val="single" w:sz="4" w:space="0" w:color="AAAAAA"/>
              <w:right w:val="single" w:sz="4" w:space="0" w:color="AAAAAA"/>
            </w:tcBorders>
            <w:vAlign w:val="bottom"/>
          </w:tcPr>
          <w:p w14:paraId="0BB12BC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5.00</w:t>
            </w:r>
          </w:p>
        </w:tc>
        <w:tc>
          <w:tcPr>
            <w:tcW w:w="764" w:type="dxa"/>
            <w:tcBorders>
              <w:top w:val="nil"/>
              <w:left w:val="nil"/>
              <w:bottom w:val="single" w:sz="4" w:space="0" w:color="AAAAAA"/>
              <w:right w:val="single" w:sz="4" w:space="0" w:color="AAAAAA"/>
            </w:tcBorders>
            <w:vAlign w:val="bottom"/>
          </w:tcPr>
          <w:p w14:paraId="26E8C63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vAlign w:val="bottom"/>
          </w:tcPr>
          <w:p w14:paraId="4B08CE7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vAlign w:val="bottom"/>
          </w:tcPr>
          <w:p w14:paraId="2BE4DA8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18DA4EDA" w14:textId="77777777">
        <w:trPr>
          <w:trHeight w:val="397"/>
        </w:trPr>
        <w:tc>
          <w:tcPr>
            <w:tcW w:w="2418" w:type="dxa"/>
            <w:tcBorders>
              <w:top w:val="nil"/>
              <w:left w:val="single" w:sz="4" w:space="0" w:color="AAAAAA"/>
              <w:bottom w:val="single" w:sz="4" w:space="0" w:color="AAAAAA"/>
              <w:right w:val="single" w:sz="4" w:space="0" w:color="AAAAAA"/>
            </w:tcBorders>
            <w:shd w:val="clear" w:color="auto" w:fill="EBF3FB"/>
            <w:vAlign w:val="center"/>
          </w:tcPr>
          <w:p w14:paraId="78B0E2DB"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 xml:space="preserve">Q9 – Ethical Business </w:t>
            </w:r>
            <w:proofErr w:type="spellStart"/>
            <w:r>
              <w:rPr>
                <w:rFonts w:ascii="Arial" w:eastAsia="Arial" w:hAnsi="Arial" w:cs="Arial"/>
                <w:sz w:val="20"/>
                <w:szCs w:val="20"/>
              </w:rPr>
              <w:t>Behaviour</w:t>
            </w:r>
            <w:proofErr w:type="spellEnd"/>
          </w:p>
        </w:tc>
        <w:tc>
          <w:tcPr>
            <w:tcW w:w="764" w:type="dxa"/>
            <w:tcBorders>
              <w:top w:val="nil"/>
              <w:left w:val="nil"/>
              <w:bottom w:val="single" w:sz="4" w:space="0" w:color="AAAAAA"/>
              <w:right w:val="single" w:sz="4" w:space="0" w:color="AAAAAA"/>
            </w:tcBorders>
            <w:shd w:val="clear" w:color="auto" w:fill="EBF3FB"/>
            <w:vAlign w:val="bottom"/>
          </w:tcPr>
          <w:p w14:paraId="34FBD77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shd w:val="clear" w:color="auto" w:fill="EBF3FB"/>
            <w:vAlign w:val="bottom"/>
          </w:tcPr>
          <w:p w14:paraId="3C856C8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6.50</w:t>
            </w:r>
          </w:p>
        </w:tc>
        <w:tc>
          <w:tcPr>
            <w:tcW w:w="903" w:type="dxa"/>
            <w:tcBorders>
              <w:top w:val="nil"/>
              <w:left w:val="nil"/>
              <w:bottom w:val="single" w:sz="4" w:space="0" w:color="AAAAAA"/>
              <w:right w:val="single" w:sz="4" w:space="0" w:color="AAAAAA"/>
            </w:tcBorders>
            <w:shd w:val="clear" w:color="auto" w:fill="EBF3FB"/>
            <w:vAlign w:val="bottom"/>
          </w:tcPr>
          <w:p w14:paraId="65A2879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shd w:val="clear" w:color="auto" w:fill="EBF3FB"/>
            <w:vAlign w:val="bottom"/>
          </w:tcPr>
          <w:p w14:paraId="2739477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2.38</w:t>
            </w:r>
          </w:p>
        </w:tc>
        <w:tc>
          <w:tcPr>
            <w:tcW w:w="1048" w:type="dxa"/>
            <w:tcBorders>
              <w:top w:val="nil"/>
              <w:left w:val="nil"/>
              <w:bottom w:val="single" w:sz="4" w:space="0" w:color="AAAAAA"/>
              <w:right w:val="single" w:sz="4" w:space="0" w:color="AAAAAA"/>
            </w:tcBorders>
            <w:shd w:val="clear" w:color="auto" w:fill="EBF3FB"/>
            <w:vAlign w:val="bottom"/>
          </w:tcPr>
          <w:p w14:paraId="5B7740E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5.68</w:t>
            </w:r>
          </w:p>
        </w:tc>
        <w:tc>
          <w:tcPr>
            <w:tcW w:w="764" w:type="dxa"/>
            <w:tcBorders>
              <w:top w:val="nil"/>
              <w:left w:val="nil"/>
              <w:bottom w:val="single" w:sz="4" w:space="0" w:color="AAAAAA"/>
              <w:right w:val="single" w:sz="4" w:space="0" w:color="AAAAAA"/>
            </w:tcBorders>
            <w:shd w:val="clear" w:color="auto" w:fill="EBF3FB"/>
            <w:vAlign w:val="bottom"/>
          </w:tcPr>
          <w:p w14:paraId="090198E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shd w:val="clear" w:color="auto" w:fill="EBF3FB"/>
            <w:vAlign w:val="bottom"/>
          </w:tcPr>
          <w:p w14:paraId="1D53146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shd w:val="clear" w:color="auto" w:fill="EBF3FB"/>
            <w:vAlign w:val="bottom"/>
          </w:tcPr>
          <w:p w14:paraId="1743A33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7AA4FB07" w14:textId="77777777">
        <w:trPr>
          <w:trHeight w:val="397"/>
        </w:trPr>
        <w:tc>
          <w:tcPr>
            <w:tcW w:w="2418" w:type="dxa"/>
            <w:tcBorders>
              <w:top w:val="nil"/>
              <w:left w:val="single" w:sz="4" w:space="0" w:color="AAAAAA"/>
              <w:bottom w:val="single" w:sz="4" w:space="0" w:color="AAAAAA"/>
              <w:right w:val="single" w:sz="4" w:space="0" w:color="AAAAAA"/>
            </w:tcBorders>
            <w:vAlign w:val="center"/>
          </w:tcPr>
          <w:p w14:paraId="0A0FC60F"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Q10 – Genuine CSR (not marketing)</w:t>
            </w:r>
          </w:p>
        </w:tc>
        <w:tc>
          <w:tcPr>
            <w:tcW w:w="764" w:type="dxa"/>
            <w:tcBorders>
              <w:top w:val="nil"/>
              <w:left w:val="nil"/>
              <w:bottom w:val="single" w:sz="4" w:space="0" w:color="AAAAAA"/>
              <w:right w:val="single" w:sz="4" w:space="0" w:color="AAAAAA"/>
            </w:tcBorders>
            <w:vAlign w:val="bottom"/>
          </w:tcPr>
          <w:p w14:paraId="1A2DDE2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vAlign w:val="bottom"/>
          </w:tcPr>
          <w:p w14:paraId="6CB05A8D"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6.30</w:t>
            </w:r>
          </w:p>
        </w:tc>
        <w:tc>
          <w:tcPr>
            <w:tcW w:w="903" w:type="dxa"/>
            <w:tcBorders>
              <w:top w:val="nil"/>
              <w:left w:val="nil"/>
              <w:bottom w:val="single" w:sz="4" w:space="0" w:color="AAAAAA"/>
              <w:right w:val="single" w:sz="4" w:space="0" w:color="AAAAAA"/>
            </w:tcBorders>
            <w:vAlign w:val="bottom"/>
          </w:tcPr>
          <w:p w14:paraId="448ED200"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vAlign w:val="bottom"/>
          </w:tcPr>
          <w:p w14:paraId="361B30B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2.19</w:t>
            </w:r>
          </w:p>
        </w:tc>
        <w:tc>
          <w:tcPr>
            <w:tcW w:w="1048" w:type="dxa"/>
            <w:tcBorders>
              <w:top w:val="nil"/>
              <w:left w:val="nil"/>
              <w:bottom w:val="single" w:sz="4" w:space="0" w:color="AAAAAA"/>
              <w:right w:val="single" w:sz="4" w:space="0" w:color="AAAAAA"/>
            </w:tcBorders>
            <w:vAlign w:val="bottom"/>
          </w:tcPr>
          <w:p w14:paraId="4C292A8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4.80</w:t>
            </w:r>
          </w:p>
        </w:tc>
        <w:tc>
          <w:tcPr>
            <w:tcW w:w="764" w:type="dxa"/>
            <w:tcBorders>
              <w:top w:val="nil"/>
              <w:left w:val="nil"/>
              <w:bottom w:val="single" w:sz="4" w:space="0" w:color="AAAAAA"/>
              <w:right w:val="single" w:sz="4" w:space="0" w:color="AAAAAA"/>
            </w:tcBorders>
            <w:vAlign w:val="bottom"/>
          </w:tcPr>
          <w:p w14:paraId="625190E0"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vAlign w:val="bottom"/>
          </w:tcPr>
          <w:p w14:paraId="6E2FC9A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vAlign w:val="bottom"/>
          </w:tcPr>
          <w:p w14:paraId="3A58C5B1"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0F0F5F4A" w14:textId="77777777">
        <w:trPr>
          <w:trHeight w:val="397"/>
        </w:trPr>
        <w:tc>
          <w:tcPr>
            <w:tcW w:w="2418" w:type="dxa"/>
            <w:tcBorders>
              <w:top w:val="nil"/>
              <w:left w:val="single" w:sz="4" w:space="0" w:color="AAAAAA"/>
              <w:bottom w:val="single" w:sz="4" w:space="0" w:color="AAAAAA"/>
              <w:right w:val="single" w:sz="4" w:space="0" w:color="AAAAAA"/>
            </w:tcBorders>
            <w:shd w:val="clear" w:color="auto" w:fill="EBF3FB"/>
            <w:vAlign w:val="center"/>
          </w:tcPr>
          <w:p w14:paraId="263F32AE"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Q11 – Clear CSR Communication</w:t>
            </w:r>
          </w:p>
        </w:tc>
        <w:tc>
          <w:tcPr>
            <w:tcW w:w="764" w:type="dxa"/>
            <w:tcBorders>
              <w:top w:val="nil"/>
              <w:left w:val="nil"/>
              <w:bottom w:val="single" w:sz="4" w:space="0" w:color="AAAAAA"/>
              <w:right w:val="single" w:sz="4" w:space="0" w:color="AAAAAA"/>
            </w:tcBorders>
            <w:shd w:val="clear" w:color="auto" w:fill="EBF3FB"/>
            <w:vAlign w:val="bottom"/>
          </w:tcPr>
          <w:p w14:paraId="61880FD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shd w:val="clear" w:color="auto" w:fill="EBF3FB"/>
            <w:vAlign w:val="bottom"/>
          </w:tcPr>
          <w:p w14:paraId="3BD52BC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6.90</w:t>
            </w:r>
          </w:p>
        </w:tc>
        <w:tc>
          <w:tcPr>
            <w:tcW w:w="903" w:type="dxa"/>
            <w:tcBorders>
              <w:top w:val="nil"/>
              <w:left w:val="nil"/>
              <w:bottom w:val="single" w:sz="4" w:space="0" w:color="AAAAAA"/>
              <w:right w:val="single" w:sz="4" w:space="0" w:color="AAAAAA"/>
            </w:tcBorders>
            <w:shd w:val="clear" w:color="auto" w:fill="EBF3FB"/>
            <w:vAlign w:val="bottom"/>
          </w:tcPr>
          <w:p w14:paraId="7BFE899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shd w:val="clear" w:color="auto" w:fill="EBF3FB"/>
            <w:vAlign w:val="bottom"/>
          </w:tcPr>
          <w:p w14:paraId="6EF0C36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2.16</w:t>
            </w:r>
          </w:p>
        </w:tc>
        <w:tc>
          <w:tcPr>
            <w:tcW w:w="1048" w:type="dxa"/>
            <w:tcBorders>
              <w:top w:val="nil"/>
              <w:left w:val="nil"/>
              <w:bottom w:val="single" w:sz="4" w:space="0" w:color="AAAAAA"/>
              <w:right w:val="single" w:sz="4" w:space="0" w:color="AAAAAA"/>
            </w:tcBorders>
            <w:shd w:val="clear" w:color="auto" w:fill="EBF3FB"/>
            <w:vAlign w:val="bottom"/>
          </w:tcPr>
          <w:p w14:paraId="258497E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4.67</w:t>
            </w:r>
          </w:p>
        </w:tc>
        <w:tc>
          <w:tcPr>
            <w:tcW w:w="764" w:type="dxa"/>
            <w:tcBorders>
              <w:top w:val="nil"/>
              <w:left w:val="nil"/>
              <w:bottom w:val="single" w:sz="4" w:space="0" w:color="AAAAAA"/>
              <w:right w:val="single" w:sz="4" w:space="0" w:color="AAAAAA"/>
            </w:tcBorders>
            <w:shd w:val="clear" w:color="auto" w:fill="EBF3FB"/>
            <w:vAlign w:val="bottom"/>
          </w:tcPr>
          <w:p w14:paraId="6AC3C11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shd w:val="clear" w:color="auto" w:fill="EBF3FB"/>
            <w:vAlign w:val="bottom"/>
          </w:tcPr>
          <w:p w14:paraId="72D3A98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shd w:val="clear" w:color="auto" w:fill="EBF3FB"/>
            <w:vAlign w:val="bottom"/>
          </w:tcPr>
          <w:p w14:paraId="3D1CA5B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58F507AC" w14:textId="77777777">
        <w:trPr>
          <w:trHeight w:val="397"/>
        </w:trPr>
        <w:tc>
          <w:tcPr>
            <w:tcW w:w="2418" w:type="dxa"/>
            <w:tcBorders>
              <w:top w:val="nil"/>
              <w:left w:val="single" w:sz="4" w:space="0" w:color="AAAAAA"/>
              <w:bottom w:val="single" w:sz="4" w:space="0" w:color="AAAAAA"/>
              <w:right w:val="single" w:sz="4" w:space="0" w:color="AAAAAA"/>
            </w:tcBorders>
            <w:vAlign w:val="center"/>
          </w:tcPr>
          <w:p w14:paraId="5BC7579F"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Q12 – Positive Brand Perception</w:t>
            </w:r>
          </w:p>
        </w:tc>
        <w:tc>
          <w:tcPr>
            <w:tcW w:w="764" w:type="dxa"/>
            <w:tcBorders>
              <w:top w:val="nil"/>
              <w:left w:val="nil"/>
              <w:bottom w:val="single" w:sz="4" w:space="0" w:color="AAAAAA"/>
              <w:right w:val="single" w:sz="4" w:space="0" w:color="AAAAAA"/>
            </w:tcBorders>
            <w:vAlign w:val="bottom"/>
          </w:tcPr>
          <w:p w14:paraId="09796261"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vAlign w:val="bottom"/>
          </w:tcPr>
          <w:p w14:paraId="10BFE12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7.10</w:t>
            </w:r>
          </w:p>
        </w:tc>
        <w:tc>
          <w:tcPr>
            <w:tcW w:w="903" w:type="dxa"/>
            <w:tcBorders>
              <w:top w:val="nil"/>
              <w:left w:val="nil"/>
              <w:bottom w:val="single" w:sz="4" w:space="0" w:color="AAAAAA"/>
              <w:right w:val="single" w:sz="4" w:space="0" w:color="AAAAAA"/>
            </w:tcBorders>
            <w:vAlign w:val="bottom"/>
          </w:tcPr>
          <w:p w14:paraId="2C2C8A2D"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vAlign w:val="bottom"/>
          </w:tcPr>
          <w:p w14:paraId="43BDBC5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2.30</w:t>
            </w:r>
          </w:p>
        </w:tc>
        <w:tc>
          <w:tcPr>
            <w:tcW w:w="1048" w:type="dxa"/>
            <w:tcBorders>
              <w:top w:val="nil"/>
              <w:left w:val="nil"/>
              <w:bottom w:val="single" w:sz="4" w:space="0" w:color="AAAAAA"/>
              <w:right w:val="single" w:sz="4" w:space="0" w:color="AAAAAA"/>
            </w:tcBorders>
            <w:vAlign w:val="bottom"/>
          </w:tcPr>
          <w:p w14:paraId="60EFF15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5.31</w:t>
            </w:r>
          </w:p>
        </w:tc>
        <w:tc>
          <w:tcPr>
            <w:tcW w:w="764" w:type="dxa"/>
            <w:tcBorders>
              <w:top w:val="nil"/>
              <w:left w:val="nil"/>
              <w:bottom w:val="single" w:sz="4" w:space="0" w:color="AAAAAA"/>
              <w:right w:val="single" w:sz="4" w:space="0" w:color="AAAAAA"/>
            </w:tcBorders>
            <w:vAlign w:val="bottom"/>
          </w:tcPr>
          <w:p w14:paraId="700B2B6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vAlign w:val="bottom"/>
          </w:tcPr>
          <w:p w14:paraId="778C746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vAlign w:val="bottom"/>
          </w:tcPr>
          <w:p w14:paraId="625B05A9"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51BE9720" w14:textId="77777777">
        <w:trPr>
          <w:trHeight w:val="397"/>
        </w:trPr>
        <w:tc>
          <w:tcPr>
            <w:tcW w:w="2418" w:type="dxa"/>
            <w:tcBorders>
              <w:top w:val="nil"/>
              <w:left w:val="single" w:sz="4" w:space="0" w:color="AAAAAA"/>
              <w:bottom w:val="single" w:sz="4" w:space="0" w:color="AAAAAA"/>
              <w:right w:val="single" w:sz="4" w:space="0" w:color="AAAAAA"/>
            </w:tcBorders>
            <w:shd w:val="clear" w:color="auto" w:fill="EBF3FB"/>
            <w:vAlign w:val="center"/>
          </w:tcPr>
          <w:p w14:paraId="4B34452C"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Q13 – Shopping Preference for CSR</w:t>
            </w:r>
          </w:p>
        </w:tc>
        <w:tc>
          <w:tcPr>
            <w:tcW w:w="764" w:type="dxa"/>
            <w:tcBorders>
              <w:top w:val="nil"/>
              <w:left w:val="nil"/>
              <w:bottom w:val="single" w:sz="4" w:space="0" w:color="AAAAAA"/>
              <w:right w:val="single" w:sz="4" w:space="0" w:color="AAAAAA"/>
            </w:tcBorders>
            <w:shd w:val="clear" w:color="auto" w:fill="EBF3FB"/>
            <w:vAlign w:val="bottom"/>
          </w:tcPr>
          <w:p w14:paraId="2F4E943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shd w:val="clear" w:color="auto" w:fill="EBF3FB"/>
            <w:vAlign w:val="bottom"/>
          </w:tcPr>
          <w:p w14:paraId="74988C51"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6.40</w:t>
            </w:r>
          </w:p>
        </w:tc>
        <w:tc>
          <w:tcPr>
            <w:tcW w:w="903" w:type="dxa"/>
            <w:tcBorders>
              <w:top w:val="nil"/>
              <w:left w:val="nil"/>
              <w:bottom w:val="single" w:sz="4" w:space="0" w:color="AAAAAA"/>
              <w:right w:val="single" w:sz="4" w:space="0" w:color="AAAAAA"/>
            </w:tcBorders>
            <w:shd w:val="clear" w:color="auto" w:fill="EBF3FB"/>
            <w:vAlign w:val="bottom"/>
          </w:tcPr>
          <w:p w14:paraId="1B4C022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shd w:val="clear" w:color="auto" w:fill="EBF3FB"/>
            <w:vAlign w:val="bottom"/>
          </w:tcPr>
          <w:p w14:paraId="4DFC50D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2.29</w:t>
            </w:r>
          </w:p>
        </w:tc>
        <w:tc>
          <w:tcPr>
            <w:tcW w:w="1048" w:type="dxa"/>
            <w:tcBorders>
              <w:top w:val="nil"/>
              <w:left w:val="nil"/>
              <w:bottom w:val="single" w:sz="4" w:space="0" w:color="AAAAAA"/>
              <w:right w:val="single" w:sz="4" w:space="0" w:color="AAAAAA"/>
            </w:tcBorders>
            <w:shd w:val="clear" w:color="auto" w:fill="EBF3FB"/>
            <w:vAlign w:val="bottom"/>
          </w:tcPr>
          <w:p w14:paraId="63B60F6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5.25</w:t>
            </w:r>
          </w:p>
        </w:tc>
        <w:tc>
          <w:tcPr>
            <w:tcW w:w="764" w:type="dxa"/>
            <w:tcBorders>
              <w:top w:val="nil"/>
              <w:left w:val="nil"/>
              <w:bottom w:val="single" w:sz="4" w:space="0" w:color="AAAAAA"/>
              <w:right w:val="single" w:sz="4" w:space="0" w:color="AAAAAA"/>
            </w:tcBorders>
            <w:shd w:val="clear" w:color="auto" w:fill="EBF3FB"/>
            <w:vAlign w:val="bottom"/>
          </w:tcPr>
          <w:p w14:paraId="5A7B128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shd w:val="clear" w:color="auto" w:fill="EBF3FB"/>
            <w:vAlign w:val="bottom"/>
          </w:tcPr>
          <w:p w14:paraId="3E82B2E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shd w:val="clear" w:color="auto" w:fill="EBF3FB"/>
            <w:vAlign w:val="bottom"/>
          </w:tcPr>
          <w:p w14:paraId="3715933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75129AB4" w14:textId="77777777">
        <w:trPr>
          <w:trHeight w:val="397"/>
        </w:trPr>
        <w:tc>
          <w:tcPr>
            <w:tcW w:w="2418" w:type="dxa"/>
            <w:tcBorders>
              <w:top w:val="nil"/>
              <w:left w:val="single" w:sz="4" w:space="0" w:color="AAAAAA"/>
              <w:bottom w:val="single" w:sz="4" w:space="0" w:color="AAAAAA"/>
              <w:right w:val="single" w:sz="4" w:space="0" w:color="AAAAAA"/>
            </w:tcBorders>
            <w:vAlign w:val="center"/>
          </w:tcPr>
          <w:p w14:paraId="17B88C28"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Q14 – Trust from CSR</w:t>
            </w:r>
          </w:p>
        </w:tc>
        <w:tc>
          <w:tcPr>
            <w:tcW w:w="764" w:type="dxa"/>
            <w:tcBorders>
              <w:top w:val="nil"/>
              <w:left w:val="nil"/>
              <w:bottom w:val="single" w:sz="4" w:space="0" w:color="AAAAAA"/>
              <w:right w:val="single" w:sz="4" w:space="0" w:color="AAAAAA"/>
            </w:tcBorders>
            <w:vAlign w:val="bottom"/>
          </w:tcPr>
          <w:p w14:paraId="1DE592B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vAlign w:val="bottom"/>
          </w:tcPr>
          <w:p w14:paraId="0B3ACC41"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6.60</w:t>
            </w:r>
          </w:p>
        </w:tc>
        <w:tc>
          <w:tcPr>
            <w:tcW w:w="903" w:type="dxa"/>
            <w:tcBorders>
              <w:top w:val="nil"/>
              <w:left w:val="nil"/>
              <w:bottom w:val="single" w:sz="4" w:space="0" w:color="AAAAAA"/>
              <w:right w:val="single" w:sz="4" w:space="0" w:color="AAAAAA"/>
            </w:tcBorders>
            <w:vAlign w:val="bottom"/>
          </w:tcPr>
          <w:p w14:paraId="69BA958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vAlign w:val="bottom"/>
          </w:tcPr>
          <w:p w14:paraId="36084E6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2.47</w:t>
            </w:r>
          </w:p>
        </w:tc>
        <w:tc>
          <w:tcPr>
            <w:tcW w:w="1048" w:type="dxa"/>
            <w:tcBorders>
              <w:top w:val="nil"/>
              <w:left w:val="nil"/>
              <w:bottom w:val="single" w:sz="4" w:space="0" w:color="AAAAAA"/>
              <w:right w:val="single" w:sz="4" w:space="0" w:color="AAAAAA"/>
            </w:tcBorders>
            <w:vAlign w:val="bottom"/>
          </w:tcPr>
          <w:p w14:paraId="77B50C9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6.09</w:t>
            </w:r>
          </w:p>
        </w:tc>
        <w:tc>
          <w:tcPr>
            <w:tcW w:w="764" w:type="dxa"/>
            <w:tcBorders>
              <w:top w:val="nil"/>
              <w:left w:val="nil"/>
              <w:bottom w:val="single" w:sz="4" w:space="0" w:color="AAAAAA"/>
              <w:right w:val="single" w:sz="4" w:space="0" w:color="AAAAAA"/>
            </w:tcBorders>
            <w:vAlign w:val="bottom"/>
          </w:tcPr>
          <w:p w14:paraId="77B05BF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vAlign w:val="bottom"/>
          </w:tcPr>
          <w:p w14:paraId="43C4D03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vAlign w:val="bottom"/>
          </w:tcPr>
          <w:p w14:paraId="7075DFA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117E77B7" w14:textId="77777777">
        <w:trPr>
          <w:trHeight w:val="397"/>
        </w:trPr>
        <w:tc>
          <w:tcPr>
            <w:tcW w:w="2418" w:type="dxa"/>
            <w:tcBorders>
              <w:top w:val="nil"/>
              <w:left w:val="single" w:sz="4" w:space="0" w:color="AAAAAA"/>
              <w:bottom w:val="single" w:sz="4" w:space="0" w:color="AAAAAA"/>
              <w:right w:val="single" w:sz="4" w:space="0" w:color="AAAAAA"/>
            </w:tcBorders>
            <w:shd w:val="clear" w:color="auto" w:fill="EBF3FB"/>
            <w:vAlign w:val="center"/>
          </w:tcPr>
          <w:p w14:paraId="65C5E7B2"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Q15 – Loyalty from CSR</w:t>
            </w:r>
          </w:p>
        </w:tc>
        <w:tc>
          <w:tcPr>
            <w:tcW w:w="764" w:type="dxa"/>
            <w:tcBorders>
              <w:top w:val="nil"/>
              <w:left w:val="nil"/>
              <w:bottom w:val="single" w:sz="4" w:space="0" w:color="AAAAAA"/>
              <w:right w:val="single" w:sz="4" w:space="0" w:color="AAAAAA"/>
            </w:tcBorders>
            <w:shd w:val="clear" w:color="auto" w:fill="EBF3FB"/>
            <w:vAlign w:val="bottom"/>
          </w:tcPr>
          <w:p w14:paraId="74567EB0"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shd w:val="clear" w:color="auto" w:fill="EBF3FB"/>
            <w:vAlign w:val="bottom"/>
          </w:tcPr>
          <w:p w14:paraId="35471CC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6.70</w:t>
            </w:r>
          </w:p>
        </w:tc>
        <w:tc>
          <w:tcPr>
            <w:tcW w:w="903" w:type="dxa"/>
            <w:tcBorders>
              <w:top w:val="nil"/>
              <w:left w:val="nil"/>
              <w:bottom w:val="single" w:sz="4" w:space="0" w:color="AAAAAA"/>
              <w:right w:val="single" w:sz="4" w:space="0" w:color="AAAAAA"/>
            </w:tcBorders>
            <w:shd w:val="clear" w:color="auto" w:fill="EBF3FB"/>
            <w:vAlign w:val="bottom"/>
          </w:tcPr>
          <w:p w14:paraId="0427B51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shd w:val="clear" w:color="auto" w:fill="EBF3FB"/>
            <w:vAlign w:val="bottom"/>
          </w:tcPr>
          <w:p w14:paraId="025A1E8D"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2.55</w:t>
            </w:r>
          </w:p>
        </w:tc>
        <w:tc>
          <w:tcPr>
            <w:tcW w:w="1048" w:type="dxa"/>
            <w:tcBorders>
              <w:top w:val="nil"/>
              <w:left w:val="nil"/>
              <w:bottom w:val="single" w:sz="4" w:space="0" w:color="AAAAAA"/>
              <w:right w:val="single" w:sz="4" w:space="0" w:color="AAAAAA"/>
            </w:tcBorders>
            <w:shd w:val="clear" w:color="auto" w:fill="EBF3FB"/>
            <w:vAlign w:val="bottom"/>
          </w:tcPr>
          <w:p w14:paraId="5652C4BD"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6.48</w:t>
            </w:r>
          </w:p>
        </w:tc>
        <w:tc>
          <w:tcPr>
            <w:tcW w:w="764" w:type="dxa"/>
            <w:tcBorders>
              <w:top w:val="nil"/>
              <w:left w:val="nil"/>
              <w:bottom w:val="single" w:sz="4" w:space="0" w:color="AAAAAA"/>
              <w:right w:val="single" w:sz="4" w:space="0" w:color="AAAAAA"/>
            </w:tcBorders>
            <w:shd w:val="clear" w:color="auto" w:fill="EBF3FB"/>
            <w:vAlign w:val="bottom"/>
          </w:tcPr>
          <w:p w14:paraId="4052655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shd w:val="clear" w:color="auto" w:fill="EBF3FB"/>
            <w:vAlign w:val="bottom"/>
          </w:tcPr>
          <w:p w14:paraId="3407CEC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shd w:val="clear" w:color="auto" w:fill="EBF3FB"/>
            <w:vAlign w:val="bottom"/>
          </w:tcPr>
          <w:p w14:paraId="2A942C91"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2E569F51" w14:textId="77777777">
        <w:trPr>
          <w:trHeight w:val="397"/>
        </w:trPr>
        <w:tc>
          <w:tcPr>
            <w:tcW w:w="2418" w:type="dxa"/>
            <w:tcBorders>
              <w:top w:val="nil"/>
              <w:left w:val="single" w:sz="4" w:space="0" w:color="AAAAAA"/>
              <w:bottom w:val="single" w:sz="4" w:space="0" w:color="AAAAAA"/>
              <w:right w:val="single" w:sz="4" w:space="0" w:color="AAAAAA"/>
            </w:tcBorders>
            <w:vAlign w:val="center"/>
          </w:tcPr>
          <w:p w14:paraId="3BC3746F"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Q16 – Recommend Tesco for CSR</w:t>
            </w:r>
          </w:p>
        </w:tc>
        <w:tc>
          <w:tcPr>
            <w:tcW w:w="764" w:type="dxa"/>
            <w:tcBorders>
              <w:top w:val="nil"/>
              <w:left w:val="nil"/>
              <w:bottom w:val="single" w:sz="4" w:space="0" w:color="AAAAAA"/>
              <w:right w:val="single" w:sz="4" w:space="0" w:color="AAAAAA"/>
            </w:tcBorders>
            <w:vAlign w:val="bottom"/>
          </w:tcPr>
          <w:p w14:paraId="54568EB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vAlign w:val="bottom"/>
          </w:tcPr>
          <w:p w14:paraId="17AD7B11"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6.80</w:t>
            </w:r>
          </w:p>
        </w:tc>
        <w:tc>
          <w:tcPr>
            <w:tcW w:w="903" w:type="dxa"/>
            <w:tcBorders>
              <w:top w:val="nil"/>
              <w:left w:val="nil"/>
              <w:bottom w:val="single" w:sz="4" w:space="0" w:color="AAAAAA"/>
              <w:right w:val="single" w:sz="4" w:space="0" w:color="AAAAAA"/>
            </w:tcBorders>
            <w:vAlign w:val="bottom"/>
          </w:tcPr>
          <w:p w14:paraId="7556EF5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vAlign w:val="bottom"/>
          </w:tcPr>
          <w:p w14:paraId="23282D2E"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2.36</w:t>
            </w:r>
          </w:p>
        </w:tc>
        <w:tc>
          <w:tcPr>
            <w:tcW w:w="1048" w:type="dxa"/>
            <w:tcBorders>
              <w:top w:val="nil"/>
              <w:left w:val="nil"/>
              <w:bottom w:val="single" w:sz="4" w:space="0" w:color="AAAAAA"/>
              <w:right w:val="single" w:sz="4" w:space="0" w:color="AAAAAA"/>
            </w:tcBorders>
            <w:vAlign w:val="bottom"/>
          </w:tcPr>
          <w:p w14:paraId="5759F21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5.59</w:t>
            </w:r>
          </w:p>
        </w:tc>
        <w:tc>
          <w:tcPr>
            <w:tcW w:w="764" w:type="dxa"/>
            <w:tcBorders>
              <w:top w:val="nil"/>
              <w:left w:val="nil"/>
              <w:bottom w:val="single" w:sz="4" w:space="0" w:color="AAAAAA"/>
              <w:right w:val="single" w:sz="4" w:space="0" w:color="AAAAAA"/>
            </w:tcBorders>
            <w:vAlign w:val="bottom"/>
          </w:tcPr>
          <w:p w14:paraId="30A90E8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vAlign w:val="bottom"/>
          </w:tcPr>
          <w:p w14:paraId="60A0523F"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vAlign w:val="bottom"/>
          </w:tcPr>
          <w:p w14:paraId="018033F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02B555F7" w14:textId="77777777">
        <w:trPr>
          <w:trHeight w:val="397"/>
        </w:trPr>
        <w:tc>
          <w:tcPr>
            <w:tcW w:w="2418" w:type="dxa"/>
            <w:tcBorders>
              <w:top w:val="nil"/>
              <w:left w:val="single" w:sz="4" w:space="0" w:color="AAAAAA"/>
              <w:bottom w:val="single" w:sz="4" w:space="0" w:color="AAAAAA"/>
              <w:right w:val="single" w:sz="4" w:space="0" w:color="AAAAAA"/>
            </w:tcBorders>
            <w:shd w:val="clear" w:color="auto" w:fill="EBF3FB"/>
            <w:vAlign w:val="center"/>
          </w:tcPr>
          <w:p w14:paraId="4C2AA152"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Q17 – Choose Tesco over competitors</w:t>
            </w:r>
          </w:p>
        </w:tc>
        <w:tc>
          <w:tcPr>
            <w:tcW w:w="764" w:type="dxa"/>
            <w:tcBorders>
              <w:top w:val="nil"/>
              <w:left w:val="nil"/>
              <w:bottom w:val="single" w:sz="4" w:space="0" w:color="AAAAAA"/>
              <w:right w:val="single" w:sz="4" w:space="0" w:color="AAAAAA"/>
            </w:tcBorders>
            <w:shd w:val="clear" w:color="auto" w:fill="EBF3FB"/>
            <w:vAlign w:val="bottom"/>
          </w:tcPr>
          <w:p w14:paraId="1A7BA34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shd w:val="clear" w:color="auto" w:fill="EBF3FB"/>
            <w:vAlign w:val="bottom"/>
          </w:tcPr>
          <w:p w14:paraId="14341D9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6.70</w:t>
            </w:r>
          </w:p>
        </w:tc>
        <w:tc>
          <w:tcPr>
            <w:tcW w:w="903" w:type="dxa"/>
            <w:tcBorders>
              <w:top w:val="nil"/>
              <w:left w:val="nil"/>
              <w:bottom w:val="single" w:sz="4" w:space="0" w:color="AAAAAA"/>
              <w:right w:val="single" w:sz="4" w:space="0" w:color="AAAAAA"/>
            </w:tcBorders>
            <w:shd w:val="clear" w:color="auto" w:fill="EBF3FB"/>
            <w:vAlign w:val="bottom"/>
          </w:tcPr>
          <w:p w14:paraId="2E60A75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shd w:val="clear" w:color="auto" w:fill="EBF3FB"/>
            <w:vAlign w:val="bottom"/>
          </w:tcPr>
          <w:p w14:paraId="4D007AE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2.28</w:t>
            </w:r>
          </w:p>
        </w:tc>
        <w:tc>
          <w:tcPr>
            <w:tcW w:w="1048" w:type="dxa"/>
            <w:tcBorders>
              <w:top w:val="nil"/>
              <w:left w:val="nil"/>
              <w:bottom w:val="single" w:sz="4" w:space="0" w:color="AAAAAA"/>
              <w:right w:val="single" w:sz="4" w:space="0" w:color="AAAAAA"/>
            </w:tcBorders>
            <w:shd w:val="clear" w:color="auto" w:fill="EBF3FB"/>
            <w:vAlign w:val="bottom"/>
          </w:tcPr>
          <w:p w14:paraId="26773ED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5.22</w:t>
            </w:r>
          </w:p>
        </w:tc>
        <w:tc>
          <w:tcPr>
            <w:tcW w:w="764" w:type="dxa"/>
            <w:tcBorders>
              <w:top w:val="nil"/>
              <w:left w:val="nil"/>
              <w:bottom w:val="single" w:sz="4" w:space="0" w:color="AAAAAA"/>
              <w:right w:val="single" w:sz="4" w:space="0" w:color="AAAAAA"/>
            </w:tcBorders>
            <w:shd w:val="clear" w:color="auto" w:fill="EBF3FB"/>
            <w:vAlign w:val="bottom"/>
          </w:tcPr>
          <w:p w14:paraId="47B298E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shd w:val="clear" w:color="auto" w:fill="EBF3FB"/>
            <w:vAlign w:val="bottom"/>
          </w:tcPr>
          <w:p w14:paraId="29A14EE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shd w:val="clear" w:color="auto" w:fill="EBF3FB"/>
            <w:vAlign w:val="bottom"/>
          </w:tcPr>
          <w:p w14:paraId="2C5CE47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16785615" w14:textId="77777777">
        <w:trPr>
          <w:trHeight w:val="397"/>
        </w:trPr>
        <w:tc>
          <w:tcPr>
            <w:tcW w:w="2418" w:type="dxa"/>
            <w:tcBorders>
              <w:top w:val="nil"/>
              <w:left w:val="single" w:sz="4" w:space="0" w:color="AAAAAA"/>
              <w:bottom w:val="single" w:sz="4" w:space="0" w:color="AAAAAA"/>
              <w:right w:val="single" w:sz="4" w:space="0" w:color="AAAAAA"/>
            </w:tcBorders>
            <w:vAlign w:val="center"/>
          </w:tcPr>
          <w:p w14:paraId="01AFA912"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Q18 – Willing to pay more</w:t>
            </w:r>
          </w:p>
        </w:tc>
        <w:tc>
          <w:tcPr>
            <w:tcW w:w="764" w:type="dxa"/>
            <w:tcBorders>
              <w:top w:val="nil"/>
              <w:left w:val="nil"/>
              <w:bottom w:val="single" w:sz="4" w:space="0" w:color="AAAAAA"/>
              <w:right w:val="single" w:sz="4" w:space="0" w:color="AAAAAA"/>
            </w:tcBorders>
            <w:vAlign w:val="bottom"/>
          </w:tcPr>
          <w:p w14:paraId="4AF5BDD4"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vAlign w:val="bottom"/>
          </w:tcPr>
          <w:p w14:paraId="508057E2"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6.30</w:t>
            </w:r>
          </w:p>
        </w:tc>
        <w:tc>
          <w:tcPr>
            <w:tcW w:w="903" w:type="dxa"/>
            <w:tcBorders>
              <w:top w:val="nil"/>
              <w:left w:val="nil"/>
              <w:bottom w:val="single" w:sz="4" w:space="0" w:color="AAAAAA"/>
              <w:right w:val="single" w:sz="4" w:space="0" w:color="AAAAAA"/>
            </w:tcBorders>
            <w:vAlign w:val="bottom"/>
          </w:tcPr>
          <w:p w14:paraId="66B8648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vAlign w:val="bottom"/>
          </w:tcPr>
          <w:p w14:paraId="4AF63AD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2.19</w:t>
            </w:r>
          </w:p>
        </w:tc>
        <w:tc>
          <w:tcPr>
            <w:tcW w:w="1048" w:type="dxa"/>
            <w:tcBorders>
              <w:top w:val="nil"/>
              <w:left w:val="nil"/>
              <w:bottom w:val="single" w:sz="4" w:space="0" w:color="AAAAAA"/>
              <w:right w:val="single" w:sz="4" w:space="0" w:color="AAAAAA"/>
            </w:tcBorders>
            <w:vAlign w:val="bottom"/>
          </w:tcPr>
          <w:p w14:paraId="633BCD67"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4.80</w:t>
            </w:r>
          </w:p>
        </w:tc>
        <w:tc>
          <w:tcPr>
            <w:tcW w:w="764" w:type="dxa"/>
            <w:tcBorders>
              <w:top w:val="nil"/>
              <w:left w:val="nil"/>
              <w:bottom w:val="single" w:sz="4" w:space="0" w:color="AAAAAA"/>
              <w:right w:val="single" w:sz="4" w:space="0" w:color="AAAAAA"/>
            </w:tcBorders>
            <w:vAlign w:val="bottom"/>
          </w:tcPr>
          <w:p w14:paraId="0843C1F6"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vAlign w:val="bottom"/>
          </w:tcPr>
          <w:p w14:paraId="2A74B02B"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vAlign w:val="bottom"/>
          </w:tcPr>
          <w:p w14:paraId="59972521"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78907508" w14:textId="77777777">
        <w:trPr>
          <w:trHeight w:val="397"/>
        </w:trPr>
        <w:tc>
          <w:tcPr>
            <w:tcW w:w="2418" w:type="dxa"/>
            <w:tcBorders>
              <w:top w:val="nil"/>
              <w:left w:val="single" w:sz="4" w:space="0" w:color="AAAAAA"/>
              <w:bottom w:val="single" w:sz="4" w:space="0" w:color="AAAAAA"/>
              <w:right w:val="single" w:sz="4" w:space="0" w:color="AAAAAA"/>
            </w:tcBorders>
            <w:shd w:val="clear" w:color="auto" w:fill="EBF3FB"/>
            <w:vAlign w:val="center"/>
          </w:tcPr>
          <w:p w14:paraId="218B171B" w14:textId="77777777" w:rsidR="00A12401" w:rsidRDefault="00A25E1C">
            <w:pPr>
              <w:spacing w:after="0" w:line="240" w:lineRule="auto"/>
              <w:jc w:val="left"/>
              <w:rPr>
                <w:rFonts w:ascii="Arial" w:eastAsia="Arial" w:hAnsi="Arial" w:cs="Arial"/>
                <w:sz w:val="20"/>
                <w:szCs w:val="20"/>
              </w:rPr>
            </w:pPr>
            <w:r>
              <w:rPr>
                <w:rFonts w:ascii="Arial" w:eastAsia="Arial" w:hAnsi="Arial" w:cs="Arial"/>
                <w:sz w:val="20"/>
                <w:szCs w:val="20"/>
              </w:rPr>
              <w:t>Q19 – CSR vs other UK retailers</w:t>
            </w:r>
          </w:p>
        </w:tc>
        <w:tc>
          <w:tcPr>
            <w:tcW w:w="764" w:type="dxa"/>
            <w:tcBorders>
              <w:top w:val="nil"/>
              <w:left w:val="nil"/>
              <w:bottom w:val="single" w:sz="4" w:space="0" w:color="AAAAAA"/>
              <w:right w:val="single" w:sz="4" w:space="0" w:color="AAAAAA"/>
            </w:tcBorders>
            <w:shd w:val="clear" w:color="auto" w:fill="EBF3FB"/>
            <w:vAlign w:val="bottom"/>
          </w:tcPr>
          <w:p w14:paraId="7002387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764" w:type="dxa"/>
            <w:tcBorders>
              <w:top w:val="nil"/>
              <w:left w:val="nil"/>
              <w:bottom w:val="single" w:sz="4" w:space="0" w:color="AAAAAA"/>
              <w:right w:val="single" w:sz="4" w:space="0" w:color="AAAAAA"/>
            </w:tcBorders>
            <w:shd w:val="clear" w:color="auto" w:fill="EBF3FB"/>
            <w:vAlign w:val="bottom"/>
          </w:tcPr>
          <w:p w14:paraId="203DA01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6.80</w:t>
            </w:r>
          </w:p>
        </w:tc>
        <w:tc>
          <w:tcPr>
            <w:tcW w:w="903" w:type="dxa"/>
            <w:tcBorders>
              <w:top w:val="nil"/>
              <w:left w:val="nil"/>
              <w:bottom w:val="single" w:sz="4" w:space="0" w:color="AAAAAA"/>
              <w:right w:val="single" w:sz="4" w:space="0" w:color="AAAAAA"/>
            </w:tcBorders>
            <w:shd w:val="clear" w:color="auto" w:fill="EBF3FB"/>
            <w:vAlign w:val="bottom"/>
          </w:tcPr>
          <w:p w14:paraId="7732C733"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7.50</w:t>
            </w:r>
          </w:p>
        </w:tc>
        <w:tc>
          <w:tcPr>
            <w:tcW w:w="764" w:type="dxa"/>
            <w:tcBorders>
              <w:top w:val="nil"/>
              <w:left w:val="nil"/>
              <w:bottom w:val="single" w:sz="4" w:space="0" w:color="AAAAAA"/>
              <w:right w:val="single" w:sz="4" w:space="0" w:color="AAAAAA"/>
            </w:tcBorders>
            <w:shd w:val="clear" w:color="auto" w:fill="EBF3FB"/>
            <w:vAlign w:val="bottom"/>
          </w:tcPr>
          <w:p w14:paraId="7210E89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2.36</w:t>
            </w:r>
          </w:p>
        </w:tc>
        <w:tc>
          <w:tcPr>
            <w:tcW w:w="1048" w:type="dxa"/>
            <w:tcBorders>
              <w:top w:val="nil"/>
              <w:left w:val="nil"/>
              <w:bottom w:val="single" w:sz="4" w:space="0" w:color="AAAAAA"/>
              <w:right w:val="single" w:sz="4" w:space="0" w:color="AAAAAA"/>
            </w:tcBorders>
            <w:shd w:val="clear" w:color="auto" w:fill="EBF3FB"/>
            <w:vAlign w:val="bottom"/>
          </w:tcPr>
          <w:p w14:paraId="0DB896E5"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5.59</w:t>
            </w:r>
          </w:p>
        </w:tc>
        <w:tc>
          <w:tcPr>
            <w:tcW w:w="764" w:type="dxa"/>
            <w:tcBorders>
              <w:top w:val="nil"/>
              <w:left w:val="nil"/>
              <w:bottom w:val="single" w:sz="4" w:space="0" w:color="AAAAAA"/>
              <w:right w:val="single" w:sz="4" w:space="0" w:color="AAAAAA"/>
            </w:tcBorders>
            <w:shd w:val="clear" w:color="auto" w:fill="EBF3FB"/>
            <w:vAlign w:val="bottom"/>
          </w:tcPr>
          <w:p w14:paraId="7D818A28"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3.50</w:t>
            </w:r>
          </w:p>
        </w:tc>
        <w:tc>
          <w:tcPr>
            <w:tcW w:w="764" w:type="dxa"/>
            <w:tcBorders>
              <w:top w:val="nil"/>
              <w:left w:val="nil"/>
              <w:bottom w:val="single" w:sz="4" w:space="0" w:color="AAAAAA"/>
              <w:right w:val="single" w:sz="4" w:space="0" w:color="AAAAAA"/>
            </w:tcBorders>
            <w:shd w:val="clear" w:color="auto" w:fill="EBF3FB"/>
            <w:vAlign w:val="bottom"/>
          </w:tcPr>
          <w:p w14:paraId="6D9E1EDC"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9.50</w:t>
            </w:r>
          </w:p>
        </w:tc>
        <w:tc>
          <w:tcPr>
            <w:tcW w:w="827" w:type="dxa"/>
            <w:tcBorders>
              <w:top w:val="nil"/>
              <w:left w:val="nil"/>
              <w:bottom w:val="single" w:sz="4" w:space="0" w:color="AAAAAA"/>
              <w:right w:val="single" w:sz="4" w:space="0" w:color="AAAAAA"/>
            </w:tcBorders>
            <w:shd w:val="clear" w:color="auto" w:fill="EBF3FB"/>
            <w:vAlign w:val="bottom"/>
          </w:tcPr>
          <w:p w14:paraId="6612C15A" w14:textId="77777777" w:rsidR="00A12401" w:rsidRDefault="00A25E1C">
            <w:pPr>
              <w:spacing w:after="0" w:line="240" w:lineRule="auto"/>
              <w:jc w:val="center"/>
              <w:rPr>
                <w:rFonts w:ascii="Arial" w:eastAsia="Arial" w:hAnsi="Arial" w:cs="Arial"/>
                <w:sz w:val="20"/>
                <w:szCs w:val="20"/>
              </w:rPr>
            </w:pPr>
            <w:r>
              <w:rPr>
                <w:rFonts w:ascii="Arial" w:eastAsia="Arial" w:hAnsi="Arial" w:cs="Arial"/>
                <w:sz w:val="20"/>
                <w:szCs w:val="20"/>
              </w:rPr>
              <w:t>6.00</w:t>
            </w:r>
          </w:p>
        </w:tc>
      </w:tr>
      <w:tr w:rsidR="00A12401" w14:paraId="7F08BBA6" w14:textId="77777777">
        <w:trPr>
          <w:trHeight w:val="295"/>
        </w:trPr>
        <w:tc>
          <w:tcPr>
            <w:tcW w:w="2418" w:type="dxa"/>
            <w:tcBorders>
              <w:top w:val="nil"/>
              <w:left w:val="nil"/>
              <w:bottom w:val="nil"/>
              <w:right w:val="nil"/>
            </w:tcBorders>
            <w:shd w:val="clear" w:color="auto" w:fill="003087"/>
            <w:vAlign w:val="bottom"/>
          </w:tcPr>
          <w:p w14:paraId="58E69DDB"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OVERALL MEAN/SD</w:t>
            </w:r>
          </w:p>
        </w:tc>
        <w:tc>
          <w:tcPr>
            <w:tcW w:w="764" w:type="dxa"/>
            <w:tcBorders>
              <w:top w:val="nil"/>
              <w:left w:val="nil"/>
              <w:bottom w:val="nil"/>
              <w:right w:val="nil"/>
            </w:tcBorders>
            <w:shd w:val="clear" w:color="auto" w:fill="003087"/>
            <w:vAlign w:val="bottom"/>
          </w:tcPr>
          <w:p w14:paraId="2242AE68"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20</w:t>
            </w:r>
          </w:p>
        </w:tc>
        <w:tc>
          <w:tcPr>
            <w:tcW w:w="764" w:type="dxa"/>
            <w:tcBorders>
              <w:top w:val="nil"/>
              <w:left w:val="nil"/>
              <w:bottom w:val="nil"/>
              <w:right w:val="nil"/>
            </w:tcBorders>
            <w:shd w:val="clear" w:color="auto" w:fill="003087"/>
            <w:vAlign w:val="bottom"/>
          </w:tcPr>
          <w:p w14:paraId="73298912"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6.65</w:t>
            </w:r>
          </w:p>
        </w:tc>
        <w:tc>
          <w:tcPr>
            <w:tcW w:w="903" w:type="dxa"/>
            <w:tcBorders>
              <w:top w:val="nil"/>
              <w:left w:val="nil"/>
              <w:bottom w:val="nil"/>
              <w:right w:val="nil"/>
            </w:tcBorders>
            <w:shd w:val="clear" w:color="auto" w:fill="003087"/>
            <w:vAlign w:val="bottom"/>
          </w:tcPr>
          <w:p w14:paraId="1B7C67B6"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7.50</w:t>
            </w:r>
          </w:p>
        </w:tc>
        <w:tc>
          <w:tcPr>
            <w:tcW w:w="764" w:type="dxa"/>
            <w:tcBorders>
              <w:top w:val="nil"/>
              <w:left w:val="nil"/>
              <w:bottom w:val="nil"/>
              <w:right w:val="nil"/>
            </w:tcBorders>
            <w:shd w:val="clear" w:color="auto" w:fill="003087"/>
            <w:vAlign w:val="bottom"/>
          </w:tcPr>
          <w:p w14:paraId="0EA36173"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2.33</w:t>
            </w:r>
          </w:p>
        </w:tc>
        <w:tc>
          <w:tcPr>
            <w:tcW w:w="1048" w:type="dxa"/>
            <w:tcBorders>
              <w:top w:val="nil"/>
              <w:left w:val="nil"/>
              <w:bottom w:val="nil"/>
              <w:right w:val="nil"/>
            </w:tcBorders>
            <w:shd w:val="clear" w:color="auto" w:fill="003087"/>
            <w:vAlign w:val="bottom"/>
          </w:tcPr>
          <w:p w14:paraId="2CDE3253"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5.42</w:t>
            </w:r>
          </w:p>
        </w:tc>
        <w:tc>
          <w:tcPr>
            <w:tcW w:w="764" w:type="dxa"/>
            <w:tcBorders>
              <w:top w:val="nil"/>
              <w:left w:val="nil"/>
              <w:bottom w:val="nil"/>
              <w:right w:val="nil"/>
            </w:tcBorders>
            <w:shd w:val="clear" w:color="auto" w:fill="003087"/>
            <w:vAlign w:val="bottom"/>
          </w:tcPr>
          <w:p w14:paraId="633D60CF"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3.50</w:t>
            </w:r>
          </w:p>
        </w:tc>
        <w:tc>
          <w:tcPr>
            <w:tcW w:w="764" w:type="dxa"/>
            <w:tcBorders>
              <w:top w:val="nil"/>
              <w:left w:val="nil"/>
              <w:bottom w:val="nil"/>
              <w:right w:val="nil"/>
            </w:tcBorders>
            <w:shd w:val="clear" w:color="auto" w:fill="003087"/>
            <w:vAlign w:val="bottom"/>
          </w:tcPr>
          <w:p w14:paraId="44B7CA0E"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9.50</w:t>
            </w:r>
          </w:p>
        </w:tc>
        <w:tc>
          <w:tcPr>
            <w:tcW w:w="827" w:type="dxa"/>
            <w:tcBorders>
              <w:top w:val="nil"/>
              <w:left w:val="nil"/>
              <w:bottom w:val="nil"/>
              <w:right w:val="nil"/>
            </w:tcBorders>
            <w:shd w:val="clear" w:color="auto" w:fill="003087"/>
            <w:vAlign w:val="bottom"/>
          </w:tcPr>
          <w:p w14:paraId="59CF414B" w14:textId="77777777" w:rsidR="00A12401" w:rsidRDefault="00A25E1C">
            <w:pPr>
              <w:spacing w:after="0" w:line="240" w:lineRule="auto"/>
              <w:jc w:val="center"/>
              <w:rPr>
                <w:rFonts w:ascii="Arial" w:eastAsia="Arial" w:hAnsi="Arial" w:cs="Arial"/>
                <w:b/>
                <w:bCs/>
                <w:color w:val="FFFFFF"/>
                <w:sz w:val="20"/>
                <w:szCs w:val="20"/>
              </w:rPr>
            </w:pPr>
            <w:r>
              <w:rPr>
                <w:rFonts w:ascii="Arial" w:eastAsia="Arial" w:hAnsi="Arial" w:cs="Arial"/>
                <w:b/>
                <w:bCs/>
                <w:color w:val="FFFFFF"/>
                <w:sz w:val="20"/>
                <w:szCs w:val="20"/>
              </w:rPr>
              <w:t>2.50</w:t>
            </w:r>
          </w:p>
        </w:tc>
      </w:tr>
    </w:tbl>
    <w:p w14:paraId="0D13D49B" w14:textId="77777777" w:rsidR="00A12401" w:rsidRDefault="00A12401"/>
    <w:p w14:paraId="4CCFF72E" w14:textId="77777777" w:rsidR="00A12401" w:rsidRDefault="00A25E1C">
      <w:pPr>
        <w:rPr>
          <w:b/>
          <w:bCs/>
        </w:rPr>
      </w:pPr>
      <w:r>
        <w:rPr>
          <w:b/>
          <w:bCs/>
        </w:rPr>
        <w:t>Interpretation</w:t>
      </w:r>
    </w:p>
    <w:p w14:paraId="614A7461" w14:textId="77777777" w:rsidR="00A12401" w:rsidRDefault="00A25E1C">
      <w:r>
        <w:t xml:space="preserve">The descriptive statistics showed generally moderate to positive scores for the evaluations of the CSR activities from Tesco. Positive brand perception had the most positive mean score (7.10), followed by community support (7.00) and clear CSR communication (6.90). Shopping preference with the CSR had lowest Mean of 6.40 and genuine CSR and willing to pay more had lowest Mean of 6.30. The median scores were the same for each variable and represented similar levels of central response patterns. The range or </w:t>
      </w:r>
      <w:r>
        <w:t xml:space="preserve">standard deviation of answers was from 2.16 to 2.55 indicating a moderate spread of views. Loyalty demonstrated the highest variability (SD = 2.55), while the lowest was shown during the communication of CSR (SD = 2.16). The overall means (6.65) suggest moderately </w:t>
      </w:r>
      <w:proofErr w:type="spellStart"/>
      <w:r>
        <w:t>favourable</w:t>
      </w:r>
      <w:proofErr w:type="spellEnd"/>
      <w:r>
        <w:t xml:space="preserve"> consumer attitudes towards Tesco's CSR performance. </w:t>
      </w:r>
    </w:p>
    <w:p w14:paraId="005F90D2" w14:textId="77777777" w:rsidR="00A12401" w:rsidRDefault="00A25E1C">
      <w:pPr>
        <w:pStyle w:val="Heading2"/>
      </w:pPr>
      <w:bookmarkStart w:id="58" w:name="_6ybnb6qp646x" w:colFirst="0" w:colLast="0"/>
      <w:bookmarkEnd w:id="58"/>
      <w:r>
        <w:t>4.6 Pearson Correlation Matrix (R) – Q6 To Q19 (N=20)</w:t>
      </w:r>
    </w:p>
    <w:tbl>
      <w:tblPr>
        <w:tblStyle w:val="a5"/>
        <w:tblW w:w="99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8"/>
        <w:gridCol w:w="567"/>
        <w:gridCol w:w="567"/>
        <w:gridCol w:w="567"/>
        <w:gridCol w:w="567"/>
        <w:gridCol w:w="595"/>
        <w:gridCol w:w="595"/>
        <w:gridCol w:w="595"/>
        <w:gridCol w:w="595"/>
        <w:gridCol w:w="595"/>
        <w:gridCol w:w="595"/>
        <w:gridCol w:w="595"/>
        <w:gridCol w:w="595"/>
        <w:gridCol w:w="595"/>
        <w:gridCol w:w="595"/>
      </w:tblGrid>
      <w:tr w:rsidR="00A12401" w14:paraId="533D255D" w14:textId="77777777">
        <w:trPr>
          <w:trHeight w:val="288"/>
        </w:trPr>
        <w:tc>
          <w:tcPr>
            <w:tcW w:w="9946" w:type="dxa"/>
            <w:gridSpan w:val="15"/>
            <w:vAlign w:val="bottom"/>
          </w:tcPr>
          <w:p w14:paraId="6D438B1F" w14:textId="77777777" w:rsidR="00A12401" w:rsidRDefault="00A25E1C">
            <w:pPr>
              <w:spacing w:after="0" w:line="240" w:lineRule="auto"/>
              <w:jc w:val="center"/>
              <w:rPr>
                <w:rFonts w:ascii="Arial" w:eastAsia="Arial" w:hAnsi="Arial" w:cs="Arial"/>
                <w:i/>
                <w:iCs/>
                <w:color w:val="555555"/>
                <w:sz w:val="18"/>
                <w:szCs w:val="18"/>
              </w:rPr>
            </w:pPr>
            <w:r>
              <w:rPr>
                <w:rFonts w:ascii="Arial" w:eastAsia="Arial" w:hAnsi="Arial" w:cs="Arial"/>
                <w:i/>
                <w:iCs/>
                <w:color w:val="555555"/>
                <w:sz w:val="18"/>
                <w:szCs w:val="18"/>
              </w:rPr>
              <w:t xml:space="preserve">Pearson r: |r|&lt;0.3 = </w:t>
            </w:r>
            <w:proofErr w:type="gramStart"/>
            <w:r>
              <w:rPr>
                <w:rFonts w:ascii="Arial" w:eastAsia="Arial" w:hAnsi="Arial" w:cs="Arial"/>
                <w:i/>
                <w:iCs/>
                <w:color w:val="555555"/>
                <w:sz w:val="18"/>
                <w:szCs w:val="18"/>
              </w:rPr>
              <w:t>Weak  |</w:t>
            </w:r>
            <w:proofErr w:type="gramEnd"/>
            <w:r>
              <w:rPr>
                <w:rFonts w:ascii="Arial" w:eastAsia="Arial" w:hAnsi="Arial" w:cs="Arial"/>
                <w:i/>
                <w:iCs/>
                <w:color w:val="555555"/>
                <w:sz w:val="18"/>
                <w:szCs w:val="18"/>
              </w:rPr>
              <w:t xml:space="preserve">  0.3≤|r|&lt;0.5 = </w:t>
            </w:r>
            <w:proofErr w:type="gramStart"/>
            <w:r>
              <w:rPr>
                <w:rFonts w:ascii="Arial" w:eastAsia="Arial" w:hAnsi="Arial" w:cs="Arial"/>
                <w:i/>
                <w:iCs/>
                <w:color w:val="555555"/>
                <w:sz w:val="18"/>
                <w:szCs w:val="18"/>
              </w:rPr>
              <w:t>Moderate  |</w:t>
            </w:r>
            <w:proofErr w:type="gramEnd"/>
            <w:r>
              <w:rPr>
                <w:rFonts w:ascii="Arial" w:eastAsia="Arial" w:hAnsi="Arial" w:cs="Arial"/>
                <w:i/>
                <w:iCs/>
                <w:color w:val="555555"/>
                <w:sz w:val="18"/>
                <w:szCs w:val="18"/>
              </w:rPr>
              <w:t xml:space="preserve">  |r|≥0.5 = </w:t>
            </w:r>
            <w:proofErr w:type="gramStart"/>
            <w:r>
              <w:rPr>
                <w:rFonts w:ascii="Arial" w:eastAsia="Arial" w:hAnsi="Arial" w:cs="Arial"/>
                <w:i/>
                <w:iCs/>
                <w:color w:val="555555"/>
                <w:sz w:val="18"/>
                <w:szCs w:val="18"/>
              </w:rPr>
              <w:t>Strong  |</w:t>
            </w:r>
            <w:proofErr w:type="gramEnd"/>
            <w:r>
              <w:rPr>
                <w:rFonts w:ascii="Arial" w:eastAsia="Arial" w:hAnsi="Arial" w:cs="Arial"/>
                <w:i/>
                <w:iCs/>
                <w:color w:val="555555"/>
                <w:sz w:val="18"/>
                <w:szCs w:val="18"/>
              </w:rPr>
              <w:t xml:space="preserve">  Green = </w:t>
            </w:r>
            <w:proofErr w:type="gramStart"/>
            <w:r>
              <w:rPr>
                <w:rFonts w:ascii="Arial" w:eastAsia="Arial" w:hAnsi="Arial" w:cs="Arial"/>
                <w:i/>
                <w:iCs/>
                <w:color w:val="555555"/>
                <w:sz w:val="18"/>
                <w:szCs w:val="18"/>
              </w:rPr>
              <w:t>positive  |</w:t>
            </w:r>
            <w:proofErr w:type="gramEnd"/>
            <w:r>
              <w:rPr>
                <w:rFonts w:ascii="Arial" w:eastAsia="Arial" w:hAnsi="Arial" w:cs="Arial"/>
                <w:i/>
                <w:iCs/>
                <w:color w:val="555555"/>
                <w:sz w:val="18"/>
                <w:szCs w:val="18"/>
              </w:rPr>
              <w:t xml:space="preserve">  Red = </w:t>
            </w:r>
            <w:proofErr w:type="gramStart"/>
            <w:r>
              <w:rPr>
                <w:rFonts w:ascii="Arial" w:eastAsia="Arial" w:hAnsi="Arial" w:cs="Arial"/>
                <w:i/>
                <w:iCs/>
                <w:color w:val="555555"/>
                <w:sz w:val="18"/>
                <w:szCs w:val="18"/>
              </w:rPr>
              <w:t>negative  |</w:t>
            </w:r>
            <w:proofErr w:type="gramEnd"/>
            <w:r>
              <w:rPr>
                <w:rFonts w:ascii="Arial" w:eastAsia="Arial" w:hAnsi="Arial" w:cs="Arial"/>
                <w:i/>
                <w:iCs/>
                <w:color w:val="555555"/>
                <w:sz w:val="18"/>
                <w:szCs w:val="18"/>
              </w:rPr>
              <w:t xml:space="preserve">  *p&lt;.05 approx.</w:t>
            </w:r>
          </w:p>
        </w:tc>
      </w:tr>
      <w:tr w:rsidR="00A12401" w14:paraId="17AF012A" w14:textId="77777777">
        <w:trPr>
          <w:trHeight w:val="433"/>
        </w:trPr>
        <w:tc>
          <w:tcPr>
            <w:tcW w:w="1728" w:type="dxa"/>
            <w:shd w:val="clear" w:color="auto" w:fill="C6D9F1"/>
            <w:vAlign w:val="center"/>
          </w:tcPr>
          <w:p w14:paraId="6BCF47CF"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Variable</w:t>
            </w:r>
          </w:p>
        </w:tc>
        <w:tc>
          <w:tcPr>
            <w:tcW w:w="567" w:type="dxa"/>
            <w:shd w:val="clear" w:color="auto" w:fill="C6D9F1"/>
            <w:vAlign w:val="center"/>
          </w:tcPr>
          <w:p w14:paraId="0A02C70A"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Q6</w:t>
            </w:r>
          </w:p>
        </w:tc>
        <w:tc>
          <w:tcPr>
            <w:tcW w:w="567" w:type="dxa"/>
            <w:shd w:val="clear" w:color="auto" w:fill="C6D9F1"/>
            <w:vAlign w:val="center"/>
          </w:tcPr>
          <w:p w14:paraId="279A8168"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Q7</w:t>
            </w:r>
          </w:p>
        </w:tc>
        <w:tc>
          <w:tcPr>
            <w:tcW w:w="567" w:type="dxa"/>
            <w:shd w:val="clear" w:color="auto" w:fill="C6D9F1"/>
            <w:vAlign w:val="center"/>
          </w:tcPr>
          <w:p w14:paraId="6D634427"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Q8</w:t>
            </w:r>
          </w:p>
        </w:tc>
        <w:tc>
          <w:tcPr>
            <w:tcW w:w="567" w:type="dxa"/>
            <w:shd w:val="clear" w:color="auto" w:fill="C6D9F1"/>
            <w:vAlign w:val="center"/>
          </w:tcPr>
          <w:p w14:paraId="143A700D"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Q9</w:t>
            </w:r>
          </w:p>
        </w:tc>
        <w:tc>
          <w:tcPr>
            <w:tcW w:w="595" w:type="dxa"/>
            <w:shd w:val="clear" w:color="auto" w:fill="C6D9F1"/>
            <w:vAlign w:val="center"/>
          </w:tcPr>
          <w:p w14:paraId="20E95B25"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Q10</w:t>
            </w:r>
          </w:p>
        </w:tc>
        <w:tc>
          <w:tcPr>
            <w:tcW w:w="595" w:type="dxa"/>
            <w:shd w:val="clear" w:color="auto" w:fill="C6D9F1"/>
            <w:vAlign w:val="center"/>
          </w:tcPr>
          <w:p w14:paraId="335A6BAA"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Q11</w:t>
            </w:r>
          </w:p>
        </w:tc>
        <w:tc>
          <w:tcPr>
            <w:tcW w:w="595" w:type="dxa"/>
            <w:shd w:val="clear" w:color="auto" w:fill="C6D9F1"/>
            <w:vAlign w:val="center"/>
          </w:tcPr>
          <w:p w14:paraId="2EE12EB4"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Q12</w:t>
            </w:r>
          </w:p>
        </w:tc>
        <w:tc>
          <w:tcPr>
            <w:tcW w:w="595" w:type="dxa"/>
            <w:shd w:val="clear" w:color="auto" w:fill="C6D9F1"/>
            <w:vAlign w:val="center"/>
          </w:tcPr>
          <w:p w14:paraId="0FC96FFB"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Q13</w:t>
            </w:r>
          </w:p>
        </w:tc>
        <w:tc>
          <w:tcPr>
            <w:tcW w:w="595" w:type="dxa"/>
            <w:shd w:val="clear" w:color="auto" w:fill="C6D9F1"/>
            <w:vAlign w:val="center"/>
          </w:tcPr>
          <w:p w14:paraId="3DD9B9B0"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Q14</w:t>
            </w:r>
          </w:p>
        </w:tc>
        <w:tc>
          <w:tcPr>
            <w:tcW w:w="595" w:type="dxa"/>
            <w:shd w:val="clear" w:color="auto" w:fill="C6D9F1"/>
            <w:vAlign w:val="center"/>
          </w:tcPr>
          <w:p w14:paraId="64B5760B"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Q15</w:t>
            </w:r>
          </w:p>
        </w:tc>
        <w:tc>
          <w:tcPr>
            <w:tcW w:w="595" w:type="dxa"/>
            <w:shd w:val="clear" w:color="auto" w:fill="C6D9F1"/>
            <w:vAlign w:val="center"/>
          </w:tcPr>
          <w:p w14:paraId="207E6D6C"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Q16</w:t>
            </w:r>
          </w:p>
        </w:tc>
        <w:tc>
          <w:tcPr>
            <w:tcW w:w="595" w:type="dxa"/>
            <w:shd w:val="clear" w:color="auto" w:fill="C6D9F1"/>
            <w:vAlign w:val="center"/>
          </w:tcPr>
          <w:p w14:paraId="2D389184"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Q17</w:t>
            </w:r>
          </w:p>
        </w:tc>
        <w:tc>
          <w:tcPr>
            <w:tcW w:w="595" w:type="dxa"/>
            <w:shd w:val="clear" w:color="auto" w:fill="C6D9F1"/>
            <w:vAlign w:val="center"/>
          </w:tcPr>
          <w:p w14:paraId="6E334127"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Q18</w:t>
            </w:r>
          </w:p>
        </w:tc>
        <w:tc>
          <w:tcPr>
            <w:tcW w:w="595" w:type="dxa"/>
            <w:shd w:val="clear" w:color="auto" w:fill="C6D9F1"/>
            <w:vAlign w:val="center"/>
          </w:tcPr>
          <w:p w14:paraId="3F576AF5"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Q19</w:t>
            </w:r>
          </w:p>
        </w:tc>
      </w:tr>
      <w:tr w:rsidR="00A12401" w14:paraId="717D22D8" w14:textId="77777777">
        <w:trPr>
          <w:trHeight w:val="389"/>
        </w:trPr>
        <w:tc>
          <w:tcPr>
            <w:tcW w:w="1728" w:type="dxa"/>
            <w:shd w:val="clear" w:color="auto" w:fill="C6D9F1"/>
            <w:vAlign w:val="center"/>
          </w:tcPr>
          <w:p w14:paraId="2FCC58AA"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Q6: Q6 – CSR Awareness Level</w:t>
            </w:r>
          </w:p>
        </w:tc>
        <w:tc>
          <w:tcPr>
            <w:tcW w:w="567" w:type="dxa"/>
            <w:shd w:val="clear" w:color="auto" w:fill="D9D9D9"/>
            <w:vAlign w:val="bottom"/>
          </w:tcPr>
          <w:p w14:paraId="4D723245"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67" w:type="dxa"/>
            <w:shd w:val="clear" w:color="auto" w:fill="C6EFCE"/>
            <w:vAlign w:val="bottom"/>
          </w:tcPr>
          <w:p w14:paraId="30FF69F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1.00</w:t>
            </w:r>
          </w:p>
        </w:tc>
        <w:tc>
          <w:tcPr>
            <w:tcW w:w="567" w:type="dxa"/>
            <w:shd w:val="clear" w:color="auto" w:fill="C6EFCE"/>
            <w:vAlign w:val="bottom"/>
          </w:tcPr>
          <w:p w14:paraId="51910DF5"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0.85</w:t>
            </w:r>
          </w:p>
        </w:tc>
        <w:tc>
          <w:tcPr>
            <w:tcW w:w="567" w:type="dxa"/>
            <w:shd w:val="clear" w:color="auto" w:fill="C6EFCE"/>
            <w:vAlign w:val="bottom"/>
          </w:tcPr>
          <w:p w14:paraId="44D1590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1.00</w:t>
            </w:r>
          </w:p>
        </w:tc>
        <w:tc>
          <w:tcPr>
            <w:tcW w:w="595" w:type="dxa"/>
            <w:shd w:val="clear" w:color="auto" w:fill="C6EFCE"/>
            <w:vAlign w:val="bottom"/>
          </w:tcPr>
          <w:p w14:paraId="2E523AE4"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23A9F74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0.86</w:t>
            </w:r>
          </w:p>
        </w:tc>
        <w:tc>
          <w:tcPr>
            <w:tcW w:w="595" w:type="dxa"/>
            <w:shd w:val="clear" w:color="auto" w:fill="C6EFCE"/>
            <w:vAlign w:val="bottom"/>
          </w:tcPr>
          <w:p w14:paraId="4A8005F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0.84</w:t>
            </w:r>
          </w:p>
        </w:tc>
        <w:tc>
          <w:tcPr>
            <w:tcW w:w="595" w:type="dxa"/>
            <w:shd w:val="clear" w:color="auto" w:fill="C6EFCE"/>
            <w:vAlign w:val="bottom"/>
          </w:tcPr>
          <w:p w14:paraId="2C7247F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373EFFF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06EF1DB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1E530384"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95" w:type="dxa"/>
            <w:shd w:val="clear" w:color="auto" w:fill="C6EFCE"/>
            <w:vAlign w:val="bottom"/>
          </w:tcPr>
          <w:p w14:paraId="71BAAE3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95" w:type="dxa"/>
            <w:shd w:val="clear" w:color="auto" w:fill="C6EFCE"/>
            <w:vAlign w:val="bottom"/>
          </w:tcPr>
          <w:p w14:paraId="21BAC7A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158A30C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r>
      <w:tr w:rsidR="00A12401" w14:paraId="7AA4FDA4" w14:textId="77777777">
        <w:trPr>
          <w:trHeight w:val="389"/>
        </w:trPr>
        <w:tc>
          <w:tcPr>
            <w:tcW w:w="1728" w:type="dxa"/>
            <w:shd w:val="clear" w:color="auto" w:fill="C6D9F1"/>
            <w:vAlign w:val="center"/>
          </w:tcPr>
          <w:p w14:paraId="68AEA44A"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Q7: Q7 – Environmental Sustainability</w:t>
            </w:r>
          </w:p>
        </w:tc>
        <w:tc>
          <w:tcPr>
            <w:tcW w:w="567" w:type="dxa"/>
            <w:shd w:val="clear" w:color="auto" w:fill="C6EFCE"/>
            <w:vAlign w:val="bottom"/>
          </w:tcPr>
          <w:p w14:paraId="0EE1936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1.00</w:t>
            </w:r>
          </w:p>
        </w:tc>
        <w:tc>
          <w:tcPr>
            <w:tcW w:w="567" w:type="dxa"/>
            <w:shd w:val="clear" w:color="auto" w:fill="D9D9D9"/>
            <w:vAlign w:val="bottom"/>
          </w:tcPr>
          <w:p w14:paraId="7EE0E587"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67" w:type="dxa"/>
            <w:shd w:val="clear" w:color="auto" w:fill="C6EFCE"/>
            <w:vAlign w:val="bottom"/>
          </w:tcPr>
          <w:p w14:paraId="14D269B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0.85</w:t>
            </w:r>
          </w:p>
        </w:tc>
        <w:tc>
          <w:tcPr>
            <w:tcW w:w="567" w:type="dxa"/>
            <w:shd w:val="clear" w:color="auto" w:fill="C6EFCE"/>
            <w:vAlign w:val="bottom"/>
          </w:tcPr>
          <w:p w14:paraId="672DC30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1.00</w:t>
            </w:r>
          </w:p>
        </w:tc>
        <w:tc>
          <w:tcPr>
            <w:tcW w:w="595" w:type="dxa"/>
            <w:shd w:val="clear" w:color="auto" w:fill="C6EFCE"/>
            <w:vAlign w:val="bottom"/>
          </w:tcPr>
          <w:p w14:paraId="619FDCE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4CEB53D4"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0.86</w:t>
            </w:r>
          </w:p>
        </w:tc>
        <w:tc>
          <w:tcPr>
            <w:tcW w:w="595" w:type="dxa"/>
            <w:shd w:val="clear" w:color="auto" w:fill="C6EFCE"/>
            <w:vAlign w:val="bottom"/>
          </w:tcPr>
          <w:p w14:paraId="7AFBBCC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0.84</w:t>
            </w:r>
          </w:p>
        </w:tc>
        <w:tc>
          <w:tcPr>
            <w:tcW w:w="595" w:type="dxa"/>
            <w:shd w:val="clear" w:color="auto" w:fill="C6EFCE"/>
            <w:vAlign w:val="bottom"/>
          </w:tcPr>
          <w:p w14:paraId="268663E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0CB2882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381D283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519C91B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95" w:type="dxa"/>
            <w:shd w:val="clear" w:color="auto" w:fill="C6EFCE"/>
            <w:vAlign w:val="bottom"/>
          </w:tcPr>
          <w:p w14:paraId="7E8FA545"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95" w:type="dxa"/>
            <w:shd w:val="clear" w:color="auto" w:fill="C6EFCE"/>
            <w:vAlign w:val="bottom"/>
          </w:tcPr>
          <w:p w14:paraId="67C44F4F"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712384A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r>
      <w:tr w:rsidR="00A12401" w14:paraId="2FE62925" w14:textId="77777777">
        <w:trPr>
          <w:trHeight w:val="389"/>
        </w:trPr>
        <w:tc>
          <w:tcPr>
            <w:tcW w:w="1728" w:type="dxa"/>
            <w:shd w:val="clear" w:color="auto" w:fill="C6D9F1"/>
            <w:vAlign w:val="center"/>
          </w:tcPr>
          <w:p w14:paraId="26A369E6"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Q8: Q8 – Community Support</w:t>
            </w:r>
          </w:p>
        </w:tc>
        <w:tc>
          <w:tcPr>
            <w:tcW w:w="567" w:type="dxa"/>
            <w:shd w:val="clear" w:color="auto" w:fill="C6EFCE"/>
            <w:vAlign w:val="bottom"/>
          </w:tcPr>
          <w:p w14:paraId="662276F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0.85</w:t>
            </w:r>
          </w:p>
        </w:tc>
        <w:tc>
          <w:tcPr>
            <w:tcW w:w="567" w:type="dxa"/>
            <w:shd w:val="clear" w:color="auto" w:fill="C6EFCE"/>
            <w:vAlign w:val="bottom"/>
          </w:tcPr>
          <w:p w14:paraId="533BD154"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0.85</w:t>
            </w:r>
          </w:p>
        </w:tc>
        <w:tc>
          <w:tcPr>
            <w:tcW w:w="567" w:type="dxa"/>
            <w:shd w:val="clear" w:color="auto" w:fill="D9D9D9"/>
            <w:vAlign w:val="bottom"/>
          </w:tcPr>
          <w:p w14:paraId="38DA624D"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67" w:type="dxa"/>
            <w:shd w:val="clear" w:color="auto" w:fill="C6EFCE"/>
            <w:vAlign w:val="bottom"/>
          </w:tcPr>
          <w:p w14:paraId="2CF9F53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0.85</w:t>
            </w:r>
          </w:p>
        </w:tc>
        <w:tc>
          <w:tcPr>
            <w:tcW w:w="595" w:type="dxa"/>
            <w:shd w:val="clear" w:color="auto" w:fill="C6EFCE"/>
            <w:vAlign w:val="bottom"/>
          </w:tcPr>
          <w:p w14:paraId="0C40551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95" w:type="dxa"/>
            <w:shd w:val="clear" w:color="auto" w:fill="C6EFCE"/>
            <w:vAlign w:val="bottom"/>
          </w:tcPr>
          <w:p w14:paraId="1B0DD3C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7C81A95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154A7614"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0.83</w:t>
            </w:r>
          </w:p>
        </w:tc>
        <w:tc>
          <w:tcPr>
            <w:tcW w:w="595" w:type="dxa"/>
            <w:shd w:val="clear" w:color="auto" w:fill="C6EFCE"/>
            <w:vAlign w:val="bottom"/>
          </w:tcPr>
          <w:p w14:paraId="64A0A05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0.87</w:t>
            </w:r>
          </w:p>
        </w:tc>
        <w:tc>
          <w:tcPr>
            <w:tcW w:w="595" w:type="dxa"/>
            <w:shd w:val="clear" w:color="auto" w:fill="C6EFCE"/>
            <w:vAlign w:val="bottom"/>
          </w:tcPr>
          <w:p w14:paraId="01337FC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0.85</w:t>
            </w:r>
          </w:p>
        </w:tc>
        <w:tc>
          <w:tcPr>
            <w:tcW w:w="595" w:type="dxa"/>
            <w:shd w:val="clear" w:color="auto" w:fill="C6EFCE"/>
            <w:vAlign w:val="bottom"/>
          </w:tcPr>
          <w:p w14:paraId="2FBA8150"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95" w:type="dxa"/>
            <w:shd w:val="clear" w:color="auto" w:fill="C6EFCE"/>
            <w:vAlign w:val="bottom"/>
          </w:tcPr>
          <w:p w14:paraId="20FFA97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0.91</w:t>
            </w:r>
          </w:p>
        </w:tc>
        <w:tc>
          <w:tcPr>
            <w:tcW w:w="595" w:type="dxa"/>
            <w:shd w:val="clear" w:color="auto" w:fill="C6EFCE"/>
            <w:vAlign w:val="bottom"/>
          </w:tcPr>
          <w:p w14:paraId="0B15F41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95" w:type="dxa"/>
            <w:shd w:val="clear" w:color="auto" w:fill="C6EFCE"/>
            <w:vAlign w:val="bottom"/>
          </w:tcPr>
          <w:p w14:paraId="6441159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r>
      <w:tr w:rsidR="00A12401" w14:paraId="5EA0BE7E" w14:textId="77777777">
        <w:trPr>
          <w:trHeight w:val="389"/>
        </w:trPr>
        <w:tc>
          <w:tcPr>
            <w:tcW w:w="1728" w:type="dxa"/>
            <w:shd w:val="clear" w:color="auto" w:fill="C6D9F1"/>
            <w:vAlign w:val="center"/>
          </w:tcPr>
          <w:p w14:paraId="2BC54629"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 xml:space="preserve">Q9: Q9 – Ethical Business </w:t>
            </w:r>
            <w:proofErr w:type="spellStart"/>
            <w:r>
              <w:rPr>
                <w:rFonts w:ascii="Arial" w:eastAsia="Arial" w:hAnsi="Arial" w:cs="Arial"/>
                <w:b/>
                <w:bCs/>
                <w:sz w:val="20"/>
                <w:szCs w:val="20"/>
              </w:rPr>
              <w:t>Behaviour</w:t>
            </w:r>
            <w:proofErr w:type="spellEnd"/>
          </w:p>
        </w:tc>
        <w:tc>
          <w:tcPr>
            <w:tcW w:w="567" w:type="dxa"/>
            <w:shd w:val="clear" w:color="auto" w:fill="C6EFCE"/>
            <w:vAlign w:val="bottom"/>
          </w:tcPr>
          <w:p w14:paraId="4A2164F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1.00</w:t>
            </w:r>
          </w:p>
        </w:tc>
        <w:tc>
          <w:tcPr>
            <w:tcW w:w="567" w:type="dxa"/>
            <w:shd w:val="clear" w:color="auto" w:fill="C6EFCE"/>
            <w:vAlign w:val="bottom"/>
          </w:tcPr>
          <w:p w14:paraId="7E2A476A"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1.00</w:t>
            </w:r>
          </w:p>
        </w:tc>
        <w:tc>
          <w:tcPr>
            <w:tcW w:w="567" w:type="dxa"/>
            <w:shd w:val="clear" w:color="auto" w:fill="C6EFCE"/>
            <w:vAlign w:val="bottom"/>
          </w:tcPr>
          <w:p w14:paraId="3702B3D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0.85</w:t>
            </w:r>
          </w:p>
        </w:tc>
        <w:tc>
          <w:tcPr>
            <w:tcW w:w="567" w:type="dxa"/>
            <w:shd w:val="clear" w:color="auto" w:fill="D9D9D9"/>
            <w:vAlign w:val="bottom"/>
          </w:tcPr>
          <w:p w14:paraId="7DBAA641"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95" w:type="dxa"/>
            <w:shd w:val="clear" w:color="auto" w:fill="C6EFCE"/>
            <w:vAlign w:val="bottom"/>
          </w:tcPr>
          <w:p w14:paraId="7C8919A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32AAEAA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0.86</w:t>
            </w:r>
          </w:p>
        </w:tc>
        <w:tc>
          <w:tcPr>
            <w:tcW w:w="595" w:type="dxa"/>
            <w:shd w:val="clear" w:color="auto" w:fill="C6EFCE"/>
            <w:vAlign w:val="bottom"/>
          </w:tcPr>
          <w:p w14:paraId="61F9A6D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0.84</w:t>
            </w:r>
          </w:p>
        </w:tc>
        <w:tc>
          <w:tcPr>
            <w:tcW w:w="595" w:type="dxa"/>
            <w:shd w:val="clear" w:color="auto" w:fill="C6EFCE"/>
            <w:vAlign w:val="bottom"/>
          </w:tcPr>
          <w:p w14:paraId="4181941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231A187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3B2A0B6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5703B39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95" w:type="dxa"/>
            <w:shd w:val="clear" w:color="auto" w:fill="C6EFCE"/>
            <w:vAlign w:val="bottom"/>
          </w:tcPr>
          <w:p w14:paraId="440DDE3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95" w:type="dxa"/>
            <w:shd w:val="clear" w:color="auto" w:fill="C6EFCE"/>
            <w:vAlign w:val="bottom"/>
          </w:tcPr>
          <w:p w14:paraId="63135B9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78AEA29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r>
      <w:tr w:rsidR="00A12401" w14:paraId="0D46A6FC" w14:textId="77777777">
        <w:trPr>
          <w:trHeight w:val="389"/>
        </w:trPr>
        <w:tc>
          <w:tcPr>
            <w:tcW w:w="1728" w:type="dxa"/>
            <w:shd w:val="clear" w:color="auto" w:fill="C6D9F1"/>
            <w:vAlign w:val="center"/>
          </w:tcPr>
          <w:p w14:paraId="57B8CBCD"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Q10: Q10 – Genuine CSR (not marketing)</w:t>
            </w:r>
          </w:p>
        </w:tc>
        <w:tc>
          <w:tcPr>
            <w:tcW w:w="567" w:type="dxa"/>
            <w:shd w:val="clear" w:color="auto" w:fill="C6EFCE"/>
            <w:vAlign w:val="bottom"/>
          </w:tcPr>
          <w:p w14:paraId="676F641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67" w:type="dxa"/>
            <w:shd w:val="clear" w:color="auto" w:fill="C6EFCE"/>
            <w:vAlign w:val="bottom"/>
          </w:tcPr>
          <w:p w14:paraId="3760BB4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67" w:type="dxa"/>
            <w:shd w:val="clear" w:color="auto" w:fill="C6EFCE"/>
            <w:vAlign w:val="bottom"/>
          </w:tcPr>
          <w:p w14:paraId="14FD473F"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67" w:type="dxa"/>
            <w:shd w:val="clear" w:color="auto" w:fill="C6EFCE"/>
            <w:vAlign w:val="bottom"/>
          </w:tcPr>
          <w:p w14:paraId="53A2F50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D9D9D9"/>
            <w:vAlign w:val="bottom"/>
          </w:tcPr>
          <w:p w14:paraId="2DA00AA1"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95" w:type="dxa"/>
            <w:shd w:val="clear" w:color="auto" w:fill="C6EFCE"/>
            <w:vAlign w:val="bottom"/>
          </w:tcPr>
          <w:p w14:paraId="6FC49595"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95" w:type="dxa"/>
            <w:shd w:val="clear" w:color="auto" w:fill="C6EFCE"/>
            <w:vAlign w:val="bottom"/>
          </w:tcPr>
          <w:p w14:paraId="63AB5FD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95" w:type="dxa"/>
            <w:shd w:val="clear" w:color="auto" w:fill="C6EFCE"/>
            <w:vAlign w:val="bottom"/>
          </w:tcPr>
          <w:p w14:paraId="408814A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3F8DB6F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0.96</w:t>
            </w:r>
          </w:p>
        </w:tc>
        <w:tc>
          <w:tcPr>
            <w:tcW w:w="595" w:type="dxa"/>
            <w:shd w:val="clear" w:color="auto" w:fill="C6EFCE"/>
            <w:vAlign w:val="bottom"/>
          </w:tcPr>
          <w:p w14:paraId="3AB2041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0.95</w:t>
            </w:r>
          </w:p>
        </w:tc>
        <w:tc>
          <w:tcPr>
            <w:tcW w:w="595" w:type="dxa"/>
            <w:shd w:val="clear" w:color="auto" w:fill="C6EFCE"/>
            <w:vAlign w:val="bottom"/>
          </w:tcPr>
          <w:p w14:paraId="5A52D930"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c>
          <w:tcPr>
            <w:tcW w:w="595" w:type="dxa"/>
            <w:shd w:val="clear" w:color="auto" w:fill="C6EFCE"/>
            <w:vAlign w:val="bottom"/>
          </w:tcPr>
          <w:p w14:paraId="3762FE8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c>
          <w:tcPr>
            <w:tcW w:w="595" w:type="dxa"/>
            <w:shd w:val="clear" w:color="auto" w:fill="C6EFCE"/>
            <w:vAlign w:val="bottom"/>
          </w:tcPr>
          <w:p w14:paraId="6BCC213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1.00</w:t>
            </w:r>
          </w:p>
        </w:tc>
        <w:tc>
          <w:tcPr>
            <w:tcW w:w="595" w:type="dxa"/>
            <w:shd w:val="clear" w:color="auto" w:fill="C6EFCE"/>
            <w:vAlign w:val="bottom"/>
          </w:tcPr>
          <w:p w14:paraId="11232B7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r>
      <w:tr w:rsidR="00A12401" w14:paraId="28037EFF" w14:textId="77777777">
        <w:trPr>
          <w:trHeight w:val="389"/>
        </w:trPr>
        <w:tc>
          <w:tcPr>
            <w:tcW w:w="1728" w:type="dxa"/>
            <w:shd w:val="clear" w:color="auto" w:fill="C6D9F1"/>
            <w:vAlign w:val="center"/>
          </w:tcPr>
          <w:p w14:paraId="6A80BA9B"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Q11: Q11 – Clear CSR Communication</w:t>
            </w:r>
          </w:p>
        </w:tc>
        <w:tc>
          <w:tcPr>
            <w:tcW w:w="567" w:type="dxa"/>
            <w:shd w:val="clear" w:color="auto" w:fill="C6EFCE"/>
            <w:vAlign w:val="bottom"/>
          </w:tcPr>
          <w:p w14:paraId="6783BAD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0.86</w:t>
            </w:r>
          </w:p>
        </w:tc>
        <w:tc>
          <w:tcPr>
            <w:tcW w:w="567" w:type="dxa"/>
            <w:shd w:val="clear" w:color="auto" w:fill="C6EFCE"/>
            <w:vAlign w:val="bottom"/>
          </w:tcPr>
          <w:p w14:paraId="43A32DC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0.86</w:t>
            </w:r>
          </w:p>
        </w:tc>
        <w:tc>
          <w:tcPr>
            <w:tcW w:w="567" w:type="dxa"/>
            <w:shd w:val="clear" w:color="auto" w:fill="C6EFCE"/>
            <w:vAlign w:val="bottom"/>
          </w:tcPr>
          <w:p w14:paraId="6620388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67" w:type="dxa"/>
            <w:shd w:val="clear" w:color="auto" w:fill="C6EFCE"/>
            <w:vAlign w:val="bottom"/>
          </w:tcPr>
          <w:p w14:paraId="7D25A24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0.86</w:t>
            </w:r>
          </w:p>
        </w:tc>
        <w:tc>
          <w:tcPr>
            <w:tcW w:w="595" w:type="dxa"/>
            <w:shd w:val="clear" w:color="auto" w:fill="C6EFCE"/>
            <w:vAlign w:val="bottom"/>
          </w:tcPr>
          <w:p w14:paraId="27D06F9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95" w:type="dxa"/>
            <w:shd w:val="clear" w:color="auto" w:fill="D9D9D9"/>
            <w:vAlign w:val="bottom"/>
          </w:tcPr>
          <w:p w14:paraId="0254D071"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95" w:type="dxa"/>
            <w:shd w:val="clear" w:color="auto" w:fill="C6EFCE"/>
            <w:vAlign w:val="bottom"/>
          </w:tcPr>
          <w:p w14:paraId="0ACD2C7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0.96</w:t>
            </w:r>
          </w:p>
        </w:tc>
        <w:tc>
          <w:tcPr>
            <w:tcW w:w="595" w:type="dxa"/>
            <w:shd w:val="clear" w:color="auto" w:fill="C6EFCE"/>
            <w:vAlign w:val="bottom"/>
          </w:tcPr>
          <w:p w14:paraId="7C2F6130"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0.84</w:t>
            </w:r>
          </w:p>
        </w:tc>
        <w:tc>
          <w:tcPr>
            <w:tcW w:w="595" w:type="dxa"/>
            <w:shd w:val="clear" w:color="auto" w:fill="C6EFCE"/>
            <w:vAlign w:val="bottom"/>
          </w:tcPr>
          <w:p w14:paraId="40B079B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0.84</w:t>
            </w:r>
          </w:p>
        </w:tc>
        <w:tc>
          <w:tcPr>
            <w:tcW w:w="595" w:type="dxa"/>
            <w:shd w:val="clear" w:color="auto" w:fill="C6EFCE"/>
            <w:vAlign w:val="bottom"/>
          </w:tcPr>
          <w:p w14:paraId="4D3A6C2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0.83</w:t>
            </w:r>
          </w:p>
        </w:tc>
        <w:tc>
          <w:tcPr>
            <w:tcW w:w="595" w:type="dxa"/>
            <w:shd w:val="clear" w:color="auto" w:fill="C6EFCE"/>
            <w:vAlign w:val="bottom"/>
          </w:tcPr>
          <w:p w14:paraId="5554B624"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c>
          <w:tcPr>
            <w:tcW w:w="595" w:type="dxa"/>
            <w:shd w:val="clear" w:color="auto" w:fill="C6EFCE"/>
            <w:vAlign w:val="bottom"/>
          </w:tcPr>
          <w:p w14:paraId="2DDC5AF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95" w:type="dxa"/>
            <w:shd w:val="clear" w:color="auto" w:fill="C6EFCE"/>
            <w:vAlign w:val="bottom"/>
          </w:tcPr>
          <w:p w14:paraId="799AB86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95" w:type="dxa"/>
            <w:shd w:val="clear" w:color="auto" w:fill="C6EFCE"/>
            <w:vAlign w:val="bottom"/>
          </w:tcPr>
          <w:p w14:paraId="3FA13F3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r>
      <w:tr w:rsidR="00A12401" w14:paraId="5F2824E7" w14:textId="77777777">
        <w:trPr>
          <w:trHeight w:val="389"/>
        </w:trPr>
        <w:tc>
          <w:tcPr>
            <w:tcW w:w="1728" w:type="dxa"/>
            <w:shd w:val="clear" w:color="auto" w:fill="C6D9F1"/>
            <w:vAlign w:val="center"/>
          </w:tcPr>
          <w:p w14:paraId="292BB7D5"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Q12: Q12 – Positive Brand Perception</w:t>
            </w:r>
          </w:p>
        </w:tc>
        <w:tc>
          <w:tcPr>
            <w:tcW w:w="567" w:type="dxa"/>
            <w:shd w:val="clear" w:color="auto" w:fill="C6EFCE"/>
            <w:vAlign w:val="bottom"/>
          </w:tcPr>
          <w:p w14:paraId="0D382CE4"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0.84</w:t>
            </w:r>
          </w:p>
        </w:tc>
        <w:tc>
          <w:tcPr>
            <w:tcW w:w="567" w:type="dxa"/>
            <w:shd w:val="clear" w:color="auto" w:fill="C6EFCE"/>
            <w:vAlign w:val="bottom"/>
          </w:tcPr>
          <w:p w14:paraId="3F1ED76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0.84</w:t>
            </w:r>
          </w:p>
        </w:tc>
        <w:tc>
          <w:tcPr>
            <w:tcW w:w="567" w:type="dxa"/>
            <w:shd w:val="clear" w:color="auto" w:fill="C6EFCE"/>
            <w:vAlign w:val="bottom"/>
          </w:tcPr>
          <w:p w14:paraId="1D39990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67" w:type="dxa"/>
            <w:shd w:val="clear" w:color="auto" w:fill="C6EFCE"/>
            <w:vAlign w:val="bottom"/>
          </w:tcPr>
          <w:p w14:paraId="45B1686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0.84</w:t>
            </w:r>
          </w:p>
        </w:tc>
        <w:tc>
          <w:tcPr>
            <w:tcW w:w="595" w:type="dxa"/>
            <w:shd w:val="clear" w:color="auto" w:fill="C6EFCE"/>
            <w:vAlign w:val="bottom"/>
          </w:tcPr>
          <w:p w14:paraId="41FE373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95" w:type="dxa"/>
            <w:shd w:val="clear" w:color="auto" w:fill="C6EFCE"/>
            <w:vAlign w:val="bottom"/>
          </w:tcPr>
          <w:p w14:paraId="50991AF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0.96</w:t>
            </w:r>
          </w:p>
        </w:tc>
        <w:tc>
          <w:tcPr>
            <w:tcW w:w="595" w:type="dxa"/>
            <w:shd w:val="clear" w:color="auto" w:fill="D9D9D9"/>
            <w:vAlign w:val="bottom"/>
          </w:tcPr>
          <w:p w14:paraId="1CAD25DE"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95" w:type="dxa"/>
            <w:shd w:val="clear" w:color="auto" w:fill="C6EFCE"/>
            <w:vAlign w:val="bottom"/>
          </w:tcPr>
          <w:p w14:paraId="399273D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0.83</w:t>
            </w:r>
          </w:p>
        </w:tc>
        <w:tc>
          <w:tcPr>
            <w:tcW w:w="595" w:type="dxa"/>
            <w:shd w:val="clear" w:color="auto" w:fill="C6EFCE"/>
            <w:vAlign w:val="bottom"/>
          </w:tcPr>
          <w:p w14:paraId="4272CFC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0.86</w:t>
            </w:r>
          </w:p>
        </w:tc>
        <w:tc>
          <w:tcPr>
            <w:tcW w:w="595" w:type="dxa"/>
            <w:shd w:val="clear" w:color="auto" w:fill="C6EFCE"/>
            <w:vAlign w:val="bottom"/>
          </w:tcPr>
          <w:p w14:paraId="499ADD5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0.88</w:t>
            </w:r>
          </w:p>
        </w:tc>
        <w:tc>
          <w:tcPr>
            <w:tcW w:w="595" w:type="dxa"/>
            <w:shd w:val="clear" w:color="auto" w:fill="C6EFCE"/>
            <w:vAlign w:val="bottom"/>
          </w:tcPr>
          <w:p w14:paraId="552B163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0.91</w:t>
            </w:r>
          </w:p>
        </w:tc>
        <w:tc>
          <w:tcPr>
            <w:tcW w:w="595" w:type="dxa"/>
            <w:shd w:val="clear" w:color="auto" w:fill="C6EFCE"/>
            <w:vAlign w:val="bottom"/>
          </w:tcPr>
          <w:p w14:paraId="71004F9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c>
          <w:tcPr>
            <w:tcW w:w="595" w:type="dxa"/>
            <w:shd w:val="clear" w:color="auto" w:fill="C6EFCE"/>
            <w:vAlign w:val="bottom"/>
          </w:tcPr>
          <w:p w14:paraId="33FA2740"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95" w:type="dxa"/>
            <w:shd w:val="clear" w:color="auto" w:fill="C6EFCE"/>
            <w:vAlign w:val="bottom"/>
          </w:tcPr>
          <w:p w14:paraId="1EC0A28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0.91</w:t>
            </w:r>
          </w:p>
        </w:tc>
      </w:tr>
      <w:tr w:rsidR="00A12401" w14:paraId="179EE2E0" w14:textId="77777777">
        <w:trPr>
          <w:trHeight w:val="389"/>
        </w:trPr>
        <w:tc>
          <w:tcPr>
            <w:tcW w:w="1728" w:type="dxa"/>
            <w:shd w:val="clear" w:color="auto" w:fill="C6D9F1"/>
            <w:vAlign w:val="center"/>
          </w:tcPr>
          <w:p w14:paraId="221CA888"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Q13: Q13 – Shopping Preference for CSR</w:t>
            </w:r>
          </w:p>
        </w:tc>
        <w:tc>
          <w:tcPr>
            <w:tcW w:w="567" w:type="dxa"/>
            <w:shd w:val="clear" w:color="auto" w:fill="C6EFCE"/>
            <w:vAlign w:val="bottom"/>
          </w:tcPr>
          <w:p w14:paraId="407A317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67" w:type="dxa"/>
            <w:shd w:val="clear" w:color="auto" w:fill="C6EFCE"/>
            <w:vAlign w:val="bottom"/>
          </w:tcPr>
          <w:p w14:paraId="2AC9583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67" w:type="dxa"/>
            <w:shd w:val="clear" w:color="auto" w:fill="C6EFCE"/>
            <w:vAlign w:val="bottom"/>
          </w:tcPr>
          <w:p w14:paraId="0949D44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0.83</w:t>
            </w:r>
          </w:p>
        </w:tc>
        <w:tc>
          <w:tcPr>
            <w:tcW w:w="567" w:type="dxa"/>
            <w:shd w:val="clear" w:color="auto" w:fill="C6EFCE"/>
            <w:vAlign w:val="bottom"/>
          </w:tcPr>
          <w:p w14:paraId="706083C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41AC2BA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051489A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0.84</w:t>
            </w:r>
          </w:p>
        </w:tc>
        <w:tc>
          <w:tcPr>
            <w:tcW w:w="595" w:type="dxa"/>
            <w:shd w:val="clear" w:color="auto" w:fill="C6EFCE"/>
            <w:vAlign w:val="bottom"/>
          </w:tcPr>
          <w:p w14:paraId="7FF1A48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0.83</w:t>
            </w:r>
          </w:p>
        </w:tc>
        <w:tc>
          <w:tcPr>
            <w:tcW w:w="595" w:type="dxa"/>
            <w:shd w:val="clear" w:color="auto" w:fill="D9D9D9"/>
            <w:vAlign w:val="bottom"/>
          </w:tcPr>
          <w:p w14:paraId="7441DF94"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95" w:type="dxa"/>
            <w:shd w:val="clear" w:color="auto" w:fill="C6EFCE"/>
            <w:vAlign w:val="bottom"/>
          </w:tcPr>
          <w:p w14:paraId="1E2B197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767BD47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0.96</w:t>
            </w:r>
          </w:p>
        </w:tc>
        <w:tc>
          <w:tcPr>
            <w:tcW w:w="595" w:type="dxa"/>
            <w:shd w:val="clear" w:color="auto" w:fill="C6EFCE"/>
            <w:vAlign w:val="bottom"/>
          </w:tcPr>
          <w:p w14:paraId="079215C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c>
          <w:tcPr>
            <w:tcW w:w="595" w:type="dxa"/>
            <w:shd w:val="clear" w:color="auto" w:fill="C6EFCE"/>
            <w:vAlign w:val="bottom"/>
          </w:tcPr>
          <w:p w14:paraId="0A5AFAA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0.91</w:t>
            </w:r>
          </w:p>
        </w:tc>
        <w:tc>
          <w:tcPr>
            <w:tcW w:w="595" w:type="dxa"/>
            <w:shd w:val="clear" w:color="auto" w:fill="C6EFCE"/>
            <w:vAlign w:val="bottom"/>
          </w:tcPr>
          <w:p w14:paraId="5F4F378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7D11315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r>
      <w:tr w:rsidR="00A12401" w14:paraId="2CE4DA4D" w14:textId="77777777">
        <w:trPr>
          <w:trHeight w:val="389"/>
        </w:trPr>
        <w:tc>
          <w:tcPr>
            <w:tcW w:w="1728" w:type="dxa"/>
            <w:shd w:val="clear" w:color="auto" w:fill="C6D9F1"/>
            <w:vAlign w:val="center"/>
          </w:tcPr>
          <w:p w14:paraId="4572600D"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Q14: Q14 – Trust from CSR</w:t>
            </w:r>
          </w:p>
        </w:tc>
        <w:tc>
          <w:tcPr>
            <w:tcW w:w="567" w:type="dxa"/>
            <w:shd w:val="clear" w:color="auto" w:fill="C6EFCE"/>
            <w:vAlign w:val="bottom"/>
          </w:tcPr>
          <w:p w14:paraId="4FDBA0C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67" w:type="dxa"/>
            <w:shd w:val="clear" w:color="auto" w:fill="C6EFCE"/>
            <w:vAlign w:val="bottom"/>
          </w:tcPr>
          <w:p w14:paraId="37B4964A"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67" w:type="dxa"/>
            <w:shd w:val="clear" w:color="auto" w:fill="C6EFCE"/>
            <w:vAlign w:val="bottom"/>
          </w:tcPr>
          <w:p w14:paraId="25F6691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0.87</w:t>
            </w:r>
          </w:p>
        </w:tc>
        <w:tc>
          <w:tcPr>
            <w:tcW w:w="567" w:type="dxa"/>
            <w:shd w:val="clear" w:color="auto" w:fill="C6EFCE"/>
            <w:vAlign w:val="bottom"/>
          </w:tcPr>
          <w:p w14:paraId="792AEA9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7E760B5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0.96</w:t>
            </w:r>
          </w:p>
        </w:tc>
        <w:tc>
          <w:tcPr>
            <w:tcW w:w="595" w:type="dxa"/>
            <w:shd w:val="clear" w:color="auto" w:fill="C6EFCE"/>
            <w:vAlign w:val="bottom"/>
          </w:tcPr>
          <w:p w14:paraId="119D6E2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0.84</w:t>
            </w:r>
          </w:p>
        </w:tc>
        <w:tc>
          <w:tcPr>
            <w:tcW w:w="595" w:type="dxa"/>
            <w:shd w:val="clear" w:color="auto" w:fill="C6EFCE"/>
            <w:vAlign w:val="bottom"/>
          </w:tcPr>
          <w:p w14:paraId="5F97C9DF"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0.86</w:t>
            </w:r>
          </w:p>
        </w:tc>
        <w:tc>
          <w:tcPr>
            <w:tcW w:w="595" w:type="dxa"/>
            <w:shd w:val="clear" w:color="auto" w:fill="C6EFCE"/>
            <w:vAlign w:val="bottom"/>
          </w:tcPr>
          <w:p w14:paraId="5D286BF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D9D9D9"/>
            <w:vAlign w:val="bottom"/>
          </w:tcPr>
          <w:p w14:paraId="72C1E705"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95" w:type="dxa"/>
            <w:shd w:val="clear" w:color="auto" w:fill="C6EFCE"/>
            <w:vAlign w:val="bottom"/>
          </w:tcPr>
          <w:p w14:paraId="13C8AF4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14F9891F"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95" w:type="dxa"/>
            <w:shd w:val="clear" w:color="auto" w:fill="C6EFCE"/>
            <w:vAlign w:val="bottom"/>
          </w:tcPr>
          <w:p w14:paraId="440E189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0.91</w:t>
            </w:r>
          </w:p>
        </w:tc>
        <w:tc>
          <w:tcPr>
            <w:tcW w:w="595" w:type="dxa"/>
            <w:shd w:val="clear" w:color="auto" w:fill="C6EFCE"/>
            <w:vAlign w:val="bottom"/>
          </w:tcPr>
          <w:p w14:paraId="6BD1564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0.96</w:t>
            </w:r>
          </w:p>
        </w:tc>
        <w:tc>
          <w:tcPr>
            <w:tcW w:w="595" w:type="dxa"/>
            <w:shd w:val="clear" w:color="auto" w:fill="C6EFCE"/>
            <w:vAlign w:val="bottom"/>
          </w:tcPr>
          <w:p w14:paraId="58E6E4D0"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r>
      <w:tr w:rsidR="00A12401" w14:paraId="74CD3553" w14:textId="77777777">
        <w:trPr>
          <w:trHeight w:val="389"/>
        </w:trPr>
        <w:tc>
          <w:tcPr>
            <w:tcW w:w="1728" w:type="dxa"/>
            <w:shd w:val="clear" w:color="auto" w:fill="C6D9F1"/>
            <w:vAlign w:val="center"/>
          </w:tcPr>
          <w:p w14:paraId="62979489"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Q15: Q15 – Loyalty from CSR</w:t>
            </w:r>
          </w:p>
        </w:tc>
        <w:tc>
          <w:tcPr>
            <w:tcW w:w="567" w:type="dxa"/>
            <w:shd w:val="clear" w:color="auto" w:fill="C6EFCE"/>
            <w:vAlign w:val="bottom"/>
          </w:tcPr>
          <w:p w14:paraId="6C2A406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67" w:type="dxa"/>
            <w:shd w:val="clear" w:color="auto" w:fill="C6EFCE"/>
            <w:vAlign w:val="bottom"/>
          </w:tcPr>
          <w:p w14:paraId="2BF6B50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67" w:type="dxa"/>
            <w:shd w:val="clear" w:color="auto" w:fill="C6EFCE"/>
            <w:vAlign w:val="bottom"/>
          </w:tcPr>
          <w:p w14:paraId="328C553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0.85</w:t>
            </w:r>
          </w:p>
        </w:tc>
        <w:tc>
          <w:tcPr>
            <w:tcW w:w="567" w:type="dxa"/>
            <w:shd w:val="clear" w:color="auto" w:fill="C6EFCE"/>
            <w:vAlign w:val="bottom"/>
          </w:tcPr>
          <w:p w14:paraId="4CAE003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4A4BF52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0.95</w:t>
            </w:r>
          </w:p>
        </w:tc>
        <w:tc>
          <w:tcPr>
            <w:tcW w:w="595" w:type="dxa"/>
            <w:shd w:val="clear" w:color="auto" w:fill="C6EFCE"/>
            <w:vAlign w:val="bottom"/>
          </w:tcPr>
          <w:p w14:paraId="5F08E6E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0.83</w:t>
            </w:r>
          </w:p>
        </w:tc>
        <w:tc>
          <w:tcPr>
            <w:tcW w:w="595" w:type="dxa"/>
            <w:shd w:val="clear" w:color="auto" w:fill="C6EFCE"/>
            <w:vAlign w:val="bottom"/>
          </w:tcPr>
          <w:p w14:paraId="73902BC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0.88</w:t>
            </w:r>
          </w:p>
        </w:tc>
        <w:tc>
          <w:tcPr>
            <w:tcW w:w="595" w:type="dxa"/>
            <w:shd w:val="clear" w:color="auto" w:fill="C6EFCE"/>
            <w:vAlign w:val="bottom"/>
          </w:tcPr>
          <w:p w14:paraId="7CEC39A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0.96</w:t>
            </w:r>
          </w:p>
        </w:tc>
        <w:tc>
          <w:tcPr>
            <w:tcW w:w="595" w:type="dxa"/>
            <w:shd w:val="clear" w:color="auto" w:fill="C6EFCE"/>
            <w:vAlign w:val="bottom"/>
          </w:tcPr>
          <w:p w14:paraId="0D6D674F"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D9D9D9"/>
            <w:vAlign w:val="bottom"/>
          </w:tcPr>
          <w:p w14:paraId="392103DD"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95" w:type="dxa"/>
            <w:shd w:val="clear" w:color="auto" w:fill="C6EFCE"/>
            <w:vAlign w:val="bottom"/>
          </w:tcPr>
          <w:p w14:paraId="429DF7A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95" w:type="dxa"/>
            <w:shd w:val="clear" w:color="auto" w:fill="C6EFCE"/>
            <w:vAlign w:val="bottom"/>
          </w:tcPr>
          <w:p w14:paraId="413358C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c>
          <w:tcPr>
            <w:tcW w:w="595" w:type="dxa"/>
            <w:shd w:val="clear" w:color="auto" w:fill="C6EFCE"/>
            <w:vAlign w:val="bottom"/>
          </w:tcPr>
          <w:p w14:paraId="69E1953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0.95</w:t>
            </w:r>
          </w:p>
        </w:tc>
        <w:tc>
          <w:tcPr>
            <w:tcW w:w="595" w:type="dxa"/>
            <w:shd w:val="clear" w:color="auto" w:fill="C6EFCE"/>
            <w:vAlign w:val="bottom"/>
          </w:tcPr>
          <w:p w14:paraId="0E2677C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r>
      <w:tr w:rsidR="00A12401" w14:paraId="7EDBCA51" w14:textId="77777777">
        <w:trPr>
          <w:trHeight w:val="389"/>
        </w:trPr>
        <w:tc>
          <w:tcPr>
            <w:tcW w:w="1728" w:type="dxa"/>
            <w:shd w:val="clear" w:color="auto" w:fill="C6D9F1"/>
            <w:vAlign w:val="center"/>
          </w:tcPr>
          <w:p w14:paraId="7F83A7E9"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Q16: Q16 – Recommend Tesco for CSR</w:t>
            </w:r>
          </w:p>
        </w:tc>
        <w:tc>
          <w:tcPr>
            <w:tcW w:w="567" w:type="dxa"/>
            <w:shd w:val="clear" w:color="auto" w:fill="C6EFCE"/>
            <w:vAlign w:val="bottom"/>
          </w:tcPr>
          <w:p w14:paraId="78CD921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67" w:type="dxa"/>
            <w:shd w:val="clear" w:color="auto" w:fill="C6EFCE"/>
            <w:vAlign w:val="bottom"/>
          </w:tcPr>
          <w:p w14:paraId="016ABE0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67" w:type="dxa"/>
            <w:shd w:val="clear" w:color="auto" w:fill="C6EFCE"/>
            <w:vAlign w:val="bottom"/>
          </w:tcPr>
          <w:p w14:paraId="77099AAA"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67" w:type="dxa"/>
            <w:shd w:val="clear" w:color="auto" w:fill="C6EFCE"/>
            <w:vAlign w:val="bottom"/>
          </w:tcPr>
          <w:p w14:paraId="467F507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95" w:type="dxa"/>
            <w:shd w:val="clear" w:color="auto" w:fill="C6EFCE"/>
            <w:vAlign w:val="bottom"/>
          </w:tcPr>
          <w:p w14:paraId="1D3EA90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c>
          <w:tcPr>
            <w:tcW w:w="595" w:type="dxa"/>
            <w:shd w:val="clear" w:color="auto" w:fill="C6EFCE"/>
            <w:vAlign w:val="bottom"/>
          </w:tcPr>
          <w:p w14:paraId="07E7CD3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c>
          <w:tcPr>
            <w:tcW w:w="595" w:type="dxa"/>
            <w:shd w:val="clear" w:color="auto" w:fill="C6EFCE"/>
            <w:vAlign w:val="bottom"/>
          </w:tcPr>
          <w:p w14:paraId="62B9402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0.91</w:t>
            </w:r>
          </w:p>
        </w:tc>
        <w:tc>
          <w:tcPr>
            <w:tcW w:w="595" w:type="dxa"/>
            <w:shd w:val="clear" w:color="auto" w:fill="C6EFCE"/>
            <w:vAlign w:val="bottom"/>
          </w:tcPr>
          <w:p w14:paraId="77DEEB5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c>
          <w:tcPr>
            <w:tcW w:w="595" w:type="dxa"/>
            <w:shd w:val="clear" w:color="auto" w:fill="C6EFCE"/>
            <w:vAlign w:val="bottom"/>
          </w:tcPr>
          <w:p w14:paraId="3DF733E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95" w:type="dxa"/>
            <w:shd w:val="clear" w:color="auto" w:fill="C6EFCE"/>
            <w:vAlign w:val="bottom"/>
          </w:tcPr>
          <w:p w14:paraId="4F8F3A40"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95" w:type="dxa"/>
            <w:shd w:val="clear" w:color="auto" w:fill="D9D9D9"/>
            <w:vAlign w:val="bottom"/>
          </w:tcPr>
          <w:p w14:paraId="44BA8377"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95" w:type="dxa"/>
            <w:shd w:val="clear" w:color="auto" w:fill="C6EFCE"/>
            <w:vAlign w:val="bottom"/>
          </w:tcPr>
          <w:p w14:paraId="42523A6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6796866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c>
          <w:tcPr>
            <w:tcW w:w="595" w:type="dxa"/>
            <w:shd w:val="clear" w:color="auto" w:fill="C6EFCE"/>
            <w:vAlign w:val="bottom"/>
          </w:tcPr>
          <w:p w14:paraId="14AE541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1.00</w:t>
            </w:r>
          </w:p>
        </w:tc>
      </w:tr>
      <w:tr w:rsidR="00A12401" w14:paraId="22F34152" w14:textId="77777777">
        <w:trPr>
          <w:trHeight w:val="389"/>
        </w:trPr>
        <w:tc>
          <w:tcPr>
            <w:tcW w:w="1728" w:type="dxa"/>
            <w:shd w:val="clear" w:color="auto" w:fill="C6D9F1"/>
            <w:vAlign w:val="center"/>
          </w:tcPr>
          <w:p w14:paraId="50ED83D4"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Q17: Q17 – Choose Tesco over competitors</w:t>
            </w:r>
          </w:p>
        </w:tc>
        <w:tc>
          <w:tcPr>
            <w:tcW w:w="567" w:type="dxa"/>
            <w:shd w:val="clear" w:color="auto" w:fill="C6EFCE"/>
            <w:vAlign w:val="bottom"/>
          </w:tcPr>
          <w:p w14:paraId="42E7465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67" w:type="dxa"/>
            <w:shd w:val="clear" w:color="auto" w:fill="C6EFCE"/>
            <w:vAlign w:val="bottom"/>
          </w:tcPr>
          <w:p w14:paraId="3D8247C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67" w:type="dxa"/>
            <w:shd w:val="clear" w:color="auto" w:fill="C6EFCE"/>
            <w:vAlign w:val="bottom"/>
          </w:tcPr>
          <w:p w14:paraId="4A0884C5"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0.91</w:t>
            </w:r>
          </w:p>
        </w:tc>
        <w:tc>
          <w:tcPr>
            <w:tcW w:w="567" w:type="dxa"/>
            <w:shd w:val="clear" w:color="auto" w:fill="C6EFCE"/>
            <w:vAlign w:val="bottom"/>
          </w:tcPr>
          <w:p w14:paraId="43DA4D7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95" w:type="dxa"/>
            <w:shd w:val="clear" w:color="auto" w:fill="C6EFCE"/>
            <w:vAlign w:val="bottom"/>
          </w:tcPr>
          <w:p w14:paraId="28DB78A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c>
          <w:tcPr>
            <w:tcW w:w="595" w:type="dxa"/>
            <w:shd w:val="clear" w:color="auto" w:fill="C6EFCE"/>
            <w:vAlign w:val="bottom"/>
          </w:tcPr>
          <w:p w14:paraId="06B1242C"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95" w:type="dxa"/>
            <w:shd w:val="clear" w:color="auto" w:fill="C6EFCE"/>
            <w:vAlign w:val="bottom"/>
          </w:tcPr>
          <w:p w14:paraId="54C55C9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c>
          <w:tcPr>
            <w:tcW w:w="595" w:type="dxa"/>
            <w:shd w:val="clear" w:color="auto" w:fill="C6EFCE"/>
            <w:vAlign w:val="bottom"/>
          </w:tcPr>
          <w:p w14:paraId="327EC874"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0.91</w:t>
            </w:r>
          </w:p>
        </w:tc>
        <w:tc>
          <w:tcPr>
            <w:tcW w:w="595" w:type="dxa"/>
            <w:shd w:val="clear" w:color="auto" w:fill="C6EFCE"/>
            <w:vAlign w:val="bottom"/>
          </w:tcPr>
          <w:p w14:paraId="44DCE6A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0.91</w:t>
            </w:r>
          </w:p>
        </w:tc>
        <w:tc>
          <w:tcPr>
            <w:tcW w:w="595" w:type="dxa"/>
            <w:shd w:val="clear" w:color="auto" w:fill="C6EFCE"/>
            <w:vAlign w:val="bottom"/>
          </w:tcPr>
          <w:p w14:paraId="698A613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c>
          <w:tcPr>
            <w:tcW w:w="595" w:type="dxa"/>
            <w:shd w:val="clear" w:color="auto" w:fill="C6EFCE"/>
            <w:vAlign w:val="bottom"/>
          </w:tcPr>
          <w:p w14:paraId="7CBFC00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D9D9D9"/>
            <w:vAlign w:val="bottom"/>
          </w:tcPr>
          <w:p w14:paraId="63360ECD"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95" w:type="dxa"/>
            <w:shd w:val="clear" w:color="auto" w:fill="C6EFCE"/>
            <w:vAlign w:val="bottom"/>
          </w:tcPr>
          <w:p w14:paraId="2BE2B4E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c>
          <w:tcPr>
            <w:tcW w:w="595" w:type="dxa"/>
            <w:shd w:val="clear" w:color="auto" w:fill="C6EFCE"/>
            <w:vAlign w:val="bottom"/>
          </w:tcPr>
          <w:p w14:paraId="3342C10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r>
      <w:tr w:rsidR="00A12401" w14:paraId="51CDEC88" w14:textId="77777777">
        <w:trPr>
          <w:trHeight w:val="389"/>
        </w:trPr>
        <w:tc>
          <w:tcPr>
            <w:tcW w:w="1728" w:type="dxa"/>
            <w:shd w:val="clear" w:color="auto" w:fill="C6D9F1"/>
            <w:vAlign w:val="center"/>
          </w:tcPr>
          <w:p w14:paraId="691DA73A"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Q18: Q18 – Willing to pay more</w:t>
            </w:r>
          </w:p>
        </w:tc>
        <w:tc>
          <w:tcPr>
            <w:tcW w:w="567" w:type="dxa"/>
            <w:shd w:val="clear" w:color="auto" w:fill="C6EFCE"/>
            <w:vAlign w:val="bottom"/>
          </w:tcPr>
          <w:p w14:paraId="31A53E0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67" w:type="dxa"/>
            <w:shd w:val="clear" w:color="auto" w:fill="C6EFCE"/>
            <w:vAlign w:val="bottom"/>
          </w:tcPr>
          <w:p w14:paraId="2B486F5A"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67" w:type="dxa"/>
            <w:shd w:val="clear" w:color="auto" w:fill="C6EFCE"/>
            <w:vAlign w:val="bottom"/>
          </w:tcPr>
          <w:p w14:paraId="14E49203"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67" w:type="dxa"/>
            <w:shd w:val="clear" w:color="auto" w:fill="C6EFCE"/>
            <w:vAlign w:val="bottom"/>
          </w:tcPr>
          <w:p w14:paraId="1FC2270D"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0.97</w:t>
            </w:r>
          </w:p>
        </w:tc>
        <w:tc>
          <w:tcPr>
            <w:tcW w:w="595" w:type="dxa"/>
            <w:shd w:val="clear" w:color="auto" w:fill="C6EFCE"/>
            <w:vAlign w:val="bottom"/>
          </w:tcPr>
          <w:p w14:paraId="7660ECC5"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1.00</w:t>
            </w:r>
          </w:p>
        </w:tc>
        <w:tc>
          <w:tcPr>
            <w:tcW w:w="595" w:type="dxa"/>
            <w:shd w:val="clear" w:color="auto" w:fill="C6EFCE"/>
            <w:vAlign w:val="bottom"/>
          </w:tcPr>
          <w:p w14:paraId="7F68339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95" w:type="dxa"/>
            <w:shd w:val="clear" w:color="auto" w:fill="C6EFCE"/>
            <w:vAlign w:val="bottom"/>
          </w:tcPr>
          <w:p w14:paraId="5B90ACD4"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0.82</w:t>
            </w:r>
          </w:p>
        </w:tc>
        <w:tc>
          <w:tcPr>
            <w:tcW w:w="595" w:type="dxa"/>
            <w:shd w:val="clear" w:color="auto" w:fill="C6EFCE"/>
            <w:vAlign w:val="bottom"/>
          </w:tcPr>
          <w:p w14:paraId="58433408"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252FE9C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0.96</w:t>
            </w:r>
          </w:p>
        </w:tc>
        <w:tc>
          <w:tcPr>
            <w:tcW w:w="595" w:type="dxa"/>
            <w:shd w:val="clear" w:color="auto" w:fill="C6EFCE"/>
            <w:vAlign w:val="bottom"/>
          </w:tcPr>
          <w:p w14:paraId="3A284D1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0.95</w:t>
            </w:r>
          </w:p>
        </w:tc>
        <w:tc>
          <w:tcPr>
            <w:tcW w:w="595" w:type="dxa"/>
            <w:shd w:val="clear" w:color="auto" w:fill="C6EFCE"/>
            <w:vAlign w:val="bottom"/>
          </w:tcPr>
          <w:p w14:paraId="37221E0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c>
          <w:tcPr>
            <w:tcW w:w="595" w:type="dxa"/>
            <w:shd w:val="clear" w:color="auto" w:fill="C6EFCE"/>
            <w:vAlign w:val="bottom"/>
          </w:tcPr>
          <w:p w14:paraId="32E6047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c>
          <w:tcPr>
            <w:tcW w:w="595" w:type="dxa"/>
            <w:shd w:val="clear" w:color="auto" w:fill="D9D9D9"/>
            <w:vAlign w:val="bottom"/>
          </w:tcPr>
          <w:p w14:paraId="3D467651"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c>
          <w:tcPr>
            <w:tcW w:w="595" w:type="dxa"/>
            <w:shd w:val="clear" w:color="auto" w:fill="C6EFCE"/>
            <w:vAlign w:val="bottom"/>
          </w:tcPr>
          <w:p w14:paraId="5335CB87"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r>
      <w:tr w:rsidR="00A12401" w14:paraId="4F5B2950" w14:textId="77777777">
        <w:trPr>
          <w:trHeight w:val="389"/>
        </w:trPr>
        <w:tc>
          <w:tcPr>
            <w:tcW w:w="1728" w:type="dxa"/>
            <w:shd w:val="clear" w:color="auto" w:fill="C6D9F1"/>
            <w:vAlign w:val="center"/>
          </w:tcPr>
          <w:p w14:paraId="63F80C39"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Q19: Q19 – CSR vs other UK retailers</w:t>
            </w:r>
          </w:p>
        </w:tc>
        <w:tc>
          <w:tcPr>
            <w:tcW w:w="567" w:type="dxa"/>
            <w:shd w:val="clear" w:color="auto" w:fill="C6EFCE"/>
            <w:vAlign w:val="bottom"/>
          </w:tcPr>
          <w:p w14:paraId="3DF9D959"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67" w:type="dxa"/>
            <w:shd w:val="clear" w:color="auto" w:fill="C6EFCE"/>
            <w:vAlign w:val="bottom"/>
          </w:tcPr>
          <w:p w14:paraId="351401BA"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67" w:type="dxa"/>
            <w:shd w:val="clear" w:color="auto" w:fill="C6EFCE"/>
            <w:vAlign w:val="bottom"/>
          </w:tcPr>
          <w:p w14:paraId="5B93009B"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67" w:type="dxa"/>
            <w:shd w:val="clear" w:color="auto" w:fill="C6EFCE"/>
            <w:vAlign w:val="bottom"/>
          </w:tcPr>
          <w:p w14:paraId="318B1174"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95" w:type="dxa"/>
            <w:shd w:val="clear" w:color="auto" w:fill="C6EFCE"/>
            <w:vAlign w:val="bottom"/>
          </w:tcPr>
          <w:p w14:paraId="3F294C22"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c>
          <w:tcPr>
            <w:tcW w:w="595" w:type="dxa"/>
            <w:shd w:val="clear" w:color="auto" w:fill="C6EFCE"/>
            <w:vAlign w:val="bottom"/>
          </w:tcPr>
          <w:p w14:paraId="2E5A88A6"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c>
          <w:tcPr>
            <w:tcW w:w="595" w:type="dxa"/>
            <w:shd w:val="clear" w:color="auto" w:fill="C6EFCE"/>
            <w:vAlign w:val="bottom"/>
          </w:tcPr>
          <w:p w14:paraId="6239090A"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0.91</w:t>
            </w:r>
          </w:p>
        </w:tc>
        <w:tc>
          <w:tcPr>
            <w:tcW w:w="595" w:type="dxa"/>
            <w:shd w:val="clear" w:color="auto" w:fill="C6EFCE"/>
            <w:vAlign w:val="bottom"/>
          </w:tcPr>
          <w:p w14:paraId="411CC270"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0.90</w:t>
            </w:r>
          </w:p>
        </w:tc>
        <w:tc>
          <w:tcPr>
            <w:tcW w:w="595" w:type="dxa"/>
            <w:shd w:val="clear" w:color="auto" w:fill="C6EFCE"/>
            <w:vAlign w:val="bottom"/>
          </w:tcPr>
          <w:p w14:paraId="075C1B8E"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0.93</w:t>
            </w:r>
          </w:p>
        </w:tc>
        <w:tc>
          <w:tcPr>
            <w:tcW w:w="595" w:type="dxa"/>
            <w:shd w:val="clear" w:color="auto" w:fill="C6EFCE"/>
            <w:vAlign w:val="bottom"/>
          </w:tcPr>
          <w:p w14:paraId="7399DA65"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0.92</w:t>
            </w:r>
          </w:p>
        </w:tc>
        <w:tc>
          <w:tcPr>
            <w:tcW w:w="595" w:type="dxa"/>
            <w:shd w:val="clear" w:color="auto" w:fill="C6EFCE"/>
            <w:vAlign w:val="bottom"/>
          </w:tcPr>
          <w:p w14:paraId="705C3D4A"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1.00</w:t>
            </w:r>
          </w:p>
        </w:tc>
        <w:tc>
          <w:tcPr>
            <w:tcW w:w="595" w:type="dxa"/>
            <w:shd w:val="clear" w:color="auto" w:fill="C6EFCE"/>
            <w:vAlign w:val="bottom"/>
          </w:tcPr>
          <w:p w14:paraId="1DA82F9A"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0.98</w:t>
            </w:r>
          </w:p>
        </w:tc>
        <w:tc>
          <w:tcPr>
            <w:tcW w:w="595" w:type="dxa"/>
            <w:shd w:val="clear" w:color="auto" w:fill="C6EFCE"/>
            <w:vAlign w:val="bottom"/>
          </w:tcPr>
          <w:p w14:paraId="5836FA31" w14:textId="77777777" w:rsidR="00A12401" w:rsidRDefault="00A25E1C">
            <w:pPr>
              <w:spacing w:after="0" w:line="240" w:lineRule="auto"/>
              <w:jc w:val="center"/>
              <w:rPr>
                <w:rFonts w:ascii="Arial" w:eastAsia="Arial" w:hAnsi="Arial" w:cs="Arial"/>
                <w:color w:val="006100"/>
                <w:sz w:val="18"/>
                <w:szCs w:val="18"/>
              </w:rPr>
            </w:pPr>
            <w:r>
              <w:rPr>
                <w:rFonts w:ascii="Arial" w:eastAsia="Arial" w:hAnsi="Arial" w:cs="Arial"/>
                <w:color w:val="006100"/>
                <w:sz w:val="18"/>
                <w:szCs w:val="18"/>
              </w:rPr>
              <w:t>0.89</w:t>
            </w:r>
          </w:p>
        </w:tc>
        <w:tc>
          <w:tcPr>
            <w:tcW w:w="595" w:type="dxa"/>
            <w:shd w:val="clear" w:color="auto" w:fill="D9D9D9"/>
            <w:vAlign w:val="bottom"/>
          </w:tcPr>
          <w:p w14:paraId="5028FC12" w14:textId="77777777" w:rsidR="00A12401" w:rsidRDefault="00A25E1C">
            <w:pPr>
              <w:spacing w:after="0" w:line="240" w:lineRule="auto"/>
              <w:jc w:val="center"/>
              <w:rPr>
                <w:rFonts w:ascii="Arial" w:eastAsia="Arial" w:hAnsi="Arial" w:cs="Arial"/>
                <w:b/>
                <w:bCs/>
                <w:sz w:val="18"/>
                <w:szCs w:val="18"/>
              </w:rPr>
            </w:pPr>
            <w:r>
              <w:rPr>
                <w:rFonts w:ascii="Arial" w:eastAsia="Arial" w:hAnsi="Arial" w:cs="Arial"/>
                <w:b/>
                <w:bCs/>
                <w:sz w:val="18"/>
                <w:szCs w:val="18"/>
              </w:rPr>
              <w:t>1.00</w:t>
            </w:r>
          </w:p>
        </w:tc>
      </w:tr>
    </w:tbl>
    <w:p w14:paraId="774CB5AE" w14:textId="77777777" w:rsidR="00A12401" w:rsidRDefault="00A25E1C">
      <w:r>
        <w:tab/>
      </w:r>
      <w:r>
        <w:tab/>
      </w:r>
      <w:r>
        <w:tab/>
      </w:r>
      <w:r>
        <w:tab/>
      </w:r>
      <w:r>
        <w:tab/>
      </w:r>
      <w:r>
        <w:tab/>
      </w:r>
      <w:r>
        <w:tab/>
      </w:r>
      <w:r>
        <w:tab/>
      </w:r>
    </w:p>
    <w:tbl>
      <w:tblPr>
        <w:tblStyle w:val="a6"/>
        <w:tblW w:w="7212" w:type="dxa"/>
        <w:tblInd w:w="0" w:type="dxa"/>
        <w:tblLayout w:type="fixed"/>
        <w:tblLook w:val="0400" w:firstRow="0" w:lastRow="0" w:firstColumn="0" w:lastColumn="0" w:noHBand="0" w:noVBand="1"/>
      </w:tblPr>
      <w:tblGrid>
        <w:gridCol w:w="6212"/>
        <w:gridCol w:w="250"/>
        <w:gridCol w:w="250"/>
        <w:gridCol w:w="250"/>
        <w:gridCol w:w="250"/>
      </w:tblGrid>
      <w:tr w:rsidR="00A12401" w14:paraId="1B524B66" w14:textId="77777777">
        <w:trPr>
          <w:trHeight w:val="300"/>
        </w:trPr>
        <w:tc>
          <w:tcPr>
            <w:tcW w:w="7212" w:type="dxa"/>
            <w:gridSpan w:val="5"/>
            <w:tcBorders>
              <w:top w:val="nil"/>
              <w:left w:val="nil"/>
              <w:bottom w:val="nil"/>
              <w:right w:val="nil"/>
            </w:tcBorders>
            <w:shd w:val="clear" w:color="auto" w:fill="C6D9F1"/>
            <w:vAlign w:val="center"/>
          </w:tcPr>
          <w:p w14:paraId="54E2C953" w14:textId="77777777" w:rsidR="00A12401" w:rsidRDefault="00A25E1C">
            <w:pPr>
              <w:spacing w:after="0" w:line="240" w:lineRule="auto"/>
              <w:jc w:val="center"/>
              <w:rPr>
                <w:rFonts w:ascii="Arial" w:eastAsia="Arial" w:hAnsi="Arial" w:cs="Arial"/>
                <w:b/>
                <w:bCs/>
                <w:sz w:val="20"/>
                <w:szCs w:val="20"/>
              </w:rPr>
            </w:pPr>
            <w:proofErr w:type="spellStart"/>
            <w:r>
              <w:rPr>
                <w:rFonts w:ascii="Arial" w:eastAsia="Arial" w:hAnsi="Arial" w:cs="Arial"/>
                <w:b/>
                <w:bCs/>
                <w:sz w:val="20"/>
                <w:szCs w:val="20"/>
              </w:rPr>
              <w:t>Colour</w:t>
            </w:r>
            <w:proofErr w:type="spellEnd"/>
            <w:r>
              <w:rPr>
                <w:rFonts w:ascii="Arial" w:eastAsia="Arial" w:hAnsi="Arial" w:cs="Arial"/>
                <w:b/>
                <w:bCs/>
                <w:sz w:val="20"/>
                <w:szCs w:val="20"/>
              </w:rPr>
              <w:t xml:space="preserve"> Legend</w:t>
            </w:r>
          </w:p>
        </w:tc>
      </w:tr>
      <w:tr w:rsidR="00A12401" w14:paraId="151D17CA" w14:textId="77777777">
        <w:trPr>
          <w:trHeight w:val="360"/>
        </w:trPr>
        <w:tc>
          <w:tcPr>
            <w:tcW w:w="6324" w:type="dxa"/>
            <w:tcBorders>
              <w:top w:val="nil"/>
              <w:left w:val="nil"/>
              <w:bottom w:val="nil"/>
              <w:right w:val="nil"/>
            </w:tcBorders>
            <w:shd w:val="clear" w:color="auto" w:fill="C6EFCE"/>
            <w:vAlign w:val="bottom"/>
          </w:tcPr>
          <w:p w14:paraId="3F233E27" w14:textId="77777777" w:rsidR="00A12401" w:rsidRDefault="00A25E1C">
            <w:pPr>
              <w:spacing w:after="0" w:line="240" w:lineRule="auto"/>
              <w:jc w:val="left"/>
              <w:rPr>
                <w:rFonts w:ascii="Arial" w:eastAsia="Arial" w:hAnsi="Arial" w:cs="Arial"/>
                <w:color w:val="006100"/>
                <w:sz w:val="20"/>
                <w:szCs w:val="20"/>
              </w:rPr>
            </w:pPr>
            <w:r>
              <w:rPr>
                <w:rFonts w:ascii="Arial" w:eastAsia="Arial" w:hAnsi="Arial" w:cs="Arial"/>
                <w:color w:val="006100"/>
                <w:sz w:val="20"/>
                <w:szCs w:val="20"/>
              </w:rPr>
              <w:t>Strong positive (r ≥ 0.5)</w:t>
            </w:r>
          </w:p>
        </w:tc>
        <w:tc>
          <w:tcPr>
            <w:tcW w:w="222" w:type="dxa"/>
            <w:tcBorders>
              <w:top w:val="nil"/>
              <w:left w:val="nil"/>
              <w:bottom w:val="nil"/>
              <w:right w:val="nil"/>
            </w:tcBorders>
            <w:vAlign w:val="bottom"/>
          </w:tcPr>
          <w:p w14:paraId="46143D8D" w14:textId="77777777" w:rsidR="00A12401" w:rsidRDefault="00A12401">
            <w:pPr>
              <w:spacing w:after="0" w:line="240" w:lineRule="auto"/>
              <w:jc w:val="left"/>
              <w:rPr>
                <w:rFonts w:ascii="Arial" w:eastAsia="Arial" w:hAnsi="Arial" w:cs="Arial"/>
                <w:color w:val="006100"/>
                <w:sz w:val="20"/>
                <w:szCs w:val="20"/>
              </w:rPr>
            </w:pPr>
          </w:p>
        </w:tc>
        <w:tc>
          <w:tcPr>
            <w:tcW w:w="222" w:type="dxa"/>
            <w:tcBorders>
              <w:top w:val="nil"/>
              <w:left w:val="nil"/>
              <w:bottom w:val="nil"/>
              <w:right w:val="nil"/>
            </w:tcBorders>
            <w:vAlign w:val="bottom"/>
          </w:tcPr>
          <w:p w14:paraId="118A2CD5" w14:textId="77777777" w:rsidR="00A12401" w:rsidRDefault="00A12401">
            <w:pPr>
              <w:spacing w:after="0" w:line="240" w:lineRule="auto"/>
              <w:jc w:val="left"/>
              <w:rPr>
                <w:sz w:val="20"/>
                <w:szCs w:val="20"/>
              </w:rPr>
            </w:pPr>
          </w:p>
        </w:tc>
        <w:tc>
          <w:tcPr>
            <w:tcW w:w="222" w:type="dxa"/>
            <w:tcBorders>
              <w:top w:val="nil"/>
              <w:left w:val="nil"/>
              <w:bottom w:val="nil"/>
              <w:right w:val="nil"/>
            </w:tcBorders>
            <w:vAlign w:val="bottom"/>
          </w:tcPr>
          <w:p w14:paraId="7CE69C5A" w14:textId="77777777" w:rsidR="00A12401" w:rsidRDefault="00A12401">
            <w:pPr>
              <w:spacing w:after="0" w:line="240" w:lineRule="auto"/>
              <w:jc w:val="left"/>
              <w:rPr>
                <w:sz w:val="20"/>
                <w:szCs w:val="20"/>
              </w:rPr>
            </w:pPr>
          </w:p>
        </w:tc>
        <w:tc>
          <w:tcPr>
            <w:tcW w:w="222" w:type="dxa"/>
            <w:tcBorders>
              <w:top w:val="nil"/>
              <w:left w:val="nil"/>
              <w:bottom w:val="nil"/>
              <w:right w:val="nil"/>
            </w:tcBorders>
            <w:vAlign w:val="bottom"/>
          </w:tcPr>
          <w:p w14:paraId="360912A5" w14:textId="77777777" w:rsidR="00A12401" w:rsidRDefault="00A12401">
            <w:pPr>
              <w:spacing w:after="0" w:line="240" w:lineRule="auto"/>
              <w:jc w:val="left"/>
              <w:rPr>
                <w:sz w:val="20"/>
                <w:szCs w:val="20"/>
              </w:rPr>
            </w:pPr>
          </w:p>
        </w:tc>
      </w:tr>
      <w:tr w:rsidR="00A12401" w14:paraId="4649646C" w14:textId="77777777">
        <w:trPr>
          <w:trHeight w:val="360"/>
        </w:trPr>
        <w:tc>
          <w:tcPr>
            <w:tcW w:w="6324" w:type="dxa"/>
            <w:tcBorders>
              <w:top w:val="nil"/>
              <w:left w:val="nil"/>
              <w:bottom w:val="nil"/>
              <w:right w:val="nil"/>
            </w:tcBorders>
            <w:shd w:val="clear" w:color="auto" w:fill="FFEB9C"/>
            <w:vAlign w:val="bottom"/>
          </w:tcPr>
          <w:p w14:paraId="18265DAD" w14:textId="77777777" w:rsidR="00A12401" w:rsidRDefault="00A25E1C">
            <w:pPr>
              <w:spacing w:after="0" w:line="240" w:lineRule="auto"/>
              <w:jc w:val="left"/>
              <w:rPr>
                <w:rFonts w:ascii="Arial" w:eastAsia="Arial" w:hAnsi="Arial" w:cs="Arial"/>
                <w:color w:val="9C5700"/>
                <w:sz w:val="20"/>
                <w:szCs w:val="20"/>
              </w:rPr>
            </w:pPr>
            <w:r>
              <w:rPr>
                <w:rFonts w:ascii="Arial" w:eastAsia="Arial" w:hAnsi="Arial" w:cs="Arial"/>
                <w:color w:val="9C5700"/>
                <w:sz w:val="20"/>
                <w:szCs w:val="20"/>
              </w:rPr>
              <w:t>Moderate positive (0.3 ≤ r &lt; 0.5)</w:t>
            </w:r>
          </w:p>
        </w:tc>
        <w:tc>
          <w:tcPr>
            <w:tcW w:w="222" w:type="dxa"/>
            <w:tcBorders>
              <w:top w:val="nil"/>
              <w:left w:val="nil"/>
              <w:bottom w:val="nil"/>
              <w:right w:val="nil"/>
            </w:tcBorders>
            <w:vAlign w:val="bottom"/>
          </w:tcPr>
          <w:p w14:paraId="12E47FA8" w14:textId="77777777" w:rsidR="00A12401" w:rsidRDefault="00A12401">
            <w:pPr>
              <w:spacing w:after="0" w:line="240" w:lineRule="auto"/>
              <w:jc w:val="left"/>
              <w:rPr>
                <w:rFonts w:ascii="Arial" w:eastAsia="Arial" w:hAnsi="Arial" w:cs="Arial"/>
                <w:color w:val="9C5700"/>
                <w:sz w:val="20"/>
                <w:szCs w:val="20"/>
              </w:rPr>
            </w:pPr>
          </w:p>
        </w:tc>
        <w:tc>
          <w:tcPr>
            <w:tcW w:w="222" w:type="dxa"/>
            <w:tcBorders>
              <w:top w:val="nil"/>
              <w:left w:val="nil"/>
              <w:bottom w:val="nil"/>
              <w:right w:val="nil"/>
            </w:tcBorders>
            <w:vAlign w:val="bottom"/>
          </w:tcPr>
          <w:p w14:paraId="63020049" w14:textId="77777777" w:rsidR="00A12401" w:rsidRDefault="00A12401">
            <w:pPr>
              <w:spacing w:after="0" w:line="240" w:lineRule="auto"/>
              <w:jc w:val="left"/>
              <w:rPr>
                <w:sz w:val="20"/>
                <w:szCs w:val="20"/>
              </w:rPr>
            </w:pPr>
          </w:p>
        </w:tc>
        <w:tc>
          <w:tcPr>
            <w:tcW w:w="222" w:type="dxa"/>
            <w:tcBorders>
              <w:top w:val="nil"/>
              <w:left w:val="nil"/>
              <w:bottom w:val="nil"/>
              <w:right w:val="nil"/>
            </w:tcBorders>
            <w:vAlign w:val="bottom"/>
          </w:tcPr>
          <w:p w14:paraId="5ED1C975" w14:textId="77777777" w:rsidR="00A12401" w:rsidRDefault="00A12401">
            <w:pPr>
              <w:spacing w:after="0" w:line="240" w:lineRule="auto"/>
              <w:jc w:val="left"/>
              <w:rPr>
                <w:sz w:val="20"/>
                <w:szCs w:val="20"/>
              </w:rPr>
            </w:pPr>
          </w:p>
        </w:tc>
        <w:tc>
          <w:tcPr>
            <w:tcW w:w="222" w:type="dxa"/>
            <w:tcBorders>
              <w:top w:val="nil"/>
              <w:left w:val="nil"/>
              <w:bottom w:val="nil"/>
              <w:right w:val="nil"/>
            </w:tcBorders>
            <w:vAlign w:val="bottom"/>
          </w:tcPr>
          <w:p w14:paraId="312A7EA6" w14:textId="77777777" w:rsidR="00A12401" w:rsidRDefault="00A12401">
            <w:pPr>
              <w:spacing w:after="0" w:line="240" w:lineRule="auto"/>
              <w:jc w:val="left"/>
              <w:rPr>
                <w:sz w:val="20"/>
                <w:szCs w:val="20"/>
              </w:rPr>
            </w:pPr>
          </w:p>
        </w:tc>
      </w:tr>
      <w:tr w:rsidR="00A12401" w14:paraId="6C59E2B5" w14:textId="77777777">
        <w:trPr>
          <w:trHeight w:val="360"/>
        </w:trPr>
        <w:tc>
          <w:tcPr>
            <w:tcW w:w="6324" w:type="dxa"/>
            <w:tcBorders>
              <w:top w:val="nil"/>
              <w:left w:val="nil"/>
              <w:bottom w:val="nil"/>
              <w:right w:val="nil"/>
            </w:tcBorders>
            <w:shd w:val="clear" w:color="auto" w:fill="FFFFFF"/>
            <w:vAlign w:val="bottom"/>
          </w:tcPr>
          <w:p w14:paraId="089E4CF8" w14:textId="77777777" w:rsidR="00A12401" w:rsidRDefault="00A25E1C">
            <w:pPr>
              <w:spacing w:after="0" w:line="240" w:lineRule="auto"/>
              <w:jc w:val="left"/>
              <w:rPr>
                <w:rFonts w:ascii="Arial" w:eastAsia="Arial" w:hAnsi="Arial" w:cs="Arial"/>
                <w:color w:val="000000"/>
                <w:sz w:val="20"/>
                <w:szCs w:val="20"/>
              </w:rPr>
            </w:pPr>
            <w:r>
              <w:rPr>
                <w:rFonts w:ascii="Arial" w:eastAsia="Arial" w:hAnsi="Arial" w:cs="Arial"/>
                <w:color w:val="000000"/>
                <w:sz w:val="20"/>
                <w:szCs w:val="20"/>
              </w:rPr>
              <w:t>Weak / no association (|r| &lt; 0.3)</w:t>
            </w:r>
          </w:p>
        </w:tc>
        <w:tc>
          <w:tcPr>
            <w:tcW w:w="222" w:type="dxa"/>
            <w:tcBorders>
              <w:top w:val="nil"/>
              <w:left w:val="nil"/>
              <w:bottom w:val="nil"/>
              <w:right w:val="nil"/>
            </w:tcBorders>
            <w:vAlign w:val="bottom"/>
          </w:tcPr>
          <w:p w14:paraId="3BFB6F61" w14:textId="77777777" w:rsidR="00A12401" w:rsidRDefault="00A12401">
            <w:pPr>
              <w:spacing w:after="0" w:line="240" w:lineRule="auto"/>
              <w:jc w:val="left"/>
              <w:rPr>
                <w:rFonts w:ascii="Arial" w:eastAsia="Arial" w:hAnsi="Arial" w:cs="Arial"/>
                <w:color w:val="000000"/>
                <w:sz w:val="20"/>
                <w:szCs w:val="20"/>
              </w:rPr>
            </w:pPr>
          </w:p>
        </w:tc>
        <w:tc>
          <w:tcPr>
            <w:tcW w:w="222" w:type="dxa"/>
            <w:tcBorders>
              <w:top w:val="nil"/>
              <w:left w:val="nil"/>
              <w:bottom w:val="nil"/>
              <w:right w:val="nil"/>
            </w:tcBorders>
            <w:vAlign w:val="bottom"/>
          </w:tcPr>
          <w:p w14:paraId="37ECB94D" w14:textId="77777777" w:rsidR="00A12401" w:rsidRDefault="00A12401">
            <w:pPr>
              <w:spacing w:after="0" w:line="240" w:lineRule="auto"/>
              <w:jc w:val="left"/>
              <w:rPr>
                <w:sz w:val="20"/>
                <w:szCs w:val="20"/>
              </w:rPr>
            </w:pPr>
          </w:p>
        </w:tc>
        <w:tc>
          <w:tcPr>
            <w:tcW w:w="222" w:type="dxa"/>
            <w:tcBorders>
              <w:top w:val="nil"/>
              <w:left w:val="nil"/>
              <w:bottom w:val="nil"/>
              <w:right w:val="nil"/>
            </w:tcBorders>
            <w:vAlign w:val="bottom"/>
          </w:tcPr>
          <w:p w14:paraId="0F8D8961" w14:textId="77777777" w:rsidR="00A12401" w:rsidRDefault="00A12401">
            <w:pPr>
              <w:spacing w:after="0" w:line="240" w:lineRule="auto"/>
              <w:jc w:val="left"/>
              <w:rPr>
                <w:sz w:val="20"/>
                <w:szCs w:val="20"/>
              </w:rPr>
            </w:pPr>
          </w:p>
        </w:tc>
        <w:tc>
          <w:tcPr>
            <w:tcW w:w="222" w:type="dxa"/>
            <w:tcBorders>
              <w:top w:val="nil"/>
              <w:left w:val="nil"/>
              <w:bottom w:val="nil"/>
              <w:right w:val="nil"/>
            </w:tcBorders>
            <w:vAlign w:val="bottom"/>
          </w:tcPr>
          <w:p w14:paraId="43DC0FE0" w14:textId="77777777" w:rsidR="00A12401" w:rsidRDefault="00A12401">
            <w:pPr>
              <w:spacing w:after="0" w:line="240" w:lineRule="auto"/>
              <w:jc w:val="left"/>
              <w:rPr>
                <w:sz w:val="20"/>
                <w:szCs w:val="20"/>
              </w:rPr>
            </w:pPr>
          </w:p>
        </w:tc>
      </w:tr>
      <w:tr w:rsidR="00A12401" w14:paraId="4E64F767" w14:textId="77777777">
        <w:trPr>
          <w:trHeight w:val="360"/>
        </w:trPr>
        <w:tc>
          <w:tcPr>
            <w:tcW w:w="6324" w:type="dxa"/>
            <w:tcBorders>
              <w:top w:val="nil"/>
              <w:left w:val="nil"/>
              <w:bottom w:val="nil"/>
              <w:right w:val="nil"/>
            </w:tcBorders>
            <w:shd w:val="clear" w:color="auto" w:fill="FFC7CE"/>
            <w:vAlign w:val="bottom"/>
          </w:tcPr>
          <w:p w14:paraId="4F5B2DE4" w14:textId="77777777" w:rsidR="00A12401" w:rsidRDefault="00A25E1C">
            <w:pPr>
              <w:spacing w:after="0" w:line="240" w:lineRule="auto"/>
              <w:jc w:val="left"/>
              <w:rPr>
                <w:rFonts w:ascii="Arial" w:eastAsia="Arial" w:hAnsi="Arial" w:cs="Arial"/>
                <w:color w:val="9C0006"/>
                <w:sz w:val="20"/>
                <w:szCs w:val="20"/>
              </w:rPr>
            </w:pPr>
            <w:r>
              <w:rPr>
                <w:rFonts w:ascii="Arial" w:eastAsia="Arial" w:hAnsi="Arial" w:cs="Arial"/>
                <w:color w:val="9C0006"/>
                <w:sz w:val="20"/>
                <w:szCs w:val="20"/>
              </w:rPr>
              <w:t>Negative association (r &lt; -0.3)</w:t>
            </w:r>
          </w:p>
        </w:tc>
        <w:tc>
          <w:tcPr>
            <w:tcW w:w="222" w:type="dxa"/>
            <w:tcBorders>
              <w:top w:val="nil"/>
              <w:left w:val="nil"/>
              <w:bottom w:val="nil"/>
              <w:right w:val="nil"/>
            </w:tcBorders>
            <w:vAlign w:val="bottom"/>
          </w:tcPr>
          <w:p w14:paraId="77FC72A5" w14:textId="77777777" w:rsidR="00A12401" w:rsidRDefault="00A12401">
            <w:pPr>
              <w:spacing w:after="0" w:line="240" w:lineRule="auto"/>
              <w:jc w:val="left"/>
              <w:rPr>
                <w:rFonts w:ascii="Arial" w:eastAsia="Arial" w:hAnsi="Arial" w:cs="Arial"/>
                <w:color w:val="9C0006"/>
                <w:sz w:val="20"/>
                <w:szCs w:val="20"/>
              </w:rPr>
            </w:pPr>
          </w:p>
        </w:tc>
        <w:tc>
          <w:tcPr>
            <w:tcW w:w="222" w:type="dxa"/>
            <w:tcBorders>
              <w:top w:val="nil"/>
              <w:left w:val="nil"/>
              <w:bottom w:val="nil"/>
              <w:right w:val="nil"/>
            </w:tcBorders>
            <w:vAlign w:val="bottom"/>
          </w:tcPr>
          <w:p w14:paraId="2AC71695" w14:textId="77777777" w:rsidR="00A12401" w:rsidRDefault="00A12401">
            <w:pPr>
              <w:spacing w:after="0" w:line="240" w:lineRule="auto"/>
              <w:jc w:val="left"/>
              <w:rPr>
                <w:sz w:val="20"/>
                <w:szCs w:val="20"/>
              </w:rPr>
            </w:pPr>
          </w:p>
        </w:tc>
        <w:tc>
          <w:tcPr>
            <w:tcW w:w="222" w:type="dxa"/>
            <w:tcBorders>
              <w:top w:val="nil"/>
              <w:left w:val="nil"/>
              <w:bottom w:val="nil"/>
              <w:right w:val="nil"/>
            </w:tcBorders>
            <w:vAlign w:val="bottom"/>
          </w:tcPr>
          <w:p w14:paraId="32BA28AC" w14:textId="77777777" w:rsidR="00A12401" w:rsidRDefault="00A12401">
            <w:pPr>
              <w:spacing w:after="0" w:line="240" w:lineRule="auto"/>
              <w:jc w:val="left"/>
              <w:rPr>
                <w:sz w:val="20"/>
                <w:szCs w:val="20"/>
              </w:rPr>
            </w:pPr>
          </w:p>
        </w:tc>
        <w:tc>
          <w:tcPr>
            <w:tcW w:w="222" w:type="dxa"/>
            <w:tcBorders>
              <w:top w:val="nil"/>
              <w:left w:val="nil"/>
              <w:bottom w:val="nil"/>
              <w:right w:val="nil"/>
            </w:tcBorders>
            <w:vAlign w:val="bottom"/>
          </w:tcPr>
          <w:p w14:paraId="2AB72075" w14:textId="77777777" w:rsidR="00A12401" w:rsidRDefault="00A12401">
            <w:pPr>
              <w:spacing w:after="0" w:line="240" w:lineRule="auto"/>
              <w:jc w:val="left"/>
              <w:rPr>
                <w:sz w:val="20"/>
                <w:szCs w:val="20"/>
              </w:rPr>
            </w:pPr>
          </w:p>
        </w:tc>
      </w:tr>
      <w:tr w:rsidR="00A12401" w14:paraId="0B7D0C2A" w14:textId="77777777">
        <w:trPr>
          <w:trHeight w:val="360"/>
        </w:trPr>
        <w:tc>
          <w:tcPr>
            <w:tcW w:w="6324" w:type="dxa"/>
            <w:tcBorders>
              <w:top w:val="nil"/>
              <w:left w:val="nil"/>
              <w:bottom w:val="nil"/>
              <w:right w:val="nil"/>
            </w:tcBorders>
            <w:shd w:val="clear" w:color="auto" w:fill="D9D9D9"/>
            <w:vAlign w:val="bottom"/>
          </w:tcPr>
          <w:p w14:paraId="12740E86" w14:textId="77777777" w:rsidR="00A12401" w:rsidRDefault="00A25E1C">
            <w:pPr>
              <w:spacing w:after="0" w:line="240" w:lineRule="auto"/>
              <w:jc w:val="left"/>
              <w:rPr>
                <w:rFonts w:ascii="Arial" w:eastAsia="Arial" w:hAnsi="Arial" w:cs="Arial"/>
                <w:color w:val="000000"/>
                <w:sz w:val="20"/>
                <w:szCs w:val="20"/>
              </w:rPr>
            </w:pPr>
            <w:r>
              <w:rPr>
                <w:rFonts w:ascii="Arial" w:eastAsia="Arial" w:hAnsi="Arial" w:cs="Arial"/>
                <w:color w:val="000000"/>
                <w:sz w:val="20"/>
                <w:szCs w:val="20"/>
              </w:rPr>
              <w:t>Self-correlation (r = 1.00)</w:t>
            </w:r>
          </w:p>
        </w:tc>
        <w:tc>
          <w:tcPr>
            <w:tcW w:w="222" w:type="dxa"/>
            <w:tcBorders>
              <w:top w:val="nil"/>
              <w:left w:val="nil"/>
              <w:bottom w:val="nil"/>
              <w:right w:val="nil"/>
            </w:tcBorders>
            <w:vAlign w:val="bottom"/>
          </w:tcPr>
          <w:p w14:paraId="095DF7EF" w14:textId="77777777" w:rsidR="00A12401" w:rsidRDefault="00A12401">
            <w:pPr>
              <w:spacing w:after="0" w:line="240" w:lineRule="auto"/>
              <w:jc w:val="left"/>
              <w:rPr>
                <w:rFonts w:ascii="Arial" w:eastAsia="Arial" w:hAnsi="Arial" w:cs="Arial"/>
                <w:color w:val="000000"/>
                <w:sz w:val="20"/>
                <w:szCs w:val="20"/>
              </w:rPr>
            </w:pPr>
          </w:p>
        </w:tc>
        <w:tc>
          <w:tcPr>
            <w:tcW w:w="222" w:type="dxa"/>
            <w:tcBorders>
              <w:top w:val="nil"/>
              <w:left w:val="nil"/>
              <w:bottom w:val="nil"/>
              <w:right w:val="nil"/>
            </w:tcBorders>
            <w:vAlign w:val="bottom"/>
          </w:tcPr>
          <w:p w14:paraId="74FD49B6" w14:textId="77777777" w:rsidR="00A12401" w:rsidRDefault="00A12401">
            <w:pPr>
              <w:spacing w:after="0" w:line="240" w:lineRule="auto"/>
              <w:jc w:val="left"/>
              <w:rPr>
                <w:sz w:val="20"/>
                <w:szCs w:val="20"/>
              </w:rPr>
            </w:pPr>
          </w:p>
        </w:tc>
        <w:tc>
          <w:tcPr>
            <w:tcW w:w="222" w:type="dxa"/>
            <w:tcBorders>
              <w:top w:val="nil"/>
              <w:left w:val="nil"/>
              <w:bottom w:val="nil"/>
              <w:right w:val="nil"/>
            </w:tcBorders>
            <w:vAlign w:val="bottom"/>
          </w:tcPr>
          <w:p w14:paraId="3401CCAB" w14:textId="77777777" w:rsidR="00A12401" w:rsidRDefault="00A12401">
            <w:pPr>
              <w:spacing w:after="0" w:line="240" w:lineRule="auto"/>
              <w:jc w:val="left"/>
              <w:rPr>
                <w:sz w:val="20"/>
                <w:szCs w:val="20"/>
              </w:rPr>
            </w:pPr>
          </w:p>
        </w:tc>
        <w:tc>
          <w:tcPr>
            <w:tcW w:w="222" w:type="dxa"/>
            <w:tcBorders>
              <w:top w:val="nil"/>
              <w:left w:val="nil"/>
              <w:bottom w:val="nil"/>
              <w:right w:val="nil"/>
            </w:tcBorders>
            <w:vAlign w:val="bottom"/>
          </w:tcPr>
          <w:p w14:paraId="44159835" w14:textId="77777777" w:rsidR="00A12401" w:rsidRDefault="00A12401">
            <w:pPr>
              <w:spacing w:after="0" w:line="240" w:lineRule="auto"/>
              <w:jc w:val="left"/>
              <w:rPr>
                <w:sz w:val="20"/>
                <w:szCs w:val="20"/>
              </w:rPr>
            </w:pPr>
          </w:p>
        </w:tc>
      </w:tr>
    </w:tbl>
    <w:p w14:paraId="574851BE" w14:textId="77777777" w:rsidR="00A12401" w:rsidRDefault="00A12401"/>
    <w:p w14:paraId="0C74BF7E" w14:textId="77777777" w:rsidR="00A12401" w:rsidRDefault="00A25E1C">
      <w:pPr>
        <w:rPr>
          <w:b/>
          <w:bCs/>
        </w:rPr>
      </w:pPr>
      <w:r>
        <w:rPr>
          <w:b/>
          <w:bCs/>
        </w:rPr>
        <w:t>Interpretation</w:t>
      </w:r>
    </w:p>
    <w:p w14:paraId="75E2F39A" w14:textId="77777777" w:rsidR="00A12401" w:rsidRDefault="00A25E1C">
      <w:r>
        <w:t>The Pearson correlation matrix reveals that all variables related to CSRs are positively correlated and have a very high correlation coefficient ranging from 0.82 to 1.00. CSR awareness was most highly correlated with environmental sustainability, ethical business behavior, and various measures of consumer outcomes (coefficients from 0.97 to 1.00). strong correlation was found between community support and CSR communication (r = 0.98) and community support and positive brand perception (r = 0.98). The relat</w:t>
      </w:r>
      <w:r>
        <w:t xml:space="preserve">ionships of trust from CSR with loyalty and shopping preference was high, which stood respectively at 0.98 and 0.97. The conclusions from these findings must be viewed with some caution, however, as only 20 responses contributed to the analyses. These low numbers may result in overestimation of correlation and restrict the </w:t>
      </w:r>
      <w:proofErr w:type="spellStart"/>
      <w:r>
        <w:t>generalisation</w:t>
      </w:r>
      <w:proofErr w:type="spellEnd"/>
      <w:r>
        <w:t xml:space="preserve"> of the results in terms of statistics.</w:t>
      </w:r>
    </w:p>
    <w:p w14:paraId="1EA848F1" w14:textId="77777777" w:rsidR="00A12401" w:rsidRDefault="00A25E1C">
      <w:pPr>
        <w:pStyle w:val="Heading2"/>
      </w:pPr>
      <w:bookmarkStart w:id="59" w:name="_704xy1y3jo1r" w:colFirst="0" w:colLast="0"/>
      <w:bookmarkEnd w:id="59"/>
      <w:r>
        <w:t>4.7 Key Findings Linked to Research Objectives</w:t>
      </w:r>
    </w:p>
    <w:tbl>
      <w:tblPr>
        <w:tblStyle w:val="a7"/>
        <w:tblW w:w="9274" w:type="dxa"/>
        <w:tblInd w:w="0" w:type="dxa"/>
        <w:tblLayout w:type="fixed"/>
        <w:tblLook w:val="0400" w:firstRow="0" w:lastRow="0" w:firstColumn="0" w:lastColumn="0" w:noHBand="0" w:noVBand="1"/>
      </w:tblPr>
      <w:tblGrid>
        <w:gridCol w:w="2065"/>
        <w:gridCol w:w="2572"/>
        <w:gridCol w:w="2288"/>
        <w:gridCol w:w="2349"/>
      </w:tblGrid>
      <w:tr w:rsidR="00A12401" w14:paraId="42EABCEB" w14:textId="77777777">
        <w:trPr>
          <w:trHeight w:val="445"/>
        </w:trPr>
        <w:tc>
          <w:tcPr>
            <w:tcW w:w="2065" w:type="dxa"/>
            <w:tcBorders>
              <w:top w:val="single" w:sz="4" w:space="0" w:color="AAAAAA"/>
              <w:left w:val="single" w:sz="4" w:space="0" w:color="AAAAAA"/>
              <w:bottom w:val="single" w:sz="4" w:space="0" w:color="AAAAAA"/>
              <w:right w:val="single" w:sz="4" w:space="0" w:color="AAAAAA"/>
            </w:tcBorders>
            <w:shd w:val="clear" w:color="auto" w:fill="C6D9F1"/>
            <w:vAlign w:val="center"/>
          </w:tcPr>
          <w:p w14:paraId="390311E7"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Objective</w:t>
            </w:r>
          </w:p>
        </w:tc>
        <w:tc>
          <w:tcPr>
            <w:tcW w:w="2572" w:type="dxa"/>
            <w:tcBorders>
              <w:top w:val="single" w:sz="4" w:space="0" w:color="AAAAAA"/>
              <w:left w:val="nil"/>
              <w:bottom w:val="single" w:sz="4" w:space="0" w:color="AAAAAA"/>
              <w:right w:val="single" w:sz="4" w:space="0" w:color="AAAAAA"/>
            </w:tcBorders>
            <w:shd w:val="clear" w:color="auto" w:fill="C6D9F1"/>
            <w:vAlign w:val="center"/>
          </w:tcPr>
          <w:p w14:paraId="45D2A847"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Key Finding</w:t>
            </w:r>
          </w:p>
        </w:tc>
        <w:tc>
          <w:tcPr>
            <w:tcW w:w="2288" w:type="dxa"/>
            <w:tcBorders>
              <w:top w:val="single" w:sz="4" w:space="0" w:color="AAAAAA"/>
              <w:left w:val="nil"/>
              <w:bottom w:val="single" w:sz="4" w:space="0" w:color="AAAAAA"/>
              <w:right w:val="single" w:sz="4" w:space="0" w:color="AAAAAA"/>
            </w:tcBorders>
            <w:shd w:val="clear" w:color="auto" w:fill="C6D9F1"/>
            <w:vAlign w:val="center"/>
          </w:tcPr>
          <w:p w14:paraId="3D8E9212"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Supporting Data</w:t>
            </w:r>
          </w:p>
        </w:tc>
        <w:tc>
          <w:tcPr>
            <w:tcW w:w="2349" w:type="dxa"/>
            <w:tcBorders>
              <w:top w:val="single" w:sz="4" w:space="0" w:color="AAAAAA"/>
              <w:left w:val="nil"/>
              <w:bottom w:val="single" w:sz="4" w:space="0" w:color="AAAAAA"/>
              <w:right w:val="single" w:sz="4" w:space="0" w:color="AAAAAA"/>
            </w:tcBorders>
            <w:shd w:val="clear" w:color="auto" w:fill="C6D9F1"/>
            <w:vAlign w:val="center"/>
          </w:tcPr>
          <w:p w14:paraId="2186940F" w14:textId="77777777" w:rsidR="00A12401" w:rsidRDefault="00A25E1C">
            <w:pPr>
              <w:spacing w:after="0" w:line="240" w:lineRule="auto"/>
              <w:jc w:val="center"/>
              <w:rPr>
                <w:rFonts w:ascii="Arial" w:eastAsia="Arial" w:hAnsi="Arial" w:cs="Arial"/>
                <w:b/>
                <w:bCs/>
                <w:sz w:val="20"/>
                <w:szCs w:val="20"/>
              </w:rPr>
            </w:pPr>
            <w:r>
              <w:rPr>
                <w:rFonts w:ascii="Arial" w:eastAsia="Arial" w:hAnsi="Arial" w:cs="Arial"/>
                <w:b/>
                <w:bCs/>
                <w:sz w:val="20"/>
                <w:szCs w:val="20"/>
              </w:rPr>
              <w:t>Statistical Evidence</w:t>
            </w:r>
          </w:p>
        </w:tc>
      </w:tr>
      <w:tr w:rsidR="00A12401" w14:paraId="51084301" w14:textId="77777777">
        <w:trPr>
          <w:trHeight w:val="1626"/>
        </w:trPr>
        <w:tc>
          <w:tcPr>
            <w:tcW w:w="2065" w:type="dxa"/>
            <w:tcBorders>
              <w:top w:val="nil"/>
              <w:left w:val="single" w:sz="4" w:space="0" w:color="AAAAAA"/>
              <w:bottom w:val="single" w:sz="4" w:space="0" w:color="AAAAAA"/>
              <w:right w:val="single" w:sz="4" w:space="0" w:color="AAAAAA"/>
            </w:tcBorders>
            <w:shd w:val="clear" w:color="auto" w:fill="EBF3FB"/>
          </w:tcPr>
          <w:p w14:paraId="425E696C" w14:textId="77777777" w:rsidR="00A12401" w:rsidRDefault="00A25E1C">
            <w:pPr>
              <w:spacing w:after="0" w:line="240" w:lineRule="auto"/>
              <w:jc w:val="left"/>
              <w:rPr>
                <w:rFonts w:ascii="Arial" w:eastAsia="Arial" w:hAnsi="Arial" w:cs="Arial"/>
                <w:b/>
                <w:bCs/>
                <w:sz w:val="18"/>
                <w:szCs w:val="18"/>
              </w:rPr>
            </w:pPr>
            <w:r>
              <w:rPr>
                <w:rFonts w:ascii="Arial" w:eastAsia="Arial" w:hAnsi="Arial" w:cs="Arial"/>
                <w:b/>
                <w:bCs/>
                <w:sz w:val="18"/>
                <w:szCs w:val="18"/>
              </w:rPr>
              <w:t>Obj 1: Identify main CSR marketing activities used by Tesco</w:t>
            </w:r>
          </w:p>
        </w:tc>
        <w:tc>
          <w:tcPr>
            <w:tcW w:w="2572" w:type="dxa"/>
            <w:tcBorders>
              <w:top w:val="nil"/>
              <w:left w:val="nil"/>
              <w:bottom w:val="single" w:sz="4" w:space="0" w:color="AAAAAA"/>
              <w:right w:val="single" w:sz="4" w:space="0" w:color="AAAAAA"/>
            </w:tcBorders>
            <w:shd w:val="clear" w:color="auto" w:fill="EBF3FB"/>
          </w:tcPr>
          <w:p w14:paraId="3AFF3D36" w14:textId="77777777" w:rsidR="00A12401" w:rsidRDefault="00A25E1C">
            <w:pPr>
              <w:spacing w:after="0" w:line="240" w:lineRule="auto"/>
              <w:jc w:val="left"/>
              <w:rPr>
                <w:rFonts w:ascii="Arial" w:eastAsia="Arial" w:hAnsi="Arial" w:cs="Arial"/>
                <w:sz w:val="18"/>
                <w:szCs w:val="18"/>
              </w:rPr>
            </w:pPr>
            <w:r>
              <w:rPr>
                <w:rFonts w:ascii="Arial" w:eastAsia="Arial" w:hAnsi="Arial" w:cs="Arial"/>
                <w:sz w:val="18"/>
                <w:szCs w:val="18"/>
              </w:rPr>
              <w:t>Environmental Sustainability is the dominant CSR activity (47% influence). Social media is the primary awareness channel (68%).</w:t>
            </w:r>
          </w:p>
        </w:tc>
        <w:tc>
          <w:tcPr>
            <w:tcW w:w="2288" w:type="dxa"/>
            <w:tcBorders>
              <w:top w:val="nil"/>
              <w:left w:val="nil"/>
              <w:bottom w:val="single" w:sz="4" w:space="0" w:color="AAAAAA"/>
              <w:right w:val="single" w:sz="4" w:space="0" w:color="AAAAAA"/>
            </w:tcBorders>
            <w:shd w:val="clear" w:color="auto" w:fill="EBF3FB"/>
          </w:tcPr>
          <w:p w14:paraId="6CDC0673" w14:textId="77777777" w:rsidR="00A12401" w:rsidRDefault="00A25E1C">
            <w:pPr>
              <w:spacing w:after="0" w:line="240" w:lineRule="auto"/>
              <w:jc w:val="left"/>
              <w:rPr>
                <w:rFonts w:ascii="Arial" w:eastAsia="Arial" w:hAnsi="Arial" w:cs="Arial"/>
                <w:sz w:val="18"/>
                <w:szCs w:val="18"/>
              </w:rPr>
            </w:pPr>
            <w:r>
              <w:rPr>
                <w:rFonts w:ascii="Arial" w:eastAsia="Arial" w:hAnsi="Arial" w:cs="Arial"/>
                <w:sz w:val="18"/>
                <w:szCs w:val="18"/>
              </w:rPr>
              <w:t>Q5: Social media 68%; Q20: Env. Sustainability 47%; Q4: 65% aware of CSR</w:t>
            </w:r>
          </w:p>
        </w:tc>
        <w:tc>
          <w:tcPr>
            <w:tcW w:w="2349" w:type="dxa"/>
            <w:tcBorders>
              <w:top w:val="nil"/>
              <w:left w:val="nil"/>
              <w:bottom w:val="single" w:sz="4" w:space="0" w:color="AAAAAA"/>
              <w:right w:val="single" w:sz="4" w:space="0" w:color="AAAAAA"/>
            </w:tcBorders>
            <w:shd w:val="clear" w:color="auto" w:fill="EBF3FB"/>
          </w:tcPr>
          <w:p w14:paraId="4FF04EB5" w14:textId="77777777" w:rsidR="00A12401" w:rsidRDefault="00A25E1C">
            <w:pPr>
              <w:spacing w:after="0" w:line="240" w:lineRule="auto"/>
              <w:jc w:val="left"/>
              <w:rPr>
                <w:rFonts w:ascii="Arial" w:eastAsia="Arial" w:hAnsi="Arial" w:cs="Arial"/>
                <w:sz w:val="18"/>
                <w:szCs w:val="18"/>
              </w:rPr>
            </w:pPr>
            <w:r>
              <w:rPr>
                <w:rFonts w:ascii="Arial" w:eastAsia="Arial" w:hAnsi="Arial" w:cs="Arial"/>
                <w:sz w:val="18"/>
                <w:szCs w:val="18"/>
              </w:rPr>
              <w:t xml:space="preserve">Descriptive: Mode = </w:t>
            </w:r>
            <w:proofErr w:type="gramStart"/>
            <w:r>
              <w:rPr>
                <w:rFonts w:ascii="Arial" w:eastAsia="Arial" w:hAnsi="Arial" w:cs="Arial"/>
                <w:sz w:val="18"/>
                <w:szCs w:val="18"/>
              </w:rPr>
              <w:t>Social Media</w:t>
            </w:r>
            <w:proofErr w:type="gramEnd"/>
            <w:r>
              <w:rPr>
                <w:rFonts w:ascii="Arial" w:eastAsia="Arial" w:hAnsi="Arial" w:cs="Arial"/>
                <w:sz w:val="18"/>
                <w:szCs w:val="18"/>
              </w:rPr>
              <w:t>; Environmental Sustainability most cited</w:t>
            </w:r>
          </w:p>
        </w:tc>
      </w:tr>
      <w:tr w:rsidR="00A12401" w14:paraId="2AB55C85" w14:textId="77777777">
        <w:trPr>
          <w:trHeight w:val="1626"/>
        </w:trPr>
        <w:tc>
          <w:tcPr>
            <w:tcW w:w="2065" w:type="dxa"/>
            <w:tcBorders>
              <w:top w:val="nil"/>
              <w:left w:val="single" w:sz="4" w:space="0" w:color="AAAAAA"/>
              <w:bottom w:val="single" w:sz="4" w:space="0" w:color="AAAAAA"/>
              <w:right w:val="single" w:sz="4" w:space="0" w:color="AAAAAA"/>
            </w:tcBorders>
          </w:tcPr>
          <w:p w14:paraId="44FF619E" w14:textId="77777777" w:rsidR="00A12401" w:rsidRDefault="00A25E1C">
            <w:pPr>
              <w:spacing w:after="0" w:line="240" w:lineRule="auto"/>
              <w:jc w:val="left"/>
              <w:rPr>
                <w:rFonts w:ascii="Arial" w:eastAsia="Arial" w:hAnsi="Arial" w:cs="Arial"/>
                <w:b/>
                <w:bCs/>
                <w:sz w:val="18"/>
                <w:szCs w:val="18"/>
              </w:rPr>
            </w:pPr>
            <w:r>
              <w:rPr>
                <w:rFonts w:ascii="Arial" w:eastAsia="Arial" w:hAnsi="Arial" w:cs="Arial"/>
                <w:b/>
                <w:bCs/>
                <w:sz w:val="18"/>
                <w:szCs w:val="18"/>
              </w:rPr>
              <w:t>Obj 2: Examine effect of CSR activities on consumer brand preference</w:t>
            </w:r>
          </w:p>
        </w:tc>
        <w:tc>
          <w:tcPr>
            <w:tcW w:w="2572" w:type="dxa"/>
            <w:tcBorders>
              <w:top w:val="nil"/>
              <w:left w:val="nil"/>
              <w:bottom w:val="single" w:sz="4" w:space="0" w:color="AAAAAA"/>
              <w:right w:val="single" w:sz="4" w:space="0" w:color="AAAAAA"/>
            </w:tcBorders>
          </w:tcPr>
          <w:p w14:paraId="1450C597" w14:textId="77777777" w:rsidR="00A12401" w:rsidRDefault="00A25E1C">
            <w:pPr>
              <w:spacing w:after="0" w:line="240" w:lineRule="auto"/>
              <w:jc w:val="left"/>
              <w:rPr>
                <w:rFonts w:ascii="Arial" w:eastAsia="Arial" w:hAnsi="Arial" w:cs="Arial"/>
                <w:sz w:val="18"/>
                <w:szCs w:val="18"/>
              </w:rPr>
            </w:pPr>
            <w:r>
              <w:rPr>
                <w:rFonts w:ascii="Arial" w:eastAsia="Arial" w:hAnsi="Arial" w:cs="Arial"/>
                <w:sz w:val="18"/>
                <w:szCs w:val="18"/>
              </w:rPr>
              <w:t>CSR activities show weak-to-moderate positive influence on brand preference. Mean NPS is negative overall (-9.6), indicating more detractors than promoters.</w:t>
            </w:r>
          </w:p>
        </w:tc>
        <w:tc>
          <w:tcPr>
            <w:tcW w:w="2288" w:type="dxa"/>
            <w:tcBorders>
              <w:top w:val="nil"/>
              <w:left w:val="nil"/>
              <w:bottom w:val="single" w:sz="4" w:space="0" w:color="AAAAAA"/>
              <w:right w:val="single" w:sz="4" w:space="0" w:color="AAAAAA"/>
            </w:tcBorders>
          </w:tcPr>
          <w:p w14:paraId="79B8E780" w14:textId="77777777" w:rsidR="00A12401" w:rsidRDefault="00A25E1C">
            <w:pPr>
              <w:spacing w:after="0" w:line="240" w:lineRule="auto"/>
              <w:jc w:val="left"/>
              <w:rPr>
                <w:rFonts w:ascii="Arial" w:eastAsia="Arial" w:hAnsi="Arial" w:cs="Arial"/>
                <w:sz w:val="18"/>
                <w:szCs w:val="18"/>
              </w:rPr>
            </w:pPr>
            <w:r>
              <w:rPr>
                <w:rFonts w:ascii="Arial" w:eastAsia="Arial" w:hAnsi="Arial" w:cs="Arial"/>
                <w:sz w:val="18"/>
                <w:szCs w:val="18"/>
              </w:rPr>
              <w:t>NPS range: -25 (Q</w:t>
            </w:r>
            <w:proofErr w:type="gramStart"/>
            <w:r>
              <w:rPr>
                <w:rFonts w:ascii="Arial" w:eastAsia="Arial" w:hAnsi="Arial" w:cs="Arial"/>
                <w:sz w:val="18"/>
                <w:szCs w:val="18"/>
              </w:rPr>
              <w:t>10,Q</w:t>
            </w:r>
            <w:proofErr w:type="gramEnd"/>
            <w:r>
              <w:rPr>
                <w:rFonts w:ascii="Arial" w:eastAsia="Arial" w:hAnsi="Arial" w:cs="Arial"/>
                <w:sz w:val="18"/>
                <w:szCs w:val="18"/>
              </w:rPr>
              <w:t>18) to +5 (Q12); Average NPS ≈ -9.6; r(Q</w:t>
            </w:r>
            <w:proofErr w:type="gramStart"/>
            <w:r>
              <w:rPr>
                <w:rFonts w:ascii="Arial" w:eastAsia="Arial" w:hAnsi="Arial" w:cs="Arial"/>
                <w:sz w:val="18"/>
                <w:szCs w:val="18"/>
              </w:rPr>
              <w:t>12,Q</w:t>
            </w:r>
            <w:proofErr w:type="gramEnd"/>
            <w:r>
              <w:rPr>
                <w:rFonts w:ascii="Arial" w:eastAsia="Arial" w:hAnsi="Arial" w:cs="Arial"/>
                <w:sz w:val="18"/>
                <w:szCs w:val="18"/>
              </w:rPr>
              <w:t>14) = strong positive; r(Q</w:t>
            </w:r>
            <w:proofErr w:type="gramStart"/>
            <w:r>
              <w:rPr>
                <w:rFonts w:ascii="Arial" w:eastAsia="Arial" w:hAnsi="Arial" w:cs="Arial"/>
                <w:sz w:val="18"/>
                <w:szCs w:val="18"/>
              </w:rPr>
              <w:t>13,Q</w:t>
            </w:r>
            <w:proofErr w:type="gramEnd"/>
            <w:r>
              <w:rPr>
                <w:rFonts w:ascii="Arial" w:eastAsia="Arial" w:hAnsi="Arial" w:cs="Arial"/>
                <w:sz w:val="18"/>
                <w:szCs w:val="18"/>
              </w:rPr>
              <w:t>17) = strong positive</w:t>
            </w:r>
          </w:p>
        </w:tc>
        <w:tc>
          <w:tcPr>
            <w:tcW w:w="2349" w:type="dxa"/>
            <w:tcBorders>
              <w:top w:val="nil"/>
              <w:left w:val="nil"/>
              <w:bottom w:val="single" w:sz="4" w:space="0" w:color="AAAAAA"/>
              <w:right w:val="single" w:sz="4" w:space="0" w:color="AAAAAA"/>
            </w:tcBorders>
          </w:tcPr>
          <w:p w14:paraId="45961BCD" w14:textId="77777777" w:rsidR="00A12401" w:rsidRDefault="00A25E1C">
            <w:pPr>
              <w:spacing w:after="0" w:line="240" w:lineRule="auto"/>
              <w:jc w:val="left"/>
              <w:rPr>
                <w:rFonts w:ascii="Arial" w:eastAsia="Arial" w:hAnsi="Arial" w:cs="Arial"/>
                <w:sz w:val="18"/>
                <w:szCs w:val="18"/>
              </w:rPr>
            </w:pPr>
            <w:r>
              <w:rPr>
                <w:rFonts w:ascii="Arial" w:eastAsia="Arial" w:hAnsi="Arial" w:cs="Arial"/>
                <w:sz w:val="18"/>
                <w:szCs w:val="18"/>
              </w:rPr>
              <w:t>Pearson r shows strong inter-correlations between perception, trust, and preference variables; Descriptive mean ≈ 6.5/10</w:t>
            </w:r>
          </w:p>
        </w:tc>
      </w:tr>
      <w:tr w:rsidR="00A12401" w14:paraId="758D120E" w14:textId="77777777">
        <w:trPr>
          <w:trHeight w:val="1626"/>
        </w:trPr>
        <w:tc>
          <w:tcPr>
            <w:tcW w:w="2065" w:type="dxa"/>
            <w:tcBorders>
              <w:top w:val="nil"/>
              <w:left w:val="single" w:sz="4" w:space="0" w:color="AAAAAA"/>
              <w:bottom w:val="single" w:sz="4" w:space="0" w:color="AAAAAA"/>
              <w:right w:val="single" w:sz="4" w:space="0" w:color="AAAAAA"/>
            </w:tcBorders>
            <w:shd w:val="clear" w:color="auto" w:fill="EBF3FB"/>
          </w:tcPr>
          <w:p w14:paraId="0AAB1404" w14:textId="77777777" w:rsidR="00A12401" w:rsidRDefault="00A25E1C">
            <w:pPr>
              <w:spacing w:after="0" w:line="240" w:lineRule="auto"/>
              <w:jc w:val="left"/>
              <w:rPr>
                <w:rFonts w:ascii="Arial" w:eastAsia="Arial" w:hAnsi="Arial" w:cs="Arial"/>
                <w:b/>
                <w:bCs/>
                <w:sz w:val="18"/>
                <w:szCs w:val="18"/>
              </w:rPr>
            </w:pPr>
            <w:r>
              <w:rPr>
                <w:rFonts w:ascii="Arial" w:eastAsia="Arial" w:hAnsi="Arial" w:cs="Arial"/>
                <w:b/>
                <w:bCs/>
                <w:sz w:val="18"/>
                <w:szCs w:val="18"/>
              </w:rPr>
              <w:t>Obj 3: Provide recommendations for improving consumer engagement in CSR</w:t>
            </w:r>
          </w:p>
        </w:tc>
        <w:tc>
          <w:tcPr>
            <w:tcW w:w="2572" w:type="dxa"/>
            <w:tcBorders>
              <w:top w:val="nil"/>
              <w:left w:val="nil"/>
              <w:bottom w:val="single" w:sz="4" w:space="0" w:color="AAAAAA"/>
              <w:right w:val="single" w:sz="4" w:space="0" w:color="AAAAAA"/>
            </w:tcBorders>
            <w:shd w:val="clear" w:color="auto" w:fill="EBF3FB"/>
          </w:tcPr>
          <w:p w14:paraId="602B8BAF" w14:textId="77777777" w:rsidR="00A12401" w:rsidRDefault="00A25E1C">
            <w:pPr>
              <w:spacing w:after="0" w:line="240" w:lineRule="auto"/>
              <w:jc w:val="left"/>
              <w:rPr>
                <w:rFonts w:ascii="Arial" w:eastAsia="Arial" w:hAnsi="Arial" w:cs="Arial"/>
                <w:sz w:val="18"/>
                <w:szCs w:val="18"/>
              </w:rPr>
            </w:pPr>
            <w:r>
              <w:rPr>
                <w:rFonts w:ascii="Arial" w:eastAsia="Arial" w:hAnsi="Arial" w:cs="Arial"/>
                <w:sz w:val="18"/>
                <w:szCs w:val="18"/>
              </w:rPr>
              <w:t>Three priority areas: (1) Authenticity of CSR, (2) Communication clarity, (3) Community-focused engagement.</w:t>
            </w:r>
          </w:p>
        </w:tc>
        <w:tc>
          <w:tcPr>
            <w:tcW w:w="2288" w:type="dxa"/>
            <w:tcBorders>
              <w:top w:val="nil"/>
              <w:left w:val="nil"/>
              <w:bottom w:val="single" w:sz="4" w:space="0" w:color="AAAAAA"/>
              <w:right w:val="single" w:sz="4" w:space="0" w:color="AAAAAA"/>
            </w:tcBorders>
            <w:shd w:val="clear" w:color="auto" w:fill="EBF3FB"/>
          </w:tcPr>
          <w:p w14:paraId="019A9531" w14:textId="77777777" w:rsidR="00A12401" w:rsidRDefault="00A25E1C">
            <w:pPr>
              <w:spacing w:after="0" w:line="240" w:lineRule="auto"/>
              <w:jc w:val="left"/>
              <w:rPr>
                <w:rFonts w:ascii="Arial" w:eastAsia="Arial" w:hAnsi="Arial" w:cs="Arial"/>
                <w:sz w:val="18"/>
                <w:szCs w:val="18"/>
              </w:rPr>
            </w:pPr>
            <w:r>
              <w:rPr>
                <w:rFonts w:ascii="Arial" w:eastAsia="Arial" w:hAnsi="Arial" w:cs="Arial"/>
                <w:sz w:val="18"/>
                <w:szCs w:val="18"/>
              </w:rPr>
              <w:t>Q10 NPS = -25 (lowest); Q11 NPS = -5; Q8 NPS = 0 (best community score); 70% shop weekly (engaged base)</w:t>
            </w:r>
          </w:p>
        </w:tc>
        <w:tc>
          <w:tcPr>
            <w:tcW w:w="2349" w:type="dxa"/>
            <w:tcBorders>
              <w:top w:val="nil"/>
              <w:left w:val="nil"/>
              <w:bottom w:val="single" w:sz="4" w:space="0" w:color="AAAAAA"/>
              <w:right w:val="single" w:sz="4" w:space="0" w:color="AAAAAA"/>
            </w:tcBorders>
            <w:shd w:val="clear" w:color="auto" w:fill="EBF3FB"/>
          </w:tcPr>
          <w:p w14:paraId="225A1966" w14:textId="77777777" w:rsidR="00A12401" w:rsidRDefault="00A25E1C">
            <w:pPr>
              <w:spacing w:after="0" w:line="240" w:lineRule="auto"/>
              <w:jc w:val="left"/>
              <w:rPr>
                <w:rFonts w:ascii="Arial" w:eastAsia="Arial" w:hAnsi="Arial" w:cs="Arial"/>
                <w:sz w:val="18"/>
                <w:szCs w:val="18"/>
              </w:rPr>
            </w:pPr>
            <w:r>
              <w:rPr>
                <w:rFonts w:ascii="Arial" w:eastAsia="Arial" w:hAnsi="Arial" w:cs="Arial"/>
                <w:sz w:val="18"/>
                <w:szCs w:val="18"/>
              </w:rPr>
              <w:t>Lowest NPS items (Q10, Q18) indicate authenticity gap; Q11 shows communication is moderate; Weekly shoppers are receptive audience</w:t>
            </w:r>
          </w:p>
        </w:tc>
      </w:tr>
    </w:tbl>
    <w:p w14:paraId="3FFA8AAD" w14:textId="77777777" w:rsidR="00A12401" w:rsidRDefault="00A25E1C">
      <w:pPr>
        <w:pStyle w:val="Heading2"/>
      </w:pPr>
      <w:bookmarkStart w:id="60" w:name="_ignse1kw9w78" w:colFirst="0" w:colLast="0"/>
      <w:bookmarkEnd w:id="60"/>
      <w:r>
        <w:t>4.8 Limitations</w:t>
      </w:r>
    </w:p>
    <w:p w14:paraId="09A6DA27" w14:textId="77777777" w:rsidR="00A12401" w:rsidRDefault="00A25E1C">
      <w:r>
        <w:t xml:space="preserve">This study had </w:t>
      </w:r>
      <w:proofErr w:type="gramStart"/>
      <w:r>
        <w:t>a number of</w:t>
      </w:r>
      <w:proofErr w:type="gramEnd"/>
      <w:r>
        <w:t xml:space="preserve"> limitations in terms of </w:t>
      </w:r>
      <w:proofErr w:type="spellStart"/>
      <w:r>
        <w:t>generalisation</w:t>
      </w:r>
      <w:proofErr w:type="spellEnd"/>
      <w:r>
        <w:t xml:space="preserve"> and broader interpretation of consumer data gathered. Only 20 people completed the survey, which does not give a broad representation of consumers in the United Kingdom. Convenience sampling methods also limited representation of the demographic levels of consumers. </w:t>
      </w:r>
      <w:proofErr w:type="gramStart"/>
      <w:r>
        <w:t>The majority of</w:t>
      </w:r>
      <w:proofErr w:type="gramEnd"/>
      <w:r>
        <w:t xml:space="preserve"> respondents visited Tesco stores regularly, which may have influenced the findings as repeated </w:t>
      </w:r>
      <w:proofErr w:type="spellStart"/>
      <w:r>
        <w:t>organisational</w:t>
      </w:r>
      <w:proofErr w:type="spellEnd"/>
      <w:r>
        <w:t xml:space="preserve"> exposure experiences. The quantitative approach limited in-depth emo</w:t>
      </w:r>
      <w:r>
        <w:t xml:space="preserve">tional descriptions of consumers' </w:t>
      </w:r>
      <w:proofErr w:type="spellStart"/>
      <w:r>
        <w:t>scepticism</w:t>
      </w:r>
      <w:proofErr w:type="spellEnd"/>
      <w:r>
        <w:t xml:space="preserve"> and behavioral purchase motives. The time constraint also limited data collection processes with other retailers that ran markets in the United Kingdom. Personal bias in perceptions of sustainability and </w:t>
      </w:r>
      <w:proofErr w:type="spellStart"/>
      <w:r>
        <w:t>organisational</w:t>
      </w:r>
      <w:proofErr w:type="spellEnd"/>
      <w:r>
        <w:t xml:space="preserve"> </w:t>
      </w:r>
      <w:proofErr w:type="spellStart"/>
      <w:r>
        <w:t>behaviour</w:t>
      </w:r>
      <w:proofErr w:type="spellEnd"/>
      <w:r>
        <w:t xml:space="preserve"> evaluations </w:t>
      </w:r>
      <w:proofErr w:type="gramStart"/>
      <w:r>
        <w:t>are</w:t>
      </w:r>
      <w:proofErr w:type="gramEnd"/>
      <w:r>
        <w:t xml:space="preserve"> also possible in consumer responses. Secondary literature did not examine the relationship between CSR and consumer preference, but rather </w:t>
      </w:r>
      <w:proofErr w:type="spellStart"/>
      <w:r>
        <w:t>organisational</w:t>
      </w:r>
      <w:proofErr w:type="spellEnd"/>
      <w:r>
        <w:t xml:space="preserve"> outcomes. Cross-sectional research design also prevented the analysi</w:t>
      </w:r>
      <w:r>
        <w:t xml:space="preserve">s of long-term </w:t>
      </w:r>
      <w:proofErr w:type="spellStart"/>
      <w:r>
        <w:t>behavioural</w:t>
      </w:r>
      <w:proofErr w:type="spellEnd"/>
      <w:r>
        <w:t xml:space="preserve"> changes on the aspect of Tesco CSR communication activities. Future research should therefore explore larger samples in international retail </w:t>
      </w:r>
      <w:proofErr w:type="spellStart"/>
      <w:r>
        <w:t>organisations</w:t>
      </w:r>
      <w:proofErr w:type="spellEnd"/>
      <w:r>
        <w:t xml:space="preserve"> through mixed research methods.</w:t>
      </w:r>
    </w:p>
    <w:p w14:paraId="610BD2B2" w14:textId="77777777" w:rsidR="00A12401" w:rsidRDefault="00A25E1C">
      <w:pPr>
        <w:pStyle w:val="Heading2"/>
      </w:pPr>
      <w:bookmarkStart w:id="61" w:name="_4u7dwut6r7d4" w:colFirst="0" w:colLast="0"/>
      <w:bookmarkEnd w:id="61"/>
      <w:r>
        <w:t>4.9 Conclusion</w:t>
      </w:r>
    </w:p>
    <w:p w14:paraId="1D9EF046" w14:textId="77777777" w:rsidR="00A12401" w:rsidRDefault="00A25E1C">
      <w:r>
        <w:t xml:space="preserve">This chapter concluded Tesco CSR activities positively influenced perception more strongly than purchasing </w:t>
      </w:r>
      <w:proofErr w:type="spellStart"/>
      <w:r>
        <w:t>behaviour</w:t>
      </w:r>
      <w:proofErr w:type="spellEnd"/>
      <w:r>
        <w:t xml:space="preserve">. Sustainability activities continued to be the most identified activities, impacting 47% over the survey findings collected. Findings revealed consumers valued responsible </w:t>
      </w:r>
      <w:proofErr w:type="spellStart"/>
      <w:r>
        <w:t>organisational</w:t>
      </w:r>
      <w:proofErr w:type="spellEnd"/>
      <w:r>
        <w:t xml:space="preserve"> </w:t>
      </w:r>
      <w:proofErr w:type="spellStart"/>
      <w:r>
        <w:t>behaviour</w:t>
      </w:r>
      <w:proofErr w:type="spellEnd"/>
      <w:r>
        <w:t xml:space="preserve">, but they remained critical of the authenticity of CSR. The negative NPS scores for genuineness and purchase intention indicated ongoing consumer reservations about </w:t>
      </w:r>
      <w:proofErr w:type="spellStart"/>
      <w:r>
        <w:t>organisations</w:t>
      </w:r>
      <w:proofErr w:type="spellEnd"/>
      <w:r>
        <w:t xml:space="preserve">. Correlation analysis also validated high positive correlations between awareness, trust, loyalty, recommendation </w:t>
      </w:r>
      <w:proofErr w:type="spellStart"/>
      <w:r>
        <w:t>behaviour</w:t>
      </w:r>
      <w:proofErr w:type="spellEnd"/>
      <w:r>
        <w:t xml:space="preserve"> an</w:t>
      </w:r>
      <w:r>
        <w:t>d preference. Thus, the study successfully supported Brand Equity Theory, Stakeholder Theory, and Consumer Perception Theory. In general, it's crucial for Tesco to always rely on clear communication, green initiatives, and genuine engagement practices with stakeholders.</w:t>
      </w:r>
      <w:r>
        <w:br w:type="page"/>
      </w:r>
    </w:p>
    <w:p w14:paraId="75747FB3" w14:textId="77777777" w:rsidR="00A12401" w:rsidRDefault="00A25E1C">
      <w:pPr>
        <w:pStyle w:val="Heading1"/>
      </w:pPr>
      <w:bookmarkStart w:id="62" w:name="_3zbnfw75vne0" w:colFirst="0" w:colLast="0"/>
      <w:bookmarkEnd w:id="62"/>
      <w:r>
        <w:t>5. Discussion</w:t>
      </w:r>
    </w:p>
    <w:p w14:paraId="1153E0CE" w14:textId="77777777" w:rsidR="00A12401" w:rsidRDefault="00A25E1C">
      <w:pPr>
        <w:pStyle w:val="Heading2"/>
      </w:pPr>
      <w:bookmarkStart w:id="63" w:name="_cdt0x7bv8dg5" w:colFirst="0" w:colLast="0"/>
      <w:bookmarkEnd w:id="63"/>
      <w:r>
        <w:t>5.1 Introduction</w:t>
      </w:r>
    </w:p>
    <w:p w14:paraId="59E3EC2B" w14:textId="77777777" w:rsidR="00A12401" w:rsidRDefault="00A25E1C">
      <w:r>
        <w:t xml:space="preserve">This chapter discusses the findings presented in Chapter 4 and how they are related to the research objectives, themes of the literature review, and the theoretical framework of the research. The discussion clarifies how the activities of Corporate Social Responsibility (CSR) affect the perception, trust and preferences of customers in the retail environment of Tesco. The previous studies suggested that CSR activities would benefit the relationships with stakeholders, enhance the </w:t>
      </w:r>
      <w:proofErr w:type="spellStart"/>
      <w:r>
        <w:t>organisational</w:t>
      </w:r>
      <w:proofErr w:type="spellEnd"/>
      <w:r>
        <w:t xml:space="preserve"> reputation, and positively engage consumers. The results of this study thus offer real-life evidence of the impact of Tesco's CSR on consumer attitude and </w:t>
      </w:r>
      <w:proofErr w:type="spellStart"/>
      <w:r>
        <w:t>behavioural</w:t>
      </w:r>
      <w:proofErr w:type="spellEnd"/>
      <w:r>
        <w:t xml:space="preserve"> intentions. This chapter is broken down into two discussion points. The first part of the discussion will focus on the findings based on the research objectives, and the second part will be connected to the literature and theoretical framework.</w:t>
      </w:r>
    </w:p>
    <w:p w14:paraId="17E80358" w14:textId="77777777" w:rsidR="00A12401" w:rsidRDefault="00A25E1C">
      <w:pPr>
        <w:pStyle w:val="Heading2"/>
      </w:pPr>
      <w:bookmarkStart w:id="64" w:name="_zhjv1ekj0wcu" w:colFirst="0" w:colLast="0"/>
      <w:bookmarkEnd w:id="64"/>
      <w:r>
        <w:t>5.2 Discussion in relation to themes in the literature review</w:t>
      </w:r>
    </w:p>
    <w:p w14:paraId="3AD4F2A7" w14:textId="77777777" w:rsidR="00A12401" w:rsidRDefault="00A25E1C">
      <w:pPr>
        <w:pStyle w:val="Heading3"/>
      </w:pPr>
      <w:bookmarkStart w:id="65" w:name="_hsj3ogc0i7bg" w:colFirst="0" w:colLast="0"/>
      <w:bookmarkEnd w:id="65"/>
      <w:r>
        <w:t>5.2.1 Discussion Related to the Idea and History of CSR</w:t>
      </w:r>
    </w:p>
    <w:p w14:paraId="166DC68A" w14:textId="77777777" w:rsidR="00A12401" w:rsidRDefault="00A25E1C">
      <w:r>
        <w:t xml:space="preserve">The outcomes are a result of CSR on a modern strategic level instead of traditional philanthropy. Tesco's CSR was </w:t>
      </w:r>
      <w:proofErr w:type="gramStart"/>
      <w:r>
        <w:t>most commonly seen</w:t>
      </w:r>
      <w:proofErr w:type="gramEnd"/>
      <w:r>
        <w:t xml:space="preserve"> as environmental sustainability by consumers (47%), community support (21%) and ethical sourcing (16%) and was of least importance in terms of charity and donations, with 5%. Given this trend, there seems to be growing consumer demand for companies to make it their norm to be responsible. According to Carroll and Shabana (2010), CSR has shifted from a philanthropic, “doing good” approach to being more of a stakeholder-engaged, business responsibility approach. Porter and Kramer (2011) als</w:t>
      </w:r>
      <w:r>
        <w:t>o noted similar facts, which stressed the strategic importance of integrating CSR within the business process. However, a previous CSR outlook was mainly on charitable giving as opposed to the current one. The results of this study show that Tesco consumers value sustainability and responsible business conduct more than the more traditional charitable efforts.</w:t>
      </w:r>
    </w:p>
    <w:p w14:paraId="0C6655C2" w14:textId="77777777" w:rsidR="00A12401" w:rsidRDefault="00A25E1C">
      <w:pPr>
        <w:pStyle w:val="Heading3"/>
      </w:pPr>
      <w:bookmarkStart w:id="66" w:name="_ydvsgn8u5sc0" w:colFirst="0" w:colLast="0"/>
      <w:bookmarkEnd w:id="66"/>
      <w:r>
        <w:t>5.2.2 Discussion Related to CSR in the Retail Industry</w:t>
      </w:r>
    </w:p>
    <w:p w14:paraId="4CF49ABD" w14:textId="77777777" w:rsidR="00A12401" w:rsidRDefault="00A25E1C">
      <w:r>
        <w:t xml:space="preserve">The results illustrate the need for visibility in the retail scene. 70% of people shop in Tesco once a week, and 65% were aware of CSR, which means they kept shopping in Tesco regularly. Camilleri (2017) argued that retail consumers often assess CSR in their regular interactions and shopping experience. Similarly, Wiese, Kellner and Toporowski (2018) recommended that the impact of retail CSR efforts increases due to the direct contact with customers. Consumers seem to look at the responsibility in Tesco by </w:t>
      </w:r>
      <w:r>
        <w:t>seeing their practices, as well as observing their promotional messages. Awareness was moderate, although frequent store visits occurred. The effect is slightly different from Du, Bhattacharya and Sen (2010), who suggest that good CSR public relations should create wider consumer consciousness. As a result, the communication effectiveness of Tesco's CSR is still to be improved, while the activities can be seen during the operation.</w:t>
      </w:r>
    </w:p>
    <w:p w14:paraId="5EE12564" w14:textId="77777777" w:rsidR="00A12401" w:rsidRDefault="00A25E1C">
      <w:pPr>
        <w:pStyle w:val="Heading3"/>
      </w:pPr>
      <w:bookmarkStart w:id="67" w:name="_tx12zu146olk" w:colFirst="0" w:colLast="0"/>
      <w:bookmarkEnd w:id="67"/>
      <w:r>
        <w:t>5.2.3 Discussion Related to CSR Marketing Activities</w:t>
      </w:r>
    </w:p>
    <w:p w14:paraId="7E645A45" w14:textId="77777777" w:rsidR="00A12401" w:rsidRDefault="00A25E1C">
      <w:r>
        <w:t xml:space="preserve">The most powerful CSR activity in terms of influence was environmental sustainability (47% of respondents. As environmental issues become an increasing concern for consumers, sustainability programs are gaining additional interest. Mohr and Webb (2005) have identified that environmental responsibility improves consumer attitudes and evaluations. Kumar and </w:t>
      </w:r>
      <w:proofErr w:type="spellStart"/>
      <w:r>
        <w:t>Christodoulopoulou</w:t>
      </w:r>
      <w:proofErr w:type="spellEnd"/>
      <w:r>
        <w:t xml:space="preserve"> (2014) arrived at similar findings, with sustainability cited as being a key factor in today's consumer expectations. The ethical sourcing had an intermediate influence on the attitude of the consumers. Ethical </w:t>
      </w:r>
      <w:proofErr w:type="spellStart"/>
      <w:r>
        <w:t>behaviour</w:t>
      </w:r>
      <w:proofErr w:type="spellEnd"/>
      <w:r>
        <w:t xml:space="preserve"> had an NPS score of </w:t>
      </w:r>
      <w:proofErr w:type="gramStart"/>
      <w:r>
        <w:t>-15, but</w:t>
      </w:r>
      <w:proofErr w:type="gramEnd"/>
      <w:r>
        <w:t xml:space="preserve"> had a strong relationship with the variables relating to trust. An ethical treatment adds to the confidence and </w:t>
      </w:r>
      <w:proofErr w:type="spellStart"/>
      <w:r>
        <w:t>organisational</w:t>
      </w:r>
      <w:proofErr w:type="spellEnd"/>
      <w:r>
        <w:t xml:space="preserve"> credibility of consumers, in accordance with Pérez and Rodríguez del Bosque (2015).</w:t>
      </w:r>
    </w:p>
    <w:p w14:paraId="6AE80D50" w14:textId="77777777" w:rsidR="00A12401" w:rsidRDefault="00A25E1C">
      <w:r>
        <w:t xml:space="preserve">The community support yielded the most positive CSR-related NPS score of +0. This indicates that activities involving the local community are a positive influence on consumers' perception. Bhattacharya and Sen (2004) attributed the bonds between consumers and </w:t>
      </w:r>
      <w:proofErr w:type="spellStart"/>
      <w:r>
        <w:t>organisations</w:t>
      </w:r>
      <w:proofErr w:type="spellEnd"/>
      <w:r>
        <w:t xml:space="preserve"> to the involvement of the community. In the study, the results of the CSR communication were mixed. Social media had a CSR awareness score of 68%, though clarity of communication rose +5 and genuineness of CSR fell -25. Transparency is a key factor in supporting successful CSR communication, as noted by Du, Bhattacharya and Sen (2010). A similar result was found by Alhouti, Johnson and Holloway (2016), who showed that consumer trust was strongly correlated with perceived authenticity.</w:t>
      </w:r>
    </w:p>
    <w:p w14:paraId="6353A6D4" w14:textId="77777777" w:rsidR="00A12401" w:rsidRDefault="00A25E1C">
      <w:pPr>
        <w:pStyle w:val="Heading3"/>
      </w:pPr>
      <w:bookmarkStart w:id="68" w:name="_e508vc5gi7a" w:colFirst="0" w:colLast="0"/>
      <w:bookmarkEnd w:id="68"/>
      <w:r>
        <w:t xml:space="preserve">5.2.4 Discussion for Consumer </w:t>
      </w:r>
      <w:proofErr w:type="spellStart"/>
      <w:r>
        <w:t>Behaviour</w:t>
      </w:r>
      <w:proofErr w:type="spellEnd"/>
      <w:r>
        <w:t xml:space="preserve"> and Brand Preference Theory</w:t>
      </w:r>
    </w:p>
    <w:p w14:paraId="1B33FB18" w14:textId="77777777" w:rsidR="00A12401" w:rsidRDefault="00A25E1C">
      <w:r>
        <w:t xml:space="preserve">Results indicated that although the overall picture is that CSR affects attitudes more than purchasing preferences, the effect was stronger than purchasing preferences. Shopping preference scored negatively at -20, whereas NPS scored positively at 5 points. This spills the idea that positive attitudes do not necessarily equal consumer action. Ajzen (1991) explained that positive attitudes may not always lead directly to </w:t>
      </w:r>
      <w:proofErr w:type="spellStart"/>
      <w:r>
        <w:t>behavioural</w:t>
      </w:r>
      <w:proofErr w:type="spellEnd"/>
      <w:r>
        <w:t xml:space="preserve"> actions. Sen and Bhattacharya (2001) reached similar findings that CSR contributes to consumer perceptions during purchase, but other factors are at play.</w:t>
      </w:r>
    </w:p>
    <w:p w14:paraId="343486A9" w14:textId="77777777" w:rsidR="00A12401" w:rsidRDefault="00A25E1C">
      <w:r>
        <w:t xml:space="preserve">The awareness and trust to loyalty to preference variables were found to have good relationships. There was a 0.98 correlation between trust and loyalty, and there was also an 0.98 correlation between awareness and preference. Chaudhuri and Holbrook (2001) found that trust will be one of the most important factors to forecast loyalty and future </w:t>
      </w:r>
      <w:proofErr w:type="spellStart"/>
      <w:r>
        <w:t>behavioural</w:t>
      </w:r>
      <w:proofErr w:type="spellEnd"/>
      <w:r>
        <w:t xml:space="preserve"> intentions. A willingness to pay more, however, had an NPS score of -25, indicating further sensitivity around price and value. This is different from Mohr, Webb and Harris (2001), who proposed that </w:t>
      </w:r>
      <w:proofErr w:type="gramStart"/>
      <w:r>
        <w:t>socially-minded</w:t>
      </w:r>
      <w:proofErr w:type="gramEnd"/>
      <w:r>
        <w:t xml:space="preserve"> consumers might be willing to pay more for the support of responsible </w:t>
      </w:r>
      <w:proofErr w:type="spellStart"/>
      <w:r>
        <w:t>organisations</w:t>
      </w:r>
      <w:proofErr w:type="spellEnd"/>
      <w:r>
        <w:t>.</w:t>
      </w:r>
    </w:p>
    <w:p w14:paraId="5E1ECB0C" w14:textId="77777777" w:rsidR="00A12401" w:rsidRDefault="00A25E1C">
      <w:pPr>
        <w:pStyle w:val="Heading3"/>
      </w:pPr>
      <w:bookmarkStart w:id="69" w:name="_ngjoakr8f3lo" w:colFirst="0" w:colLast="0"/>
      <w:bookmarkEnd w:id="69"/>
      <w:r>
        <w:t>5.2.5 Discussion Related to CSR Brand Outcomes</w:t>
      </w:r>
    </w:p>
    <w:p w14:paraId="5E607A67" w14:textId="77777777" w:rsidR="00A12401" w:rsidRDefault="00A25E1C">
      <w:r>
        <w:t xml:space="preserve">The results show that CSR has a positive effect on trust, loyalty, recommender </w:t>
      </w:r>
      <w:proofErr w:type="spellStart"/>
      <w:r>
        <w:t>behaviour</w:t>
      </w:r>
      <w:proofErr w:type="spellEnd"/>
      <w:r>
        <w:t xml:space="preserve"> and brand image, but none of the effects are strong. The scores for Trust decreased by -10 and for Loyalty and recommending </w:t>
      </w:r>
      <w:proofErr w:type="spellStart"/>
      <w:r>
        <w:t>behaviour</w:t>
      </w:r>
      <w:proofErr w:type="spellEnd"/>
      <w:r>
        <w:t xml:space="preserve"> by -5. These are indicative that CSR has a positive effect on participants' attitudes without driving their attitudes into strong commitment. Hur, Kim and Woo (2018) concluded that CSR has a positive effect on emotional attachment and customer satisfaction or loyalty. Moreover, Martínez and Rodríguez del Bosque (2013) have found that responsible business practices b</w:t>
      </w:r>
      <w:r>
        <w:t>uild trust and quality of relationship.</w:t>
      </w:r>
    </w:p>
    <w:p w14:paraId="3644A29A" w14:textId="77777777" w:rsidR="00A12401" w:rsidRDefault="00A25E1C">
      <w:r>
        <w:t xml:space="preserve">Yet the consumers were voicing their worries about authenticity as well. The most negative result was obtained for CSR genuineness with a score of -25, signifying that there was a high level of </w:t>
      </w:r>
      <w:proofErr w:type="spellStart"/>
      <w:r>
        <w:t>scepticism</w:t>
      </w:r>
      <w:proofErr w:type="spellEnd"/>
      <w:r>
        <w:t xml:space="preserve"> towards CSR genuineness. Becker-Olsen, Cudmore and Hill (2006) suggested that a downward reaction occurs when CSR is perceived as self-serving to consumers. </w:t>
      </w:r>
      <w:proofErr w:type="spellStart"/>
      <w:r>
        <w:t>Alhouti</w:t>
      </w:r>
      <w:proofErr w:type="spellEnd"/>
      <w:r>
        <w:t xml:space="preserve"> et al. (2016) uncovered similar concerns, concluding that perceived </w:t>
      </w:r>
      <w:proofErr w:type="spellStart"/>
      <w:r>
        <w:t>organisational</w:t>
      </w:r>
      <w:proofErr w:type="spellEnd"/>
      <w:r>
        <w:t xml:space="preserve"> motives are explanatory of CSR effectiveness. As a result, Tesco's CSR efforts produce positive impacts, but greater transparency and authenticity are required to boost consumer trust.</w:t>
      </w:r>
    </w:p>
    <w:p w14:paraId="021EB7FB" w14:textId="77777777" w:rsidR="00A12401" w:rsidRDefault="00A25E1C">
      <w:pPr>
        <w:pStyle w:val="Heading2"/>
      </w:pPr>
      <w:bookmarkStart w:id="70" w:name="_ih70jhf62vcr" w:colFirst="0" w:colLast="0"/>
      <w:bookmarkEnd w:id="70"/>
      <w:r>
        <w:t>5.3 Discussion in relation to research objectives</w:t>
      </w:r>
    </w:p>
    <w:p w14:paraId="6F84B6FA" w14:textId="77777777" w:rsidR="00A12401" w:rsidRDefault="00A25E1C">
      <w:pPr>
        <w:pStyle w:val="Heading3"/>
      </w:pPr>
      <w:bookmarkStart w:id="71" w:name="_qebavjogwiap" w:colFirst="0" w:colLast="0"/>
      <w:bookmarkEnd w:id="71"/>
      <w:r>
        <w:t>5.3.1 Discussion of Research Objective 1</w:t>
      </w:r>
    </w:p>
    <w:p w14:paraId="516C87C3" w14:textId="77777777" w:rsidR="00A12401" w:rsidRDefault="00A25E1C">
      <w:r>
        <w:t>The first research objective aimed to identify Tesco’s main CSR marketing activities. The findings revealed that 65% of all respondents knew about Tesco's CSR initiatives, but 35% didn't. The consciousness level indicates that Tesco's CSR is moderately visible to customers. This is not only a remarkable discovery from the perspective of consumer awareness, because consumer knowledge serves as the basis for the evaluation and involvement of CSR. However, Du, Bhattacharya and Sen (2010) found that for the CSR</w:t>
      </w:r>
      <w:r>
        <w:t xml:space="preserve"> initiatives to have an impact on consumer attitudes, the consumer must know about them. Likewise, Pérez and Rodríguez del Bosque (2015) established that the attitude towards CSR has a positive impact on brand perceptions and stakeholder relations. There is some element of awareness, however, in the present study, that means that Tesco's communication strategy regarding CSR has yet to have a major impact on all consumers.</w:t>
      </w:r>
    </w:p>
    <w:p w14:paraId="4BA126D2" w14:textId="77777777" w:rsidR="00A12401" w:rsidRDefault="00A25E1C">
      <w:r>
        <w:t xml:space="preserve">The activity that people most </w:t>
      </w:r>
      <w:proofErr w:type="spellStart"/>
      <w:r>
        <w:t>recognised</w:t>
      </w:r>
      <w:proofErr w:type="spellEnd"/>
      <w:r>
        <w:t xml:space="preserve"> was environmental sustainability, with 47% of responses. Community support was a close second at 21%, and ethical sourcing was at 16%. The results indicate that consumers become more attentive to sustainability efforts due to the high level of public awareness and media attention on sustainability. The same was noticed by Mohr and Webb (2005), who concluded that green </w:t>
      </w:r>
      <w:proofErr w:type="spellStart"/>
      <w:r>
        <w:t>behaviour</w:t>
      </w:r>
      <w:proofErr w:type="spellEnd"/>
      <w:r>
        <w:t xml:space="preserve"> does have a significant impact on customer perceptions of </w:t>
      </w:r>
      <w:proofErr w:type="spellStart"/>
      <w:r>
        <w:t>organisations</w:t>
      </w:r>
      <w:proofErr w:type="spellEnd"/>
      <w:r>
        <w:t xml:space="preserve">. Kumar and </w:t>
      </w:r>
      <w:proofErr w:type="spellStart"/>
      <w:r>
        <w:t>Christodoulopoulou</w:t>
      </w:r>
      <w:proofErr w:type="spellEnd"/>
      <w:r>
        <w:t xml:space="preserve"> (2014) also found </w:t>
      </w:r>
      <w:r>
        <w:t>that consumer expectations and purchasing attitudes are increasingly being influenced by sustainability initiatives. However, Becker-Olsen, Cudmore and Hill (2006) indicated that consumers are likely to be more receptive to community-based programs if they see local benefits. As a result, Tesco customers seem to be more concerned with wider environmental issues than with the more conventional acts of charity.</w:t>
      </w:r>
    </w:p>
    <w:p w14:paraId="005B1E1C" w14:textId="77777777" w:rsidR="00A12401" w:rsidRDefault="00A25E1C">
      <w:r>
        <w:t xml:space="preserve">These results also indicated that social media represented the maximal communication channel for CSR, with a 68% share. In-store promotions experienced a 16% influence, and no influence was measured for television advertising. This study illustrates the increasing significance of digital communication in a retail context for CSR strategies. According to Du et al. 2010, adopting digital platforms offers </w:t>
      </w:r>
      <w:proofErr w:type="spellStart"/>
      <w:r>
        <w:t>organisations</w:t>
      </w:r>
      <w:proofErr w:type="spellEnd"/>
      <w:r>
        <w:t xml:space="preserve"> efficient communication opportunities with the stakeholders regarding CSR activities. The same finding is presented by Colleoni (2013), who stated that social media is effective in providing visibility and awareness towards CSR and in engaging stakeholders. However, less digitally savvy consumers may not be aware of traditional communication methods. Therefore, Tesco could benefit from some more substantial offline promotion and digital communication, simultaneously.</w:t>
      </w:r>
    </w:p>
    <w:p w14:paraId="429EC727" w14:textId="77777777" w:rsidR="00A12401" w:rsidRDefault="00A25E1C">
      <w:r>
        <w:t xml:space="preserve">Overall findings show that CSR strategy is known mainly via supporting sustainability </w:t>
      </w:r>
      <w:proofErr w:type="spellStart"/>
      <w:r>
        <w:t>programmes</w:t>
      </w:r>
      <w:proofErr w:type="spellEnd"/>
      <w:r>
        <w:t xml:space="preserve"> and communication on social media. Accordingly, awareness serves as an essential mediator within the conceptual framework, as consumers are unable to judge the CSR activities if they are not aware of them. But knowing about those things is not enough to produce good results. CSR genuineness had the worst NPS value of -25, indicating that CSR genuineness does not go without credibility. This is consistent with Alhouti, Johnson and Holloway (2016), who concluded that perceived authenticity is a det</w:t>
      </w:r>
      <w:r>
        <w:t xml:space="preserve">erminant of the effectiveness of CSR. Similar concerns regarding consumer </w:t>
      </w:r>
      <w:proofErr w:type="spellStart"/>
      <w:r>
        <w:t>scepticism</w:t>
      </w:r>
      <w:proofErr w:type="spellEnd"/>
      <w:r>
        <w:t xml:space="preserve"> were highlighted by Becker-Olsen et al. (2006).</w:t>
      </w:r>
    </w:p>
    <w:p w14:paraId="604AF8BC" w14:textId="77777777" w:rsidR="00A12401" w:rsidRDefault="00A25E1C">
      <w:pPr>
        <w:pStyle w:val="Heading3"/>
      </w:pPr>
      <w:bookmarkStart w:id="72" w:name="_te81nf84r95i" w:colFirst="0" w:colLast="0"/>
      <w:bookmarkEnd w:id="72"/>
      <w:r>
        <w:t>5.3.2 Discussion of Research Objective 2</w:t>
      </w:r>
    </w:p>
    <w:p w14:paraId="37353D28" w14:textId="77777777" w:rsidR="00A12401" w:rsidRDefault="00A25E1C">
      <w:r>
        <w:t xml:space="preserve">The second research aim </w:t>
      </w:r>
      <w:proofErr w:type="spellStart"/>
      <w:r>
        <w:t>analysed</w:t>
      </w:r>
      <w:proofErr w:type="spellEnd"/>
      <w:r>
        <w:t xml:space="preserve"> the consumers' brand preference due to CSR marketing activities in Tesco. The findings indicated that CSR activities positively impacted the brand perception, with a score achieved as NPS 5 and the highest mean value of 7.10. Overall, this indicates consumers make a general positive link between Tesco’s CSR activities and responsible </w:t>
      </w:r>
      <w:proofErr w:type="spellStart"/>
      <w:r>
        <w:t>organisational</w:t>
      </w:r>
      <w:proofErr w:type="spellEnd"/>
      <w:r>
        <w:t xml:space="preserve"> </w:t>
      </w:r>
      <w:proofErr w:type="spellStart"/>
      <w:r>
        <w:t>behaviour</w:t>
      </w:r>
      <w:proofErr w:type="spellEnd"/>
      <w:r>
        <w:t>. This finding is significant because of its role in the positive brand image development. According to Sen and Bhattacharya (2001), CSR campai</w:t>
      </w:r>
      <w:r>
        <w:t>gn leads to improvement in consumers' evaluation and corporate image. Similarly, Martinez and Rodriguez del Bosque (2013) discovered that responsible practices enhance brand image and the perceptions of the stakeholders.</w:t>
      </w:r>
    </w:p>
    <w:p w14:paraId="107800D9" w14:textId="77777777" w:rsidR="00A12401" w:rsidRDefault="00A25E1C">
      <w:r>
        <w:t xml:space="preserve">Perception scores were positive, but trust scores were lower, at NPS -10. This result shows that consumers are aware of Tesco's CSR efforts yet remain unsure about the authenticity of the efforts. The finding is of interest, since it is the trust that helps bridge the gap between perception and </w:t>
      </w:r>
      <w:proofErr w:type="spellStart"/>
      <w:r>
        <w:t>behaviour</w:t>
      </w:r>
      <w:proofErr w:type="spellEnd"/>
      <w:r>
        <w:t xml:space="preserve">. Chaudhuri and Holbrook (2001) determined that trust formation was an important factor influencing loyalty and </w:t>
      </w:r>
      <w:proofErr w:type="spellStart"/>
      <w:r>
        <w:t>behavioural</w:t>
      </w:r>
      <w:proofErr w:type="spellEnd"/>
      <w:r>
        <w:t xml:space="preserve"> intentions. Likewise, Hur, Kim and Woo (2018) claimed that trust can increase the emotional connections between consumers and brands. Some of the results, however, run counter to Martínez and Rodríguez del Bosque (2013), who found higher levels of trust to have emerged from CSR initiatives.</w:t>
      </w:r>
    </w:p>
    <w:p w14:paraId="66C54C16" w14:textId="77777777" w:rsidR="00A12401" w:rsidRDefault="00A25E1C">
      <w:r>
        <w:t xml:space="preserve">Directly linking CSR to brand preference was modest, with an NPS score of -20. This finding is illustrative that positive perceptions are not naturally the same as being purchased. However, </w:t>
      </w:r>
      <w:proofErr w:type="spellStart"/>
      <w:r>
        <w:t>favourable</w:t>
      </w:r>
      <w:proofErr w:type="spellEnd"/>
      <w:r>
        <w:t xml:space="preserve"> attitudes are not necessarily associated with </w:t>
      </w:r>
      <w:proofErr w:type="spellStart"/>
      <w:r>
        <w:t>behavioural</w:t>
      </w:r>
      <w:proofErr w:type="spellEnd"/>
      <w:r>
        <w:t xml:space="preserve"> actions due to other influences on decision making, per Ajzen (1991). The same was reported by Sen and Bhattacharya (2001), where it was concluded that CSR is having positive effect on attitudes and not purchasing decisions. The direct effect of CSR on brand preference is consequently lower, due to the competing options and authenticity issues that might prompt shoppers to reconsider their purchases.</w:t>
      </w:r>
    </w:p>
    <w:p w14:paraId="3A04DE3B" w14:textId="77777777" w:rsidR="00A12401" w:rsidRDefault="00A25E1C">
      <w:r>
        <w:t xml:space="preserve">The NPS scores of both loyalty and recommendation </w:t>
      </w:r>
      <w:proofErr w:type="spellStart"/>
      <w:r>
        <w:t>behaviour</w:t>
      </w:r>
      <w:proofErr w:type="spellEnd"/>
      <w:r>
        <w:t xml:space="preserve"> were -5, in the moderate range for outcomes. The outcome of these results indicated CSR had a positive influence on emotional attachment and did not show as an independent variable to generate a strong care loyalty. Hur et al. (2018) found that CSR enhances customer loyalty through emotional involvement with </w:t>
      </w:r>
      <w:proofErr w:type="spellStart"/>
      <w:r>
        <w:t>organisations</w:t>
      </w:r>
      <w:proofErr w:type="spellEnd"/>
      <w:r>
        <w:t>. Likewise, Bhattacharya and Sen (2004) suggested that CSR could improve the relationship of consumers to a brand. If cost is a factor, however, the willingness to pay had the low</w:t>
      </w:r>
      <w:r>
        <w:t>est NPS score at -25, which shows that cost is an important consideration when there is a purchasing decision.</w:t>
      </w:r>
    </w:p>
    <w:p w14:paraId="67CE4909" w14:textId="77777777" w:rsidR="00A12401" w:rsidRDefault="00A25E1C">
      <w:r>
        <w:t xml:space="preserve">The deeper relationships among awareness, trust, loyalty and preference variables were </w:t>
      </w:r>
      <w:proofErr w:type="spellStart"/>
      <w:r>
        <w:t>emphasised</w:t>
      </w:r>
      <w:proofErr w:type="spellEnd"/>
      <w:r>
        <w:t xml:space="preserve"> by the correlation analysis as well. The correlation between awareness and shopping preference was 0.98, </w:t>
      </w:r>
      <w:proofErr w:type="gramStart"/>
      <w:r>
        <w:t>and also</w:t>
      </w:r>
      <w:proofErr w:type="gramEnd"/>
      <w:r>
        <w:t xml:space="preserve"> the correlation between trust and loyalty was also 0.98. Communication clarity showed a significant relationship with positive brand perception, being 0.96. The correlations between these relationships imply that outcomes of CSR are not independent but interconnected. However, due to the small sample size of 20 responses, these extremely high correlations must be interpreted with some</w:t>
      </w:r>
      <w:r>
        <w:t xml:space="preserve"> caution and should not be extrapolated outside of the sample. The overall results show that CSR has a stronger impact on perception and trust as compared to purchasing </w:t>
      </w:r>
      <w:proofErr w:type="spellStart"/>
      <w:r>
        <w:t>behaviour</w:t>
      </w:r>
      <w:proofErr w:type="spellEnd"/>
      <w:r>
        <w:t>, which agrees with the theory proposed in Chapter 2.</w:t>
      </w:r>
    </w:p>
    <w:p w14:paraId="6FD4C2AC" w14:textId="77777777" w:rsidR="00A12401" w:rsidRDefault="00A25E1C">
      <w:pPr>
        <w:pStyle w:val="Heading3"/>
      </w:pPr>
      <w:bookmarkStart w:id="73" w:name="_ugjdjbitea5p" w:colFirst="0" w:colLast="0"/>
      <w:bookmarkEnd w:id="73"/>
      <w:r>
        <w:t>5.3.4 Discussion of Research Objective 3 (Recommendation)</w:t>
      </w:r>
    </w:p>
    <w:p w14:paraId="503D299C" w14:textId="77777777" w:rsidR="00A12401" w:rsidRDefault="00A25E1C">
      <w:pPr>
        <w:pStyle w:val="Heading4"/>
      </w:pPr>
      <w:r>
        <w:t>Enhance CSR Communication Transparency</w:t>
      </w:r>
    </w:p>
    <w:p w14:paraId="55721984" w14:textId="77777777" w:rsidR="00A12401" w:rsidRDefault="00A25E1C">
      <w:r>
        <w:t xml:space="preserve">Communication transparency is needed as some consumers doubted the sincerity of the </w:t>
      </w:r>
      <w:proofErr w:type="spellStart"/>
      <w:r>
        <w:t>organisation</w:t>
      </w:r>
      <w:proofErr w:type="spellEnd"/>
      <w:r>
        <w:t xml:space="preserve"> </w:t>
      </w:r>
      <w:proofErr w:type="gramStart"/>
      <w:r>
        <w:t>in regards to</w:t>
      </w:r>
      <w:proofErr w:type="gramEnd"/>
      <w:r>
        <w:t xml:space="preserve"> promoted CSR activities. The survey revealed that Q10 had the lowest NPS score of -25 of all the variables </w:t>
      </w:r>
      <w:proofErr w:type="spellStart"/>
      <w:r>
        <w:t>analysed</w:t>
      </w:r>
      <w:proofErr w:type="spellEnd"/>
      <w:r>
        <w:t>. Q11 also yielded an NPS of -5, which means there was moderate dissatisfaction with the clarity of the communication. Further, 65% of the respondents were already aware of the Tesco CSR initiatives, providing opportunities for better engagement strategies. Tesco needs to therefore offer actual sustainability statements, guaranteed green accomplishments and demonstrat</w:t>
      </w:r>
      <w:r>
        <w:t xml:space="preserve">ion of communication practices based on evidence. Communication had a high correlation score with trust (r=0.84) and with recommendation </w:t>
      </w:r>
      <w:proofErr w:type="spellStart"/>
      <w:r>
        <w:t>behaviour</w:t>
      </w:r>
      <w:proofErr w:type="spellEnd"/>
      <w:r>
        <w:t xml:space="preserve"> (r=0.90) in the correlation analysis. The results of this research provide a clear indication that open communication has the potential to greatly enhance </w:t>
      </w:r>
      <w:proofErr w:type="spellStart"/>
      <w:r>
        <w:t>organisational</w:t>
      </w:r>
      <w:proofErr w:type="spellEnd"/>
      <w:r>
        <w:t xml:space="preserve"> credibility, consumer trust and engagement. According to Du, Bhattacharya and Sen (2010), transparent CSR communications greatly enhance long-term consumer relationships.</w:t>
      </w:r>
    </w:p>
    <w:p w14:paraId="1549C09C" w14:textId="77777777" w:rsidR="00A12401" w:rsidRDefault="00A25E1C">
      <w:pPr>
        <w:pStyle w:val="Heading4"/>
      </w:pPr>
      <w:r>
        <w:t xml:space="preserve">Increase Sustainability and Ethical Sourcing </w:t>
      </w:r>
      <w:proofErr w:type="spellStart"/>
      <w:r>
        <w:t>Programmes</w:t>
      </w:r>
      <w:proofErr w:type="spellEnd"/>
    </w:p>
    <w:p w14:paraId="496EEA7A" w14:textId="77777777" w:rsidR="00A12401" w:rsidRDefault="00A25E1C">
      <w:r>
        <w:t xml:space="preserve">Tesco should extend sustainability </w:t>
      </w:r>
      <w:proofErr w:type="spellStart"/>
      <w:r>
        <w:t>programmes</w:t>
      </w:r>
      <w:proofErr w:type="spellEnd"/>
      <w:r>
        <w:t xml:space="preserve">, as environmental responsibility was most </w:t>
      </w:r>
      <w:proofErr w:type="spellStart"/>
      <w:r>
        <w:t>recognised</w:t>
      </w:r>
      <w:proofErr w:type="spellEnd"/>
      <w:r>
        <w:t xml:space="preserve"> by the consumers in the survey results. Environmental sustainability affected 47% of respondents, leading to the activity being the most </w:t>
      </w:r>
      <w:proofErr w:type="spellStart"/>
      <w:r>
        <w:t>recognised</w:t>
      </w:r>
      <w:proofErr w:type="spellEnd"/>
      <w:r>
        <w:t xml:space="preserve"> by consumers of all the activities undertaken by Tesco. Moderate consumer interest in responsible operational practices was indicated through ethical sourcing, with 16% of respondents indicating its influence. Moreover, Q7 recorded an NPS score of -15, meaning that the expectations for sustainabilit</w:t>
      </w:r>
      <w:r>
        <w:t xml:space="preserve">y are not yet well met. Tesco should thus continue to grow their sustainable packaging, carbon reduction initiatives, investments in renewable energy, and sustainable sourcing. The correlation analysis results showed that sustainability was well correlated with trust (r=0.98) and shopping preference (r=0.98). The results indicate that trust, loyalty and </w:t>
      </w:r>
      <w:proofErr w:type="spellStart"/>
      <w:r>
        <w:t>behaviours</w:t>
      </w:r>
      <w:proofErr w:type="spellEnd"/>
      <w:r>
        <w:t xml:space="preserve"> of consumers can be greatly enhanced through stronger sustainability </w:t>
      </w:r>
      <w:proofErr w:type="spellStart"/>
      <w:r>
        <w:t>programmes</w:t>
      </w:r>
      <w:proofErr w:type="spellEnd"/>
      <w:r>
        <w:t>. Camilleri (2017) stated that sustainability drives retail consum</w:t>
      </w:r>
      <w:r>
        <w:t xml:space="preserve">er attitudes, and </w:t>
      </w:r>
      <w:proofErr w:type="spellStart"/>
      <w:r>
        <w:t>organisational</w:t>
      </w:r>
      <w:proofErr w:type="spellEnd"/>
      <w:r>
        <w:t xml:space="preserve"> competitiveness is also affected by sustainability globally in an increasing manner.</w:t>
      </w:r>
    </w:p>
    <w:p w14:paraId="3F2620F0" w14:textId="77777777" w:rsidR="00A12401" w:rsidRDefault="00A25E1C">
      <w:pPr>
        <w:pStyle w:val="Heading4"/>
      </w:pPr>
      <w:r>
        <w:t xml:space="preserve">Increase Consumer Participation within Community-Based CSR </w:t>
      </w:r>
      <w:proofErr w:type="spellStart"/>
      <w:r>
        <w:t>Programmes</w:t>
      </w:r>
      <w:proofErr w:type="spellEnd"/>
    </w:p>
    <w:p w14:paraId="34CA7021" w14:textId="77777777" w:rsidR="00A12401" w:rsidRDefault="00A25E1C">
      <w:r>
        <w:t xml:space="preserve">Direct participation by consumers should be encouraged, as this would be a major driver of emotional attachment and development of stakeholder relationships for Tesco. Q8 had the highest community-related NPS score at 0, with several other CSR dimensions improving significantly. Plus, 70% of respondents make weekly purchases, which means that Tesco already has an active, engaged customer base. Tesco should, therefore, regularly have recycling campaigns, volunteer </w:t>
      </w:r>
      <w:proofErr w:type="spellStart"/>
      <w:r>
        <w:t>programmes</w:t>
      </w:r>
      <w:proofErr w:type="spellEnd"/>
      <w:r>
        <w:t xml:space="preserve">, charity partnerships and sustainability </w:t>
      </w:r>
      <w:proofErr w:type="spellStart"/>
      <w:r>
        <w:t>programmes</w:t>
      </w:r>
      <w:proofErr w:type="spellEnd"/>
      <w:r>
        <w:t xml:space="preserve"> in the community. Community support was found to have a positive correlation with recommendation </w:t>
      </w:r>
      <w:proofErr w:type="spellStart"/>
      <w:r>
        <w:t>behaviour</w:t>
      </w:r>
      <w:proofErr w:type="spellEnd"/>
      <w:r>
        <w:t xml:space="preserve"> (r=0.93) and perception (r=0.98), with a strong positive correlation. The results suggest that participation-based </w:t>
      </w:r>
      <w:proofErr w:type="spellStart"/>
      <w:r>
        <w:t>programmes</w:t>
      </w:r>
      <w:proofErr w:type="spellEnd"/>
      <w:r>
        <w:t xml:space="preserve"> can have a significant positive impact on emotional connection, loyalty and </w:t>
      </w:r>
      <w:proofErr w:type="spellStart"/>
      <w:r>
        <w:t>behavioural</w:t>
      </w:r>
      <w:proofErr w:type="spellEnd"/>
      <w:r>
        <w:t xml:space="preserve"> engagement. Bhattacharya, </w:t>
      </w:r>
      <w:proofErr w:type="spellStart"/>
      <w:r>
        <w:t>Korschun</w:t>
      </w:r>
      <w:proofErr w:type="spellEnd"/>
      <w:r>
        <w:t xml:space="preserve"> and Sen (2009) said that colleagueship in CSR fosters trust and the quality of relationships </w:t>
      </w:r>
      <w:r>
        <w:t>among stakeholders.</w:t>
      </w:r>
    </w:p>
    <w:p w14:paraId="553C6CC4" w14:textId="77777777" w:rsidR="00A12401" w:rsidRDefault="00A25E1C">
      <w:pPr>
        <w:pStyle w:val="Heading4"/>
      </w:pPr>
      <w:r>
        <w:t>Use Social Media More Strategically for CSR Engagement</w:t>
      </w:r>
    </w:p>
    <w:p w14:paraId="0A257FB0" w14:textId="77777777" w:rsidR="00A12401" w:rsidRDefault="00A25E1C">
      <w:r>
        <w:t>Tesco needs to improve communication on social media, as this was the most dominant platform for raising CSR awareness among the respondents surveyed as a whole. The responses to the survey indicated that 68% of respondents learned about the information related to CSR of Tesco by social media communication channels specifically. In findings, 0% of respondents were engaged by television advertisements, and 11% by email communication. So, there should be interactive storytelling campaigns that showcase real s</w:t>
      </w:r>
      <w:r>
        <w:t xml:space="preserve">ustainability successes and community engagement initiatives for Tesco. Correlation analysis showed that there was a strong correlation between awareness and trust (r=0.98) and with loyalty (r=0.97). The results show that effective digital communication has the potential to greatly improve consumer perception, engagement and recommendation </w:t>
      </w:r>
      <w:proofErr w:type="spellStart"/>
      <w:r>
        <w:t>behaviour</w:t>
      </w:r>
      <w:proofErr w:type="spellEnd"/>
      <w:r>
        <w:t xml:space="preserve">. Kim and Ferguson (2018) stated that authentic social media communication enhances CSR awareness, trust and </w:t>
      </w:r>
      <w:proofErr w:type="spellStart"/>
      <w:r>
        <w:t>behavioural</w:t>
      </w:r>
      <w:proofErr w:type="spellEnd"/>
      <w:r>
        <w:t xml:space="preserve"> results. These recommendations act </w:t>
      </w:r>
      <w:proofErr w:type="gramStart"/>
      <w:r>
        <w:t xml:space="preserve">as a </w:t>
      </w:r>
      <w:r>
        <w:t>whole to</w:t>
      </w:r>
      <w:proofErr w:type="gramEnd"/>
      <w:r>
        <w:t xml:space="preserve"> drive up consumer engagement, </w:t>
      </w:r>
      <w:proofErr w:type="spellStart"/>
      <w:r>
        <w:t>organisational</w:t>
      </w:r>
      <w:proofErr w:type="spellEnd"/>
      <w:r>
        <w:t xml:space="preserve"> credibility and long-term consumer relationships.</w:t>
      </w:r>
    </w:p>
    <w:p w14:paraId="5BA0264D" w14:textId="77777777" w:rsidR="00A12401" w:rsidRDefault="00A25E1C">
      <w:pPr>
        <w:pStyle w:val="Heading2"/>
      </w:pPr>
      <w:bookmarkStart w:id="74" w:name="_33s29u7judql" w:colFirst="0" w:colLast="0"/>
      <w:bookmarkEnd w:id="74"/>
      <w:r>
        <w:t>5.4 Overall Discussion Summary</w:t>
      </w:r>
    </w:p>
    <w:p w14:paraId="29EA4DFD" w14:textId="77777777" w:rsidR="00A12401" w:rsidRDefault="00A25E1C">
      <w:r>
        <w:t xml:space="preserve">Overall, the results show that Tesco's CSR activities have a positive impact on consumer perception and consumer trust, and moderately impact brand preference and purchase </w:t>
      </w:r>
      <w:proofErr w:type="spellStart"/>
      <w:r>
        <w:t>behaviour</w:t>
      </w:r>
      <w:proofErr w:type="spellEnd"/>
      <w:r>
        <w:t xml:space="preserve">. The consumer reaction to sustainability measures was the best, and the biggest challenge was a lack of authenticity in communication. The correlation between all variables, such as awareness, trust, loyalty, recommendation </w:t>
      </w:r>
      <w:proofErr w:type="spellStart"/>
      <w:r>
        <w:t>behaviour</w:t>
      </w:r>
      <w:proofErr w:type="spellEnd"/>
      <w:r>
        <w:t xml:space="preserve">, and preference, was very positive, which supported the hypotheses of the theoretical framework developed in the study. The discussion is supportive of the idea that best practices in CSR must be transparent, authentic, engage stakeholders, and be communicated well, </w:t>
      </w:r>
      <w:proofErr w:type="gramStart"/>
      <w:r>
        <w:t>i</w:t>
      </w:r>
      <w:r>
        <w:t>n order to</w:t>
      </w:r>
      <w:proofErr w:type="gramEnd"/>
      <w:r>
        <w:t xml:space="preserve"> ensure that positive consumer perceptions lead to lasting brand preference, trust, advocacy, and loyalty.</w:t>
      </w:r>
      <w:r>
        <w:br w:type="page"/>
      </w:r>
    </w:p>
    <w:p w14:paraId="1CBE999C" w14:textId="77777777" w:rsidR="00A12401" w:rsidRDefault="00A25E1C">
      <w:pPr>
        <w:pStyle w:val="Heading1"/>
      </w:pPr>
      <w:bookmarkStart w:id="75" w:name="_x2e4toyrtlq1" w:colFirst="0" w:colLast="0"/>
      <w:bookmarkEnd w:id="75"/>
      <w:r>
        <w:t>6. Conclusion</w:t>
      </w:r>
    </w:p>
    <w:p w14:paraId="5717C013" w14:textId="77777777" w:rsidR="00A12401" w:rsidRDefault="00A25E1C">
      <w:pPr>
        <w:pStyle w:val="Heading2"/>
      </w:pPr>
      <w:bookmarkStart w:id="76" w:name="_ok9fk8xfpntz" w:colFirst="0" w:colLast="0"/>
      <w:bookmarkEnd w:id="76"/>
      <w:r>
        <w:t>6.1 Overview</w:t>
      </w:r>
    </w:p>
    <w:p w14:paraId="453080E7" w14:textId="77777777" w:rsidR="00A12401" w:rsidRDefault="00A25E1C">
      <w:r>
        <w:t xml:space="preserve">The findings of the research on CSR marketing activities and consumer brand preference are </w:t>
      </w:r>
      <w:proofErr w:type="spellStart"/>
      <w:r>
        <w:t>summarised</w:t>
      </w:r>
      <w:proofErr w:type="spellEnd"/>
      <w:r>
        <w:t xml:space="preserve"> in this chapter. The impact of Tesco's CSR practices on consumer perception, consumer trust, customer loyalty and purchasing </w:t>
      </w:r>
      <w:proofErr w:type="spellStart"/>
      <w:r>
        <w:t>behaviour</w:t>
      </w:r>
      <w:proofErr w:type="spellEnd"/>
      <w:r>
        <w:t xml:space="preserve"> was studied. The quantitative results revealed moderate overall awareness of sustainability and community engagement activities among the consumers of Tesco. The survey results indicated satisfaction, with 65% having some awareness of Tesco's CSR activities and the responsibilities of the </w:t>
      </w:r>
      <w:proofErr w:type="spellStart"/>
      <w:r>
        <w:t>organisation</w:t>
      </w:r>
      <w:proofErr w:type="spellEnd"/>
      <w:r>
        <w:t xml:space="preserve">. In addition, 70% of the respondents visited Tesco every week, </w:t>
      </w:r>
      <w:r>
        <w:t xml:space="preserve">suggesting the regular use by consumers of </w:t>
      </w:r>
      <w:proofErr w:type="spellStart"/>
      <w:r>
        <w:t>organisational</w:t>
      </w:r>
      <w:proofErr w:type="spellEnd"/>
      <w:r>
        <w:t xml:space="preserve"> practices. Influenced, 47% of the respondents within the collected findings, was environmental sustainability, the strongest </w:t>
      </w:r>
      <w:proofErr w:type="spellStart"/>
      <w:r>
        <w:t>recognised</w:t>
      </w:r>
      <w:proofErr w:type="spellEnd"/>
      <w:r>
        <w:t xml:space="preserve"> CSR activity. Social media was the most popular media for influence on 68% of respondents for information regarding CSR in Tesco. The results revealed the increasing significance of digital communication in contemporary retail sustainability marketing approaches. The study also found that ethical practices and sustai</w:t>
      </w:r>
      <w:r>
        <w:t xml:space="preserve">nability have become more important to consumers in their assessment of </w:t>
      </w:r>
      <w:proofErr w:type="spellStart"/>
      <w:r>
        <w:t>organisations</w:t>
      </w:r>
      <w:proofErr w:type="spellEnd"/>
      <w:r>
        <w:t xml:space="preserve">. But consumers still exhibited mistrust of the sincerity of </w:t>
      </w:r>
      <w:proofErr w:type="spellStart"/>
      <w:r>
        <w:t>organisations</w:t>
      </w:r>
      <w:proofErr w:type="spellEnd"/>
      <w:r>
        <w:t xml:space="preserve"> and the communication activities of CSR. The NPS rating of –25 was the lowest, due to doubts of consumers on the authenticity and genuineness of CSR. It was therefore found that to have a positive effect on </w:t>
      </w:r>
      <w:proofErr w:type="spellStart"/>
      <w:r>
        <w:t>behaviour</w:t>
      </w:r>
      <w:proofErr w:type="spellEnd"/>
      <w:r>
        <w:t xml:space="preserve">, awareness must be supported by </w:t>
      </w:r>
      <w:proofErr w:type="spellStart"/>
      <w:r>
        <w:t>organisational</w:t>
      </w:r>
      <w:proofErr w:type="spellEnd"/>
      <w:r>
        <w:t xml:space="preserve"> credibility. In general, Tesco's CSR activities brought around positive perception of em</w:t>
      </w:r>
      <w:r>
        <w:t xml:space="preserve">otions and less effective </w:t>
      </w:r>
      <w:proofErr w:type="spellStart"/>
      <w:r>
        <w:t>behavioural</w:t>
      </w:r>
      <w:proofErr w:type="spellEnd"/>
      <w:r>
        <w:t xml:space="preserve"> purchases.</w:t>
      </w:r>
    </w:p>
    <w:p w14:paraId="70CDFC40" w14:textId="77777777" w:rsidR="00A12401" w:rsidRDefault="00A25E1C">
      <w:pPr>
        <w:pStyle w:val="Heading2"/>
      </w:pPr>
      <w:bookmarkStart w:id="77" w:name="_kbzvxf7wrqat" w:colFirst="0" w:colLast="0"/>
      <w:bookmarkEnd w:id="77"/>
      <w:r>
        <w:t>6.2 Summary of Research Objectives and Findings</w:t>
      </w:r>
    </w:p>
    <w:p w14:paraId="29531764" w14:textId="77777777" w:rsidR="00A12401" w:rsidRDefault="00A25E1C">
      <w:r>
        <w:t xml:space="preserve">The first research objective identified major CSR marketing activities implemented inside the Tesco retail operations that were successful. Findings showed that sustainability campaigns garnered the greatest consumer attention, highly over charity or employee welfare. Responsible </w:t>
      </w:r>
      <w:proofErr w:type="spellStart"/>
      <w:r>
        <w:t>organisational</w:t>
      </w:r>
      <w:proofErr w:type="spellEnd"/>
      <w:r>
        <w:t xml:space="preserve"> image development processes also affected respondents in terms of ethical sourcing and community support. It also highlighted that Tesco's mode of communicating CSR information is through social media and digital engagement. These results were indicative of retail communication approaches focused on opening, transparency, and dynamic interactions with the stakeholders. Moderate awareness results indicated that there are still left some traces of Tesco communication, but the level of support f</w:t>
      </w:r>
      <w:r>
        <w:t xml:space="preserve">rom consumers must be increased. The second research goal investigated and compared brand preference outcomes </w:t>
      </w:r>
      <w:proofErr w:type="gramStart"/>
      <w:r>
        <w:t>with regard to</w:t>
      </w:r>
      <w:proofErr w:type="gramEnd"/>
      <w:r>
        <w:t xml:space="preserve"> CSR marketing activities. The results revealed that CSR had a positive impact on </w:t>
      </w:r>
      <w:proofErr w:type="spellStart"/>
      <w:r>
        <w:t>organisational</w:t>
      </w:r>
      <w:proofErr w:type="spellEnd"/>
      <w:r>
        <w:t xml:space="preserve"> perception, emotional attachment and development of consumer trust. The third best NPS score was for positive brand perception, which was scored at +5 out of the </w:t>
      </w:r>
      <w:proofErr w:type="spellStart"/>
      <w:r>
        <w:t>analysed</w:t>
      </w:r>
      <w:proofErr w:type="spellEnd"/>
      <w:r>
        <w:t xml:space="preserve"> </w:t>
      </w:r>
      <w:proofErr w:type="spellStart"/>
      <w:r>
        <w:t>behavioural</w:t>
      </w:r>
      <w:proofErr w:type="spellEnd"/>
      <w:r>
        <w:t xml:space="preserve"> variables. In the same way, shopping preferences that were directly attributed to CSR were low, with a NPS o</w:t>
      </w:r>
      <w:r>
        <w:t xml:space="preserve">f -20, though the score was relatively low. Consumers also demonstrated moderate trust about Tesco's CSR activities, often doubting the authenticity of the </w:t>
      </w:r>
      <w:proofErr w:type="spellStart"/>
      <w:r>
        <w:t>organisation</w:t>
      </w:r>
      <w:proofErr w:type="spellEnd"/>
      <w:r>
        <w:t xml:space="preserve">. Loyalty and recommendation </w:t>
      </w:r>
      <w:proofErr w:type="spellStart"/>
      <w:r>
        <w:t>behaviour</w:t>
      </w:r>
      <w:proofErr w:type="spellEnd"/>
      <w:r>
        <w:t xml:space="preserve"> yielded moderate results, with the results of -5 in both cases for NPS. When it comes to willingness to increase consumer spending on responsible practices, it was a negative NPS score again of -25. These results showed that consumers valued the sustainability actions but still </w:t>
      </w:r>
      <w:proofErr w:type="spellStart"/>
      <w:r>
        <w:t>emphasised</w:t>
      </w:r>
      <w:proofErr w:type="spellEnd"/>
      <w:r>
        <w:t xml:space="preserve"> value for money</w:t>
      </w:r>
      <w:r>
        <w:t xml:space="preserve">, ease of use and price competitiveness. The validity of the relationships between awareness, trust, loyalty, perception and </w:t>
      </w:r>
      <w:proofErr w:type="spellStart"/>
      <w:r>
        <w:t>behavioural</w:t>
      </w:r>
      <w:proofErr w:type="spellEnd"/>
      <w:r>
        <w:t xml:space="preserve"> preference variables was supported by a strong correlation analysis. The trust and Loyalty relationship had a strong positive correlation (r=0.98), as well as the awareness and Preference relationship. Findings thus verified that perception and trust are important mediating variables influencing consumer </w:t>
      </w:r>
      <w:proofErr w:type="spellStart"/>
      <w:r>
        <w:t>behavioural</w:t>
      </w:r>
      <w:proofErr w:type="spellEnd"/>
      <w:r>
        <w:t xml:space="preserve"> intention. The final research project yardstick came up w</w:t>
      </w:r>
      <w:r>
        <w:t xml:space="preserve">ith suggestions for enhancing consumer involvement in Tesco's CSR marketing communication procedures. Most of the recommendations were based on transparency, sustainability communication, community participation and real engagement with stakeholders' activities. The results indicated that Tesco's predominant priorities should be evidence-based communication and long-term sustainability commitments, not promotional messages. These recommendations aimed at strengthening </w:t>
      </w:r>
      <w:proofErr w:type="spellStart"/>
      <w:r>
        <w:t>organisational</w:t>
      </w:r>
      <w:proofErr w:type="spellEnd"/>
      <w:r>
        <w:t xml:space="preserve"> trust, reducing </w:t>
      </w:r>
      <w:proofErr w:type="spellStart"/>
      <w:r>
        <w:t>sceptici</w:t>
      </w:r>
      <w:r>
        <w:t>sm</w:t>
      </w:r>
      <w:proofErr w:type="spellEnd"/>
      <w:r>
        <w:t xml:space="preserve">, and increasing positive consumer </w:t>
      </w:r>
      <w:proofErr w:type="spellStart"/>
      <w:r>
        <w:t>behavioural</w:t>
      </w:r>
      <w:proofErr w:type="spellEnd"/>
      <w:r>
        <w:t xml:space="preserve"> engagement outcomes.</w:t>
      </w:r>
    </w:p>
    <w:p w14:paraId="73B51FC8" w14:textId="77777777" w:rsidR="00A12401" w:rsidRDefault="00A25E1C">
      <w:pPr>
        <w:pStyle w:val="Heading2"/>
      </w:pPr>
      <w:bookmarkStart w:id="78" w:name="_ddxgj4evh2xa" w:colFirst="0" w:colLast="0"/>
      <w:bookmarkEnd w:id="78"/>
      <w:r>
        <w:t>6.3 Literature Contribution &amp; Theoretical Framework</w:t>
      </w:r>
    </w:p>
    <w:p w14:paraId="06912E4D" w14:textId="77777777" w:rsidR="00A12401" w:rsidRDefault="00A25E1C">
      <w:r>
        <w:t xml:space="preserve">This study has generated good evidence on the relationship between the CSR marketing practices and consumer brand preference </w:t>
      </w:r>
      <w:proofErr w:type="spellStart"/>
      <w:r>
        <w:t>behaviour</w:t>
      </w:r>
      <w:proofErr w:type="spellEnd"/>
      <w:r>
        <w:t xml:space="preserve">. Results reinforced Carroll and Shabana's strategic approach to CSR with a focus on sustainability instead of conventional philanthropy. Tesco CSR was linked by consumers to environmental sustainability, ethical sourcing and community engagement activities. Other findings confirmed the literature regarding how retail consumers assess CSR by direct </w:t>
      </w:r>
      <w:proofErr w:type="spellStart"/>
      <w:r>
        <w:t>organisational</w:t>
      </w:r>
      <w:proofErr w:type="spellEnd"/>
      <w:r>
        <w:t xml:space="preserve"> shopping experiences. Tesco consumers regularly interacted with operational practices because 70% respondents visited stores weekly throu</w:t>
      </w:r>
      <w:r>
        <w:t xml:space="preserve">ghout the research. Findings further supported communication literature highlighting transparency and authenticity within successful modern CSR marketing strategies. Communication clarity and </w:t>
      </w:r>
      <w:proofErr w:type="spellStart"/>
      <w:r>
        <w:t>organisational</w:t>
      </w:r>
      <w:proofErr w:type="spellEnd"/>
      <w:r>
        <w:t xml:space="preserve"> genuineness continued to be a perception issue in social media communication, dominating consumer awareness. The quantitative research findings were also generally affirmed by Consumer </w:t>
      </w:r>
      <w:proofErr w:type="spellStart"/>
      <w:r>
        <w:t>Behaviour</w:t>
      </w:r>
      <w:proofErr w:type="spellEnd"/>
      <w:r>
        <w:t xml:space="preserve"> and Brand Preference Theory. Results showed that CSR had a positive effect on emotional evaluation, perception</w:t>
      </w:r>
      <w:r>
        <w:t xml:space="preserve"> development and trust formation for Tesco customers. However, positive emotional effects did not systematically result in more pronounced effects in terms of </w:t>
      </w:r>
      <w:proofErr w:type="spellStart"/>
      <w:r>
        <w:t>behaviour</w:t>
      </w:r>
      <w:proofErr w:type="spellEnd"/>
      <w:r>
        <w:t>, purchase, or preference ratings. Furthermore, the use of Brand Equity Theory has been confirmed since the sustainability activities had a positive effect on the responsible image and perceived value of Tesco. Stakeholder Theory was relevant because the Tesco CSR activities they performed clearly responded to the environmental expectations a</w:t>
      </w:r>
      <w:r>
        <w:t xml:space="preserve">nd to the larger community responsibilities. Authenticity was also key in the genesis of consumer trust, so its influence was explained using the Consumer Perception Theory as well. Conceptual relationships between awareness, perception, trust, loyalty and consumer preference variables were strongly validated by correlation analysis. However, findings indicate that CSR indirectly affects </w:t>
      </w:r>
      <w:proofErr w:type="spellStart"/>
      <w:r>
        <w:t>behavioural</w:t>
      </w:r>
      <w:proofErr w:type="spellEnd"/>
      <w:r>
        <w:t xml:space="preserve"> intentions through perception and trust development mechanisms.</w:t>
      </w:r>
    </w:p>
    <w:p w14:paraId="0AA9F028" w14:textId="77777777" w:rsidR="00A12401" w:rsidRDefault="00A25E1C">
      <w:pPr>
        <w:pStyle w:val="Heading2"/>
      </w:pPr>
      <w:bookmarkStart w:id="79" w:name="_sp9hfqvh8olb" w:colFirst="0" w:colLast="0"/>
      <w:bookmarkEnd w:id="79"/>
      <w:r>
        <w:t>6.4 Final Conclusion</w:t>
      </w:r>
    </w:p>
    <w:p w14:paraId="346EDA24" w14:textId="77777777" w:rsidR="00A12401" w:rsidRDefault="00A25E1C">
      <w:r>
        <w:t xml:space="preserve">Overall, this research concluded that Tesco's CSR activities positively influence consumer attitudes more strongly than purchasing </w:t>
      </w:r>
      <w:proofErr w:type="spellStart"/>
      <w:r>
        <w:t>behaviour</w:t>
      </w:r>
      <w:proofErr w:type="spellEnd"/>
      <w:r>
        <w:t xml:space="preserve">. The most influential and </w:t>
      </w:r>
      <w:proofErr w:type="spellStart"/>
      <w:r>
        <w:t>recognised</w:t>
      </w:r>
      <w:proofErr w:type="spellEnd"/>
      <w:r>
        <w:t xml:space="preserve"> CSR activity among respondents from Tesco was the sustainability campaigns. Social media communication also proved very important to creating awareness around </w:t>
      </w:r>
      <w:proofErr w:type="spellStart"/>
      <w:r>
        <w:t>organisational</w:t>
      </w:r>
      <w:proofErr w:type="spellEnd"/>
      <w:r>
        <w:t xml:space="preserve"> sustainability practices. Still, the lack of consumer trust in authenticity persisted to be a major constraint on the growth of stronger trust, loyalty, and buying preference. Consumer expectations of </w:t>
      </w:r>
      <w:proofErr w:type="spellStart"/>
      <w:r>
        <w:t>organisations</w:t>
      </w:r>
      <w:proofErr w:type="spellEnd"/>
      <w:r>
        <w:t xml:space="preserve"> that demonstrate transparency and consistency to behave responsibly in the l</w:t>
      </w:r>
      <w:r>
        <w:t xml:space="preserve">onger term are rising repeatedly. Tesco needs more evidence-based </w:t>
      </w:r>
      <w:proofErr w:type="gramStart"/>
      <w:r>
        <w:t>communication, but</w:t>
      </w:r>
      <w:proofErr w:type="gramEnd"/>
      <w:r>
        <w:t xml:space="preserve"> also needs tangible sustainability enhancements that add to the reputation of the </w:t>
      </w:r>
      <w:proofErr w:type="spellStart"/>
      <w:r>
        <w:t>organisation</w:t>
      </w:r>
      <w:proofErr w:type="spellEnd"/>
      <w:r>
        <w:t xml:space="preserve"> as a consumer. Good CSR communication must focus on genuine engagement of stakeholders rather than promotional branding or quick marketing initiatives. The study ultimately showed that CSR continues to be a key strategic focus in competitive retailing and in consumer-relationship management. While CSR does not necessarily lead to </w:t>
      </w:r>
      <w:r>
        <w:t xml:space="preserve">higher purchasing preference, it certainly enhances perception and emotional connection. Therefore, the efforts to promote sustainability, transparency and consumer communication are indispensable for future </w:t>
      </w:r>
      <w:proofErr w:type="spellStart"/>
      <w:r>
        <w:t>organisational</w:t>
      </w:r>
      <w:proofErr w:type="spellEnd"/>
      <w:r>
        <w:t xml:space="preserve"> success. The integrated strategies can increase the long-term competitiveness, stakeholder relationships and responsible </w:t>
      </w:r>
      <w:proofErr w:type="spellStart"/>
      <w:r>
        <w:t>organisational</w:t>
      </w:r>
      <w:proofErr w:type="spellEnd"/>
      <w:r>
        <w:t xml:space="preserve"> performance sustainably.</w:t>
      </w:r>
      <w:r>
        <w:br w:type="page"/>
      </w:r>
    </w:p>
    <w:p w14:paraId="1BB365FB" w14:textId="77777777" w:rsidR="00A12401" w:rsidRDefault="00A25E1C">
      <w:pPr>
        <w:pStyle w:val="Heading1"/>
      </w:pPr>
      <w:bookmarkStart w:id="80" w:name="_x3pweh4tpjp" w:colFirst="0" w:colLast="0"/>
      <w:bookmarkEnd w:id="80"/>
      <w:r>
        <w:t>References</w:t>
      </w:r>
    </w:p>
    <w:p w14:paraId="4C5C0BED" w14:textId="77777777" w:rsidR="00A12401" w:rsidRDefault="00A25E1C">
      <w:r>
        <w:t xml:space="preserve">Aguinis, H. and Glavas, A. (2019) ‘On corporate social responsibility, sensemaking, and the search for meaningfulness through work’, </w:t>
      </w:r>
      <w:r>
        <w:rPr>
          <w:i/>
          <w:iCs/>
        </w:rPr>
        <w:t>Journal of Management</w:t>
      </w:r>
      <w:r>
        <w:t xml:space="preserve">, 45(3), pp. 1057–1086. </w:t>
      </w:r>
    </w:p>
    <w:p w14:paraId="0242505A" w14:textId="77777777" w:rsidR="00A12401" w:rsidRDefault="00A25E1C">
      <w:proofErr w:type="spellStart"/>
      <w:r>
        <w:t>Aljarah</w:t>
      </w:r>
      <w:proofErr w:type="spellEnd"/>
      <w:r>
        <w:t xml:space="preserve">, A., Emeagwali, O.L. and Ibrahim, B. (2020) ‘The influence of CSR on brand equity’, </w:t>
      </w:r>
      <w:r>
        <w:rPr>
          <w:i/>
          <w:iCs/>
        </w:rPr>
        <w:t xml:space="preserve">Journal of Brand </w:t>
      </w:r>
      <w:proofErr w:type="spellStart"/>
      <w:r>
        <w:rPr>
          <w:i/>
          <w:iCs/>
        </w:rPr>
        <w:t>ManagemeReview</w:t>
      </w:r>
      <w:proofErr w:type="spellEnd"/>
      <w:r>
        <w:rPr>
          <w:i/>
          <w:iCs/>
        </w:rPr>
        <w:t xml:space="preserve">: </w:t>
      </w:r>
      <w:proofErr w:type="spellStart"/>
      <w:r>
        <w:rPr>
          <w:i/>
          <w:iCs/>
        </w:rPr>
        <w:t>Corporatent</w:t>
      </w:r>
      <w:proofErr w:type="spellEnd"/>
      <w:r>
        <w:t xml:space="preserve">, 27(4), pp. 1–14. </w:t>
      </w:r>
    </w:p>
    <w:p w14:paraId="45114A96" w14:textId="77777777" w:rsidR="00A12401" w:rsidRDefault="00A25E1C">
      <w:r>
        <w:t xml:space="preserve">Anghel, L. D., Grigore, G. F., and Roşca, M. (2011) </w:t>
      </w:r>
      <w:proofErr w:type="spellStart"/>
      <w:r>
        <w:t>‘Cause</w:t>
      </w:r>
      <w:proofErr w:type="spellEnd"/>
      <w:r>
        <w:t>-related marketing, part of corporate social responsibility and its influence upon consumers' attitude’, </w:t>
      </w:r>
      <w:proofErr w:type="spellStart"/>
      <w:r>
        <w:rPr>
          <w:i/>
          <w:iCs/>
        </w:rPr>
        <w:t>Amfiteatru</w:t>
      </w:r>
      <w:proofErr w:type="spellEnd"/>
      <w:r>
        <w:rPr>
          <w:i/>
          <w:iCs/>
        </w:rPr>
        <w:t xml:space="preserve"> Economic Journal</w:t>
      </w:r>
      <w:r>
        <w:t>, </w:t>
      </w:r>
      <w:r>
        <w:rPr>
          <w:i/>
          <w:iCs/>
        </w:rPr>
        <w:t>13</w:t>
      </w:r>
      <w:r>
        <w:t xml:space="preserve">(29), 72-85. </w:t>
      </w:r>
    </w:p>
    <w:p w14:paraId="436737AF" w14:textId="77777777" w:rsidR="00A12401" w:rsidRDefault="00A25E1C">
      <w:r>
        <w:t xml:space="preserve">Aras, G. and </w:t>
      </w:r>
      <w:proofErr w:type="spellStart"/>
      <w:r>
        <w:t>Daidj</w:t>
      </w:r>
      <w:proofErr w:type="spellEnd"/>
      <w:r>
        <w:t xml:space="preserve">, N. (2016) ‘Sustainability issues in corporate social responsibility and strategy: sustainable or temporary competitive advantage in today's dynamic environment?’, in </w:t>
      </w:r>
      <w:r>
        <w:rPr>
          <w:i/>
          <w:iCs/>
        </w:rPr>
        <w:t>Sustainable Markets for Sustainable Business</w:t>
      </w:r>
      <w:r>
        <w:t>. Cham: Springer, pp. 163–188.</w:t>
      </w:r>
    </w:p>
    <w:p w14:paraId="69D00139" w14:textId="77777777" w:rsidR="00A12401" w:rsidRDefault="00A25E1C">
      <w:proofErr w:type="spellStart"/>
      <w:r>
        <w:t>Baskentli</w:t>
      </w:r>
      <w:proofErr w:type="spellEnd"/>
      <w:r>
        <w:t xml:space="preserve">, S., Sen, S., Du, S. and Bhattacharya, C.B. (2019) ‘Consumer reactions to corporate social responsibility: The role of CSR domains’, </w:t>
      </w:r>
      <w:r>
        <w:rPr>
          <w:i/>
          <w:iCs/>
        </w:rPr>
        <w:t>Journal of Business Research</w:t>
      </w:r>
      <w:r>
        <w:t>, 95, pp. 502–513.</w:t>
      </w:r>
    </w:p>
    <w:p w14:paraId="6BCBE0F0" w14:textId="77777777" w:rsidR="00A12401" w:rsidRDefault="00A25E1C">
      <w:r>
        <w:t xml:space="preserve">Bell, E., Bryman, A. and Harley, B. (2019) </w:t>
      </w:r>
      <w:r>
        <w:rPr>
          <w:i/>
          <w:iCs/>
        </w:rPr>
        <w:t>Business Research Methods</w:t>
      </w:r>
      <w:r>
        <w:t xml:space="preserve">. 5th </w:t>
      </w:r>
      <w:proofErr w:type="spellStart"/>
      <w:r>
        <w:t>edn</w:t>
      </w:r>
      <w:proofErr w:type="spellEnd"/>
      <w:r>
        <w:t xml:space="preserve">. Oxford: Oxford University Press. </w:t>
      </w:r>
    </w:p>
    <w:p w14:paraId="07815359" w14:textId="77777777" w:rsidR="00A12401" w:rsidRDefault="00A25E1C">
      <w:r>
        <w:t xml:space="preserve">Bhattacharya, C.B., </w:t>
      </w:r>
      <w:proofErr w:type="spellStart"/>
      <w:r>
        <w:t>Korschun</w:t>
      </w:r>
      <w:proofErr w:type="spellEnd"/>
      <w:r>
        <w:t xml:space="preserve">, D. and Sen, S. (2009) ‘Strengthening stakeholder–company relationships through mutually beneficial corporate social responsibility initiatives’, </w:t>
      </w:r>
      <w:r>
        <w:rPr>
          <w:i/>
          <w:iCs/>
        </w:rPr>
        <w:t>Journal of Business Ethics</w:t>
      </w:r>
      <w:r>
        <w:t>, 85(Suppl 2), pp. 257–272.</w:t>
      </w:r>
    </w:p>
    <w:p w14:paraId="07673010" w14:textId="77777777" w:rsidR="00A12401" w:rsidRDefault="00A25E1C">
      <w:r>
        <w:t xml:space="preserve">Bianchi, E., Bruno, J.M. and Sarabia-Sanchez, F.J. (2019) ‘The impact of CSR on consumer loyalty’, </w:t>
      </w:r>
      <w:r>
        <w:rPr>
          <w:i/>
          <w:iCs/>
        </w:rPr>
        <w:t>Journal of Business Research</w:t>
      </w:r>
      <w:r>
        <w:t xml:space="preserve">, 95, pp. 1–9. </w:t>
      </w:r>
    </w:p>
    <w:p w14:paraId="1CAB882B" w14:textId="77777777" w:rsidR="00A12401" w:rsidRDefault="00A25E1C">
      <w:r>
        <w:t xml:space="preserve">Bryman, A. (2016) </w:t>
      </w:r>
      <w:r>
        <w:rPr>
          <w:i/>
          <w:iCs/>
        </w:rPr>
        <w:t>Social Research Methods</w:t>
      </w:r>
      <w:r>
        <w:t xml:space="preserve">. 5th </w:t>
      </w:r>
      <w:proofErr w:type="spellStart"/>
      <w:r>
        <w:t>edn</w:t>
      </w:r>
      <w:proofErr w:type="spellEnd"/>
      <w:r>
        <w:t xml:space="preserve">. Oxford: Oxford University Press. </w:t>
      </w:r>
    </w:p>
    <w:p w14:paraId="7B938F7E" w14:textId="77777777" w:rsidR="00A12401" w:rsidRDefault="00A25E1C">
      <w:r>
        <w:t xml:space="preserve">Camilleri, M.A. (2017) ‘Corporate sustainability and responsibility in the retail sector’, </w:t>
      </w:r>
      <w:r>
        <w:rPr>
          <w:i/>
          <w:iCs/>
        </w:rPr>
        <w:t>Journal of Sustainable Development</w:t>
      </w:r>
      <w:r>
        <w:t xml:space="preserve">, 10(5), pp. 1–12. </w:t>
      </w:r>
    </w:p>
    <w:p w14:paraId="66F4C59D" w14:textId="77777777" w:rsidR="00A12401" w:rsidRDefault="00A25E1C">
      <w:r>
        <w:t xml:space="preserve">Carroll, A.B. and Shabana, K.M. (2010) ‘The business case for corporate social responsibility: A review of concepts, research and practice’, </w:t>
      </w:r>
      <w:r>
        <w:rPr>
          <w:i/>
          <w:iCs/>
        </w:rPr>
        <w:t>International Journal of Management Reviews</w:t>
      </w:r>
      <w:r>
        <w:t>, 12(1), pp. 85–105.</w:t>
      </w:r>
    </w:p>
    <w:p w14:paraId="574E0727" w14:textId="77777777" w:rsidR="00A12401" w:rsidRDefault="00A25E1C">
      <w:r>
        <w:t xml:space="preserve">Crane, A., Matten, D. and Spence, L.J. (2019) </w:t>
      </w:r>
      <w:r>
        <w:rPr>
          <w:i/>
          <w:iCs/>
        </w:rPr>
        <w:t>Corporate Social Responsibility: Readings and Cases in a Global Context</w:t>
      </w:r>
      <w:r>
        <w:t xml:space="preserve">. 3rd </w:t>
      </w:r>
      <w:proofErr w:type="spellStart"/>
      <w:r>
        <w:t>edn</w:t>
      </w:r>
      <w:proofErr w:type="spellEnd"/>
      <w:r>
        <w:t xml:space="preserve">. London: Routledge. </w:t>
      </w:r>
    </w:p>
    <w:p w14:paraId="67754B51" w14:textId="77777777" w:rsidR="00A12401" w:rsidRDefault="00A25E1C">
      <w:r>
        <w:t>Creswell, J. W., and Creswell, J. D. (2017). </w:t>
      </w:r>
      <w:r>
        <w:rPr>
          <w:i/>
          <w:iCs/>
        </w:rPr>
        <w:t xml:space="preserve">Research design: Qualitative, quantitative, and mixed methods </w:t>
      </w:r>
      <w:proofErr w:type="gramStart"/>
      <w:r>
        <w:rPr>
          <w:i/>
          <w:iCs/>
        </w:rPr>
        <w:t>approaches</w:t>
      </w:r>
      <w:proofErr w:type="gramEnd"/>
      <w:r>
        <w:t>. Sage publications.</w:t>
      </w:r>
    </w:p>
    <w:p w14:paraId="19D74EB3" w14:textId="77777777" w:rsidR="00A12401" w:rsidRDefault="00A25E1C">
      <w:r>
        <w:t xml:space="preserve">Crotty, M. (1998) </w:t>
      </w:r>
      <w:r>
        <w:rPr>
          <w:i/>
          <w:iCs/>
        </w:rPr>
        <w:t>The Foundations of Social Research: Meaning and Perspective in the Research Process</w:t>
      </w:r>
      <w:r>
        <w:t xml:space="preserve">. London: Sage Publications. </w:t>
      </w:r>
    </w:p>
    <w:p w14:paraId="73F2EE8F" w14:textId="77777777" w:rsidR="00A12401" w:rsidRDefault="00A25E1C">
      <w:r>
        <w:t xml:space="preserve">Dal Mas, F., Tucker, W., Massaro, M. and Bagnoli, C. (2022) ‘Corporate social responsibility in the retail business: A case study’, </w:t>
      </w:r>
      <w:r>
        <w:rPr>
          <w:i/>
          <w:iCs/>
        </w:rPr>
        <w:t>Corporate Social Responsibility and Environmental Management</w:t>
      </w:r>
      <w:r>
        <w:t>, 29(1), pp. 223–232.</w:t>
      </w:r>
    </w:p>
    <w:p w14:paraId="49B6D35E" w14:textId="77777777" w:rsidR="00A12401" w:rsidRDefault="00A25E1C">
      <w:r>
        <w:t>Dillman, D. A., Smyth, J. D., &amp; Christian, L. M. (2014) ‘Internet, phone, mail, and mixed-mode surveys: The tailored design method’, </w:t>
      </w:r>
      <w:r>
        <w:rPr>
          <w:i/>
          <w:iCs/>
        </w:rPr>
        <w:t>Indianapolis, Indiana</w:t>
      </w:r>
      <w:r>
        <w:t>, </w:t>
      </w:r>
      <w:r>
        <w:rPr>
          <w:i/>
          <w:iCs/>
        </w:rPr>
        <w:t>17</w:t>
      </w:r>
      <w:r>
        <w:t xml:space="preserve">. </w:t>
      </w:r>
    </w:p>
    <w:p w14:paraId="05D79AE3" w14:textId="77777777" w:rsidR="00A12401" w:rsidRDefault="00A25E1C">
      <w:r>
        <w:t xml:space="preserve">Du, S., Bhattacharya, C.B. and Sen, S. (2010) ‘Maximizing business returns to corporate social responsibility (CSR): The role of CSR communication’, </w:t>
      </w:r>
      <w:r>
        <w:rPr>
          <w:i/>
          <w:iCs/>
        </w:rPr>
        <w:t>International Journal of Management Reviews</w:t>
      </w:r>
      <w:r>
        <w:t>, 12(1), pp. 8–19.</w:t>
      </w:r>
    </w:p>
    <w:p w14:paraId="3B5DB2DC" w14:textId="77777777" w:rsidR="00A12401" w:rsidRDefault="00A25E1C">
      <w:r>
        <w:t xml:space="preserve">Easterby-Smith, M., </w:t>
      </w:r>
      <w:proofErr w:type="spellStart"/>
      <w:r>
        <w:t>Valizade</w:t>
      </w:r>
      <w:proofErr w:type="spellEnd"/>
      <w:r>
        <w:t xml:space="preserve">, D., Thorpe, R., and Jaspersen, L. J. (2021). </w:t>
      </w:r>
      <w:r>
        <w:rPr>
          <w:i/>
          <w:iCs/>
        </w:rPr>
        <w:t>Management and business research.</w:t>
      </w:r>
    </w:p>
    <w:p w14:paraId="14A364D6" w14:textId="77777777" w:rsidR="00A12401" w:rsidRDefault="00A25E1C">
      <w:proofErr w:type="spellStart"/>
      <w:r>
        <w:t>Etikan</w:t>
      </w:r>
      <w:proofErr w:type="spellEnd"/>
      <w:r>
        <w:t xml:space="preserve">, I., Musa, S.A. and Alkassim, R.S. (2016) ‘Comparison of convenience sampling and purposive sampling’, </w:t>
      </w:r>
      <w:r>
        <w:rPr>
          <w:i/>
          <w:iCs/>
        </w:rPr>
        <w:t>American Journal of Theoretical and Applied Statistics</w:t>
      </w:r>
      <w:r>
        <w:t xml:space="preserve">, 5(1), pp. 1–4. </w:t>
      </w:r>
    </w:p>
    <w:p w14:paraId="5B602116" w14:textId="77777777" w:rsidR="00A12401" w:rsidRDefault="00A25E1C">
      <w:r>
        <w:t xml:space="preserve">Fatma, M. and Rahman, Z. (2015) ‘Consumer perspective on corporate social responsibility: A review and research agenda’, </w:t>
      </w:r>
      <w:r>
        <w:rPr>
          <w:i/>
          <w:iCs/>
        </w:rPr>
        <w:t>Management Research Review</w:t>
      </w:r>
      <w:r>
        <w:t>, 38(2), pp. 195–216.</w:t>
      </w:r>
    </w:p>
    <w:p w14:paraId="11E21D71" w14:textId="77777777" w:rsidR="00A12401" w:rsidRDefault="00A25E1C">
      <w:r>
        <w:t xml:space="preserve">Fatma, M., Rahman, Z. and Khan, I. (2015) ‘Building company reputation and brand equity through CSR’, </w:t>
      </w:r>
      <w:r>
        <w:rPr>
          <w:i/>
          <w:iCs/>
        </w:rPr>
        <w:t>Journal of Retailing and Consumer Services</w:t>
      </w:r>
      <w:r>
        <w:t>, 27, pp. 1–10.</w:t>
      </w:r>
    </w:p>
    <w:p w14:paraId="2A90205D" w14:textId="77777777" w:rsidR="00A12401" w:rsidRDefault="00A25E1C">
      <w:r>
        <w:t xml:space="preserve">Ferrell, O.C., Harrison, D.E., Ferrell, L. and Hair, J.F. (2019) ‘Business ethics, corporate social responsibility, and brand attitudes’, </w:t>
      </w:r>
      <w:r>
        <w:rPr>
          <w:i/>
          <w:iCs/>
        </w:rPr>
        <w:t>Journal of Business Research</w:t>
      </w:r>
      <w:r>
        <w:t>, 95, pp. 491–501.</w:t>
      </w:r>
    </w:p>
    <w:p w14:paraId="76365EFB" w14:textId="77777777" w:rsidR="00A12401" w:rsidRDefault="00A25E1C">
      <w:r>
        <w:t>Field, A. (2024). Discovering statistics using IBM SPSS statistics. Sage publications limited.</w:t>
      </w:r>
    </w:p>
    <w:p w14:paraId="1EE6C32A" w14:textId="77777777" w:rsidR="00A12401" w:rsidRDefault="00A25E1C">
      <w:r>
        <w:t xml:space="preserve">Freeman, R.E., Harrison, J.S. and Wicks, A.C. (2017) </w:t>
      </w:r>
      <w:r>
        <w:rPr>
          <w:i/>
          <w:iCs/>
        </w:rPr>
        <w:t>Stakeholder Theory: The State of the Art</w:t>
      </w:r>
      <w:r>
        <w:t xml:space="preserve">. Cambridge: Cambridge University Press. </w:t>
      </w:r>
    </w:p>
    <w:p w14:paraId="15D9DF07" w14:textId="77777777" w:rsidR="00A12401" w:rsidRDefault="00A25E1C">
      <w:proofErr w:type="spellStart"/>
      <w:r>
        <w:t>Frynas</w:t>
      </w:r>
      <w:proofErr w:type="spellEnd"/>
      <w:r>
        <w:t xml:space="preserve">, J.G. and </w:t>
      </w:r>
      <w:proofErr w:type="spellStart"/>
      <w:r>
        <w:t>Yamahaki</w:t>
      </w:r>
      <w:proofErr w:type="spellEnd"/>
      <w:r>
        <w:t xml:space="preserve">, C. (2016) ‘Corporate social responsibility: Review and roadmap’, </w:t>
      </w:r>
      <w:r>
        <w:rPr>
          <w:i/>
          <w:iCs/>
        </w:rPr>
        <w:t>Business Ethics: A European Review</w:t>
      </w:r>
      <w:r>
        <w:t xml:space="preserve">, 25(3), pp. 258–285. </w:t>
      </w:r>
    </w:p>
    <w:p w14:paraId="624DCEEE" w14:textId="77777777" w:rsidR="00A12401" w:rsidRDefault="00A25E1C">
      <w:r>
        <w:t xml:space="preserve">Garriga, E. and Melé, D. (2017) ‘Corporate social responsibility theories: Mapping the territory’, </w:t>
      </w:r>
      <w:r>
        <w:rPr>
          <w:i/>
          <w:iCs/>
        </w:rPr>
        <w:t>Journal of Business Ethics</w:t>
      </w:r>
      <w:r>
        <w:t xml:space="preserve">, 145(4), pp. 583–595. </w:t>
      </w:r>
    </w:p>
    <w:p w14:paraId="5E0873ED" w14:textId="77777777" w:rsidR="00A12401" w:rsidRDefault="00A25E1C">
      <w:r>
        <w:t xml:space="preserve">Green, T. and Peloza, J. (2011) ‘How does corporate social responsibility create value for consumers?’, </w:t>
      </w:r>
      <w:r>
        <w:rPr>
          <w:i/>
          <w:iCs/>
        </w:rPr>
        <w:t>Journal of Consumer Marketing</w:t>
      </w:r>
      <w:r>
        <w:t>, 28(1), pp. 48–56.</w:t>
      </w:r>
    </w:p>
    <w:p w14:paraId="0554216B" w14:textId="77777777" w:rsidR="00A12401" w:rsidRDefault="00A25E1C">
      <w:r>
        <w:t xml:space="preserve">Hair, J.F., Black, W.C., Babin, B.J. and Anderson, R.E. (2019) </w:t>
      </w:r>
      <w:r>
        <w:rPr>
          <w:i/>
          <w:iCs/>
        </w:rPr>
        <w:t>Multivariate Data Analysis</w:t>
      </w:r>
      <w:r>
        <w:t xml:space="preserve">. 8th </w:t>
      </w:r>
      <w:proofErr w:type="spellStart"/>
      <w:r>
        <w:t>edn</w:t>
      </w:r>
      <w:proofErr w:type="spellEnd"/>
      <w:r>
        <w:t xml:space="preserve">. Andover: Cengage Learning. </w:t>
      </w:r>
    </w:p>
    <w:p w14:paraId="0792C2F1" w14:textId="77777777" w:rsidR="00A12401" w:rsidRDefault="00A25E1C">
      <w:r>
        <w:t xml:space="preserve">He, H. and Li, Y. (2011) ‘CSR and service brand: The mediating effect of brand identification’, </w:t>
      </w:r>
      <w:r>
        <w:rPr>
          <w:i/>
          <w:iCs/>
        </w:rPr>
        <w:t>Journal of Business Ethics</w:t>
      </w:r>
      <w:r>
        <w:t>, 100(4), pp. 673–688.</w:t>
      </w:r>
    </w:p>
    <w:p w14:paraId="244D4C74" w14:textId="77777777" w:rsidR="00A12401" w:rsidRDefault="00A25E1C">
      <w:r>
        <w:t xml:space="preserve">Heale, R. and Twycross, A. (2015) ‘Validity and reliability in quantitative studies’, </w:t>
      </w:r>
      <w:r>
        <w:rPr>
          <w:i/>
          <w:iCs/>
        </w:rPr>
        <w:t>Evidence-Based Nursing</w:t>
      </w:r>
      <w:r>
        <w:t xml:space="preserve">, 18(3), pp. 66–67. </w:t>
      </w:r>
    </w:p>
    <w:p w14:paraId="447ABAC2" w14:textId="77777777" w:rsidR="00A12401" w:rsidRDefault="00A25E1C">
      <w:r>
        <w:t xml:space="preserve">Hristov, I. and Chirico, A. (2019) ‘The role of sustainability in retail companies’, </w:t>
      </w:r>
      <w:r>
        <w:rPr>
          <w:i/>
          <w:iCs/>
        </w:rPr>
        <w:t>Business Strategy and the Environment</w:t>
      </w:r>
      <w:r>
        <w:t xml:space="preserve">, 28(5), pp. 1–12. </w:t>
      </w:r>
    </w:p>
    <w:p w14:paraId="335B7C4B" w14:textId="77777777" w:rsidR="00A12401" w:rsidRDefault="00A25E1C">
      <w:r>
        <w:t xml:space="preserve">Hsu, C.L., Chang, K.C. and </w:t>
      </w:r>
      <w:proofErr w:type="spellStart"/>
      <w:r>
        <w:t>Yansritakul</w:t>
      </w:r>
      <w:proofErr w:type="spellEnd"/>
      <w:r>
        <w:t xml:space="preserve">, C. (2017) ‘Exploring purchase intention toward green products’, </w:t>
      </w:r>
      <w:r>
        <w:rPr>
          <w:i/>
          <w:iCs/>
        </w:rPr>
        <w:t>Sustainability</w:t>
      </w:r>
      <w:r>
        <w:t xml:space="preserve">, 9(5), pp. 1–17. </w:t>
      </w:r>
    </w:p>
    <w:p w14:paraId="57BC1E97" w14:textId="77777777" w:rsidR="00A12401" w:rsidRDefault="00A25E1C">
      <w:r>
        <w:t xml:space="preserve">Hur, W.M., Kim, H. and Woo, J. (2018) ‘How CSR leads to brand loyalty’, </w:t>
      </w:r>
      <w:r>
        <w:rPr>
          <w:i/>
          <w:iCs/>
        </w:rPr>
        <w:t>Journal of Business Ethics</w:t>
      </w:r>
      <w:r>
        <w:t xml:space="preserve">, 151(1), pp. 1–17. </w:t>
      </w:r>
    </w:p>
    <w:p w14:paraId="66EE5C6C" w14:textId="77777777" w:rsidR="00A12401" w:rsidRDefault="00A25E1C">
      <w:r>
        <w:t xml:space="preserve">Iglesias, O., Markovic, S. and </w:t>
      </w:r>
      <w:proofErr w:type="spellStart"/>
      <w:r>
        <w:t>Rialp</w:t>
      </w:r>
      <w:proofErr w:type="spellEnd"/>
      <w:r>
        <w:t xml:space="preserve">, J. (2019) ‘How does CSR influence brand equity?’, </w:t>
      </w:r>
      <w:r>
        <w:rPr>
          <w:i/>
          <w:iCs/>
        </w:rPr>
        <w:t>Journal of Business Research</w:t>
      </w:r>
      <w:r>
        <w:t xml:space="preserve">, 95, pp. 1–10. </w:t>
      </w:r>
    </w:p>
    <w:p w14:paraId="615C85B5" w14:textId="77777777" w:rsidR="00A12401" w:rsidRDefault="00A25E1C">
      <w:r>
        <w:t xml:space="preserve">Islam, T., Islam, R. and Pitafi, A.H. (2021) ‘The impact of CSR on customer loyalty’, </w:t>
      </w:r>
      <w:r>
        <w:rPr>
          <w:i/>
          <w:iCs/>
        </w:rPr>
        <w:t>Corporate Social Responsibility and Environmental Management</w:t>
      </w:r>
      <w:r>
        <w:t xml:space="preserve">, 28(2), pp. 1–12. </w:t>
      </w:r>
    </w:p>
    <w:p w14:paraId="35824EDD" w14:textId="77777777" w:rsidR="00A12401" w:rsidRDefault="00A25E1C">
      <w:r>
        <w:t xml:space="preserve">Israel, M. (2015) </w:t>
      </w:r>
      <w:r>
        <w:rPr>
          <w:i/>
          <w:iCs/>
        </w:rPr>
        <w:t>Research Ethics and Integrity for Social Scientists</w:t>
      </w:r>
      <w:r>
        <w:t xml:space="preserve">. 2nd </w:t>
      </w:r>
      <w:proofErr w:type="spellStart"/>
      <w:r>
        <w:t>edn</w:t>
      </w:r>
      <w:proofErr w:type="spellEnd"/>
      <w:r>
        <w:t xml:space="preserve">. London: Sage Publications. </w:t>
      </w:r>
    </w:p>
    <w:p w14:paraId="63185384" w14:textId="77777777" w:rsidR="00A12401" w:rsidRDefault="00A25E1C">
      <w:r>
        <w:t xml:space="preserve">Jamali, D., Karam, C. and </w:t>
      </w:r>
      <w:proofErr w:type="spellStart"/>
      <w:r>
        <w:t>Blowfield</w:t>
      </w:r>
      <w:proofErr w:type="spellEnd"/>
      <w:r>
        <w:t xml:space="preserve">, M. (2017) ‘CSR in developing countries as an emerging field of study’, </w:t>
      </w:r>
      <w:r>
        <w:rPr>
          <w:i/>
          <w:iCs/>
        </w:rPr>
        <w:t>International Journal of Management Reviews</w:t>
      </w:r>
      <w:r>
        <w:t xml:space="preserve">, 19(3), pp. 247–262. </w:t>
      </w:r>
    </w:p>
    <w:p w14:paraId="3748E9FC" w14:textId="77777777" w:rsidR="00A12401" w:rsidRDefault="00A25E1C">
      <w:r>
        <w:t xml:space="preserve">Jones, P., Comfort, D. and Hillier, D. (2016) ‘Sustainability in the UK retail sector’, </w:t>
      </w:r>
      <w:r>
        <w:rPr>
          <w:i/>
          <w:iCs/>
        </w:rPr>
        <w:t>International Journal of Retail &amp; Distribution Management</w:t>
      </w:r>
      <w:r>
        <w:t xml:space="preserve">, 44(6), pp. 610–626. </w:t>
      </w:r>
    </w:p>
    <w:p w14:paraId="03454C21" w14:textId="77777777" w:rsidR="00A12401" w:rsidRDefault="00A25E1C">
      <w:r>
        <w:t xml:space="preserve">Keller, K.L. (2013) </w:t>
      </w:r>
      <w:r>
        <w:rPr>
          <w:i/>
          <w:iCs/>
        </w:rPr>
        <w:t>Strategic Brand Management</w:t>
      </w:r>
      <w:r>
        <w:t xml:space="preserve">. 4th </w:t>
      </w:r>
      <w:proofErr w:type="spellStart"/>
      <w:r>
        <w:t>edn</w:t>
      </w:r>
      <w:proofErr w:type="spellEnd"/>
      <w:r>
        <w:t>. Harlow: Pearson.</w:t>
      </w:r>
    </w:p>
    <w:p w14:paraId="148650D4" w14:textId="77777777" w:rsidR="00A12401" w:rsidRDefault="00A25E1C">
      <w:r>
        <w:t xml:space="preserve">Khan, Z., Ferguson, D. and Pérez, A. (2015) ‘Customer responses to CSR’, </w:t>
      </w:r>
      <w:r>
        <w:rPr>
          <w:i/>
          <w:iCs/>
        </w:rPr>
        <w:t>Journal of Business Ethics</w:t>
      </w:r>
      <w:r>
        <w:t xml:space="preserve">, 129(3), pp. 1–15. </w:t>
      </w:r>
    </w:p>
    <w:p w14:paraId="7FD78964" w14:textId="77777777" w:rsidR="00A12401" w:rsidRDefault="00A25E1C">
      <w:r>
        <w:t xml:space="preserve">Kim, S. and Ferguson, M.A. (2018) ‘Dimensions of effective CSR communication’, </w:t>
      </w:r>
      <w:r>
        <w:rPr>
          <w:i/>
          <w:iCs/>
        </w:rPr>
        <w:t>Journal of Communication Management</w:t>
      </w:r>
      <w:r>
        <w:t xml:space="preserve">, 22(1), pp. 1–18. </w:t>
      </w:r>
    </w:p>
    <w:p w14:paraId="0ABEB0E6" w14:textId="77777777" w:rsidR="00A12401" w:rsidRDefault="00A25E1C">
      <w:r>
        <w:t xml:space="preserve">Kim, S.B. and Kim, D.Y. (2016) ‘The effect of CSR on brand trust’, </w:t>
      </w:r>
      <w:r>
        <w:rPr>
          <w:i/>
          <w:iCs/>
        </w:rPr>
        <w:t>International Journal of Hospitality Management</w:t>
      </w:r>
      <w:r>
        <w:t xml:space="preserve">, 58, pp. 1–10. </w:t>
      </w:r>
    </w:p>
    <w:p w14:paraId="50952CDD" w14:textId="77777777" w:rsidR="00A12401" w:rsidRDefault="00A25E1C">
      <w:r>
        <w:t xml:space="preserve">Lacap, J.P.G., Cham, T.H. and Lim, X.J. (2021) ‘The influence of corporate social responsibility on brand loyalty and the mediating effects of brand satisfaction and perceived quality’, </w:t>
      </w:r>
      <w:r>
        <w:rPr>
          <w:i/>
          <w:iCs/>
        </w:rPr>
        <w:t>International Journal of Economics &amp; Management</w:t>
      </w:r>
      <w:r>
        <w:t>, 15(1), pp. 69–85.</w:t>
      </w:r>
    </w:p>
    <w:p w14:paraId="05E6F4CD" w14:textId="77777777" w:rsidR="00A12401" w:rsidRDefault="00A25E1C">
      <w:r>
        <w:t xml:space="preserve">Lim, W.M. and Greenwood, C.A. (2017) ‘Communicating corporate social responsibility’, </w:t>
      </w:r>
      <w:r>
        <w:rPr>
          <w:i/>
          <w:iCs/>
        </w:rPr>
        <w:t>Journal of Business Ethics</w:t>
      </w:r>
      <w:r>
        <w:t xml:space="preserve">, 140(1), pp. 1–19. </w:t>
      </w:r>
    </w:p>
    <w:p w14:paraId="084A2023" w14:textId="77777777" w:rsidR="00A12401" w:rsidRDefault="00A25E1C">
      <w:r>
        <w:t xml:space="preserve">Luo, X. and Bhattacharya, C.B. (2006) ‘Corporate social responsibility, customer satisfaction, and market value’, </w:t>
      </w:r>
      <w:r>
        <w:rPr>
          <w:i/>
          <w:iCs/>
        </w:rPr>
        <w:t>Journal of Marketing</w:t>
      </w:r>
      <w:r>
        <w:t>, 70(4), pp. 1–18.</w:t>
      </w:r>
    </w:p>
    <w:p w14:paraId="1EBF9304" w14:textId="77777777" w:rsidR="00A12401" w:rsidRDefault="00A25E1C">
      <w:r>
        <w:t xml:space="preserve">Martínez, P. and Rodríguez del Bosque, I. (2013) ‘CSR and customer loyalty: The roles of trust and identification’, </w:t>
      </w:r>
      <w:r>
        <w:rPr>
          <w:i/>
          <w:iCs/>
        </w:rPr>
        <w:t>International Journal of Hospitality Management</w:t>
      </w:r>
      <w:r>
        <w:t>, 35, pp. 89–99.</w:t>
      </w:r>
    </w:p>
    <w:p w14:paraId="3677D20D" w14:textId="77777777" w:rsidR="00A12401" w:rsidRDefault="00A25E1C">
      <w:r>
        <w:t xml:space="preserve">McWilliams, A. and Siegel, D. (2016) ‘Corporate social responsibility: A theory of the firm perspective’, </w:t>
      </w:r>
      <w:r>
        <w:rPr>
          <w:i/>
          <w:iCs/>
        </w:rPr>
        <w:t>Academy of Management Review</w:t>
      </w:r>
      <w:r>
        <w:t xml:space="preserve">, 41(1), pp. 117–127. </w:t>
      </w:r>
    </w:p>
    <w:p w14:paraId="2DC20F25" w14:textId="77777777" w:rsidR="00A12401" w:rsidRDefault="00A25E1C">
      <w:r>
        <w:t xml:space="preserve">Park, E., Kim, K.J. and Kwon, S.J. (2017) ‘Corporate social responsibility as a determinant of consumer loyalty’, </w:t>
      </w:r>
      <w:r>
        <w:rPr>
          <w:i/>
          <w:iCs/>
        </w:rPr>
        <w:t>Journal of Retailing and Consumer Services</w:t>
      </w:r>
      <w:r>
        <w:t>, 34, pp. 247–254.</w:t>
      </w:r>
    </w:p>
    <w:p w14:paraId="08CBD0CB" w14:textId="77777777" w:rsidR="00A12401" w:rsidRDefault="00A25E1C">
      <w:r>
        <w:t xml:space="preserve">Peloza, J. and Shang, J. (2016) ‘How can corporate social responsibility activities create value?’, </w:t>
      </w:r>
      <w:r>
        <w:rPr>
          <w:i/>
          <w:iCs/>
        </w:rPr>
        <w:t>Journal of the Academy of Marketing Science</w:t>
      </w:r>
      <w:r>
        <w:t xml:space="preserve">, 44(4), pp. 1–18. </w:t>
      </w:r>
    </w:p>
    <w:p w14:paraId="0E15A0C4" w14:textId="77777777" w:rsidR="00A12401" w:rsidRDefault="00A25E1C">
      <w:r>
        <w:t xml:space="preserve">Pérez, A. and Rodríguez del Bosque, I. (2017) ‘Personal traits and customer responses to CSR’, </w:t>
      </w:r>
      <w:r>
        <w:rPr>
          <w:i/>
          <w:iCs/>
        </w:rPr>
        <w:t>Journal of Business Research</w:t>
      </w:r>
      <w:r>
        <w:t xml:space="preserve">, 79, pp. 1–10. </w:t>
      </w:r>
    </w:p>
    <w:p w14:paraId="6EC52856" w14:textId="77777777" w:rsidR="00A12401" w:rsidRDefault="00A25E1C">
      <w:r>
        <w:t xml:space="preserve">Rather, R.A. (2018) ‘Investigating the impact of CSR on customer-based brand equity’, </w:t>
      </w:r>
      <w:r>
        <w:rPr>
          <w:i/>
          <w:iCs/>
        </w:rPr>
        <w:t>Journal of Hospitality Marketing &amp; Management</w:t>
      </w:r>
      <w:r>
        <w:t>, 27(1), pp. 1–20.</w:t>
      </w:r>
    </w:p>
    <w:p w14:paraId="1CA960BB" w14:textId="77777777" w:rsidR="00A12401" w:rsidRDefault="00A25E1C">
      <w:r>
        <w:t xml:space="preserve">Rather, R.A. and </w:t>
      </w:r>
      <w:proofErr w:type="spellStart"/>
      <w:r>
        <w:t>Hollebeek</w:t>
      </w:r>
      <w:proofErr w:type="spellEnd"/>
      <w:r>
        <w:t xml:space="preserve">, L.D. (2019) ‘Exploring customer engagement in CSR’, </w:t>
      </w:r>
      <w:r>
        <w:rPr>
          <w:i/>
          <w:iCs/>
        </w:rPr>
        <w:t>Journal of Business Research</w:t>
      </w:r>
      <w:r>
        <w:t xml:space="preserve">, 95, pp. 1–10. </w:t>
      </w:r>
    </w:p>
    <w:p w14:paraId="28F0B895" w14:textId="77777777" w:rsidR="00A12401" w:rsidRDefault="00A25E1C">
      <w:r>
        <w:t xml:space="preserve">Resnik, D.B. (2018) </w:t>
      </w:r>
      <w:r>
        <w:rPr>
          <w:i/>
          <w:iCs/>
        </w:rPr>
        <w:t>The Ethics of Research with Human Subjects</w:t>
      </w:r>
      <w:r>
        <w:t xml:space="preserve">. Cham: Springer. </w:t>
      </w:r>
    </w:p>
    <w:p w14:paraId="35E5ED05" w14:textId="77777777" w:rsidR="00A12401" w:rsidRDefault="00A25E1C">
      <w:r>
        <w:t xml:space="preserve">Romani, S., </w:t>
      </w:r>
      <w:proofErr w:type="spellStart"/>
      <w:r>
        <w:t>Grappi</w:t>
      </w:r>
      <w:proofErr w:type="spellEnd"/>
      <w:r>
        <w:t xml:space="preserve">, S. and Bagozzi, R.P. (2013) ‘Explaining consumer reactions to corporate social responsibility’, </w:t>
      </w:r>
      <w:r>
        <w:rPr>
          <w:i/>
          <w:iCs/>
        </w:rPr>
        <w:t>Journal of Business Ethics</w:t>
      </w:r>
      <w:r>
        <w:t>, 114(2), pp. 193–206.</w:t>
      </w:r>
    </w:p>
    <w:p w14:paraId="50C297D5" w14:textId="77777777" w:rsidR="00A12401" w:rsidRDefault="00A25E1C">
      <w:r>
        <w:t xml:space="preserve">Saunders, M., Lewis, P. and Thornhill, A. (2019) </w:t>
      </w:r>
      <w:r>
        <w:rPr>
          <w:i/>
          <w:iCs/>
        </w:rPr>
        <w:t>Research Methods for Business Students</w:t>
      </w:r>
      <w:r>
        <w:t xml:space="preserve">. 8th </w:t>
      </w:r>
      <w:proofErr w:type="spellStart"/>
      <w:r>
        <w:t>edn</w:t>
      </w:r>
      <w:proofErr w:type="spellEnd"/>
      <w:r>
        <w:t xml:space="preserve">. Harlow: Pearson. </w:t>
      </w:r>
    </w:p>
    <w:p w14:paraId="54479700" w14:textId="77777777" w:rsidR="00A12401" w:rsidRDefault="00A25E1C">
      <w:r>
        <w:t xml:space="preserve">Schaltegger, S. and Burritt, R. (2018) </w:t>
      </w:r>
      <w:r>
        <w:rPr>
          <w:i/>
          <w:iCs/>
        </w:rPr>
        <w:t>Business Cases for Sustainability</w:t>
      </w:r>
      <w:r>
        <w:t xml:space="preserve">. London: Routledge. </w:t>
      </w:r>
    </w:p>
    <w:p w14:paraId="5978C5EC" w14:textId="77777777" w:rsidR="00A12401" w:rsidRDefault="00A25E1C">
      <w:r>
        <w:t xml:space="preserve">Schmeltz, L. (2017) ‘Getting CSR communication fit’, </w:t>
      </w:r>
      <w:r>
        <w:rPr>
          <w:i/>
          <w:iCs/>
        </w:rPr>
        <w:t>Business Ethics: A European Review</w:t>
      </w:r>
      <w:r>
        <w:t xml:space="preserve">, 26(3), pp. 270–288. </w:t>
      </w:r>
    </w:p>
    <w:p w14:paraId="094DD04B" w14:textId="77777777" w:rsidR="00A12401" w:rsidRDefault="00A25E1C">
      <w:r>
        <w:t xml:space="preserve">Sekaran, U. and Bougie, R. (2016) </w:t>
      </w:r>
      <w:r>
        <w:rPr>
          <w:i/>
          <w:iCs/>
        </w:rPr>
        <w:t>Research Methods for Business: A Skill-Building Approach</w:t>
      </w:r>
      <w:r>
        <w:t xml:space="preserve">. 7th </w:t>
      </w:r>
      <w:proofErr w:type="spellStart"/>
      <w:r>
        <w:t>edn</w:t>
      </w:r>
      <w:proofErr w:type="spellEnd"/>
      <w:r>
        <w:t xml:space="preserve">. Chichester: Wiley. </w:t>
      </w:r>
    </w:p>
    <w:p w14:paraId="093C93C2" w14:textId="77777777" w:rsidR="00A12401" w:rsidRDefault="00A25E1C">
      <w:r>
        <w:t xml:space="preserve">Sharma, E. (2020) ‘CSR and customer trust: A systematic review’, </w:t>
      </w:r>
      <w:r>
        <w:rPr>
          <w:i/>
          <w:iCs/>
        </w:rPr>
        <w:t>Journal of Consumer Marketing</w:t>
      </w:r>
      <w:r>
        <w:t xml:space="preserve">, 37(2), pp. 1–12. </w:t>
      </w:r>
    </w:p>
    <w:p w14:paraId="73FD2A07" w14:textId="77777777" w:rsidR="00A12401" w:rsidRDefault="00A25E1C">
      <w:proofErr w:type="spellStart"/>
      <w:r>
        <w:t>Taherdoost</w:t>
      </w:r>
      <w:proofErr w:type="spellEnd"/>
      <w:r>
        <w:t xml:space="preserve">, H. (2016) ‘Validity and reliability of the research instrument’, </w:t>
      </w:r>
      <w:r>
        <w:rPr>
          <w:i/>
          <w:iCs/>
        </w:rPr>
        <w:t>International Journal of Academic Research in Management</w:t>
      </w:r>
      <w:r>
        <w:t xml:space="preserve">, 5(3), pp. 28–36. </w:t>
      </w:r>
    </w:p>
    <w:p w14:paraId="5242435B" w14:textId="77777777" w:rsidR="00A12401" w:rsidRDefault="00A25E1C">
      <w:r>
        <w:t xml:space="preserve">Tesco PLC (2025) </w:t>
      </w:r>
      <w:r>
        <w:rPr>
          <w:i/>
          <w:iCs/>
        </w:rPr>
        <w:t>Annual report and financial statements 2025</w:t>
      </w:r>
      <w:r>
        <w:t xml:space="preserve">. Available at: </w:t>
      </w:r>
      <w:hyperlink r:id="rId11">
        <w:r>
          <w:rPr>
            <w:color w:val="0000FF"/>
            <w:u w:val="single"/>
          </w:rPr>
          <w:t>https://www.tescoplc.com</w:t>
        </w:r>
      </w:hyperlink>
      <w:r>
        <w:t xml:space="preserve"> (Accessed: 22 March 2026).</w:t>
      </w:r>
    </w:p>
    <w:p w14:paraId="531EDACA" w14:textId="77777777" w:rsidR="00A12401" w:rsidRDefault="00A25E1C">
      <w:r>
        <w:t xml:space="preserve">Testa, F., </w:t>
      </w:r>
      <w:proofErr w:type="spellStart"/>
      <w:r>
        <w:t>Boiral</w:t>
      </w:r>
      <w:proofErr w:type="spellEnd"/>
      <w:r>
        <w:t xml:space="preserve">, O. and </w:t>
      </w:r>
      <w:proofErr w:type="spellStart"/>
      <w:r>
        <w:t>Iraldo</w:t>
      </w:r>
      <w:proofErr w:type="spellEnd"/>
      <w:r>
        <w:t xml:space="preserve">, F. (2018) ‘Internalization of environmental practices’, </w:t>
      </w:r>
      <w:r>
        <w:rPr>
          <w:i/>
          <w:iCs/>
        </w:rPr>
        <w:t>Journal of Business Ethics</w:t>
      </w:r>
      <w:r>
        <w:t xml:space="preserve">, 147(4), pp. 1–17. </w:t>
      </w:r>
    </w:p>
    <w:p w14:paraId="61BC6454" w14:textId="77777777" w:rsidR="00A12401" w:rsidRDefault="00A25E1C">
      <w:r>
        <w:t xml:space="preserve">Vlachos, P.A., </w:t>
      </w:r>
      <w:proofErr w:type="spellStart"/>
      <w:r>
        <w:t>Tsamakos</w:t>
      </w:r>
      <w:proofErr w:type="spellEnd"/>
      <w:r>
        <w:t xml:space="preserve">, A. and Vrechopoulos, A. (2016) ‘Corporate social responsibility and customer trust’, </w:t>
      </w:r>
      <w:r>
        <w:rPr>
          <w:i/>
          <w:iCs/>
        </w:rPr>
        <w:t>Journal of Business Ethics</w:t>
      </w:r>
      <w:r>
        <w:t xml:space="preserve">, 135(2), pp. 1–14. </w:t>
      </w:r>
    </w:p>
    <w:p w14:paraId="1361C867" w14:textId="77777777" w:rsidR="00A12401" w:rsidRDefault="00A25E1C">
      <w:r>
        <w:t xml:space="preserve">Wiese, A., Kellner, J. and Toporowski, W. (2018) ‘Sustainability in retailing – a summative content analysis’, </w:t>
      </w:r>
      <w:r>
        <w:rPr>
          <w:i/>
          <w:iCs/>
        </w:rPr>
        <w:t>International Journal of Retail &amp; Distribution Management</w:t>
      </w:r>
      <w:r>
        <w:t xml:space="preserve">, 46(7), pp. 664–683. </w:t>
      </w:r>
      <w:r>
        <w:br w:type="page"/>
      </w:r>
    </w:p>
    <w:p w14:paraId="2951E1C0" w14:textId="77777777" w:rsidR="00A12401" w:rsidRDefault="00A25E1C">
      <w:pPr>
        <w:pStyle w:val="Heading1"/>
      </w:pPr>
      <w:bookmarkStart w:id="81" w:name="_eybnbume0h6p" w:colFirst="0" w:colLast="0"/>
      <w:bookmarkEnd w:id="81"/>
      <w:r>
        <w:t>Appendix</w:t>
      </w:r>
    </w:p>
    <w:p w14:paraId="454E3D6B" w14:textId="77777777" w:rsidR="00A12401" w:rsidRDefault="00A25E1C">
      <w:pPr>
        <w:pStyle w:val="Heading2"/>
      </w:pPr>
      <w:bookmarkStart w:id="82" w:name="_xn88px5kb1gv" w:colFirst="0" w:colLast="0"/>
      <w:bookmarkEnd w:id="82"/>
      <w:r>
        <w:t>Appendix A: Survey Questions</w:t>
      </w:r>
    </w:p>
    <w:p w14:paraId="65971453" w14:textId="77777777" w:rsidR="00A12401" w:rsidRDefault="00A25E1C">
      <w:pPr>
        <w:numPr>
          <w:ilvl w:val="0"/>
          <w:numId w:val="5"/>
        </w:numPr>
      </w:pPr>
      <w:r>
        <w:t xml:space="preserve">What is your age group? </w:t>
      </w:r>
    </w:p>
    <w:p w14:paraId="6FF3A7EA" w14:textId="77777777" w:rsidR="00A12401" w:rsidRDefault="00A25E1C">
      <w:pPr>
        <w:numPr>
          <w:ilvl w:val="0"/>
          <w:numId w:val="5"/>
        </w:numPr>
      </w:pPr>
      <w:r>
        <w:t xml:space="preserve">What is your gender? </w:t>
      </w:r>
    </w:p>
    <w:p w14:paraId="717DAE32" w14:textId="77777777" w:rsidR="00A12401" w:rsidRDefault="00A25E1C">
      <w:pPr>
        <w:numPr>
          <w:ilvl w:val="0"/>
          <w:numId w:val="5"/>
        </w:numPr>
      </w:pPr>
      <w:r>
        <w:t xml:space="preserve">How often do you shop at Tesco? </w:t>
      </w:r>
    </w:p>
    <w:p w14:paraId="7D90AD78" w14:textId="77777777" w:rsidR="00A12401" w:rsidRDefault="00A25E1C">
      <w:pPr>
        <w:numPr>
          <w:ilvl w:val="0"/>
          <w:numId w:val="5"/>
        </w:numPr>
      </w:pPr>
      <w:r>
        <w:t xml:space="preserve">Are you aware of CSR initiatives undertaken by Tesco? </w:t>
      </w:r>
    </w:p>
    <w:p w14:paraId="325BD7CB" w14:textId="77777777" w:rsidR="00A12401" w:rsidRDefault="00A25E1C">
      <w:pPr>
        <w:numPr>
          <w:ilvl w:val="0"/>
          <w:numId w:val="5"/>
        </w:numPr>
      </w:pPr>
      <w:r>
        <w:t xml:space="preserve">Through which channels have you learned about Tesco's CSR activities? </w:t>
      </w:r>
    </w:p>
    <w:p w14:paraId="087262B0" w14:textId="77777777" w:rsidR="00A12401" w:rsidRDefault="00A25E1C">
      <w:pPr>
        <w:numPr>
          <w:ilvl w:val="0"/>
          <w:numId w:val="5"/>
        </w:numPr>
      </w:pPr>
      <w:r>
        <w:t xml:space="preserve">How would you rate your level of awareness of Tesco's CSR activities? </w:t>
      </w:r>
    </w:p>
    <w:p w14:paraId="2740A88B" w14:textId="77777777" w:rsidR="00A12401" w:rsidRDefault="00A25E1C">
      <w:pPr>
        <w:numPr>
          <w:ilvl w:val="0"/>
          <w:numId w:val="5"/>
        </w:numPr>
      </w:pPr>
      <w:r>
        <w:t xml:space="preserve">Tesco actively contributes to environmental sustainability. </w:t>
      </w:r>
    </w:p>
    <w:p w14:paraId="768EB595" w14:textId="77777777" w:rsidR="00A12401" w:rsidRDefault="00A25E1C">
      <w:pPr>
        <w:numPr>
          <w:ilvl w:val="0"/>
          <w:numId w:val="5"/>
        </w:numPr>
      </w:pPr>
      <w:r>
        <w:t xml:space="preserve">Tesco supports local communities effectively. </w:t>
      </w:r>
    </w:p>
    <w:p w14:paraId="5BD91435" w14:textId="77777777" w:rsidR="00A12401" w:rsidRDefault="00A25E1C">
      <w:pPr>
        <w:numPr>
          <w:ilvl w:val="0"/>
          <w:numId w:val="5"/>
        </w:numPr>
      </w:pPr>
      <w:r>
        <w:t xml:space="preserve">Tesco behaves ethically in its business operations. </w:t>
      </w:r>
    </w:p>
    <w:p w14:paraId="31E9117E" w14:textId="77777777" w:rsidR="00A12401" w:rsidRDefault="00A25E1C">
      <w:pPr>
        <w:numPr>
          <w:ilvl w:val="0"/>
          <w:numId w:val="5"/>
        </w:numPr>
      </w:pPr>
      <w:r>
        <w:t xml:space="preserve">Tesco's CSR initiatives are genuine rather than for marketing purposes. </w:t>
      </w:r>
    </w:p>
    <w:p w14:paraId="5550D940" w14:textId="77777777" w:rsidR="00A12401" w:rsidRDefault="00A25E1C">
      <w:pPr>
        <w:numPr>
          <w:ilvl w:val="0"/>
          <w:numId w:val="5"/>
        </w:numPr>
      </w:pPr>
      <w:r>
        <w:t xml:space="preserve">Tesco communicates its CSR activities clearly to customers. </w:t>
      </w:r>
    </w:p>
    <w:p w14:paraId="19AB5B39" w14:textId="77777777" w:rsidR="00A12401" w:rsidRDefault="00A25E1C">
      <w:pPr>
        <w:numPr>
          <w:ilvl w:val="0"/>
          <w:numId w:val="5"/>
        </w:numPr>
      </w:pPr>
      <w:r>
        <w:t xml:space="preserve">Tesco's CSR activities positively influence my perception of the brand. </w:t>
      </w:r>
    </w:p>
    <w:p w14:paraId="5DD74D8E" w14:textId="77777777" w:rsidR="00A12401" w:rsidRDefault="00A25E1C">
      <w:pPr>
        <w:numPr>
          <w:ilvl w:val="0"/>
          <w:numId w:val="5"/>
        </w:numPr>
      </w:pPr>
      <w:r>
        <w:t xml:space="preserve">I prefer shopping at Tesco because of its CSR efforts. </w:t>
      </w:r>
    </w:p>
    <w:p w14:paraId="27C7351A" w14:textId="77777777" w:rsidR="00A12401" w:rsidRDefault="00A25E1C">
      <w:pPr>
        <w:numPr>
          <w:ilvl w:val="0"/>
          <w:numId w:val="5"/>
        </w:numPr>
      </w:pPr>
      <w:r>
        <w:t xml:space="preserve">Tesco's CSR initiatives increase my trust in the brand. </w:t>
      </w:r>
    </w:p>
    <w:p w14:paraId="204CEB3B" w14:textId="77777777" w:rsidR="00A12401" w:rsidRDefault="00A25E1C">
      <w:pPr>
        <w:numPr>
          <w:ilvl w:val="0"/>
          <w:numId w:val="5"/>
        </w:numPr>
      </w:pPr>
      <w:r>
        <w:t xml:space="preserve">I am more loyal to Tesco due to its CSR activities. </w:t>
      </w:r>
    </w:p>
    <w:p w14:paraId="41E90688" w14:textId="77777777" w:rsidR="00A12401" w:rsidRDefault="00A25E1C">
      <w:pPr>
        <w:numPr>
          <w:ilvl w:val="0"/>
          <w:numId w:val="5"/>
        </w:numPr>
      </w:pPr>
      <w:r>
        <w:t xml:space="preserve">I would recommend Tesco to others based on its CSR practices. </w:t>
      </w:r>
    </w:p>
    <w:p w14:paraId="23AC6FEA" w14:textId="77777777" w:rsidR="00A12401" w:rsidRDefault="00A25E1C">
      <w:pPr>
        <w:numPr>
          <w:ilvl w:val="0"/>
          <w:numId w:val="5"/>
        </w:numPr>
      </w:pPr>
      <w:r>
        <w:t xml:space="preserve">How likely are you to choose Tesco over competitors because of its CSR activities? </w:t>
      </w:r>
    </w:p>
    <w:p w14:paraId="294E3C0D" w14:textId="77777777" w:rsidR="00A12401" w:rsidRDefault="00A25E1C">
      <w:pPr>
        <w:numPr>
          <w:ilvl w:val="0"/>
          <w:numId w:val="5"/>
        </w:numPr>
      </w:pPr>
      <w:r>
        <w:t xml:space="preserve">Would you be willing to pay slightly more for products from Tesco because of its responsible business practices? </w:t>
      </w:r>
    </w:p>
    <w:p w14:paraId="3962829C" w14:textId="77777777" w:rsidR="00A12401" w:rsidRDefault="00A25E1C">
      <w:pPr>
        <w:numPr>
          <w:ilvl w:val="0"/>
          <w:numId w:val="5"/>
        </w:numPr>
      </w:pPr>
      <w:r>
        <w:t xml:space="preserve">Compared to other UK retailers, how would you rate Tesco's CSR performance? </w:t>
      </w:r>
    </w:p>
    <w:p w14:paraId="133963E1" w14:textId="77777777" w:rsidR="00A12401" w:rsidRDefault="00A25E1C">
      <w:pPr>
        <w:numPr>
          <w:ilvl w:val="0"/>
          <w:numId w:val="5"/>
        </w:numPr>
      </w:pPr>
      <w:r>
        <w:t xml:space="preserve">What CSR activity of Tesco influences you the most? </w:t>
      </w:r>
    </w:p>
    <w:p w14:paraId="1BB973F9" w14:textId="77777777" w:rsidR="00A12401" w:rsidRDefault="00A25E1C">
      <w:r>
        <w:br w:type="page"/>
      </w:r>
    </w:p>
    <w:p w14:paraId="34A2EB01" w14:textId="77777777" w:rsidR="00A12401" w:rsidRDefault="00A25E1C">
      <w:pPr>
        <w:pStyle w:val="Heading2"/>
      </w:pPr>
      <w:bookmarkStart w:id="83" w:name="_2zgw6qkap88x" w:colFirst="0" w:colLast="0"/>
      <w:bookmarkEnd w:id="83"/>
      <w:r>
        <w:t>Appendix B: Survey Response Summary</w:t>
      </w:r>
    </w:p>
    <w:p w14:paraId="691E4D24" w14:textId="77777777" w:rsidR="00A12401" w:rsidRDefault="00A25E1C">
      <w:pPr>
        <w:jc w:val="left"/>
        <w:rPr>
          <w:b/>
          <w:bCs/>
        </w:rPr>
      </w:pPr>
      <w:r>
        <w:rPr>
          <w:b/>
          <w:bCs/>
        </w:rPr>
        <w:t>1. What is your age group?</w:t>
      </w:r>
    </w:p>
    <w:tbl>
      <w:tblPr>
        <w:tblStyle w:val="a8"/>
        <w:tblW w:w="39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2"/>
        <w:gridCol w:w="1270"/>
        <w:gridCol w:w="1345"/>
      </w:tblGrid>
      <w:tr w:rsidR="00A12401" w14:paraId="4D833439" w14:textId="77777777">
        <w:tc>
          <w:tcPr>
            <w:tcW w:w="1352" w:type="dxa"/>
          </w:tcPr>
          <w:p w14:paraId="4A825EBB" w14:textId="77777777" w:rsidR="00A12401" w:rsidRDefault="00A25E1C">
            <w:pPr>
              <w:jc w:val="left"/>
              <w:rPr>
                <w:b/>
                <w:bCs/>
              </w:rPr>
            </w:pPr>
            <w:r>
              <w:rPr>
                <w:b/>
                <w:bCs/>
              </w:rPr>
              <w:t>Age Group</w:t>
            </w:r>
          </w:p>
        </w:tc>
        <w:tc>
          <w:tcPr>
            <w:tcW w:w="1270" w:type="dxa"/>
          </w:tcPr>
          <w:p w14:paraId="0679010E" w14:textId="77777777" w:rsidR="00A12401" w:rsidRDefault="00A25E1C">
            <w:pPr>
              <w:jc w:val="left"/>
              <w:rPr>
                <w:b/>
                <w:bCs/>
              </w:rPr>
            </w:pPr>
            <w:r>
              <w:rPr>
                <w:b/>
                <w:bCs/>
              </w:rPr>
              <w:t>Responses</w:t>
            </w:r>
          </w:p>
        </w:tc>
        <w:tc>
          <w:tcPr>
            <w:tcW w:w="1345" w:type="dxa"/>
          </w:tcPr>
          <w:p w14:paraId="6B2A36BF" w14:textId="77777777" w:rsidR="00A12401" w:rsidRDefault="00A25E1C">
            <w:pPr>
              <w:jc w:val="left"/>
              <w:rPr>
                <w:b/>
                <w:bCs/>
              </w:rPr>
            </w:pPr>
            <w:r>
              <w:rPr>
                <w:b/>
                <w:bCs/>
              </w:rPr>
              <w:t>Percentage</w:t>
            </w:r>
          </w:p>
        </w:tc>
      </w:tr>
      <w:tr w:rsidR="00A12401" w14:paraId="26B0CF42" w14:textId="77777777">
        <w:tc>
          <w:tcPr>
            <w:tcW w:w="1352" w:type="dxa"/>
          </w:tcPr>
          <w:p w14:paraId="3D774BD8" w14:textId="77777777" w:rsidR="00A12401" w:rsidRDefault="00A25E1C">
            <w:pPr>
              <w:jc w:val="left"/>
            </w:pPr>
            <w:r>
              <w:t>18–24</w:t>
            </w:r>
          </w:p>
        </w:tc>
        <w:tc>
          <w:tcPr>
            <w:tcW w:w="1270" w:type="dxa"/>
          </w:tcPr>
          <w:p w14:paraId="24A56ED8" w14:textId="77777777" w:rsidR="00A12401" w:rsidRDefault="00A25E1C">
            <w:pPr>
              <w:jc w:val="left"/>
            </w:pPr>
            <w:r>
              <w:t>5</w:t>
            </w:r>
          </w:p>
        </w:tc>
        <w:tc>
          <w:tcPr>
            <w:tcW w:w="1345" w:type="dxa"/>
          </w:tcPr>
          <w:p w14:paraId="799A11FB" w14:textId="77777777" w:rsidR="00A12401" w:rsidRDefault="00A25E1C">
            <w:pPr>
              <w:jc w:val="left"/>
            </w:pPr>
            <w:r>
              <w:t>25%</w:t>
            </w:r>
          </w:p>
        </w:tc>
      </w:tr>
      <w:tr w:rsidR="00A12401" w14:paraId="4CCE0D82" w14:textId="77777777">
        <w:tc>
          <w:tcPr>
            <w:tcW w:w="1352" w:type="dxa"/>
          </w:tcPr>
          <w:p w14:paraId="680BE13A" w14:textId="77777777" w:rsidR="00A12401" w:rsidRDefault="00A25E1C">
            <w:pPr>
              <w:jc w:val="left"/>
            </w:pPr>
            <w:r>
              <w:t>25–35</w:t>
            </w:r>
          </w:p>
        </w:tc>
        <w:tc>
          <w:tcPr>
            <w:tcW w:w="1270" w:type="dxa"/>
          </w:tcPr>
          <w:p w14:paraId="2ACC6E80" w14:textId="77777777" w:rsidR="00A12401" w:rsidRDefault="00A25E1C">
            <w:pPr>
              <w:jc w:val="left"/>
            </w:pPr>
            <w:r>
              <w:t>4</w:t>
            </w:r>
          </w:p>
        </w:tc>
        <w:tc>
          <w:tcPr>
            <w:tcW w:w="1345" w:type="dxa"/>
          </w:tcPr>
          <w:p w14:paraId="7FB7E4B6" w14:textId="77777777" w:rsidR="00A12401" w:rsidRDefault="00A25E1C">
            <w:pPr>
              <w:jc w:val="left"/>
            </w:pPr>
            <w:r>
              <w:t>20%</w:t>
            </w:r>
          </w:p>
        </w:tc>
      </w:tr>
      <w:tr w:rsidR="00A12401" w14:paraId="76FEED8B" w14:textId="77777777">
        <w:tc>
          <w:tcPr>
            <w:tcW w:w="1352" w:type="dxa"/>
          </w:tcPr>
          <w:p w14:paraId="17E90394" w14:textId="77777777" w:rsidR="00A12401" w:rsidRDefault="00A25E1C">
            <w:pPr>
              <w:jc w:val="left"/>
            </w:pPr>
            <w:r>
              <w:t>35–45</w:t>
            </w:r>
          </w:p>
        </w:tc>
        <w:tc>
          <w:tcPr>
            <w:tcW w:w="1270" w:type="dxa"/>
          </w:tcPr>
          <w:p w14:paraId="613B05F4" w14:textId="77777777" w:rsidR="00A12401" w:rsidRDefault="00A25E1C">
            <w:pPr>
              <w:jc w:val="left"/>
            </w:pPr>
            <w:r>
              <w:t>3</w:t>
            </w:r>
          </w:p>
        </w:tc>
        <w:tc>
          <w:tcPr>
            <w:tcW w:w="1345" w:type="dxa"/>
          </w:tcPr>
          <w:p w14:paraId="30603C88" w14:textId="77777777" w:rsidR="00A12401" w:rsidRDefault="00A25E1C">
            <w:pPr>
              <w:jc w:val="left"/>
            </w:pPr>
            <w:r>
              <w:t>15%</w:t>
            </w:r>
          </w:p>
        </w:tc>
      </w:tr>
      <w:tr w:rsidR="00A12401" w14:paraId="5E996C9B" w14:textId="77777777">
        <w:tc>
          <w:tcPr>
            <w:tcW w:w="1352" w:type="dxa"/>
          </w:tcPr>
          <w:p w14:paraId="2CEBD9EB" w14:textId="77777777" w:rsidR="00A12401" w:rsidRDefault="00A25E1C">
            <w:pPr>
              <w:jc w:val="left"/>
            </w:pPr>
            <w:r>
              <w:t>45–55</w:t>
            </w:r>
          </w:p>
        </w:tc>
        <w:tc>
          <w:tcPr>
            <w:tcW w:w="1270" w:type="dxa"/>
          </w:tcPr>
          <w:p w14:paraId="6F13DFEA" w14:textId="77777777" w:rsidR="00A12401" w:rsidRDefault="00A25E1C">
            <w:pPr>
              <w:jc w:val="left"/>
            </w:pPr>
            <w:r>
              <w:t>5</w:t>
            </w:r>
          </w:p>
        </w:tc>
        <w:tc>
          <w:tcPr>
            <w:tcW w:w="1345" w:type="dxa"/>
          </w:tcPr>
          <w:p w14:paraId="68820226" w14:textId="77777777" w:rsidR="00A12401" w:rsidRDefault="00A25E1C">
            <w:pPr>
              <w:jc w:val="left"/>
            </w:pPr>
            <w:r>
              <w:t>25%</w:t>
            </w:r>
          </w:p>
        </w:tc>
      </w:tr>
      <w:tr w:rsidR="00A12401" w14:paraId="7C510547" w14:textId="77777777">
        <w:tc>
          <w:tcPr>
            <w:tcW w:w="1352" w:type="dxa"/>
          </w:tcPr>
          <w:p w14:paraId="3EE8595D" w14:textId="77777777" w:rsidR="00A12401" w:rsidRDefault="00A25E1C">
            <w:pPr>
              <w:jc w:val="left"/>
            </w:pPr>
            <w:r>
              <w:t>55–65</w:t>
            </w:r>
          </w:p>
        </w:tc>
        <w:tc>
          <w:tcPr>
            <w:tcW w:w="1270" w:type="dxa"/>
          </w:tcPr>
          <w:p w14:paraId="72B92391" w14:textId="77777777" w:rsidR="00A12401" w:rsidRDefault="00A25E1C">
            <w:pPr>
              <w:jc w:val="left"/>
            </w:pPr>
            <w:r>
              <w:t>3</w:t>
            </w:r>
          </w:p>
        </w:tc>
        <w:tc>
          <w:tcPr>
            <w:tcW w:w="1345" w:type="dxa"/>
          </w:tcPr>
          <w:p w14:paraId="43966943" w14:textId="77777777" w:rsidR="00A12401" w:rsidRDefault="00A25E1C">
            <w:pPr>
              <w:jc w:val="left"/>
            </w:pPr>
            <w:r>
              <w:t>15%</w:t>
            </w:r>
          </w:p>
        </w:tc>
      </w:tr>
      <w:tr w:rsidR="00A12401" w14:paraId="49CF63D9" w14:textId="77777777">
        <w:tc>
          <w:tcPr>
            <w:tcW w:w="1352" w:type="dxa"/>
          </w:tcPr>
          <w:p w14:paraId="4B44821B" w14:textId="77777777" w:rsidR="00A12401" w:rsidRDefault="00A25E1C">
            <w:pPr>
              <w:jc w:val="left"/>
            </w:pPr>
            <w:r>
              <w:rPr>
                <w:b/>
                <w:bCs/>
              </w:rPr>
              <w:t>Total</w:t>
            </w:r>
          </w:p>
        </w:tc>
        <w:tc>
          <w:tcPr>
            <w:tcW w:w="1270" w:type="dxa"/>
          </w:tcPr>
          <w:p w14:paraId="1E4035D4" w14:textId="77777777" w:rsidR="00A12401" w:rsidRDefault="00A25E1C">
            <w:pPr>
              <w:jc w:val="left"/>
            </w:pPr>
            <w:r>
              <w:rPr>
                <w:b/>
                <w:bCs/>
              </w:rPr>
              <w:t>20</w:t>
            </w:r>
          </w:p>
        </w:tc>
        <w:tc>
          <w:tcPr>
            <w:tcW w:w="1345" w:type="dxa"/>
          </w:tcPr>
          <w:p w14:paraId="205DCEB3" w14:textId="77777777" w:rsidR="00A12401" w:rsidRDefault="00A25E1C">
            <w:pPr>
              <w:jc w:val="left"/>
            </w:pPr>
            <w:r>
              <w:rPr>
                <w:b/>
                <w:bCs/>
              </w:rPr>
              <w:t>100%</w:t>
            </w:r>
          </w:p>
        </w:tc>
      </w:tr>
    </w:tbl>
    <w:p w14:paraId="343645DD" w14:textId="77777777" w:rsidR="00A12401" w:rsidRDefault="00A12401">
      <w:pPr>
        <w:jc w:val="left"/>
        <w:rPr>
          <w:b/>
          <w:bCs/>
        </w:rPr>
      </w:pPr>
    </w:p>
    <w:p w14:paraId="2122F472" w14:textId="77777777" w:rsidR="00A12401" w:rsidRDefault="00A25E1C">
      <w:pPr>
        <w:jc w:val="left"/>
        <w:rPr>
          <w:b/>
          <w:bCs/>
        </w:rPr>
      </w:pPr>
      <w:r>
        <w:rPr>
          <w:b/>
          <w:bCs/>
        </w:rPr>
        <w:t>2. What is your gender?</w:t>
      </w:r>
    </w:p>
    <w:tbl>
      <w:tblPr>
        <w:tblStyle w:val="a9"/>
        <w:tblW w:w="44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6"/>
        <w:gridCol w:w="1270"/>
        <w:gridCol w:w="1345"/>
      </w:tblGrid>
      <w:tr w:rsidR="00A12401" w14:paraId="55326FFB" w14:textId="77777777">
        <w:tc>
          <w:tcPr>
            <w:tcW w:w="1796" w:type="dxa"/>
          </w:tcPr>
          <w:p w14:paraId="550885FD" w14:textId="77777777" w:rsidR="00A12401" w:rsidRDefault="00A25E1C">
            <w:pPr>
              <w:jc w:val="left"/>
              <w:rPr>
                <w:b/>
                <w:bCs/>
              </w:rPr>
            </w:pPr>
            <w:r>
              <w:rPr>
                <w:b/>
                <w:bCs/>
              </w:rPr>
              <w:t>Gender</w:t>
            </w:r>
          </w:p>
        </w:tc>
        <w:tc>
          <w:tcPr>
            <w:tcW w:w="1270" w:type="dxa"/>
          </w:tcPr>
          <w:p w14:paraId="43092D2D" w14:textId="77777777" w:rsidR="00A12401" w:rsidRDefault="00A25E1C">
            <w:pPr>
              <w:jc w:val="left"/>
              <w:rPr>
                <w:b/>
                <w:bCs/>
              </w:rPr>
            </w:pPr>
            <w:r>
              <w:rPr>
                <w:b/>
                <w:bCs/>
              </w:rPr>
              <w:t>Responses</w:t>
            </w:r>
          </w:p>
        </w:tc>
        <w:tc>
          <w:tcPr>
            <w:tcW w:w="1345" w:type="dxa"/>
          </w:tcPr>
          <w:p w14:paraId="5216F143" w14:textId="77777777" w:rsidR="00A12401" w:rsidRDefault="00A25E1C">
            <w:pPr>
              <w:jc w:val="left"/>
              <w:rPr>
                <w:b/>
                <w:bCs/>
              </w:rPr>
            </w:pPr>
            <w:r>
              <w:rPr>
                <w:b/>
                <w:bCs/>
              </w:rPr>
              <w:t>Percentage</w:t>
            </w:r>
          </w:p>
        </w:tc>
      </w:tr>
      <w:tr w:rsidR="00A12401" w14:paraId="1CBEC15A" w14:textId="77777777">
        <w:tc>
          <w:tcPr>
            <w:tcW w:w="1796" w:type="dxa"/>
          </w:tcPr>
          <w:p w14:paraId="0AFEC575" w14:textId="77777777" w:rsidR="00A12401" w:rsidRDefault="00A25E1C">
            <w:pPr>
              <w:jc w:val="left"/>
            </w:pPr>
            <w:r>
              <w:t>Woman</w:t>
            </w:r>
          </w:p>
        </w:tc>
        <w:tc>
          <w:tcPr>
            <w:tcW w:w="1270" w:type="dxa"/>
          </w:tcPr>
          <w:p w14:paraId="6AE9C1BD" w14:textId="77777777" w:rsidR="00A12401" w:rsidRDefault="00A25E1C">
            <w:pPr>
              <w:jc w:val="left"/>
            </w:pPr>
            <w:r>
              <w:t>7</w:t>
            </w:r>
          </w:p>
        </w:tc>
        <w:tc>
          <w:tcPr>
            <w:tcW w:w="1345" w:type="dxa"/>
          </w:tcPr>
          <w:p w14:paraId="24BA5E42" w14:textId="77777777" w:rsidR="00A12401" w:rsidRDefault="00A25E1C">
            <w:pPr>
              <w:jc w:val="left"/>
            </w:pPr>
            <w:r>
              <w:t>35%</w:t>
            </w:r>
          </w:p>
        </w:tc>
      </w:tr>
      <w:tr w:rsidR="00A12401" w14:paraId="77726596" w14:textId="77777777">
        <w:tc>
          <w:tcPr>
            <w:tcW w:w="1796" w:type="dxa"/>
          </w:tcPr>
          <w:p w14:paraId="5D0C5616" w14:textId="77777777" w:rsidR="00A12401" w:rsidRDefault="00A25E1C">
            <w:pPr>
              <w:jc w:val="left"/>
            </w:pPr>
            <w:r>
              <w:t>Man</w:t>
            </w:r>
          </w:p>
        </w:tc>
        <w:tc>
          <w:tcPr>
            <w:tcW w:w="1270" w:type="dxa"/>
          </w:tcPr>
          <w:p w14:paraId="3D4F7344" w14:textId="77777777" w:rsidR="00A12401" w:rsidRDefault="00A25E1C">
            <w:pPr>
              <w:jc w:val="left"/>
            </w:pPr>
            <w:r>
              <w:t>12</w:t>
            </w:r>
          </w:p>
        </w:tc>
        <w:tc>
          <w:tcPr>
            <w:tcW w:w="1345" w:type="dxa"/>
          </w:tcPr>
          <w:p w14:paraId="2C05D969" w14:textId="77777777" w:rsidR="00A12401" w:rsidRDefault="00A25E1C">
            <w:pPr>
              <w:jc w:val="left"/>
            </w:pPr>
            <w:r>
              <w:t>60%</w:t>
            </w:r>
          </w:p>
        </w:tc>
      </w:tr>
      <w:tr w:rsidR="00A12401" w14:paraId="2A9C2B85" w14:textId="77777777">
        <w:tc>
          <w:tcPr>
            <w:tcW w:w="1796" w:type="dxa"/>
          </w:tcPr>
          <w:p w14:paraId="7AB02087" w14:textId="77777777" w:rsidR="00A12401" w:rsidRDefault="00A25E1C">
            <w:pPr>
              <w:jc w:val="left"/>
            </w:pPr>
            <w:r>
              <w:t>Non-binary</w:t>
            </w:r>
          </w:p>
        </w:tc>
        <w:tc>
          <w:tcPr>
            <w:tcW w:w="1270" w:type="dxa"/>
          </w:tcPr>
          <w:p w14:paraId="51DCD0C1" w14:textId="77777777" w:rsidR="00A12401" w:rsidRDefault="00A25E1C">
            <w:pPr>
              <w:jc w:val="left"/>
            </w:pPr>
            <w:r>
              <w:t>0</w:t>
            </w:r>
          </w:p>
        </w:tc>
        <w:tc>
          <w:tcPr>
            <w:tcW w:w="1345" w:type="dxa"/>
          </w:tcPr>
          <w:p w14:paraId="1F4163BE" w14:textId="77777777" w:rsidR="00A12401" w:rsidRDefault="00A25E1C">
            <w:pPr>
              <w:jc w:val="left"/>
            </w:pPr>
            <w:r>
              <w:t>0%</w:t>
            </w:r>
          </w:p>
        </w:tc>
      </w:tr>
      <w:tr w:rsidR="00A12401" w14:paraId="314FCEAE" w14:textId="77777777">
        <w:tc>
          <w:tcPr>
            <w:tcW w:w="1796" w:type="dxa"/>
          </w:tcPr>
          <w:p w14:paraId="443E4956" w14:textId="77777777" w:rsidR="00A12401" w:rsidRDefault="00A25E1C">
            <w:pPr>
              <w:jc w:val="left"/>
            </w:pPr>
            <w:r>
              <w:t>Prefer not to say</w:t>
            </w:r>
          </w:p>
        </w:tc>
        <w:tc>
          <w:tcPr>
            <w:tcW w:w="1270" w:type="dxa"/>
          </w:tcPr>
          <w:p w14:paraId="24902EAD" w14:textId="77777777" w:rsidR="00A12401" w:rsidRDefault="00A25E1C">
            <w:pPr>
              <w:jc w:val="left"/>
            </w:pPr>
            <w:r>
              <w:t>1</w:t>
            </w:r>
          </w:p>
        </w:tc>
        <w:tc>
          <w:tcPr>
            <w:tcW w:w="1345" w:type="dxa"/>
          </w:tcPr>
          <w:p w14:paraId="4A5B72CC" w14:textId="77777777" w:rsidR="00A12401" w:rsidRDefault="00A25E1C">
            <w:pPr>
              <w:jc w:val="left"/>
            </w:pPr>
            <w:r>
              <w:t>5%</w:t>
            </w:r>
          </w:p>
        </w:tc>
      </w:tr>
      <w:tr w:rsidR="00A12401" w14:paraId="7E85244A" w14:textId="77777777">
        <w:tc>
          <w:tcPr>
            <w:tcW w:w="1796" w:type="dxa"/>
          </w:tcPr>
          <w:p w14:paraId="5DB8C97E" w14:textId="77777777" w:rsidR="00A12401" w:rsidRDefault="00A25E1C">
            <w:pPr>
              <w:jc w:val="left"/>
            </w:pPr>
            <w:r>
              <w:rPr>
                <w:b/>
                <w:bCs/>
              </w:rPr>
              <w:t>Total</w:t>
            </w:r>
          </w:p>
        </w:tc>
        <w:tc>
          <w:tcPr>
            <w:tcW w:w="1270" w:type="dxa"/>
          </w:tcPr>
          <w:p w14:paraId="1516D047" w14:textId="77777777" w:rsidR="00A12401" w:rsidRDefault="00A25E1C">
            <w:pPr>
              <w:jc w:val="left"/>
            </w:pPr>
            <w:r>
              <w:rPr>
                <w:b/>
                <w:bCs/>
              </w:rPr>
              <w:t>20</w:t>
            </w:r>
          </w:p>
        </w:tc>
        <w:tc>
          <w:tcPr>
            <w:tcW w:w="1345" w:type="dxa"/>
          </w:tcPr>
          <w:p w14:paraId="2740DDAE" w14:textId="77777777" w:rsidR="00A12401" w:rsidRDefault="00A25E1C">
            <w:pPr>
              <w:jc w:val="left"/>
            </w:pPr>
            <w:r>
              <w:rPr>
                <w:b/>
                <w:bCs/>
              </w:rPr>
              <w:t>100%</w:t>
            </w:r>
          </w:p>
        </w:tc>
      </w:tr>
    </w:tbl>
    <w:p w14:paraId="54CE210B" w14:textId="77777777" w:rsidR="00A12401" w:rsidRDefault="00A12401">
      <w:pPr>
        <w:jc w:val="left"/>
        <w:rPr>
          <w:b/>
          <w:bCs/>
        </w:rPr>
      </w:pPr>
    </w:p>
    <w:p w14:paraId="02D68E13" w14:textId="77777777" w:rsidR="00A12401" w:rsidRDefault="00A25E1C">
      <w:pPr>
        <w:jc w:val="left"/>
        <w:rPr>
          <w:b/>
          <w:bCs/>
        </w:rPr>
      </w:pPr>
      <w:r>
        <w:br w:type="page"/>
      </w:r>
    </w:p>
    <w:p w14:paraId="7C1511AA" w14:textId="77777777" w:rsidR="00A12401" w:rsidRDefault="00A12401">
      <w:pPr>
        <w:jc w:val="left"/>
        <w:rPr>
          <w:b/>
          <w:bCs/>
        </w:rPr>
      </w:pPr>
    </w:p>
    <w:p w14:paraId="4F53B1C0" w14:textId="77777777" w:rsidR="00A12401" w:rsidRDefault="00A12401">
      <w:pPr>
        <w:jc w:val="left"/>
        <w:rPr>
          <w:b/>
          <w:bCs/>
        </w:rPr>
      </w:pPr>
    </w:p>
    <w:p w14:paraId="58D7016B" w14:textId="77777777" w:rsidR="00A12401" w:rsidRDefault="00A25E1C">
      <w:pPr>
        <w:jc w:val="left"/>
        <w:rPr>
          <w:b/>
          <w:bCs/>
        </w:rPr>
      </w:pPr>
      <w:r>
        <w:rPr>
          <w:b/>
          <w:bCs/>
        </w:rPr>
        <w:t>3. How often do you shop at Tesco</w:t>
      </w:r>
    </w:p>
    <w:tbl>
      <w:tblPr>
        <w:tblStyle w:val="aa"/>
        <w:tblW w:w="49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9"/>
        <w:gridCol w:w="1270"/>
        <w:gridCol w:w="1345"/>
      </w:tblGrid>
      <w:tr w:rsidR="00A12401" w14:paraId="5A0617B4" w14:textId="77777777">
        <w:tc>
          <w:tcPr>
            <w:tcW w:w="2339" w:type="dxa"/>
          </w:tcPr>
          <w:p w14:paraId="4B5E4A93" w14:textId="77777777" w:rsidR="00A12401" w:rsidRDefault="00A25E1C">
            <w:pPr>
              <w:jc w:val="left"/>
              <w:rPr>
                <w:b/>
                <w:bCs/>
              </w:rPr>
            </w:pPr>
            <w:r>
              <w:rPr>
                <w:b/>
                <w:bCs/>
              </w:rPr>
              <w:t>Shopping Frequency</w:t>
            </w:r>
          </w:p>
        </w:tc>
        <w:tc>
          <w:tcPr>
            <w:tcW w:w="1270" w:type="dxa"/>
          </w:tcPr>
          <w:p w14:paraId="7B5FC809" w14:textId="77777777" w:rsidR="00A12401" w:rsidRDefault="00A25E1C">
            <w:pPr>
              <w:jc w:val="left"/>
              <w:rPr>
                <w:b/>
                <w:bCs/>
              </w:rPr>
            </w:pPr>
            <w:r>
              <w:rPr>
                <w:b/>
                <w:bCs/>
              </w:rPr>
              <w:t>Responses</w:t>
            </w:r>
          </w:p>
        </w:tc>
        <w:tc>
          <w:tcPr>
            <w:tcW w:w="1345" w:type="dxa"/>
          </w:tcPr>
          <w:p w14:paraId="2489EAEC" w14:textId="77777777" w:rsidR="00A12401" w:rsidRDefault="00A25E1C">
            <w:pPr>
              <w:jc w:val="left"/>
              <w:rPr>
                <w:b/>
                <w:bCs/>
              </w:rPr>
            </w:pPr>
            <w:r>
              <w:rPr>
                <w:b/>
                <w:bCs/>
              </w:rPr>
              <w:t>Percentage</w:t>
            </w:r>
          </w:p>
        </w:tc>
      </w:tr>
      <w:tr w:rsidR="00A12401" w14:paraId="307731ED" w14:textId="77777777">
        <w:tc>
          <w:tcPr>
            <w:tcW w:w="2339" w:type="dxa"/>
          </w:tcPr>
          <w:p w14:paraId="36C84888" w14:textId="77777777" w:rsidR="00A12401" w:rsidRDefault="00A25E1C">
            <w:pPr>
              <w:jc w:val="left"/>
            </w:pPr>
            <w:r>
              <w:t>Daily</w:t>
            </w:r>
          </w:p>
        </w:tc>
        <w:tc>
          <w:tcPr>
            <w:tcW w:w="1270" w:type="dxa"/>
          </w:tcPr>
          <w:p w14:paraId="3C9351B6" w14:textId="77777777" w:rsidR="00A12401" w:rsidRDefault="00A25E1C">
            <w:pPr>
              <w:jc w:val="left"/>
            </w:pPr>
            <w:r>
              <w:t>0</w:t>
            </w:r>
          </w:p>
        </w:tc>
        <w:tc>
          <w:tcPr>
            <w:tcW w:w="1345" w:type="dxa"/>
          </w:tcPr>
          <w:p w14:paraId="7AB297D1" w14:textId="77777777" w:rsidR="00A12401" w:rsidRDefault="00A25E1C">
            <w:pPr>
              <w:jc w:val="left"/>
            </w:pPr>
            <w:r>
              <w:t>0%</w:t>
            </w:r>
          </w:p>
        </w:tc>
      </w:tr>
      <w:tr w:rsidR="00A12401" w14:paraId="1CEA9576" w14:textId="77777777">
        <w:tc>
          <w:tcPr>
            <w:tcW w:w="2339" w:type="dxa"/>
          </w:tcPr>
          <w:p w14:paraId="67C31475" w14:textId="77777777" w:rsidR="00A12401" w:rsidRDefault="00A25E1C">
            <w:pPr>
              <w:jc w:val="left"/>
            </w:pPr>
            <w:r>
              <w:t>Weekly</w:t>
            </w:r>
          </w:p>
        </w:tc>
        <w:tc>
          <w:tcPr>
            <w:tcW w:w="1270" w:type="dxa"/>
          </w:tcPr>
          <w:p w14:paraId="41F4B1A8" w14:textId="77777777" w:rsidR="00A12401" w:rsidRDefault="00A25E1C">
            <w:pPr>
              <w:jc w:val="left"/>
            </w:pPr>
            <w:r>
              <w:t>14</w:t>
            </w:r>
          </w:p>
        </w:tc>
        <w:tc>
          <w:tcPr>
            <w:tcW w:w="1345" w:type="dxa"/>
          </w:tcPr>
          <w:p w14:paraId="63505C1C" w14:textId="77777777" w:rsidR="00A12401" w:rsidRDefault="00A25E1C">
            <w:pPr>
              <w:jc w:val="left"/>
            </w:pPr>
            <w:r>
              <w:t>70%</w:t>
            </w:r>
          </w:p>
        </w:tc>
      </w:tr>
      <w:tr w:rsidR="00A12401" w14:paraId="08D9DDE8" w14:textId="77777777">
        <w:tc>
          <w:tcPr>
            <w:tcW w:w="2339" w:type="dxa"/>
          </w:tcPr>
          <w:p w14:paraId="6E7489EF" w14:textId="77777777" w:rsidR="00A12401" w:rsidRDefault="00A25E1C">
            <w:pPr>
              <w:jc w:val="left"/>
            </w:pPr>
            <w:r>
              <w:t>Monthly</w:t>
            </w:r>
          </w:p>
        </w:tc>
        <w:tc>
          <w:tcPr>
            <w:tcW w:w="1270" w:type="dxa"/>
          </w:tcPr>
          <w:p w14:paraId="07DC8D44" w14:textId="77777777" w:rsidR="00A12401" w:rsidRDefault="00A25E1C">
            <w:pPr>
              <w:jc w:val="left"/>
            </w:pPr>
            <w:r>
              <w:t>3</w:t>
            </w:r>
          </w:p>
        </w:tc>
        <w:tc>
          <w:tcPr>
            <w:tcW w:w="1345" w:type="dxa"/>
          </w:tcPr>
          <w:p w14:paraId="33240B7F" w14:textId="77777777" w:rsidR="00A12401" w:rsidRDefault="00A25E1C">
            <w:pPr>
              <w:jc w:val="left"/>
            </w:pPr>
            <w:r>
              <w:t>15%</w:t>
            </w:r>
          </w:p>
        </w:tc>
      </w:tr>
      <w:tr w:rsidR="00A12401" w14:paraId="003712AD" w14:textId="77777777">
        <w:tc>
          <w:tcPr>
            <w:tcW w:w="2339" w:type="dxa"/>
          </w:tcPr>
          <w:p w14:paraId="2922CDCC" w14:textId="77777777" w:rsidR="00A12401" w:rsidRDefault="00A25E1C">
            <w:pPr>
              <w:jc w:val="left"/>
            </w:pPr>
            <w:r>
              <w:t>Seasonal</w:t>
            </w:r>
          </w:p>
        </w:tc>
        <w:tc>
          <w:tcPr>
            <w:tcW w:w="1270" w:type="dxa"/>
          </w:tcPr>
          <w:p w14:paraId="373DCDA6" w14:textId="77777777" w:rsidR="00A12401" w:rsidRDefault="00A25E1C">
            <w:pPr>
              <w:jc w:val="left"/>
            </w:pPr>
            <w:r>
              <w:t>1</w:t>
            </w:r>
          </w:p>
        </w:tc>
        <w:tc>
          <w:tcPr>
            <w:tcW w:w="1345" w:type="dxa"/>
          </w:tcPr>
          <w:p w14:paraId="5907182B" w14:textId="77777777" w:rsidR="00A12401" w:rsidRDefault="00A25E1C">
            <w:pPr>
              <w:jc w:val="left"/>
            </w:pPr>
            <w:r>
              <w:t>5%</w:t>
            </w:r>
          </w:p>
        </w:tc>
      </w:tr>
      <w:tr w:rsidR="00A12401" w14:paraId="6D154B2F" w14:textId="77777777">
        <w:tc>
          <w:tcPr>
            <w:tcW w:w="2339" w:type="dxa"/>
          </w:tcPr>
          <w:p w14:paraId="5BD41D49" w14:textId="77777777" w:rsidR="00A12401" w:rsidRDefault="00A25E1C">
            <w:pPr>
              <w:jc w:val="left"/>
            </w:pPr>
            <w:r>
              <w:t>Yearly</w:t>
            </w:r>
          </w:p>
        </w:tc>
        <w:tc>
          <w:tcPr>
            <w:tcW w:w="1270" w:type="dxa"/>
          </w:tcPr>
          <w:p w14:paraId="73745A53" w14:textId="77777777" w:rsidR="00A12401" w:rsidRDefault="00A25E1C">
            <w:pPr>
              <w:jc w:val="left"/>
            </w:pPr>
            <w:r>
              <w:t>0</w:t>
            </w:r>
          </w:p>
        </w:tc>
        <w:tc>
          <w:tcPr>
            <w:tcW w:w="1345" w:type="dxa"/>
          </w:tcPr>
          <w:p w14:paraId="51BA2474" w14:textId="77777777" w:rsidR="00A12401" w:rsidRDefault="00A25E1C">
            <w:pPr>
              <w:jc w:val="left"/>
            </w:pPr>
            <w:r>
              <w:t>0%</w:t>
            </w:r>
          </w:p>
        </w:tc>
      </w:tr>
      <w:tr w:rsidR="00A12401" w14:paraId="7B1F93C7" w14:textId="77777777">
        <w:tc>
          <w:tcPr>
            <w:tcW w:w="2339" w:type="dxa"/>
          </w:tcPr>
          <w:p w14:paraId="64F22A21" w14:textId="77777777" w:rsidR="00A12401" w:rsidRDefault="00A25E1C">
            <w:pPr>
              <w:jc w:val="left"/>
            </w:pPr>
            <w:r>
              <w:t>Never</w:t>
            </w:r>
          </w:p>
        </w:tc>
        <w:tc>
          <w:tcPr>
            <w:tcW w:w="1270" w:type="dxa"/>
          </w:tcPr>
          <w:p w14:paraId="39472F19" w14:textId="77777777" w:rsidR="00A12401" w:rsidRDefault="00A25E1C">
            <w:pPr>
              <w:jc w:val="left"/>
            </w:pPr>
            <w:r>
              <w:t>2</w:t>
            </w:r>
          </w:p>
        </w:tc>
        <w:tc>
          <w:tcPr>
            <w:tcW w:w="1345" w:type="dxa"/>
          </w:tcPr>
          <w:p w14:paraId="7AE69643" w14:textId="77777777" w:rsidR="00A12401" w:rsidRDefault="00A25E1C">
            <w:pPr>
              <w:jc w:val="left"/>
            </w:pPr>
            <w:r>
              <w:t>10%</w:t>
            </w:r>
          </w:p>
        </w:tc>
      </w:tr>
      <w:tr w:rsidR="00A12401" w14:paraId="07B3A0A0" w14:textId="77777777">
        <w:tc>
          <w:tcPr>
            <w:tcW w:w="2339" w:type="dxa"/>
          </w:tcPr>
          <w:p w14:paraId="05753AD9" w14:textId="77777777" w:rsidR="00A12401" w:rsidRDefault="00A25E1C">
            <w:pPr>
              <w:jc w:val="left"/>
            </w:pPr>
            <w:r>
              <w:rPr>
                <w:b/>
                <w:bCs/>
              </w:rPr>
              <w:t>Total</w:t>
            </w:r>
          </w:p>
        </w:tc>
        <w:tc>
          <w:tcPr>
            <w:tcW w:w="1270" w:type="dxa"/>
          </w:tcPr>
          <w:p w14:paraId="7D5F4C8D" w14:textId="77777777" w:rsidR="00A12401" w:rsidRDefault="00A25E1C">
            <w:pPr>
              <w:jc w:val="left"/>
            </w:pPr>
            <w:r>
              <w:rPr>
                <w:b/>
                <w:bCs/>
              </w:rPr>
              <w:t>20</w:t>
            </w:r>
          </w:p>
        </w:tc>
        <w:tc>
          <w:tcPr>
            <w:tcW w:w="1345" w:type="dxa"/>
          </w:tcPr>
          <w:p w14:paraId="4C08C67E" w14:textId="77777777" w:rsidR="00A12401" w:rsidRDefault="00A25E1C">
            <w:pPr>
              <w:jc w:val="left"/>
            </w:pPr>
            <w:r>
              <w:rPr>
                <w:b/>
                <w:bCs/>
              </w:rPr>
              <w:t>100%</w:t>
            </w:r>
          </w:p>
        </w:tc>
      </w:tr>
    </w:tbl>
    <w:p w14:paraId="1125CD3B" w14:textId="77777777" w:rsidR="00A12401" w:rsidRDefault="00A12401">
      <w:pPr>
        <w:jc w:val="left"/>
        <w:rPr>
          <w:b/>
          <w:bCs/>
        </w:rPr>
      </w:pPr>
    </w:p>
    <w:p w14:paraId="723EFF43" w14:textId="77777777" w:rsidR="00A12401" w:rsidRDefault="00A25E1C">
      <w:pPr>
        <w:jc w:val="left"/>
        <w:rPr>
          <w:b/>
          <w:bCs/>
        </w:rPr>
      </w:pPr>
      <w:r>
        <w:rPr>
          <w:b/>
          <w:bCs/>
        </w:rPr>
        <w:t>4. Are you aware of CSR initiatives undertaken by Tesco</w:t>
      </w:r>
    </w:p>
    <w:tbl>
      <w:tblPr>
        <w:tblStyle w:val="ab"/>
        <w:tblW w:w="379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7"/>
        <w:gridCol w:w="1270"/>
        <w:gridCol w:w="1345"/>
      </w:tblGrid>
      <w:tr w:rsidR="00A12401" w14:paraId="6F07F5E9" w14:textId="77777777">
        <w:tc>
          <w:tcPr>
            <w:tcW w:w="1177" w:type="dxa"/>
          </w:tcPr>
          <w:p w14:paraId="75D39B55" w14:textId="77777777" w:rsidR="00A12401" w:rsidRDefault="00A25E1C">
            <w:pPr>
              <w:jc w:val="left"/>
              <w:rPr>
                <w:b/>
                <w:bCs/>
              </w:rPr>
            </w:pPr>
            <w:r>
              <w:rPr>
                <w:b/>
                <w:bCs/>
              </w:rPr>
              <w:t>Response</w:t>
            </w:r>
          </w:p>
        </w:tc>
        <w:tc>
          <w:tcPr>
            <w:tcW w:w="1270" w:type="dxa"/>
          </w:tcPr>
          <w:p w14:paraId="51FAFE98" w14:textId="77777777" w:rsidR="00A12401" w:rsidRDefault="00A25E1C">
            <w:pPr>
              <w:jc w:val="left"/>
              <w:rPr>
                <w:b/>
                <w:bCs/>
              </w:rPr>
            </w:pPr>
            <w:r>
              <w:rPr>
                <w:b/>
                <w:bCs/>
              </w:rPr>
              <w:t>Responses</w:t>
            </w:r>
          </w:p>
        </w:tc>
        <w:tc>
          <w:tcPr>
            <w:tcW w:w="1345" w:type="dxa"/>
          </w:tcPr>
          <w:p w14:paraId="2505EAA8" w14:textId="77777777" w:rsidR="00A12401" w:rsidRDefault="00A25E1C">
            <w:pPr>
              <w:jc w:val="left"/>
              <w:rPr>
                <w:b/>
                <w:bCs/>
              </w:rPr>
            </w:pPr>
            <w:r>
              <w:rPr>
                <w:b/>
                <w:bCs/>
              </w:rPr>
              <w:t>Percentage</w:t>
            </w:r>
          </w:p>
        </w:tc>
      </w:tr>
      <w:tr w:rsidR="00A12401" w14:paraId="5626D74A" w14:textId="77777777">
        <w:tc>
          <w:tcPr>
            <w:tcW w:w="1177" w:type="dxa"/>
          </w:tcPr>
          <w:p w14:paraId="1F71E568" w14:textId="77777777" w:rsidR="00A12401" w:rsidRDefault="00A25E1C">
            <w:pPr>
              <w:jc w:val="left"/>
            </w:pPr>
            <w:r>
              <w:t>Yes</w:t>
            </w:r>
          </w:p>
        </w:tc>
        <w:tc>
          <w:tcPr>
            <w:tcW w:w="1270" w:type="dxa"/>
          </w:tcPr>
          <w:p w14:paraId="6F7A80B3" w14:textId="77777777" w:rsidR="00A12401" w:rsidRDefault="00A25E1C">
            <w:pPr>
              <w:jc w:val="left"/>
            </w:pPr>
            <w:r>
              <w:t>13</w:t>
            </w:r>
          </w:p>
        </w:tc>
        <w:tc>
          <w:tcPr>
            <w:tcW w:w="1345" w:type="dxa"/>
          </w:tcPr>
          <w:p w14:paraId="49A83C87" w14:textId="77777777" w:rsidR="00A12401" w:rsidRDefault="00A25E1C">
            <w:pPr>
              <w:jc w:val="left"/>
            </w:pPr>
            <w:r>
              <w:t>65%</w:t>
            </w:r>
          </w:p>
        </w:tc>
      </w:tr>
      <w:tr w:rsidR="00A12401" w14:paraId="076125FA" w14:textId="77777777">
        <w:tc>
          <w:tcPr>
            <w:tcW w:w="1177" w:type="dxa"/>
          </w:tcPr>
          <w:p w14:paraId="2B1E2054" w14:textId="77777777" w:rsidR="00A12401" w:rsidRDefault="00A25E1C">
            <w:pPr>
              <w:jc w:val="left"/>
            </w:pPr>
            <w:r>
              <w:t>No</w:t>
            </w:r>
          </w:p>
        </w:tc>
        <w:tc>
          <w:tcPr>
            <w:tcW w:w="1270" w:type="dxa"/>
          </w:tcPr>
          <w:p w14:paraId="3DCB0651" w14:textId="77777777" w:rsidR="00A12401" w:rsidRDefault="00A25E1C">
            <w:pPr>
              <w:jc w:val="left"/>
            </w:pPr>
            <w:r>
              <w:t>7</w:t>
            </w:r>
          </w:p>
        </w:tc>
        <w:tc>
          <w:tcPr>
            <w:tcW w:w="1345" w:type="dxa"/>
          </w:tcPr>
          <w:p w14:paraId="30BE1610" w14:textId="77777777" w:rsidR="00A12401" w:rsidRDefault="00A25E1C">
            <w:pPr>
              <w:jc w:val="left"/>
            </w:pPr>
            <w:r>
              <w:t>35%</w:t>
            </w:r>
          </w:p>
        </w:tc>
      </w:tr>
      <w:tr w:rsidR="00A12401" w14:paraId="485BFC6F" w14:textId="77777777">
        <w:tc>
          <w:tcPr>
            <w:tcW w:w="1177" w:type="dxa"/>
          </w:tcPr>
          <w:p w14:paraId="34FAAA35" w14:textId="77777777" w:rsidR="00A12401" w:rsidRDefault="00A25E1C">
            <w:pPr>
              <w:jc w:val="left"/>
            </w:pPr>
            <w:r>
              <w:rPr>
                <w:b/>
                <w:bCs/>
              </w:rPr>
              <w:t>Total</w:t>
            </w:r>
          </w:p>
        </w:tc>
        <w:tc>
          <w:tcPr>
            <w:tcW w:w="1270" w:type="dxa"/>
          </w:tcPr>
          <w:p w14:paraId="0F608A8C" w14:textId="77777777" w:rsidR="00A12401" w:rsidRDefault="00A25E1C">
            <w:pPr>
              <w:jc w:val="left"/>
            </w:pPr>
            <w:r>
              <w:rPr>
                <w:b/>
                <w:bCs/>
              </w:rPr>
              <w:t>20</w:t>
            </w:r>
          </w:p>
        </w:tc>
        <w:tc>
          <w:tcPr>
            <w:tcW w:w="1345" w:type="dxa"/>
          </w:tcPr>
          <w:p w14:paraId="05AFE7CB" w14:textId="77777777" w:rsidR="00A12401" w:rsidRDefault="00A25E1C">
            <w:pPr>
              <w:jc w:val="left"/>
            </w:pPr>
            <w:r>
              <w:rPr>
                <w:b/>
                <w:bCs/>
              </w:rPr>
              <w:t>100%</w:t>
            </w:r>
          </w:p>
        </w:tc>
      </w:tr>
    </w:tbl>
    <w:p w14:paraId="0BF0162E" w14:textId="77777777" w:rsidR="00A12401" w:rsidRDefault="00A12401">
      <w:pPr>
        <w:jc w:val="left"/>
        <w:rPr>
          <w:b/>
          <w:bCs/>
        </w:rPr>
      </w:pPr>
    </w:p>
    <w:p w14:paraId="148F8CC0" w14:textId="77777777" w:rsidR="00A12401" w:rsidRDefault="00A12401">
      <w:pPr>
        <w:jc w:val="left"/>
        <w:rPr>
          <w:b/>
          <w:bCs/>
        </w:rPr>
      </w:pPr>
    </w:p>
    <w:p w14:paraId="62175167" w14:textId="77777777" w:rsidR="00A12401" w:rsidRDefault="00A25E1C">
      <w:pPr>
        <w:jc w:val="left"/>
        <w:rPr>
          <w:b/>
          <w:bCs/>
        </w:rPr>
      </w:pPr>
      <w:r>
        <w:br w:type="page"/>
      </w:r>
    </w:p>
    <w:p w14:paraId="339ACA57" w14:textId="77777777" w:rsidR="00A12401" w:rsidRDefault="00A12401">
      <w:pPr>
        <w:jc w:val="left"/>
        <w:rPr>
          <w:b/>
          <w:bCs/>
        </w:rPr>
      </w:pPr>
    </w:p>
    <w:p w14:paraId="545130FD" w14:textId="77777777" w:rsidR="00A12401" w:rsidRDefault="00A25E1C">
      <w:pPr>
        <w:jc w:val="left"/>
        <w:rPr>
          <w:b/>
          <w:bCs/>
        </w:rPr>
      </w:pPr>
      <w:r>
        <w:rPr>
          <w:b/>
          <w:bCs/>
        </w:rPr>
        <w:t>5. Through which channels have you learned about Tesco's CSR activities?</w:t>
      </w:r>
    </w:p>
    <w:tbl>
      <w:tblPr>
        <w:tblStyle w:val="ac"/>
        <w:tblW w:w="47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6"/>
        <w:gridCol w:w="1270"/>
        <w:gridCol w:w="1345"/>
      </w:tblGrid>
      <w:tr w:rsidR="00A12401" w14:paraId="2F59331C" w14:textId="77777777">
        <w:tc>
          <w:tcPr>
            <w:tcW w:w="2116" w:type="dxa"/>
          </w:tcPr>
          <w:p w14:paraId="49D13B64" w14:textId="77777777" w:rsidR="00A12401" w:rsidRDefault="00A25E1C">
            <w:pPr>
              <w:jc w:val="left"/>
              <w:rPr>
                <w:b/>
                <w:bCs/>
              </w:rPr>
            </w:pPr>
            <w:r>
              <w:rPr>
                <w:b/>
                <w:bCs/>
              </w:rPr>
              <w:t>Channel</w:t>
            </w:r>
          </w:p>
        </w:tc>
        <w:tc>
          <w:tcPr>
            <w:tcW w:w="1270" w:type="dxa"/>
          </w:tcPr>
          <w:p w14:paraId="7AE0513A" w14:textId="77777777" w:rsidR="00A12401" w:rsidRDefault="00A25E1C">
            <w:pPr>
              <w:jc w:val="left"/>
              <w:rPr>
                <w:b/>
                <w:bCs/>
              </w:rPr>
            </w:pPr>
            <w:r>
              <w:rPr>
                <w:b/>
                <w:bCs/>
              </w:rPr>
              <w:t>Responses</w:t>
            </w:r>
          </w:p>
        </w:tc>
        <w:tc>
          <w:tcPr>
            <w:tcW w:w="1345" w:type="dxa"/>
          </w:tcPr>
          <w:p w14:paraId="0A991F7A" w14:textId="77777777" w:rsidR="00A12401" w:rsidRDefault="00A25E1C">
            <w:pPr>
              <w:jc w:val="left"/>
              <w:rPr>
                <w:b/>
                <w:bCs/>
              </w:rPr>
            </w:pPr>
            <w:r>
              <w:rPr>
                <w:b/>
                <w:bCs/>
              </w:rPr>
              <w:t>Percentage</w:t>
            </w:r>
          </w:p>
        </w:tc>
      </w:tr>
      <w:tr w:rsidR="00A12401" w14:paraId="05F169AF" w14:textId="77777777">
        <w:tc>
          <w:tcPr>
            <w:tcW w:w="2116" w:type="dxa"/>
          </w:tcPr>
          <w:p w14:paraId="0C0A7DF6" w14:textId="77777777" w:rsidR="00A12401" w:rsidRDefault="00A25E1C">
            <w:pPr>
              <w:jc w:val="left"/>
            </w:pPr>
            <w:r>
              <w:t>Email</w:t>
            </w:r>
          </w:p>
        </w:tc>
        <w:tc>
          <w:tcPr>
            <w:tcW w:w="1270" w:type="dxa"/>
          </w:tcPr>
          <w:p w14:paraId="098EF01B" w14:textId="77777777" w:rsidR="00A12401" w:rsidRDefault="00A25E1C">
            <w:pPr>
              <w:jc w:val="left"/>
            </w:pPr>
            <w:r>
              <w:t>2</w:t>
            </w:r>
          </w:p>
        </w:tc>
        <w:tc>
          <w:tcPr>
            <w:tcW w:w="1345" w:type="dxa"/>
          </w:tcPr>
          <w:p w14:paraId="4B9DF5F4" w14:textId="77777777" w:rsidR="00A12401" w:rsidRDefault="00A25E1C">
            <w:pPr>
              <w:jc w:val="left"/>
            </w:pPr>
            <w:r>
              <w:t>11%</w:t>
            </w:r>
          </w:p>
        </w:tc>
      </w:tr>
      <w:tr w:rsidR="00A12401" w14:paraId="32775A43" w14:textId="77777777">
        <w:tc>
          <w:tcPr>
            <w:tcW w:w="2116" w:type="dxa"/>
          </w:tcPr>
          <w:p w14:paraId="19702276" w14:textId="77777777" w:rsidR="00A12401" w:rsidRDefault="00A25E1C">
            <w:pPr>
              <w:jc w:val="left"/>
            </w:pPr>
            <w:r>
              <w:t>Phone</w:t>
            </w:r>
          </w:p>
        </w:tc>
        <w:tc>
          <w:tcPr>
            <w:tcW w:w="1270" w:type="dxa"/>
          </w:tcPr>
          <w:p w14:paraId="7DE6D212" w14:textId="77777777" w:rsidR="00A12401" w:rsidRDefault="00A25E1C">
            <w:pPr>
              <w:jc w:val="left"/>
            </w:pPr>
            <w:r>
              <w:t>1</w:t>
            </w:r>
          </w:p>
        </w:tc>
        <w:tc>
          <w:tcPr>
            <w:tcW w:w="1345" w:type="dxa"/>
          </w:tcPr>
          <w:p w14:paraId="1B15E823" w14:textId="77777777" w:rsidR="00A12401" w:rsidRDefault="00A25E1C">
            <w:pPr>
              <w:jc w:val="left"/>
            </w:pPr>
            <w:r>
              <w:t>5%</w:t>
            </w:r>
          </w:p>
        </w:tc>
      </w:tr>
      <w:tr w:rsidR="00A12401" w14:paraId="579C99A1" w14:textId="77777777">
        <w:tc>
          <w:tcPr>
            <w:tcW w:w="2116" w:type="dxa"/>
          </w:tcPr>
          <w:p w14:paraId="27CE841F" w14:textId="77777777" w:rsidR="00A12401" w:rsidRDefault="00A25E1C">
            <w:pPr>
              <w:jc w:val="left"/>
            </w:pPr>
            <w:r>
              <w:t>Social media</w:t>
            </w:r>
          </w:p>
        </w:tc>
        <w:tc>
          <w:tcPr>
            <w:tcW w:w="1270" w:type="dxa"/>
          </w:tcPr>
          <w:p w14:paraId="38AF738D" w14:textId="77777777" w:rsidR="00A12401" w:rsidRDefault="00A25E1C">
            <w:pPr>
              <w:jc w:val="left"/>
            </w:pPr>
            <w:r>
              <w:t>13</w:t>
            </w:r>
          </w:p>
        </w:tc>
        <w:tc>
          <w:tcPr>
            <w:tcW w:w="1345" w:type="dxa"/>
          </w:tcPr>
          <w:p w14:paraId="3DF0BD57" w14:textId="77777777" w:rsidR="00A12401" w:rsidRDefault="00A25E1C">
            <w:pPr>
              <w:jc w:val="left"/>
            </w:pPr>
            <w:r>
              <w:t>68%</w:t>
            </w:r>
          </w:p>
        </w:tc>
      </w:tr>
      <w:tr w:rsidR="00A12401" w14:paraId="2978E6B7" w14:textId="77777777">
        <w:tc>
          <w:tcPr>
            <w:tcW w:w="2116" w:type="dxa"/>
          </w:tcPr>
          <w:p w14:paraId="2DBEAC53" w14:textId="77777777" w:rsidR="00A12401" w:rsidRDefault="00A25E1C">
            <w:pPr>
              <w:jc w:val="left"/>
            </w:pPr>
            <w:r>
              <w:t>TV ads</w:t>
            </w:r>
          </w:p>
        </w:tc>
        <w:tc>
          <w:tcPr>
            <w:tcW w:w="1270" w:type="dxa"/>
          </w:tcPr>
          <w:p w14:paraId="06E5C924" w14:textId="77777777" w:rsidR="00A12401" w:rsidRDefault="00A25E1C">
            <w:pPr>
              <w:jc w:val="left"/>
            </w:pPr>
            <w:r>
              <w:t>0</w:t>
            </w:r>
          </w:p>
        </w:tc>
        <w:tc>
          <w:tcPr>
            <w:tcW w:w="1345" w:type="dxa"/>
          </w:tcPr>
          <w:p w14:paraId="38622D84" w14:textId="77777777" w:rsidR="00A12401" w:rsidRDefault="00A25E1C">
            <w:pPr>
              <w:jc w:val="left"/>
            </w:pPr>
            <w:r>
              <w:t>0%</w:t>
            </w:r>
          </w:p>
        </w:tc>
      </w:tr>
      <w:tr w:rsidR="00A12401" w14:paraId="7F7F4489" w14:textId="77777777">
        <w:tc>
          <w:tcPr>
            <w:tcW w:w="2116" w:type="dxa"/>
          </w:tcPr>
          <w:p w14:paraId="1E37B214" w14:textId="77777777" w:rsidR="00A12401" w:rsidRDefault="00A25E1C">
            <w:pPr>
              <w:jc w:val="left"/>
            </w:pPr>
            <w:r>
              <w:t>In-store promotions</w:t>
            </w:r>
          </w:p>
        </w:tc>
        <w:tc>
          <w:tcPr>
            <w:tcW w:w="1270" w:type="dxa"/>
          </w:tcPr>
          <w:p w14:paraId="59B77A90" w14:textId="77777777" w:rsidR="00A12401" w:rsidRDefault="00A25E1C">
            <w:pPr>
              <w:jc w:val="left"/>
            </w:pPr>
            <w:r>
              <w:t>3</w:t>
            </w:r>
          </w:p>
        </w:tc>
        <w:tc>
          <w:tcPr>
            <w:tcW w:w="1345" w:type="dxa"/>
          </w:tcPr>
          <w:p w14:paraId="6EE5C339" w14:textId="77777777" w:rsidR="00A12401" w:rsidRDefault="00A25E1C">
            <w:pPr>
              <w:jc w:val="left"/>
            </w:pPr>
            <w:r>
              <w:t>16%</w:t>
            </w:r>
          </w:p>
        </w:tc>
      </w:tr>
      <w:tr w:rsidR="00A12401" w14:paraId="4CA0EE5E" w14:textId="77777777">
        <w:tc>
          <w:tcPr>
            <w:tcW w:w="2116" w:type="dxa"/>
          </w:tcPr>
          <w:p w14:paraId="50752C16" w14:textId="77777777" w:rsidR="00A12401" w:rsidRDefault="00A25E1C">
            <w:pPr>
              <w:jc w:val="left"/>
            </w:pPr>
            <w:r>
              <w:rPr>
                <w:b/>
                <w:bCs/>
              </w:rPr>
              <w:t>Total</w:t>
            </w:r>
          </w:p>
        </w:tc>
        <w:tc>
          <w:tcPr>
            <w:tcW w:w="1270" w:type="dxa"/>
          </w:tcPr>
          <w:p w14:paraId="3A292C9F" w14:textId="77777777" w:rsidR="00A12401" w:rsidRDefault="00A25E1C">
            <w:pPr>
              <w:jc w:val="left"/>
            </w:pPr>
            <w:r>
              <w:rPr>
                <w:b/>
                <w:bCs/>
              </w:rPr>
              <w:t>19</w:t>
            </w:r>
          </w:p>
        </w:tc>
        <w:tc>
          <w:tcPr>
            <w:tcW w:w="1345" w:type="dxa"/>
          </w:tcPr>
          <w:p w14:paraId="58A1A76D" w14:textId="77777777" w:rsidR="00A12401" w:rsidRDefault="00A25E1C">
            <w:pPr>
              <w:jc w:val="left"/>
            </w:pPr>
            <w:r>
              <w:rPr>
                <w:b/>
                <w:bCs/>
              </w:rPr>
              <w:t>100%</w:t>
            </w:r>
          </w:p>
        </w:tc>
      </w:tr>
    </w:tbl>
    <w:p w14:paraId="54E569F5" w14:textId="77777777" w:rsidR="00A12401" w:rsidRDefault="00A12401">
      <w:pPr>
        <w:jc w:val="left"/>
        <w:rPr>
          <w:b/>
          <w:bCs/>
        </w:rPr>
      </w:pPr>
    </w:p>
    <w:p w14:paraId="001EC5BB" w14:textId="77777777" w:rsidR="00A12401" w:rsidRDefault="00A25E1C">
      <w:pPr>
        <w:jc w:val="left"/>
        <w:rPr>
          <w:b/>
          <w:bCs/>
        </w:rPr>
      </w:pPr>
      <w:r>
        <w:rPr>
          <w:b/>
          <w:bCs/>
        </w:rPr>
        <w:t>6. How would you rate your level of awareness of Tesco's CSR activities?</w:t>
      </w:r>
    </w:p>
    <w:tbl>
      <w:tblPr>
        <w:tblStyle w:val="ad"/>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7AEAED6F" w14:textId="77777777">
        <w:tc>
          <w:tcPr>
            <w:tcW w:w="1216" w:type="dxa"/>
          </w:tcPr>
          <w:p w14:paraId="379455B9" w14:textId="77777777" w:rsidR="00A12401" w:rsidRDefault="00A25E1C">
            <w:pPr>
              <w:jc w:val="left"/>
              <w:rPr>
                <w:b/>
                <w:bCs/>
              </w:rPr>
            </w:pPr>
            <w:r>
              <w:rPr>
                <w:b/>
                <w:bCs/>
              </w:rPr>
              <w:t>Category</w:t>
            </w:r>
          </w:p>
        </w:tc>
        <w:tc>
          <w:tcPr>
            <w:tcW w:w="1270" w:type="dxa"/>
          </w:tcPr>
          <w:p w14:paraId="50A97C4A" w14:textId="77777777" w:rsidR="00A12401" w:rsidRDefault="00A25E1C">
            <w:pPr>
              <w:jc w:val="left"/>
              <w:rPr>
                <w:b/>
                <w:bCs/>
              </w:rPr>
            </w:pPr>
            <w:r>
              <w:rPr>
                <w:b/>
                <w:bCs/>
              </w:rPr>
              <w:t>Responses</w:t>
            </w:r>
          </w:p>
        </w:tc>
        <w:tc>
          <w:tcPr>
            <w:tcW w:w="1345" w:type="dxa"/>
          </w:tcPr>
          <w:p w14:paraId="11120232" w14:textId="77777777" w:rsidR="00A12401" w:rsidRDefault="00A25E1C">
            <w:pPr>
              <w:jc w:val="left"/>
              <w:rPr>
                <w:b/>
                <w:bCs/>
              </w:rPr>
            </w:pPr>
            <w:r>
              <w:rPr>
                <w:b/>
                <w:bCs/>
              </w:rPr>
              <w:t>Percentage</w:t>
            </w:r>
          </w:p>
        </w:tc>
      </w:tr>
      <w:tr w:rsidR="00A12401" w14:paraId="210EB03A" w14:textId="77777777">
        <w:tc>
          <w:tcPr>
            <w:tcW w:w="1216" w:type="dxa"/>
          </w:tcPr>
          <w:p w14:paraId="21A3C126" w14:textId="77777777" w:rsidR="00A12401" w:rsidRDefault="00A25E1C">
            <w:pPr>
              <w:jc w:val="left"/>
            </w:pPr>
            <w:r>
              <w:t>Promoters</w:t>
            </w:r>
          </w:p>
        </w:tc>
        <w:tc>
          <w:tcPr>
            <w:tcW w:w="1270" w:type="dxa"/>
          </w:tcPr>
          <w:p w14:paraId="2235922B" w14:textId="77777777" w:rsidR="00A12401" w:rsidRDefault="00A25E1C">
            <w:pPr>
              <w:jc w:val="left"/>
            </w:pPr>
            <w:r>
              <w:t>4</w:t>
            </w:r>
          </w:p>
        </w:tc>
        <w:tc>
          <w:tcPr>
            <w:tcW w:w="1345" w:type="dxa"/>
          </w:tcPr>
          <w:p w14:paraId="7C353A68" w14:textId="77777777" w:rsidR="00A12401" w:rsidRDefault="00A25E1C">
            <w:pPr>
              <w:jc w:val="left"/>
            </w:pPr>
            <w:r>
              <w:t>20%</w:t>
            </w:r>
          </w:p>
        </w:tc>
      </w:tr>
      <w:tr w:rsidR="00A12401" w14:paraId="7CCAB239" w14:textId="77777777">
        <w:tc>
          <w:tcPr>
            <w:tcW w:w="1216" w:type="dxa"/>
          </w:tcPr>
          <w:p w14:paraId="4B8B7211" w14:textId="77777777" w:rsidR="00A12401" w:rsidRDefault="00A25E1C">
            <w:pPr>
              <w:jc w:val="left"/>
            </w:pPr>
            <w:r>
              <w:t>Passives</w:t>
            </w:r>
          </w:p>
        </w:tc>
        <w:tc>
          <w:tcPr>
            <w:tcW w:w="1270" w:type="dxa"/>
          </w:tcPr>
          <w:p w14:paraId="3FA3DD94" w14:textId="77777777" w:rsidR="00A12401" w:rsidRDefault="00A25E1C">
            <w:pPr>
              <w:jc w:val="left"/>
            </w:pPr>
            <w:r>
              <w:t>9</w:t>
            </w:r>
          </w:p>
        </w:tc>
        <w:tc>
          <w:tcPr>
            <w:tcW w:w="1345" w:type="dxa"/>
          </w:tcPr>
          <w:p w14:paraId="0C7843B8" w14:textId="77777777" w:rsidR="00A12401" w:rsidRDefault="00A25E1C">
            <w:pPr>
              <w:jc w:val="left"/>
            </w:pPr>
            <w:r>
              <w:t>45%</w:t>
            </w:r>
          </w:p>
        </w:tc>
      </w:tr>
      <w:tr w:rsidR="00A12401" w14:paraId="31DBDE7C" w14:textId="77777777">
        <w:tc>
          <w:tcPr>
            <w:tcW w:w="1216" w:type="dxa"/>
          </w:tcPr>
          <w:p w14:paraId="07242062" w14:textId="77777777" w:rsidR="00A12401" w:rsidRDefault="00A25E1C">
            <w:pPr>
              <w:jc w:val="left"/>
            </w:pPr>
            <w:r>
              <w:t>Detractors</w:t>
            </w:r>
          </w:p>
        </w:tc>
        <w:tc>
          <w:tcPr>
            <w:tcW w:w="1270" w:type="dxa"/>
          </w:tcPr>
          <w:p w14:paraId="0FFB03D4" w14:textId="77777777" w:rsidR="00A12401" w:rsidRDefault="00A25E1C">
            <w:pPr>
              <w:jc w:val="left"/>
            </w:pPr>
            <w:r>
              <w:t>7</w:t>
            </w:r>
          </w:p>
        </w:tc>
        <w:tc>
          <w:tcPr>
            <w:tcW w:w="1345" w:type="dxa"/>
          </w:tcPr>
          <w:p w14:paraId="2BCEA6A5" w14:textId="77777777" w:rsidR="00A12401" w:rsidRDefault="00A25E1C">
            <w:pPr>
              <w:jc w:val="left"/>
            </w:pPr>
            <w:r>
              <w:t>35%</w:t>
            </w:r>
          </w:p>
        </w:tc>
      </w:tr>
      <w:tr w:rsidR="00A12401" w14:paraId="060A16BF" w14:textId="77777777">
        <w:tc>
          <w:tcPr>
            <w:tcW w:w="1216" w:type="dxa"/>
          </w:tcPr>
          <w:p w14:paraId="5AF30D04" w14:textId="77777777" w:rsidR="00A12401" w:rsidRDefault="00A25E1C">
            <w:pPr>
              <w:jc w:val="left"/>
            </w:pPr>
            <w:r>
              <w:rPr>
                <w:b/>
                <w:bCs/>
              </w:rPr>
              <w:t>Total</w:t>
            </w:r>
          </w:p>
        </w:tc>
        <w:tc>
          <w:tcPr>
            <w:tcW w:w="1270" w:type="dxa"/>
          </w:tcPr>
          <w:p w14:paraId="394747B7" w14:textId="77777777" w:rsidR="00A12401" w:rsidRDefault="00A25E1C">
            <w:pPr>
              <w:jc w:val="left"/>
            </w:pPr>
            <w:r>
              <w:rPr>
                <w:b/>
                <w:bCs/>
              </w:rPr>
              <w:t>20</w:t>
            </w:r>
          </w:p>
        </w:tc>
        <w:tc>
          <w:tcPr>
            <w:tcW w:w="1345" w:type="dxa"/>
          </w:tcPr>
          <w:p w14:paraId="7E971B95" w14:textId="77777777" w:rsidR="00A12401" w:rsidRDefault="00A25E1C">
            <w:pPr>
              <w:jc w:val="left"/>
            </w:pPr>
            <w:r>
              <w:rPr>
                <w:b/>
                <w:bCs/>
              </w:rPr>
              <w:t>100%</w:t>
            </w:r>
          </w:p>
        </w:tc>
      </w:tr>
    </w:tbl>
    <w:p w14:paraId="4C175B5A" w14:textId="77777777" w:rsidR="00A12401" w:rsidRDefault="00A12401">
      <w:pPr>
        <w:widowControl w:val="0"/>
        <w:pBdr>
          <w:top w:val="nil"/>
          <w:left w:val="nil"/>
          <w:bottom w:val="nil"/>
          <w:right w:val="nil"/>
          <w:between w:val="nil"/>
        </w:pBdr>
        <w:spacing w:after="0" w:line="276" w:lineRule="auto"/>
        <w:jc w:val="left"/>
      </w:pPr>
    </w:p>
    <w:tbl>
      <w:tblPr>
        <w:tblStyle w:val="ae"/>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59B1544D" w14:textId="77777777">
        <w:tc>
          <w:tcPr>
            <w:tcW w:w="2783" w:type="dxa"/>
          </w:tcPr>
          <w:p w14:paraId="37186DDA" w14:textId="77777777" w:rsidR="00A12401" w:rsidRDefault="00A25E1C">
            <w:pPr>
              <w:jc w:val="left"/>
              <w:rPr>
                <w:b/>
                <w:bCs/>
              </w:rPr>
            </w:pPr>
            <w:r>
              <w:rPr>
                <w:b/>
                <w:bCs/>
              </w:rPr>
              <w:t>NPS Score</w:t>
            </w:r>
          </w:p>
        </w:tc>
        <w:tc>
          <w:tcPr>
            <w:tcW w:w="794" w:type="dxa"/>
          </w:tcPr>
          <w:p w14:paraId="3F3B1C16" w14:textId="77777777" w:rsidR="00A12401" w:rsidRDefault="00A25E1C">
            <w:pPr>
              <w:jc w:val="left"/>
              <w:rPr>
                <w:b/>
                <w:bCs/>
              </w:rPr>
            </w:pPr>
            <w:r>
              <w:rPr>
                <w:b/>
                <w:bCs/>
              </w:rPr>
              <w:t>Value</w:t>
            </w:r>
          </w:p>
        </w:tc>
      </w:tr>
      <w:tr w:rsidR="00A12401" w14:paraId="79F79373" w14:textId="77777777">
        <w:tc>
          <w:tcPr>
            <w:tcW w:w="2783" w:type="dxa"/>
          </w:tcPr>
          <w:p w14:paraId="02FC05C9" w14:textId="77777777" w:rsidR="00A12401" w:rsidRDefault="00A25E1C">
            <w:pPr>
              <w:jc w:val="left"/>
            </w:pPr>
            <w:r>
              <w:t>Net Promoter Score (NPS)</w:t>
            </w:r>
          </w:p>
        </w:tc>
        <w:tc>
          <w:tcPr>
            <w:tcW w:w="794" w:type="dxa"/>
          </w:tcPr>
          <w:p w14:paraId="1976B482" w14:textId="77777777" w:rsidR="00A12401" w:rsidRDefault="00A25E1C">
            <w:pPr>
              <w:jc w:val="left"/>
            </w:pPr>
            <w:r>
              <w:t>-15</w:t>
            </w:r>
          </w:p>
        </w:tc>
      </w:tr>
    </w:tbl>
    <w:p w14:paraId="29E0AAC6" w14:textId="77777777" w:rsidR="00A12401" w:rsidRDefault="00A25E1C">
      <w:pPr>
        <w:jc w:val="left"/>
        <w:rPr>
          <w:b/>
          <w:bCs/>
        </w:rPr>
      </w:pPr>
      <w:r>
        <w:br w:type="page"/>
      </w:r>
    </w:p>
    <w:p w14:paraId="2B043B7B" w14:textId="77777777" w:rsidR="00A12401" w:rsidRDefault="00A25E1C">
      <w:pPr>
        <w:jc w:val="left"/>
        <w:rPr>
          <w:b/>
          <w:bCs/>
        </w:rPr>
      </w:pPr>
      <w:r>
        <w:rPr>
          <w:b/>
          <w:bCs/>
        </w:rPr>
        <w:t>7. Tesco actively contributes to environmental sustainability</w:t>
      </w:r>
    </w:p>
    <w:tbl>
      <w:tblPr>
        <w:tblStyle w:val="af"/>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0BC93105" w14:textId="77777777">
        <w:tc>
          <w:tcPr>
            <w:tcW w:w="1216" w:type="dxa"/>
          </w:tcPr>
          <w:p w14:paraId="5C6AB772" w14:textId="77777777" w:rsidR="00A12401" w:rsidRDefault="00A25E1C">
            <w:pPr>
              <w:jc w:val="left"/>
              <w:rPr>
                <w:b/>
                <w:bCs/>
              </w:rPr>
            </w:pPr>
            <w:r>
              <w:rPr>
                <w:b/>
                <w:bCs/>
              </w:rPr>
              <w:t>Category</w:t>
            </w:r>
          </w:p>
        </w:tc>
        <w:tc>
          <w:tcPr>
            <w:tcW w:w="1270" w:type="dxa"/>
          </w:tcPr>
          <w:p w14:paraId="050C817C" w14:textId="77777777" w:rsidR="00A12401" w:rsidRDefault="00A25E1C">
            <w:pPr>
              <w:jc w:val="left"/>
              <w:rPr>
                <w:b/>
                <w:bCs/>
              </w:rPr>
            </w:pPr>
            <w:r>
              <w:rPr>
                <w:b/>
                <w:bCs/>
              </w:rPr>
              <w:t>Responses</w:t>
            </w:r>
          </w:p>
        </w:tc>
        <w:tc>
          <w:tcPr>
            <w:tcW w:w="1345" w:type="dxa"/>
          </w:tcPr>
          <w:p w14:paraId="4BD02932" w14:textId="77777777" w:rsidR="00A12401" w:rsidRDefault="00A25E1C">
            <w:pPr>
              <w:jc w:val="left"/>
              <w:rPr>
                <w:b/>
                <w:bCs/>
              </w:rPr>
            </w:pPr>
            <w:r>
              <w:rPr>
                <w:b/>
                <w:bCs/>
              </w:rPr>
              <w:t>Percentage</w:t>
            </w:r>
          </w:p>
        </w:tc>
      </w:tr>
      <w:tr w:rsidR="00A12401" w14:paraId="4B43E879" w14:textId="77777777">
        <w:tc>
          <w:tcPr>
            <w:tcW w:w="1216" w:type="dxa"/>
          </w:tcPr>
          <w:p w14:paraId="406A35BA" w14:textId="77777777" w:rsidR="00A12401" w:rsidRDefault="00A25E1C">
            <w:pPr>
              <w:jc w:val="left"/>
            </w:pPr>
            <w:r>
              <w:t>Promoters</w:t>
            </w:r>
          </w:p>
        </w:tc>
        <w:tc>
          <w:tcPr>
            <w:tcW w:w="1270" w:type="dxa"/>
          </w:tcPr>
          <w:p w14:paraId="459C0127" w14:textId="77777777" w:rsidR="00A12401" w:rsidRDefault="00A25E1C">
            <w:pPr>
              <w:jc w:val="left"/>
            </w:pPr>
            <w:r>
              <w:t>4</w:t>
            </w:r>
          </w:p>
        </w:tc>
        <w:tc>
          <w:tcPr>
            <w:tcW w:w="1345" w:type="dxa"/>
          </w:tcPr>
          <w:p w14:paraId="0CE5142E" w14:textId="77777777" w:rsidR="00A12401" w:rsidRDefault="00A25E1C">
            <w:pPr>
              <w:jc w:val="left"/>
            </w:pPr>
            <w:r>
              <w:t>20%</w:t>
            </w:r>
          </w:p>
        </w:tc>
      </w:tr>
      <w:tr w:rsidR="00A12401" w14:paraId="3D5C5A67" w14:textId="77777777">
        <w:tc>
          <w:tcPr>
            <w:tcW w:w="1216" w:type="dxa"/>
          </w:tcPr>
          <w:p w14:paraId="073A59E7" w14:textId="77777777" w:rsidR="00A12401" w:rsidRDefault="00A25E1C">
            <w:pPr>
              <w:jc w:val="left"/>
            </w:pPr>
            <w:r>
              <w:t>Passives</w:t>
            </w:r>
          </w:p>
        </w:tc>
        <w:tc>
          <w:tcPr>
            <w:tcW w:w="1270" w:type="dxa"/>
          </w:tcPr>
          <w:p w14:paraId="6497B4A1" w14:textId="77777777" w:rsidR="00A12401" w:rsidRDefault="00A25E1C">
            <w:pPr>
              <w:jc w:val="left"/>
            </w:pPr>
            <w:r>
              <w:t>9</w:t>
            </w:r>
          </w:p>
        </w:tc>
        <w:tc>
          <w:tcPr>
            <w:tcW w:w="1345" w:type="dxa"/>
          </w:tcPr>
          <w:p w14:paraId="2AF969CB" w14:textId="77777777" w:rsidR="00A12401" w:rsidRDefault="00A25E1C">
            <w:pPr>
              <w:jc w:val="left"/>
            </w:pPr>
            <w:r>
              <w:t>45%</w:t>
            </w:r>
          </w:p>
        </w:tc>
      </w:tr>
      <w:tr w:rsidR="00A12401" w14:paraId="7DB3F574" w14:textId="77777777">
        <w:tc>
          <w:tcPr>
            <w:tcW w:w="1216" w:type="dxa"/>
          </w:tcPr>
          <w:p w14:paraId="1B04EA1A" w14:textId="77777777" w:rsidR="00A12401" w:rsidRDefault="00A25E1C">
            <w:pPr>
              <w:jc w:val="left"/>
            </w:pPr>
            <w:r>
              <w:t>Detractors</w:t>
            </w:r>
          </w:p>
        </w:tc>
        <w:tc>
          <w:tcPr>
            <w:tcW w:w="1270" w:type="dxa"/>
          </w:tcPr>
          <w:p w14:paraId="2695A244" w14:textId="77777777" w:rsidR="00A12401" w:rsidRDefault="00A25E1C">
            <w:pPr>
              <w:jc w:val="left"/>
            </w:pPr>
            <w:r>
              <w:t>7</w:t>
            </w:r>
          </w:p>
        </w:tc>
        <w:tc>
          <w:tcPr>
            <w:tcW w:w="1345" w:type="dxa"/>
          </w:tcPr>
          <w:p w14:paraId="557ED4BB" w14:textId="77777777" w:rsidR="00A12401" w:rsidRDefault="00A25E1C">
            <w:pPr>
              <w:jc w:val="left"/>
            </w:pPr>
            <w:r>
              <w:t>35%</w:t>
            </w:r>
          </w:p>
        </w:tc>
      </w:tr>
      <w:tr w:rsidR="00A12401" w14:paraId="056C2C16" w14:textId="77777777">
        <w:tc>
          <w:tcPr>
            <w:tcW w:w="1216" w:type="dxa"/>
          </w:tcPr>
          <w:p w14:paraId="7BDC5614" w14:textId="77777777" w:rsidR="00A12401" w:rsidRDefault="00A25E1C">
            <w:pPr>
              <w:jc w:val="left"/>
            </w:pPr>
            <w:r>
              <w:rPr>
                <w:b/>
                <w:bCs/>
              </w:rPr>
              <w:t>Total</w:t>
            </w:r>
          </w:p>
        </w:tc>
        <w:tc>
          <w:tcPr>
            <w:tcW w:w="1270" w:type="dxa"/>
          </w:tcPr>
          <w:p w14:paraId="4EDF2FAE" w14:textId="77777777" w:rsidR="00A12401" w:rsidRDefault="00A25E1C">
            <w:pPr>
              <w:jc w:val="left"/>
            </w:pPr>
            <w:r>
              <w:rPr>
                <w:b/>
                <w:bCs/>
              </w:rPr>
              <w:t>20</w:t>
            </w:r>
          </w:p>
        </w:tc>
        <w:tc>
          <w:tcPr>
            <w:tcW w:w="1345" w:type="dxa"/>
          </w:tcPr>
          <w:p w14:paraId="63350E22" w14:textId="77777777" w:rsidR="00A12401" w:rsidRDefault="00A25E1C">
            <w:pPr>
              <w:jc w:val="left"/>
            </w:pPr>
            <w:r>
              <w:rPr>
                <w:b/>
                <w:bCs/>
              </w:rPr>
              <w:t>100%</w:t>
            </w:r>
          </w:p>
        </w:tc>
      </w:tr>
    </w:tbl>
    <w:p w14:paraId="21E3F387" w14:textId="77777777" w:rsidR="00A12401" w:rsidRDefault="00A12401">
      <w:pPr>
        <w:widowControl w:val="0"/>
        <w:pBdr>
          <w:top w:val="nil"/>
          <w:left w:val="nil"/>
          <w:bottom w:val="nil"/>
          <w:right w:val="nil"/>
          <w:between w:val="nil"/>
        </w:pBdr>
        <w:spacing w:after="0" w:line="276" w:lineRule="auto"/>
        <w:jc w:val="left"/>
      </w:pPr>
    </w:p>
    <w:tbl>
      <w:tblPr>
        <w:tblStyle w:val="af0"/>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2265AF74" w14:textId="77777777">
        <w:tc>
          <w:tcPr>
            <w:tcW w:w="2783" w:type="dxa"/>
          </w:tcPr>
          <w:p w14:paraId="410249F9" w14:textId="77777777" w:rsidR="00A12401" w:rsidRDefault="00A25E1C">
            <w:pPr>
              <w:jc w:val="left"/>
              <w:rPr>
                <w:b/>
                <w:bCs/>
              </w:rPr>
            </w:pPr>
            <w:r>
              <w:rPr>
                <w:b/>
                <w:bCs/>
              </w:rPr>
              <w:t>NPS Score</w:t>
            </w:r>
          </w:p>
        </w:tc>
        <w:tc>
          <w:tcPr>
            <w:tcW w:w="794" w:type="dxa"/>
          </w:tcPr>
          <w:p w14:paraId="0FDCBDB0" w14:textId="77777777" w:rsidR="00A12401" w:rsidRDefault="00A25E1C">
            <w:pPr>
              <w:jc w:val="left"/>
              <w:rPr>
                <w:b/>
                <w:bCs/>
              </w:rPr>
            </w:pPr>
            <w:r>
              <w:rPr>
                <w:b/>
                <w:bCs/>
              </w:rPr>
              <w:t>Value</w:t>
            </w:r>
          </w:p>
        </w:tc>
      </w:tr>
      <w:tr w:rsidR="00A12401" w14:paraId="06288699" w14:textId="77777777">
        <w:tc>
          <w:tcPr>
            <w:tcW w:w="2783" w:type="dxa"/>
          </w:tcPr>
          <w:p w14:paraId="3208B68E" w14:textId="77777777" w:rsidR="00A12401" w:rsidRDefault="00A25E1C">
            <w:pPr>
              <w:jc w:val="left"/>
            </w:pPr>
            <w:r>
              <w:t>Net Promoter Score (NPS)</w:t>
            </w:r>
          </w:p>
        </w:tc>
        <w:tc>
          <w:tcPr>
            <w:tcW w:w="794" w:type="dxa"/>
          </w:tcPr>
          <w:p w14:paraId="13502F05" w14:textId="77777777" w:rsidR="00A12401" w:rsidRDefault="00A25E1C">
            <w:pPr>
              <w:jc w:val="left"/>
            </w:pPr>
            <w:r>
              <w:t>-15</w:t>
            </w:r>
          </w:p>
        </w:tc>
      </w:tr>
    </w:tbl>
    <w:p w14:paraId="5BC03C66" w14:textId="77777777" w:rsidR="00A12401" w:rsidRDefault="00A12401">
      <w:pPr>
        <w:jc w:val="left"/>
        <w:rPr>
          <w:b/>
          <w:bCs/>
        </w:rPr>
      </w:pPr>
    </w:p>
    <w:p w14:paraId="78DA0452" w14:textId="77777777" w:rsidR="00A12401" w:rsidRDefault="00A25E1C">
      <w:pPr>
        <w:jc w:val="left"/>
        <w:rPr>
          <w:b/>
          <w:bCs/>
        </w:rPr>
      </w:pPr>
      <w:r>
        <w:rPr>
          <w:b/>
          <w:bCs/>
        </w:rPr>
        <w:t>8. Tesco supports local communities effectively</w:t>
      </w:r>
    </w:p>
    <w:tbl>
      <w:tblPr>
        <w:tblStyle w:val="af1"/>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282F1630" w14:textId="77777777">
        <w:tc>
          <w:tcPr>
            <w:tcW w:w="1216" w:type="dxa"/>
          </w:tcPr>
          <w:p w14:paraId="5EE4B3E0" w14:textId="77777777" w:rsidR="00A12401" w:rsidRDefault="00A25E1C">
            <w:pPr>
              <w:jc w:val="left"/>
              <w:rPr>
                <w:b/>
                <w:bCs/>
              </w:rPr>
            </w:pPr>
            <w:r>
              <w:rPr>
                <w:b/>
                <w:bCs/>
              </w:rPr>
              <w:t>Category</w:t>
            </w:r>
          </w:p>
        </w:tc>
        <w:tc>
          <w:tcPr>
            <w:tcW w:w="1270" w:type="dxa"/>
          </w:tcPr>
          <w:p w14:paraId="06D57C68" w14:textId="77777777" w:rsidR="00A12401" w:rsidRDefault="00A25E1C">
            <w:pPr>
              <w:jc w:val="left"/>
              <w:rPr>
                <w:b/>
                <w:bCs/>
              </w:rPr>
            </w:pPr>
            <w:r>
              <w:rPr>
                <w:b/>
                <w:bCs/>
              </w:rPr>
              <w:t>Responses</w:t>
            </w:r>
          </w:p>
        </w:tc>
        <w:tc>
          <w:tcPr>
            <w:tcW w:w="1345" w:type="dxa"/>
          </w:tcPr>
          <w:p w14:paraId="47126810" w14:textId="77777777" w:rsidR="00A12401" w:rsidRDefault="00A25E1C">
            <w:pPr>
              <w:jc w:val="left"/>
              <w:rPr>
                <w:b/>
                <w:bCs/>
              </w:rPr>
            </w:pPr>
            <w:r>
              <w:rPr>
                <w:b/>
                <w:bCs/>
              </w:rPr>
              <w:t>Percentage</w:t>
            </w:r>
          </w:p>
        </w:tc>
      </w:tr>
      <w:tr w:rsidR="00A12401" w14:paraId="5110F49F" w14:textId="77777777">
        <w:tc>
          <w:tcPr>
            <w:tcW w:w="1216" w:type="dxa"/>
          </w:tcPr>
          <w:p w14:paraId="31730A40" w14:textId="77777777" w:rsidR="00A12401" w:rsidRDefault="00A25E1C">
            <w:pPr>
              <w:jc w:val="left"/>
            </w:pPr>
            <w:r>
              <w:t>Promoters</w:t>
            </w:r>
          </w:p>
        </w:tc>
        <w:tc>
          <w:tcPr>
            <w:tcW w:w="1270" w:type="dxa"/>
          </w:tcPr>
          <w:p w14:paraId="255D18C9" w14:textId="77777777" w:rsidR="00A12401" w:rsidRDefault="00A25E1C">
            <w:pPr>
              <w:jc w:val="left"/>
            </w:pPr>
            <w:r>
              <w:t>5</w:t>
            </w:r>
          </w:p>
        </w:tc>
        <w:tc>
          <w:tcPr>
            <w:tcW w:w="1345" w:type="dxa"/>
          </w:tcPr>
          <w:p w14:paraId="7F8CA132" w14:textId="77777777" w:rsidR="00A12401" w:rsidRDefault="00A25E1C">
            <w:pPr>
              <w:jc w:val="left"/>
            </w:pPr>
            <w:r>
              <w:t>25%</w:t>
            </w:r>
          </w:p>
        </w:tc>
      </w:tr>
      <w:tr w:rsidR="00A12401" w14:paraId="3DD4F16F" w14:textId="77777777">
        <w:tc>
          <w:tcPr>
            <w:tcW w:w="1216" w:type="dxa"/>
          </w:tcPr>
          <w:p w14:paraId="1285628A" w14:textId="77777777" w:rsidR="00A12401" w:rsidRDefault="00A25E1C">
            <w:pPr>
              <w:jc w:val="left"/>
            </w:pPr>
            <w:r>
              <w:t>Passives</w:t>
            </w:r>
          </w:p>
        </w:tc>
        <w:tc>
          <w:tcPr>
            <w:tcW w:w="1270" w:type="dxa"/>
          </w:tcPr>
          <w:p w14:paraId="2221F564" w14:textId="77777777" w:rsidR="00A12401" w:rsidRDefault="00A25E1C">
            <w:pPr>
              <w:jc w:val="left"/>
            </w:pPr>
            <w:r>
              <w:t>10</w:t>
            </w:r>
          </w:p>
        </w:tc>
        <w:tc>
          <w:tcPr>
            <w:tcW w:w="1345" w:type="dxa"/>
          </w:tcPr>
          <w:p w14:paraId="0BCFCC15" w14:textId="77777777" w:rsidR="00A12401" w:rsidRDefault="00A25E1C">
            <w:pPr>
              <w:jc w:val="left"/>
            </w:pPr>
            <w:r>
              <w:t>50%</w:t>
            </w:r>
          </w:p>
        </w:tc>
      </w:tr>
      <w:tr w:rsidR="00A12401" w14:paraId="3DE50DA9" w14:textId="77777777">
        <w:tc>
          <w:tcPr>
            <w:tcW w:w="1216" w:type="dxa"/>
          </w:tcPr>
          <w:p w14:paraId="2D3F04D2" w14:textId="77777777" w:rsidR="00A12401" w:rsidRDefault="00A25E1C">
            <w:pPr>
              <w:jc w:val="left"/>
            </w:pPr>
            <w:r>
              <w:t>Detractors</w:t>
            </w:r>
          </w:p>
        </w:tc>
        <w:tc>
          <w:tcPr>
            <w:tcW w:w="1270" w:type="dxa"/>
          </w:tcPr>
          <w:p w14:paraId="65A8A96E" w14:textId="77777777" w:rsidR="00A12401" w:rsidRDefault="00A25E1C">
            <w:pPr>
              <w:jc w:val="left"/>
            </w:pPr>
            <w:r>
              <w:t>5</w:t>
            </w:r>
          </w:p>
        </w:tc>
        <w:tc>
          <w:tcPr>
            <w:tcW w:w="1345" w:type="dxa"/>
          </w:tcPr>
          <w:p w14:paraId="1278C332" w14:textId="77777777" w:rsidR="00A12401" w:rsidRDefault="00A25E1C">
            <w:pPr>
              <w:jc w:val="left"/>
            </w:pPr>
            <w:r>
              <w:t>25%</w:t>
            </w:r>
          </w:p>
        </w:tc>
      </w:tr>
      <w:tr w:rsidR="00A12401" w14:paraId="5162B64F" w14:textId="77777777">
        <w:tc>
          <w:tcPr>
            <w:tcW w:w="1216" w:type="dxa"/>
          </w:tcPr>
          <w:p w14:paraId="1749E497" w14:textId="77777777" w:rsidR="00A12401" w:rsidRDefault="00A25E1C">
            <w:pPr>
              <w:jc w:val="left"/>
            </w:pPr>
            <w:r>
              <w:rPr>
                <w:b/>
                <w:bCs/>
              </w:rPr>
              <w:t>Total</w:t>
            </w:r>
          </w:p>
        </w:tc>
        <w:tc>
          <w:tcPr>
            <w:tcW w:w="1270" w:type="dxa"/>
          </w:tcPr>
          <w:p w14:paraId="08D32051" w14:textId="77777777" w:rsidR="00A12401" w:rsidRDefault="00A25E1C">
            <w:pPr>
              <w:jc w:val="left"/>
            </w:pPr>
            <w:r>
              <w:rPr>
                <w:b/>
                <w:bCs/>
              </w:rPr>
              <w:t>20</w:t>
            </w:r>
          </w:p>
        </w:tc>
        <w:tc>
          <w:tcPr>
            <w:tcW w:w="1345" w:type="dxa"/>
          </w:tcPr>
          <w:p w14:paraId="268B8464" w14:textId="77777777" w:rsidR="00A12401" w:rsidRDefault="00A25E1C">
            <w:pPr>
              <w:jc w:val="left"/>
            </w:pPr>
            <w:r>
              <w:rPr>
                <w:b/>
                <w:bCs/>
              </w:rPr>
              <w:t>100%</w:t>
            </w:r>
          </w:p>
        </w:tc>
      </w:tr>
    </w:tbl>
    <w:p w14:paraId="52F8E790" w14:textId="77777777" w:rsidR="00A12401" w:rsidRDefault="00A12401">
      <w:pPr>
        <w:widowControl w:val="0"/>
        <w:pBdr>
          <w:top w:val="nil"/>
          <w:left w:val="nil"/>
          <w:bottom w:val="nil"/>
          <w:right w:val="nil"/>
          <w:between w:val="nil"/>
        </w:pBdr>
        <w:spacing w:after="0" w:line="276" w:lineRule="auto"/>
        <w:jc w:val="left"/>
      </w:pPr>
    </w:p>
    <w:tbl>
      <w:tblPr>
        <w:tblStyle w:val="af2"/>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57B3B805" w14:textId="77777777">
        <w:tc>
          <w:tcPr>
            <w:tcW w:w="2783" w:type="dxa"/>
          </w:tcPr>
          <w:p w14:paraId="31D86A9C" w14:textId="77777777" w:rsidR="00A12401" w:rsidRDefault="00A25E1C">
            <w:pPr>
              <w:jc w:val="left"/>
              <w:rPr>
                <w:b/>
                <w:bCs/>
              </w:rPr>
            </w:pPr>
            <w:r>
              <w:rPr>
                <w:b/>
                <w:bCs/>
              </w:rPr>
              <w:t>NPS Score</w:t>
            </w:r>
          </w:p>
        </w:tc>
        <w:tc>
          <w:tcPr>
            <w:tcW w:w="794" w:type="dxa"/>
          </w:tcPr>
          <w:p w14:paraId="567EC0B5" w14:textId="77777777" w:rsidR="00A12401" w:rsidRDefault="00A25E1C">
            <w:pPr>
              <w:jc w:val="left"/>
              <w:rPr>
                <w:b/>
                <w:bCs/>
              </w:rPr>
            </w:pPr>
            <w:r>
              <w:rPr>
                <w:b/>
                <w:bCs/>
              </w:rPr>
              <w:t>Value</w:t>
            </w:r>
          </w:p>
        </w:tc>
      </w:tr>
      <w:tr w:rsidR="00A12401" w14:paraId="48B40750" w14:textId="77777777">
        <w:tc>
          <w:tcPr>
            <w:tcW w:w="2783" w:type="dxa"/>
          </w:tcPr>
          <w:p w14:paraId="24A7709C" w14:textId="77777777" w:rsidR="00A12401" w:rsidRDefault="00A25E1C">
            <w:pPr>
              <w:jc w:val="left"/>
            </w:pPr>
            <w:r>
              <w:t>Net Promoter Score (NPS)</w:t>
            </w:r>
          </w:p>
        </w:tc>
        <w:tc>
          <w:tcPr>
            <w:tcW w:w="794" w:type="dxa"/>
          </w:tcPr>
          <w:p w14:paraId="4697CD83" w14:textId="77777777" w:rsidR="00A12401" w:rsidRDefault="00A25E1C">
            <w:pPr>
              <w:jc w:val="left"/>
            </w:pPr>
            <w:r>
              <w:t>0</w:t>
            </w:r>
          </w:p>
        </w:tc>
      </w:tr>
    </w:tbl>
    <w:p w14:paraId="3D89510B" w14:textId="77777777" w:rsidR="00A12401" w:rsidRDefault="00A25E1C">
      <w:pPr>
        <w:jc w:val="left"/>
        <w:rPr>
          <w:b/>
          <w:bCs/>
        </w:rPr>
      </w:pPr>
      <w:r>
        <w:br w:type="page"/>
      </w:r>
    </w:p>
    <w:p w14:paraId="57F6E9B0" w14:textId="77777777" w:rsidR="00A12401" w:rsidRDefault="00A25E1C">
      <w:pPr>
        <w:jc w:val="left"/>
        <w:rPr>
          <w:b/>
          <w:bCs/>
        </w:rPr>
      </w:pPr>
      <w:r>
        <w:rPr>
          <w:b/>
          <w:bCs/>
        </w:rPr>
        <w:t>9. Tesco behaves ethically in its business operations.</w:t>
      </w:r>
    </w:p>
    <w:tbl>
      <w:tblPr>
        <w:tblStyle w:val="af3"/>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49926E0F" w14:textId="77777777">
        <w:tc>
          <w:tcPr>
            <w:tcW w:w="1216" w:type="dxa"/>
          </w:tcPr>
          <w:p w14:paraId="366FE4D9" w14:textId="77777777" w:rsidR="00A12401" w:rsidRDefault="00A25E1C">
            <w:pPr>
              <w:jc w:val="left"/>
              <w:rPr>
                <w:b/>
                <w:bCs/>
              </w:rPr>
            </w:pPr>
            <w:r>
              <w:rPr>
                <w:b/>
                <w:bCs/>
              </w:rPr>
              <w:t>Category</w:t>
            </w:r>
          </w:p>
        </w:tc>
        <w:tc>
          <w:tcPr>
            <w:tcW w:w="1270" w:type="dxa"/>
          </w:tcPr>
          <w:p w14:paraId="7DAB1F7C" w14:textId="77777777" w:rsidR="00A12401" w:rsidRDefault="00A25E1C">
            <w:pPr>
              <w:jc w:val="left"/>
              <w:rPr>
                <w:b/>
                <w:bCs/>
              </w:rPr>
            </w:pPr>
            <w:r>
              <w:rPr>
                <w:b/>
                <w:bCs/>
              </w:rPr>
              <w:t>Responses</w:t>
            </w:r>
          </w:p>
        </w:tc>
        <w:tc>
          <w:tcPr>
            <w:tcW w:w="1345" w:type="dxa"/>
          </w:tcPr>
          <w:p w14:paraId="28E3E344" w14:textId="77777777" w:rsidR="00A12401" w:rsidRDefault="00A25E1C">
            <w:pPr>
              <w:jc w:val="left"/>
              <w:rPr>
                <w:b/>
                <w:bCs/>
              </w:rPr>
            </w:pPr>
            <w:r>
              <w:rPr>
                <w:b/>
                <w:bCs/>
              </w:rPr>
              <w:t>Percentage</w:t>
            </w:r>
          </w:p>
        </w:tc>
      </w:tr>
      <w:tr w:rsidR="00A12401" w14:paraId="6694423D" w14:textId="77777777">
        <w:tc>
          <w:tcPr>
            <w:tcW w:w="1216" w:type="dxa"/>
          </w:tcPr>
          <w:p w14:paraId="119524CC" w14:textId="77777777" w:rsidR="00A12401" w:rsidRDefault="00A25E1C">
            <w:pPr>
              <w:jc w:val="left"/>
            </w:pPr>
            <w:r>
              <w:t>Promoters</w:t>
            </w:r>
          </w:p>
        </w:tc>
        <w:tc>
          <w:tcPr>
            <w:tcW w:w="1270" w:type="dxa"/>
          </w:tcPr>
          <w:p w14:paraId="21B15671" w14:textId="77777777" w:rsidR="00A12401" w:rsidRDefault="00A25E1C">
            <w:pPr>
              <w:jc w:val="left"/>
            </w:pPr>
            <w:r>
              <w:t>4</w:t>
            </w:r>
          </w:p>
        </w:tc>
        <w:tc>
          <w:tcPr>
            <w:tcW w:w="1345" w:type="dxa"/>
          </w:tcPr>
          <w:p w14:paraId="2B4DE699" w14:textId="77777777" w:rsidR="00A12401" w:rsidRDefault="00A25E1C">
            <w:pPr>
              <w:jc w:val="left"/>
            </w:pPr>
            <w:r>
              <w:t>20%</w:t>
            </w:r>
          </w:p>
        </w:tc>
      </w:tr>
      <w:tr w:rsidR="00A12401" w14:paraId="70752167" w14:textId="77777777">
        <w:tc>
          <w:tcPr>
            <w:tcW w:w="1216" w:type="dxa"/>
          </w:tcPr>
          <w:p w14:paraId="60BE0303" w14:textId="77777777" w:rsidR="00A12401" w:rsidRDefault="00A25E1C">
            <w:pPr>
              <w:jc w:val="left"/>
            </w:pPr>
            <w:r>
              <w:t>Passives</w:t>
            </w:r>
          </w:p>
        </w:tc>
        <w:tc>
          <w:tcPr>
            <w:tcW w:w="1270" w:type="dxa"/>
          </w:tcPr>
          <w:p w14:paraId="748676A8" w14:textId="77777777" w:rsidR="00A12401" w:rsidRDefault="00A25E1C">
            <w:pPr>
              <w:jc w:val="left"/>
            </w:pPr>
            <w:r>
              <w:t>9</w:t>
            </w:r>
          </w:p>
        </w:tc>
        <w:tc>
          <w:tcPr>
            <w:tcW w:w="1345" w:type="dxa"/>
          </w:tcPr>
          <w:p w14:paraId="658312CD" w14:textId="77777777" w:rsidR="00A12401" w:rsidRDefault="00A25E1C">
            <w:pPr>
              <w:jc w:val="left"/>
            </w:pPr>
            <w:r>
              <w:t>45%</w:t>
            </w:r>
          </w:p>
        </w:tc>
      </w:tr>
      <w:tr w:rsidR="00A12401" w14:paraId="5F9AA4E2" w14:textId="77777777">
        <w:tc>
          <w:tcPr>
            <w:tcW w:w="1216" w:type="dxa"/>
          </w:tcPr>
          <w:p w14:paraId="588F71F0" w14:textId="77777777" w:rsidR="00A12401" w:rsidRDefault="00A25E1C">
            <w:pPr>
              <w:jc w:val="left"/>
            </w:pPr>
            <w:r>
              <w:t>Detractors</w:t>
            </w:r>
          </w:p>
        </w:tc>
        <w:tc>
          <w:tcPr>
            <w:tcW w:w="1270" w:type="dxa"/>
          </w:tcPr>
          <w:p w14:paraId="1212F868" w14:textId="77777777" w:rsidR="00A12401" w:rsidRDefault="00A25E1C">
            <w:pPr>
              <w:jc w:val="left"/>
            </w:pPr>
            <w:r>
              <w:t>7</w:t>
            </w:r>
          </w:p>
        </w:tc>
        <w:tc>
          <w:tcPr>
            <w:tcW w:w="1345" w:type="dxa"/>
          </w:tcPr>
          <w:p w14:paraId="7CD056B0" w14:textId="77777777" w:rsidR="00A12401" w:rsidRDefault="00A25E1C">
            <w:pPr>
              <w:jc w:val="left"/>
            </w:pPr>
            <w:r>
              <w:t>35%</w:t>
            </w:r>
          </w:p>
        </w:tc>
      </w:tr>
      <w:tr w:rsidR="00A12401" w14:paraId="7187ED80" w14:textId="77777777">
        <w:tc>
          <w:tcPr>
            <w:tcW w:w="1216" w:type="dxa"/>
          </w:tcPr>
          <w:p w14:paraId="4AB4512F" w14:textId="77777777" w:rsidR="00A12401" w:rsidRDefault="00A25E1C">
            <w:pPr>
              <w:jc w:val="left"/>
            </w:pPr>
            <w:r>
              <w:rPr>
                <w:b/>
                <w:bCs/>
              </w:rPr>
              <w:t>Total</w:t>
            </w:r>
          </w:p>
        </w:tc>
        <w:tc>
          <w:tcPr>
            <w:tcW w:w="1270" w:type="dxa"/>
          </w:tcPr>
          <w:p w14:paraId="029B652D" w14:textId="77777777" w:rsidR="00A12401" w:rsidRDefault="00A25E1C">
            <w:pPr>
              <w:jc w:val="left"/>
            </w:pPr>
            <w:r>
              <w:rPr>
                <w:b/>
                <w:bCs/>
              </w:rPr>
              <w:t>20</w:t>
            </w:r>
          </w:p>
        </w:tc>
        <w:tc>
          <w:tcPr>
            <w:tcW w:w="1345" w:type="dxa"/>
          </w:tcPr>
          <w:p w14:paraId="1E850E72" w14:textId="77777777" w:rsidR="00A12401" w:rsidRDefault="00A25E1C">
            <w:pPr>
              <w:jc w:val="left"/>
            </w:pPr>
            <w:r>
              <w:rPr>
                <w:b/>
                <w:bCs/>
              </w:rPr>
              <w:t>100%</w:t>
            </w:r>
          </w:p>
        </w:tc>
      </w:tr>
    </w:tbl>
    <w:p w14:paraId="06AF404A" w14:textId="77777777" w:rsidR="00A12401" w:rsidRDefault="00A12401">
      <w:pPr>
        <w:widowControl w:val="0"/>
        <w:pBdr>
          <w:top w:val="nil"/>
          <w:left w:val="nil"/>
          <w:bottom w:val="nil"/>
          <w:right w:val="nil"/>
          <w:between w:val="nil"/>
        </w:pBdr>
        <w:spacing w:after="0" w:line="276" w:lineRule="auto"/>
        <w:jc w:val="left"/>
      </w:pPr>
    </w:p>
    <w:tbl>
      <w:tblPr>
        <w:tblStyle w:val="af4"/>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2A773E0B" w14:textId="77777777">
        <w:tc>
          <w:tcPr>
            <w:tcW w:w="2783" w:type="dxa"/>
          </w:tcPr>
          <w:p w14:paraId="0C4202DF" w14:textId="77777777" w:rsidR="00A12401" w:rsidRDefault="00A25E1C">
            <w:pPr>
              <w:jc w:val="left"/>
              <w:rPr>
                <w:b/>
                <w:bCs/>
              </w:rPr>
            </w:pPr>
            <w:r>
              <w:rPr>
                <w:b/>
                <w:bCs/>
              </w:rPr>
              <w:t>NPS Score</w:t>
            </w:r>
          </w:p>
        </w:tc>
        <w:tc>
          <w:tcPr>
            <w:tcW w:w="794" w:type="dxa"/>
          </w:tcPr>
          <w:p w14:paraId="5B74CA06" w14:textId="77777777" w:rsidR="00A12401" w:rsidRDefault="00A25E1C">
            <w:pPr>
              <w:jc w:val="left"/>
              <w:rPr>
                <w:b/>
                <w:bCs/>
              </w:rPr>
            </w:pPr>
            <w:r>
              <w:rPr>
                <w:b/>
                <w:bCs/>
              </w:rPr>
              <w:t>Value</w:t>
            </w:r>
          </w:p>
        </w:tc>
      </w:tr>
      <w:tr w:rsidR="00A12401" w14:paraId="54B0F988" w14:textId="77777777">
        <w:tc>
          <w:tcPr>
            <w:tcW w:w="2783" w:type="dxa"/>
          </w:tcPr>
          <w:p w14:paraId="3B93FB1F" w14:textId="77777777" w:rsidR="00A12401" w:rsidRDefault="00A25E1C">
            <w:pPr>
              <w:jc w:val="left"/>
            </w:pPr>
            <w:r>
              <w:t>Net Promoter Score (NPS)</w:t>
            </w:r>
          </w:p>
        </w:tc>
        <w:tc>
          <w:tcPr>
            <w:tcW w:w="794" w:type="dxa"/>
          </w:tcPr>
          <w:p w14:paraId="3715A6E9" w14:textId="77777777" w:rsidR="00A12401" w:rsidRDefault="00A25E1C">
            <w:pPr>
              <w:jc w:val="left"/>
            </w:pPr>
            <w:r>
              <w:t>-15</w:t>
            </w:r>
          </w:p>
        </w:tc>
      </w:tr>
    </w:tbl>
    <w:p w14:paraId="2461BBC9" w14:textId="77777777" w:rsidR="00A12401" w:rsidRDefault="00A12401">
      <w:pPr>
        <w:jc w:val="left"/>
        <w:rPr>
          <w:b/>
          <w:bCs/>
        </w:rPr>
      </w:pPr>
    </w:p>
    <w:p w14:paraId="546DDEA4" w14:textId="77777777" w:rsidR="00A12401" w:rsidRDefault="00A25E1C">
      <w:pPr>
        <w:jc w:val="left"/>
        <w:rPr>
          <w:b/>
          <w:bCs/>
        </w:rPr>
      </w:pPr>
      <w:r>
        <w:rPr>
          <w:b/>
          <w:bCs/>
        </w:rPr>
        <w:t>10. Tesco's CSR initiatives are genuine rather than for marketing purchases.</w:t>
      </w:r>
    </w:p>
    <w:tbl>
      <w:tblPr>
        <w:tblStyle w:val="af5"/>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2090A2EC" w14:textId="77777777">
        <w:tc>
          <w:tcPr>
            <w:tcW w:w="1216" w:type="dxa"/>
          </w:tcPr>
          <w:p w14:paraId="16032481" w14:textId="77777777" w:rsidR="00A12401" w:rsidRDefault="00A25E1C">
            <w:pPr>
              <w:jc w:val="left"/>
              <w:rPr>
                <w:b/>
                <w:bCs/>
              </w:rPr>
            </w:pPr>
            <w:r>
              <w:rPr>
                <w:b/>
                <w:bCs/>
              </w:rPr>
              <w:t>Category</w:t>
            </w:r>
          </w:p>
        </w:tc>
        <w:tc>
          <w:tcPr>
            <w:tcW w:w="1270" w:type="dxa"/>
          </w:tcPr>
          <w:p w14:paraId="119C240F" w14:textId="77777777" w:rsidR="00A12401" w:rsidRDefault="00A25E1C">
            <w:pPr>
              <w:jc w:val="left"/>
              <w:rPr>
                <w:b/>
                <w:bCs/>
              </w:rPr>
            </w:pPr>
            <w:r>
              <w:rPr>
                <w:b/>
                <w:bCs/>
              </w:rPr>
              <w:t>Responses</w:t>
            </w:r>
          </w:p>
        </w:tc>
        <w:tc>
          <w:tcPr>
            <w:tcW w:w="1345" w:type="dxa"/>
          </w:tcPr>
          <w:p w14:paraId="2E2019F5" w14:textId="77777777" w:rsidR="00A12401" w:rsidRDefault="00A25E1C">
            <w:pPr>
              <w:jc w:val="left"/>
              <w:rPr>
                <w:b/>
                <w:bCs/>
              </w:rPr>
            </w:pPr>
            <w:r>
              <w:rPr>
                <w:b/>
                <w:bCs/>
              </w:rPr>
              <w:t>Percentage</w:t>
            </w:r>
          </w:p>
        </w:tc>
      </w:tr>
      <w:tr w:rsidR="00A12401" w14:paraId="4DA4CCA6" w14:textId="77777777">
        <w:tc>
          <w:tcPr>
            <w:tcW w:w="1216" w:type="dxa"/>
          </w:tcPr>
          <w:p w14:paraId="67C7062F" w14:textId="77777777" w:rsidR="00A12401" w:rsidRDefault="00A25E1C">
            <w:pPr>
              <w:jc w:val="left"/>
            </w:pPr>
            <w:r>
              <w:t>Promoters</w:t>
            </w:r>
          </w:p>
        </w:tc>
        <w:tc>
          <w:tcPr>
            <w:tcW w:w="1270" w:type="dxa"/>
          </w:tcPr>
          <w:p w14:paraId="594519BB" w14:textId="77777777" w:rsidR="00A12401" w:rsidRDefault="00A25E1C">
            <w:pPr>
              <w:jc w:val="left"/>
            </w:pPr>
            <w:r>
              <w:t>2</w:t>
            </w:r>
          </w:p>
        </w:tc>
        <w:tc>
          <w:tcPr>
            <w:tcW w:w="1345" w:type="dxa"/>
          </w:tcPr>
          <w:p w14:paraId="4AF900E9" w14:textId="77777777" w:rsidR="00A12401" w:rsidRDefault="00A25E1C">
            <w:pPr>
              <w:jc w:val="left"/>
            </w:pPr>
            <w:r>
              <w:t>10%</w:t>
            </w:r>
          </w:p>
        </w:tc>
      </w:tr>
      <w:tr w:rsidR="00A12401" w14:paraId="0EE24F28" w14:textId="77777777">
        <w:tc>
          <w:tcPr>
            <w:tcW w:w="1216" w:type="dxa"/>
          </w:tcPr>
          <w:p w14:paraId="464BEC9F" w14:textId="77777777" w:rsidR="00A12401" w:rsidRDefault="00A25E1C">
            <w:pPr>
              <w:jc w:val="left"/>
            </w:pPr>
            <w:r>
              <w:t>Passives</w:t>
            </w:r>
          </w:p>
        </w:tc>
        <w:tc>
          <w:tcPr>
            <w:tcW w:w="1270" w:type="dxa"/>
          </w:tcPr>
          <w:p w14:paraId="69C17450" w14:textId="77777777" w:rsidR="00A12401" w:rsidRDefault="00A25E1C">
            <w:pPr>
              <w:jc w:val="left"/>
            </w:pPr>
            <w:r>
              <w:t>11</w:t>
            </w:r>
          </w:p>
        </w:tc>
        <w:tc>
          <w:tcPr>
            <w:tcW w:w="1345" w:type="dxa"/>
          </w:tcPr>
          <w:p w14:paraId="3D981820" w14:textId="77777777" w:rsidR="00A12401" w:rsidRDefault="00A25E1C">
            <w:pPr>
              <w:jc w:val="left"/>
            </w:pPr>
            <w:r>
              <w:t>55%</w:t>
            </w:r>
          </w:p>
        </w:tc>
      </w:tr>
      <w:tr w:rsidR="00A12401" w14:paraId="7B1CCE72" w14:textId="77777777">
        <w:tc>
          <w:tcPr>
            <w:tcW w:w="1216" w:type="dxa"/>
          </w:tcPr>
          <w:p w14:paraId="1B03689B" w14:textId="77777777" w:rsidR="00A12401" w:rsidRDefault="00A25E1C">
            <w:pPr>
              <w:jc w:val="left"/>
            </w:pPr>
            <w:r>
              <w:t>Detractors</w:t>
            </w:r>
          </w:p>
        </w:tc>
        <w:tc>
          <w:tcPr>
            <w:tcW w:w="1270" w:type="dxa"/>
          </w:tcPr>
          <w:p w14:paraId="6CD0C930" w14:textId="77777777" w:rsidR="00A12401" w:rsidRDefault="00A25E1C">
            <w:pPr>
              <w:jc w:val="left"/>
            </w:pPr>
            <w:r>
              <w:t>7</w:t>
            </w:r>
          </w:p>
        </w:tc>
        <w:tc>
          <w:tcPr>
            <w:tcW w:w="1345" w:type="dxa"/>
          </w:tcPr>
          <w:p w14:paraId="20C33033" w14:textId="77777777" w:rsidR="00A12401" w:rsidRDefault="00A25E1C">
            <w:pPr>
              <w:jc w:val="left"/>
            </w:pPr>
            <w:r>
              <w:t>35%</w:t>
            </w:r>
          </w:p>
        </w:tc>
      </w:tr>
      <w:tr w:rsidR="00A12401" w14:paraId="09F45840" w14:textId="77777777">
        <w:tc>
          <w:tcPr>
            <w:tcW w:w="1216" w:type="dxa"/>
          </w:tcPr>
          <w:p w14:paraId="1B28D4EA" w14:textId="77777777" w:rsidR="00A12401" w:rsidRDefault="00A25E1C">
            <w:pPr>
              <w:jc w:val="left"/>
            </w:pPr>
            <w:r>
              <w:rPr>
                <w:b/>
                <w:bCs/>
              </w:rPr>
              <w:t>Total</w:t>
            </w:r>
          </w:p>
        </w:tc>
        <w:tc>
          <w:tcPr>
            <w:tcW w:w="1270" w:type="dxa"/>
          </w:tcPr>
          <w:p w14:paraId="087CE542" w14:textId="77777777" w:rsidR="00A12401" w:rsidRDefault="00A25E1C">
            <w:pPr>
              <w:jc w:val="left"/>
            </w:pPr>
            <w:r>
              <w:rPr>
                <w:b/>
                <w:bCs/>
              </w:rPr>
              <w:t>20</w:t>
            </w:r>
          </w:p>
        </w:tc>
        <w:tc>
          <w:tcPr>
            <w:tcW w:w="1345" w:type="dxa"/>
          </w:tcPr>
          <w:p w14:paraId="3A73DD0F" w14:textId="77777777" w:rsidR="00A12401" w:rsidRDefault="00A25E1C">
            <w:pPr>
              <w:jc w:val="left"/>
            </w:pPr>
            <w:r>
              <w:rPr>
                <w:b/>
                <w:bCs/>
              </w:rPr>
              <w:t>100%</w:t>
            </w:r>
          </w:p>
        </w:tc>
      </w:tr>
    </w:tbl>
    <w:p w14:paraId="7DEA53E2" w14:textId="77777777" w:rsidR="00A12401" w:rsidRDefault="00A12401">
      <w:pPr>
        <w:widowControl w:val="0"/>
        <w:pBdr>
          <w:top w:val="nil"/>
          <w:left w:val="nil"/>
          <w:bottom w:val="nil"/>
          <w:right w:val="nil"/>
          <w:between w:val="nil"/>
        </w:pBdr>
        <w:spacing w:after="0" w:line="276" w:lineRule="auto"/>
        <w:jc w:val="left"/>
      </w:pPr>
    </w:p>
    <w:tbl>
      <w:tblPr>
        <w:tblStyle w:val="af6"/>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7A767789" w14:textId="77777777">
        <w:tc>
          <w:tcPr>
            <w:tcW w:w="2783" w:type="dxa"/>
          </w:tcPr>
          <w:p w14:paraId="21A0EDA1" w14:textId="77777777" w:rsidR="00A12401" w:rsidRDefault="00A25E1C">
            <w:pPr>
              <w:jc w:val="left"/>
              <w:rPr>
                <w:b/>
                <w:bCs/>
              </w:rPr>
            </w:pPr>
            <w:r>
              <w:rPr>
                <w:b/>
                <w:bCs/>
              </w:rPr>
              <w:t>NPS Score</w:t>
            </w:r>
          </w:p>
        </w:tc>
        <w:tc>
          <w:tcPr>
            <w:tcW w:w="794" w:type="dxa"/>
          </w:tcPr>
          <w:p w14:paraId="35C8FBF3" w14:textId="77777777" w:rsidR="00A12401" w:rsidRDefault="00A25E1C">
            <w:pPr>
              <w:jc w:val="left"/>
              <w:rPr>
                <w:b/>
                <w:bCs/>
              </w:rPr>
            </w:pPr>
            <w:r>
              <w:rPr>
                <w:b/>
                <w:bCs/>
              </w:rPr>
              <w:t>Value</w:t>
            </w:r>
          </w:p>
        </w:tc>
      </w:tr>
      <w:tr w:rsidR="00A12401" w14:paraId="50C04705" w14:textId="77777777">
        <w:tc>
          <w:tcPr>
            <w:tcW w:w="2783" w:type="dxa"/>
          </w:tcPr>
          <w:p w14:paraId="2DD4AFF1" w14:textId="77777777" w:rsidR="00A12401" w:rsidRDefault="00A25E1C">
            <w:pPr>
              <w:jc w:val="left"/>
            </w:pPr>
            <w:r>
              <w:t>Net Promoter Score (NPS)</w:t>
            </w:r>
          </w:p>
        </w:tc>
        <w:tc>
          <w:tcPr>
            <w:tcW w:w="794" w:type="dxa"/>
          </w:tcPr>
          <w:p w14:paraId="536E7D0D" w14:textId="77777777" w:rsidR="00A12401" w:rsidRDefault="00A25E1C">
            <w:pPr>
              <w:jc w:val="left"/>
            </w:pPr>
            <w:r>
              <w:t>-25</w:t>
            </w:r>
          </w:p>
        </w:tc>
      </w:tr>
    </w:tbl>
    <w:p w14:paraId="7B7168D9" w14:textId="77777777" w:rsidR="00A12401" w:rsidRDefault="00A12401"/>
    <w:p w14:paraId="48D04B76" w14:textId="77777777" w:rsidR="00A12401" w:rsidRDefault="00A25E1C">
      <w:pPr>
        <w:rPr>
          <w:b/>
          <w:bCs/>
        </w:rPr>
      </w:pPr>
      <w:r>
        <w:br w:type="page"/>
      </w:r>
    </w:p>
    <w:p w14:paraId="79EBC6CE" w14:textId="77777777" w:rsidR="00A12401" w:rsidRDefault="00A25E1C">
      <w:pPr>
        <w:rPr>
          <w:b/>
          <w:bCs/>
        </w:rPr>
      </w:pPr>
      <w:r>
        <w:rPr>
          <w:b/>
          <w:bCs/>
        </w:rPr>
        <w:t>11. Tesco communities it's CSR activities clearly to customers.</w:t>
      </w:r>
    </w:p>
    <w:tbl>
      <w:tblPr>
        <w:tblStyle w:val="af7"/>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5D4EE7D2" w14:textId="77777777">
        <w:tc>
          <w:tcPr>
            <w:tcW w:w="1216" w:type="dxa"/>
          </w:tcPr>
          <w:p w14:paraId="6536BDFA" w14:textId="77777777" w:rsidR="00A12401" w:rsidRDefault="00A25E1C">
            <w:pPr>
              <w:rPr>
                <w:b/>
                <w:bCs/>
              </w:rPr>
            </w:pPr>
            <w:r>
              <w:rPr>
                <w:b/>
                <w:bCs/>
              </w:rPr>
              <w:t>Category</w:t>
            </w:r>
          </w:p>
        </w:tc>
        <w:tc>
          <w:tcPr>
            <w:tcW w:w="1270" w:type="dxa"/>
          </w:tcPr>
          <w:p w14:paraId="00230474" w14:textId="77777777" w:rsidR="00A12401" w:rsidRDefault="00A25E1C">
            <w:pPr>
              <w:rPr>
                <w:b/>
                <w:bCs/>
              </w:rPr>
            </w:pPr>
            <w:r>
              <w:rPr>
                <w:b/>
                <w:bCs/>
              </w:rPr>
              <w:t>Responses</w:t>
            </w:r>
          </w:p>
        </w:tc>
        <w:tc>
          <w:tcPr>
            <w:tcW w:w="1345" w:type="dxa"/>
          </w:tcPr>
          <w:p w14:paraId="5A6E8771" w14:textId="77777777" w:rsidR="00A12401" w:rsidRDefault="00A25E1C">
            <w:pPr>
              <w:rPr>
                <w:b/>
                <w:bCs/>
              </w:rPr>
            </w:pPr>
            <w:r>
              <w:rPr>
                <w:b/>
                <w:bCs/>
              </w:rPr>
              <w:t>Percentage</w:t>
            </w:r>
          </w:p>
        </w:tc>
      </w:tr>
      <w:tr w:rsidR="00A12401" w14:paraId="2FCBF713" w14:textId="77777777">
        <w:tc>
          <w:tcPr>
            <w:tcW w:w="1216" w:type="dxa"/>
          </w:tcPr>
          <w:p w14:paraId="37204F7D" w14:textId="77777777" w:rsidR="00A12401" w:rsidRDefault="00A25E1C">
            <w:r>
              <w:t>Promoters</w:t>
            </w:r>
          </w:p>
        </w:tc>
        <w:tc>
          <w:tcPr>
            <w:tcW w:w="1270" w:type="dxa"/>
          </w:tcPr>
          <w:p w14:paraId="6D962CF9" w14:textId="77777777" w:rsidR="00A12401" w:rsidRDefault="00A25E1C">
            <w:r>
              <w:t>4</w:t>
            </w:r>
          </w:p>
        </w:tc>
        <w:tc>
          <w:tcPr>
            <w:tcW w:w="1345" w:type="dxa"/>
          </w:tcPr>
          <w:p w14:paraId="35483FFF" w14:textId="77777777" w:rsidR="00A12401" w:rsidRDefault="00A25E1C">
            <w:r>
              <w:t>20%</w:t>
            </w:r>
          </w:p>
        </w:tc>
      </w:tr>
      <w:tr w:rsidR="00A12401" w14:paraId="0F348D04" w14:textId="77777777">
        <w:tc>
          <w:tcPr>
            <w:tcW w:w="1216" w:type="dxa"/>
          </w:tcPr>
          <w:p w14:paraId="3ED25AC9" w14:textId="77777777" w:rsidR="00A12401" w:rsidRDefault="00A25E1C">
            <w:r>
              <w:t>Passives</w:t>
            </w:r>
          </w:p>
        </w:tc>
        <w:tc>
          <w:tcPr>
            <w:tcW w:w="1270" w:type="dxa"/>
          </w:tcPr>
          <w:p w14:paraId="26F1A46B" w14:textId="77777777" w:rsidR="00A12401" w:rsidRDefault="00A25E1C">
            <w:r>
              <w:t>11</w:t>
            </w:r>
          </w:p>
        </w:tc>
        <w:tc>
          <w:tcPr>
            <w:tcW w:w="1345" w:type="dxa"/>
          </w:tcPr>
          <w:p w14:paraId="1F3D56B8" w14:textId="77777777" w:rsidR="00A12401" w:rsidRDefault="00A25E1C">
            <w:r>
              <w:t>55%</w:t>
            </w:r>
          </w:p>
        </w:tc>
      </w:tr>
      <w:tr w:rsidR="00A12401" w14:paraId="0F95CA52" w14:textId="77777777">
        <w:tc>
          <w:tcPr>
            <w:tcW w:w="1216" w:type="dxa"/>
          </w:tcPr>
          <w:p w14:paraId="6E128075" w14:textId="77777777" w:rsidR="00A12401" w:rsidRDefault="00A25E1C">
            <w:r>
              <w:t>Detractors</w:t>
            </w:r>
          </w:p>
        </w:tc>
        <w:tc>
          <w:tcPr>
            <w:tcW w:w="1270" w:type="dxa"/>
          </w:tcPr>
          <w:p w14:paraId="56D6F693" w14:textId="77777777" w:rsidR="00A12401" w:rsidRDefault="00A25E1C">
            <w:r>
              <w:t>5</w:t>
            </w:r>
          </w:p>
        </w:tc>
        <w:tc>
          <w:tcPr>
            <w:tcW w:w="1345" w:type="dxa"/>
          </w:tcPr>
          <w:p w14:paraId="0FBE38CD" w14:textId="77777777" w:rsidR="00A12401" w:rsidRDefault="00A25E1C">
            <w:r>
              <w:t>25%</w:t>
            </w:r>
          </w:p>
        </w:tc>
      </w:tr>
      <w:tr w:rsidR="00A12401" w14:paraId="0EB79AF4" w14:textId="77777777">
        <w:tc>
          <w:tcPr>
            <w:tcW w:w="1216" w:type="dxa"/>
          </w:tcPr>
          <w:p w14:paraId="007F67F6" w14:textId="77777777" w:rsidR="00A12401" w:rsidRDefault="00A25E1C">
            <w:r>
              <w:rPr>
                <w:b/>
                <w:bCs/>
              </w:rPr>
              <w:t>Total</w:t>
            </w:r>
          </w:p>
        </w:tc>
        <w:tc>
          <w:tcPr>
            <w:tcW w:w="1270" w:type="dxa"/>
          </w:tcPr>
          <w:p w14:paraId="32C3F660" w14:textId="77777777" w:rsidR="00A12401" w:rsidRDefault="00A25E1C">
            <w:r>
              <w:rPr>
                <w:b/>
                <w:bCs/>
              </w:rPr>
              <w:t>20</w:t>
            </w:r>
          </w:p>
        </w:tc>
        <w:tc>
          <w:tcPr>
            <w:tcW w:w="1345" w:type="dxa"/>
          </w:tcPr>
          <w:p w14:paraId="22CF8896" w14:textId="77777777" w:rsidR="00A12401" w:rsidRDefault="00A25E1C">
            <w:r>
              <w:rPr>
                <w:b/>
                <w:bCs/>
              </w:rPr>
              <w:t>100%</w:t>
            </w:r>
          </w:p>
        </w:tc>
      </w:tr>
    </w:tbl>
    <w:p w14:paraId="34C0442B" w14:textId="77777777" w:rsidR="00A12401" w:rsidRDefault="00A12401">
      <w:pPr>
        <w:widowControl w:val="0"/>
        <w:pBdr>
          <w:top w:val="nil"/>
          <w:left w:val="nil"/>
          <w:bottom w:val="nil"/>
          <w:right w:val="nil"/>
          <w:between w:val="nil"/>
        </w:pBdr>
        <w:spacing w:after="0" w:line="276" w:lineRule="auto"/>
        <w:jc w:val="left"/>
      </w:pPr>
    </w:p>
    <w:tbl>
      <w:tblPr>
        <w:tblStyle w:val="af8"/>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3554783E" w14:textId="77777777">
        <w:tc>
          <w:tcPr>
            <w:tcW w:w="2783" w:type="dxa"/>
          </w:tcPr>
          <w:p w14:paraId="4F03E652" w14:textId="77777777" w:rsidR="00A12401" w:rsidRDefault="00A25E1C">
            <w:pPr>
              <w:rPr>
                <w:b/>
                <w:bCs/>
              </w:rPr>
            </w:pPr>
            <w:r>
              <w:rPr>
                <w:b/>
                <w:bCs/>
              </w:rPr>
              <w:t>NPS Score</w:t>
            </w:r>
          </w:p>
        </w:tc>
        <w:tc>
          <w:tcPr>
            <w:tcW w:w="794" w:type="dxa"/>
          </w:tcPr>
          <w:p w14:paraId="63A7BEED" w14:textId="77777777" w:rsidR="00A12401" w:rsidRDefault="00A25E1C">
            <w:pPr>
              <w:rPr>
                <w:b/>
                <w:bCs/>
              </w:rPr>
            </w:pPr>
            <w:r>
              <w:rPr>
                <w:b/>
                <w:bCs/>
              </w:rPr>
              <w:t>Value</w:t>
            </w:r>
          </w:p>
        </w:tc>
      </w:tr>
      <w:tr w:rsidR="00A12401" w14:paraId="6B7F963C" w14:textId="77777777">
        <w:tc>
          <w:tcPr>
            <w:tcW w:w="2783" w:type="dxa"/>
          </w:tcPr>
          <w:p w14:paraId="0495BCD1" w14:textId="77777777" w:rsidR="00A12401" w:rsidRDefault="00A25E1C">
            <w:r>
              <w:t>Net Promoter Score (NPS)</w:t>
            </w:r>
          </w:p>
        </w:tc>
        <w:tc>
          <w:tcPr>
            <w:tcW w:w="794" w:type="dxa"/>
          </w:tcPr>
          <w:p w14:paraId="7F794CAD" w14:textId="77777777" w:rsidR="00A12401" w:rsidRDefault="00A25E1C">
            <w:r>
              <w:t>-5</w:t>
            </w:r>
          </w:p>
        </w:tc>
      </w:tr>
    </w:tbl>
    <w:p w14:paraId="18B372B6" w14:textId="77777777" w:rsidR="00A12401" w:rsidRDefault="00A12401">
      <w:pPr>
        <w:rPr>
          <w:b/>
          <w:bCs/>
        </w:rPr>
      </w:pPr>
    </w:p>
    <w:p w14:paraId="37446DC9" w14:textId="77777777" w:rsidR="00A12401" w:rsidRDefault="00A25E1C">
      <w:pPr>
        <w:rPr>
          <w:b/>
          <w:bCs/>
        </w:rPr>
      </w:pPr>
      <w:r>
        <w:rPr>
          <w:b/>
          <w:bCs/>
        </w:rPr>
        <w:t>12. Tesco's CSR activities positively influence my perception of the brand</w:t>
      </w:r>
    </w:p>
    <w:tbl>
      <w:tblPr>
        <w:tblStyle w:val="af9"/>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47AE2FFA" w14:textId="77777777">
        <w:tc>
          <w:tcPr>
            <w:tcW w:w="1216" w:type="dxa"/>
          </w:tcPr>
          <w:p w14:paraId="57347E4D" w14:textId="77777777" w:rsidR="00A12401" w:rsidRDefault="00A25E1C">
            <w:pPr>
              <w:rPr>
                <w:b/>
                <w:bCs/>
              </w:rPr>
            </w:pPr>
            <w:r>
              <w:rPr>
                <w:b/>
                <w:bCs/>
              </w:rPr>
              <w:t>Category</w:t>
            </w:r>
          </w:p>
        </w:tc>
        <w:tc>
          <w:tcPr>
            <w:tcW w:w="1270" w:type="dxa"/>
          </w:tcPr>
          <w:p w14:paraId="13DE385A" w14:textId="77777777" w:rsidR="00A12401" w:rsidRDefault="00A25E1C">
            <w:pPr>
              <w:rPr>
                <w:b/>
                <w:bCs/>
              </w:rPr>
            </w:pPr>
            <w:r>
              <w:rPr>
                <w:b/>
                <w:bCs/>
              </w:rPr>
              <w:t>Responses</w:t>
            </w:r>
          </w:p>
        </w:tc>
        <w:tc>
          <w:tcPr>
            <w:tcW w:w="1345" w:type="dxa"/>
          </w:tcPr>
          <w:p w14:paraId="4F248925" w14:textId="77777777" w:rsidR="00A12401" w:rsidRDefault="00A25E1C">
            <w:pPr>
              <w:rPr>
                <w:b/>
                <w:bCs/>
              </w:rPr>
            </w:pPr>
            <w:r>
              <w:rPr>
                <w:b/>
                <w:bCs/>
              </w:rPr>
              <w:t>Percentage</w:t>
            </w:r>
          </w:p>
        </w:tc>
      </w:tr>
      <w:tr w:rsidR="00A12401" w14:paraId="5D47C6FC" w14:textId="77777777">
        <w:tc>
          <w:tcPr>
            <w:tcW w:w="1216" w:type="dxa"/>
          </w:tcPr>
          <w:p w14:paraId="00735401" w14:textId="77777777" w:rsidR="00A12401" w:rsidRDefault="00A25E1C">
            <w:r>
              <w:t>Promoters</w:t>
            </w:r>
          </w:p>
        </w:tc>
        <w:tc>
          <w:tcPr>
            <w:tcW w:w="1270" w:type="dxa"/>
          </w:tcPr>
          <w:p w14:paraId="636A5718" w14:textId="77777777" w:rsidR="00A12401" w:rsidRDefault="00A25E1C">
            <w:r>
              <w:t>6</w:t>
            </w:r>
          </w:p>
        </w:tc>
        <w:tc>
          <w:tcPr>
            <w:tcW w:w="1345" w:type="dxa"/>
          </w:tcPr>
          <w:p w14:paraId="019C1E6C" w14:textId="77777777" w:rsidR="00A12401" w:rsidRDefault="00A25E1C">
            <w:r>
              <w:t>30%</w:t>
            </w:r>
          </w:p>
        </w:tc>
      </w:tr>
      <w:tr w:rsidR="00A12401" w14:paraId="7B125537" w14:textId="77777777">
        <w:tc>
          <w:tcPr>
            <w:tcW w:w="1216" w:type="dxa"/>
          </w:tcPr>
          <w:p w14:paraId="25A9A2C4" w14:textId="77777777" w:rsidR="00A12401" w:rsidRDefault="00A25E1C">
            <w:r>
              <w:t>Passives</w:t>
            </w:r>
          </w:p>
        </w:tc>
        <w:tc>
          <w:tcPr>
            <w:tcW w:w="1270" w:type="dxa"/>
          </w:tcPr>
          <w:p w14:paraId="77D609BF" w14:textId="77777777" w:rsidR="00A12401" w:rsidRDefault="00A25E1C">
            <w:r>
              <w:t>9</w:t>
            </w:r>
          </w:p>
        </w:tc>
        <w:tc>
          <w:tcPr>
            <w:tcW w:w="1345" w:type="dxa"/>
          </w:tcPr>
          <w:p w14:paraId="6940EEB4" w14:textId="77777777" w:rsidR="00A12401" w:rsidRDefault="00A25E1C">
            <w:r>
              <w:t>45%</w:t>
            </w:r>
          </w:p>
        </w:tc>
      </w:tr>
      <w:tr w:rsidR="00A12401" w14:paraId="43AC43B0" w14:textId="77777777">
        <w:tc>
          <w:tcPr>
            <w:tcW w:w="1216" w:type="dxa"/>
          </w:tcPr>
          <w:p w14:paraId="095C196B" w14:textId="77777777" w:rsidR="00A12401" w:rsidRDefault="00A25E1C">
            <w:r>
              <w:t>Detractors</w:t>
            </w:r>
          </w:p>
        </w:tc>
        <w:tc>
          <w:tcPr>
            <w:tcW w:w="1270" w:type="dxa"/>
          </w:tcPr>
          <w:p w14:paraId="2D47C9DB" w14:textId="77777777" w:rsidR="00A12401" w:rsidRDefault="00A25E1C">
            <w:r>
              <w:t>5</w:t>
            </w:r>
          </w:p>
        </w:tc>
        <w:tc>
          <w:tcPr>
            <w:tcW w:w="1345" w:type="dxa"/>
          </w:tcPr>
          <w:p w14:paraId="3617A1F0" w14:textId="77777777" w:rsidR="00A12401" w:rsidRDefault="00A25E1C">
            <w:r>
              <w:t>25%</w:t>
            </w:r>
          </w:p>
        </w:tc>
      </w:tr>
      <w:tr w:rsidR="00A12401" w14:paraId="0D10BA7F" w14:textId="77777777">
        <w:tc>
          <w:tcPr>
            <w:tcW w:w="1216" w:type="dxa"/>
          </w:tcPr>
          <w:p w14:paraId="42AD8610" w14:textId="77777777" w:rsidR="00A12401" w:rsidRDefault="00A25E1C">
            <w:r>
              <w:rPr>
                <w:b/>
                <w:bCs/>
              </w:rPr>
              <w:t>Total</w:t>
            </w:r>
          </w:p>
        </w:tc>
        <w:tc>
          <w:tcPr>
            <w:tcW w:w="1270" w:type="dxa"/>
          </w:tcPr>
          <w:p w14:paraId="15FCE676" w14:textId="77777777" w:rsidR="00A12401" w:rsidRDefault="00A25E1C">
            <w:r>
              <w:rPr>
                <w:b/>
                <w:bCs/>
              </w:rPr>
              <w:t>20</w:t>
            </w:r>
          </w:p>
        </w:tc>
        <w:tc>
          <w:tcPr>
            <w:tcW w:w="1345" w:type="dxa"/>
          </w:tcPr>
          <w:p w14:paraId="2221FDC2" w14:textId="77777777" w:rsidR="00A12401" w:rsidRDefault="00A25E1C">
            <w:r>
              <w:rPr>
                <w:b/>
                <w:bCs/>
              </w:rPr>
              <w:t>100%</w:t>
            </w:r>
          </w:p>
        </w:tc>
      </w:tr>
    </w:tbl>
    <w:p w14:paraId="55CF4465" w14:textId="77777777" w:rsidR="00A12401" w:rsidRDefault="00A12401">
      <w:pPr>
        <w:widowControl w:val="0"/>
        <w:pBdr>
          <w:top w:val="nil"/>
          <w:left w:val="nil"/>
          <w:bottom w:val="nil"/>
          <w:right w:val="nil"/>
          <w:between w:val="nil"/>
        </w:pBdr>
        <w:spacing w:after="0" w:line="276" w:lineRule="auto"/>
        <w:jc w:val="left"/>
      </w:pPr>
    </w:p>
    <w:tbl>
      <w:tblPr>
        <w:tblStyle w:val="afa"/>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3698DEBA" w14:textId="77777777">
        <w:tc>
          <w:tcPr>
            <w:tcW w:w="2783" w:type="dxa"/>
          </w:tcPr>
          <w:p w14:paraId="0B7FC19E" w14:textId="77777777" w:rsidR="00A12401" w:rsidRDefault="00A25E1C">
            <w:pPr>
              <w:rPr>
                <w:b/>
                <w:bCs/>
              </w:rPr>
            </w:pPr>
            <w:r>
              <w:rPr>
                <w:b/>
                <w:bCs/>
              </w:rPr>
              <w:t>NPS Score</w:t>
            </w:r>
          </w:p>
        </w:tc>
        <w:tc>
          <w:tcPr>
            <w:tcW w:w="794" w:type="dxa"/>
          </w:tcPr>
          <w:p w14:paraId="3F338598" w14:textId="77777777" w:rsidR="00A12401" w:rsidRDefault="00A25E1C">
            <w:pPr>
              <w:rPr>
                <w:b/>
                <w:bCs/>
              </w:rPr>
            </w:pPr>
            <w:r>
              <w:rPr>
                <w:b/>
                <w:bCs/>
              </w:rPr>
              <w:t>Value</w:t>
            </w:r>
          </w:p>
        </w:tc>
      </w:tr>
      <w:tr w:rsidR="00A12401" w14:paraId="47B9D994" w14:textId="77777777">
        <w:tc>
          <w:tcPr>
            <w:tcW w:w="2783" w:type="dxa"/>
          </w:tcPr>
          <w:p w14:paraId="21A55C7D" w14:textId="77777777" w:rsidR="00A12401" w:rsidRDefault="00A25E1C">
            <w:r>
              <w:t>Net Promoter Score (NPS)</w:t>
            </w:r>
          </w:p>
        </w:tc>
        <w:tc>
          <w:tcPr>
            <w:tcW w:w="794" w:type="dxa"/>
          </w:tcPr>
          <w:p w14:paraId="5FD9F5DC" w14:textId="77777777" w:rsidR="00A12401" w:rsidRDefault="00A25E1C">
            <w:r>
              <w:t>5</w:t>
            </w:r>
          </w:p>
        </w:tc>
      </w:tr>
    </w:tbl>
    <w:p w14:paraId="3FDCE8BE" w14:textId="77777777" w:rsidR="00A12401" w:rsidRDefault="00A25E1C">
      <w:pPr>
        <w:rPr>
          <w:b/>
          <w:bCs/>
        </w:rPr>
      </w:pPr>
      <w:r>
        <w:br w:type="page"/>
      </w:r>
    </w:p>
    <w:p w14:paraId="18D9A308" w14:textId="77777777" w:rsidR="00A12401" w:rsidRDefault="00A25E1C">
      <w:pPr>
        <w:rPr>
          <w:b/>
          <w:bCs/>
        </w:rPr>
      </w:pPr>
      <w:r>
        <w:rPr>
          <w:b/>
          <w:bCs/>
        </w:rPr>
        <w:t>13. I prefer shopping at Tesco because it's CSR efforts</w:t>
      </w:r>
    </w:p>
    <w:tbl>
      <w:tblPr>
        <w:tblStyle w:val="afb"/>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4BEC1B16" w14:textId="77777777">
        <w:tc>
          <w:tcPr>
            <w:tcW w:w="1216" w:type="dxa"/>
          </w:tcPr>
          <w:p w14:paraId="705033DC" w14:textId="77777777" w:rsidR="00A12401" w:rsidRDefault="00A25E1C">
            <w:pPr>
              <w:rPr>
                <w:b/>
                <w:bCs/>
              </w:rPr>
            </w:pPr>
            <w:r>
              <w:rPr>
                <w:b/>
                <w:bCs/>
              </w:rPr>
              <w:t>Category</w:t>
            </w:r>
          </w:p>
        </w:tc>
        <w:tc>
          <w:tcPr>
            <w:tcW w:w="1270" w:type="dxa"/>
          </w:tcPr>
          <w:p w14:paraId="4FE2637A" w14:textId="77777777" w:rsidR="00A12401" w:rsidRDefault="00A25E1C">
            <w:pPr>
              <w:rPr>
                <w:b/>
                <w:bCs/>
              </w:rPr>
            </w:pPr>
            <w:r>
              <w:rPr>
                <w:b/>
                <w:bCs/>
              </w:rPr>
              <w:t>Responses</w:t>
            </w:r>
          </w:p>
        </w:tc>
        <w:tc>
          <w:tcPr>
            <w:tcW w:w="1345" w:type="dxa"/>
          </w:tcPr>
          <w:p w14:paraId="3B0F102B" w14:textId="77777777" w:rsidR="00A12401" w:rsidRDefault="00A25E1C">
            <w:pPr>
              <w:rPr>
                <w:b/>
                <w:bCs/>
              </w:rPr>
            </w:pPr>
            <w:r>
              <w:rPr>
                <w:b/>
                <w:bCs/>
              </w:rPr>
              <w:t>Percentage</w:t>
            </w:r>
          </w:p>
        </w:tc>
      </w:tr>
      <w:tr w:rsidR="00A12401" w14:paraId="33BEFF31" w14:textId="77777777">
        <w:tc>
          <w:tcPr>
            <w:tcW w:w="1216" w:type="dxa"/>
          </w:tcPr>
          <w:p w14:paraId="3BD7F030" w14:textId="77777777" w:rsidR="00A12401" w:rsidRDefault="00A25E1C">
            <w:r>
              <w:t>Promoters</w:t>
            </w:r>
          </w:p>
        </w:tc>
        <w:tc>
          <w:tcPr>
            <w:tcW w:w="1270" w:type="dxa"/>
          </w:tcPr>
          <w:p w14:paraId="66262911" w14:textId="77777777" w:rsidR="00A12401" w:rsidRDefault="00A25E1C">
            <w:r>
              <w:t>3</w:t>
            </w:r>
          </w:p>
        </w:tc>
        <w:tc>
          <w:tcPr>
            <w:tcW w:w="1345" w:type="dxa"/>
          </w:tcPr>
          <w:p w14:paraId="610263E4" w14:textId="77777777" w:rsidR="00A12401" w:rsidRDefault="00A25E1C">
            <w:r>
              <w:t>15%</w:t>
            </w:r>
          </w:p>
        </w:tc>
      </w:tr>
      <w:tr w:rsidR="00A12401" w14:paraId="40E91CA5" w14:textId="77777777">
        <w:tc>
          <w:tcPr>
            <w:tcW w:w="1216" w:type="dxa"/>
          </w:tcPr>
          <w:p w14:paraId="4150BAB7" w14:textId="77777777" w:rsidR="00A12401" w:rsidRDefault="00A25E1C">
            <w:r>
              <w:t>Passives</w:t>
            </w:r>
          </w:p>
        </w:tc>
        <w:tc>
          <w:tcPr>
            <w:tcW w:w="1270" w:type="dxa"/>
          </w:tcPr>
          <w:p w14:paraId="5117D5FF" w14:textId="77777777" w:rsidR="00A12401" w:rsidRDefault="00A25E1C">
            <w:r>
              <w:t>10</w:t>
            </w:r>
          </w:p>
        </w:tc>
        <w:tc>
          <w:tcPr>
            <w:tcW w:w="1345" w:type="dxa"/>
          </w:tcPr>
          <w:p w14:paraId="1A797779" w14:textId="77777777" w:rsidR="00A12401" w:rsidRDefault="00A25E1C">
            <w:r>
              <w:t>50%</w:t>
            </w:r>
          </w:p>
        </w:tc>
      </w:tr>
      <w:tr w:rsidR="00A12401" w14:paraId="4A008378" w14:textId="77777777">
        <w:tc>
          <w:tcPr>
            <w:tcW w:w="1216" w:type="dxa"/>
          </w:tcPr>
          <w:p w14:paraId="49FCCEEA" w14:textId="77777777" w:rsidR="00A12401" w:rsidRDefault="00A25E1C">
            <w:r>
              <w:t>Detractors</w:t>
            </w:r>
          </w:p>
        </w:tc>
        <w:tc>
          <w:tcPr>
            <w:tcW w:w="1270" w:type="dxa"/>
          </w:tcPr>
          <w:p w14:paraId="029AD335" w14:textId="77777777" w:rsidR="00A12401" w:rsidRDefault="00A25E1C">
            <w:r>
              <w:t>7</w:t>
            </w:r>
          </w:p>
        </w:tc>
        <w:tc>
          <w:tcPr>
            <w:tcW w:w="1345" w:type="dxa"/>
          </w:tcPr>
          <w:p w14:paraId="08A556D3" w14:textId="77777777" w:rsidR="00A12401" w:rsidRDefault="00A25E1C">
            <w:r>
              <w:t>35%</w:t>
            </w:r>
          </w:p>
        </w:tc>
      </w:tr>
      <w:tr w:rsidR="00A12401" w14:paraId="0BF94FCC" w14:textId="77777777">
        <w:tc>
          <w:tcPr>
            <w:tcW w:w="1216" w:type="dxa"/>
          </w:tcPr>
          <w:p w14:paraId="10C06083" w14:textId="77777777" w:rsidR="00A12401" w:rsidRDefault="00A25E1C">
            <w:r>
              <w:rPr>
                <w:b/>
                <w:bCs/>
              </w:rPr>
              <w:t>Total</w:t>
            </w:r>
          </w:p>
        </w:tc>
        <w:tc>
          <w:tcPr>
            <w:tcW w:w="1270" w:type="dxa"/>
          </w:tcPr>
          <w:p w14:paraId="3F43488C" w14:textId="77777777" w:rsidR="00A12401" w:rsidRDefault="00A25E1C">
            <w:r>
              <w:rPr>
                <w:b/>
                <w:bCs/>
              </w:rPr>
              <w:t>20</w:t>
            </w:r>
          </w:p>
        </w:tc>
        <w:tc>
          <w:tcPr>
            <w:tcW w:w="1345" w:type="dxa"/>
          </w:tcPr>
          <w:p w14:paraId="1342FD3A" w14:textId="77777777" w:rsidR="00A12401" w:rsidRDefault="00A25E1C">
            <w:r>
              <w:rPr>
                <w:b/>
                <w:bCs/>
              </w:rPr>
              <w:t>100%</w:t>
            </w:r>
          </w:p>
        </w:tc>
      </w:tr>
    </w:tbl>
    <w:p w14:paraId="767701A6" w14:textId="77777777" w:rsidR="00A12401" w:rsidRDefault="00A12401">
      <w:pPr>
        <w:widowControl w:val="0"/>
        <w:pBdr>
          <w:top w:val="nil"/>
          <w:left w:val="nil"/>
          <w:bottom w:val="nil"/>
          <w:right w:val="nil"/>
          <w:between w:val="nil"/>
        </w:pBdr>
        <w:spacing w:after="0" w:line="276" w:lineRule="auto"/>
        <w:jc w:val="left"/>
      </w:pPr>
    </w:p>
    <w:tbl>
      <w:tblPr>
        <w:tblStyle w:val="afc"/>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136C0EF0" w14:textId="77777777">
        <w:tc>
          <w:tcPr>
            <w:tcW w:w="2783" w:type="dxa"/>
          </w:tcPr>
          <w:p w14:paraId="4E873484" w14:textId="77777777" w:rsidR="00A12401" w:rsidRDefault="00A25E1C">
            <w:pPr>
              <w:rPr>
                <w:b/>
                <w:bCs/>
              </w:rPr>
            </w:pPr>
            <w:r>
              <w:rPr>
                <w:b/>
                <w:bCs/>
              </w:rPr>
              <w:t>NPS Score</w:t>
            </w:r>
          </w:p>
        </w:tc>
        <w:tc>
          <w:tcPr>
            <w:tcW w:w="794" w:type="dxa"/>
          </w:tcPr>
          <w:p w14:paraId="33F6857E" w14:textId="77777777" w:rsidR="00A12401" w:rsidRDefault="00A25E1C">
            <w:pPr>
              <w:rPr>
                <w:b/>
                <w:bCs/>
              </w:rPr>
            </w:pPr>
            <w:r>
              <w:rPr>
                <w:b/>
                <w:bCs/>
              </w:rPr>
              <w:t>Value</w:t>
            </w:r>
          </w:p>
        </w:tc>
      </w:tr>
      <w:tr w:rsidR="00A12401" w14:paraId="48C8D8F4" w14:textId="77777777">
        <w:tc>
          <w:tcPr>
            <w:tcW w:w="2783" w:type="dxa"/>
          </w:tcPr>
          <w:p w14:paraId="3385D0B3" w14:textId="77777777" w:rsidR="00A12401" w:rsidRDefault="00A25E1C">
            <w:r>
              <w:t>Net Promoter Score (NPS)</w:t>
            </w:r>
          </w:p>
        </w:tc>
        <w:tc>
          <w:tcPr>
            <w:tcW w:w="794" w:type="dxa"/>
          </w:tcPr>
          <w:p w14:paraId="2FA42FC1" w14:textId="77777777" w:rsidR="00A12401" w:rsidRDefault="00A25E1C">
            <w:r>
              <w:t>-20</w:t>
            </w:r>
          </w:p>
        </w:tc>
      </w:tr>
    </w:tbl>
    <w:p w14:paraId="5C37DA50" w14:textId="77777777" w:rsidR="00A12401" w:rsidRDefault="00A12401">
      <w:pPr>
        <w:rPr>
          <w:b/>
          <w:bCs/>
        </w:rPr>
      </w:pPr>
    </w:p>
    <w:p w14:paraId="65BF0873" w14:textId="77777777" w:rsidR="00A12401" w:rsidRDefault="00A25E1C">
      <w:pPr>
        <w:rPr>
          <w:b/>
          <w:bCs/>
        </w:rPr>
      </w:pPr>
      <w:r>
        <w:rPr>
          <w:b/>
          <w:bCs/>
        </w:rPr>
        <w:t>14. Tesco's CSR initiatives increase my trust in the brand</w:t>
      </w:r>
    </w:p>
    <w:tbl>
      <w:tblPr>
        <w:tblStyle w:val="afd"/>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1E7D57F2" w14:textId="77777777">
        <w:tc>
          <w:tcPr>
            <w:tcW w:w="1216" w:type="dxa"/>
          </w:tcPr>
          <w:p w14:paraId="6CB4185D" w14:textId="77777777" w:rsidR="00A12401" w:rsidRDefault="00A25E1C">
            <w:pPr>
              <w:rPr>
                <w:b/>
                <w:bCs/>
              </w:rPr>
            </w:pPr>
            <w:r>
              <w:rPr>
                <w:b/>
                <w:bCs/>
              </w:rPr>
              <w:t>Category</w:t>
            </w:r>
          </w:p>
        </w:tc>
        <w:tc>
          <w:tcPr>
            <w:tcW w:w="1270" w:type="dxa"/>
          </w:tcPr>
          <w:p w14:paraId="541799E6" w14:textId="77777777" w:rsidR="00A12401" w:rsidRDefault="00A25E1C">
            <w:pPr>
              <w:rPr>
                <w:b/>
                <w:bCs/>
              </w:rPr>
            </w:pPr>
            <w:r>
              <w:rPr>
                <w:b/>
                <w:bCs/>
              </w:rPr>
              <w:t>Responses</w:t>
            </w:r>
          </w:p>
        </w:tc>
        <w:tc>
          <w:tcPr>
            <w:tcW w:w="1345" w:type="dxa"/>
          </w:tcPr>
          <w:p w14:paraId="2877FEF9" w14:textId="77777777" w:rsidR="00A12401" w:rsidRDefault="00A25E1C">
            <w:pPr>
              <w:rPr>
                <w:b/>
                <w:bCs/>
              </w:rPr>
            </w:pPr>
            <w:r>
              <w:rPr>
                <w:b/>
                <w:bCs/>
              </w:rPr>
              <w:t>Percentage</w:t>
            </w:r>
          </w:p>
        </w:tc>
      </w:tr>
      <w:tr w:rsidR="00A12401" w14:paraId="623A25D2" w14:textId="77777777">
        <w:tc>
          <w:tcPr>
            <w:tcW w:w="1216" w:type="dxa"/>
          </w:tcPr>
          <w:p w14:paraId="49A3AF50" w14:textId="77777777" w:rsidR="00A12401" w:rsidRDefault="00A25E1C">
            <w:r>
              <w:t>Promoters</w:t>
            </w:r>
          </w:p>
        </w:tc>
        <w:tc>
          <w:tcPr>
            <w:tcW w:w="1270" w:type="dxa"/>
          </w:tcPr>
          <w:p w14:paraId="27896615" w14:textId="77777777" w:rsidR="00A12401" w:rsidRDefault="00A25E1C">
            <w:r>
              <w:t>5</w:t>
            </w:r>
          </w:p>
        </w:tc>
        <w:tc>
          <w:tcPr>
            <w:tcW w:w="1345" w:type="dxa"/>
          </w:tcPr>
          <w:p w14:paraId="5D1DFB2F" w14:textId="77777777" w:rsidR="00A12401" w:rsidRDefault="00A25E1C">
            <w:r>
              <w:t>25%</w:t>
            </w:r>
          </w:p>
        </w:tc>
      </w:tr>
      <w:tr w:rsidR="00A12401" w14:paraId="422AC7ED" w14:textId="77777777">
        <w:tc>
          <w:tcPr>
            <w:tcW w:w="1216" w:type="dxa"/>
          </w:tcPr>
          <w:p w14:paraId="6BC9CAC5" w14:textId="77777777" w:rsidR="00A12401" w:rsidRDefault="00A25E1C">
            <w:r>
              <w:t>Passives</w:t>
            </w:r>
          </w:p>
        </w:tc>
        <w:tc>
          <w:tcPr>
            <w:tcW w:w="1270" w:type="dxa"/>
          </w:tcPr>
          <w:p w14:paraId="3774CD78" w14:textId="77777777" w:rsidR="00A12401" w:rsidRDefault="00A25E1C">
            <w:r>
              <w:t>8</w:t>
            </w:r>
          </w:p>
        </w:tc>
        <w:tc>
          <w:tcPr>
            <w:tcW w:w="1345" w:type="dxa"/>
          </w:tcPr>
          <w:p w14:paraId="16FB4FA2" w14:textId="77777777" w:rsidR="00A12401" w:rsidRDefault="00A25E1C">
            <w:r>
              <w:t>40%</w:t>
            </w:r>
          </w:p>
        </w:tc>
      </w:tr>
      <w:tr w:rsidR="00A12401" w14:paraId="36734445" w14:textId="77777777">
        <w:tc>
          <w:tcPr>
            <w:tcW w:w="1216" w:type="dxa"/>
          </w:tcPr>
          <w:p w14:paraId="7E44B346" w14:textId="77777777" w:rsidR="00A12401" w:rsidRDefault="00A25E1C">
            <w:r>
              <w:t>Detractors</w:t>
            </w:r>
          </w:p>
        </w:tc>
        <w:tc>
          <w:tcPr>
            <w:tcW w:w="1270" w:type="dxa"/>
          </w:tcPr>
          <w:p w14:paraId="2C9E7F04" w14:textId="77777777" w:rsidR="00A12401" w:rsidRDefault="00A25E1C">
            <w:r>
              <w:t>7</w:t>
            </w:r>
          </w:p>
        </w:tc>
        <w:tc>
          <w:tcPr>
            <w:tcW w:w="1345" w:type="dxa"/>
          </w:tcPr>
          <w:p w14:paraId="577B7639" w14:textId="77777777" w:rsidR="00A12401" w:rsidRDefault="00A25E1C">
            <w:r>
              <w:t>35%</w:t>
            </w:r>
          </w:p>
        </w:tc>
      </w:tr>
      <w:tr w:rsidR="00A12401" w14:paraId="4427508E" w14:textId="77777777">
        <w:tc>
          <w:tcPr>
            <w:tcW w:w="1216" w:type="dxa"/>
          </w:tcPr>
          <w:p w14:paraId="7F0EE38E" w14:textId="77777777" w:rsidR="00A12401" w:rsidRDefault="00A25E1C">
            <w:r>
              <w:rPr>
                <w:b/>
                <w:bCs/>
              </w:rPr>
              <w:t>Total</w:t>
            </w:r>
          </w:p>
        </w:tc>
        <w:tc>
          <w:tcPr>
            <w:tcW w:w="1270" w:type="dxa"/>
          </w:tcPr>
          <w:p w14:paraId="793CAC47" w14:textId="77777777" w:rsidR="00A12401" w:rsidRDefault="00A25E1C">
            <w:r>
              <w:rPr>
                <w:b/>
                <w:bCs/>
              </w:rPr>
              <w:t>20</w:t>
            </w:r>
          </w:p>
        </w:tc>
        <w:tc>
          <w:tcPr>
            <w:tcW w:w="1345" w:type="dxa"/>
          </w:tcPr>
          <w:p w14:paraId="27AA1D00" w14:textId="77777777" w:rsidR="00A12401" w:rsidRDefault="00A25E1C">
            <w:r>
              <w:rPr>
                <w:b/>
                <w:bCs/>
              </w:rPr>
              <w:t>100%</w:t>
            </w:r>
          </w:p>
        </w:tc>
      </w:tr>
    </w:tbl>
    <w:p w14:paraId="334A4355" w14:textId="77777777" w:rsidR="00A12401" w:rsidRDefault="00A12401">
      <w:pPr>
        <w:widowControl w:val="0"/>
        <w:pBdr>
          <w:top w:val="nil"/>
          <w:left w:val="nil"/>
          <w:bottom w:val="nil"/>
          <w:right w:val="nil"/>
          <w:between w:val="nil"/>
        </w:pBdr>
        <w:spacing w:after="0" w:line="276" w:lineRule="auto"/>
        <w:jc w:val="left"/>
      </w:pPr>
    </w:p>
    <w:tbl>
      <w:tblPr>
        <w:tblStyle w:val="afe"/>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3A533B31" w14:textId="77777777">
        <w:tc>
          <w:tcPr>
            <w:tcW w:w="2783" w:type="dxa"/>
          </w:tcPr>
          <w:p w14:paraId="4305F55C" w14:textId="77777777" w:rsidR="00A12401" w:rsidRDefault="00A25E1C">
            <w:pPr>
              <w:rPr>
                <w:b/>
                <w:bCs/>
              </w:rPr>
            </w:pPr>
            <w:r>
              <w:rPr>
                <w:b/>
                <w:bCs/>
              </w:rPr>
              <w:t>NPS Score</w:t>
            </w:r>
          </w:p>
        </w:tc>
        <w:tc>
          <w:tcPr>
            <w:tcW w:w="794" w:type="dxa"/>
          </w:tcPr>
          <w:p w14:paraId="56A2B053" w14:textId="77777777" w:rsidR="00A12401" w:rsidRDefault="00A25E1C">
            <w:pPr>
              <w:rPr>
                <w:b/>
                <w:bCs/>
              </w:rPr>
            </w:pPr>
            <w:r>
              <w:rPr>
                <w:b/>
                <w:bCs/>
              </w:rPr>
              <w:t>Value</w:t>
            </w:r>
          </w:p>
        </w:tc>
      </w:tr>
      <w:tr w:rsidR="00A12401" w14:paraId="683AD0CE" w14:textId="77777777">
        <w:tc>
          <w:tcPr>
            <w:tcW w:w="2783" w:type="dxa"/>
          </w:tcPr>
          <w:p w14:paraId="261294E1" w14:textId="77777777" w:rsidR="00A12401" w:rsidRDefault="00A25E1C">
            <w:r>
              <w:t>Net Promoter Score (NPS)</w:t>
            </w:r>
          </w:p>
        </w:tc>
        <w:tc>
          <w:tcPr>
            <w:tcW w:w="794" w:type="dxa"/>
          </w:tcPr>
          <w:p w14:paraId="31E6398E" w14:textId="77777777" w:rsidR="00A12401" w:rsidRDefault="00A25E1C">
            <w:r>
              <w:t>-10</w:t>
            </w:r>
          </w:p>
        </w:tc>
      </w:tr>
    </w:tbl>
    <w:p w14:paraId="33694EF8" w14:textId="77777777" w:rsidR="00A12401" w:rsidRDefault="00A25E1C">
      <w:pPr>
        <w:rPr>
          <w:b/>
          <w:bCs/>
        </w:rPr>
      </w:pPr>
      <w:r>
        <w:br w:type="page"/>
      </w:r>
    </w:p>
    <w:p w14:paraId="6A075BA7" w14:textId="77777777" w:rsidR="00A12401" w:rsidRDefault="00A25E1C">
      <w:pPr>
        <w:rPr>
          <w:b/>
          <w:bCs/>
        </w:rPr>
      </w:pPr>
      <w:r>
        <w:rPr>
          <w:b/>
          <w:bCs/>
        </w:rPr>
        <w:t xml:space="preserve">15. I am more loyal to Tesco due to </w:t>
      </w:r>
      <w:proofErr w:type="spellStart"/>
      <w:proofErr w:type="gramStart"/>
      <w:r>
        <w:rPr>
          <w:b/>
          <w:bCs/>
        </w:rPr>
        <w:t>it's</w:t>
      </w:r>
      <w:proofErr w:type="spellEnd"/>
      <w:proofErr w:type="gramEnd"/>
      <w:r>
        <w:rPr>
          <w:b/>
          <w:bCs/>
        </w:rPr>
        <w:t xml:space="preserve"> CSR activities</w:t>
      </w:r>
    </w:p>
    <w:tbl>
      <w:tblPr>
        <w:tblStyle w:val="aff"/>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5B573D4E" w14:textId="77777777">
        <w:tc>
          <w:tcPr>
            <w:tcW w:w="1216" w:type="dxa"/>
          </w:tcPr>
          <w:p w14:paraId="37541486" w14:textId="77777777" w:rsidR="00A12401" w:rsidRDefault="00A25E1C">
            <w:pPr>
              <w:rPr>
                <w:b/>
                <w:bCs/>
              </w:rPr>
            </w:pPr>
            <w:r>
              <w:rPr>
                <w:b/>
                <w:bCs/>
              </w:rPr>
              <w:t>Category</w:t>
            </w:r>
          </w:p>
        </w:tc>
        <w:tc>
          <w:tcPr>
            <w:tcW w:w="1270" w:type="dxa"/>
          </w:tcPr>
          <w:p w14:paraId="2FA42003" w14:textId="77777777" w:rsidR="00A12401" w:rsidRDefault="00A25E1C">
            <w:pPr>
              <w:rPr>
                <w:b/>
                <w:bCs/>
              </w:rPr>
            </w:pPr>
            <w:r>
              <w:rPr>
                <w:b/>
                <w:bCs/>
              </w:rPr>
              <w:t>Responses</w:t>
            </w:r>
          </w:p>
        </w:tc>
        <w:tc>
          <w:tcPr>
            <w:tcW w:w="1345" w:type="dxa"/>
          </w:tcPr>
          <w:p w14:paraId="466CE9EF" w14:textId="77777777" w:rsidR="00A12401" w:rsidRDefault="00A25E1C">
            <w:pPr>
              <w:rPr>
                <w:b/>
                <w:bCs/>
              </w:rPr>
            </w:pPr>
            <w:r>
              <w:rPr>
                <w:b/>
                <w:bCs/>
              </w:rPr>
              <w:t>Percentage</w:t>
            </w:r>
          </w:p>
        </w:tc>
      </w:tr>
      <w:tr w:rsidR="00A12401" w14:paraId="35FBA115" w14:textId="77777777">
        <w:tc>
          <w:tcPr>
            <w:tcW w:w="1216" w:type="dxa"/>
          </w:tcPr>
          <w:p w14:paraId="3CD7BE1D" w14:textId="77777777" w:rsidR="00A12401" w:rsidRDefault="00A25E1C">
            <w:r>
              <w:t>Promoters</w:t>
            </w:r>
          </w:p>
        </w:tc>
        <w:tc>
          <w:tcPr>
            <w:tcW w:w="1270" w:type="dxa"/>
          </w:tcPr>
          <w:p w14:paraId="3BA54423" w14:textId="77777777" w:rsidR="00A12401" w:rsidRDefault="00A25E1C">
            <w:r>
              <w:t>6</w:t>
            </w:r>
          </w:p>
        </w:tc>
        <w:tc>
          <w:tcPr>
            <w:tcW w:w="1345" w:type="dxa"/>
          </w:tcPr>
          <w:p w14:paraId="4E33D83E" w14:textId="77777777" w:rsidR="00A12401" w:rsidRDefault="00A25E1C">
            <w:r>
              <w:t>30%</w:t>
            </w:r>
          </w:p>
        </w:tc>
      </w:tr>
      <w:tr w:rsidR="00A12401" w14:paraId="025D61E0" w14:textId="77777777">
        <w:tc>
          <w:tcPr>
            <w:tcW w:w="1216" w:type="dxa"/>
          </w:tcPr>
          <w:p w14:paraId="115F8550" w14:textId="77777777" w:rsidR="00A12401" w:rsidRDefault="00A25E1C">
            <w:r>
              <w:t>Passives</w:t>
            </w:r>
          </w:p>
        </w:tc>
        <w:tc>
          <w:tcPr>
            <w:tcW w:w="1270" w:type="dxa"/>
          </w:tcPr>
          <w:p w14:paraId="188A0A02" w14:textId="77777777" w:rsidR="00A12401" w:rsidRDefault="00A25E1C">
            <w:r>
              <w:t>7</w:t>
            </w:r>
          </w:p>
        </w:tc>
        <w:tc>
          <w:tcPr>
            <w:tcW w:w="1345" w:type="dxa"/>
          </w:tcPr>
          <w:p w14:paraId="02AEAE32" w14:textId="77777777" w:rsidR="00A12401" w:rsidRDefault="00A25E1C">
            <w:r>
              <w:t>35%</w:t>
            </w:r>
          </w:p>
        </w:tc>
      </w:tr>
      <w:tr w:rsidR="00A12401" w14:paraId="02F42C06" w14:textId="77777777">
        <w:tc>
          <w:tcPr>
            <w:tcW w:w="1216" w:type="dxa"/>
          </w:tcPr>
          <w:p w14:paraId="53807A36" w14:textId="77777777" w:rsidR="00A12401" w:rsidRDefault="00A25E1C">
            <w:r>
              <w:t>Detractors</w:t>
            </w:r>
          </w:p>
        </w:tc>
        <w:tc>
          <w:tcPr>
            <w:tcW w:w="1270" w:type="dxa"/>
          </w:tcPr>
          <w:p w14:paraId="02DD3E10" w14:textId="77777777" w:rsidR="00A12401" w:rsidRDefault="00A25E1C">
            <w:r>
              <w:t>7</w:t>
            </w:r>
          </w:p>
        </w:tc>
        <w:tc>
          <w:tcPr>
            <w:tcW w:w="1345" w:type="dxa"/>
          </w:tcPr>
          <w:p w14:paraId="7CA28C7A" w14:textId="77777777" w:rsidR="00A12401" w:rsidRDefault="00A25E1C">
            <w:r>
              <w:t>35%</w:t>
            </w:r>
          </w:p>
        </w:tc>
      </w:tr>
      <w:tr w:rsidR="00A12401" w14:paraId="36E5B16A" w14:textId="77777777">
        <w:tc>
          <w:tcPr>
            <w:tcW w:w="1216" w:type="dxa"/>
          </w:tcPr>
          <w:p w14:paraId="6C49846B" w14:textId="77777777" w:rsidR="00A12401" w:rsidRDefault="00A25E1C">
            <w:r>
              <w:rPr>
                <w:b/>
                <w:bCs/>
              </w:rPr>
              <w:t>Total</w:t>
            </w:r>
          </w:p>
        </w:tc>
        <w:tc>
          <w:tcPr>
            <w:tcW w:w="1270" w:type="dxa"/>
          </w:tcPr>
          <w:p w14:paraId="5B69FD73" w14:textId="77777777" w:rsidR="00A12401" w:rsidRDefault="00A25E1C">
            <w:r>
              <w:rPr>
                <w:b/>
                <w:bCs/>
              </w:rPr>
              <w:t>20</w:t>
            </w:r>
          </w:p>
        </w:tc>
        <w:tc>
          <w:tcPr>
            <w:tcW w:w="1345" w:type="dxa"/>
          </w:tcPr>
          <w:p w14:paraId="0C2D0A02" w14:textId="77777777" w:rsidR="00A12401" w:rsidRDefault="00A25E1C">
            <w:r>
              <w:rPr>
                <w:b/>
                <w:bCs/>
              </w:rPr>
              <w:t>100%</w:t>
            </w:r>
          </w:p>
        </w:tc>
      </w:tr>
    </w:tbl>
    <w:p w14:paraId="24D3FC50" w14:textId="77777777" w:rsidR="00A12401" w:rsidRDefault="00A12401">
      <w:pPr>
        <w:widowControl w:val="0"/>
        <w:pBdr>
          <w:top w:val="nil"/>
          <w:left w:val="nil"/>
          <w:bottom w:val="nil"/>
          <w:right w:val="nil"/>
          <w:between w:val="nil"/>
        </w:pBdr>
        <w:spacing w:after="0" w:line="276" w:lineRule="auto"/>
        <w:jc w:val="left"/>
      </w:pPr>
    </w:p>
    <w:tbl>
      <w:tblPr>
        <w:tblStyle w:val="aff0"/>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581B6F21" w14:textId="77777777">
        <w:tc>
          <w:tcPr>
            <w:tcW w:w="2783" w:type="dxa"/>
          </w:tcPr>
          <w:p w14:paraId="73834381" w14:textId="77777777" w:rsidR="00A12401" w:rsidRDefault="00A25E1C">
            <w:pPr>
              <w:rPr>
                <w:b/>
                <w:bCs/>
              </w:rPr>
            </w:pPr>
            <w:r>
              <w:rPr>
                <w:b/>
                <w:bCs/>
              </w:rPr>
              <w:t>NPS Score</w:t>
            </w:r>
          </w:p>
        </w:tc>
        <w:tc>
          <w:tcPr>
            <w:tcW w:w="794" w:type="dxa"/>
          </w:tcPr>
          <w:p w14:paraId="0DC19FC8" w14:textId="77777777" w:rsidR="00A12401" w:rsidRDefault="00A25E1C">
            <w:pPr>
              <w:rPr>
                <w:b/>
                <w:bCs/>
              </w:rPr>
            </w:pPr>
            <w:r>
              <w:rPr>
                <w:b/>
                <w:bCs/>
              </w:rPr>
              <w:t>Value</w:t>
            </w:r>
          </w:p>
        </w:tc>
      </w:tr>
      <w:tr w:rsidR="00A12401" w14:paraId="2E8EF744" w14:textId="77777777">
        <w:tc>
          <w:tcPr>
            <w:tcW w:w="2783" w:type="dxa"/>
          </w:tcPr>
          <w:p w14:paraId="2F833D06" w14:textId="77777777" w:rsidR="00A12401" w:rsidRDefault="00A25E1C">
            <w:r>
              <w:t>Net Promoter Score (NPS)</w:t>
            </w:r>
          </w:p>
        </w:tc>
        <w:tc>
          <w:tcPr>
            <w:tcW w:w="794" w:type="dxa"/>
          </w:tcPr>
          <w:p w14:paraId="58C8E891" w14:textId="77777777" w:rsidR="00A12401" w:rsidRDefault="00A25E1C">
            <w:r>
              <w:t>-5</w:t>
            </w:r>
          </w:p>
        </w:tc>
      </w:tr>
    </w:tbl>
    <w:p w14:paraId="3DB0B775" w14:textId="77777777" w:rsidR="00A12401" w:rsidRDefault="00A12401">
      <w:pPr>
        <w:rPr>
          <w:b/>
          <w:bCs/>
        </w:rPr>
      </w:pPr>
    </w:p>
    <w:p w14:paraId="3F7ACF7B" w14:textId="77777777" w:rsidR="00A12401" w:rsidRDefault="00A25E1C">
      <w:pPr>
        <w:rPr>
          <w:b/>
          <w:bCs/>
        </w:rPr>
      </w:pPr>
      <w:r>
        <w:rPr>
          <w:b/>
          <w:bCs/>
        </w:rPr>
        <w:t xml:space="preserve">16. I would </w:t>
      </w:r>
      <w:proofErr w:type="gramStart"/>
      <w:r>
        <w:rPr>
          <w:b/>
          <w:bCs/>
        </w:rPr>
        <w:t>recommended</w:t>
      </w:r>
      <w:proofErr w:type="gramEnd"/>
      <w:r>
        <w:rPr>
          <w:b/>
          <w:bCs/>
        </w:rPr>
        <w:t xml:space="preserve"> Tesco to others based on its CSR practices</w:t>
      </w:r>
    </w:p>
    <w:tbl>
      <w:tblPr>
        <w:tblStyle w:val="aff1"/>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2F75C847" w14:textId="77777777">
        <w:tc>
          <w:tcPr>
            <w:tcW w:w="1216" w:type="dxa"/>
          </w:tcPr>
          <w:p w14:paraId="65768290" w14:textId="77777777" w:rsidR="00A12401" w:rsidRDefault="00A25E1C">
            <w:pPr>
              <w:rPr>
                <w:b/>
                <w:bCs/>
              </w:rPr>
            </w:pPr>
            <w:r>
              <w:rPr>
                <w:b/>
                <w:bCs/>
              </w:rPr>
              <w:t>Category</w:t>
            </w:r>
          </w:p>
        </w:tc>
        <w:tc>
          <w:tcPr>
            <w:tcW w:w="1270" w:type="dxa"/>
          </w:tcPr>
          <w:p w14:paraId="0E7BC933" w14:textId="77777777" w:rsidR="00A12401" w:rsidRDefault="00A25E1C">
            <w:pPr>
              <w:rPr>
                <w:b/>
                <w:bCs/>
              </w:rPr>
            </w:pPr>
            <w:r>
              <w:rPr>
                <w:b/>
                <w:bCs/>
              </w:rPr>
              <w:t>Responses</w:t>
            </w:r>
          </w:p>
        </w:tc>
        <w:tc>
          <w:tcPr>
            <w:tcW w:w="1345" w:type="dxa"/>
          </w:tcPr>
          <w:p w14:paraId="3DE258CF" w14:textId="77777777" w:rsidR="00A12401" w:rsidRDefault="00A25E1C">
            <w:pPr>
              <w:rPr>
                <w:b/>
                <w:bCs/>
              </w:rPr>
            </w:pPr>
            <w:r>
              <w:rPr>
                <w:b/>
                <w:bCs/>
              </w:rPr>
              <w:t>Percentage</w:t>
            </w:r>
          </w:p>
        </w:tc>
      </w:tr>
      <w:tr w:rsidR="00A12401" w14:paraId="0588282C" w14:textId="77777777">
        <w:tc>
          <w:tcPr>
            <w:tcW w:w="1216" w:type="dxa"/>
          </w:tcPr>
          <w:p w14:paraId="549125C8" w14:textId="77777777" w:rsidR="00A12401" w:rsidRDefault="00A25E1C">
            <w:r>
              <w:t>Promoters</w:t>
            </w:r>
          </w:p>
        </w:tc>
        <w:tc>
          <w:tcPr>
            <w:tcW w:w="1270" w:type="dxa"/>
          </w:tcPr>
          <w:p w14:paraId="5F634943" w14:textId="77777777" w:rsidR="00A12401" w:rsidRDefault="00A25E1C">
            <w:r>
              <w:t>5</w:t>
            </w:r>
          </w:p>
        </w:tc>
        <w:tc>
          <w:tcPr>
            <w:tcW w:w="1345" w:type="dxa"/>
          </w:tcPr>
          <w:p w14:paraId="7EFE86D9" w14:textId="77777777" w:rsidR="00A12401" w:rsidRDefault="00A25E1C">
            <w:r>
              <w:t>25%</w:t>
            </w:r>
          </w:p>
        </w:tc>
      </w:tr>
      <w:tr w:rsidR="00A12401" w14:paraId="742D3BF2" w14:textId="77777777">
        <w:tc>
          <w:tcPr>
            <w:tcW w:w="1216" w:type="dxa"/>
          </w:tcPr>
          <w:p w14:paraId="5379E4D8" w14:textId="77777777" w:rsidR="00A12401" w:rsidRDefault="00A25E1C">
            <w:r>
              <w:t>Passives</w:t>
            </w:r>
          </w:p>
        </w:tc>
        <w:tc>
          <w:tcPr>
            <w:tcW w:w="1270" w:type="dxa"/>
          </w:tcPr>
          <w:p w14:paraId="064D098A" w14:textId="77777777" w:rsidR="00A12401" w:rsidRDefault="00A25E1C">
            <w:r>
              <w:t>9</w:t>
            </w:r>
          </w:p>
        </w:tc>
        <w:tc>
          <w:tcPr>
            <w:tcW w:w="1345" w:type="dxa"/>
          </w:tcPr>
          <w:p w14:paraId="5473A928" w14:textId="77777777" w:rsidR="00A12401" w:rsidRDefault="00A25E1C">
            <w:r>
              <w:t>45%</w:t>
            </w:r>
          </w:p>
        </w:tc>
      </w:tr>
      <w:tr w:rsidR="00A12401" w14:paraId="60AB1022" w14:textId="77777777">
        <w:tc>
          <w:tcPr>
            <w:tcW w:w="1216" w:type="dxa"/>
          </w:tcPr>
          <w:p w14:paraId="066199A5" w14:textId="77777777" w:rsidR="00A12401" w:rsidRDefault="00A25E1C">
            <w:r>
              <w:t>Detractors</w:t>
            </w:r>
          </w:p>
        </w:tc>
        <w:tc>
          <w:tcPr>
            <w:tcW w:w="1270" w:type="dxa"/>
          </w:tcPr>
          <w:p w14:paraId="6950039D" w14:textId="77777777" w:rsidR="00A12401" w:rsidRDefault="00A25E1C">
            <w:r>
              <w:t>6</w:t>
            </w:r>
          </w:p>
        </w:tc>
        <w:tc>
          <w:tcPr>
            <w:tcW w:w="1345" w:type="dxa"/>
          </w:tcPr>
          <w:p w14:paraId="3DA79279" w14:textId="77777777" w:rsidR="00A12401" w:rsidRDefault="00A25E1C">
            <w:r>
              <w:t>30%</w:t>
            </w:r>
          </w:p>
        </w:tc>
      </w:tr>
      <w:tr w:rsidR="00A12401" w14:paraId="2D7D372B" w14:textId="77777777">
        <w:tc>
          <w:tcPr>
            <w:tcW w:w="1216" w:type="dxa"/>
          </w:tcPr>
          <w:p w14:paraId="1D96E2F0" w14:textId="77777777" w:rsidR="00A12401" w:rsidRDefault="00A25E1C">
            <w:r>
              <w:rPr>
                <w:b/>
                <w:bCs/>
              </w:rPr>
              <w:t>Total</w:t>
            </w:r>
          </w:p>
        </w:tc>
        <w:tc>
          <w:tcPr>
            <w:tcW w:w="1270" w:type="dxa"/>
          </w:tcPr>
          <w:p w14:paraId="408CCAF5" w14:textId="77777777" w:rsidR="00A12401" w:rsidRDefault="00A25E1C">
            <w:r>
              <w:rPr>
                <w:b/>
                <w:bCs/>
              </w:rPr>
              <w:t>20</w:t>
            </w:r>
          </w:p>
        </w:tc>
        <w:tc>
          <w:tcPr>
            <w:tcW w:w="1345" w:type="dxa"/>
          </w:tcPr>
          <w:p w14:paraId="7452F490" w14:textId="77777777" w:rsidR="00A12401" w:rsidRDefault="00A25E1C">
            <w:r>
              <w:rPr>
                <w:b/>
                <w:bCs/>
              </w:rPr>
              <w:t>100%</w:t>
            </w:r>
          </w:p>
        </w:tc>
      </w:tr>
    </w:tbl>
    <w:p w14:paraId="37BA3407" w14:textId="77777777" w:rsidR="00A12401" w:rsidRDefault="00A12401">
      <w:pPr>
        <w:widowControl w:val="0"/>
        <w:pBdr>
          <w:top w:val="nil"/>
          <w:left w:val="nil"/>
          <w:bottom w:val="nil"/>
          <w:right w:val="nil"/>
          <w:between w:val="nil"/>
        </w:pBdr>
        <w:spacing w:after="0" w:line="276" w:lineRule="auto"/>
        <w:jc w:val="left"/>
      </w:pPr>
    </w:p>
    <w:tbl>
      <w:tblPr>
        <w:tblStyle w:val="aff2"/>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63C9BA19" w14:textId="77777777">
        <w:tc>
          <w:tcPr>
            <w:tcW w:w="2783" w:type="dxa"/>
          </w:tcPr>
          <w:p w14:paraId="7D6ACE5A" w14:textId="77777777" w:rsidR="00A12401" w:rsidRDefault="00A25E1C">
            <w:pPr>
              <w:rPr>
                <w:b/>
                <w:bCs/>
              </w:rPr>
            </w:pPr>
            <w:r>
              <w:rPr>
                <w:b/>
                <w:bCs/>
              </w:rPr>
              <w:t>NPS Score</w:t>
            </w:r>
          </w:p>
        </w:tc>
        <w:tc>
          <w:tcPr>
            <w:tcW w:w="794" w:type="dxa"/>
          </w:tcPr>
          <w:p w14:paraId="057B3C6C" w14:textId="77777777" w:rsidR="00A12401" w:rsidRDefault="00A25E1C">
            <w:pPr>
              <w:rPr>
                <w:b/>
                <w:bCs/>
              </w:rPr>
            </w:pPr>
            <w:r>
              <w:rPr>
                <w:b/>
                <w:bCs/>
              </w:rPr>
              <w:t>Value</w:t>
            </w:r>
          </w:p>
        </w:tc>
      </w:tr>
      <w:tr w:rsidR="00A12401" w14:paraId="56ED73F9" w14:textId="77777777">
        <w:tc>
          <w:tcPr>
            <w:tcW w:w="2783" w:type="dxa"/>
          </w:tcPr>
          <w:p w14:paraId="4CF53A22" w14:textId="77777777" w:rsidR="00A12401" w:rsidRDefault="00A25E1C">
            <w:r>
              <w:t>Net Promoter Score (NPS)</w:t>
            </w:r>
          </w:p>
        </w:tc>
        <w:tc>
          <w:tcPr>
            <w:tcW w:w="794" w:type="dxa"/>
          </w:tcPr>
          <w:p w14:paraId="76C3F726" w14:textId="77777777" w:rsidR="00A12401" w:rsidRDefault="00A25E1C">
            <w:r>
              <w:t>-5</w:t>
            </w:r>
          </w:p>
        </w:tc>
      </w:tr>
    </w:tbl>
    <w:p w14:paraId="6E870B5E" w14:textId="77777777" w:rsidR="00A12401" w:rsidRDefault="00A25E1C">
      <w:pPr>
        <w:rPr>
          <w:b/>
          <w:bCs/>
        </w:rPr>
      </w:pPr>
      <w:r>
        <w:br w:type="page"/>
      </w:r>
    </w:p>
    <w:p w14:paraId="4DCC1546" w14:textId="77777777" w:rsidR="00A12401" w:rsidRDefault="00A25E1C">
      <w:pPr>
        <w:rPr>
          <w:b/>
          <w:bCs/>
        </w:rPr>
      </w:pPr>
      <w:r>
        <w:rPr>
          <w:b/>
          <w:bCs/>
        </w:rPr>
        <w:t>17. How likely are you to choose Tesco over competitors f its CSR activities?</w:t>
      </w:r>
    </w:p>
    <w:tbl>
      <w:tblPr>
        <w:tblStyle w:val="aff3"/>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08C0BC37" w14:textId="77777777">
        <w:tc>
          <w:tcPr>
            <w:tcW w:w="1216" w:type="dxa"/>
          </w:tcPr>
          <w:p w14:paraId="29590FA6" w14:textId="77777777" w:rsidR="00A12401" w:rsidRDefault="00A25E1C">
            <w:pPr>
              <w:rPr>
                <w:b/>
                <w:bCs/>
              </w:rPr>
            </w:pPr>
            <w:r>
              <w:rPr>
                <w:b/>
                <w:bCs/>
              </w:rPr>
              <w:t>Category</w:t>
            </w:r>
          </w:p>
        </w:tc>
        <w:tc>
          <w:tcPr>
            <w:tcW w:w="1270" w:type="dxa"/>
          </w:tcPr>
          <w:p w14:paraId="58BA1863" w14:textId="77777777" w:rsidR="00A12401" w:rsidRDefault="00A25E1C">
            <w:pPr>
              <w:rPr>
                <w:b/>
                <w:bCs/>
              </w:rPr>
            </w:pPr>
            <w:r>
              <w:rPr>
                <w:b/>
                <w:bCs/>
              </w:rPr>
              <w:t>Responses</w:t>
            </w:r>
          </w:p>
        </w:tc>
        <w:tc>
          <w:tcPr>
            <w:tcW w:w="1345" w:type="dxa"/>
          </w:tcPr>
          <w:p w14:paraId="764679EF" w14:textId="77777777" w:rsidR="00A12401" w:rsidRDefault="00A25E1C">
            <w:pPr>
              <w:rPr>
                <w:b/>
                <w:bCs/>
              </w:rPr>
            </w:pPr>
            <w:r>
              <w:rPr>
                <w:b/>
                <w:bCs/>
              </w:rPr>
              <w:t>Percentage</w:t>
            </w:r>
          </w:p>
        </w:tc>
      </w:tr>
      <w:tr w:rsidR="00A12401" w14:paraId="5D749626" w14:textId="77777777">
        <w:tc>
          <w:tcPr>
            <w:tcW w:w="1216" w:type="dxa"/>
          </w:tcPr>
          <w:p w14:paraId="65013D28" w14:textId="77777777" w:rsidR="00A12401" w:rsidRDefault="00A25E1C">
            <w:r>
              <w:t>Promoters</w:t>
            </w:r>
          </w:p>
        </w:tc>
        <w:tc>
          <w:tcPr>
            <w:tcW w:w="1270" w:type="dxa"/>
          </w:tcPr>
          <w:p w14:paraId="7B9403B1" w14:textId="77777777" w:rsidR="00A12401" w:rsidRDefault="00A25E1C">
            <w:r>
              <w:t>4</w:t>
            </w:r>
          </w:p>
        </w:tc>
        <w:tc>
          <w:tcPr>
            <w:tcW w:w="1345" w:type="dxa"/>
          </w:tcPr>
          <w:p w14:paraId="785E872C" w14:textId="77777777" w:rsidR="00A12401" w:rsidRDefault="00A25E1C">
            <w:r>
              <w:t>20%</w:t>
            </w:r>
          </w:p>
        </w:tc>
      </w:tr>
      <w:tr w:rsidR="00A12401" w14:paraId="5A2FC6E2" w14:textId="77777777">
        <w:tc>
          <w:tcPr>
            <w:tcW w:w="1216" w:type="dxa"/>
          </w:tcPr>
          <w:p w14:paraId="5CB110AF" w14:textId="77777777" w:rsidR="00A12401" w:rsidRDefault="00A25E1C">
            <w:r>
              <w:t>Passives</w:t>
            </w:r>
          </w:p>
        </w:tc>
        <w:tc>
          <w:tcPr>
            <w:tcW w:w="1270" w:type="dxa"/>
          </w:tcPr>
          <w:p w14:paraId="0FDA0476" w14:textId="77777777" w:rsidR="00A12401" w:rsidRDefault="00A25E1C">
            <w:r>
              <w:t>10</w:t>
            </w:r>
          </w:p>
        </w:tc>
        <w:tc>
          <w:tcPr>
            <w:tcW w:w="1345" w:type="dxa"/>
          </w:tcPr>
          <w:p w14:paraId="39E9D226" w14:textId="77777777" w:rsidR="00A12401" w:rsidRDefault="00A25E1C">
            <w:r>
              <w:t>50%</w:t>
            </w:r>
          </w:p>
        </w:tc>
      </w:tr>
      <w:tr w:rsidR="00A12401" w14:paraId="65B161B6" w14:textId="77777777">
        <w:tc>
          <w:tcPr>
            <w:tcW w:w="1216" w:type="dxa"/>
          </w:tcPr>
          <w:p w14:paraId="75EDA616" w14:textId="77777777" w:rsidR="00A12401" w:rsidRDefault="00A25E1C">
            <w:r>
              <w:t>Detractors</w:t>
            </w:r>
          </w:p>
        </w:tc>
        <w:tc>
          <w:tcPr>
            <w:tcW w:w="1270" w:type="dxa"/>
          </w:tcPr>
          <w:p w14:paraId="39099FF7" w14:textId="77777777" w:rsidR="00A12401" w:rsidRDefault="00A25E1C">
            <w:r>
              <w:t>6</w:t>
            </w:r>
          </w:p>
        </w:tc>
        <w:tc>
          <w:tcPr>
            <w:tcW w:w="1345" w:type="dxa"/>
          </w:tcPr>
          <w:p w14:paraId="414A97E1" w14:textId="77777777" w:rsidR="00A12401" w:rsidRDefault="00A25E1C">
            <w:r>
              <w:t>30%</w:t>
            </w:r>
          </w:p>
        </w:tc>
      </w:tr>
      <w:tr w:rsidR="00A12401" w14:paraId="04438307" w14:textId="77777777">
        <w:tc>
          <w:tcPr>
            <w:tcW w:w="1216" w:type="dxa"/>
          </w:tcPr>
          <w:p w14:paraId="60FE6E30" w14:textId="77777777" w:rsidR="00A12401" w:rsidRDefault="00A25E1C">
            <w:r>
              <w:rPr>
                <w:b/>
                <w:bCs/>
              </w:rPr>
              <w:t>Total</w:t>
            </w:r>
          </w:p>
        </w:tc>
        <w:tc>
          <w:tcPr>
            <w:tcW w:w="1270" w:type="dxa"/>
          </w:tcPr>
          <w:p w14:paraId="1BD616EF" w14:textId="77777777" w:rsidR="00A12401" w:rsidRDefault="00A25E1C">
            <w:r>
              <w:rPr>
                <w:b/>
                <w:bCs/>
              </w:rPr>
              <w:t>20</w:t>
            </w:r>
          </w:p>
        </w:tc>
        <w:tc>
          <w:tcPr>
            <w:tcW w:w="1345" w:type="dxa"/>
          </w:tcPr>
          <w:p w14:paraId="7F3A8D16" w14:textId="77777777" w:rsidR="00A12401" w:rsidRDefault="00A25E1C">
            <w:r>
              <w:rPr>
                <w:b/>
                <w:bCs/>
              </w:rPr>
              <w:t>100%</w:t>
            </w:r>
          </w:p>
        </w:tc>
      </w:tr>
    </w:tbl>
    <w:p w14:paraId="2D0644BD" w14:textId="77777777" w:rsidR="00A12401" w:rsidRDefault="00A12401">
      <w:pPr>
        <w:widowControl w:val="0"/>
        <w:pBdr>
          <w:top w:val="nil"/>
          <w:left w:val="nil"/>
          <w:bottom w:val="nil"/>
          <w:right w:val="nil"/>
          <w:between w:val="nil"/>
        </w:pBdr>
        <w:spacing w:after="0" w:line="276" w:lineRule="auto"/>
        <w:jc w:val="left"/>
      </w:pPr>
    </w:p>
    <w:tbl>
      <w:tblPr>
        <w:tblStyle w:val="aff4"/>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7BAB6538" w14:textId="77777777">
        <w:tc>
          <w:tcPr>
            <w:tcW w:w="2783" w:type="dxa"/>
          </w:tcPr>
          <w:p w14:paraId="6487CC0B" w14:textId="77777777" w:rsidR="00A12401" w:rsidRDefault="00A25E1C">
            <w:pPr>
              <w:rPr>
                <w:b/>
                <w:bCs/>
              </w:rPr>
            </w:pPr>
            <w:r>
              <w:rPr>
                <w:b/>
                <w:bCs/>
              </w:rPr>
              <w:t>NPS Score</w:t>
            </w:r>
          </w:p>
        </w:tc>
        <w:tc>
          <w:tcPr>
            <w:tcW w:w="794" w:type="dxa"/>
          </w:tcPr>
          <w:p w14:paraId="48ABA37A" w14:textId="77777777" w:rsidR="00A12401" w:rsidRDefault="00A25E1C">
            <w:pPr>
              <w:rPr>
                <w:b/>
                <w:bCs/>
              </w:rPr>
            </w:pPr>
            <w:r>
              <w:rPr>
                <w:b/>
                <w:bCs/>
              </w:rPr>
              <w:t>Value</w:t>
            </w:r>
          </w:p>
        </w:tc>
      </w:tr>
      <w:tr w:rsidR="00A12401" w14:paraId="19FA51FF" w14:textId="77777777">
        <w:tc>
          <w:tcPr>
            <w:tcW w:w="2783" w:type="dxa"/>
          </w:tcPr>
          <w:p w14:paraId="795716BE" w14:textId="77777777" w:rsidR="00A12401" w:rsidRDefault="00A25E1C">
            <w:r>
              <w:t>Net Promoter Score (NPS)</w:t>
            </w:r>
          </w:p>
        </w:tc>
        <w:tc>
          <w:tcPr>
            <w:tcW w:w="794" w:type="dxa"/>
          </w:tcPr>
          <w:p w14:paraId="1D106B8A" w14:textId="77777777" w:rsidR="00A12401" w:rsidRDefault="00A25E1C">
            <w:r>
              <w:t>-10</w:t>
            </w:r>
          </w:p>
        </w:tc>
      </w:tr>
    </w:tbl>
    <w:p w14:paraId="33285457" w14:textId="77777777" w:rsidR="00A12401" w:rsidRDefault="00A12401">
      <w:pPr>
        <w:rPr>
          <w:b/>
          <w:bCs/>
        </w:rPr>
      </w:pPr>
    </w:p>
    <w:p w14:paraId="2D3869FE" w14:textId="77777777" w:rsidR="00A12401" w:rsidRDefault="00A25E1C">
      <w:pPr>
        <w:rPr>
          <w:b/>
          <w:bCs/>
        </w:rPr>
      </w:pPr>
      <w:r>
        <w:rPr>
          <w:b/>
          <w:bCs/>
        </w:rPr>
        <w:t xml:space="preserve">18. Would you be willing </w:t>
      </w:r>
      <w:proofErr w:type="spellStart"/>
      <w:r>
        <w:rPr>
          <w:b/>
          <w:bCs/>
        </w:rPr>
        <w:t>o</w:t>
      </w:r>
      <w:proofErr w:type="spellEnd"/>
      <w:r>
        <w:rPr>
          <w:b/>
          <w:bCs/>
        </w:rPr>
        <w:t xml:space="preserve"> pay slightly more for products from Tesco due to </w:t>
      </w:r>
      <w:proofErr w:type="spellStart"/>
      <w:r>
        <w:rPr>
          <w:b/>
          <w:bCs/>
        </w:rPr>
        <w:t>it's</w:t>
      </w:r>
      <w:proofErr w:type="spellEnd"/>
      <w:r>
        <w:rPr>
          <w:b/>
          <w:bCs/>
        </w:rPr>
        <w:t xml:space="preserve"> responsible...</w:t>
      </w:r>
    </w:p>
    <w:tbl>
      <w:tblPr>
        <w:tblStyle w:val="aff5"/>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759C3B50" w14:textId="77777777">
        <w:tc>
          <w:tcPr>
            <w:tcW w:w="1216" w:type="dxa"/>
          </w:tcPr>
          <w:p w14:paraId="68470DB0" w14:textId="77777777" w:rsidR="00A12401" w:rsidRDefault="00A25E1C">
            <w:pPr>
              <w:rPr>
                <w:b/>
                <w:bCs/>
              </w:rPr>
            </w:pPr>
            <w:r>
              <w:rPr>
                <w:b/>
                <w:bCs/>
              </w:rPr>
              <w:t>Category</w:t>
            </w:r>
          </w:p>
        </w:tc>
        <w:tc>
          <w:tcPr>
            <w:tcW w:w="1270" w:type="dxa"/>
          </w:tcPr>
          <w:p w14:paraId="08E4FFAB" w14:textId="77777777" w:rsidR="00A12401" w:rsidRDefault="00A25E1C">
            <w:pPr>
              <w:rPr>
                <w:b/>
                <w:bCs/>
              </w:rPr>
            </w:pPr>
            <w:r>
              <w:rPr>
                <w:b/>
                <w:bCs/>
              </w:rPr>
              <w:t>Responses</w:t>
            </w:r>
          </w:p>
        </w:tc>
        <w:tc>
          <w:tcPr>
            <w:tcW w:w="1345" w:type="dxa"/>
          </w:tcPr>
          <w:p w14:paraId="5430F7B8" w14:textId="77777777" w:rsidR="00A12401" w:rsidRDefault="00A25E1C">
            <w:pPr>
              <w:rPr>
                <w:b/>
                <w:bCs/>
              </w:rPr>
            </w:pPr>
            <w:r>
              <w:rPr>
                <w:b/>
                <w:bCs/>
              </w:rPr>
              <w:t>Percentage</w:t>
            </w:r>
          </w:p>
        </w:tc>
      </w:tr>
      <w:tr w:rsidR="00A12401" w14:paraId="76C4883E" w14:textId="77777777">
        <w:tc>
          <w:tcPr>
            <w:tcW w:w="1216" w:type="dxa"/>
          </w:tcPr>
          <w:p w14:paraId="059C545E" w14:textId="77777777" w:rsidR="00A12401" w:rsidRDefault="00A25E1C">
            <w:r>
              <w:t>Promoters</w:t>
            </w:r>
          </w:p>
        </w:tc>
        <w:tc>
          <w:tcPr>
            <w:tcW w:w="1270" w:type="dxa"/>
          </w:tcPr>
          <w:p w14:paraId="595D47A1" w14:textId="77777777" w:rsidR="00A12401" w:rsidRDefault="00A25E1C">
            <w:r>
              <w:t>2</w:t>
            </w:r>
          </w:p>
        </w:tc>
        <w:tc>
          <w:tcPr>
            <w:tcW w:w="1345" w:type="dxa"/>
          </w:tcPr>
          <w:p w14:paraId="6A91CF24" w14:textId="77777777" w:rsidR="00A12401" w:rsidRDefault="00A25E1C">
            <w:r>
              <w:t>10%</w:t>
            </w:r>
          </w:p>
        </w:tc>
      </w:tr>
      <w:tr w:rsidR="00A12401" w14:paraId="12A87063" w14:textId="77777777">
        <w:tc>
          <w:tcPr>
            <w:tcW w:w="1216" w:type="dxa"/>
          </w:tcPr>
          <w:p w14:paraId="6CABAF80" w14:textId="77777777" w:rsidR="00A12401" w:rsidRDefault="00A25E1C">
            <w:r>
              <w:t>Passives</w:t>
            </w:r>
          </w:p>
        </w:tc>
        <w:tc>
          <w:tcPr>
            <w:tcW w:w="1270" w:type="dxa"/>
          </w:tcPr>
          <w:p w14:paraId="1178C0CE" w14:textId="77777777" w:rsidR="00A12401" w:rsidRDefault="00A25E1C">
            <w:r>
              <w:t>11</w:t>
            </w:r>
          </w:p>
        </w:tc>
        <w:tc>
          <w:tcPr>
            <w:tcW w:w="1345" w:type="dxa"/>
          </w:tcPr>
          <w:p w14:paraId="608969B0" w14:textId="77777777" w:rsidR="00A12401" w:rsidRDefault="00A25E1C">
            <w:r>
              <w:t>55%</w:t>
            </w:r>
          </w:p>
        </w:tc>
      </w:tr>
      <w:tr w:rsidR="00A12401" w14:paraId="13F173E1" w14:textId="77777777">
        <w:tc>
          <w:tcPr>
            <w:tcW w:w="1216" w:type="dxa"/>
          </w:tcPr>
          <w:p w14:paraId="62EC4B92" w14:textId="77777777" w:rsidR="00A12401" w:rsidRDefault="00A25E1C">
            <w:r>
              <w:t>Detractors</w:t>
            </w:r>
          </w:p>
        </w:tc>
        <w:tc>
          <w:tcPr>
            <w:tcW w:w="1270" w:type="dxa"/>
          </w:tcPr>
          <w:p w14:paraId="1E1C166E" w14:textId="77777777" w:rsidR="00A12401" w:rsidRDefault="00A25E1C">
            <w:r>
              <w:t>7</w:t>
            </w:r>
          </w:p>
        </w:tc>
        <w:tc>
          <w:tcPr>
            <w:tcW w:w="1345" w:type="dxa"/>
          </w:tcPr>
          <w:p w14:paraId="36952D23" w14:textId="77777777" w:rsidR="00A12401" w:rsidRDefault="00A25E1C">
            <w:r>
              <w:t>35%</w:t>
            </w:r>
          </w:p>
        </w:tc>
      </w:tr>
      <w:tr w:rsidR="00A12401" w14:paraId="235C3A12" w14:textId="77777777">
        <w:tc>
          <w:tcPr>
            <w:tcW w:w="1216" w:type="dxa"/>
          </w:tcPr>
          <w:p w14:paraId="30F74240" w14:textId="77777777" w:rsidR="00A12401" w:rsidRDefault="00A25E1C">
            <w:r>
              <w:rPr>
                <w:b/>
                <w:bCs/>
              </w:rPr>
              <w:t>Total</w:t>
            </w:r>
          </w:p>
        </w:tc>
        <w:tc>
          <w:tcPr>
            <w:tcW w:w="1270" w:type="dxa"/>
          </w:tcPr>
          <w:p w14:paraId="18B55DFB" w14:textId="77777777" w:rsidR="00A12401" w:rsidRDefault="00A25E1C">
            <w:r>
              <w:rPr>
                <w:b/>
                <w:bCs/>
              </w:rPr>
              <w:t>20</w:t>
            </w:r>
          </w:p>
        </w:tc>
        <w:tc>
          <w:tcPr>
            <w:tcW w:w="1345" w:type="dxa"/>
          </w:tcPr>
          <w:p w14:paraId="00E319AA" w14:textId="77777777" w:rsidR="00A12401" w:rsidRDefault="00A25E1C">
            <w:r>
              <w:rPr>
                <w:b/>
                <w:bCs/>
              </w:rPr>
              <w:t>100%</w:t>
            </w:r>
          </w:p>
        </w:tc>
      </w:tr>
    </w:tbl>
    <w:p w14:paraId="242C7792" w14:textId="77777777" w:rsidR="00A12401" w:rsidRDefault="00A12401">
      <w:pPr>
        <w:widowControl w:val="0"/>
        <w:pBdr>
          <w:top w:val="nil"/>
          <w:left w:val="nil"/>
          <w:bottom w:val="nil"/>
          <w:right w:val="nil"/>
          <w:between w:val="nil"/>
        </w:pBdr>
        <w:spacing w:after="0" w:line="276" w:lineRule="auto"/>
        <w:jc w:val="left"/>
      </w:pPr>
    </w:p>
    <w:tbl>
      <w:tblPr>
        <w:tblStyle w:val="aff6"/>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6F8950B7" w14:textId="77777777">
        <w:tc>
          <w:tcPr>
            <w:tcW w:w="2783" w:type="dxa"/>
          </w:tcPr>
          <w:p w14:paraId="58F3CF67" w14:textId="77777777" w:rsidR="00A12401" w:rsidRDefault="00A25E1C">
            <w:pPr>
              <w:rPr>
                <w:b/>
                <w:bCs/>
              </w:rPr>
            </w:pPr>
            <w:r>
              <w:rPr>
                <w:b/>
                <w:bCs/>
              </w:rPr>
              <w:t>NPS Score</w:t>
            </w:r>
          </w:p>
        </w:tc>
        <w:tc>
          <w:tcPr>
            <w:tcW w:w="794" w:type="dxa"/>
          </w:tcPr>
          <w:p w14:paraId="1C687CD2" w14:textId="77777777" w:rsidR="00A12401" w:rsidRDefault="00A25E1C">
            <w:pPr>
              <w:rPr>
                <w:b/>
                <w:bCs/>
              </w:rPr>
            </w:pPr>
            <w:r>
              <w:rPr>
                <w:b/>
                <w:bCs/>
              </w:rPr>
              <w:t>Value</w:t>
            </w:r>
          </w:p>
        </w:tc>
      </w:tr>
      <w:tr w:rsidR="00A12401" w14:paraId="283FA5D3" w14:textId="77777777">
        <w:tc>
          <w:tcPr>
            <w:tcW w:w="2783" w:type="dxa"/>
          </w:tcPr>
          <w:p w14:paraId="01EA60D0" w14:textId="77777777" w:rsidR="00A12401" w:rsidRDefault="00A25E1C">
            <w:r>
              <w:t>Net Promoter Score (NPS)</w:t>
            </w:r>
          </w:p>
        </w:tc>
        <w:tc>
          <w:tcPr>
            <w:tcW w:w="794" w:type="dxa"/>
          </w:tcPr>
          <w:p w14:paraId="1790C76F" w14:textId="77777777" w:rsidR="00A12401" w:rsidRDefault="00A25E1C">
            <w:r>
              <w:t>-25</w:t>
            </w:r>
          </w:p>
        </w:tc>
      </w:tr>
    </w:tbl>
    <w:p w14:paraId="2CC9587C" w14:textId="77777777" w:rsidR="00A12401" w:rsidRDefault="00A25E1C">
      <w:pPr>
        <w:rPr>
          <w:b/>
          <w:bCs/>
        </w:rPr>
      </w:pPr>
      <w:r>
        <w:br w:type="page"/>
      </w:r>
    </w:p>
    <w:p w14:paraId="435455CD" w14:textId="77777777" w:rsidR="00A12401" w:rsidRDefault="00A25E1C">
      <w:pPr>
        <w:rPr>
          <w:b/>
          <w:bCs/>
        </w:rPr>
      </w:pPr>
      <w:r>
        <w:rPr>
          <w:b/>
          <w:bCs/>
        </w:rPr>
        <w:t xml:space="preserve">19. Compared to others UK </w:t>
      </w:r>
      <w:proofErr w:type="spellStart"/>
      <w:proofErr w:type="gramStart"/>
      <w:r>
        <w:rPr>
          <w:b/>
          <w:bCs/>
        </w:rPr>
        <w:t>retailers,how</w:t>
      </w:r>
      <w:proofErr w:type="spellEnd"/>
      <w:proofErr w:type="gramEnd"/>
      <w:r>
        <w:rPr>
          <w:b/>
          <w:bCs/>
        </w:rPr>
        <w:t xml:space="preserve"> would you rate Tesco's CSR performance?</w:t>
      </w:r>
    </w:p>
    <w:tbl>
      <w:tblPr>
        <w:tblStyle w:val="aff7"/>
        <w:tblW w:w="38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270"/>
        <w:gridCol w:w="1345"/>
      </w:tblGrid>
      <w:tr w:rsidR="00A12401" w14:paraId="3C41D2E4" w14:textId="77777777">
        <w:tc>
          <w:tcPr>
            <w:tcW w:w="1216" w:type="dxa"/>
          </w:tcPr>
          <w:p w14:paraId="156C81A0" w14:textId="77777777" w:rsidR="00A12401" w:rsidRDefault="00A25E1C">
            <w:pPr>
              <w:rPr>
                <w:b/>
                <w:bCs/>
              </w:rPr>
            </w:pPr>
            <w:r>
              <w:rPr>
                <w:b/>
                <w:bCs/>
              </w:rPr>
              <w:t>Category</w:t>
            </w:r>
          </w:p>
        </w:tc>
        <w:tc>
          <w:tcPr>
            <w:tcW w:w="1270" w:type="dxa"/>
          </w:tcPr>
          <w:p w14:paraId="7EB59D08" w14:textId="77777777" w:rsidR="00A12401" w:rsidRDefault="00A25E1C">
            <w:pPr>
              <w:rPr>
                <w:b/>
                <w:bCs/>
              </w:rPr>
            </w:pPr>
            <w:r>
              <w:rPr>
                <w:b/>
                <w:bCs/>
              </w:rPr>
              <w:t>Responses</w:t>
            </w:r>
          </w:p>
        </w:tc>
        <w:tc>
          <w:tcPr>
            <w:tcW w:w="1345" w:type="dxa"/>
          </w:tcPr>
          <w:p w14:paraId="185627CE" w14:textId="77777777" w:rsidR="00A12401" w:rsidRDefault="00A25E1C">
            <w:pPr>
              <w:rPr>
                <w:b/>
                <w:bCs/>
              </w:rPr>
            </w:pPr>
            <w:r>
              <w:rPr>
                <w:b/>
                <w:bCs/>
              </w:rPr>
              <w:t>Percentage</w:t>
            </w:r>
          </w:p>
        </w:tc>
      </w:tr>
      <w:tr w:rsidR="00A12401" w14:paraId="0C1D5749" w14:textId="77777777">
        <w:tc>
          <w:tcPr>
            <w:tcW w:w="1216" w:type="dxa"/>
          </w:tcPr>
          <w:p w14:paraId="4444527D" w14:textId="77777777" w:rsidR="00A12401" w:rsidRDefault="00A25E1C">
            <w:r>
              <w:t>Promoters</w:t>
            </w:r>
          </w:p>
        </w:tc>
        <w:tc>
          <w:tcPr>
            <w:tcW w:w="1270" w:type="dxa"/>
          </w:tcPr>
          <w:p w14:paraId="0C1D6133" w14:textId="77777777" w:rsidR="00A12401" w:rsidRDefault="00A25E1C">
            <w:r>
              <w:t>5</w:t>
            </w:r>
          </w:p>
        </w:tc>
        <w:tc>
          <w:tcPr>
            <w:tcW w:w="1345" w:type="dxa"/>
          </w:tcPr>
          <w:p w14:paraId="5E26A88F" w14:textId="77777777" w:rsidR="00A12401" w:rsidRDefault="00A25E1C">
            <w:r>
              <w:t>25%</w:t>
            </w:r>
          </w:p>
        </w:tc>
      </w:tr>
      <w:tr w:rsidR="00A12401" w14:paraId="3470D983" w14:textId="77777777">
        <w:tc>
          <w:tcPr>
            <w:tcW w:w="1216" w:type="dxa"/>
          </w:tcPr>
          <w:p w14:paraId="5CAA3D1F" w14:textId="77777777" w:rsidR="00A12401" w:rsidRDefault="00A25E1C">
            <w:r>
              <w:t>Passives</w:t>
            </w:r>
          </w:p>
        </w:tc>
        <w:tc>
          <w:tcPr>
            <w:tcW w:w="1270" w:type="dxa"/>
          </w:tcPr>
          <w:p w14:paraId="09F7B18C" w14:textId="77777777" w:rsidR="00A12401" w:rsidRDefault="00A25E1C">
            <w:r>
              <w:t>9</w:t>
            </w:r>
          </w:p>
        </w:tc>
        <w:tc>
          <w:tcPr>
            <w:tcW w:w="1345" w:type="dxa"/>
          </w:tcPr>
          <w:p w14:paraId="7E62EED2" w14:textId="77777777" w:rsidR="00A12401" w:rsidRDefault="00A25E1C">
            <w:r>
              <w:t>45%</w:t>
            </w:r>
          </w:p>
        </w:tc>
      </w:tr>
      <w:tr w:rsidR="00A12401" w14:paraId="029C7674" w14:textId="77777777">
        <w:tc>
          <w:tcPr>
            <w:tcW w:w="1216" w:type="dxa"/>
          </w:tcPr>
          <w:p w14:paraId="68554DBB" w14:textId="77777777" w:rsidR="00A12401" w:rsidRDefault="00A25E1C">
            <w:r>
              <w:t>Detractors</w:t>
            </w:r>
          </w:p>
        </w:tc>
        <w:tc>
          <w:tcPr>
            <w:tcW w:w="1270" w:type="dxa"/>
          </w:tcPr>
          <w:p w14:paraId="2B93E24A" w14:textId="77777777" w:rsidR="00A12401" w:rsidRDefault="00A25E1C">
            <w:r>
              <w:t>6</w:t>
            </w:r>
          </w:p>
        </w:tc>
        <w:tc>
          <w:tcPr>
            <w:tcW w:w="1345" w:type="dxa"/>
          </w:tcPr>
          <w:p w14:paraId="635D052D" w14:textId="77777777" w:rsidR="00A12401" w:rsidRDefault="00A25E1C">
            <w:r>
              <w:t>30%</w:t>
            </w:r>
          </w:p>
        </w:tc>
      </w:tr>
      <w:tr w:rsidR="00A12401" w14:paraId="06FFDF80" w14:textId="77777777">
        <w:tc>
          <w:tcPr>
            <w:tcW w:w="1216" w:type="dxa"/>
          </w:tcPr>
          <w:p w14:paraId="4778F138" w14:textId="77777777" w:rsidR="00A12401" w:rsidRDefault="00A25E1C">
            <w:r>
              <w:rPr>
                <w:b/>
                <w:bCs/>
              </w:rPr>
              <w:t>Total</w:t>
            </w:r>
          </w:p>
        </w:tc>
        <w:tc>
          <w:tcPr>
            <w:tcW w:w="1270" w:type="dxa"/>
          </w:tcPr>
          <w:p w14:paraId="05CACA37" w14:textId="77777777" w:rsidR="00A12401" w:rsidRDefault="00A25E1C">
            <w:r>
              <w:rPr>
                <w:b/>
                <w:bCs/>
              </w:rPr>
              <w:t>20</w:t>
            </w:r>
          </w:p>
        </w:tc>
        <w:tc>
          <w:tcPr>
            <w:tcW w:w="1345" w:type="dxa"/>
          </w:tcPr>
          <w:p w14:paraId="4FBC546E" w14:textId="77777777" w:rsidR="00A12401" w:rsidRDefault="00A25E1C">
            <w:r>
              <w:rPr>
                <w:b/>
                <w:bCs/>
              </w:rPr>
              <w:t>100%</w:t>
            </w:r>
          </w:p>
        </w:tc>
      </w:tr>
    </w:tbl>
    <w:p w14:paraId="212DD551" w14:textId="77777777" w:rsidR="00A12401" w:rsidRDefault="00A12401">
      <w:pPr>
        <w:widowControl w:val="0"/>
        <w:pBdr>
          <w:top w:val="nil"/>
          <w:left w:val="nil"/>
          <w:bottom w:val="nil"/>
          <w:right w:val="nil"/>
          <w:between w:val="nil"/>
        </w:pBdr>
        <w:spacing w:after="0" w:line="276" w:lineRule="auto"/>
        <w:jc w:val="left"/>
      </w:pPr>
    </w:p>
    <w:tbl>
      <w:tblPr>
        <w:tblStyle w:val="aff8"/>
        <w:tblW w:w="35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794"/>
      </w:tblGrid>
      <w:tr w:rsidR="00A12401" w14:paraId="17B68A1C" w14:textId="77777777">
        <w:trPr>
          <w:trHeight w:val="25"/>
        </w:trPr>
        <w:tc>
          <w:tcPr>
            <w:tcW w:w="2783" w:type="dxa"/>
          </w:tcPr>
          <w:p w14:paraId="765D5785" w14:textId="77777777" w:rsidR="00A12401" w:rsidRDefault="00A25E1C">
            <w:pPr>
              <w:rPr>
                <w:b/>
                <w:bCs/>
              </w:rPr>
            </w:pPr>
            <w:r>
              <w:rPr>
                <w:b/>
                <w:bCs/>
              </w:rPr>
              <w:t>NPS Score</w:t>
            </w:r>
          </w:p>
        </w:tc>
        <w:tc>
          <w:tcPr>
            <w:tcW w:w="794" w:type="dxa"/>
          </w:tcPr>
          <w:p w14:paraId="75F37403" w14:textId="77777777" w:rsidR="00A12401" w:rsidRDefault="00A25E1C">
            <w:pPr>
              <w:rPr>
                <w:b/>
                <w:bCs/>
              </w:rPr>
            </w:pPr>
            <w:r>
              <w:rPr>
                <w:b/>
                <w:bCs/>
              </w:rPr>
              <w:t>Value</w:t>
            </w:r>
          </w:p>
        </w:tc>
      </w:tr>
      <w:tr w:rsidR="00A12401" w14:paraId="53910E45" w14:textId="77777777">
        <w:tc>
          <w:tcPr>
            <w:tcW w:w="2783" w:type="dxa"/>
          </w:tcPr>
          <w:p w14:paraId="50DD00C1" w14:textId="77777777" w:rsidR="00A12401" w:rsidRDefault="00A25E1C">
            <w:r>
              <w:t>Net Promoter Score (NPS)</w:t>
            </w:r>
          </w:p>
        </w:tc>
        <w:tc>
          <w:tcPr>
            <w:tcW w:w="794" w:type="dxa"/>
          </w:tcPr>
          <w:p w14:paraId="4972C8E0" w14:textId="77777777" w:rsidR="00A12401" w:rsidRDefault="00A25E1C">
            <w:r>
              <w:t>-5</w:t>
            </w:r>
          </w:p>
        </w:tc>
      </w:tr>
    </w:tbl>
    <w:p w14:paraId="7EDD3F2F" w14:textId="77777777" w:rsidR="00A12401" w:rsidRDefault="00A12401">
      <w:pPr>
        <w:rPr>
          <w:b/>
          <w:bCs/>
        </w:rPr>
      </w:pPr>
    </w:p>
    <w:p w14:paraId="08CDF147" w14:textId="77777777" w:rsidR="00A12401" w:rsidRDefault="00A12401">
      <w:pPr>
        <w:rPr>
          <w:b/>
          <w:bCs/>
        </w:rPr>
      </w:pPr>
    </w:p>
    <w:p w14:paraId="5FADE65D" w14:textId="77777777" w:rsidR="00A12401" w:rsidRDefault="00A25E1C">
      <w:pPr>
        <w:rPr>
          <w:b/>
          <w:bCs/>
        </w:rPr>
      </w:pPr>
      <w:r>
        <w:rPr>
          <w:b/>
          <w:bCs/>
        </w:rPr>
        <w:t xml:space="preserve">20. What CSR </w:t>
      </w:r>
      <w:proofErr w:type="spellStart"/>
      <w:r>
        <w:rPr>
          <w:b/>
          <w:bCs/>
        </w:rPr>
        <w:t>activitie</w:t>
      </w:r>
      <w:proofErr w:type="spellEnd"/>
      <w:r>
        <w:rPr>
          <w:b/>
          <w:bCs/>
        </w:rPr>
        <w:t xml:space="preserve"> of Tesco influence you the most?</w:t>
      </w:r>
    </w:p>
    <w:tbl>
      <w:tblPr>
        <w:tblStyle w:val="aff9"/>
        <w:tblW w:w="5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23"/>
        <w:gridCol w:w="1270"/>
        <w:gridCol w:w="1345"/>
      </w:tblGrid>
      <w:tr w:rsidR="00A12401" w14:paraId="10DAFC5D" w14:textId="77777777">
        <w:tc>
          <w:tcPr>
            <w:tcW w:w="3023" w:type="dxa"/>
          </w:tcPr>
          <w:p w14:paraId="2D6B791E" w14:textId="77777777" w:rsidR="00A12401" w:rsidRDefault="00A25E1C">
            <w:pPr>
              <w:rPr>
                <w:b/>
                <w:bCs/>
              </w:rPr>
            </w:pPr>
            <w:r>
              <w:rPr>
                <w:b/>
                <w:bCs/>
              </w:rPr>
              <w:t>CSR Activity</w:t>
            </w:r>
          </w:p>
        </w:tc>
        <w:tc>
          <w:tcPr>
            <w:tcW w:w="1270" w:type="dxa"/>
          </w:tcPr>
          <w:p w14:paraId="0F124CFE" w14:textId="77777777" w:rsidR="00A12401" w:rsidRDefault="00A25E1C">
            <w:pPr>
              <w:rPr>
                <w:b/>
                <w:bCs/>
              </w:rPr>
            </w:pPr>
            <w:r>
              <w:rPr>
                <w:b/>
                <w:bCs/>
              </w:rPr>
              <w:t>Responses</w:t>
            </w:r>
          </w:p>
        </w:tc>
        <w:tc>
          <w:tcPr>
            <w:tcW w:w="1345" w:type="dxa"/>
          </w:tcPr>
          <w:p w14:paraId="4C205EA0" w14:textId="77777777" w:rsidR="00A12401" w:rsidRDefault="00A25E1C">
            <w:pPr>
              <w:rPr>
                <w:b/>
                <w:bCs/>
              </w:rPr>
            </w:pPr>
            <w:r>
              <w:rPr>
                <w:b/>
                <w:bCs/>
              </w:rPr>
              <w:t>Percentage</w:t>
            </w:r>
          </w:p>
        </w:tc>
      </w:tr>
      <w:tr w:rsidR="00A12401" w14:paraId="3427AE29" w14:textId="77777777">
        <w:tc>
          <w:tcPr>
            <w:tcW w:w="3023" w:type="dxa"/>
          </w:tcPr>
          <w:p w14:paraId="3C104644" w14:textId="77777777" w:rsidR="00A12401" w:rsidRDefault="00A25E1C">
            <w:r>
              <w:t>Environmental Sustainability</w:t>
            </w:r>
          </w:p>
        </w:tc>
        <w:tc>
          <w:tcPr>
            <w:tcW w:w="1270" w:type="dxa"/>
          </w:tcPr>
          <w:p w14:paraId="5764674F" w14:textId="77777777" w:rsidR="00A12401" w:rsidRDefault="00A25E1C">
            <w:r>
              <w:t>9</w:t>
            </w:r>
          </w:p>
        </w:tc>
        <w:tc>
          <w:tcPr>
            <w:tcW w:w="1345" w:type="dxa"/>
          </w:tcPr>
          <w:p w14:paraId="41DC1BEA" w14:textId="77777777" w:rsidR="00A12401" w:rsidRDefault="00A25E1C">
            <w:r>
              <w:t>47%</w:t>
            </w:r>
          </w:p>
        </w:tc>
      </w:tr>
      <w:tr w:rsidR="00A12401" w14:paraId="2628FA2B" w14:textId="77777777">
        <w:tc>
          <w:tcPr>
            <w:tcW w:w="3023" w:type="dxa"/>
          </w:tcPr>
          <w:p w14:paraId="71511FAD" w14:textId="77777777" w:rsidR="00A12401" w:rsidRDefault="00A25E1C">
            <w:r>
              <w:t>Charity &amp; donations</w:t>
            </w:r>
          </w:p>
        </w:tc>
        <w:tc>
          <w:tcPr>
            <w:tcW w:w="1270" w:type="dxa"/>
          </w:tcPr>
          <w:p w14:paraId="5039264F" w14:textId="77777777" w:rsidR="00A12401" w:rsidRDefault="00A25E1C">
            <w:r>
              <w:t>1</w:t>
            </w:r>
          </w:p>
        </w:tc>
        <w:tc>
          <w:tcPr>
            <w:tcW w:w="1345" w:type="dxa"/>
          </w:tcPr>
          <w:p w14:paraId="3B7F8548" w14:textId="77777777" w:rsidR="00A12401" w:rsidRDefault="00A25E1C">
            <w:r>
              <w:t>5%</w:t>
            </w:r>
          </w:p>
        </w:tc>
      </w:tr>
      <w:tr w:rsidR="00A12401" w14:paraId="1310F858" w14:textId="77777777">
        <w:tc>
          <w:tcPr>
            <w:tcW w:w="3023" w:type="dxa"/>
          </w:tcPr>
          <w:p w14:paraId="0D120363" w14:textId="77777777" w:rsidR="00A12401" w:rsidRDefault="00A25E1C">
            <w:r>
              <w:t>Ethical sourcing</w:t>
            </w:r>
          </w:p>
        </w:tc>
        <w:tc>
          <w:tcPr>
            <w:tcW w:w="1270" w:type="dxa"/>
          </w:tcPr>
          <w:p w14:paraId="0718B68C" w14:textId="77777777" w:rsidR="00A12401" w:rsidRDefault="00A25E1C">
            <w:r>
              <w:t>3</w:t>
            </w:r>
          </w:p>
        </w:tc>
        <w:tc>
          <w:tcPr>
            <w:tcW w:w="1345" w:type="dxa"/>
          </w:tcPr>
          <w:p w14:paraId="5A1FDA92" w14:textId="77777777" w:rsidR="00A12401" w:rsidRDefault="00A25E1C">
            <w:r>
              <w:t>16%</w:t>
            </w:r>
          </w:p>
        </w:tc>
      </w:tr>
      <w:tr w:rsidR="00A12401" w14:paraId="1B34F0D9" w14:textId="77777777">
        <w:tc>
          <w:tcPr>
            <w:tcW w:w="3023" w:type="dxa"/>
          </w:tcPr>
          <w:p w14:paraId="0D1411A0" w14:textId="77777777" w:rsidR="00A12401" w:rsidRDefault="00A25E1C">
            <w:r>
              <w:t>Employee welfare</w:t>
            </w:r>
          </w:p>
        </w:tc>
        <w:tc>
          <w:tcPr>
            <w:tcW w:w="1270" w:type="dxa"/>
          </w:tcPr>
          <w:p w14:paraId="55F4EFCE" w14:textId="77777777" w:rsidR="00A12401" w:rsidRDefault="00A25E1C">
            <w:r>
              <w:t>2</w:t>
            </w:r>
          </w:p>
        </w:tc>
        <w:tc>
          <w:tcPr>
            <w:tcW w:w="1345" w:type="dxa"/>
          </w:tcPr>
          <w:p w14:paraId="30A09305" w14:textId="77777777" w:rsidR="00A12401" w:rsidRDefault="00A25E1C">
            <w:r>
              <w:t>11%</w:t>
            </w:r>
          </w:p>
        </w:tc>
      </w:tr>
      <w:tr w:rsidR="00A12401" w14:paraId="5C4BECFF" w14:textId="77777777">
        <w:tc>
          <w:tcPr>
            <w:tcW w:w="3023" w:type="dxa"/>
          </w:tcPr>
          <w:p w14:paraId="590879FD" w14:textId="77777777" w:rsidR="00A12401" w:rsidRDefault="00A25E1C">
            <w:r>
              <w:t>Community support</w:t>
            </w:r>
          </w:p>
        </w:tc>
        <w:tc>
          <w:tcPr>
            <w:tcW w:w="1270" w:type="dxa"/>
          </w:tcPr>
          <w:p w14:paraId="353CD1DA" w14:textId="77777777" w:rsidR="00A12401" w:rsidRDefault="00A25E1C">
            <w:r>
              <w:t>4</w:t>
            </w:r>
          </w:p>
        </w:tc>
        <w:tc>
          <w:tcPr>
            <w:tcW w:w="1345" w:type="dxa"/>
          </w:tcPr>
          <w:p w14:paraId="794B6418" w14:textId="77777777" w:rsidR="00A12401" w:rsidRDefault="00A25E1C">
            <w:r>
              <w:t>21%</w:t>
            </w:r>
          </w:p>
        </w:tc>
      </w:tr>
      <w:tr w:rsidR="00A12401" w14:paraId="40C486BD" w14:textId="77777777">
        <w:tc>
          <w:tcPr>
            <w:tcW w:w="3023" w:type="dxa"/>
          </w:tcPr>
          <w:p w14:paraId="67CFCB46" w14:textId="77777777" w:rsidR="00A12401" w:rsidRDefault="00A25E1C">
            <w:r>
              <w:rPr>
                <w:b/>
                <w:bCs/>
              </w:rPr>
              <w:t>Total</w:t>
            </w:r>
          </w:p>
        </w:tc>
        <w:tc>
          <w:tcPr>
            <w:tcW w:w="1270" w:type="dxa"/>
          </w:tcPr>
          <w:p w14:paraId="29B63810" w14:textId="77777777" w:rsidR="00A12401" w:rsidRDefault="00A25E1C">
            <w:r>
              <w:rPr>
                <w:b/>
                <w:bCs/>
              </w:rPr>
              <w:t>19</w:t>
            </w:r>
          </w:p>
        </w:tc>
        <w:tc>
          <w:tcPr>
            <w:tcW w:w="1345" w:type="dxa"/>
          </w:tcPr>
          <w:p w14:paraId="4E918C69" w14:textId="77777777" w:rsidR="00A12401" w:rsidRDefault="00A25E1C">
            <w:r>
              <w:rPr>
                <w:b/>
                <w:bCs/>
              </w:rPr>
              <w:t>100%</w:t>
            </w:r>
          </w:p>
        </w:tc>
      </w:tr>
    </w:tbl>
    <w:p w14:paraId="4E71DE65" w14:textId="77777777" w:rsidR="00A12401" w:rsidRDefault="00A12401"/>
    <w:p w14:paraId="016DAB73" w14:textId="77777777" w:rsidR="00A12401" w:rsidRDefault="00A12401"/>
    <w:sectPr w:rsidR="00A12401">
      <w:footerReference w:type="default" r:id="rId12"/>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D0772" w14:textId="77777777" w:rsidR="00A25E1C" w:rsidRDefault="00A25E1C">
      <w:pPr>
        <w:spacing w:after="0" w:line="240" w:lineRule="auto"/>
      </w:pPr>
      <w:r>
        <w:separator/>
      </w:r>
    </w:p>
  </w:endnote>
  <w:endnote w:type="continuationSeparator" w:id="0">
    <w:p w14:paraId="6F07EDC1" w14:textId="77777777" w:rsidR="00A25E1C" w:rsidRDefault="00A25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2" w:fontKey="{8596B37A-5C8C-214E-AF5A-3BA0C5E45A89}"/>
    <w:embedBold r:id="rId3" w:fontKey="{CEF87B29-1CFD-FA4D-9860-353F9561E3B6}"/>
    <w:embedItalic r:id="rId4" w:fontKey="{62836EC9-F850-B344-8637-013EC6DA3DCB}"/>
  </w:font>
  <w:font w:name="Cambria">
    <w:panose1 w:val="02040503050406030204"/>
    <w:charset w:val="00"/>
    <w:family w:val="roman"/>
    <w:pitch w:val="variable"/>
    <w:sig w:usb0="E00002FF" w:usb1="400004FF" w:usb2="00000000" w:usb3="00000000" w:csb0="0000019F" w:csb1="00000000"/>
    <w:embedRegular r:id="rId5" w:fontKey="{AE9A7C3B-328B-AA4E-8B56-94F5718F5395}"/>
  </w:font>
  <w:font w:name="Calibri">
    <w:panose1 w:val="020F0502020204030204"/>
    <w:charset w:val="00"/>
    <w:family w:val="swiss"/>
    <w:pitch w:val="variable"/>
    <w:sig w:usb0="E0002AFF" w:usb1="C000247B" w:usb2="00000009" w:usb3="00000000" w:csb0="000001FF" w:csb1="00000000"/>
    <w:embedRegular r:id="rId6" w:fontKey="{3E62118F-76FA-304E-8965-F72084E08524}"/>
    <w:embedItalic r:id="rId7" w:fontKey="{62FEF7B4-1F83-5245-BC35-7D09A6F08A96}"/>
  </w:font>
  <w:font w:name="Arial">
    <w:panose1 w:val="020B0604020202020204"/>
    <w:charset w:val="00"/>
    <w:family w:val="swiss"/>
    <w:pitch w:val="variable"/>
    <w:sig w:usb0="E0002AFF" w:usb1="C0007843" w:usb2="00000009" w:usb3="00000000" w:csb0="000001FF" w:csb1="00000000"/>
    <w:embedRegular r:id="rId8" w:fontKey="{2C7007D6-F443-A34E-9C08-73DD3FE4E6F3}"/>
    <w:embedBold r:id="rId9" w:fontKey="{740E2E0E-69E6-D94E-ACD1-1FF03EF18E12}"/>
    <w:embedItalic r:id="rId10" w:fontKey="{CC7A911B-3C79-484D-86C8-1D3CDB0BBE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C1534" w14:textId="62599D71" w:rsidR="00A12401" w:rsidRDefault="00A25E1C">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F0665">
      <w:rPr>
        <w:noProof/>
        <w:color w:val="000000"/>
      </w:rPr>
      <w:t>1</w:t>
    </w:r>
    <w:r>
      <w:rPr>
        <w:color w:val="000000"/>
      </w:rPr>
      <w:fldChar w:fldCharType="end"/>
    </w:r>
  </w:p>
  <w:p w14:paraId="36065FF5" w14:textId="77777777" w:rsidR="00A12401" w:rsidRDefault="00A124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6F8D8" w14:textId="77777777" w:rsidR="00A25E1C" w:rsidRDefault="00A25E1C">
      <w:pPr>
        <w:spacing w:after="0" w:line="240" w:lineRule="auto"/>
      </w:pPr>
      <w:r>
        <w:separator/>
      </w:r>
    </w:p>
  </w:footnote>
  <w:footnote w:type="continuationSeparator" w:id="0">
    <w:p w14:paraId="4B039E56" w14:textId="77777777" w:rsidR="00A25E1C" w:rsidRDefault="00A25E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5166"/>
    <w:multiLevelType w:val="multilevel"/>
    <w:tmpl w:val="DF7AD942"/>
    <w:lvl w:ilvl="0">
      <w:start w:val="4"/>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11FB7DF8"/>
    <w:multiLevelType w:val="multilevel"/>
    <w:tmpl w:val="B3487C84"/>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178014F"/>
    <w:multiLevelType w:val="multilevel"/>
    <w:tmpl w:val="CAE41D5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 w15:restartNumberingAfterBreak="0">
    <w:nsid w:val="4BEA0A63"/>
    <w:multiLevelType w:val="multilevel"/>
    <w:tmpl w:val="735C3138"/>
    <w:lvl w:ilvl="0">
      <w:start w:val="3"/>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565C6187"/>
    <w:multiLevelType w:val="multilevel"/>
    <w:tmpl w:val="B660077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22347801">
    <w:abstractNumId w:val="4"/>
  </w:num>
  <w:num w:numId="2" w16cid:durableId="247688848">
    <w:abstractNumId w:val="1"/>
  </w:num>
  <w:num w:numId="3" w16cid:durableId="380901878">
    <w:abstractNumId w:val="3"/>
  </w:num>
  <w:num w:numId="4" w16cid:durableId="208418720">
    <w:abstractNumId w:val="0"/>
  </w:num>
  <w:num w:numId="5" w16cid:durableId="14476547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401"/>
    <w:rsid w:val="00180F8C"/>
    <w:rsid w:val="007F1131"/>
    <w:rsid w:val="00A12401"/>
    <w:rsid w:val="00A25E1C"/>
    <w:rsid w:val="00EF0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47EC83"/>
  <w15:docId w15:val="{C0A07F49-361E-BE40-BD80-D90B0C621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Cambria" w:eastAsia="Cambria" w:hAnsi="Cambria" w:cs="Cambria"/>
      <w:color w:val="366091"/>
      <w:sz w:val="30"/>
      <w:szCs w:val="30"/>
    </w:rPr>
  </w:style>
  <w:style w:type="paragraph" w:styleId="Heading2">
    <w:name w:val="heading 2"/>
    <w:basedOn w:val="Normal"/>
    <w:next w:val="Normal"/>
    <w:uiPriority w:val="9"/>
    <w:unhideWhenUsed/>
    <w:qFormat/>
    <w:pPr>
      <w:keepNext/>
      <w:keepLines/>
      <w:spacing w:before="160" w:after="80"/>
      <w:outlineLvl w:val="1"/>
    </w:pPr>
    <w:rPr>
      <w:rFonts w:ascii="Cambria" w:eastAsia="Cambria" w:hAnsi="Cambria" w:cs="Cambria"/>
      <w:color w:val="366091"/>
      <w:sz w:val="26"/>
      <w:szCs w:val="26"/>
    </w:rPr>
  </w:style>
  <w:style w:type="paragraph" w:styleId="Heading3">
    <w:name w:val="heading 3"/>
    <w:basedOn w:val="Normal"/>
    <w:next w:val="Normal"/>
    <w:uiPriority w:val="9"/>
    <w:unhideWhenUsed/>
    <w:qFormat/>
    <w:pPr>
      <w:keepNext/>
      <w:keepLines/>
      <w:spacing w:before="160" w:after="80"/>
      <w:outlineLvl w:val="2"/>
    </w:pPr>
    <w:rPr>
      <w:rFonts w:ascii="Calibri" w:eastAsia="Calibri" w:hAnsi="Calibri" w:cs="Calibri"/>
      <w:color w:val="366091"/>
    </w:rPr>
  </w:style>
  <w:style w:type="paragraph" w:styleId="Heading4">
    <w:name w:val="heading 4"/>
    <w:basedOn w:val="Normal"/>
    <w:next w:val="Normal"/>
    <w:uiPriority w:val="9"/>
    <w:unhideWhenUsed/>
    <w:qFormat/>
    <w:pPr>
      <w:keepNext/>
      <w:keepLines/>
      <w:spacing w:before="80" w:after="40"/>
      <w:outlineLvl w:val="3"/>
    </w:pPr>
    <w:rPr>
      <w:rFonts w:ascii="Calibri" w:eastAsia="Calibri" w:hAnsi="Calibri" w:cs="Calibri"/>
      <w:i/>
      <w:iCs/>
      <w:color w:val="366091"/>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366091"/>
    </w:rPr>
  </w:style>
  <w:style w:type="paragraph" w:styleId="Heading6">
    <w:name w:val="heading 6"/>
    <w:basedOn w:val="Normal"/>
    <w:next w:val="Normal"/>
    <w:uiPriority w:val="9"/>
    <w:semiHidden/>
    <w:unhideWhenUsed/>
    <w:qFormat/>
    <w:pPr>
      <w:keepNext/>
      <w:keepLines/>
      <w:spacing w:before="40" w:after="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mbria" w:eastAsia="Cambria" w:hAnsi="Cambria" w:cs="Cambria"/>
      <w:sz w:val="56"/>
      <w:szCs w:val="56"/>
    </w:rPr>
  </w:style>
  <w:style w:type="paragraph" w:styleId="Subtitle">
    <w:name w:val="Subtitle"/>
    <w:basedOn w:val="Normal"/>
    <w:next w:val="Normal"/>
    <w:uiPriority w:val="11"/>
    <w:qFormat/>
    <w:rPr>
      <w:rFonts w:ascii="Calibri" w:eastAsia="Calibri" w:hAnsi="Calibri" w:cs="Calibri"/>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9">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scoplc.com"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19529</Words>
  <Characters>111320</Characters>
  <Application>Microsoft Office Word</Application>
  <DocSecurity>0</DocSecurity>
  <Lines>927</Lines>
  <Paragraphs>261</Paragraphs>
  <ScaleCrop>false</ScaleCrop>
  <Company/>
  <LinksUpToDate>false</LinksUpToDate>
  <CharactersWithSpaces>130588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2026-06-05T13:06:00Z</dcterms:created>
</cp:coreProperties>
</file>