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8.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3E6DE2" w14:textId="5578CC75" w:rsidR="00866630" w:rsidRDefault="00CB546B" w:rsidP="00671204">
      <w:pPr>
        <w:jc w:val="both"/>
      </w:pPr>
      <w:r>
        <w:t>EBP Eva</w:t>
      </w:r>
      <w:r w:rsidR="00866630">
        <w:t>luation (1.1)</w:t>
      </w:r>
    </w:p>
    <w:p w14:paraId="4CA13CDF" w14:textId="1EC2088E" w:rsidR="007B2554" w:rsidRDefault="00956112" w:rsidP="00671204">
      <w:pPr>
        <w:jc w:val="both"/>
      </w:pPr>
      <w:r>
        <w:t>It has been said (Ro</w:t>
      </w:r>
      <w:r w:rsidR="0077663E">
        <w:t xml:space="preserve">usseau and Barends 2011) that: ‘Blind faith </w:t>
      </w:r>
      <w:r w:rsidR="005F6765">
        <w:t>has no place in professional Practice ‘.  Human resource needs to be evidence based</w:t>
      </w:r>
      <w:r w:rsidR="008E6E78">
        <w:t>, making use of appropriate information de</w:t>
      </w:r>
      <w:r w:rsidR="008849E7">
        <w:t xml:space="preserve">rived from the </w:t>
      </w:r>
      <w:r w:rsidR="00304859">
        <w:t>analysis</w:t>
      </w:r>
      <w:r w:rsidR="008849E7">
        <w:t xml:space="preserve"> of the messages</w:t>
      </w:r>
      <w:r w:rsidR="00FA435C">
        <w:t xml:space="preserve"> delivered by the data available in organisations.  </w:t>
      </w:r>
      <w:r w:rsidR="00D32CAF">
        <w:t>Professionals</w:t>
      </w:r>
      <w:r w:rsidR="00C03DD6">
        <w:t xml:space="preserve"> need to make data informed decisions</w:t>
      </w:r>
      <w:r w:rsidR="001469D9">
        <w:t xml:space="preserve"> and</w:t>
      </w:r>
      <w:r w:rsidR="00D32CAF">
        <w:t xml:space="preserve"> </w:t>
      </w:r>
      <w:r w:rsidR="00810256">
        <w:t>w</w:t>
      </w:r>
      <w:r w:rsidR="005A2126">
        <w:t xml:space="preserve">hilst many managers will take account of credible evidence, historically decisions, policies and debating positions are also informed by hunches, limited anecdotal evidence, singular personal experiences, widely believed myths of various kinds, and sometimes by raw prejudice. </w:t>
      </w:r>
      <w:r w:rsidR="00D32CAF">
        <w:t xml:space="preserve"> </w:t>
      </w:r>
    </w:p>
    <w:p w14:paraId="6F1E29CC" w14:textId="35863683" w:rsidR="00DF455C" w:rsidRDefault="00C73ECA" w:rsidP="00671204">
      <w:pPr>
        <w:jc w:val="both"/>
      </w:pPr>
      <w:r>
        <w:t>Pfeffer and Sutton (2006) stated that e</w:t>
      </w:r>
      <w:r w:rsidR="00FE2014">
        <w:t xml:space="preserve">videnced </w:t>
      </w:r>
      <w:r w:rsidR="00E85B80">
        <w:t>b</w:t>
      </w:r>
      <w:r w:rsidR="00FE2014">
        <w:t xml:space="preserve">ased management ‘features a willingness to put aside belief and conventional wisdom – the dangerous </w:t>
      </w:r>
      <w:r w:rsidR="00DD4EB1">
        <w:t>half-truths</w:t>
      </w:r>
      <w:r w:rsidR="00FE2014">
        <w:t xml:space="preserve"> that many embrace</w:t>
      </w:r>
      <w:r w:rsidR="00867172">
        <w:t xml:space="preserve"> – and replace these with an unrelenting commitment to gather the necessary facts to make more intelligent and informed </w:t>
      </w:r>
      <w:proofErr w:type="gramStart"/>
      <w:r w:rsidR="00867172">
        <w:t>decisions’</w:t>
      </w:r>
      <w:proofErr w:type="gramEnd"/>
      <w:r w:rsidR="00BB51CB">
        <w:t>.</w:t>
      </w:r>
      <w:r w:rsidR="001A59B5">
        <w:t xml:space="preserve"> </w:t>
      </w:r>
      <w:r>
        <w:t xml:space="preserve"> </w:t>
      </w:r>
      <w:r w:rsidR="005722BB">
        <w:t>Evidence Based Practice (EBP)</w:t>
      </w:r>
      <w:r w:rsidR="00CC26A8">
        <w:t xml:space="preserve"> </w:t>
      </w:r>
      <w:r w:rsidR="005C1170">
        <w:t xml:space="preserve">aims to </w:t>
      </w:r>
      <w:r w:rsidR="004C7C44">
        <w:t>alleviate</w:t>
      </w:r>
      <w:r w:rsidR="005C1170">
        <w:t xml:space="preserve"> </w:t>
      </w:r>
      <w:r w:rsidR="001525D3">
        <w:t xml:space="preserve">poor decision making </w:t>
      </w:r>
      <w:r w:rsidR="00B37DAA">
        <w:t>due to bias and errors.</w:t>
      </w:r>
      <w:r w:rsidR="006E2737">
        <w:t xml:space="preserve"> EBP allows professionals the opportunity to support current and future HR practice</w:t>
      </w:r>
      <w:r w:rsidR="007E5590">
        <w:t xml:space="preserve"> </w:t>
      </w:r>
      <w:r w:rsidR="006E2737">
        <w:t>and achieve better decision making.</w:t>
      </w:r>
      <w:r w:rsidR="00B37DAA">
        <w:t xml:space="preserve">  EBP</w:t>
      </w:r>
      <w:r w:rsidR="005722BB">
        <w:t xml:space="preserve"> is a process where evidence is gathered from reliable sources and used to develop knowledge and understanding in which to inform practice.  </w:t>
      </w:r>
      <w:r w:rsidR="007E5590">
        <w:t>Evidenced</w:t>
      </w:r>
      <w:r w:rsidR="005722BB">
        <w:t xml:space="preserve"> based practice promotes critical thinking that encourages the reader to appraise and judge sources of information and evidence and establish their relevance.  Barends Rous</w:t>
      </w:r>
      <w:r w:rsidR="00D32CAF">
        <w:t>seau and Briner (2014) stipulates that it involves multiple sources ……., specifically four: scientific evidence, organisational evidence, experimental evidence and stakeholder evidence</w:t>
      </w:r>
      <w:r w:rsidR="005A2126">
        <w:t xml:space="preserve">.  </w:t>
      </w:r>
    </w:p>
    <w:p w14:paraId="6C9573A9" w14:textId="0795BF3B" w:rsidR="005722BB" w:rsidRDefault="008E7E19" w:rsidP="00671204">
      <w:pPr>
        <w:jc w:val="both"/>
      </w:pPr>
      <w:r>
        <w:t xml:space="preserve">Once evidence has been gathered, </w:t>
      </w:r>
      <w:r w:rsidR="002022B0">
        <w:t xml:space="preserve">it should be critically appraised </w:t>
      </w:r>
      <w:r w:rsidR="00F66726">
        <w:t xml:space="preserve">by </w:t>
      </w:r>
      <w:r w:rsidR="00FF4442">
        <w:t>practicing</w:t>
      </w:r>
      <w:r w:rsidR="00F66726">
        <w:t xml:space="preserve"> the 6 A’s: Asking, Acquiri</w:t>
      </w:r>
      <w:r w:rsidR="00CD5D15">
        <w:t xml:space="preserve">ng. </w:t>
      </w:r>
      <w:r w:rsidR="00DE64EA">
        <w:t xml:space="preserve">Appraising, </w:t>
      </w:r>
      <w:r w:rsidR="00CD5D15">
        <w:t xml:space="preserve">Aggregating, </w:t>
      </w:r>
      <w:r w:rsidR="00A454B1">
        <w:t>A</w:t>
      </w:r>
      <w:r w:rsidR="00CD5D15">
        <w:t>pplying and Assessing (CIPD, 202</w:t>
      </w:r>
      <w:r w:rsidR="0015147C">
        <w:t>4</w:t>
      </w:r>
      <w:r w:rsidR="00CD5D15">
        <w:t>)</w:t>
      </w:r>
      <w:r w:rsidR="00AB1AFD">
        <w:t xml:space="preserve">. This ensures that the quality and the validity of the evidence is </w:t>
      </w:r>
      <w:r w:rsidR="00221197">
        <w:t>high by evaluating its trustworthiness, making it the best available.</w:t>
      </w:r>
    </w:p>
    <w:p w14:paraId="2696BAF8" w14:textId="79FB15EF" w:rsidR="00D85E32" w:rsidRDefault="001521BB" w:rsidP="00671204">
      <w:pPr>
        <w:jc w:val="both"/>
      </w:pPr>
      <w:r>
        <w:t xml:space="preserve">Accessing and using a wide variety of </w:t>
      </w:r>
      <w:r w:rsidR="00255668">
        <w:t>dat</w:t>
      </w:r>
      <w:r w:rsidR="00B64746">
        <w:t>a</w:t>
      </w:r>
      <w:r w:rsidR="00255668">
        <w:t xml:space="preserve"> helps us to develop factual knowledge and understanding on a wide range of organisational and people issues</w:t>
      </w:r>
      <w:r w:rsidR="00DC6A8F">
        <w:t>.  In turn, this will help the people function of an organisation</w:t>
      </w:r>
      <w:r w:rsidR="002C0AE7">
        <w:t xml:space="preserve"> to support employee performance and rewards</w:t>
      </w:r>
      <w:r w:rsidR="00CC25A0">
        <w:t>, create a positive culture to maintain employee satisfaction and engagement</w:t>
      </w:r>
      <w:r w:rsidR="00A003CE">
        <w:t>, and create a positive internal and external perception of the company.</w:t>
      </w:r>
      <w:r w:rsidR="00567D54">
        <w:t xml:space="preserve">  Evidence Based </w:t>
      </w:r>
      <w:r w:rsidR="00F04864">
        <w:t xml:space="preserve">decision making will help reduce errors that are caused by </w:t>
      </w:r>
      <w:r w:rsidR="00921062">
        <w:t>poorly</w:t>
      </w:r>
      <w:r w:rsidR="00F04864">
        <w:t xml:space="preserve"> substantiated </w:t>
      </w:r>
      <w:r w:rsidR="000E6E2A">
        <w:t xml:space="preserve">or ill-founded judgements.  Rousseau (2006) </w:t>
      </w:r>
      <w:r w:rsidR="007A60E2">
        <w:t xml:space="preserve">noted that, an </w:t>
      </w:r>
      <w:r w:rsidR="00C7759A">
        <w:t xml:space="preserve">objectively derived </w:t>
      </w:r>
      <w:r w:rsidR="008D755A">
        <w:t>evidence-based</w:t>
      </w:r>
      <w:r w:rsidR="00C7759A">
        <w:t xml:space="preserve"> decision </w:t>
      </w:r>
      <w:r w:rsidR="004C43FF">
        <w:t xml:space="preserve">will reduce errors in decisions formed </w:t>
      </w:r>
      <w:proofErr w:type="gramStart"/>
      <w:r w:rsidR="004C43FF">
        <w:t>on the basis of</w:t>
      </w:r>
      <w:proofErr w:type="gramEnd"/>
      <w:r w:rsidR="004C43FF">
        <w:t xml:space="preserve"> </w:t>
      </w:r>
      <w:r w:rsidR="006D20BB">
        <w:t>subjectively</w:t>
      </w:r>
      <w:r w:rsidR="004C43FF">
        <w:t xml:space="preserve"> held opinio</w:t>
      </w:r>
      <w:r w:rsidR="00443813">
        <w:t>n</w:t>
      </w:r>
      <w:r w:rsidR="001159B7">
        <w:t xml:space="preserve">.  Ethically speaking, they will be easier to justify.  </w:t>
      </w:r>
    </w:p>
    <w:p w14:paraId="771EE986" w14:textId="62D4E7EF" w:rsidR="00824F1C" w:rsidRDefault="00866630" w:rsidP="00671204">
      <w:pPr>
        <w:jc w:val="both"/>
      </w:pPr>
      <w:r>
        <w:t>Analysis Evalua</w:t>
      </w:r>
      <w:r w:rsidR="00F538B7">
        <w:t>tion (1.2)</w:t>
      </w:r>
    </w:p>
    <w:p w14:paraId="452A2BE2" w14:textId="0EA799A2" w:rsidR="00DD42FE" w:rsidRDefault="00FB2840" w:rsidP="00671204">
      <w:pPr>
        <w:jc w:val="both"/>
      </w:pPr>
      <w:r>
        <w:t>One popular</w:t>
      </w:r>
      <w:r w:rsidR="00CA708A">
        <w:t xml:space="preserve"> </w:t>
      </w:r>
      <w:r w:rsidR="00A53FB2">
        <w:t xml:space="preserve">analysis tool </w:t>
      </w:r>
      <w:r w:rsidR="00CA708A">
        <w:t>available i</w:t>
      </w:r>
      <w:r w:rsidR="00DD42FE">
        <w:t>s</w:t>
      </w:r>
      <w:r w:rsidR="00CA708A">
        <w:t xml:space="preserve"> SWOT</w:t>
      </w:r>
      <w:r w:rsidR="00C62FDD">
        <w:t xml:space="preserve"> (CIPD 2024)</w:t>
      </w:r>
      <w:r w:rsidR="00DD42FE">
        <w:t xml:space="preserve">, </w:t>
      </w:r>
      <w:r w:rsidR="003E7C7A">
        <w:t>Strengths, Weaknesses, Opportunities and Thre</w:t>
      </w:r>
      <w:r w:rsidR="007E515F">
        <w:t>ats</w:t>
      </w:r>
      <w:r w:rsidR="00DD42FE">
        <w:t xml:space="preserve">.  </w:t>
      </w:r>
      <w:r w:rsidR="00E20FB8">
        <w:t xml:space="preserve"> </w:t>
      </w:r>
      <w:r w:rsidR="00DD42FE">
        <w:t>Strengths are positive tangible and intangible attributes, internal to an organisation and within organisation</w:t>
      </w:r>
      <w:r w:rsidR="004E4683">
        <w:t>al</w:t>
      </w:r>
      <w:r w:rsidR="00DD42FE">
        <w:t xml:space="preserve"> control, Weaknesses are internal factors within organisation</w:t>
      </w:r>
      <w:r w:rsidR="00C443FB">
        <w:t>al</w:t>
      </w:r>
      <w:r w:rsidR="00DD42FE">
        <w:t xml:space="preserve"> control that detract from the ability to attain the desired goal. Opportunities can </w:t>
      </w:r>
      <w:r w:rsidR="00DD42FE">
        <w:lastRenderedPageBreak/>
        <w:t xml:space="preserve">be external attractive factors that represent the reason for an organisation to exist and develop.  Threats are external factors beyond the organisations control that could place </w:t>
      </w:r>
      <w:r w:rsidR="000357EB">
        <w:t>it</w:t>
      </w:r>
      <w:r w:rsidR="00DD42FE">
        <w:t xml:space="preserve"> at risk.</w:t>
      </w:r>
    </w:p>
    <w:p w14:paraId="7A1CAED2" w14:textId="475067D3" w:rsidR="00B36CC3" w:rsidRDefault="005903A5" w:rsidP="00671204">
      <w:pPr>
        <w:jc w:val="both"/>
      </w:pPr>
      <w:r>
        <w:t>The value of SWOT lies in that i</w:t>
      </w:r>
      <w:r w:rsidR="006D6A59">
        <w:t>t</w:t>
      </w:r>
      <w:r>
        <w:t xml:space="preserve"> offers </w:t>
      </w:r>
      <w:r w:rsidR="00FD7824">
        <w:t>self-assessment</w:t>
      </w:r>
      <w:r>
        <w:t xml:space="preserve"> for management</w:t>
      </w:r>
      <w:r w:rsidR="005F6084">
        <w:t xml:space="preserve"> and generates information that match</w:t>
      </w:r>
      <w:r w:rsidR="00CA0D53">
        <w:t>es</w:t>
      </w:r>
      <w:r w:rsidR="005F6084">
        <w:t xml:space="preserve"> an organi</w:t>
      </w:r>
      <w:r w:rsidR="005A558F">
        <w:t xml:space="preserve">sation to its goals, programs, and </w:t>
      </w:r>
      <w:r w:rsidR="00351689">
        <w:t xml:space="preserve">the environment in which it operates.  </w:t>
      </w:r>
      <w:r w:rsidR="00D42DBE">
        <w:t>A</w:t>
      </w:r>
      <w:r w:rsidR="007B442D">
        <w:t>dvantages include its simple four box</w:t>
      </w:r>
      <w:r w:rsidR="00D57243">
        <w:t xml:space="preserve"> </w:t>
      </w:r>
      <w:r w:rsidR="000D59B0">
        <w:t>framework;</w:t>
      </w:r>
      <w:r w:rsidR="00D57243">
        <w:t xml:space="preserve"> it facilitates understanding o</w:t>
      </w:r>
      <w:r w:rsidR="005F5BED">
        <w:t>f</w:t>
      </w:r>
      <w:r w:rsidR="00D57243">
        <w:t xml:space="preserve"> strengths and weaknesses </w:t>
      </w:r>
      <w:r w:rsidR="00651DA6">
        <w:t>and encourages development of strategic thinking</w:t>
      </w:r>
      <w:r w:rsidR="004B520A">
        <w:t>.  It allows</w:t>
      </w:r>
      <w:r w:rsidR="009F20B3">
        <w:t xml:space="preserve"> focus on strengths </w:t>
      </w:r>
      <w:r w:rsidR="00C142E2">
        <w:t xml:space="preserve">to </w:t>
      </w:r>
      <w:r w:rsidR="009F20B3">
        <w:t xml:space="preserve">build </w:t>
      </w:r>
      <w:r w:rsidR="00D326D3">
        <w:t>opportunities and</w:t>
      </w:r>
      <w:r w:rsidR="00A650C5">
        <w:t xml:space="preserve"> </w:t>
      </w:r>
      <w:r w:rsidR="009F20B3">
        <w:t xml:space="preserve">can </w:t>
      </w:r>
      <w:r w:rsidR="000B29BF">
        <w:t xml:space="preserve">allow anticipation of future threats and </w:t>
      </w:r>
      <w:r w:rsidR="000F49F2">
        <w:t xml:space="preserve">to </w:t>
      </w:r>
      <w:r w:rsidR="000B29BF">
        <w:t>take action to avoid or minimise impact a</w:t>
      </w:r>
      <w:r w:rsidR="00882D62">
        <w:t>nd allows business opportunities to be established.</w:t>
      </w:r>
      <w:r w:rsidR="0076655E">
        <w:t xml:space="preserve"> </w:t>
      </w:r>
      <w:r w:rsidR="001E6BC6">
        <w:t>D</w:t>
      </w:r>
      <w:r w:rsidR="0076655E">
        <w:t>isadvantages include it can be oversimplified</w:t>
      </w:r>
      <w:r w:rsidR="00050DF8">
        <w:t>, leading to insufficient data being used, or the opposite</w:t>
      </w:r>
      <w:r w:rsidR="005C2EF9">
        <w:t>, capturing too much dat</w:t>
      </w:r>
      <w:r w:rsidR="001B755A">
        <w:t xml:space="preserve">a.  </w:t>
      </w:r>
      <w:r w:rsidR="00FA41C9">
        <w:t xml:space="preserve">The data is only as reliable as the source, and capturing </w:t>
      </w:r>
      <w:r w:rsidR="00346790">
        <w:t>quality internal data can be time consuming, and to be effective, the process ne</w:t>
      </w:r>
      <w:r w:rsidR="0029587B">
        <w:t>e</w:t>
      </w:r>
      <w:r w:rsidR="00346790">
        <w:t>ds to be repeated on a regular basis</w:t>
      </w:r>
      <w:r w:rsidR="009D25EE">
        <w:t xml:space="preserve">.  Another </w:t>
      </w:r>
      <w:r w:rsidR="00C729D6">
        <w:t xml:space="preserve">criticism of SWOT </w:t>
      </w:r>
      <w:r w:rsidR="0029587B">
        <w:t>analyses is</w:t>
      </w:r>
      <w:r w:rsidR="00693ADA">
        <w:t xml:space="preserve"> that they fail t</w:t>
      </w:r>
      <w:r w:rsidR="00BE2280">
        <w:t>o</w:t>
      </w:r>
      <w:r w:rsidR="00693ADA">
        <w:t xml:space="preserve"> address uncertainty or dependency</w:t>
      </w:r>
      <w:r w:rsidR="00D539EB">
        <w:t xml:space="preserve"> and are simplistic.  </w:t>
      </w:r>
    </w:p>
    <w:p w14:paraId="00A16F7C" w14:textId="5D538415" w:rsidR="00E5384E" w:rsidRDefault="00042E75" w:rsidP="00671204">
      <w:pPr>
        <w:jc w:val="both"/>
      </w:pPr>
      <w:r>
        <w:t xml:space="preserve">A common </w:t>
      </w:r>
      <w:r w:rsidR="004B4911">
        <w:t>analysis method use</w:t>
      </w:r>
      <w:r w:rsidR="00A14DA9">
        <w:t xml:space="preserve">d is </w:t>
      </w:r>
      <w:r w:rsidR="00470F7D">
        <w:t>the workplace is the interview</w:t>
      </w:r>
      <w:r w:rsidR="000F5907">
        <w:t xml:space="preserve">, </w:t>
      </w:r>
      <w:r w:rsidR="00BE4228">
        <w:t xml:space="preserve">especially when dealing </w:t>
      </w:r>
      <w:r w:rsidR="00303C24">
        <w:t>the</w:t>
      </w:r>
      <w:r w:rsidR="00BE4228">
        <w:t xml:space="preserve"> challeng</w:t>
      </w:r>
      <w:r w:rsidR="00303C24">
        <w:t>ing</w:t>
      </w:r>
      <w:r w:rsidR="00BE4228">
        <w:t xml:space="preserve"> </w:t>
      </w:r>
      <w:r w:rsidR="00303C24">
        <w:t>situation of</w:t>
      </w:r>
      <w:r w:rsidR="00BE4228">
        <w:t xml:space="preserve"> </w:t>
      </w:r>
      <w:r w:rsidR="00303C24">
        <w:t>investigation meetings.  An in</w:t>
      </w:r>
      <w:r w:rsidR="00442454">
        <w:t>vestigation interview</w:t>
      </w:r>
      <w:r w:rsidR="00AD10F0" w:rsidRPr="00AD10F0">
        <w:t xml:space="preserve"> is a fact-finding exercise to collect all the relevant information on a matter. A properly conducted investigation can enable an employer to fully consider the matter and then make an informed decision on it. </w:t>
      </w:r>
      <w:proofErr w:type="gramStart"/>
      <w:r w:rsidR="00AD10F0" w:rsidRPr="00AD10F0">
        <w:t>Making a decision</w:t>
      </w:r>
      <w:proofErr w:type="gramEnd"/>
      <w:r w:rsidR="00AD10F0" w:rsidRPr="00AD10F0">
        <w:t xml:space="preserve"> without completing a reasonable investigation can make any subsequent decisions or actions unfair and leave an employer vulnerable to legal action.</w:t>
      </w:r>
      <w:r w:rsidR="00865477">
        <w:t xml:space="preserve"> (</w:t>
      </w:r>
      <w:proofErr w:type="spellStart"/>
      <w:r w:rsidR="00865477">
        <w:t>Acas</w:t>
      </w:r>
      <w:proofErr w:type="spellEnd"/>
      <w:r w:rsidR="00865477">
        <w:t xml:space="preserve"> 2019)</w:t>
      </w:r>
    </w:p>
    <w:p w14:paraId="2EE1F79D" w14:textId="087C210D" w:rsidR="00C87119" w:rsidRDefault="00C87119" w:rsidP="00671204">
      <w:pPr>
        <w:jc w:val="both"/>
      </w:pPr>
      <w:r>
        <w:t>A</w:t>
      </w:r>
      <w:r w:rsidR="002F68C5">
        <w:t xml:space="preserve">n </w:t>
      </w:r>
      <w:r>
        <w:t xml:space="preserve">investigation </w:t>
      </w:r>
      <w:r w:rsidR="002F68C5">
        <w:t>interview</w:t>
      </w:r>
      <w:r>
        <w:t xml:space="preserve"> </w:t>
      </w:r>
      <w:r w:rsidR="00351CBD">
        <w:t>allows the interviewer to gather relevant facts, probe the interviewee</w:t>
      </w:r>
      <w:r w:rsidR="00274B7F">
        <w:t xml:space="preserve"> and seek evidence that may substantiate information provided, and allows for a written record of information given.</w:t>
      </w:r>
      <w:r w:rsidR="009F4D96">
        <w:t xml:space="preserve">  Vital to a successful interview is the </w:t>
      </w:r>
      <w:r w:rsidR="00A37C74">
        <w:t>interviewer’s</w:t>
      </w:r>
      <w:r w:rsidR="009F4D96">
        <w:t xml:space="preserve"> ability to listen, </w:t>
      </w:r>
      <w:r w:rsidR="0019035E">
        <w:t>appraise body language, and ask a range of questions, to illicit the most accurate and factual evidence about the matter at hand.</w:t>
      </w:r>
      <w:r w:rsidR="002F68C5">
        <w:t xml:space="preserve"> </w:t>
      </w:r>
      <w:r w:rsidR="00865477">
        <w:t>(</w:t>
      </w:r>
      <w:proofErr w:type="spellStart"/>
      <w:r w:rsidR="00865477">
        <w:t>Acas</w:t>
      </w:r>
      <w:proofErr w:type="spellEnd"/>
      <w:r w:rsidR="00865477">
        <w:t xml:space="preserve"> 2019)</w:t>
      </w:r>
    </w:p>
    <w:p w14:paraId="1115EF7B" w14:textId="12E25AE5" w:rsidR="006E1CA9" w:rsidRDefault="006E1CA9" w:rsidP="00671204">
      <w:pPr>
        <w:jc w:val="both"/>
      </w:pPr>
      <w:r>
        <w:t>An investi</w:t>
      </w:r>
      <w:r w:rsidR="00E3147A">
        <w:t>gation interview i</w:t>
      </w:r>
      <w:r w:rsidR="007D4D45">
        <w:t>n the work</w:t>
      </w:r>
      <w:r w:rsidR="00251ACA">
        <w:t>place i</w:t>
      </w:r>
      <w:r w:rsidR="00E3147A">
        <w:t>s not normally carried out by the</w:t>
      </w:r>
      <w:r w:rsidR="007D4D45">
        <w:t xml:space="preserve"> overall</w:t>
      </w:r>
      <w:r w:rsidR="00E3147A">
        <w:t xml:space="preserve"> decision maker</w:t>
      </w:r>
      <w:r w:rsidR="007D4D45">
        <w:t>, i</w:t>
      </w:r>
      <w:r w:rsidR="00251ACA">
        <w:t>t needs to be someone senior to the interviewee, such as a line manager or a supervisor</w:t>
      </w:r>
      <w:r w:rsidR="00CD1683">
        <w:t xml:space="preserve"> who is detached from the situation at </w:t>
      </w:r>
      <w:r w:rsidR="002478D1">
        <w:t>hand and</w:t>
      </w:r>
      <w:r w:rsidR="00C2262E">
        <w:t xml:space="preserve"> is purely a method for collecting facts for onward consideration, for example potential outcome such as warnings or whether </w:t>
      </w:r>
      <w:r w:rsidR="00022D27">
        <w:t xml:space="preserve">disciplinary action is required. </w:t>
      </w:r>
      <w:r w:rsidR="00720DB6">
        <w:t xml:space="preserve">  CIPD </w:t>
      </w:r>
      <w:r w:rsidR="000657A0">
        <w:t>(</w:t>
      </w:r>
      <w:r w:rsidR="00720DB6">
        <w:t>2024</w:t>
      </w:r>
      <w:r w:rsidR="000657A0">
        <w:t>)</w:t>
      </w:r>
      <w:r w:rsidR="00720DB6">
        <w:t xml:space="preserve"> outlines the </w:t>
      </w:r>
      <w:r w:rsidR="001D7968">
        <w:t xml:space="preserve">key legal principles to any grievance practice, </w:t>
      </w:r>
      <w:r w:rsidR="00443FDA">
        <w:t xml:space="preserve">including the interview itself, </w:t>
      </w:r>
      <w:r w:rsidR="00FC6212">
        <w:t xml:space="preserve">which </w:t>
      </w:r>
      <w:r w:rsidR="00443FDA">
        <w:t xml:space="preserve">covers fair and practical elements for </w:t>
      </w:r>
      <w:r w:rsidR="00FC6212">
        <w:t xml:space="preserve">both the employer and employee </w:t>
      </w:r>
      <w:r w:rsidR="00443FDA">
        <w:t>, for example h</w:t>
      </w:r>
      <w:r w:rsidR="00DC48D7" w:rsidRPr="00DC48D7">
        <w:t>old</w:t>
      </w:r>
      <w:r w:rsidR="00443FDA">
        <w:t>ing</w:t>
      </w:r>
      <w:r w:rsidR="00DC48D7" w:rsidRPr="00DC48D7">
        <w:t xml:space="preserve"> the meeting promptly while allowing the employee reasonable time to prepare their case</w:t>
      </w:r>
      <w:r w:rsidR="00443FDA">
        <w:t>, e</w:t>
      </w:r>
      <w:r w:rsidR="00443FDA" w:rsidRPr="00DC48D7">
        <w:t>nsure that where possible a different manager conducts the meeting to the person conducting the investigati</w:t>
      </w:r>
      <w:r w:rsidR="00443FDA">
        <w:t>on and a</w:t>
      </w:r>
      <w:r w:rsidR="00443FDA" w:rsidRPr="00DC48D7">
        <w:t>llow</w:t>
      </w:r>
      <w:r w:rsidR="00443FDA">
        <w:t>ing</w:t>
      </w:r>
      <w:r w:rsidR="00443FDA" w:rsidRPr="00DC48D7">
        <w:t xml:space="preserve"> the employee to be accompanied at the meeting by a trade union official or colleague when requested</w:t>
      </w:r>
      <w:r w:rsidR="00443FDA">
        <w:t>.</w:t>
      </w:r>
    </w:p>
    <w:p w14:paraId="460D8093" w14:textId="1D709233" w:rsidR="00384C6C" w:rsidRDefault="00BD7AF0" w:rsidP="00671204">
      <w:pPr>
        <w:jc w:val="both"/>
      </w:pPr>
      <w:r>
        <w:t>Critical Thinking</w:t>
      </w:r>
      <w:r w:rsidR="00F538B7">
        <w:t xml:space="preserve"> </w:t>
      </w:r>
      <w:r w:rsidR="0062646D">
        <w:t>(1.3)</w:t>
      </w:r>
    </w:p>
    <w:p w14:paraId="1ADA095D" w14:textId="63652CBE" w:rsidR="00384C6C" w:rsidRDefault="00384C6C" w:rsidP="00671204">
      <w:pPr>
        <w:jc w:val="both"/>
      </w:pPr>
      <w:r>
        <w:t xml:space="preserve">Critical thinking clarifies goals, examines assumptions, discerns hidden </w:t>
      </w:r>
      <w:r w:rsidR="00475ACE">
        <w:t>values, evaluates evidence, accomplishes actions and assesses conclusions.</w:t>
      </w:r>
    </w:p>
    <w:p w14:paraId="4BBB73A5" w14:textId="41CAC3EF" w:rsidR="00A85C1A" w:rsidRDefault="00BA1CDC" w:rsidP="00671204">
      <w:pPr>
        <w:jc w:val="both"/>
      </w:pPr>
      <w:r>
        <w:lastRenderedPageBreak/>
        <w:t xml:space="preserve">Briner et al (2009) recommended a </w:t>
      </w:r>
      <w:r w:rsidR="00864CD9">
        <w:t>five-step</w:t>
      </w:r>
      <w:r>
        <w:t xml:space="preserve"> approach </w:t>
      </w:r>
      <w:r w:rsidR="00880F21">
        <w:t>to Evidence-Based Practice</w:t>
      </w:r>
      <w:r w:rsidR="00130C06">
        <w:t xml:space="preserve">, </w:t>
      </w:r>
      <w:r w:rsidR="000C7FB4">
        <w:t>which includes understanding of the problem, gathering internal evidence</w:t>
      </w:r>
      <w:r w:rsidR="007F05DA">
        <w:t>, reviewing public research, collecting stakeholder views, and appraising sources</w:t>
      </w:r>
      <w:r w:rsidR="009419C4">
        <w:t xml:space="preserve"> critically.</w:t>
      </w:r>
    </w:p>
    <w:p w14:paraId="58961EFE" w14:textId="33032832" w:rsidR="000C0E0A" w:rsidRDefault="00594675" w:rsidP="00671204">
      <w:pPr>
        <w:jc w:val="both"/>
      </w:pPr>
      <w:r>
        <w:t>Critically</w:t>
      </w:r>
      <w:r w:rsidR="002C14BD">
        <w:t xml:space="preserve"> thinking and</w:t>
      </w:r>
      <w:r>
        <w:t xml:space="preserve"> appraising, is the process of </w:t>
      </w:r>
      <w:r w:rsidR="0029587B">
        <w:t>analysing</w:t>
      </w:r>
      <w:r>
        <w:t xml:space="preserve"> and evaluating the quality of</w:t>
      </w:r>
      <w:r w:rsidR="00974ADE">
        <w:t xml:space="preserve"> ideas, theories and concepts to establish the degree </w:t>
      </w:r>
      <w:r w:rsidR="00702676">
        <w:t>to which they are valid and supported by the evidence</w:t>
      </w:r>
      <w:r w:rsidR="001F0DBA">
        <w:t xml:space="preserve"> and not biased</w:t>
      </w:r>
      <w:r w:rsidR="00702676">
        <w:t>.</w:t>
      </w:r>
      <w:r w:rsidR="00A339E2">
        <w:t xml:space="preserve"> It involves </w:t>
      </w:r>
      <w:r w:rsidR="002C14BD">
        <w:t>reflecting</w:t>
      </w:r>
      <w:r w:rsidR="00A339E2">
        <w:t xml:space="preserve"> on and interpreting data, drawing warranted conclusions and </w:t>
      </w:r>
      <w:r w:rsidR="00915791">
        <w:t xml:space="preserve">recognising ill-defined assumptions.  </w:t>
      </w:r>
      <w:r w:rsidR="00363116">
        <w:t xml:space="preserve">Critical evaluation does not mean negative criticism, it means reaching a judgement based on analysis </w:t>
      </w:r>
      <w:r w:rsidR="009D7BC8">
        <w:t>and evidence, and the judgement can be both positive and negative.</w:t>
      </w:r>
      <w:r w:rsidR="00997601">
        <w:t xml:space="preserve"> </w:t>
      </w:r>
      <w:r w:rsidR="003E1FAC">
        <w:t>(Armstrong</w:t>
      </w:r>
      <w:r w:rsidR="00390CCB">
        <w:t xml:space="preserve"> 2017)</w:t>
      </w:r>
    </w:p>
    <w:p w14:paraId="3ED50141" w14:textId="3A145848" w:rsidR="00C62CA1" w:rsidRDefault="00D202BC" w:rsidP="00671204">
      <w:pPr>
        <w:jc w:val="both"/>
      </w:pPr>
      <w:r>
        <w:t xml:space="preserve">Howlett (CIPD, 2019) </w:t>
      </w:r>
      <w:r w:rsidR="009332FF">
        <w:t>states</w:t>
      </w:r>
      <w:r>
        <w:t xml:space="preserve"> that there are 3 simple steps to critical thinking</w:t>
      </w:r>
      <w:r w:rsidR="004F284A">
        <w:t xml:space="preserve">, </w:t>
      </w:r>
      <w:r w:rsidR="00C74301">
        <w:t>critiquing</w:t>
      </w:r>
      <w:r w:rsidR="004F284A">
        <w:t xml:space="preserve"> ideas, opinions and arguments of others, </w:t>
      </w:r>
      <w:r w:rsidR="000B3CBF">
        <w:t xml:space="preserve">constructing argument and opinion then communicating it to others, and identifying when </w:t>
      </w:r>
      <w:r w:rsidR="00880618">
        <w:t xml:space="preserve">others are using critical thinking techniques that impact how the professional is making a case or building an </w:t>
      </w:r>
      <w:r w:rsidR="003B5F7A">
        <w:t xml:space="preserve">argument. </w:t>
      </w:r>
      <w:r w:rsidR="00B2019E">
        <w:t xml:space="preserve"> According to Howlett, by using these three factors</w:t>
      </w:r>
      <w:r w:rsidR="00F35349">
        <w:t xml:space="preserve">, an individual is equipped to create strategic debate in meetings, most specifically </w:t>
      </w:r>
      <w:r w:rsidR="00F71BC3">
        <w:t xml:space="preserve">cross functionally when there may be gaps in knowledge between attendees.  </w:t>
      </w:r>
      <w:r w:rsidR="003B5F7A">
        <w:t xml:space="preserve"> </w:t>
      </w:r>
    </w:p>
    <w:p w14:paraId="2BBA6138" w14:textId="1CF60639" w:rsidR="0029013F" w:rsidRDefault="001A656C" w:rsidP="00671204">
      <w:pPr>
        <w:jc w:val="both"/>
      </w:pPr>
      <w:r>
        <w:t>In organisat</w:t>
      </w:r>
      <w:r w:rsidR="00D25348">
        <w:t>ions</w:t>
      </w:r>
      <w:r>
        <w:t xml:space="preserve"> critical thinking is an invaluable tool that allow</w:t>
      </w:r>
      <w:r w:rsidR="00E73B48">
        <w:t>s</w:t>
      </w:r>
      <w:r>
        <w:t xml:space="preserve"> </w:t>
      </w:r>
      <w:r w:rsidR="00893FA8">
        <w:t>people professionals</w:t>
      </w:r>
      <w:r w:rsidR="00ED26DA">
        <w:t xml:space="preserve"> to overcome a problem or a task</w:t>
      </w:r>
      <w:r w:rsidR="000C47E4">
        <w:t xml:space="preserve">, for example developing a new strategy or </w:t>
      </w:r>
      <w:r w:rsidR="000B5A13">
        <w:t>evaluating an existing one</w:t>
      </w:r>
      <w:r w:rsidR="007F2846">
        <w:t>.</w:t>
      </w:r>
      <w:r w:rsidR="009D6DD5">
        <w:t xml:space="preserve">  </w:t>
      </w:r>
      <w:r w:rsidR="00133011">
        <w:t>Employers, globally, want employees who have developed critical think</w:t>
      </w:r>
      <w:r w:rsidR="009A7D8B">
        <w:t xml:space="preserve">ing </w:t>
      </w:r>
      <w:r w:rsidR="009A37C2">
        <w:t>abilities, t</w:t>
      </w:r>
      <w:r w:rsidR="009A7D8B">
        <w:t xml:space="preserve">hey need people who can bring an open mind, be </w:t>
      </w:r>
      <w:r w:rsidR="00FD7824">
        <w:t>self-reflective</w:t>
      </w:r>
      <w:r w:rsidR="009A7D8B">
        <w:t>, able to assess issues fairly from multiple perspectives and challenge</w:t>
      </w:r>
      <w:r w:rsidR="00391E9F">
        <w:t xml:space="preserve"> conventional ways of thinking about the business (Diamond et al.,2011)</w:t>
      </w:r>
      <w:r w:rsidR="00D25348">
        <w:t>.</w:t>
      </w:r>
    </w:p>
    <w:p w14:paraId="40E7F226" w14:textId="63B725BA" w:rsidR="00AB0FFA" w:rsidRDefault="0062646D" w:rsidP="00671204">
      <w:pPr>
        <w:jc w:val="both"/>
      </w:pPr>
      <w:r>
        <w:t>Decision Making (1.4)</w:t>
      </w:r>
    </w:p>
    <w:p w14:paraId="1525D67B" w14:textId="3D7D2C1F" w:rsidR="00A96F4C" w:rsidRDefault="00EB4A56" w:rsidP="00671204">
      <w:pPr>
        <w:jc w:val="both"/>
      </w:pPr>
      <w:r>
        <w:t>In HR, decision-makin</w:t>
      </w:r>
      <w:r w:rsidR="00220E31">
        <w:t>g frameworks like best practice, best fit, and Six Thinking Hats support effective strategic planning.</w:t>
      </w:r>
      <w:r w:rsidR="00FE3726">
        <w:t xml:space="preserve"> </w:t>
      </w:r>
      <w:hyperlink r:id="rId7" w:tgtFrame="_blank" w:history="1">
        <w:r w:rsidR="00A112B8" w:rsidRPr="00911398">
          <w:rPr>
            <w:rStyle w:val="Hyperlink"/>
            <w:color w:val="auto"/>
            <w:u w:val="none"/>
          </w:rPr>
          <w:t>Best fit in HRM refers to the approach of aligning human resource policies and practices with the organization's strategic goals and objectives</w:t>
        </w:r>
      </w:hyperlink>
      <w:r w:rsidR="00A112B8" w:rsidRPr="00911398">
        <w:t>. </w:t>
      </w:r>
      <w:hyperlink r:id="rId8" w:tgtFrame="_blank" w:history="1">
        <w:r w:rsidR="00A112B8" w:rsidRPr="00911398">
          <w:rPr>
            <w:rStyle w:val="Hyperlink"/>
            <w:color w:val="auto"/>
            <w:u w:val="none"/>
          </w:rPr>
          <w:t>The best fit model in HR strategy recognizes that there is no one-size-fits-all approach to HR management, and emphasizes the importance of understanding the unique needs and goals of the organization, and tailoring HR policies and practices to support these objectives</w:t>
        </w:r>
      </w:hyperlink>
      <w:r w:rsidR="00A112B8" w:rsidRPr="00911398">
        <w:t>. </w:t>
      </w:r>
      <w:hyperlink r:id="rId9" w:tgtFrame="_blank" w:history="1">
        <w:r w:rsidR="00A112B8" w:rsidRPr="00911398">
          <w:rPr>
            <w:rStyle w:val="Hyperlink"/>
            <w:color w:val="auto"/>
            <w:u w:val="none"/>
          </w:rPr>
          <w:t xml:space="preserve">The “best-fit” approach emphasizes contingency fit between HR activities and the organization’s stage of development, an organization’s internal structures and its external environment like clients, suppliers, competition and </w:t>
        </w:r>
        <w:r w:rsidR="00C834B4" w:rsidRPr="00911398">
          <w:rPr>
            <w:rStyle w:val="Hyperlink"/>
            <w:color w:val="auto"/>
            <w:u w:val="none"/>
          </w:rPr>
          <w:t>labour</w:t>
        </w:r>
        <w:r w:rsidR="00A112B8" w:rsidRPr="00911398">
          <w:rPr>
            <w:rStyle w:val="Hyperlink"/>
            <w:color w:val="auto"/>
            <w:u w:val="none"/>
          </w:rPr>
          <w:t xml:space="preserve"> markets</w:t>
        </w:r>
      </w:hyperlink>
      <w:r w:rsidR="00A112B8" w:rsidRPr="00A112B8">
        <w:t>.</w:t>
      </w:r>
      <w:r w:rsidR="00ED1574">
        <w:t xml:space="preserve"> </w:t>
      </w:r>
      <w:r w:rsidR="00ED1574" w:rsidRPr="00ED1574">
        <w:t>By taking a best fit approach, organisations get flexible, relevant solutions that are designed by balancing business and HR goals, current best practice and the unique company culture and processes. Such solutions are more likely to be readily accepted by employees and will enable organisations to gain a </w:t>
      </w:r>
      <w:hyperlink r:id="rId10" w:tgtFrame="_blank" w:tooltip="Why workplace trust creates a productive and engaged team" w:history="1">
        <w:r w:rsidR="00ED1574" w:rsidRPr="007260D6">
          <w:rPr>
            <w:rStyle w:val="Hyperlink"/>
            <w:color w:val="auto"/>
            <w:u w:val="none"/>
          </w:rPr>
          <w:t>competitive advantage</w:t>
        </w:r>
      </w:hyperlink>
      <w:r w:rsidR="00ED1574" w:rsidRPr="00ED1574">
        <w:t> by meeting specific business needs, which can in turn lead to enhanced business results.</w:t>
      </w:r>
      <w:r w:rsidR="007260D6">
        <w:t xml:space="preserve"> (Gifford 2021</w:t>
      </w:r>
      <w:r w:rsidR="002328E7">
        <w:t>)</w:t>
      </w:r>
    </w:p>
    <w:p w14:paraId="7393F40E" w14:textId="1670C741" w:rsidR="005F2AC9" w:rsidRDefault="00BF3987" w:rsidP="00671204">
      <w:pPr>
        <w:jc w:val="both"/>
      </w:pPr>
      <w:r>
        <w:t>Six Thinking Hats is a</w:t>
      </w:r>
      <w:r w:rsidR="00575C05">
        <w:t xml:space="preserve"> creative method </w:t>
      </w:r>
      <w:r w:rsidR="00D62331">
        <w:t>used in decision making</w:t>
      </w:r>
      <w:r w:rsidR="00502752">
        <w:t>,</w:t>
      </w:r>
      <w:r w:rsidR="00D62331">
        <w:t xml:space="preserve"> </w:t>
      </w:r>
      <w:r w:rsidR="00E64A07">
        <w:t>help</w:t>
      </w:r>
      <w:r w:rsidR="00502752">
        <w:t>ing</w:t>
      </w:r>
      <w:r w:rsidR="00E64A07">
        <w:t xml:space="preserve"> an individual to think outs</w:t>
      </w:r>
      <w:r w:rsidR="00A310A6">
        <w:t>ide the box</w:t>
      </w:r>
      <w:r w:rsidR="003767F9">
        <w:t>.  Six Thinking hats (de Bono</w:t>
      </w:r>
      <w:r w:rsidR="00016BC5">
        <w:t xml:space="preserve">, in Watson, 2014) explores the use of different </w:t>
      </w:r>
      <w:r w:rsidR="00016BC5">
        <w:lastRenderedPageBreak/>
        <w:t>perspectives when</w:t>
      </w:r>
      <w:r w:rsidR="009E095F">
        <w:t xml:space="preserve"> decision making.  De Bono states that thinking is the ultimate human resourcing</w:t>
      </w:r>
      <w:r w:rsidR="00F730C1">
        <w:t>, however the main difficulty to thinking is confusion, we try and do too much all at once</w:t>
      </w:r>
      <w:r w:rsidR="00DF003E">
        <w:t>.  Emotions, information, logic, hope and creativity all crowd in on us, like juggling too many balls</w:t>
      </w:r>
      <w:r w:rsidR="006A0AB7">
        <w:t xml:space="preserve">.  </w:t>
      </w:r>
    </w:p>
    <w:p w14:paraId="3C47E922" w14:textId="6CE600BB" w:rsidR="00B01BAB" w:rsidRDefault="00382DFD" w:rsidP="00671204">
      <w:pPr>
        <w:jc w:val="both"/>
      </w:pPr>
      <w:r>
        <w:t>Each</w:t>
      </w:r>
      <w:r w:rsidR="009C2F94">
        <w:t xml:space="preserve"> </w:t>
      </w:r>
      <w:r w:rsidR="00C74247">
        <w:t xml:space="preserve">coloured </w:t>
      </w:r>
      <w:r>
        <w:t>hat</w:t>
      </w:r>
      <w:r w:rsidR="00307034">
        <w:t xml:space="preserve"> symbolises a different approach:</w:t>
      </w:r>
      <w:r w:rsidR="002F1FDC">
        <w:t xml:space="preserve"> </w:t>
      </w:r>
      <w:r w:rsidR="00DE6FAF">
        <w:t>w</w:t>
      </w:r>
      <w:r w:rsidR="00FE23E7">
        <w:t>hite</w:t>
      </w:r>
      <w:r w:rsidR="00E06D2C">
        <w:t xml:space="preserve"> </w:t>
      </w:r>
      <w:r w:rsidR="00DE6FAF">
        <w:t xml:space="preserve">focuses on data and facts, </w:t>
      </w:r>
      <w:r w:rsidR="00664F73">
        <w:t>r</w:t>
      </w:r>
      <w:r w:rsidR="00E37C71">
        <w:t xml:space="preserve">ed </w:t>
      </w:r>
      <w:r w:rsidR="00664F73">
        <w:t xml:space="preserve">on </w:t>
      </w:r>
      <w:r w:rsidR="00064F58">
        <w:t xml:space="preserve">emotional </w:t>
      </w:r>
      <w:r w:rsidR="00664F73">
        <w:t>perspectives, b</w:t>
      </w:r>
      <w:r w:rsidR="00297D59">
        <w:t>on caution and risk, y</w:t>
      </w:r>
      <w:r w:rsidR="00064F58">
        <w:t>ellow</w:t>
      </w:r>
      <w:r w:rsidR="00297D59">
        <w:t xml:space="preserve"> on optimism</w:t>
      </w:r>
      <w:r w:rsidR="002F1FDC">
        <w:t>, g</w:t>
      </w:r>
      <w:r w:rsidR="00F35434">
        <w:t>reen</w:t>
      </w:r>
      <w:r w:rsidR="00E06D2C">
        <w:t xml:space="preserve"> </w:t>
      </w:r>
      <w:r w:rsidR="002F1FDC">
        <w:t>on</w:t>
      </w:r>
      <w:r w:rsidR="004A5738">
        <w:t xml:space="preserve"> creativity</w:t>
      </w:r>
      <w:r w:rsidR="002F1FDC">
        <w:t>,</w:t>
      </w:r>
      <w:r w:rsidR="009E2BB7">
        <w:t xml:space="preserve"> </w:t>
      </w:r>
      <w:r w:rsidR="002F1FDC">
        <w:t>b</w:t>
      </w:r>
      <w:r w:rsidR="009E2BB7">
        <w:t xml:space="preserve">lue </w:t>
      </w:r>
      <w:r w:rsidR="003948DC">
        <w:t xml:space="preserve">on </w:t>
      </w:r>
      <w:r w:rsidR="00CA45B6">
        <w:t xml:space="preserve">organisation </w:t>
      </w:r>
      <w:r w:rsidR="003948DC">
        <w:t xml:space="preserve">and process control. </w:t>
      </w:r>
      <w:r w:rsidR="004371A4">
        <w:t xml:space="preserve"> </w:t>
      </w:r>
      <w:r w:rsidR="001A0314">
        <w:t xml:space="preserve">Six Thinking Hats </w:t>
      </w:r>
      <w:r w:rsidR="000316DA">
        <w:t>work</w:t>
      </w:r>
      <w:r w:rsidR="00A02613">
        <w:t>s</w:t>
      </w:r>
      <w:r w:rsidR="000316DA">
        <w:t xml:space="preserve"> </w:t>
      </w:r>
      <w:r w:rsidR="00DF79BA">
        <w:t>well w</w:t>
      </w:r>
      <w:r w:rsidR="00FA202C">
        <w:t xml:space="preserve">here multiple stakeholders are </w:t>
      </w:r>
      <w:r w:rsidR="0060342A">
        <w:t>involved, multiple personality types may cause conflict</w:t>
      </w:r>
      <w:r w:rsidR="00426B26">
        <w:t xml:space="preserve"> and this</w:t>
      </w:r>
      <w:r w:rsidR="00A02613">
        <w:t xml:space="preserve"> method</w:t>
      </w:r>
      <w:r w:rsidR="00426B26">
        <w:t xml:space="preserve"> </w:t>
      </w:r>
      <w:r w:rsidR="008A4BEB">
        <w:t xml:space="preserve">allows the thinker </w:t>
      </w:r>
      <w:r w:rsidR="001C79ED">
        <w:t xml:space="preserve">to do one thing at a time, to separate out </w:t>
      </w:r>
      <w:r w:rsidR="00D244B5">
        <w:t>emotion from logic, creativity from information etc</w:t>
      </w:r>
      <w:r w:rsidR="00A06C1E">
        <w:t xml:space="preserve">, rather than multiple stakeholders each trying to </w:t>
      </w:r>
      <w:r w:rsidR="001A65BF">
        <w:t>wear all hats at the same time.</w:t>
      </w:r>
    </w:p>
    <w:p w14:paraId="216EE5E9" w14:textId="28927D0F" w:rsidR="0010751C" w:rsidRDefault="00927EC5" w:rsidP="00671204">
      <w:pPr>
        <w:jc w:val="both"/>
      </w:pPr>
      <w:r>
        <w:t>E</w:t>
      </w:r>
      <w:r w:rsidR="00A579A5">
        <w:t>thics (1.5)</w:t>
      </w:r>
    </w:p>
    <w:p w14:paraId="66D33490" w14:textId="2A242C2E" w:rsidR="006F4618" w:rsidRDefault="00B80F9B" w:rsidP="00671204">
      <w:pPr>
        <w:jc w:val="both"/>
      </w:pPr>
      <w:r>
        <w:t>Ethics</w:t>
      </w:r>
      <w:r w:rsidR="008845CE">
        <w:t xml:space="preserve"> are founda</w:t>
      </w:r>
      <w:r w:rsidR="009C0C42">
        <w:t xml:space="preserve">tional to HR practices, offering a framework for equitable treatment and just workplace </w:t>
      </w:r>
      <w:r w:rsidR="00DF5450">
        <w:t>practices.</w:t>
      </w:r>
      <w:r>
        <w:t xml:space="preserve"> </w:t>
      </w:r>
      <w:r w:rsidR="00241B3B">
        <w:t xml:space="preserve">CIPD (2015) </w:t>
      </w:r>
      <w:r w:rsidR="00EB123A" w:rsidRPr="00EB123A">
        <w:t>identifies eight</w:t>
      </w:r>
      <w:r w:rsidR="008D7A4B">
        <w:t xml:space="preserve"> ethical</w:t>
      </w:r>
      <w:r w:rsidR="00EB123A" w:rsidRPr="00EB123A">
        <w:t xml:space="preserve"> lenses, none of which represent the ‘right’ or ‘wrong’ ways of making decisions in the workplace, but offer different perspectives on work dilemmas</w:t>
      </w:r>
      <w:r w:rsidR="008D7A4B">
        <w:t xml:space="preserve">, </w:t>
      </w:r>
      <w:r w:rsidR="001B0AFE">
        <w:t xml:space="preserve">these are </w:t>
      </w:r>
      <w:r w:rsidR="00513C35">
        <w:t>fairness, merits, markets, democracy, well-being, rights and duties, character and handing down.</w:t>
      </w:r>
      <w:r w:rsidR="009D5637">
        <w:t xml:space="preserve">  From a people practice </w:t>
      </w:r>
      <w:r w:rsidR="001B0AFE">
        <w:t>perspective,</w:t>
      </w:r>
      <w:r w:rsidR="006F4618">
        <w:t xml:space="preserve"> </w:t>
      </w:r>
      <w:r w:rsidR="000657A0">
        <w:t>organisational</w:t>
      </w:r>
      <w:r w:rsidR="006F4618">
        <w:t xml:space="preserve"> r</w:t>
      </w:r>
      <w:r w:rsidR="006F4618" w:rsidRPr="006F4618">
        <w:t xml:space="preserve">eputations are based not only </w:t>
      </w:r>
      <w:proofErr w:type="gramStart"/>
      <w:r w:rsidR="006F4618" w:rsidRPr="006F4618">
        <w:t xml:space="preserve">on </w:t>
      </w:r>
      <w:r w:rsidR="006F4618">
        <w:t xml:space="preserve"> its</w:t>
      </w:r>
      <w:proofErr w:type="gramEnd"/>
      <w:r w:rsidR="006F4618">
        <w:t xml:space="preserve"> </w:t>
      </w:r>
      <w:r w:rsidR="006F4618" w:rsidRPr="006F4618">
        <w:t>delivery of its products and services, but on how it values its relationships with its staff and stakeholders, and how it establishes responsibility and accountability towards them.</w:t>
      </w:r>
    </w:p>
    <w:p w14:paraId="29BBAE64" w14:textId="7C3C9DB9" w:rsidR="00516D17" w:rsidRDefault="00082BD2" w:rsidP="00671204">
      <w:pPr>
        <w:jc w:val="both"/>
      </w:pPr>
      <w:r>
        <w:t>There are 4 concepts to Ethic</w:t>
      </w:r>
      <w:r w:rsidR="00E70E6A">
        <w:t xml:space="preserve">al frameworks in </w:t>
      </w:r>
      <w:r w:rsidR="00F767BD">
        <w:t>HRM</w:t>
      </w:r>
      <w:r w:rsidR="00E70E6A">
        <w:t>, Deontological theory, Util</w:t>
      </w:r>
      <w:r w:rsidR="007B52F1">
        <w:t xml:space="preserve">itarianism, Stakeholder theory and Discourse ethics. </w:t>
      </w:r>
      <w:r w:rsidR="00393F47">
        <w:t>As Boxall</w:t>
      </w:r>
      <w:r w:rsidR="000728AE">
        <w:t xml:space="preserve"> et al (2007) stated: </w:t>
      </w:r>
      <w:r w:rsidR="002B3CBC">
        <w:t>‘While HRM does need to support commercial outcomes (the business case</w:t>
      </w:r>
      <w:r w:rsidR="006E16E9">
        <w:t>)</w:t>
      </w:r>
      <w:r w:rsidR="00CA7E59">
        <w:t>, it also exists to serve the org</w:t>
      </w:r>
      <w:r w:rsidR="00D900FB">
        <w:t>anisational needs for social legitimacy</w:t>
      </w:r>
      <w:r w:rsidR="00451A36">
        <w:t>’.  This means exercising social responsibility</w:t>
      </w:r>
      <w:r w:rsidR="00E42EEC">
        <w:t xml:space="preserve">, being concerned for the interests of employees and acting ethically </w:t>
      </w:r>
      <w:r w:rsidR="00881A21">
        <w:t>to the needs of the people in the organisation</w:t>
      </w:r>
      <w:r w:rsidR="006D548B">
        <w:t>.</w:t>
      </w:r>
    </w:p>
    <w:p w14:paraId="48F58405" w14:textId="0EFC736C" w:rsidR="005D3415" w:rsidRPr="005D3415" w:rsidRDefault="00BC4B67" w:rsidP="00671204">
      <w:pPr>
        <w:jc w:val="both"/>
      </w:pPr>
      <w:r>
        <w:t>Utilitarianism</w:t>
      </w:r>
      <w:r w:rsidR="00E3529E">
        <w:t xml:space="preserve"> </w:t>
      </w:r>
      <w:r w:rsidR="006D548B">
        <w:t>is</w:t>
      </w:r>
      <w:r w:rsidR="00E3529E">
        <w:t xml:space="preserve"> the belief that the highest principle of morality </w:t>
      </w:r>
      <w:r w:rsidR="00A44E8D">
        <w:t>is to maximize</w:t>
      </w:r>
      <w:r w:rsidR="005777E2">
        <w:t xml:space="preserve"> </w:t>
      </w:r>
      <w:r w:rsidR="00A44E8D">
        <w:t xml:space="preserve">happiness, the overall balance of pleasure against pain. </w:t>
      </w:r>
      <w:r w:rsidR="008E6FFB">
        <w:t xml:space="preserve">Actions </w:t>
      </w:r>
      <w:r w:rsidR="00976060">
        <w:t>are justified when they result in the greatest good to the greatest number</w:t>
      </w:r>
      <w:r w:rsidR="0041356E">
        <w:t>. Thi</w:t>
      </w:r>
      <w:r w:rsidR="00127B53">
        <w:t xml:space="preserve">s can be </w:t>
      </w:r>
      <w:r w:rsidR="00D9045C">
        <w:t>criticised</w:t>
      </w:r>
      <w:r w:rsidR="00AC6963">
        <w:t>, as supports the dubious principle that the end justifies the means.</w:t>
      </w:r>
      <w:r w:rsidR="00D82A77">
        <w:t xml:space="preserve">  </w:t>
      </w:r>
      <w:r w:rsidR="00D82A77" w:rsidRPr="00D82A77">
        <w:t xml:space="preserve">One example of utilitarianism in business is the practice of having tiered pricing for a product or service to different types of customers. For example, </w:t>
      </w:r>
      <w:r w:rsidR="005D7293">
        <w:t>an</w:t>
      </w:r>
      <w:r w:rsidR="00D82A77" w:rsidRPr="00D82A77">
        <w:t xml:space="preserve"> airline offers first, business and economy class seats on their airplanes.</w:t>
      </w:r>
      <w:r w:rsidR="005D3415">
        <w:t xml:space="preserve">  </w:t>
      </w:r>
      <w:r w:rsidR="005D3415" w:rsidRPr="005D3415">
        <w:t xml:space="preserve">Customers who fly first or business class pay a higher rate than those in economy, but they also get more amenities. However, the higher prices paid for business or </w:t>
      </w:r>
      <w:r w:rsidRPr="005D3415">
        <w:t>first-class</w:t>
      </w:r>
      <w:r w:rsidR="005D3415" w:rsidRPr="005D3415">
        <w:t xml:space="preserve"> seats help to ease the airline’s financial burden created by making room for economy class seats. </w:t>
      </w:r>
    </w:p>
    <w:p w14:paraId="78F16FA0" w14:textId="36A81043" w:rsidR="005D3415" w:rsidRPr="005D3415" w:rsidRDefault="005D3415" w:rsidP="00671204">
      <w:pPr>
        <w:jc w:val="both"/>
      </w:pPr>
      <w:r w:rsidRPr="005D3415">
        <w:t xml:space="preserve">The main limitation to utilitarian ethics is that it is difficult to achieve in the workplace. People are taught to focus on self before others, making it difficult to practice utilitarianism. </w:t>
      </w:r>
    </w:p>
    <w:p w14:paraId="4A77EDD1" w14:textId="006BAFD7" w:rsidR="00C13C28" w:rsidRDefault="00C13C28" w:rsidP="00671204">
      <w:pPr>
        <w:jc w:val="both"/>
      </w:pPr>
      <w:r>
        <w:t>Stakeholder theory</w:t>
      </w:r>
      <w:r w:rsidR="00FA0D43">
        <w:t xml:space="preserve"> states</w:t>
      </w:r>
      <w:r w:rsidR="00117857">
        <w:t xml:space="preserve"> that an </w:t>
      </w:r>
      <w:r w:rsidR="00D9045C">
        <w:t>organisation</w:t>
      </w:r>
      <w:r w:rsidR="00117857">
        <w:t xml:space="preserve"> should be managed </w:t>
      </w:r>
      <w:r w:rsidR="00D9045C">
        <w:t>on</w:t>
      </w:r>
      <w:r w:rsidR="00117857">
        <w:t xml:space="preserve"> behalf of its stakeholders: its owners, employers</w:t>
      </w:r>
      <w:r w:rsidR="00A364DA">
        <w:t xml:space="preserve">, customers, suppliers and local communities.  As Legge (1998) described </w:t>
      </w:r>
      <w:r w:rsidR="00A364DA">
        <w:lastRenderedPageBreak/>
        <w:t>it</w:t>
      </w:r>
      <w:r w:rsidR="00736163">
        <w:t xml:space="preserve">, management must act in the interests of the stakeholders as their agent, </w:t>
      </w:r>
      <w:proofErr w:type="gramStart"/>
      <w:r w:rsidR="00736163">
        <w:t>and also</w:t>
      </w:r>
      <w:proofErr w:type="gramEnd"/>
      <w:r w:rsidR="00736163">
        <w:t xml:space="preserve"> act in</w:t>
      </w:r>
      <w:r w:rsidR="00FA0D43">
        <w:t xml:space="preserve"> </w:t>
      </w:r>
      <w:r w:rsidR="00736163">
        <w:t>the interests of the organisation to ensure the survival</w:t>
      </w:r>
      <w:r w:rsidR="00277696">
        <w:t xml:space="preserve"> of the firm, safeguarding the </w:t>
      </w:r>
      <w:r w:rsidR="003D31E7">
        <w:t>long-term</w:t>
      </w:r>
      <w:r w:rsidR="00277696">
        <w:t xml:space="preserve"> stakes of each group.</w:t>
      </w:r>
      <w:r w:rsidR="00FA0D43">
        <w:t xml:space="preserve">  Stakeholder theory </w:t>
      </w:r>
      <w:r w:rsidR="005852AD">
        <w:t>emphasises</w:t>
      </w:r>
      <w:r w:rsidR="00FA0D43">
        <w:t xml:space="preserve"> a much broader set of social responsibilities for business.  </w:t>
      </w:r>
      <w:r w:rsidR="00FA0D43" w:rsidRPr="00FA0D43">
        <w:rPr>
          <w:i/>
          <w:iCs/>
        </w:rPr>
        <w:t>Charles Handy</w:t>
      </w:r>
      <w:r w:rsidR="00FA0D43">
        <w:t xml:space="preserve"> (2006) maintains that the proper responsibility of a business community is the create wealth for the whole society.  </w:t>
      </w:r>
    </w:p>
    <w:p w14:paraId="4E047117" w14:textId="39EA069F" w:rsidR="00FA0D43" w:rsidRDefault="00A94C27" w:rsidP="00671204">
      <w:pPr>
        <w:jc w:val="both"/>
      </w:pPr>
      <w:r>
        <w:t xml:space="preserve">As an example, </w:t>
      </w:r>
      <w:r w:rsidR="00FA0D43">
        <w:t>a Bank might think about</w:t>
      </w:r>
      <w:r w:rsidR="00140885">
        <w:t xml:space="preserve"> </w:t>
      </w:r>
      <w:r w:rsidR="00FA0D43">
        <w:t>‘offshor</w:t>
      </w:r>
      <w:r w:rsidR="00140885">
        <w:t>ing</w:t>
      </w:r>
      <w:r w:rsidR="00FA0D43">
        <w:t xml:space="preserve">’ part of its operation to a lower cost country. A stakeholder </w:t>
      </w:r>
      <w:r w:rsidR="00663BBF">
        <w:t>centred</w:t>
      </w:r>
      <w:r w:rsidR="00FA0D43">
        <w:t xml:space="preserve"> company would place emphasis on the impacts of the decision on the various stakeholder groups</w:t>
      </w:r>
      <w:r w:rsidR="00CE253C">
        <w:t>,</w:t>
      </w:r>
      <w:r w:rsidR="00FA0D43">
        <w:t xml:space="preserve"> notably UK employees.  Although the decision to offshore might still be seen as competitively necessary, </w:t>
      </w:r>
      <w:r w:rsidR="0073196B">
        <w:t>the company</w:t>
      </w:r>
      <w:r w:rsidR="00FA0D43">
        <w:t xml:space="preserve"> might feel impelled to make more generous arrangements for those whose jobs are being replaced, both out of a sense of </w:t>
      </w:r>
      <w:r w:rsidR="003D31E7">
        <w:t>long-term</w:t>
      </w:r>
      <w:r w:rsidR="00FA0D43">
        <w:t xml:space="preserve"> obligation </w:t>
      </w:r>
      <w:proofErr w:type="gramStart"/>
      <w:r w:rsidR="00FA0D43">
        <w:t>and also</w:t>
      </w:r>
      <w:proofErr w:type="gramEnd"/>
      <w:r w:rsidR="00FA0D43">
        <w:t xml:space="preserve"> to preserve its image in the UK labour market.</w:t>
      </w:r>
    </w:p>
    <w:p w14:paraId="2524B782" w14:textId="77777777" w:rsidR="00083C5E" w:rsidRDefault="00083C5E" w:rsidP="00671204">
      <w:pPr>
        <w:jc w:val="both"/>
      </w:pPr>
    </w:p>
    <w:p w14:paraId="0ADA6D39" w14:textId="4DEA92E4" w:rsidR="00083C5E" w:rsidRDefault="00083C5E" w:rsidP="00671204">
      <w:pPr>
        <w:jc w:val="both"/>
      </w:pPr>
      <w:r>
        <w:t>Financial</w:t>
      </w:r>
      <w:r w:rsidR="0083310D">
        <w:t>/</w:t>
      </w:r>
      <w:r w:rsidR="003D31E7">
        <w:t>non-financial</w:t>
      </w:r>
      <w:r>
        <w:t xml:space="preserve"> </w:t>
      </w:r>
      <w:r w:rsidR="0083310D">
        <w:t>performance (3.1)</w:t>
      </w:r>
    </w:p>
    <w:p w14:paraId="1A913A38" w14:textId="79D14830" w:rsidR="005566B2" w:rsidRDefault="008B748D" w:rsidP="00671204">
      <w:pPr>
        <w:jc w:val="both"/>
      </w:pPr>
      <w:r>
        <w:t xml:space="preserve">One way a company manages financial performance is cash flow, or cash flow statement. </w:t>
      </w:r>
      <w:r w:rsidR="00F16156">
        <w:t xml:space="preserve">Cash </w:t>
      </w:r>
      <w:r w:rsidR="009C10C7">
        <w:t>flow statements outline cash sources and uses, providing insights into a company’s financial health</w:t>
      </w:r>
      <w:r w:rsidR="005865E2">
        <w:t xml:space="preserve">, and </w:t>
      </w:r>
      <w:r w:rsidR="00495A02">
        <w:t xml:space="preserve">gives a </w:t>
      </w:r>
      <w:r w:rsidR="00AE0C06">
        <w:t xml:space="preserve">view of whether a company can meet their debts, </w:t>
      </w:r>
      <w:r w:rsidR="00B05CB9">
        <w:t>pay wages</w:t>
      </w:r>
      <w:r w:rsidR="002C06E0">
        <w:t xml:space="preserve"> and</w:t>
      </w:r>
      <w:r w:rsidR="00B05CB9">
        <w:t xml:space="preserve"> buy goods and services,</w:t>
      </w:r>
      <w:r w:rsidR="00AE0C06">
        <w:t xml:space="preserve"> a key </w:t>
      </w:r>
      <w:r w:rsidR="00AE5319">
        <w:t>consideration for investors or for companies wishing to sell</w:t>
      </w:r>
      <w:r w:rsidR="007C68CC">
        <w:t xml:space="preserve">.  </w:t>
      </w:r>
      <w:r w:rsidR="000C7767">
        <w:t xml:space="preserve">All </w:t>
      </w:r>
      <w:r w:rsidR="00570D2F">
        <w:t xml:space="preserve">large </w:t>
      </w:r>
      <w:r w:rsidR="000C7767">
        <w:t>companies</w:t>
      </w:r>
      <w:r w:rsidR="00FA4B5B">
        <w:t xml:space="preserve"> prepare cash flow statements in line with fina</w:t>
      </w:r>
      <w:r w:rsidR="001B4916">
        <w:t>ncial reporting regulations</w:t>
      </w:r>
      <w:r w:rsidR="00C82D80">
        <w:t xml:space="preserve">, </w:t>
      </w:r>
      <w:r w:rsidR="00D41D27">
        <w:t>but smaller businesses</w:t>
      </w:r>
      <w:r w:rsidR="001F20F9">
        <w:t xml:space="preserve"> also provide them, often at a request from th</w:t>
      </w:r>
      <w:r w:rsidR="003B721E">
        <w:t>eir bank</w:t>
      </w:r>
      <w:r w:rsidR="00CA6EDE">
        <w:t>.</w:t>
      </w:r>
      <w:r w:rsidR="0005521A">
        <w:t xml:space="preserve"> </w:t>
      </w:r>
    </w:p>
    <w:p w14:paraId="46AA80AD" w14:textId="7F4DCD59" w:rsidR="003B14DC" w:rsidRDefault="00481785" w:rsidP="00671204">
      <w:pPr>
        <w:jc w:val="both"/>
      </w:pPr>
      <w:r>
        <w:t>The balanced scorecard</w:t>
      </w:r>
      <w:r w:rsidR="006429D0">
        <w:t>,</w:t>
      </w:r>
      <w:r>
        <w:t xml:space="preserve"> </w:t>
      </w:r>
      <w:r w:rsidR="00691E4B">
        <w:t>created by</w:t>
      </w:r>
      <w:r w:rsidR="00C96E25" w:rsidRPr="00C96E25">
        <w:t xml:space="preserve"> Professor Robert Kaplan and David Norton</w:t>
      </w:r>
      <w:r w:rsidR="00532451">
        <w:t xml:space="preserve"> </w:t>
      </w:r>
      <w:r w:rsidR="00C96E25" w:rsidRPr="00C96E25">
        <w:t>combines financial</w:t>
      </w:r>
      <w:r w:rsidR="000F0257">
        <w:t xml:space="preserve"> </w:t>
      </w:r>
      <w:r w:rsidR="00532451">
        <w:t>and non</w:t>
      </w:r>
      <w:r w:rsidR="00404E73">
        <w:t>-financial metrics to assess organisational performance from multiple perspectives</w:t>
      </w:r>
      <w:r w:rsidR="009676D9">
        <w:t>, including financial health, customer satisfaction, internal</w:t>
      </w:r>
      <w:r w:rsidR="00C85959">
        <w:t xml:space="preserve"> business processes, and learning and development. </w:t>
      </w:r>
      <w:r w:rsidR="003B14DC">
        <w:t xml:space="preserve">Bourne and Bourne (2007) suggest most people think about the </w:t>
      </w:r>
      <w:r w:rsidR="00B456FF">
        <w:t>balanced</w:t>
      </w:r>
      <w:r w:rsidR="003B14DC">
        <w:t xml:space="preserve"> scorecard in terms of key performance indicators </w:t>
      </w:r>
      <w:r w:rsidR="00E0090B">
        <w:t>(</w:t>
      </w:r>
      <w:r w:rsidR="003B14DC">
        <w:t xml:space="preserve">KPI’s) and target-setting, but it is about aligning actions to strategy and showing people what is important.  A </w:t>
      </w:r>
      <w:r w:rsidR="003D31E7">
        <w:t>well-constructed</w:t>
      </w:r>
      <w:r w:rsidR="003B14DC">
        <w:t xml:space="preserve"> scorecard tells everyone in the organisation where it is going and what they are trying to achieve. Referring to Kaplan and Norton (1996), </w:t>
      </w:r>
      <w:proofErr w:type="gramStart"/>
      <w:r w:rsidR="003B14DC">
        <w:t>in order to</w:t>
      </w:r>
      <w:proofErr w:type="gramEnd"/>
      <w:r w:rsidR="003B14DC">
        <w:t xml:space="preserve"> reach a more balanced view of overall business performance, attention must also be given not only to financial measures but also ongoing investments in areas such as organisational capacity, customer/stakeholder objectives and internal processes.</w:t>
      </w:r>
    </w:p>
    <w:p w14:paraId="57CBFFCE" w14:textId="5298A117" w:rsidR="001F0613" w:rsidRDefault="009854FF" w:rsidP="00671204">
      <w:pPr>
        <w:jc w:val="both"/>
      </w:pPr>
      <w:r>
        <w:t>B</w:t>
      </w:r>
      <w:r w:rsidR="001F0613">
        <w:t xml:space="preserve">enefits </w:t>
      </w:r>
      <w:r w:rsidR="00B50651">
        <w:t>of the</w:t>
      </w:r>
      <w:r w:rsidR="001F0613">
        <w:t xml:space="preserve"> </w:t>
      </w:r>
      <w:r w:rsidR="000C2C68">
        <w:t>b</w:t>
      </w:r>
      <w:r w:rsidR="001F0613">
        <w:t>alanced</w:t>
      </w:r>
      <w:r w:rsidR="005E6A28">
        <w:t xml:space="preserve"> include </w:t>
      </w:r>
      <w:r w:rsidR="00B378E7">
        <w:t>consolidated</w:t>
      </w:r>
      <w:r w:rsidR="00DA1129">
        <w:t xml:space="preserve"> data reporting which enhances management</w:t>
      </w:r>
      <w:r w:rsidR="007311DE">
        <w:t xml:space="preserve">’s ability to make informed decisions and allocate resources </w:t>
      </w:r>
      <w:r w:rsidR="002B2F54">
        <w:t xml:space="preserve">effectively. </w:t>
      </w:r>
      <w:r w:rsidR="001F0613">
        <w:t xml:space="preserve">It </w:t>
      </w:r>
      <w:r w:rsidR="001F0613" w:rsidRPr="001F0613">
        <w:t>provide</w:t>
      </w:r>
      <w:r w:rsidR="001F0613">
        <w:t>s</w:t>
      </w:r>
      <w:r w:rsidR="001F0613" w:rsidRPr="001F0613">
        <w:t xml:space="preserve"> valuable insight into </w:t>
      </w:r>
      <w:r w:rsidR="00323383">
        <w:t>a</w:t>
      </w:r>
      <w:r w:rsidR="00B50651">
        <w:t xml:space="preserve"> </w:t>
      </w:r>
      <w:r w:rsidR="001F0613" w:rsidRPr="001F0613">
        <w:t>firm's service and quality in addition to its financial track record</w:t>
      </w:r>
      <w:r w:rsidR="00323383">
        <w:t xml:space="preserve">, which allows </w:t>
      </w:r>
      <w:r w:rsidR="001F0613" w:rsidRPr="001F0613">
        <w:t>executi</w:t>
      </w:r>
      <w:r w:rsidR="00323383">
        <w:t xml:space="preserve">ves </w:t>
      </w:r>
      <w:r w:rsidR="00EA33D8">
        <w:t xml:space="preserve">to </w:t>
      </w:r>
      <w:r w:rsidR="001F0613" w:rsidRPr="001F0613">
        <w:t>communicate goals and priorities</w:t>
      </w:r>
      <w:r w:rsidR="00093022">
        <w:t>.</w:t>
      </w:r>
    </w:p>
    <w:p w14:paraId="66EFD439" w14:textId="657EDFDF" w:rsidR="002F5307" w:rsidRDefault="0089766B" w:rsidP="00671204">
      <w:pPr>
        <w:jc w:val="both"/>
      </w:pPr>
      <w:r>
        <w:t xml:space="preserve">In an extract from </w:t>
      </w:r>
      <w:r w:rsidRPr="0089766B">
        <w:rPr>
          <w:i/>
          <w:iCs/>
        </w:rPr>
        <w:t>When misuse leads to failure</w:t>
      </w:r>
      <w:r>
        <w:t xml:space="preserve">, </w:t>
      </w:r>
      <w:r w:rsidR="004A05DB">
        <w:t xml:space="preserve">David Norton </w:t>
      </w:r>
      <w:r>
        <w:t>states</w:t>
      </w:r>
      <w:r w:rsidR="004A05DB">
        <w:t xml:space="preserve"> that there are two main reasons why a balanced scorecard may fail to take root within an organisation.  ‘The number one </w:t>
      </w:r>
      <w:r w:rsidR="004A05DB">
        <w:lastRenderedPageBreak/>
        <w:t>cause of failure is that you don’t have leadership at the executive levels of the organisation’ says Norton. ‘They don’t embrace it and use it for</w:t>
      </w:r>
      <w:r>
        <w:t xml:space="preserve"> managing strategy’.</w:t>
      </w:r>
    </w:p>
    <w:p w14:paraId="48BE0BEC" w14:textId="1D481178" w:rsidR="0089766B" w:rsidRDefault="0089766B" w:rsidP="00671204">
      <w:pPr>
        <w:jc w:val="both"/>
      </w:pPr>
      <w:r>
        <w:t>The second is that some companies treat it purely as a measurement tool, a problem he admits stems from its name.  The latest Kaplan-Norton thinking is the companies need a unit at corporate level – they call it an ‘office of strategy management’ – dedicated to ensuring that strategy is communicated to every employee and translated into plans, targets and incentives in each business unit a department.</w:t>
      </w:r>
    </w:p>
    <w:p w14:paraId="487A24B6" w14:textId="1C1FB6CB" w:rsidR="00EA6F5D" w:rsidRDefault="0089766B" w:rsidP="00671204">
      <w:pPr>
        <w:jc w:val="both"/>
      </w:pPr>
      <w:r>
        <w:t>Norton continues that incentives are crucial.  Managers who have achieved breakthroughs in performance with the scorecard say the</w:t>
      </w:r>
      <w:r w:rsidR="00835881">
        <w:t>y</w:t>
      </w:r>
      <w:r>
        <w:t xml:space="preserve"> would tie it to compensation sooner if they were doing it again.  ‘There’s so much change in organisations that managers don’t always believe you mean what you say.  The balanced scorecard may just be “flavour of the month”.  Tying it to compensation shows that you mean it’.</w:t>
      </w:r>
    </w:p>
    <w:p w14:paraId="5D29B790" w14:textId="0D9D513E" w:rsidR="00EA6F5D" w:rsidRDefault="00E90918" w:rsidP="00671204">
      <w:pPr>
        <w:jc w:val="both"/>
      </w:pPr>
      <w:r>
        <w:t>Impact and Value (3.2)</w:t>
      </w:r>
    </w:p>
    <w:p w14:paraId="4CDFC224" w14:textId="709BC849" w:rsidR="00EA6F5D" w:rsidRDefault="00EA6F5D" w:rsidP="00671204">
      <w:pPr>
        <w:jc w:val="both"/>
      </w:pPr>
      <w:r>
        <w:t xml:space="preserve">Human Resource Management </w:t>
      </w:r>
      <w:r w:rsidR="00FD4ABE">
        <w:t>adds value</w:t>
      </w:r>
      <w:r w:rsidR="00583847">
        <w:t xml:space="preserve"> </w:t>
      </w:r>
      <w:r w:rsidR="0041035F">
        <w:t xml:space="preserve">to organisations </w:t>
      </w:r>
      <w:r w:rsidR="00583847">
        <w:t>by</w:t>
      </w:r>
      <w:r w:rsidR="0041035F">
        <w:t xml:space="preserve"> aligning people-focused strat</w:t>
      </w:r>
      <w:r w:rsidR="008F220B">
        <w:t>egies with business objectives, fostering engagement, and enhancing performance.</w:t>
      </w:r>
      <w:r w:rsidR="000A397E">
        <w:t xml:space="preserve"> </w:t>
      </w:r>
    </w:p>
    <w:p w14:paraId="6AFA9290" w14:textId="51E06E48" w:rsidR="000A397E" w:rsidRDefault="00143A46" w:rsidP="00671204">
      <w:pPr>
        <w:jc w:val="both"/>
      </w:pPr>
      <w:r>
        <w:t>T</w:t>
      </w:r>
      <w:r w:rsidR="000A397E">
        <w:t>he approach</w:t>
      </w:r>
      <w:r w:rsidR="009C0C7D">
        <w:t xml:space="preserve"> to human res</w:t>
      </w:r>
      <w:r>
        <w:t>o</w:t>
      </w:r>
      <w:r w:rsidR="009C0C7D">
        <w:t>urces</w:t>
      </w:r>
      <w:r w:rsidR="000A397E">
        <w:t xml:space="preserve"> should be based on the principle laid down by Schneider</w:t>
      </w:r>
      <w:r w:rsidR="00B24FEA">
        <w:t xml:space="preserve"> (1987: 450) that </w:t>
      </w:r>
      <w:r w:rsidR="00EA2CB3">
        <w:t>‘Organizations</w:t>
      </w:r>
      <w:r w:rsidR="00B24FEA">
        <w:t xml:space="preserve"> are the people in them; that people make the place’.  He goes on to explain that ‘Positive job attitudes for workers in an organisation can be expected when the natural inclinations of the persons there are allowed to be reflected in their behaviours by the kinds of processes and structures that have evolved there’.</w:t>
      </w:r>
    </w:p>
    <w:p w14:paraId="308854AD" w14:textId="511ED1FA" w:rsidR="009F2967" w:rsidRDefault="000269CF" w:rsidP="00671204">
      <w:pPr>
        <w:jc w:val="both"/>
      </w:pPr>
      <w:r>
        <w:t>HRM adds value to employer</w:t>
      </w:r>
      <w:r w:rsidR="008E7389">
        <w:t xml:space="preserve">, </w:t>
      </w:r>
      <w:r>
        <w:t>employee and the overall performance of a</w:t>
      </w:r>
      <w:r w:rsidR="001B7592">
        <w:t>n</w:t>
      </w:r>
      <w:r>
        <w:t xml:space="preserve"> organisation. </w:t>
      </w:r>
      <w:r w:rsidR="00B24FEA">
        <w:t xml:space="preserve">The value added by HRM lie within its goals which are to support the organisation in achieving its objectives by developing and implementing human resource strategies which are integrated with the business.  HRM contributes to the development of a </w:t>
      </w:r>
      <w:r w:rsidR="00E0090B">
        <w:t>high-performance</w:t>
      </w:r>
      <w:r w:rsidR="00B24FEA">
        <w:t xml:space="preserve"> culture, it ensures that the organisation has the </w:t>
      </w:r>
      <w:r w:rsidR="001B7592">
        <w:t>talented</w:t>
      </w:r>
      <w:r w:rsidR="00B24FEA">
        <w:t xml:space="preserve"> skilled and engaged people that it needs</w:t>
      </w:r>
      <w:r w:rsidR="00E53A86">
        <w:t xml:space="preserve"> </w:t>
      </w:r>
      <w:r w:rsidR="00033593">
        <w:t>a</w:t>
      </w:r>
      <w:r w:rsidR="00871583">
        <w:t>nd</w:t>
      </w:r>
      <w:r w:rsidR="00B24FEA">
        <w:t xml:space="preserve"> creates a positive </w:t>
      </w:r>
      <w:r w:rsidR="00B166CE">
        <w:t>r</w:t>
      </w:r>
      <w:r w:rsidR="00B24FEA">
        <w:t>elationship between management and employees</w:t>
      </w:r>
      <w:r w:rsidR="00522961">
        <w:t>.</w:t>
      </w:r>
    </w:p>
    <w:p w14:paraId="64ED06AB" w14:textId="266A51BE" w:rsidR="000269CF" w:rsidRDefault="000269CF" w:rsidP="00671204">
      <w:pPr>
        <w:jc w:val="both"/>
      </w:pPr>
      <w:r>
        <w:t xml:space="preserve">The beliefs of HRM as defined by Storey (2001: 7) include ‘the assumptions that it is the human resource which give competitive edge, that the aim should be to enhance employee commitment, that HR decisions are of strategic importance and that therefore HR policies should be integrated into business strategy’. </w:t>
      </w:r>
    </w:p>
    <w:p w14:paraId="76833CB2" w14:textId="5175668B" w:rsidR="001470AD" w:rsidRDefault="001470AD" w:rsidP="00671204">
      <w:pPr>
        <w:jc w:val="both"/>
      </w:pPr>
      <w:proofErr w:type="gramStart"/>
      <w:r>
        <w:t>In order to</w:t>
      </w:r>
      <w:proofErr w:type="gramEnd"/>
      <w:r>
        <w:t xml:space="preserve"> know if HR policies are adding value to any organisation, </w:t>
      </w:r>
      <w:r w:rsidR="00D00A65">
        <w:t xml:space="preserve">various </w:t>
      </w:r>
      <w:r w:rsidR="003C2CB1">
        <w:t>research methods are used</w:t>
      </w:r>
      <w:r w:rsidR="00D00A65">
        <w:t xml:space="preserve"> </w:t>
      </w:r>
      <w:r w:rsidRPr="001470AD">
        <w:t>to measu</w:t>
      </w:r>
      <w:r w:rsidR="00D00A65">
        <w:t xml:space="preserve">re </w:t>
      </w:r>
      <w:r w:rsidRPr="001470AD">
        <w:t xml:space="preserve">impact </w:t>
      </w:r>
      <w:r w:rsidR="00D00A65">
        <w:t>of practices</w:t>
      </w:r>
      <w:r w:rsidRPr="001470AD">
        <w:t>.</w:t>
      </w:r>
      <w:r>
        <w:t xml:space="preserve">   One commonly used me</w:t>
      </w:r>
      <w:r w:rsidR="00DD3D54">
        <w:t>thod</w:t>
      </w:r>
      <w:r>
        <w:t xml:space="preserve"> is an Employee Engagement survey</w:t>
      </w:r>
      <w:r w:rsidR="00B27081">
        <w:t>, which</w:t>
      </w:r>
      <w:r>
        <w:t xml:space="preserve"> provide the basis for development and implementation of engagement strategies.  A review by Vance (2006) of </w:t>
      </w:r>
      <w:proofErr w:type="gramStart"/>
      <w:r>
        <w:t>a number of</w:t>
      </w:r>
      <w:proofErr w:type="gramEnd"/>
      <w:r>
        <w:t xml:space="preserve"> such surveys identified common themes, including pride and satisfaction in employer, job satisfaction, opportunity to perform well at challenging work and recognition and positive feedback for one’s contributions. </w:t>
      </w:r>
    </w:p>
    <w:p w14:paraId="140E1E19" w14:textId="6F3D4C5E" w:rsidR="004850E0" w:rsidRDefault="00D31FE1" w:rsidP="00671204">
      <w:pPr>
        <w:jc w:val="both"/>
      </w:pPr>
      <w:r>
        <w:lastRenderedPageBreak/>
        <w:t>Its key</w:t>
      </w:r>
      <w:r w:rsidR="004906BC">
        <w:t xml:space="preserve"> with any form of employee survey, especially engagement, that proper use of its results </w:t>
      </w:r>
      <w:proofErr w:type="gramStart"/>
      <w:r w:rsidR="004906BC">
        <w:t>are</w:t>
      </w:r>
      <w:proofErr w:type="gramEnd"/>
      <w:r w:rsidR="004906BC">
        <w:t xml:space="preserve"> made through the triple A approach: Analysis, Assessment and Action.  It is also key to inform employees of the </w:t>
      </w:r>
      <w:r w:rsidR="00785BD6">
        <w:t xml:space="preserve">survey </w:t>
      </w:r>
      <w:r w:rsidR="004906BC">
        <w:t>results and involve them in assessing</w:t>
      </w:r>
      <w:r w:rsidR="00785BD6">
        <w:t xml:space="preserve"> </w:t>
      </w:r>
      <w:r w:rsidR="004906BC">
        <w:t>results and agreeing action</w:t>
      </w:r>
      <w:r w:rsidR="004850E0">
        <w:t>s.</w:t>
      </w:r>
    </w:p>
    <w:p w14:paraId="2DA85DE2" w14:textId="0AEA7880" w:rsidR="002E232E" w:rsidRDefault="004850E0" w:rsidP="00671204">
      <w:pPr>
        <w:jc w:val="both"/>
      </w:pPr>
      <w:r>
        <w:t>P</w:t>
      </w:r>
      <w:r w:rsidR="004906BC">
        <w:t xml:space="preserve">eople practice </w:t>
      </w:r>
      <w:r>
        <w:t xml:space="preserve">value can also be measured through </w:t>
      </w:r>
      <w:r w:rsidR="004906BC">
        <w:t>analys</w:t>
      </w:r>
      <w:r>
        <w:t>ing</w:t>
      </w:r>
      <w:r w:rsidR="004906BC">
        <w:t xml:space="preserve"> absence data.</w:t>
      </w:r>
      <w:r w:rsidR="002E232E">
        <w:t xml:space="preserve">  Absence management is the development and application of policies and procedures designed to reduce absence levels </w:t>
      </w:r>
      <w:r w:rsidR="00326534">
        <w:t>at</w:t>
      </w:r>
      <w:r w:rsidR="002E232E">
        <w:t xml:space="preserve"> work.  To do something about</w:t>
      </w:r>
      <w:r w:rsidR="00FD622A">
        <w:t xml:space="preserve"> absence</w:t>
      </w:r>
      <w:r w:rsidR="002E232E">
        <w:t xml:space="preserve"> means understanding the causes for </w:t>
      </w:r>
      <w:r w:rsidR="00FD622A">
        <w:t>it</w:t>
      </w:r>
      <w:r w:rsidR="002E232E">
        <w:t xml:space="preserve">, adopting comprehensive absence management policies, measuring absence and implementing procedures for the management of </w:t>
      </w:r>
      <w:r w:rsidR="006B5D23">
        <w:t>short and long-term</w:t>
      </w:r>
      <w:r w:rsidR="002E232E">
        <w:t xml:space="preserve"> absence.</w:t>
      </w:r>
    </w:p>
    <w:p w14:paraId="4A2ED0D6" w14:textId="39EE8D4D" w:rsidR="00BC7330" w:rsidRDefault="00BC7330" w:rsidP="00671204">
      <w:pPr>
        <w:jc w:val="both"/>
      </w:pPr>
      <w:r>
        <w:t>The causes for absence have been analysed by Huczynski and Fitzpatrick (1989) under 3 heading</w:t>
      </w:r>
      <w:r w:rsidR="00411846">
        <w:t>s</w:t>
      </w:r>
      <w:r>
        <w:t xml:space="preserve">.  Job situation factors, such as stress, physical working conditions, and management style of immediate supervisors.  Personal factors such as a </w:t>
      </w:r>
      <w:r w:rsidR="00D82D87">
        <w:t>company’s</w:t>
      </w:r>
      <w:r>
        <w:t xml:space="preserve"> employee values and how they effect the employee, age, and personality </w:t>
      </w:r>
      <w:proofErr w:type="gramStart"/>
      <w:r>
        <w:t>( being</w:t>
      </w:r>
      <w:proofErr w:type="gramEnd"/>
      <w:r>
        <w:t xml:space="preserve"> prone to absence ), and lastly Attendance factors, such as rewards systems and sick pay scheme’s.  </w:t>
      </w:r>
    </w:p>
    <w:p w14:paraId="3BCE61B5" w14:textId="77348ACC" w:rsidR="00F14BE4" w:rsidRDefault="00606883" w:rsidP="00656392">
      <w:pPr>
        <w:jc w:val="both"/>
      </w:pPr>
      <w:r>
        <w:t>E</w:t>
      </w:r>
      <w:r w:rsidR="00BC7330">
        <w:t xml:space="preserve">ffective HRM policies and procedures, </w:t>
      </w:r>
      <w:r w:rsidR="0038623F">
        <w:t>should allow for correc</w:t>
      </w:r>
      <w:r>
        <w:t xml:space="preserve">t </w:t>
      </w:r>
      <w:r w:rsidR="0038623F">
        <w:t>absence</w:t>
      </w:r>
      <w:r>
        <w:t xml:space="preserve"> management</w:t>
      </w:r>
      <w:r w:rsidR="0038623F">
        <w:t xml:space="preserve"> and </w:t>
      </w:r>
      <w:r w:rsidR="00BC7330">
        <w:t>should help control the level of absence.  Short</w:t>
      </w:r>
      <w:r w:rsidR="00BE493C">
        <w:t>-</w:t>
      </w:r>
      <w:r w:rsidR="00BC7330">
        <w:t xml:space="preserve">term absence can be controlled by </w:t>
      </w:r>
      <w:r w:rsidR="006B5D23">
        <w:t>return-to-work</w:t>
      </w:r>
      <w:r w:rsidR="00BC7330">
        <w:t xml:space="preserve"> interviews</w:t>
      </w:r>
      <w:r w:rsidR="00C62C26">
        <w:t>, m</w:t>
      </w:r>
      <w:r w:rsidR="00BC7330">
        <w:t xml:space="preserve">onitoring of volume and patterns in absence can also assist, such as using The Bradford Factor, and invoking disciplinary proceedings for unacceptable absence levels.  </w:t>
      </w:r>
      <w:r w:rsidR="006A3F70">
        <w:t>L</w:t>
      </w:r>
      <w:r w:rsidR="00BC7330">
        <w:t>ong</w:t>
      </w:r>
      <w:r w:rsidR="002B5D98">
        <w:t>-</w:t>
      </w:r>
      <w:r w:rsidR="00BC7330">
        <w:t xml:space="preserve">term absence is best managed by keeping in </w:t>
      </w:r>
      <w:r w:rsidR="006A3F70">
        <w:t xml:space="preserve">regular </w:t>
      </w:r>
      <w:r w:rsidR="00BC7330">
        <w:t xml:space="preserve">contact with the </w:t>
      </w:r>
      <w:r w:rsidR="000C7391">
        <w:t>employee</w:t>
      </w:r>
      <w:r w:rsidR="00BC7330">
        <w:t>, by letter, telephone or visits to discuss the situation and, where possible, plan the return to work</w:t>
      </w:r>
      <w:r w:rsidR="006A3F70">
        <w:t>.</w:t>
      </w:r>
    </w:p>
    <w:p w14:paraId="7C10B928" w14:textId="0644D84A" w:rsidR="005C7175" w:rsidRDefault="00F14BE4" w:rsidP="005C7175">
      <w:r>
        <w:br w:type="page"/>
      </w:r>
      <w:r w:rsidR="00D33717">
        <w:rPr>
          <w:noProof/>
        </w:rPr>
        <w:lastRenderedPageBreak/>
        <mc:AlternateContent>
          <mc:Choice Requires="wps">
            <w:drawing>
              <wp:anchor distT="0" distB="0" distL="114300" distR="114300" simplePos="0" relativeHeight="251672576" behindDoc="0" locked="0" layoutInCell="1" allowOverlap="1" wp14:anchorId="1A2A4848" wp14:editId="13EBAEF2">
                <wp:simplePos x="0" y="0"/>
                <wp:positionH relativeFrom="column">
                  <wp:posOffset>-13446</wp:posOffset>
                </wp:positionH>
                <wp:positionV relativeFrom="paragraph">
                  <wp:posOffset>-430306</wp:posOffset>
                </wp:positionV>
                <wp:extent cx="510988" cy="376518"/>
                <wp:effectExtent l="0" t="0" r="0" b="0"/>
                <wp:wrapNone/>
                <wp:docPr id="1761963266" name="Rectangle 1"/>
                <wp:cNvGraphicFramePr/>
                <a:graphic xmlns:a="http://schemas.openxmlformats.org/drawingml/2006/main">
                  <a:graphicData uri="http://schemas.microsoft.com/office/word/2010/wordprocessingShape">
                    <wps:wsp>
                      <wps:cNvSpPr/>
                      <wps:spPr>
                        <a:xfrm>
                          <a:off x="0" y="0"/>
                          <a:ext cx="510988" cy="376518"/>
                        </a:xfrm>
                        <a:prstGeom prst="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1DB85FE1" w14:textId="5DEF1DA5" w:rsidR="00D33717" w:rsidRPr="00D33717" w:rsidRDefault="008E5850" w:rsidP="00D33717">
                            <w:pPr>
                              <w:jc w:val="center"/>
                              <w:rPr>
                                <w:color w:val="000000" w:themeColor="text1"/>
                              </w:rPr>
                            </w:pPr>
                            <w:r>
                              <w:rPr>
                                <w:color w:val="000000" w:themeColor="text1"/>
                              </w:rPr>
                              <w:t>2.1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2A4848" id="Rectangle 1" o:spid="_x0000_s1026" style="position:absolute;margin-left:-1.05pt;margin-top:-33.9pt;width:40.25pt;height:29.6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" filled="f" stroked="f" strokeweight="1pt">
                <v:textbox>
                  <w:txbxContent>
                    <w:p w14:paraId="1DB85FE1" w14:textId="5DEF1DA5" w:rsidR="00D33717" w:rsidRPr="00D33717" w:rsidRDefault="008E5850" w:rsidP="00D33717">
                      <w:pPr>
                        <w:jc w:val="center"/>
                        <w:rPr>
                          <w:color w:val="000000" w:themeColor="text1"/>
                        </w:rPr>
                      </w:pPr>
                      <w:r>
                        <w:rPr>
                          <w:color w:val="000000" w:themeColor="text1"/>
                        </w:rPr>
                        <w:t>2.1</w:t>
                      </w:r>
                    </w:p>
                  </w:txbxContent>
                </v:textbox>
              </v:rect>
            </w:pict>
          </mc:Fallback>
        </mc:AlternateContent>
      </w:r>
      <w:r w:rsidR="005C7175">
        <w:rPr>
          <w:noProof/>
        </w:rPr>
        <w:drawing>
          <wp:inline distT="0" distB="0" distL="0" distR="0" wp14:anchorId="697CEF7B" wp14:editId="7B19FF42">
            <wp:extent cx="3038285" cy="2065655"/>
            <wp:effectExtent l="0" t="0" r="0" b="0"/>
            <wp:docPr id="1396652294" name="Picture 7" descr="A pie char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652294" name="Picture 7" descr="A pie chart with numbers and 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55610" cy="2077434"/>
                    </a:xfrm>
                    <a:prstGeom prst="rect">
                      <a:avLst/>
                    </a:prstGeom>
                    <a:noFill/>
                  </pic:spPr>
                </pic:pic>
              </a:graphicData>
            </a:graphic>
          </wp:inline>
        </w:drawing>
      </w:r>
      <w:r w:rsidR="005C7175">
        <w:t xml:space="preserve">  </w:t>
      </w:r>
      <w:r w:rsidR="005C7175">
        <w:rPr>
          <w:noProof/>
        </w:rPr>
        <w:drawing>
          <wp:inline distT="0" distB="0" distL="0" distR="0" wp14:anchorId="1BB46675" wp14:editId="72CB5152">
            <wp:extent cx="2971800" cy="2066925"/>
            <wp:effectExtent l="0" t="0" r="0" b="9525"/>
            <wp:docPr id="604491209" name="Picture 8" descr="A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275249" name="Picture 8" descr="A pie chart with tex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75410" cy="2069436"/>
                    </a:xfrm>
                    <a:prstGeom prst="rect">
                      <a:avLst/>
                    </a:prstGeom>
                    <a:noFill/>
                  </pic:spPr>
                </pic:pic>
              </a:graphicData>
            </a:graphic>
          </wp:inline>
        </w:drawing>
      </w:r>
    </w:p>
    <w:p w14:paraId="4640F938" w14:textId="34373CD2" w:rsidR="00814192" w:rsidRDefault="00F14BE4" w:rsidP="00F14BE4">
      <w:pPr>
        <w:jc w:val="both"/>
        <w:sectPr w:rsidR="00814192" w:rsidSect="00F14BE4">
          <w:pgSz w:w="11906" w:h="16838"/>
          <w:pgMar w:top="1440" w:right="1080" w:bottom="1440" w:left="1080" w:header="708" w:footer="708" w:gutter="0"/>
          <w:cols w:space="708"/>
          <w:docGrid w:linePitch="360"/>
        </w:sectPr>
      </w:pPr>
      <w:r>
        <w:rPr>
          <w:noProof/>
        </w:rPr>
        <w:drawing>
          <wp:anchor distT="0" distB="0" distL="114300" distR="114300" simplePos="0" relativeHeight="251707904" behindDoc="0" locked="0" layoutInCell="1" allowOverlap="1" wp14:anchorId="289C1DDB" wp14:editId="3AC51B5A">
            <wp:simplePos x="0" y="0"/>
            <wp:positionH relativeFrom="column">
              <wp:posOffset>3240741</wp:posOffset>
            </wp:positionH>
            <wp:positionV relativeFrom="paragraph">
              <wp:posOffset>4381799</wp:posOffset>
            </wp:positionV>
            <wp:extent cx="2810174" cy="2002155"/>
            <wp:effectExtent l="0" t="0" r="9525" b="0"/>
            <wp:wrapNone/>
            <wp:docPr id="460627424" name="Picture 15" descr="A pie chart with numbers and a number on it&#10;&#10;Description automatically generated">
              <a:extLst xmlns:a="http://schemas.openxmlformats.org/drawingml/2006/main">
                <a:ext uri="{FF2B5EF4-FFF2-40B4-BE49-F238E27FC236}">
                  <a16:creationId xmlns:a16="http://schemas.microsoft.com/office/drawing/2014/main" id="{0A2FDCA0-2081-BA6A-BB0B-C1BB4A3936A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5" descr="A pie chart with numbers and a number on it&#10;&#10;Description automatically generated">
                      <a:extLst>
                        <a:ext uri="{FF2B5EF4-FFF2-40B4-BE49-F238E27FC236}">
                          <a16:creationId xmlns:a16="http://schemas.microsoft.com/office/drawing/2014/main" id="{0A2FDCA0-2081-BA6A-BB0B-C1BB4A3936A2}"/>
                        </a:ext>
                      </a:extLst>
                    </pic:cNvPr>
                    <pic:cNvPicPr>
                      <a:picLocks noChangeAspect="1"/>
                    </pic:cNvPicPr>
                  </pic:nvPicPr>
                  <pic:blipFill>
                    <a:blip r:embed="rId13"/>
                    <a:stretch>
                      <a:fillRect/>
                    </a:stretch>
                  </pic:blipFill>
                  <pic:spPr>
                    <a:xfrm>
                      <a:off x="0" y="0"/>
                      <a:ext cx="2818418" cy="2008028"/>
                    </a:xfrm>
                    <a:prstGeom prst="rect">
                      <a:avLst/>
                    </a:prstGeom>
                  </pic:spPr>
                </pic:pic>
              </a:graphicData>
            </a:graphic>
            <wp14:sizeRelH relativeFrom="margin">
              <wp14:pctWidth>0</wp14:pctWidth>
            </wp14:sizeRelH>
          </wp:anchor>
        </w:drawing>
      </w:r>
      <w:r>
        <w:rPr>
          <w:noProof/>
        </w:rPr>
        <w:drawing>
          <wp:anchor distT="0" distB="0" distL="114300" distR="114300" simplePos="0" relativeHeight="251634176" behindDoc="0" locked="0" layoutInCell="1" allowOverlap="1" wp14:anchorId="07A10F49" wp14:editId="03E643E2">
            <wp:simplePos x="0" y="0"/>
            <wp:positionH relativeFrom="column">
              <wp:posOffset>3213847</wp:posOffset>
            </wp:positionH>
            <wp:positionV relativeFrom="paragraph">
              <wp:posOffset>2243716</wp:posOffset>
            </wp:positionV>
            <wp:extent cx="2837068" cy="1999615"/>
            <wp:effectExtent l="0" t="0" r="1905" b="635"/>
            <wp:wrapNone/>
            <wp:docPr id="406751797" name="Picture 4" descr="A pie chart with different colored sections&#10;&#10;Description automatically generated">
              <a:extLst xmlns:a="http://schemas.openxmlformats.org/drawingml/2006/main">
                <a:ext uri="{FF2B5EF4-FFF2-40B4-BE49-F238E27FC236}">
                  <a16:creationId xmlns:a16="http://schemas.microsoft.com/office/drawing/2014/main" id="{F479F19D-1F48-DF28-CEB3-CE60BD1D253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pie chart with different colored sections&#10;&#10;Description automatically generated">
                      <a:extLst>
                        <a:ext uri="{FF2B5EF4-FFF2-40B4-BE49-F238E27FC236}">
                          <a16:creationId xmlns:a16="http://schemas.microsoft.com/office/drawing/2014/main" id="{F479F19D-1F48-DF28-CEB3-CE60BD1D253C}"/>
                        </a:ext>
                      </a:extLst>
                    </pic:cNvPr>
                    <pic:cNvPicPr>
                      <a:picLocks noChangeAspect="1"/>
                    </pic:cNvPicPr>
                  </pic:nvPicPr>
                  <pic:blipFill>
                    <a:blip r:embed="rId14"/>
                    <a:stretch>
                      <a:fillRect/>
                    </a:stretch>
                  </pic:blipFill>
                  <pic:spPr>
                    <a:xfrm>
                      <a:off x="0" y="0"/>
                      <a:ext cx="2847410" cy="2006904"/>
                    </a:xfrm>
                    <a:prstGeom prst="rect">
                      <a:avLst/>
                    </a:prstGeom>
                  </pic:spPr>
                </pic:pic>
              </a:graphicData>
            </a:graphic>
            <wp14:sizeRelH relativeFrom="margin">
              <wp14:pctWidth>0</wp14:pctWidth>
            </wp14:sizeRelH>
          </wp:anchor>
        </w:drawing>
      </w:r>
      <w:r>
        <w:rPr>
          <w:noProof/>
        </w:rPr>
        <w:drawing>
          <wp:anchor distT="0" distB="0" distL="114300" distR="114300" simplePos="0" relativeHeight="251666944" behindDoc="0" locked="0" layoutInCell="1" allowOverlap="1" wp14:anchorId="0A01D7A4" wp14:editId="78605E03">
            <wp:simplePos x="0" y="0"/>
            <wp:positionH relativeFrom="margin">
              <wp:posOffset>3200400</wp:posOffset>
            </wp:positionH>
            <wp:positionV relativeFrom="paragraph">
              <wp:posOffset>24952</wp:posOffset>
            </wp:positionV>
            <wp:extent cx="2850776" cy="1986915"/>
            <wp:effectExtent l="0" t="0" r="6985" b="0"/>
            <wp:wrapNone/>
            <wp:docPr id="1838009980" name="Picture 6" descr="A pie chart with a number of text&#10;&#10;Description automatically generated">
              <a:extLst xmlns:a="http://schemas.openxmlformats.org/drawingml/2006/main">
                <a:ext uri="{FF2B5EF4-FFF2-40B4-BE49-F238E27FC236}">
                  <a16:creationId xmlns:a16="http://schemas.microsoft.com/office/drawing/2014/main" id="{6B628AB0-146A-0D16-3DCA-1AAF9504A5B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pie chart with a number of text&#10;&#10;Description automatically generated">
                      <a:extLst>
                        <a:ext uri="{FF2B5EF4-FFF2-40B4-BE49-F238E27FC236}">
                          <a16:creationId xmlns:a16="http://schemas.microsoft.com/office/drawing/2014/main" id="{6B628AB0-146A-0D16-3DCA-1AAF9504A5B9}"/>
                        </a:ext>
                      </a:extLst>
                    </pic:cNvPr>
                    <pic:cNvPicPr>
                      <a:picLocks noChangeAspect="1"/>
                    </pic:cNvPicPr>
                  </pic:nvPicPr>
                  <pic:blipFill>
                    <a:blip r:embed="rId15"/>
                    <a:stretch>
                      <a:fillRect/>
                    </a:stretch>
                  </pic:blipFill>
                  <pic:spPr>
                    <a:xfrm>
                      <a:off x="0" y="0"/>
                      <a:ext cx="2861895" cy="1994665"/>
                    </a:xfrm>
                    <a:prstGeom prst="rect">
                      <a:avLst/>
                    </a:prstGeom>
                  </pic:spPr>
                </pic:pic>
              </a:graphicData>
            </a:graphic>
            <wp14:sizeRelH relativeFrom="margin">
              <wp14:pctWidth>0</wp14:pctWidth>
            </wp14:sizeRelH>
          </wp:anchor>
        </w:drawing>
      </w:r>
      <w:r>
        <w:rPr>
          <w:noProof/>
        </w:rPr>
        <w:drawing>
          <wp:anchor distT="0" distB="0" distL="114300" distR="114300" simplePos="0" relativeHeight="251696640" behindDoc="0" locked="0" layoutInCell="1" allowOverlap="1" wp14:anchorId="52BA3DA1" wp14:editId="3E99E29F">
            <wp:simplePos x="0" y="0"/>
            <wp:positionH relativeFrom="margin">
              <wp:align>left</wp:align>
            </wp:positionH>
            <wp:positionV relativeFrom="paragraph">
              <wp:posOffset>4381799</wp:posOffset>
            </wp:positionV>
            <wp:extent cx="3070947" cy="1986915"/>
            <wp:effectExtent l="0" t="0" r="0" b="0"/>
            <wp:wrapNone/>
            <wp:docPr id="1701557641" name="Picture 14" descr="A pie chart with different colored circles&#10;&#10;Description automatically generated">
              <a:extLst xmlns:a="http://schemas.openxmlformats.org/drawingml/2006/main">
                <a:ext uri="{FF2B5EF4-FFF2-40B4-BE49-F238E27FC236}">
                  <a16:creationId xmlns:a16="http://schemas.microsoft.com/office/drawing/2014/main" id="{69AD0A17-AF2C-2889-CFF0-9DD958D14C2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descr="A pie chart with different colored circles&#10;&#10;Description automatically generated">
                      <a:extLst>
                        <a:ext uri="{FF2B5EF4-FFF2-40B4-BE49-F238E27FC236}">
                          <a16:creationId xmlns:a16="http://schemas.microsoft.com/office/drawing/2014/main" id="{69AD0A17-AF2C-2889-CFF0-9DD958D14C2A}"/>
                        </a:ext>
                      </a:extLst>
                    </pic:cNvPr>
                    <pic:cNvPicPr>
                      <a:picLocks noChangeAspect="1"/>
                    </pic:cNvPicPr>
                  </pic:nvPicPr>
                  <pic:blipFill>
                    <a:blip r:embed="rId16"/>
                    <a:stretch>
                      <a:fillRect/>
                    </a:stretch>
                  </pic:blipFill>
                  <pic:spPr>
                    <a:xfrm>
                      <a:off x="0" y="0"/>
                      <a:ext cx="3070947" cy="1986915"/>
                    </a:xfrm>
                    <a:prstGeom prst="rect">
                      <a:avLst/>
                    </a:prstGeom>
                  </pic:spPr>
                </pic:pic>
              </a:graphicData>
            </a:graphic>
            <wp14:sizeRelH relativeFrom="margin">
              <wp14:pctWidth>0</wp14:pctWidth>
            </wp14:sizeRelH>
          </wp:anchor>
        </w:drawing>
      </w:r>
      <w:r>
        <w:rPr>
          <w:noProof/>
        </w:rPr>
        <w:drawing>
          <wp:anchor distT="0" distB="0" distL="114300" distR="114300" simplePos="0" relativeHeight="251647488" behindDoc="0" locked="0" layoutInCell="1" allowOverlap="1" wp14:anchorId="05637D9F" wp14:editId="2E1206A9">
            <wp:simplePos x="0" y="0"/>
            <wp:positionH relativeFrom="margin">
              <wp:align>left</wp:align>
            </wp:positionH>
            <wp:positionV relativeFrom="paragraph">
              <wp:posOffset>2216822</wp:posOffset>
            </wp:positionV>
            <wp:extent cx="3060734" cy="1993265"/>
            <wp:effectExtent l="0" t="0" r="6350" b="6985"/>
            <wp:wrapNone/>
            <wp:docPr id="798730720" name="Picture 5" descr="A pie chart with text&#10;&#10;Description automatically generated">
              <a:extLst xmlns:a="http://schemas.openxmlformats.org/drawingml/2006/main">
                <a:ext uri="{FF2B5EF4-FFF2-40B4-BE49-F238E27FC236}">
                  <a16:creationId xmlns:a16="http://schemas.microsoft.com/office/drawing/2014/main" id="{75C71DFD-3918-2727-E73A-130FB3BABE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pie chart with text&#10;&#10;Description automatically generated">
                      <a:extLst>
                        <a:ext uri="{FF2B5EF4-FFF2-40B4-BE49-F238E27FC236}">
                          <a16:creationId xmlns:a16="http://schemas.microsoft.com/office/drawing/2014/main" id="{75C71DFD-3918-2727-E73A-130FB3BABE03}"/>
                        </a:ext>
                      </a:extLst>
                    </pic:cNvPr>
                    <pic:cNvPicPr>
                      <a:picLocks noChangeAspect="1"/>
                    </pic:cNvPicPr>
                  </pic:nvPicPr>
                  <pic:blipFill>
                    <a:blip r:embed="rId17"/>
                    <a:stretch>
                      <a:fillRect/>
                    </a:stretch>
                  </pic:blipFill>
                  <pic:spPr>
                    <a:xfrm>
                      <a:off x="0" y="0"/>
                      <a:ext cx="3060734" cy="1993265"/>
                    </a:xfrm>
                    <a:prstGeom prst="rect">
                      <a:avLst/>
                    </a:prstGeom>
                  </pic:spPr>
                </pic:pic>
              </a:graphicData>
            </a:graphic>
            <wp14:sizeRelH relativeFrom="margin">
              <wp14:pctWidth>0</wp14:pctWidth>
            </wp14:sizeRelH>
          </wp:anchor>
        </w:drawing>
      </w:r>
      <w:r>
        <w:rPr>
          <w:noProof/>
        </w:rPr>
        <w:drawing>
          <wp:anchor distT="0" distB="0" distL="114300" distR="114300" simplePos="0" relativeHeight="251681280" behindDoc="0" locked="0" layoutInCell="1" allowOverlap="1" wp14:anchorId="2283EB69" wp14:editId="015C8F65">
            <wp:simplePos x="0" y="0"/>
            <wp:positionH relativeFrom="margin">
              <wp:align>left</wp:align>
            </wp:positionH>
            <wp:positionV relativeFrom="paragraph">
              <wp:posOffset>24952</wp:posOffset>
            </wp:positionV>
            <wp:extent cx="2984239" cy="1995782"/>
            <wp:effectExtent l="0" t="0" r="6985" b="5080"/>
            <wp:wrapNone/>
            <wp:docPr id="668789693" name="Picture 8" descr="A pie chart with a number of text&#10;&#10;Description automatically generated">
              <a:extLst xmlns:a="http://schemas.openxmlformats.org/drawingml/2006/main">
                <a:ext uri="{FF2B5EF4-FFF2-40B4-BE49-F238E27FC236}">
                  <a16:creationId xmlns:a16="http://schemas.microsoft.com/office/drawing/2014/main" id="{F00B2009-F0CC-5169-076F-AF6C4DA7125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pie chart with a number of text&#10;&#10;Description automatically generated">
                      <a:extLst>
                        <a:ext uri="{FF2B5EF4-FFF2-40B4-BE49-F238E27FC236}">
                          <a16:creationId xmlns:a16="http://schemas.microsoft.com/office/drawing/2014/main" id="{F00B2009-F0CC-5169-076F-AF6C4DA71255}"/>
                        </a:ext>
                      </a:extLst>
                    </pic:cNvPr>
                    <pic:cNvPicPr>
                      <a:picLocks noChangeAspect="1"/>
                    </pic:cNvPicPr>
                  </pic:nvPicPr>
                  <pic:blipFill>
                    <a:blip r:embed="rId18"/>
                    <a:stretch>
                      <a:fillRect/>
                    </a:stretch>
                  </pic:blipFill>
                  <pic:spPr>
                    <a:xfrm>
                      <a:off x="0" y="0"/>
                      <a:ext cx="2984239" cy="1995782"/>
                    </a:xfrm>
                    <a:prstGeom prst="rect">
                      <a:avLst/>
                    </a:prstGeom>
                  </pic:spPr>
                </pic:pic>
              </a:graphicData>
            </a:graphic>
            <wp14:sizeRelH relativeFrom="margin">
              <wp14:pctWidth>0</wp14:pctWidth>
            </wp14:sizeRelH>
            <wp14:sizeRelV relativeFrom="margin">
              <wp14:pctHeight>0</wp14:pctHeight>
            </wp14:sizeRelV>
          </wp:anchor>
        </w:drawing>
      </w:r>
      <w:r w:rsidR="00A608EA">
        <w:br w:type="page"/>
      </w:r>
    </w:p>
    <w:p w14:paraId="01ADB2FC" w14:textId="3D14FA17" w:rsidR="00756350" w:rsidRDefault="00756350" w:rsidP="00756350">
      <w:r>
        <w:rPr>
          <w:noProof/>
        </w:rPr>
        <w:lastRenderedPageBreak/>
        <w:drawing>
          <wp:inline distT="0" distB="0" distL="0" distR="0" wp14:anchorId="58660DFD" wp14:editId="5E338118">
            <wp:extent cx="4013200" cy="2381250"/>
            <wp:effectExtent l="0" t="0" r="6350" b="0"/>
            <wp:docPr id="696274757" name="Chart 1">
              <a:extLst xmlns:a="http://schemas.openxmlformats.org/drawingml/2006/main">
                <a:ext uri="{FF2B5EF4-FFF2-40B4-BE49-F238E27FC236}">
                  <a16:creationId xmlns:a16="http://schemas.microsoft.com/office/drawing/2014/main" id="{2340D594-16A1-2FA3-7B25-29875082765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r w:rsidR="00603897">
        <w:t xml:space="preserve">      </w:t>
      </w:r>
      <w:r>
        <w:t xml:space="preserve">    </w:t>
      </w:r>
      <w:r>
        <w:rPr>
          <w:noProof/>
        </w:rPr>
        <w:drawing>
          <wp:inline distT="0" distB="0" distL="0" distR="0" wp14:anchorId="78EC5BEB" wp14:editId="1E8F3D49">
            <wp:extent cx="3848100" cy="2393950"/>
            <wp:effectExtent l="0" t="0" r="0" b="6350"/>
            <wp:docPr id="907530370" name="Chart 1">
              <a:extLst xmlns:a="http://schemas.openxmlformats.org/drawingml/2006/main">
                <a:ext uri="{FF2B5EF4-FFF2-40B4-BE49-F238E27FC236}">
                  <a16:creationId xmlns:a16="http://schemas.microsoft.com/office/drawing/2014/main" id="{10F12B04-BE1D-1D9D-D7B5-B13873F61FD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7FB82118" w14:textId="77777777" w:rsidR="00756350" w:rsidRDefault="00756350" w:rsidP="00756350"/>
    <w:p w14:paraId="55DA94B9" w14:textId="0A9BC806" w:rsidR="00756350" w:rsidRDefault="000314CF" w:rsidP="00756350">
      <w:r>
        <w:rPr>
          <w:noProof/>
        </w:rPr>
        <w:drawing>
          <wp:inline distT="0" distB="0" distL="0" distR="0" wp14:anchorId="155553CA" wp14:editId="057C3C69">
            <wp:extent cx="4146550" cy="2387600"/>
            <wp:effectExtent l="0" t="0" r="6350" b="12700"/>
            <wp:docPr id="1452283924" name="Chart 1">
              <a:extLst xmlns:a="http://schemas.openxmlformats.org/drawingml/2006/main">
                <a:ext uri="{FF2B5EF4-FFF2-40B4-BE49-F238E27FC236}">
                  <a16:creationId xmlns:a16="http://schemas.microsoft.com/office/drawing/2014/main" id="{77A54E80-6B01-61BB-6458-30EA0E901B2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r w:rsidR="00756350">
        <w:t xml:space="preserve">       </w:t>
      </w:r>
      <w:r w:rsidR="00756350">
        <w:rPr>
          <w:noProof/>
        </w:rPr>
        <w:drawing>
          <wp:inline distT="0" distB="0" distL="0" distR="0" wp14:anchorId="4295055E" wp14:editId="69FBCFE5">
            <wp:extent cx="4368800" cy="2393950"/>
            <wp:effectExtent l="0" t="0" r="12700" b="6350"/>
            <wp:docPr id="1155303185" name="Chart 1">
              <a:extLst xmlns:a="http://schemas.openxmlformats.org/drawingml/2006/main">
                <a:ext uri="{FF2B5EF4-FFF2-40B4-BE49-F238E27FC236}">
                  <a16:creationId xmlns:a16="http://schemas.microsoft.com/office/drawing/2014/main" id="{8C6C995F-2F29-34F7-474E-5EC81BFE4F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3D88697B" w14:textId="77777777" w:rsidR="00756350" w:rsidRDefault="00756350" w:rsidP="00756350"/>
    <w:p w14:paraId="35435938" w14:textId="77777777" w:rsidR="00756350" w:rsidRDefault="00756350" w:rsidP="00756350">
      <w:r>
        <w:rPr>
          <w:noProof/>
        </w:rPr>
        <w:lastRenderedPageBreak/>
        <w:drawing>
          <wp:inline distT="0" distB="0" distL="0" distR="0" wp14:anchorId="7C6381D8" wp14:editId="10792CC3">
            <wp:extent cx="4292600" cy="2514600"/>
            <wp:effectExtent l="0" t="0" r="12700" b="0"/>
            <wp:docPr id="2005828081" name="Chart 1">
              <a:extLst xmlns:a="http://schemas.openxmlformats.org/drawingml/2006/main">
                <a:ext uri="{FF2B5EF4-FFF2-40B4-BE49-F238E27FC236}">
                  <a16:creationId xmlns:a16="http://schemas.microsoft.com/office/drawing/2014/main" id="{F69A8EC7-555D-8AFE-4839-DD22DA36BAE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r>
        <w:t xml:space="preserve">   </w:t>
      </w:r>
      <w:r>
        <w:rPr>
          <w:noProof/>
        </w:rPr>
        <w:drawing>
          <wp:inline distT="0" distB="0" distL="0" distR="0" wp14:anchorId="13B700E5" wp14:editId="6EAA12AD">
            <wp:extent cx="4311650" cy="2527300"/>
            <wp:effectExtent l="0" t="0" r="12700" b="6350"/>
            <wp:docPr id="1052436854" name="Chart 1">
              <a:extLst xmlns:a="http://schemas.openxmlformats.org/drawingml/2006/main">
                <a:ext uri="{FF2B5EF4-FFF2-40B4-BE49-F238E27FC236}">
                  <a16:creationId xmlns:a16="http://schemas.microsoft.com/office/drawing/2014/main" id="{3D4BF255-2E86-BBC2-296C-4FAA0A7F54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r>
        <w:t xml:space="preserve">       </w:t>
      </w:r>
    </w:p>
    <w:p w14:paraId="73C28265" w14:textId="77777777" w:rsidR="00756350" w:rsidRDefault="00756350" w:rsidP="00756350">
      <w:r>
        <w:rPr>
          <w:noProof/>
        </w:rPr>
        <w:drawing>
          <wp:inline distT="0" distB="0" distL="0" distR="0" wp14:anchorId="0D9B6D9D" wp14:editId="1EC8CFC4">
            <wp:extent cx="4267200" cy="2724150"/>
            <wp:effectExtent l="0" t="0" r="0" b="0"/>
            <wp:docPr id="1083018939" name="Chart 1">
              <a:extLst xmlns:a="http://schemas.openxmlformats.org/drawingml/2006/main">
                <a:ext uri="{FF2B5EF4-FFF2-40B4-BE49-F238E27FC236}">
                  <a16:creationId xmlns:a16="http://schemas.microsoft.com/office/drawing/2014/main" id="{7A703B47-C91D-DF49-56E2-B943A066D7F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r>
        <w:t xml:space="preserve">   </w:t>
      </w:r>
      <w:r>
        <w:rPr>
          <w:noProof/>
        </w:rPr>
        <w:drawing>
          <wp:inline distT="0" distB="0" distL="0" distR="0" wp14:anchorId="18D760BB" wp14:editId="19A6A733">
            <wp:extent cx="4349750" cy="2730500"/>
            <wp:effectExtent l="0" t="0" r="12700" b="12700"/>
            <wp:docPr id="973268422" name="Chart 1">
              <a:extLst xmlns:a="http://schemas.openxmlformats.org/drawingml/2006/main">
                <a:ext uri="{FF2B5EF4-FFF2-40B4-BE49-F238E27FC236}">
                  <a16:creationId xmlns:a16="http://schemas.microsoft.com/office/drawing/2014/main" id="{2FAF754A-F04C-1BA2-BE73-8F8354F2548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1DB8286B" w14:textId="77777777" w:rsidR="00756350" w:rsidRDefault="00756350" w:rsidP="00756350">
      <w:pPr>
        <w:sectPr w:rsidR="00756350" w:rsidSect="00603897">
          <w:pgSz w:w="16838" w:h="11906" w:orient="landscape"/>
          <w:pgMar w:top="1440" w:right="1440" w:bottom="1440" w:left="1440" w:header="709" w:footer="709" w:gutter="0"/>
          <w:cols w:space="708"/>
          <w:docGrid w:linePitch="360"/>
        </w:sectPr>
      </w:pPr>
    </w:p>
    <w:p w14:paraId="69DB3055" w14:textId="77777777" w:rsidR="00756350" w:rsidRDefault="00756350" w:rsidP="00756350"/>
    <w:p w14:paraId="18DA1807" w14:textId="77777777" w:rsidR="00756350" w:rsidRDefault="00756350" w:rsidP="00756350"/>
    <w:tbl>
      <w:tblPr>
        <w:tblW w:w="8540" w:type="dxa"/>
        <w:tblInd w:w="966" w:type="dxa"/>
        <w:tblLook w:val="04A0" w:firstRow="1" w:lastRow="0" w:firstColumn="1" w:lastColumn="0" w:noHBand="0" w:noVBand="1"/>
      </w:tblPr>
      <w:tblGrid>
        <w:gridCol w:w="1940"/>
        <w:gridCol w:w="1960"/>
        <w:gridCol w:w="1340"/>
        <w:gridCol w:w="1100"/>
        <w:gridCol w:w="1100"/>
        <w:gridCol w:w="1100"/>
      </w:tblGrid>
      <w:tr w:rsidR="00756350" w:rsidRPr="00B1459F" w14:paraId="15E62798" w14:textId="77777777" w:rsidTr="001D499C">
        <w:trPr>
          <w:trHeight w:val="190"/>
        </w:trPr>
        <w:tc>
          <w:tcPr>
            <w:tcW w:w="1940" w:type="dxa"/>
            <w:tcBorders>
              <w:top w:val="nil"/>
              <w:left w:val="nil"/>
              <w:bottom w:val="nil"/>
              <w:right w:val="nil"/>
            </w:tcBorders>
            <w:shd w:val="clear" w:color="auto" w:fill="auto"/>
            <w:noWrap/>
            <w:vAlign w:val="bottom"/>
            <w:hideMark/>
          </w:tcPr>
          <w:p w14:paraId="212469D6" w14:textId="77777777" w:rsidR="00756350" w:rsidRPr="00B1459F" w:rsidRDefault="00756350" w:rsidP="000E1DD0">
            <w:pPr>
              <w:spacing w:after="0" w:line="240" w:lineRule="auto"/>
              <w:rPr>
                <w:rFonts w:ascii="Times New Roman" w:eastAsia="Times New Roman" w:hAnsi="Times New Roman" w:cs="Times New Roman"/>
                <w:kern w:val="0"/>
                <w:lang w:eastAsia="en-GB"/>
                <w14:ligatures w14:val="none"/>
              </w:rPr>
            </w:pPr>
          </w:p>
        </w:tc>
        <w:tc>
          <w:tcPr>
            <w:tcW w:w="1960" w:type="dxa"/>
            <w:tcBorders>
              <w:top w:val="nil"/>
              <w:left w:val="nil"/>
              <w:bottom w:val="nil"/>
              <w:right w:val="nil"/>
            </w:tcBorders>
            <w:shd w:val="clear" w:color="auto" w:fill="auto"/>
            <w:noWrap/>
            <w:vAlign w:val="bottom"/>
            <w:hideMark/>
          </w:tcPr>
          <w:p w14:paraId="0CFCF409" w14:textId="77777777" w:rsidR="00756350" w:rsidRPr="00B1459F" w:rsidRDefault="00756350" w:rsidP="000E1DD0">
            <w:pPr>
              <w:spacing w:after="0" w:line="240" w:lineRule="auto"/>
              <w:rPr>
                <w:rFonts w:ascii="Trebuchet MS" w:eastAsia="Times New Roman" w:hAnsi="Trebuchet MS" w:cs="Times New Roman"/>
                <w:b/>
                <w:bCs/>
                <w:color w:val="000000"/>
                <w:kern w:val="0"/>
                <w:sz w:val="16"/>
                <w:szCs w:val="16"/>
                <w:lang w:eastAsia="en-GB"/>
                <w14:ligatures w14:val="none"/>
              </w:rPr>
            </w:pPr>
            <w:r w:rsidRPr="00B1459F">
              <w:rPr>
                <w:rFonts w:ascii="Trebuchet MS" w:eastAsia="Times New Roman" w:hAnsi="Trebuchet MS" w:cs="Times New Roman"/>
                <w:b/>
                <w:bCs/>
                <w:color w:val="000000"/>
                <w:kern w:val="0"/>
                <w:sz w:val="16"/>
                <w:szCs w:val="16"/>
                <w:lang w:eastAsia="en-GB"/>
                <w14:ligatures w14:val="none"/>
              </w:rPr>
              <w:t>Dept</w:t>
            </w:r>
          </w:p>
        </w:tc>
        <w:tc>
          <w:tcPr>
            <w:tcW w:w="1340" w:type="dxa"/>
            <w:tcBorders>
              <w:top w:val="nil"/>
              <w:left w:val="nil"/>
              <w:bottom w:val="nil"/>
              <w:right w:val="nil"/>
            </w:tcBorders>
            <w:shd w:val="clear" w:color="auto" w:fill="auto"/>
            <w:noWrap/>
            <w:vAlign w:val="bottom"/>
            <w:hideMark/>
          </w:tcPr>
          <w:p w14:paraId="5F2AC713" w14:textId="77777777" w:rsidR="00756350" w:rsidRPr="00B1459F" w:rsidRDefault="00756350" w:rsidP="000E1DD0">
            <w:pPr>
              <w:spacing w:after="0" w:line="240" w:lineRule="auto"/>
              <w:jc w:val="center"/>
              <w:rPr>
                <w:rFonts w:ascii="Trebuchet MS" w:eastAsia="Times New Roman" w:hAnsi="Trebuchet MS" w:cs="Times New Roman"/>
                <w:b/>
                <w:bCs/>
                <w:color w:val="000000"/>
                <w:kern w:val="0"/>
                <w:sz w:val="16"/>
                <w:szCs w:val="16"/>
                <w:lang w:eastAsia="en-GB"/>
                <w14:ligatures w14:val="none"/>
              </w:rPr>
            </w:pPr>
            <w:r w:rsidRPr="00B1459F">
              <w:rPr>
                <w:rFonts w:ascii="Trebuchet MS" w:eastAsia="Times New Roman" w:hAnsi="Trebuchet MS" w:cs="Times New Roman"/>
                <w:b/>
                <w:bCs/>
                <w:color w:val="000000"/>
                <w:kern w:val="0"/>
                <w:sz w:val="16"/>
                <w:szCs w:val="16"/>
                <w:lang w:eastAsia="en-GB"/>
                <w14:ligatures w14:val="none"/>
              </w:rPr>
              <w:t>Salary</w:t>
            </w:r>
          </w:p>
        </w:tc>
        <w:tc>
          <w:tcPr>
            <w:tcW w:w="1100" w:type="dxa"/>
            <w:tcBorders>
              <w:top w:val="nil"/>
              <w:left w:val="nil"/>
              <w:bottom w:val="nil"/>
              <w:right w:val="nil"/>
            </w:tcBorders>
            <w:shd w:val="clear" w:color="auto" w:fill="auto"/>
            <w:noWrap/>
            <w:vAlign w:val="bottom"/>
            <w:hideMark/>
          </w:tcPr>
          <w:p w14:paraId="0723FA86" w14:textId="77777777" w:rsidR="00756350" w:rsidRPr="00B1459F" w:rsidRDefault="00756350" w:rsidP="000E1DD0">
            <w:pPr>
              <w:spacing w:after="0" w:line="240" w:lineRule="auto"/>
              <w:jc w:val="center"/>
              <w:rPr>
                <w:rFonts w:ascii="Trebuchet MS" w:eastAsia="Times New Roman" w:hAnsi="Trebuchet MS" w:cs="Times New Roman"/>
                <w:b/>
                <w:bCs/>
                <w:color w:val="000000"/>
                <w:kern w:val="0"/>
                <w:sz w:val="16"/>
                <w:szCs w:val="16"/>
                <w:lang w:eastAsia="en-GB"/>
                <w14:ligatures w14:val="none"/>
              </w:rPr>
            </w:pPr>
            <w:r w:rsidRPr="00B1459F">
              <w:rPr>
                <w:rFonts w:ascii="Trebuchet MS" w:eastAsia="Times New Roman" w:hAnsi="Trebuchet MS" w:cs="Times New Roman"/>
                <w:b/>
                <w:bCs/>
                <w:color w:val="000000"/>
                <w:kern w:val="0"/>
                <w:sz w:val="16"/>
                <w:szCs w:val="16"/>
                <w:lang w:eastAsia="en-GB"/>
                <w14:ligatures w14:val="none"/>
              </w:rPr>
              <w:t>Q1 Bonus</w:t>
            </w:r>
          </w:p>
        </w:tc>
        <w:tc>
          <w:tcPr>
            <w:tcW w:w="1100" w:type="dxa"/>
            <w:tcBorders>
              <w:top w:val="nil"/>
              <w:left w:val="nil"/>
              <w:bottom w:val="nil"/>
              <w:right w:val="nil"/>
            </w:tcBorders>
            <w:shd w:val="clear" w:color="auto" w:fill="auto"/>
            <w:noWrap/>
            <w:vAlign w:val="bottom"/>
            <w:hideMark/>
          </w:tcPr>
          <w:p w14:paraId="0A4E9943" w14:textId="77777777" w:rsidR="00756350" w:rsidRPr="00B1459F" w:rsidRDefault="00756350" w:rsidP="000E1DD0">
            <w:pPr>
              <w:spacing w:after="0" w:line="240" w:lineRule="auto"/>
              <w:jc w:val="center"/>
              <w:rPr>
                <w:rFonts w:ascii="Trebuchet MS" w:eastAsia="Times New Roman" w:hAnsi="Trebuchet MS" w:cs="Times New Roman"/>
                <w:b/>
                <w:bCs/>
                <w:color w:val="000000"/>
                <w:kern w:val="0"/>
                <w:sz w:val="16"/>
                <w:szCs w:val="16"/>
                <w:lang w:eastAsia="en-GB"/>
                <w14:ligatures w14:val="none"/>
              </w:rPr>
            </w:pPr>
            <w:r w:rsidRPr="00B1459F">
              <w:rPr>
                <w:rFonts w:ascii="Trebuchet MS" w:eastAsia="Times New Roman" w:hAnsi="Trebuchet MS" w:cs="Times New Roman"/>
                <w:b/>
                <w:bCs/>
                <w:color w:val="000000"/>
                <w:kern w:val="0"/>
                <w:sz w:val="16"/>
                <w:szCs w:val="16"/>
                <w:lang w:eastAsia="en-GB"/>
                <w14:ligatures w14:val="none"/>
              </w:rPr>
              <w:t>Q2 Bonus</w:t>
            </w:r>
          </w:p>
        </w:tc>
        <w:tc>
          <w:tcPr>
            <w:tcW w:w="1100" w:type="dxa"/>
            <w:tcBorders>
              <w:top w:val="nil"/>
              <w:left w:val="nil"/>
              <w:bottom w:val="nil"/>
              <w:right w:val="nil"/>
            </w:tcBorders>
            <w:shd w:val="clear" w:color="auto" w:fill="auto"/>
            <w:noWrap/>
            <w:vAlign w:val="bottom"/>
            <w:hideMark/>
          </w:tcPr>
          <w:p w14:paraId="045A43C2" w14:textId="77777777" w:rsidR="00756350" w:rsidRPr="00B1459F" w:rsidRDefault="00756350" w:rsidP="000E1DD0">
            <w:pPr>
              <w:spacing w:after="0" w:line="240" w:lineRule="auto"/>
              <w:jc w:val="center"/>
              <w:rPr>
                <w:rFonts w:ascii="Trebuchet MS" w:eastAsia="Times New Roman" w:hAnsi="Trebuchet MS" w:cs="Times New Roman"/>
                <w:b/>
                <w:bCs/>
                <w:color w:val="000000"/>
                <w:kern w:val="0"/>
                <w:sz w:val="16"/>
                <w:szCs w:val="16"/>
                <w:lang w:eastAsia="en-GB"/>
                <w14:ligatures w14:val="none"/>
              </w:rPr>
            </w:pPr>
            <w:r w:rsidRPr="00B1459F">
              <w:rPr>
                <w:rFonts w:ascii="Trebuchet MS" w:eastAsia="Times New Roman" w:hAnsi="Trebuchet MS" w:cs="Times New Roman"/>
                <w:b/>
                <w:bCs/>
                <w:color w:val="000000"/>
                <w:kern w:val="0"/>
                <w:sz w:val="16"/>
                <w:szCs w:val="16"/>
                <w:lang w:eastAsia="en-GB"/>
                <w14:ligatures w14:val="none"/>
              </w:rPr>
              <w:t>H1 Bonus</w:t>
            </w:r>
          </w:p>
        </w:tc>
      </w:tr>
      <w:tr w:rsidR="00756350" w:rsidRPr="00B1459F" w14:paraId="600A64FB" w14:textId="77777777" w:rsidTr="001D499C">
        <w:trPr>
          <w:trHeight w:val="190"/>
        </w:trPr>
        <w:tc>
          <w:tcPr>
            <w:tcW w:w="1940" w:type="dxa"/>
            <w:tcBorders>
              <w:top w:val="nil"/>
              <w:left w:val="nil"/>
              <w:bottom w:val="nil"/>
              <w:right w:val="nil"/>
            </w:tcBorders>
            <w:shd w:val="clear" w:color="auto" w:fill="auto"/>
            <w:noWrap/>
            <w:vAlign w:val="bottom"/>
            <w:hideMark/>
          </w:tcPr>
          <w:p w14:paraId="3989BBF3" w14:textId="77777777" w:rsidR="00756350" w:rsidRPr="00B1459F" w:rsidRDefault="00756350" w:rsidP="000E1DD0">
            <w:pPr>
              <w:spacing w:after="0" w:line="240" w:lineRule="auto"/>
              <w:jc w:val="center"/>
              <w:rPr>
                <w:rFonts w:ascii="Trebuchet MS" w:eastAsia="Times New Roman" w:hAnsi="Trebuchet MS" w:cs="Times New Roman"/>
                <w:b/>
                <w:bCs/>
                <w:color w:val="000000"/>
                <w:kern w:val="0"/>
                <w:sz w:val="16"/>
                <w:szCs w:val="16"/>
                <w:lang w:eastAsia="en-GB"/>
                <w14:ligatures w14:val="none"/>
              </w:rPr>
            </w:pPr>
          </w:p>
        </w:tc>
        <w:tc>
          <w:tcPr>
            <w:tcW w:w="1960" w:type="dxa"/>
            <w:tcBorders>
              <w:top w:val="nil"/>
              <w:left w:val="nil"/>
              <w:bottom w:val="nil"/>
              <w:right w:val="nil"/>
            </w:tcBorders>
            <w:shd w:val="clear" w:color="auto" w:fill="auto"/>
            <w:noWrap/>
            <w:vAlign w:val="bottom"/>
            <w:hideMark/>
          </w:tcPr>
          <w:p w14:paraId="73FC28EC"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Admin</w:t>
            </w:r>
          </w:p>
        </w:tc>
        <w:tc>
          <w:tcPr>
            <w:tcW w:w="1340" w:type="dxa"/>
            <w:tcBorders>
              <w:top w:val="nil"/>
              <w:left w:val="nil"/>
              <w:bottom w:val="nil"/>
              <w:right w:val="nil"/>
            </w:tcBorders>
            <w:shd w:val="clear" w:color="auto" w:fill="auto"/>
            <w:noWrap/>
            <w:vAlign w:val="bottom"/>
            <w:hideMark/>
          </w:tcPr>
          <w:p w14:paraId="2BBAE929"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£301,880.00</w:t>
            </w:r>
          </w:p>
        </w:tc>
        <w:tc>
          <w:tcPr>
            <w:tcW w:w="1100" w:type="dxa"/>
            <w:tcBorders>
              <w:top w:val="nil"/>
              <w:left w:val="nil"/>
              <w:bottom w:val="nil"/>
              <w:right w:val="nil"/>
            </w:tcBorders>
            <w:shd w:val="clear" w:color="auto" w:fill="auto"/>
            <w:noWrap/>
            <w:vAlign w:val="bottom"/>
            <w:hideMark/>
          </w:tcPr>
          <w:p w14:paraId="3C8F9473"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£2,220.00</w:t>
            </w:r>
          </w:p>
        </w:tc>
        <w:tc>
          <w:tcPr>
            <w:tcW w:w="1100" w:type="dxa"/>
            <w:tcBorders>
              <w:top w:val="nil"/>
              <w:left w:val="nil"/>
              <w:bottom w:val="nil"/>
              <w:right w:val="nil"/>
            </w:tcBorders>
            <w:shd w:val="clear" w:color="auto" w:fill="auto"/>
            <w:noWrap/>
            <w:vAlign w:val="bottom"/>
            <w:hideMark/>
          </w:tcPr>
          <w:p w14:paraId="6B3ECF59"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£960.00</w:t>
            </w:r>
          </w:p>
        </w:tc>
        <w:tc>
          <w:tcPr>
            <w:tcW w:w="1100" w:type="dxa"/>
            <w:tcBorders>
              <w:top w:val="nil"/>
              <w:left w:val="nil"/>
              <w:bottom w:val="nil"/>
              <w:right w:val="nil"/>
            </w:tcBorders>
            <w:shd w:val="clear" w:color="auto" w:fill="auto"/>
            <w:noWrap/>
            <w:vAlign w:val="bottom"/>
            <w:hideMark/>
          </w:tcPr>
          <w:p w14:paraId="63A585C9"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£3,180.00</w:t>
            </w:r>
          </w:p>
        </w:tc>
      </w:tr>
      <w:tr w:rsidR="00756350" w:rsidRPr="00B1459F" w14:paraId="35BDA69E" w14:textId="77777777" w:rsidTr="001D499C">
        <w:trPr>
          <w:trHeight w:val="190"/>
        </w:trPr>
        <w:tc>
          <w:tcPr>
            <w:tcW w:w="1940" w:type="dxa"/>
            <w:tcBorders>
              <w:top w:val="nil"/>
              <w:left w:val="nil"/>
              <w:bottom w:val="nil"/>
              <w:right w:val="nil"/>
            </w:tcBorders>
            <w:shd w:val="clear" w:color="auto" w:fill="auto"/>
            <w:noWrap/>
            <w:vAlign w:val="bottom"/>
            <w:hideMark/>
          </w:tcPr>
          <w:p w14:paraId="09D0DFC8"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p>
        </w:tc>
        <w:tc>
          <w:tcPr>
            <w:tcW w:w="1960" w:type="dxa"/>
            <w:tcBorders>
              <w:top w:val="nil"/>
              <w:left w:val="nil"/>
              <w:bottom w:val="nil"/>
              <w:right w:val="nil"/>
            </w:tcBorders>
            <w:shd w:val="clear" w:color="auto" w:fill="auto"/>
            <w:noWrap/>
            <w:vAlign w:val="bottom"/>
            <w:hideMark/>
          </w:tcPr>
          <w:p w14:paraId="2D25B308"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Sales</w:t>
            </w:r>
          </w:p>
        </w:tc>
        <w:tc>
          <w:tcPr>
            <w:tcW w:w="1340" w:type="dxa"/>
            <w:tcBorders>
              <w:top w:val="nil"/>
              <w:left w:val="nil"/>
              <w:bottom w:val="nil"/>
              <w:right w:val="nil"/>
            </w:tcBorders>
            <w:shd w:val="clear" w:color="auto" w:fill="auto"/>
            <w:noWrap/>
            <w:vAlign w:val="bottom"/>
            <w:hideMark/>
          </w:tcPr>
          <w:p w14:paraId="1A51F64D"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£318,000.00</w:t>
            </w:r>
          </w:p>
        </w:tc>
        <w:tc>
          <w:tcPr>
            <w:tcW w:w="1100" w:type="dxa"/>
            <w:tcBorders>
              <w:top w:val="nil"/>
              <w:left w:val="nil"/>
              <w:bottom w:val="nil"/>
              <w:right w:val="nil"/>
            </w:tcBorders>
            <w:shd w:val="clear" w:color="auto" w:fill="auto"/>
            <w:noWrap/>
            <w:vAlign w:val="bottom"/>
            <w:hideMark/>
          </w:tcPr>
          <w:p w14:paraId="5562AAE2"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454281CF"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237AB6A5"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0B89257A" w14:textId="77777777" w:rsidTr="001D499C">
        <w:trPr>
          <w:trHeight w:val="190"/>
        </w:trPr>
        <w:tc>
          <w:tcPr>
            <w:tcW w:w="1940" w:type="dxa"/>
            <w:tcBorders>
              <w:top w:val="nil"/>
              <w:left w:val="nil"/>
              <w:bottom w:val="nil"/>
              <w:right w:val="nil"/>
            </w:tcBorders>
            <w:shd w:val="clear" w:color="auto" w:fill="auto"/>
            <w:noWrap/>
            <w:vAlign w:val="bottom"/>
            <w:hideMark/>
          </w:tcPr>
          <w:p w14:paraId="47ADCA99"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p>
        </w:tc>
        <w:tc>
          <w:tcPr>
            <w:tcW w:w="1960" w:type="dxa"/>
            <w:tcBorders>
              <w:top w:val="nil"/>
              <w:left w:val="nil"/>
              <w:bottom w:val="nil"/>
              <w:right w:val="nil"/>
            </w:tcBorders>
            <w:shd w:val="clear" w:color="auto" w:fill="auto"/>
            <w:noWrap/>
            <w:vAlign w:val="bottom"/>
            <w:hideMark/>
          </w:tcPr>
          <w:p w14:paraId="71422932"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Logistics</w:t>
            </w:r>
          </w:p>
        </w:tc>
        <w:tc>
          <w:tcPr>
            <w:tcW w:w="1340" w:type="dxa"/>
            <w:tcBorders>
              <w:top w:val="nil"/>
              <w:left w:val="nil"/>
              <w:bottom w:val="nil"/>
              <w:right w:val="nil"/>
            </w:tcBorders>
            <w:shd w:val="clear" w:color="auto" w:fill="auto"/>
            <w:noWrap/>
            <w:vAlign w:val="bottom"/>
            <w:hideMark/>
          </w:tcPr>
          <w:p w14:paraId="1233464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£465,750.00</w:t>
            </w:r>
          </w:p>
        </w:tc>
        <w:tc>
          <w:tcPr>
            <w:tcW w:w="1100" w:type="dxa"/>
            <w:tcBorders>
              <w:top w:val="nil"/>
              <w:left w:val="nil"/>
              <w:bottom w:val="nil"/>
              <w:right w:val="nil"/>
            </w:tcBorders>
            <w:shd w:val="clear" w:color="auto" w:fill="auto"/>
            <w:noWrap/>
            <w:vAlign w:val="bottom"/>
            <w:hideMark/>
          </w:tcPr>
          <w:p w14:paraId="541C9113"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£3,290.00</w:t>
            </w:r>
          </w:p>
        </w:tc>
        <w:tc>
          <w:tcPr>
            <w:tcW w:w="1100" w:type="dxa"/>
            <w:tcBorders>
              <w:top w:val="nil"/>
              <w:left w:val="nil"/>
              <w:bottom w:val="nil"/>
              <w:right w:val="nil"/>
            </w:tcBorders>
            <w:shd w:val="clear" w:color="auto" w:fill="auto"/>
            <w:noWrap/>
            <w:vAlign w:val="bottom"/>
            <w:hideMark/>
          </w:tcPr>
          <w:p w14:paraId="66F659F8"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£4,500.00</w:t>
            </w:r>
          </w:p>
        </w:tc>
        <w:tc>
          <w:tcPr>
            <w:tcW w:w="1100" w:type="dxa"/>
            <w:tcBorders>
              <w:top w:val="nil"/>
              <w:left w:val="nil"/>
              <w:bottom w:val="nil"/>
              <w:right w:val="nil"/>
            </w:tcBorders>
            <w:shd w:val="clear" w:color="auto" w:fill="auto"/>
            <w:noWrap/>
            <w:vAlign w:val="bottom"/>
            <w:hideMark/>
          </w:tcPr>
          <w:p w14:paraId="13E677A8"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£7,790.00</w:t>
            </w:r>
          </w:p>
        </w:tc>
      </w:tr>
      <w:tr w:rsidR="00756350" w:rsidRPr="00B1459F" w14:paraId="311DB40C" w14:textId="77777777" w:rsidTr="001D499C">
        <w:trPr>
          <w:trHeight w:val="190"/>
        </w:trPr>
        <w:tc>
          <w:tcPr>
            <w:tcW w:w="1940" w:type="dxa"/>
            <w:tcBorders>
              <w:top w:val="nil"/>
              <w:left w:val="nil"/>
              <w:bottom w:val="nil"/>
              <w:right w:val="nil"/>
            </w:tcBorders>
            <w:shd w:val="clear" w:color="auto" w:fill="auto"/>
            <w:noWrap/>
            <w:vAlign w:val="bottom"/>
            <w:hideMark/>
          </w:tcPr>
          <w:p w14:paraId="276F6AB3"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p>
        </w:tc>
        <w:tc>
          <w:tcPr>
            <w:tcW w:w="1960" w:type="dxa"/>
            <w:tcBorders>
              <w:top w:val="nil"/>
              <w:left w:val="nil"/>
              <w:bottom w:val="nil"/>
              <w:right w:val="nil"/>
            </w:tcBorders>
            <w:shd w:val="clear" w:color="auto" w:fill="auto"/>
            <w:noWrap/>
            <w:vAlign w:val="bottom"/>
            <w:hideMark/>
          </w:tcPr>
          <w:p w14:paraId="785D2366"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R&amp;D</w:t>
            </w:r>
          </w:p>
        </w:tc>
        <w:tc>
          <w:tcPr>
            <w:tcW w:w="1340" w:type="dxa"/>
            <w:tcBorders>
              <w:top w:val="nil"/>
              <w:left w:val="nil"/>
              <w:bottom w:val="nil"/>
              <w:right w:val="nil"/>
            </w:tcBorders>
            <w:shd w:val="clear" w:color="auto" w:fill="auto"/>
            <w:noWrap/>
            <w:vAlign w:val="bottom"/>
            <w:hideMark/>
          </w:tcPr>
          <w:p w14:paraId="2824001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£306,000.00</w:t>
            </w:r>
          </w:p>
        </w:tc>
        <w:tc>
          <w:tcPr>
            <w:tcW w:w="1100" w:type="dxa"/>
            <w:tcBorders>
              <w:top w:val="nil"/>
              <w:left w:val="nil"/>
              <w:bottom w:val="nil"/>
              <w:right w:val="nil"/>
            </w:tcBorders>
            <w:shd w:val="clear" w:color="auto" w:fill="auto"/>
            <w:noWrap/>
            <w:vAlign w:val="bottom"/>
            <w:hideMark/>
          </w:tcPr>
          <w:p w14:paraId="0824F5F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£3,660.00</w:t>
            </w:r>
          </w:p>
        </w:tc>
        <w:tc>
          <w:tcPr>
            <w:tcW w:w="1100" w:type="dxa"/>
            <w:tcBorders>
              <w:top w:val="nil"/>
              <w:left w:val="nil"/>
              <w:bottom w:val="nil"/>
              <w:right w:val="nil"/>
            </w:tcBorders>
            <w:shd w:val="clear" w:color="auto" w:fill="auto"/>
            <w:noWrap/>
            <w:vAlign w:val="bottom"/>
            <w:hideMark/>
          </w:tcPr>
          <w:p w14:paraId="0CFD86C9"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£6,140.00</w:t>
            </w:r>
          </w:p>
        </w:tc>
        <w:tc>
          <w:tcPr>
            <w:tcW w:w="1100" w:type="dxa"/>
            <w:tcBorders>
              <w:top w:val="nil"/>
              <w:left w:val="nil"/>
              <w:bottom w:val="nil"/>
              <w:right w:val="nil"/>
            </w:tcBorders>
            <w:shd w:val="clear" w:color="auto" w:fill="auto"/>
            <w:noWrap/>
            <w:vAlign w:val="bottom"/>
            <w:hideMark/>
          </w:tcPr>
          <w:p w14:paraId="7528965F"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£9,800.00</w:t>
            </w:r>
          </w:p>
        </w:tc>
      </w:tr>
      <w:tr w:rsidR="00756350" w:rsidRPr="00B1459F" w14:paraId="163559B9" w14:textId="77777777" w:rsidTr="001D499C">
        <w:trPr>
          <w:trHeight w:val="190"/>
        </w:trPr>
        <w:tc>
          <w:tcPr>
            <w:tcW w:w="1940" w:type="dxa"/>
            <w:tcBorders>
              <w:top w:val="nil"/>
              <w:left w:val="nil"/>
              <w:bottom w:val="nil"/>
              <w:right w:val="nil"/>
            </w:tcBorders>
            <w:shd w:val="clear" w:color="auto" w:fill="auto"/>
            <w:noWrap/>
            <w:vAlign w:val="bottom"/>
            <w:hideMark/>
          </w:tcPr>
          <w:p w14:paraId="5B90FBD0"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p>
        </w:tc>
        <w:tc>
          <w:tcPr>
            <w:tcW w:w="1960" w:type="dxa"/>
            <w:tcBorders>
              <w:top w:val="single" w:sz="4" w:space="0" w:color="auto"/>
              <w:left w:val="nil"/>
              <w:bottom w:val="double" w:sz="6" w:space="0" w:color="auto"/>
              <w:right w:val="nil"/>
            </w:tcBorders>
            <w:shd w:val="clear" w:color="auto" w:fill="auto"/>
            <w:noWrap/>
            <w:vAlign w:val="bottom"/>
            <w:hideMark/>
          </w:tcPr>
          <w:p w14:paraId="64193107"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Company</w:t>
            </w:r>
          </w:p>
        </w:tc>
        <w:tc>
          <w:tcPr>
            <w:tcW w:w="1340" w:type="dxa"/>
            <w:tcBorders>
              <w:top w:val="single" w:sz="4" w:space="0" w:color="auto"/>
              <w:left w:val="nil"/>
              <w:bottom w:val="double" w:sz="6" w:space="0" w:color="auto"/>
              <w:right w:val="nil"/>
            </w:tcBorders>
            <w:shd w:val="clear" w:color="auto" w:fill="auto"/>
            <w:noWrap/>
            <w:vAlign w:val="bottom"/>
            <w:hideMark/>
          </w:tcPr>
          <w:p w14:paraId="357ACAE9"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£1,391,630.00</w:t>
            </w:r>
          </w:p>
        </w:tc>
        <w:tc>
          <w:tcPr>
            <w:tcW w:w="1100" w:type="dxa"/>
            <w:tcBorders>
              <w:top w:val="single" w:sz="4" w:space="0" w:color="auto"/>
              <w:left w:val="nil"/>
              <w:bottom w:val="double" w:sz="6" w:space="0" w:color="auto"/>
              <w:right w:val="nil"/>
            </w:tcBorders>
            <w:shd w:val="clear" w:color="auto" w:fill="auto"/>
            <w:noWrap/>
            <w:vAlign w:val="bottom"/>
            <w:hideMark/>
          </w:tcPr>
          <w:p w14:paraId="42C71FAA"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£9,170.00</w:t>
            </w:r>
          </w:p>
        </w:tc>
        <w:tc>
          <w:tcPr>
            <w:tcW w:w="1100" w:type="dxa"/>
            <w:tcBorders>
              <w:top w:val="single" w:sz="4" w:space="0" w:color="auto"/>
              <w:left w:val="nil"/>
              <w:bottom w:val="double" w:sz="6" w:space="0" w:color="auto"/>
              <w:right w:val="nil"/>
            </w:tcBorders>
            <w:shd w:val="clear" w:color="auto" w:fill="auto"/>
            <w:noWrap/>
            <w:vAlign w:val="bottom"/>
            <w:hideMark/>
          </w:tcPr>
          <w:p w14:paraId="6C16A07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£11,600.00</w:t>
            </w:r>
          </w:p>
        </w:tc>
        <w:tc>
          <w:tcPr>
            <w:tcW w:w="1100" w:type="dxa"/>
            <w:tcBorders>
              <w:top w:val="single" w:sz="4" w:space="0" w:color="auto"/>
              <w:left w:val="nil"/>
              <w:bottom w:val="double" w:sz="6" w:space="0" w:color="auto"/>
              <w:right w:val="nil"/>
            </w:tcBorders>
            <w:shd w:val="clear" w:color="auto" w:fill="auto"/>
            <w:noWrap/>
            <w:vAlign w:val="bottom"/>
            <w:hideMark/>
          </w:tcPr>
          <w:p w14:paraId="3B17AC2F"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£20,770.00</w:t>
            </w:r>
          </w:p>
        </w:tc>
      </w:tr>
      <w:tr w:rsidR="00756350" w:rsidRPr="00B1459F" w14:paraId="6E587DFB" w14:textId="77777777" w:rsidTr="001D499C">
        <w:trPr>
          <w:trHeight w:val="190"/>
        </w:trPr>
        <w:tc>
          <w:tcPr>
            <w:tcW w:w="1940" w:type="dxa"/>
            <w:tcBorders>
              <w:top w:val="nil"/>
              <w:left w:val="nil"/>
              <w:bottom w:val="nil"/>
              <w:right w:val="nil"/>
            </w:tcBorders>
            <w:shd w:val="clear" w:color="auto" w:fill="auto"/>
            <w:noWrap/>
            <w:vAlign w:val="bottom"/>
            <w:hideMark/>
          </w:tcPr>
          <w:p w14:paraId="17BFCF19"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p>
        </w:tc>
        <w:tc>
          <w:tcPr>
            <w:tcW w:w="1960" w:type="dxa"/>
            <w:tcBorders>
              <w:top w:val="nil"/>
              <w:left w:val="nil"/>
              <w:bottom w:val="nil"/>
              <w:right w:val="nil"/>
            </w:tcBorders>
            <w:shd w:val="clear" w:color="auto" w:fill="auto"/>
            <w:noWrap/>
            <w:vAlign w:val="bottom"/>
            <w:hideMark/>
          </w:tcPr>
          <w:p w14:paraId="3478B119" w14:textId="77777777" w:rsidR="00756350" w:rsidRPr="00B1459F" w:rsidRDefault="00756350" w:rsidP="000E1DD0">
            <w:pPr>
              <w:spacing w:after="0" w:line="240" w:lineRule="auto"/>
              <w:rPr>
                <w:rFonts w:ascii="Times New Roman" w:eastAsia="Times New Roman" w:hAnsi="Times New Roman" w:cs="Times New Roman"/>
                <w:kern w:val="0"/>
                <w:sz w:val="20"/>
                <w:szCs w:val="20"/>
                <w:lang w:eastAsia="en-GB"/>
                <w14:ligatures w14:val="none"/>
              </w:rPr>
            </w:pPr>
          </w:p>
        </w:tc>
        <w:tc>
          <w:tcPr>
            <w:tcW w:w="1340" w:type="dxa"/>
            <w:tcBorders>
              <w:top w:val="nil"/>
              <w:left w:val="nil"/>
              <w:bottom w:val="nil"/>
              <w:right w:val="nil"/>
            </w:tcBorders>
            <w:shd w:val="clear" w:color="auto" w:fill="auto"/>
            <w:noWrap/>
            <w:vAlign w:val="bottom"/>
            <w:hideMark/>
          </w:tcPr>
          <w:p w14:paraId="152EDCB5" w14:textId="77777777" w:rsidR="00756350" w:rsidRPr="00B1459F" w:rsidRDefault="00756350" w:rsidP="000E1DD0">
            <w:pPr>
              <w:spacing w:after="0" w:line="240" w:lineRule="auto"/>
              <w:rPr>
                <w:rFonts w:ascii="Times New Roman" w:eastAsia="Times New Roman" w:hAnsi="Times New Roman" w:cs="Times New Roman"/>
                <w:kern w:val="0"/>
                <w:sz w:val="20"/>
                <w:szCs w:val="20"/>
                <w:lang w:eastAsia="en-GB"/>
                <w14:ligatures w14:val="none"/>
              </w:rPr>
            </w:pPr>
          </w:p>
        </w:tc>
        <w:tc>
          <w:tcPr>
            <w:tcW w:w="1100" w:type="dxa"/>
            <w:tcBorders>
              <w:top w:val="nil"/>
              <w:left w:val="nil"/>
              <w:bottom w:val="nil"/>
              <w:right w:val="nil"/>
            </w:tcBorders>
            <w:shd w:val="clear" w:color="auto" w:fill="auto"/>
            <w:noWrap/>
            <w:vAlign w:val="bottom"/>
            <w:hideMark/>
          </w:tcPr>
          <w:p w14:paraId="41D5D050"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0.66%</w:t>
            </w:r>
          </w:p>
        </w:tc>
        <w:tc>
          <w:tcPr>
            <w:tcW w:w="1100" w:type="dxa"/>
            <w:tcBorders>
              <w:top w:val="nil"/>
              <w:left w:val="nil"/>
              <w:bottom w:val="nil"/>
              <w:right w:val="nil"/>
            </w:tcBorders>
            <w:shd w:val="clear" w:color="auto" w:fill="auto"/>
            <w:noWrap/>
            <w:vAlign w:val="bottom"/>
            <w:hideMark/>
          </w:tcPr>
          <w:p w14:paraId="42A56E9F"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0.83%</w:t>
            </w:r>
          </w:p>
        </w:tc>
        <w:tc>
          <w:tcPr>
            <w:tcW w:w="1100" w:type="dxa"/>
            <w:tcBorders>
              <w:top w:val="nil"/>
              <w:left w:val="nil"/>
              <w:bottom w:val="nil"/>
              <w:right w:val="nil"/>
            </w:tcBorders>
            <w:shd w:val="clear" w:color="auto" w:fill="auto"/>
            <w:noWrap/>
            <w:vAlign w:val="bottom"/>
            <w:hideMark/>
          </w:tcPr>
          <w:p w14:paraId="5F919045"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1.49%</w:t>
            </w:r>
          </w:p>
        </w:tc>
      </w:tr>
      <w:tr w:rsidR="00756350" w:rsidRPr="00B1459F" w14:paraId="2BFD4358" w14:textId="77777777" w:rsidTr="001D499C">
        <w:trPr>
          <w:trHeight w:val="190"/>
        </w:trPr>
        <w:tc>
          <w:tcPr>
            <w:tcW w:w="1940" w:type="dxa"/>
            <w:tcBorders>
              <w:top w:val="nil"/>
              <w:left w:val="nil"/>
              <w:bottom w:val="nil"/>
              <w:right w:val="nil"/>
            </w:tcBorders>
            <w:shd w:val="clear" w:color="auto" w:fill="auto"/>
            <w:noWrap/>
            <w:vAlign w:val="bottom"/>
            <w:hideMark/>
          </w:tcPr>
          <w:p w14:paraId="53E5FAFF"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p>
        </w:tc>
        <w:tc>
          <w:tcPr>
            <w:tcW w:w="1960" w:type="dxa"/>
            <w:tcBorders>
              <w:top w:val="nil"/>
              <w:left w:val="nil"/>
              <w:bottom w:val="nil"/>
              <w:right w:val="nil"/>
            </w:tcBorders>
            <w:shd w:val="clear" w:color="auto" w:fill="auto"/>
            <w:noWrap/>
            <w:vAlign w:val="bottom"/>
            <w:hideMark/>
          </w:tcPr>
          <w:p w14:paraId="38DAE95F" w14:textId="77777777" w:rsidR="00756350" w:rsidRPr="00B1459F" w:rsidRDefault="00756350" w:rsidP="000E1DD0">
            <w:pPr>
              <w:spacing w:after="0" w:line="240" w:lineRule="auto"/>
              <w:rPr>
                <w:rFonts w:ascii="Times New Roman" w:eastAsia="Times New Roman" w:hAnsi="Times New Roman" w:cs="Times New Roman"/>
                <w:kern w:val="0"/>
                <w:sz w:val="20"/>
                <w:szCs w:val="20"/>
                <w:lang w:eastAsia="en-GB"/>
                <w14:ligatures w14:val="none"/>
              </w:rPr>
            </w:pPr>
          </w:p>
        </w:tc>
        <w:tc>
          <w:tcPr>
            <w:tcW w:w="1340" w:type="dxa"/>
            <w:tcBorders>
              <w:top w:val="nil"/>
              <w:left w:val="nil"/>
              <w:bottom w:val="nil"/>
              <w:right w:val="nil"/>
            </w:tcBorders>
            <w:shd w:val="clear" w:color="auto" w:fill="auto"/>
            <w:noWrap/>
            <w:vAlign w:val="bottom"/>
            <w:hideMark/>
          </w:tcPr>
          <w:p w14:paraId="4137A818" w14:textId="77777777" w:rsidR="00756350" w:rsidRPr="00B1459F" w:rsidRDefault="00756350" w:rsidP="000E1DD0">
            <w:pPr>
              <w:spacing w:after="0" w:line="240" w:lineRule="auto"/>
              <w:rPr>
                <w:rFonts w:ascii="Times New Roman" w:eastAsia="Times New Roman" w:hAnsi="Times New Roman" w:cs="Times New Roman"/>
                <w:kern w:val="0"/>
                <w:sz w:val="20"/>
                <w:szCs w:val="20"/>
                <w:lang w:eastAsia="en-GB"/>
                <w14:ligatures w14:val="none"/>
              </w:rPr>
            </w:pPr>
          </w:p>
        </w:tc>
        <w:tc>
          <w:tcPr>
            <w:tcW w:w="1100" w:type="dxa"/>
            <w:tcBorders>
              <w:top w:val="nil"/>
              <w:left w:val="nil"/>
              <w:bottom w:val="nil"/>
              <w:right w:val="nil"/>
            </w:tcBorders>
            <w:shd w:val="clear" w:color="auto" w:fill="auto"/>
            <w:noWrap/>
            <w:vAlign w:val="bottom"/>
            <w:hideMark/>
          </w:tcPr>
          <w:p w14:paraId="0F387E9B"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4%</w:t>
            </w:r>
          </w:p>
        </w:tc>
        <w:tc>
          <w:tcPr>
            <w:tcW w:w="1100" w:type="dxa"/>
            <w:tcBorders>
              <w:top w:val="nil"/>
              <w:left w:val="nil"/>
              <w:bottom w:val="nil"/>
              <w:right w:val="nil"/>
            </w:tcBorders>
            <w:shd w:val="clear" w:color="auto" w:fill="auto"/>
            <w:noWrap/>
            <w:vAlign w:val="bottom"/>
            <w:hideMark/>
          </w:tcPr>
          <w:p w14:paraId="055DCAA4"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4%</w:t>
            </w:r>
          </w:p>
        </w:tc>
        <w:tc>
          <w:tcPr>
            <w:tcW w:w="1100" w:type="dxa"/>
            <w:tcBorders>
              <w:top w:val="nil"/>
              <w:left w:val="nil"/>
              <w:bottom w:val="nil"/>
              <w:right w:val="nil"/>
            </w:tcBorders>
            <w:shd w:val="clear" w:color="auto" w:fill="auto"/>
            <w:noWrap/>
            <w:vAlign w:val="bottom"/>
            <w:hideMark/>
          </w:tcPr>
          <w:p w14:paraId="7A33B03E"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8%</w:t>
            </w:r>
          </w:p>
        </w:tc>
      </w:tr>
      <w:tr w:rsidR="00756350" w:rsidRPr="00B1459F" w14:paraId="70099320" w14:textId="77777777" w:rsidTr="001D499C">
        <w:trPr>
          <w:trHeight w:val="190"/>
        </w:trPr>
        <w:tc>
          <w:tcPr>
            <w:tcW w:w="1940" w:type="dxa"/>
            <w:tcBorders>
              <w:top w:val="nil"/>
              <w:left w:val="nil"/>
              <w:bottom w:val="nil"/>
              <w:right w:val="nil"/>
            </w:tcBorders>
            <w:shd w:val="clear" w:color="auto" w:fill="auto"/>
            <w:noWrap/>
            <w:vAlign w:val="bottom"/>
            <w:hideMark/>
          </w:tcPr>
          <w:p w14:paraId="2E0D5485"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p>
        </w:tc>
        <w:tc>
          <w:tcPr>
            <w:tcW w:w="1960" w:type="dxa"/>
            <w:tcBorders>
              <w:top w:val="nil"/>
              <w:left w:val="nil"/>
              <w:bottom w:val="nil"/>
              <w:right w:val="nil"/>
            </w:tcBorders>
            <w:shd w:val="clear" w:color="auto" w:fill="auto"/>
            <w:noWrap/>
            <w:vAlign w:val="bottom"/>
            <w:hideMark/>
          </w:tcPr>
          <w:p w14:paraId="50704C14" w14:textId="77777777" w:rsidR="00756350" w:rsidRPr="00B1459F" w:rsidRDefault="00756350" w:rsidP="000E1DD0">
            <w:pPr>
              <w:spacing w:after="0" w:line="240" w:lineRule="auto"/>
              <w:rPr>
                <w:rFonts w:ascii="Times New Roman" w:eastAsia="Times New Roman" w:hAnsi="Times New Roman" w:cs="Times New Roman"/>
                <w:kern w:val="0"/>
                <w:sz w:val="20"/>
                <w:szCs w:val="20"/>
                <w:lang w:eastAsia="en-GB"/>
                <w14:ligatures w14:val="none"/>
              </w:rPr>
            </w:pPr>
          </w:p>
        </w:tc>
        <w:tc>
          <w:tcPr>
            <w:tcW w:w="1340" w:type="dxa"/>
            <w:tcBorders>
              <w:top w:val="nil"/>
              <w:left w:val="nil"/>
              <w:bottom w:val="nil"/>
              <w:right w:val="nil"/>
            </w:tcBorders>
            <w:shd w:val="clear" w:color="auto" w:fill="auto"/>
            <w:noWrap/>
            <w:vAlign w:val="bottom"/>
            <w:hideMark/>
          </w:tcPr>
          <w:p w14:paraId="7F238C54" w14:textId="77777777" w:rsidR="00756350" w:rsidRPr="00B1459F" w:rsidRDefault="00756350" w:rsidP="000E1DD0">
            <w:pPr>
              <w:spacing w:after="0" w:line="240" w:lineRule="auto"/>
              <w:rPr>
                <w:rFonts w:ascii="Times New Roman" w:eastAsia="Times New Roman" w:hAnsi="Times New Roman" w:cs="Times New Roman"/>
                <w:kern w:val="0"/>
                <w:sz w:val="20"/>
                <w:szCs w:val="20"/>
                <w:lang w:eastAsia="en-GB"/>
                <w14:ligatures w14:val="none"/>
              </w:rPr>
            </w:pPr>
          </w:p>
        </w:tc>
        <w:tc>
          <w:tcPr>
            <w:tcW w:w="1100" w:type="dxa"/>
            <w:tcBorders>
              <w:top w:val="nil"/>
              <w:left w:val="nil"/>
              <w:bottom w:val="nil"/>
              <w:right w:val="nil"/>
            </w:tcBorders>
            <w:shd w:val="clear" w:color="auto" w:fill="auto"/>
            <w:noWrap/>
            <w:vAlign w:val="bottom"/>
            <w:hideMark/>
          </w:tcPr>
          <w:p w14:paraId="11CB7664" w14:textId="77777777" w:rsidR="00756350" w:rsidRPr="00B1459F" w:rsidRDefault="00756350" w:rsidP="000E1DD0">
            <w:pPr>
              <w:spacing w:after="0" w:line="240" w:lineRule="auto"/>
              <w:jc w:val="center"/>
              <w:rPr>
                <w:rFonts w:ascii="Times New Roman" w:eastAsia="Times New Roman" w:hAnsi="Times New Roman" w:cs="Times New Roman"/>
                <w:kern w:val="0"/>
                <w:sz w:val="20"/>
                <w:szCs w:val="20"/>
                <w:lang w:eastAsia="en-GB"/>
                <w14:ligatures w14:val="none"/>
              </w:rPr>
            </w:pPr>
          </w:p>
        </w:tc>
        <w:tc>
          <w:tcPr>
            <w:tcW w:w="1100" w:type="dxa"/>
            <w:tcBorders>
              <w:top w:val="nil"/>
              <w:left w:val="nil"/>
              <w:bottom w:val="nil"/>
              <w:right w:val="nil"/>
            </w:tcBorders>
            <w:shd w:val="clear" w:color="auto" w:fill="auto"/>
            <w:noWrap/>
            <w:vAlign w:val="bottom"/>
            <w:hideMark/>
          </w:tcPr>
          <w:p w14:paraId="4589A82E" w14:textId="77777777" w:rsidR="00756350" w:rsidRPr="00B1459F" w:rsidRDefault="00756350" w:rsidP="000E1DD0">
            <w:pPr>
              <w:spacing w:after="0" w:line="240" w:lineRule="auto"/>
              <w:jc w:val="center"/>
              <w:rPr>
                <w:rFonts w:ascii="Times New Roman" w:eastAsia="Times New Roman" w:hAnsi="Times New Roman" w:cs="Times New Roman"/>
                <w:kern w:val="0"/>
                <w:sz w:val="20"/>
                <w:szCs w:val="20"/>
                <w:lang w:eastAsia="en-GB"/>
                <w14:ligatures w14:val="none"/>
              </w:rPr>
            </w:pPr>
          </w:p>
        </w:tc>
        <w:tc>
          <w:tcPr>
            <w:tcW w:w="1100" w:type="dxa"/>
            <w:tcBorders>
              <w:top w:val="nil"/>
              <w:left w:val="nil"/>
              <w:bottom w:val="nil"/>
              <w:right w:val="nil"/>
            </w:tcBorders>
            <w:shd w:val="clear" w:color="auto" w:fill="auto"/>
            <w:noWrap/>
            <w:vAlign w:val="bottom"/>
            <w:hideMark/>
          </w:tcPr>
          <w:p w14:paraId="4D05BBFC" w14:textId="77777777" w:rsidR="00756350" w:rsidRPr="00B1459F" w:rsidRDefault="00756350" w:rsidP="000E1DD0">
            <w:pPr>
              <w:spacing w:after="0" w:line="240" w:lineRule="auto"/>
              <w:jc w:val="center"/>
              <w:rPr>
                <w:rFonts w:ascii="Times New Roman" w:eastAsia="Times New Roman" w:hAnsi="Times New Roman" w:cs="Times New Roman"/>
                <w:kern w:val="0"/>
                <w:sz w:val="20"/>
                <w:szCs w:val="20"/>
                <w:lang w:eastAsia="en-GB"/>
                <w14:ligatures w14:val="none"/>
              </w:rPr>
            </w:pPr>
          </w:p>
        </w:tc>
      </w:tr>
      <w:tr w:rsidR="00756350" w:rsidRPr="00B1459F" w14:paraId="5B54737F" w14:textId="77777777" w:rsidTr="001D499C">
        <w:trPr>
          <w:trHeight w:val="190"/>
        </w:trPr>
        <w:tc>
          <w:tcPr>
            <w:tcW w:w="19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A5E37FF" w14:textId="77777777" w:rsidR="00756350" w:rsidRPr="00B1459F" w:rsidRDefault="00756350" w:rsidP="000E1DD0">
            <w:pPr>
              <w:spacing w:after="0" w:line="240" w:lineRule="auto"/>
              <w:rPr>
                <w:rFonts w:ascii="Trebuchet MS" w:eastAsia="Times New Roman" w:hAnsi="Trebuchet MS" w:cs="Times New Roman"/>
                <w:b/>
                <w:bCs/>
                <w:color w:val="000000"/>
                <w:kern w:val="0"/>
                <w:sz w:val="16"/>
                <w:szCs w:val="16"/>
                <w:lang w:eastAsia="en-GB"/>
                <w14:ligatures w14:val="none"/>
              </w:rPr>
            </w:pPr>
            <w:r w:rsidRPr="00B1459F">
              <w:rPr>
                <w:rFonts w:ascii="Trebuchet MS" w:eastAsia="Times New Roman" w:hAnsi="Trebuchet MS" w:cs="Times New Roman"/>
                <w:b/>
                <w:bCs/>
                <w:color w:val="000000"/>
                <w:kern w:val="0"/>
                <w:sz w:val="16"/>
                <w:szCs w:val="16"/>
                <w:lang w:eastAsia="en-GB"/>
                <w14:ligatures w14:val="none"/>
              </w:rPr>
              <w:t>Team</w:t>
            </w:r>
          </w:p>
        </w:tc>
        <w:tc>
          <w:tcPr>
            <w:tcW w:w="1960" w:type="dxa"/>
            <w:tcBorders>
              <w:top w:val="single" w:sz="4" w:space="0" w:color="auto"/>
              <w:left w:val="nil"/>
              <w:bottom w:val="single" w:sz="4" w:space="0" w:color="auto"/>
              <w:right w:val="single" w:sz="4" w:space="0" w:color="auto"/>
            </w:tcBorders>
            <w:shd w:val="clear" w:color="auto" w:fill="auto"/>
            <w:noWrap/>
            <w:vAlign w:val="bottom"/>
            <w:hideMark/>
          </w:tcPr>
          <w:p w14:paraId="4B9717C3" w14:textId="77777777" w:rsidR="00756350" w:rsidRPr="00B1459F" w:rsidRDefault="00756350" w:rsidP="000E1DD0">
            <w:pPr>
              <w:spacing w:after="0" w:line="240" w:lineRule="auto"/>
              <w:rPr>
                <w:rFonts w:ascii="Trebuchet MS" w:eastAsia="Times New Roman" w:hAnsi="Trebuchet MS" w:cs="Times New Roman"/>
                <w:b/>
                <w:bCs/>
                <w:color w:val="000000"/>
                <w:kern w:val="0"/>
                <w:sz w:val="16"/>
                <w:szCs w:val="16"/>
                <w:lang w:eastAsia="en-GB"/>
                <w14:ligatures w14:val="none"/>
              </w:rPr>
            </w:pPr>
            <w:r w:rsidRPr="00B1459F">
              <w:rPr>
                <w:rFonts w:ascii="Trebuchet MS" w:eastAsia="Times New Roman" w:hAnsi="Trebuchet MS" w:cs="Times New Roman"/>
                <w:b/>
                <w:bCs/>
                <w:color w:val="000000"/>
                <w:kern w:val="0"/>
                <w:sz w:val="16"/>
                <w:szCs w:val="16"/>
                <w:lang w:eastAsia="en-GB"/>
                <w14:ligatures w14:val="none"/>
              </w:rPr>
              <w:t>Employee Name</w:t>
            </w:r>
          </w:p>
        </w:tc>
        <w:tc>
          <w:tcPr>
            <w:tcW w:w="1340" w:type="dxa"/>
            <w:tcBorders>
              <w:top w:val="single" w:sz="4" w:space="0" w:color="auto"/>
              <w:left w:val="nil"/>
              <w:bottom w:val="single" w:sz="4" w:space="0" w:color="auto"/>
              <w:right w:val="nil"/>
            </w:tcBorders>
            <w:shd w:val="clear" w:color="auto" w:fill="auto"/>
            <w:noWrap/>
            <w:vAlign w:val="bottom"/>
            <w:hideMark/>
          </w:tcPr>
          <w:p w14:paraId="7E7783C7" w14:textId="77777777" w:rsidR="00756350" w:rsidRPr="00B1459F" w:rsidRDefault="00756350" w:rsidP="000E1DD0">
            <w:pPr>
              <w:spacing w:after="0" w:line="240" w:lineRule="auto"/>
              <w:jc w:val="center"/>
              <w:rPr>
                <w:rFonts w:ascii="Trebuchet MS" w:eastAsia="Times New Roman" w:hAnsi="Trebuchet MS" w:cs="Times New Roman"/>
                <w:b/>
                <w:bCs/>
                <w:color w:val="000000"/>
                <w:kern w:val="0"/>
                <w:sz w:val="16"/>
                <w:szCs w:val="16"/>
                <w:lang w:eastAsia="en-GB"/>
                <w14:ligatures w14:val="none"/>
              </w:rPr>
            </w:pPr>
            <w:r w:rsidRPr="00B1459F">
              <w:rPr>
                <w:rFonts w:ascii="Trebuchet MS" w:eastAsia="Times New Roman" w:hAnsi="Trebuchet MS" w:cs="Times New Roman"/>
                <w:b/>
                <w:bCs/>
                <w:color w:val="000000"/>
                <w:kern w:val="0"/>
                <w:sz w:val="16"/>
                <w:szCs w:val="16"/>
                <w:lang w:eastAsia="en-GB"/>
                <w14:ligatures w14:val="none"/>
              </w:rPr>
              <w:t xml:space="preserve">Salary </w:t>
            </w:r>
          </w:p>
        </w:tc>
        <w:tc>
          <w:tcPr>
            <w:tcW w:w="1100" w:type="dxa"/>
            <w:tcBorders>
              <w:top w:val="single" w:sz="4" w:space="0" w:color="auto"/>
              <w:left w:val="nil"/>
              <w:bottom w:val="single" w:sz="4" w:space="0" w:color="auto"/>
              <w:right w:val="nil"/>
            </w:tcBorders>
            <w:shd w:val="clear" w:color="auto" w:fill="auto"/>
            <w:noWrap/>
            <w:vAlign w:val="bottom"/>
            <w:hideMark/>
          </w:tcPr>
          <w:p w14:paraId="4A0777BB" w14:textId="77777777" w:rsidR="00756350" w:rsidRPr="00B1459F" w:rsidRDefault="00756350" w:rsidP="000E1DD0">
            <w:pPr>
              <w:spacing w:after="0" w:line="240" w:lineRule="auto"/>
              <w:jc w:val="center"/>
              <w:rPr>
                <w:rFonts w:ascii="Trebuchet MS" w:eastAsia="Times New Roman" w:hAnsi="Trebuchet MS" w:cs="Times New Roman"/>
                <w:b/>
                <w:bCs/>
                <w:color w:val="000000"/>
                <w:kern w:val="0"/>
                <w:sz w:val="16"/>
                <w:szCs w:val="16"/>
                <w:lang w:eastAsia="en-GB"/>
                <w14:ligatures w14:val="none"/>
              </w:rPr>
            </w:pPr>
            <w:r w:rsidRPr="00B1459F">
              <w:rPr>
                <w:rFonts w:ascii="Trebuchet MS" w:eastAsia="Times New Roman" w:hAnsi="Trebuchet MS" w:cs="Times New Roman"/>
                <w:b/>
                <w:bCs/>
                <w:color w:val="000000"/>
                <w:kern w:val="0"/>
                <w:sz w:val="16"/>
                <w:szCs w:val="16"/>
                <w:lang w:eastAsia="en-GB"/>
                <w14:ligatures w14:val="none"/>
              </w:rPr>
              <w:t>Q1 Bonus</w:t>
            </w:r>
          </w:p>
        </w:tc>
        <w:tc>
          <w:tcPr>
            <w:tcW w:w="1100" w:type="dxa"/>
            <w:tcBorders>
              <w:top w:val="single" w:sz="4" w:space="0" w:color="auto"/>
              <w:left w:val="nil"/>
              <w:bottom w:val="single" w:sz="4" w:space="0" w:color="auto"/>
              <w:right w:val="nil"/>
            </w:tcBorders>
            <w:shd w:val="clear" w:color="auto" w:fill="auto"/>
            <w:noWrap/>
            <w:vAlign w:val="bottom"/>
            <w:hideMark/>
          </w:tcPr>
          <w:p w14:paraId="1B892650" w14:textId="77777777" w:rsidR="00756350" w:rsidRPr="00B1459F" w:rsidRDefault="00756350" w:rsidP="000E1DD0">
            <w:pPr>
              <w:spacing w:after="0" w:line="240" w:lineRule="auto"/>
              <w:jc w:val="center"/>
              <w:rPr>
                <w:rFonts w:ascii="Trebuchet MS" w:eastAsia="Times New Roman" w:hAnsi="Trebuchet MS" w:cs="Times New Roman"/>
                <w:b/>
                <w:bCs/>
                <w:color w:val="000000"/>
                <w:kern w:val="0"/>
                <w:sz w:val="16"/>
                <w:szCs w:val="16"/>
                <w:lang w:eastAsia="en-GB"/>
                <w14:ligatures w14:val="none"/>
              </w:rPr>
            </w:pPr>
            <w:r w:rsidRPr="00B1459F">
              <w:rPr>
                <w:rFonts w:ascii="Trebuchet MS" w:eastAsia="Times New Roman" w:hAnsi="Trebuchet MS" w:cs="Times New Roman"/>
                <w:b/>
                <w:bCs/>
                <w:color w:val="000000"/>
                <w:kern w:val="0"/>
                <w:sz w:val="16"/>
                <w:szCs w:val="16"/>
                <w:lang w:eastAsia="en-GB"/>
                <w14:ligatures w14:val="none"/>
              </w:rPr>
              <w:t>Q2 Bonus</w:t>
            </w:r>
          </w:p>
        </w:tc>
        <w:tc>
          <w:tcPr>
            <w:tcW w:w="1100" w:type="dxa"/>
            <w:tcBorders>
              <w:top w:val="single" w:sz="4" w:space="0" w:color="auto"/>
              <w:left w:val="nil"/>
              <w:bottom w:val="single" w:sz="4" w:space="0" w:color="auto"/>
              <w:right w:val="single" w:sz="4" w:space="0" w:color="auto"/>
            </w:tcBorders>
            <w:shd w:val="clear" w:color="auto" w:fill="auto"/>
            <w:noWrap/>
            <w:vAlign w:val="bottom"/>
            <w:hideMark/>
          </w:tcPr>
          <w:p w14:paraId="778F9BAF" w14:textId="77777777" w:rsidR="00756350" w:rsidRPr="00B1459F" w:rsidRDefault="00756350" w:rsidP="000E1DD0">
            <w:pPr>
              <w:spacing w:after="0" w:line="240" w:lineRule="auto"/>
              <w:jc w:val="center"/>
              <w:rPr>
                <w:rFonts w:ascii="Trebuchet MS" w:eastAsia="Times New Roman" w:hAnsi="Trebuchet MS" w:cs="Times New Roman"/>
                <w:b/>
                <w:bCs/>
                <w:color w:val="000000"/>
                <w:kern w:val="0"/>
                <w:sz w:val="16"/>
                <w:szCs w:val="16"/>
                <w:lang w:eastAsia="en-GB"/>
                <w14:ligatures w14:val="none"/>
              </w:rPr>
            </w:pPr>
            <w:r w:rsidRPr="00B1459F">
              <w:rPr>
                <w:rFonts w:ascii="Trebuchet MS" w:eastAsia="Times New Roman" w:hAnsi="Trebuchet MS" w:cs="Times New Roman"/>
                <w:b/>
                <w:bCs/>
                <w:color w:val="000000"/>
                <w:kern w:val="0"/>
                <w:sz w:val="16"/>
                <w:szCs w:val="16"/>
                <w:lang w:eastAsia="en-GB"/>
                <w14:ligatures w14:val="none"/>
              </w:rPr>
              <w:t>H1 Bonus</w:t>
            </w:r>
          </w:p>
        </w:tc>
      </w:tr>
      <w:tr w:rsidR="00756350" w:rsidRPr="00B1459F" w14:paraId="6645C439"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51DFB0C4"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Admin</w:t>
            </w:r>
          </w:p>
        </w:tc>
        <w:tc>
          <w:tcPr>
            <w:tcW w:w="1960" w:type="dxa"/>
            <w:tcBorders>
              <w:top w:val="nil"/>
              <w:left w:val="nil"/>
              <w:bottom w:val="nil"/>
              <w:right w:val="single" w:sz="4" w:space="0" w:color="auto"/>
            </w:tcBorders>
            <w:shd w:val="clear" w:color="auto" w:fill="auto"/>
            <w:noWrap/>
            <w:vAlign w:val="bottom"/>
            <w:hideMark/>
          </w:tcPr>
          <w:p w14:paraId="0D8D430C"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Harry Hunter</w:t>
            </w:r>
          </w:p>
        </w:tc>
        <w:tc>
          <w:tcPr>
            <w:tcW w:w="1340" w:type="dxa"/>
            <w:tcBorders>
              <w:top w:val="nil"/>
              <w:left w:val="nil"/>
              <w:bottom w:val="nil"/>
              <w:right w:val="nil"/>
            </w:tcBorders>
            <w:shd w:val="clear" w:color="auto" w:fill="auto"/>
            <w:noWrap/>
            <w:vAlign w:val="bottom"/>
            <w:hideMark/>
          </w:tcPr>
          <w:p w14:paraId="7F51CFCA"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£40,500.00</w:t>
            </w:r>
          </w:p>
        </w:tc>
        <w:tc>
          <w:tcPr>
            <w:tcW w:w="1100" w:type="dxa"/>
            <w:tcBorders>
              <w:top w:val="nil"/>
              <w:left w:val="nil"/>
              <w:bottom w:val="nil"/>
              <w:right w:val="nil"/>
            </w:tcBorders>
            <w:shd w:val="clear" w:color="000000" w:fill="FFFFFF"/>
            <w:noWrap/>
            <w:vAlign w:val="bottom"/>
            <w:hideMark/>
          </w:tcPr>
          <w:p w14:paraId="009D6D93"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000000" w:fill="FFFFFF"/>
            <w:noWrap/>
            <w:vAlign w:val="bottom"/>
            <w:hideMark/>
          </w:tcPr>
          <w:p w14:paraId="3281572D"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26FA2AB9"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04F9F4A6"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1D85AC11"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2C26D2CE"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xml:space="preserve">Sumira </w:t>
            </w:r>
            <w:proofErr w:type="spellStart"/>
            <w:r w:rsidRPr="00B1459F">
              <w:rPr>
                <w:rFonts w:ascii="Trebuchet MS" w:eastAsia="Times New Roman" w:hAnsi="Trebuchet MS" w:cs="Times New Roman"/>
                <w:color w:val="000000"/>
                <w:kern w:val="0"/>
                <w:sz w:val="16"/>
                <w:szCs w:val="16"/>
                <w:lang w:eastAsia="en-GB"/>
                <w14:ligatures w14:val="none"/>
              </w:rPr>
              <w:t>Kiiki</w:t>
            </w:r>
            <w:proofErr w:type="spellEnd"/>
          </w:p>
        </w:tc>
        <w:tc>
          <w:tcPr>
            <w:tcW w:w="1340" w:type="dxa"/>
            <w:tcBorders>
              <w:top w:val="nil"/>
              <w:left w:val="nil"/>
              <w:bottom w:val="nil"/>
              <w:right w:val="nil"/>
            </w:tcBorders>
            <w:shd w:val="clear" w:color="auto" w:fill="auto"/>
            <w:noWrap/>
            <w:vAlign w:val="bottom"/>
            <w:hideMark/>
          </w:tcPr>
          <w:p w14:paraId="6871FF60"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£25,690.00</w:t>
            </w:r>
          </w:p>
        </w:tc>
        <w:tc>
          <w:tcPr>
            <w:tcW w:w="1100" w:type="dxa"/>
            <w:tcBorders>
              <w:top w:val="nil"/>
              <w:left w:val="nil"/>
              <w:bottom w:val="nil"/>
              <w:right w:val="nil"/>
            </w:tcBorders>
            <w:shd w:val="clear" w:color="000000" w:fill="FFFFFF"/>
            <w:noWrap/>
            <w:vAlign w:val="bottom"/>
            <w:hideMark/>
          </w:tcPr>
          <w:p w14:paraId="785EFE35"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000000" w:fill="FFFFFF"/>
            <w:noWrap/>
            <w:vAlign w:val="bottom"/>
            <w:hideMark/>
          </w:tcPr>
          <w:p w14:paraId="6F4B2C84"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31F7A822"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259ED61E"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042B450C"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0B048E71"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xml:space="preserve">Lexi Masterson </w:t>
            </w:r>
          </w:p>
        </w:tc>
        <w:tc>
          <w:tcPr>
            <w:tcW w:w="1340" w:type="dxa"/>
            <w:tcBorders>
              <w:top w:val="nil"/>
              <w:left w:val="nil"/>
              <w:bottom w:val="nil"/>
              <w:right w:val="nil"/>
            </w:tcBorders>
            <w:shd w:val="clear" w:color="auto" w:fill="auto"/>
            <w:noWrap/>
            <w:vAlign w:val="bottom"/>
            <w:hideMark/>
          </w:tcPr>
          <w:p w14:paraId="48D9378D"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£25,690.00</w:t>
            </w:r>
          </w:p>
        </w:tc>
        <w:tc>
          <w:tcPr>
            <w:tcW w:w="1100" w:type="dxa"/>
            <w:tcBorders>
              <w:top w:val="nil"/>
              <w:left w:val="nil"/>
              <w:bottom w:val="nil"/>
              <w:right w:val="nil"/>
            </w:tcBorders>
            <w:shd w:val="clear" w:color="000000" w:fill="FFFFFF"/>
            <w:noWrap/>
            <w:vAlign w:val="bottom"/>
            <w:hideMark/>
          </w:tcPr>
          <w:p w14:paraId="50350665"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000000" w:fill="FFFFFF"/>
            <w:noWrap/>
            <w:vAlign w:val="bottom"/>
            <w:hideMark/>
          </w:tcPr>
          <w:p w14:paraId="1D43394B"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36F9BB9A"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64B9ECD4"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59890833"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790C7B6B"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Robin Bird</w:t>
            </w:r>
          </w:p>
        </w:tc>
        <w:tc>
          <w:tcPr>
            <w:tcW w:w="1340" w:type="dxa"/>
            <w:tcBorders>
              <w:top w:val="nil"/>
              <w:left w:val="nil"/>
              <w:bottom w:val="nil"/>
              <w:right w:val="nil"/>
            </w:tcBorders>
            <w:shd w:val="clear" w:color="auto" w:fill="auto"/>
            <w:noWrap/>
            <w:vAlign w:val="bottom"/>
            <w:hideMark/>
          </w:tcPr>
          <w:p w14:paraId="6EE7B17A"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£31,500.00</w:t>
            </w:r>
          </w:p>
        </w:tc>
        <w:tc>
          <w:tcPr>
            <w:tcW w:w="1100" w:type="dxa"/>
            <w:tcBorders>
              <w:top w:val="nil"/>
              <w:left w:val="nil"/>
              <w:bottom w:val="nil"/>
              <w:right w:val="nil"/>
            </w:tcBorders>
            <w:shd w:val="clear" w:color="000000" w:fill="FFFFFF"/>
            <w:noWrap/>
            <w:vAlign w:val="bottom"/>
            <w:hideMark/>
          </w:tcPr>
          <w:p w14:paraId="49908E08"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£1,260.00</w:t>
            </w:r>
          </w:p>
        </w:tc>
        <w:tc>
          <w:tcPr>
            <w:tcW w:w="1100" w:type="dxa"/>
            <w:tcBorders>
              <w:top w:val="nil"/>
              <w:left w:val="nil"/>
              <w:bottom w:val="nil"/>
              <w:right w:val="nil"/>
            </w:tcBorders>
            <w:shd w:val="clear" w:color="000000" w:fill="FFFFFF"/>
            <w:noWrap/>
            <w:vAlign w:val="bottom"/>
            <w:hideMark/>
          </w:tcPr>
          <w:p w14:paraId="49A5945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703963E3"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£1,260.00</w:t>
            </w:r>
          </w:p>
        </w:tc>
      </w:tr>
      <w:tr w:rsidR="00756350" w:rsidRPr="00B1459F" w14:paraId="03DD6C99"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4BBF7A79"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0BCA5EA9"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xml:space="preserve">Becky Heron </w:t>
            </w:r>
          </w:p>
        </w:tc>
        <w:tc>
          <w:tcPr>
            <w:tcW w:w="1340" w:type="dxa"/>
            <w:tcBorders>
              <w:top w:val="nil"/>
              <w:left w:val="nil"/>
              <w:bottom w:val="nil"/>
              <w:right w:val="nil"/>
            </w:tcBorders>
            <w:shd w:val="clear" w:color="auto" w:fill="auto"/>
            <w:noWrap/>
            <w:vAlign w:val="bottom"/>
            <w:hideMark/>
          </w:tcPr>
          <w:p w14:paraId="6D9E1FAE"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£31,500.00</w:t>
            </w:r>
          </w:p>
        </w:tc>
        <w:tc>
          <w:tcPr>
            <w:tcW w:w="1100" w:type="dxa"/>
            <w:tcBorders>
              <w:top w:val="nil"/>
              <w:left w:val="nil"/>
              <w:bottom w:val="nil"/>
              <w:right w:val="nil"/>
            </w:tcBorders>
            <w:shd w:val="clear" w:color="000000" w:fill="FFFFFF"/>
            <w:noWrap/>
            <w:vAlign w:val="bottom"/>
            <w:hideMark/>
          </w:tcPr>
          <w:p w14:paraId="66324F71"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000000" w:fill="FFFFFF"/>
            <w:noWrap/>
            <w:vAlign w:val="bottom"/>
            <w:hideMark/>
          </w:tcPr>
          <w:p w14:paraId="331E9E5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38ADF003"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2E4F9DB2"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609BE453"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57932D93"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Wade Duck</w:t>
            </w:r>
          </w:p>
        </w:tc>
        <w:tc>
          <w:tcPr>
            <w:tcW w:w="1340" w:type="dxa"/>
            <w:tcBorders>
              <w:top w:val="nil"/>
              <w:left w:val="nil"/>
              <w:bottom w:val="nil"/>
              <w:right w:val="nil"/>
            </w:tcBorders>
            <w:shd w:val="clear" w:color="auto" w:fill="auto"/>
            <w:noWrap/>
            <w:vAlign w:val="bottom"/>
            <w:hideMark/>
          </w:tcPr>
          <w:p w14:paraId="4448500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£35,000.00</w:t>
            </w:r>
          </w:p>
        </w:tc>
        <w:tc>
          <w:tcPr>
            <w:tcW w:w="1100" w:type="dxa"/>
            <w:tcBorders>
              <w:top w:val="nil"/>
              <w:left w:val="nil"/>
              <w:bottom w:val="nil"/>
              <w:right w:val="nil"/>
            </w:tcBorders>
            <w:shd w:val="clear" w:color="000000" w:fill="FFFFFF"/>
            <w:noWrap/>
            <w:vAlign w:val="bottom"/>
            <w:hideMark/>
          </w:tcPr>
          <w:p w14:paraId="2533A890"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000000" w:fill="FFFFFF"/>
            <w:noWrap/>
            <w:vAlign w:val="bottom"/>
            <w:hideMark/>
          </w:tcPr>
          <w:p w14:paraId="49D66BB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41EFF9D1"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799227A2"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3F61762D"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18FF8540"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xml:space="preserve">Saffron Finch </w:t>
            </w:r>
          </w:p>
        </w:tc>
        <w:tc>
          <w:tcPr>
            <w:tcW w:w="1340" w:type="dxa"/>
            <w:tcBorders>
              <w:top w:val="nil"/>
              <w:left w:val="nil"/>
              <w:bottom w:val="nil"/>
              <w:right w:val="nil"/>
            </w:tcBorders>
            <w:shd w:val="clear" w:color="auto" w:fill="auto"/>
            <w:noWrap/>
            <w:vAlign w:val="bottom"/>
            <w:hideMark/>
          </w:tcPr>
          <w:p w14:paraId="1DA7A71E"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£24,000.00</w:t>
            </w:r>
          </w:p>
        </w:tc>
        <w:tc>
          <w:tcPr>
            <w:tcW w:w="1100" w:type="dxa"/>
            <w:tcBorders>
              <w:top w:val="nil"/>
              <w:left w:val="nil"/>
              <w:bottom w:val="nil"/>
              <w:right w:val="nil"/>
            </w:tcBorders>
            <w:shd w:val="clear" w:color="000000" w:fill="FFFFFF"/>
            <w:noWrap/>
            <w:vAlign w:val="bottom"/>
            <w:hideMark/>
          </w:tcPr>
          <w:p w14:paraId="43C2EC96"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£960.00</w:t>
            </w:r>
          </w:p>
        </w:tc>
        <w:tc>
          <w:tcPr>
            <w:tcW w:w="1100" w:type="dxa"/>
            <w:tcBorders>
              <w:top w:val="nil"/>
              <w:left w:val="nil"/>
              <w:bottom w:val="nil"/>
              <w:right w:val="nil"/>
            </w:tcBorders>
            <w:shd w:val="clear" w:color="000000" w:fill="FFFFFF"/>
            <w:noWrap/>
            <w:vAlign w:val="bottom"/>
            <w:hideMark/>
          </w:tcPr>
          <w:p w14:paraId="27FB034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£960.00</w:t>
            </w:r>
          </w:p>
        </w:tc>
        <w:tc>
          <w:tcPr>
            <w:tcW w:w="1100" w:type="dxa"/>
            <w:tcBorders>
              <w:top w:val="nil"/>
              <w:left w:val="nil"/>
              <w:bottom w:val="nil"/>
              <w:right w:val="single" w:sz="4" w:space="0" w:color="auto"/>
            </w:tcBorders>
            <w:shd w:val="clear" w:color="auto" w:fill="auto"/>
            <w:noWrap/>
            <w:vAlign w:val="bottom"/>
            <w:hideMark/>
          </w:tcPr>
          <w:p w14:paraId="63BA350D"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£1,920.00</w:t>
            </w:r>
          </w:p>
        </w:tc>
      </w:tr>
      <w:tr w:rsidR="00756350" w:rsidRPr="00B1459F" w14:paraId="61293895"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770771FA"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73AC7509"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Steve Swift</w:t>
            </w:r>
          </w:p>
        </w:tc>
        <w:tc>
          <w:tcPr>
            <w:tcW w:w="1340" w:type="dxa"/>
            <w:tcBorders>
              <w:top w:val="nil"/>
              <w:left w:val="nil"/>
              <w:bottom w:val="nil"/>
              <w:right w:val="nil"/>
            </w:tcBorders>
            <w:shd w:val="clear" w:color="auto" w:fill="auto"/>
            <w:noWrap/>
            <w:vAlign w:val="bottom"/>
            <w:hideMark/>
          </w:tcPr>
          <w:p w14:paraId="3A12C5CB"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£24,000.00</w:t>
            </w:r>
          </w:p>
        </w:tc>
        <w:tc>
          <w:tcPr>
            <w:tcW w:w="1100" w:type="dxa"/>
            <w:tcBorders>
              <w:top w:val="nil"/>
              <w:left w:val="nil"/>
              <w:bottom w:val="nil"/>
              <w:right w:val="nil"/>
            </w:tcBorders>
            <w:shd w:val="clear" w:color="000000" w:fill="FFFFFF"/>
            <w:noWrap/>
            <w:vAlign w:val="bottom"/>
            <w:hideMark/>
          </w:tcPr>
          <w:p w14:paraId="7D3AC965"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000000" w:fill="FFFFFF"/>
            <w:noWrap/>
            <w:vAlign w:val="bottom"/>
            <w:hideMark/>
          </w:tcPr>
          <w:p w14:paraId="534D20ED"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50F4FA0A"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73F24ADF"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056C9C00"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32A966BF"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xml:space="preserve">Myna Wren </w:t>
            </w:r>
          </w:p>
        </w:tc>
        <w:tc>
          <w:tcPr>
            <w:tcW w:w="1340" w:type="dxa"/>
            <w:tcBorders>
              <w:top w:val="nil"/>
              <w:left w:val="nil"/>
              <w:bottom w:val="nil"/>
              <w:right w:val="nil"/>
            </w:tcBorders>
            <w:shd w:val="clear" w:color="auto" w:fill="auto"/>
            <w:noWrap/>
            <w:vAlign w:val="bottom"/>
            <w:hideMark/>
          </w:tcPr>
          <w:p w14:paraId="27D77073"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£24,000.00</w:t>
            </w:r>
          </w:p>
        </w:tc>
        <w:tc>
          <w:tcPr>
            <w:tcW w:w="1100" w:type="dxa"/>
            <w:tcBorders>
              <w:top w:val="nil"/>
              <w:left w:val="nil"/>
              <w:bottom w:val="nil"/>
              <w:right w:val="nil"/>
            </w:tcBorders>
            <w:shd w:val="clear" w:color="000000" w:fill="FFFFFF"/>
            <w:noWrap/>
            <w:vAlign w:val="bottom"/>
            <w:hideMark/>
          </w:tcPr>
          <w:p w14:paraId="0F01B50F"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000000" w:fill="FFFFFF"/>
            <w:noWrap/>
            <w:vAlign w:val="bottom"/>
            <w:hideMark/>
          </w:tcPr>
          <w:p w14:paraId="4F8BCCA7"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4136F218"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3AD3A281"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312F4A25"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7E3C2E1A"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Sally Starling</w:t>
            </w:r>
          </w:p>
        </w:tc>
        <w:tc>
          <w:tcPr>
            <w:tcW w:w="1340" w:type="dxa"/>
            <w:tcBorders>
              <w:top w:val="nil"/>
              <w:left w:val="nil"/>
              <w:bottom w:val="nil"/>
              <w:right w:val="nil"/>
            </w:tcBorders>
            <w:shd w:val="clear" w:color="auto" w:fill="auto"/>
            <w:noWrap/>
            <w:vAlign w:val="bottom"/>
            <w:hideMark/>
          </w:tcPr>
          <w:p w14:paraId="65C19248"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£20,000.00</w:t>
            </w:r>
          </w:p>
        </w:tc>
        <w:tc>
          <w:tcPr>
            <w:tcW w:w="1100" w:type="dxa"/>
            <w:tcBorders>
              <w:top w:val="nil"/>
              <w:left w:val="nil"/>
              <w:bottom w:val="nil"/>
              <w:right w:val="nil"/>
            </w:tcBorders>
            <w:shd w:val="clear" w:color="000000" w:fill="FFFFFF"/>
            <w:noWrap/>
            <w:vAlign w:val="bottom"/>
            <w:hideMark/>
          </w:tcPr>
          <w:p w14:paraId="4E15B14B"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000000" w:fill="FFFFFF"/>
            <w:noWrap/>
            <w:vAlign w:val="bottom"/>
            <w:hideMark/>
          </w:tcPr>
          <w:p w14:paraId="313F5B9F"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66AAA047"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4CEC01B2"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640DF91E"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071ACDF7"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Petra Gull</w:t>
            </w:r>
          </w:p>
        </w:tc>
        <w:tc>
          <w:tcPr>
            <w:tcW w:w="1340" w:type="dxa"/>
            <w:tcBorders>
              <w:top w:val="nil"/>
              <w:left w:val="nil"/>
              <w:bottom w:val="nil"/>
              <w:right w:val="nil"/>
            </w:tcBorders>
            <w:shd w:val="clear" w:color="auto" w:fill="auto"/>
            <w:noWrap/>
            <w:vAlign w:val="bottom"/>
            <w:hideMark/>
          </w:tcPr>
          <w:p w14:paraId="2A5C3CF2"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£20,000.00</w:t>
            </w:r>
          </w:p>
        </w:tc>
        <w:tc>
          <w:tcPr>
            <w:tcW w:w="1100" w:type="dxa"/>
            <w:tcBorders>
              <w:top w:val="nil"/>
              <w:left w:val="nil"/>
              <w:bottom w:val="nil"/>
              <w:right w:val="nil"/>
            </w:tcBorders>
            <w:shd w:val="clear" w:color="000000" w:fill="FFFFFF"/>
            <w:noWrap/>
            <w:vAlign w:val="bottom"/>
            <w:hideMark/>
          </w:tcPr>
          <w:p w14:paraId="2F9ADCF1"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000000" w:fill="FFFFFF"/>
            <w:noWrap/>
            <w:vAlign w:val="bottom"/>
            <w:hideMark/>
          </w:tcPr>
          <w:p w14:paraId="631AD8E6"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17FFD71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015AEA07"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1509F02B"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394F67AE"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340" w:type="dxa"/>
            <w:tcBorders>
              <w:top w:val="single" w:sz="4" w:space="0" w:color="auto"/>
              <w:left w:val="nil"/>
              <w:bottom w:val="nil"/>
              <w:right w:val="nil"/>
            </w:tcBorders>
            <w:shd w:val="clear" w:color="000000" w:fill="D9D9D9"/>
            <w:noWrap/>
            <w:vAlign w:val="bottom"/>
            <w:hideMark/>
          </w:tcPr>
          <w:p w14:paraId="364951AF"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£301,880.00</w:t>
            </w:r>
          </w:p>
        </w:tc>
        <w:tc>
          <w:tcPr>
            <w:tcW w:w="1100" w:type="dxa"/>
            <w:tcBorders>
              <w:top w:val="single" w:sz="4" w:space="0" w:color="auto"/>
              <w:left w:val="nil"/>
              <w:bottom w:val="nil"/>
              <w:right w:val="nil"/>
            </w:tcBorders>
            <w:shd w:val="clear" w:color="000000" w:fill="D9D9D9"/>
            <w:noWrap/>
            <w:vAlign w:val="bottom"/>
            <w:hideMark/>
          </w:tcPr>
          <w:p w14:paraId="35CF6763"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£2,220.00</w:t>
            </w:r>
          </w:p>
        </w:tc>
        <w:tc>
          <w:tcPr>
            <w:tcW w:w="1100" w:type="dxa"/>
            <w:tcBorders>
              <w:top w:val="single" w:sz="4" w:space="0" w:color="auto"/>
              <w:left w:val="nil"/>
              <w:bottom w:val="nil"/>
              <w:right w:val="nil"/>
            </w:tcBorders>
            <w:shd w:val="clear" w:color="000000" w:fill="D9D9D9"/>
            <w:noWrap/>
            <w:vAlign w:val="bottom"/>
            <w:hideMark/>
          </w:tcPr>
          <w:p w14:paraId="70BE1F5F"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£960.00</w:t>
            </w:r>
          </w:p>
        </w:tc>
        <w:tc>
          <w:tcPr>
            <w:tcW w:w="1100" w:type="dxa"/>
            <w:tcBorders>
              <w:top w:val="single" w:sz="4" w:space="0" w:color="auto"/>
              <w:left w:val="nil"/>
              <w:bottom w:val="nil"/>
              <w:right w:val="single" w:sz="4" w:space="0" w:color="auto"/>
            </w:tcBorders>
            <w:shd w:val="clear" w:color="000000" w:fill="D9D9D9"/>
            <w:noWrap/>
            <w:vAlign w:val="bottom"/>
            <w:hideMark/>
          </w:tcPr>
          <w:p w14:paraId="48C67A9E"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£3,180.00</w:t>
            </w:r>
          </w:p>
        </w:tc>
      </w:tr>
      <w:tr w:rsidR="00756350" w:rsidRPr="00B1459F" w14:paraId="48701C39" w14:textId="77777777" w:rsidTr="001D499C">
        <w:trPr>
          <w:trHeight w:val="19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17D0ADDE"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single" w:sz="4" w:space="0" w:color="auto"/>
              <w:right w:val="single" w:sz="4" w:space="0" w:color="auto"/>
            </w:tcBorders>
            <w:shd w:val="clear" w:color="auto" w:fill="auto"/>
            <w:noWrap/>
            <w:vAlign w:val="bottom"/>
            <w:hideMark/>
          </w:tcPr>
          <w:p w14:paraId="3BAACE47"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340" w:type="dxa"/>
            <w:tcBorders>
              <w:top w:val="nil"/>
              <w:left w:val="nil"/>
              <w:bottom w:val="single" w:sz="4" w:space="0" w:color="auto"/>
              <w:right w:val="nil"/>
            </w:tcBorders>
            <w:shd w:val="clear" w:color="000000" w:fill="D9D9D9"/>
            <w:noWrap/>
            <w:vAlign w:val="bottom"/>
            <w:hideMark/>
          </w:tcPr>
          <w:p w14:paraId="22B85AB7"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100" w:type="dxa"/>
            <w:tcBorders>
              <w:top w:val="nil"/>
              <w:left w:val="nil"/>
              <w:bottom w:val="single" w:sz="4" w:space="0" w:color="auto"/>
              <w:right w:val="nil"/>
            </w:tcBorders>
            <w:shd w:val="clear" w:color="000000" w:fill="D9D9D9"/>
            <w:noWrap/>
            <w:vAlign w:val="bottom"/>
            <w:hideMark/>
          </w:tcPr>
          <w:p w14:paraId="157CE344"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0.74%</w:t>
            </w:r>
          </w:p>
        </w:tc>
        <w:tc>
          <w:tcPr>
            <w:tcW w:w="1100" w:type="dxa"/>
            <w:tcBorders>
              <w:top w:val="nil"/>
              <w:left w:val="nil"/>
              <w:bottom w:val="single" w:sz="4" w:space="0" w:color="auto"/>
              <w:right w:val="nil"/>
            </w:tcBorders>
            <w:shd w:val="clear" w:color="000000" w:fill="D9D9D9"/>
            <w:noWrap/>
            <w:vAlign w:val="bottom"/>
            <w:hideMark/>
          </w:tcPr>
          <w:p w14:paraId="732777C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0.32%</w:t>
            </w:r>
          </w:p>
        </w:tc>
        <w:tc>
          <w:tcPr>
            <w:tcW w:w="1100" w:type="dxa"/>
            <w:tcBorders>
              <w:top w:val="nil"/>
              <w:left w:val="nil"/>
              <w:bottom w:val="single" w:sz="4" w:space="0" w:color="auto"/>
              <w:right w:val="single" w:sz="4" w:space="0" w:color="auto"/>
            </w:tcBorders>
            <w:shd w:val="clear" w:color="000000" w:fill="D9D9D9"/>
            <w:noWrap/>
            <w:vAlign w:val="bottom"/>
            <w:hideMark/>
          </w:tcPr>
          <w:p w14:paraId="4C2BD3FB"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1.05%</w:t>
            </w:r>
          </w:p>
        </w:tc>
      </w:tr>
      <w:tr w:rsidR="00756350" w:rsidRPr="00B1459F" w14:paraId="53EE47BE"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0FF7A0F5"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Sales</w:t>
            </w:r>
          </w:p>
        </w:tc>
        <w:tc>
          <w:tcPr>
            <w:tcW w:w="1960" w:type="dxa"/>
            <w:tcBorders>
              <w:top w:val="nil"/>
              <w:left w:val="nil"/>
              <w:bottom w:val="nil"/>
              <w:right w:val="single" w:sz="4" w:space="0" w:color="auto"/>
            </w:tcBorders>
            <w:shd w:val="clear" w:color="auto" w:fill="auto"/>
            <w:noWrap/>
            <w:vAlign w:val="bottom"/>
            <w:hideMark/>
          </w:tcPr>
          <w:p w14:paraId="29E6A036"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Bill Heraclitus</w:t>
            </w:r>
          </w:p>
        </w:tc>
        <w:tc>
          <w:tcPr>
            <w:tcW w:w="1340" w:type="dxa"/>
            <w:tcBorders>
              <w:top w:val="nil"/>
              <w:left w:val="nil"/>
              <w:bottom w:val="nil"/>
              <w:right w:val="nil"/>
            </w:tcBorders>
            <w:shd w:val="clear" w:color="auto" w:fill="auto"/>
            <w:noWrap/>
            <w:vAlign w:val="bottom"/>
            <w:hideMark/>
          </w:tcPr>
          <w:p w14:paraId="0F9CFCDB"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£48,500.00</w:t>
            </w:r>
          </w:p>
        </w:tc>
        <w:tc>
          <w:tcPr>
            <w:tcW w:w="1100" w:type="dxa"/>
            <w:tcBorders>
              <w:top w:val="nil"/>
              <w:left w:val="nil"/>
              <w:bottom w:val="nil"/>
              <w:right w:val="nil"/>
            </w:tcBorders>
            <w:shd w:val="clear" w:color="auto" w:fill="auto"/>
            <w:noWrap/>
            <w:vAlign w:val="bottom"/>
            <w:hideMark/>
          </w:tcPr>
          <w:p w14:paraId="149D0ABE"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67B1E2CD"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2E56D320"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01882089"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77432B0C"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66D76232"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Richard Descartes</w:t>
            </w:r>
          </w:p>
        </w:tc>
        <w:tc>
          <w:tcPr>
            <w:tcW w:w="1340" w:type="dxa"/>
            <w:tcBorders>
              <w:top w:val="nil"/>
              <w:left w:val="nil"/>
              <w:bottom w:val="nil"/>
              <w:right w:val="nil"/>
            </w:tcBorders>
            <w:shd w:val="clear" w:color="auto" w:fill="auto"/>
            <w:noWrap/>
            <w:vAlign w:val="bottom"/>
            <w:hideMark/>
          </w:tcPr>
          <w:p w14:paraId="6FDEF54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£32,000.00</w:t>
            </w:r>
          </w:p>
        </w:tc>
        <w:tc>
          <w:tcPr>
            <w:tcW w:w="1100" w:type="dxa"/>
            <w:tcBorders>
              <w:top w:val="nil"/>
              <w:left w:val="nil"/>
              <w:bottom w:val="nil"/>
              <w:right w:val="nil"/>
            </w:tcBorders>
            <w:shd w:val="clear" w:color="auto" w:fill="auto"/>
            <w:noWrap/>
            <w:vAlign w:val="bottom"/>
            <w:hideMark/>
          </w:tcPr>
          <w:p w14:paraId="57755C58"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4C647FFF"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468F4648"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17BBD51C"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5E54DC38"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78912FE0"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Craig Berkely</w:t>
            </w:r>
          </w:p>
        </w:tc>
        <w:tc>
          <w:tcPr>
            <w:tcW w:w="1340" w:type="dxa"/>
            <w:tcBorders>
              <w:top w:val="nil"/>
              <w:left w:val="nil"/>
              <w:bottom w:val="nil"/>
              <w:right w:val="nil"/>
            </w:tcBorders>
            <w:shd w:val="clear" w:color="auto" w:fill="auto"/>
            <w:noWrap/>
            <w:vAlign w:val="bottom"/>
            <w:hideMark/>
          </w:tcPr>
          <w:p w14:paraId="74E6A061"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£19,500.00</w:t>
            </w:r>
          </w:p>
        </w:tc>
        <w:tc>
          <w:tcPr>
            <w:tcW w:w="1100" w:type="dxa"/>
            <w:tcBorders>
              <w:top w:val="nil"/>
              <w:left w:val="nil"/>
              <w:bottom w:val="nil"/>
              <w:right w:val="nil"/>
            </w:tcBorders>
            <w:shd w:val="clear" w:color="auto" w:fill="auto"/>
            <w:noWrap/>
            <w:vAlign w:val="bottom"/>
            <w:hideMark/>
          </w:tcPr>
          <w:p w14:paraId="4EA39AC1"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7574BF24"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1AD5D0E6"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7EA37830"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1BEB4693"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2BFF401B"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xml:space="preserve">Gordon Nietzsche </w:t>
            </w:r>
          </w:p>
        </w:tc>
        <w:tc>
          <w:tcPr>
            <w:tcW w:w="1340" w:type="dxa"/>
            <w:tcBorders>
              <w:top w:val="nil"/>
              <w:left w:val="nil"/>
              <w:bottom w:val="nil"/>
              <w:right w:val="nil"/>
            </w:tcBorders>
            <w:shd w:val="clear" w:color="auto" w:fill="auto"/>
            <w:noWrap/>
            <w:vAlign w:val="bottom"/>
            <w:hideMark/>
          </w:tcPr>
          <w:p w14:paraId="7A4B2951"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£19,500.00</w:t>
            </w:r>
          </w:p>
        </w:tc>
        <w:tc>
          <w:tcPr>
            <w:tcW w:w="1100" w:type="dxa"/>
            <w:tcBorders>
              <w:top w:val="nil"/>
              <w:left w:val="nil"/>
              <w:bottom w:val="nil"/>
              <w:right w:val="nil"/>
            </w:tcBorders>
            <w:shd w:val="clear" w:color="auto" w:fill="auto"/>
            <w:noWrap/>
            <w:vAlign w:val="bottom"/>
            <w:hideMark/>
          </w:tcPr>
          <w:p w14:paraId="307CFCA4"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45F4EEED"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607EE1A6"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4978D370"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6046D64D"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18983466"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Nicola Bergson</w:t>
            </w:r>
          </w:p>
        </w:tc>
        <w:tc>
          <w:tcPr>
            <w:tcW w:w="1340" w:type="dxa"/>
            <w:tcBorders>
              <w:top w:val="nil"/>
              <w:left w:val="nil"/>
              <w:bottom w:val="nil"/>
              <w:right w:val="nil"/>
            </w:tcBorders>
            <w:shd w:val="clear" w:color="auto" w:fill="auto"/>
            <w:noWrap/>
            <w:vAlign w:val="bottom"/>
            <w:hideMark/>
          </w:tcPr>
          <w:p w14:paraId="221EDA2A"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£19,500.00</w:t>
            </w:r>
          </w:p>
        </w:tc>
        <w:tc>
          <w:tcPr>
            <w:tcW w:w="1100" w:type="dxa"/>
            <w:tcBorders>
              <w:top w:val="nil"/>
              <w:left w:val="nil"/>
              <w:bottom w:val="nil"/>
              <w:right w:val="nil"/>
            </w:tcBorders>
            <w:shd w:val="clear" w:color="auto" w:fill="auto"/>
            <w:noWrap/>
            <w:vAlign w:val="bottom"/>
            <w:hideMark/>
          </w:tcPr>
          <w:p w14:paraId="14A43E13"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7BEE16F2"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77F33D05"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09B8EBFE"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3B545BCF"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2E52F229"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Karen Dewey</w:t>
            </w:r>
          </w:p>
        </w:tc>
        <w:tc>
          <w:tcPr>
            <w:tcW w:w="1340" w:type="dxa"/>
            <w:tcBorders>
              <w:top w:val="nil"/>
              <w:left w:val="nil"/>
              <w:bottom w:val="nil"/>
              <w:right w:val="nil"/>
            </w:tcBorders>
            <w:shd w:val="clear" w:color="auto" w:fill="auto"/>
            <w:noWrap/>
            <w:vAlign w:val="bottom"/>
            <w:hideMark/>
          </w:tcPr>
          <w:p w14:paraId="3F20E031"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£22,500.00</w:t>
            </w:r>
          </w:p>
        </w:tc>
        <w:tc>
          <w:tcPr>
            <w:tcW w:w="1100" w:type="dxa"/>
            <w:tcBorders>
              <w:top w:val="nil"/>
              <w:left w:val="nil"/>
              <w:bottom w:val="nil"/>
              <w:right w:val="nil"/>
            </w:tcBorders>
            <w:shd w:val="clear" w:color="auto" w:fill="auto"/>
            <w:noWrap/>
            <w:vAlign w:val="bottom"/>
            <w:hideMark/>
          </w:tcPr>
          <w:p w14:paraId="6B4594B6"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6766ECF2"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729CF03B"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0FC2D8AE"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164219C3"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00E300F2"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Toni Luther</w:t>
            </w:r>
          </w:p>
        </w:tc>
        <w:tc>
          <w:tcPr>
            <w:tcW w:w="1340" w:type="dxa"/>
            <w:tcBorders>
              <w:top w:val="nil"/>
              <w:left w:val="nil"/>
              <w:bottom w:val="nil"/>
              <w:right w:val="nil"/>
            </w:tcBorders>
            <w:shd w:val="clear" w:color="auto" w:fill="auto"/>
            <w:noWrap/>
            <w:vAlign w:val="bottom"/>
            <w:hideMark/>
          </w:tcPr>
          <w:p w14:paraId="1FA7F2BF"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£22,500.00</w:t>
            </w:r>
          </w:p>
        </w:tc>
        <w:tc>
          <w:tcPr>
            <w:tcW w:w="1100" w:type="dxa"/>
            <w:tcBorders>
              <w:top w:val="nil"/>
              <w:left w:val="nil"/>
              <w:bottom w:val="nil"/>
              <w:right w:val="nil"/>
            </w:tcBorders>
            <w:shd w:val="clear" w:color="auto" w:fill="auto"/>
            <w:noWrap/>
            <w:vAlign w:val="bottom"/>
            <w:hideMark/>
          </w:tcPr>
          <w:p w14:paraId="09185106"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04E904A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7A650021"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6170CA57"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40FF4F9F"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1D9E5A62"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Lee Foxton</w:t>
            </w:r>
          </w:p>
        </w:tc>
        <w:tc>
          <w:tcPr>
            <w:tcW w:w="1340" w:type="dxa"/>
            <w:tcBorders>
              <w:top w:val="nil"/>
              <w:left w:val="nil"/>
              <w:bottom w:val="nil"/>
              <w:right w:val="nil"/>
            </w:tcBorders>
            <w:shd w:val="clear" w:color="auto" w:fill="auto"/>
            <w:noWrap/>
            <w:vAlign w:val="bottom"/>
            <w:hideMark/>
          </w:tcPr>
          <w:p w14:paraId="5EFE305A"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£22,500.00</w:t>
            </w:r>
          </w:p>
        </w:tc>
        <w:tc>
          <w:tcPr>
            <w:tcW w:w="1100" w:type="dxa"/>
            <w:tcBorders>
              <w:top w:val="nil"/>
              <w:left w:val="nil"/>
              <w:bottom w:val="nil"/>
              <w:right w:val="nil"/>
            </w:tcBorders>
            <w:shd w:val="clear" w:color="auto" w:fill="auto"/>
            <w:noWrap/>
            <w:vAlign w:val="bottom"/>
            <w:hideMark/>
          </w:tcPr>
          <w:p w14:paraId="5891C2DD"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6AED6DC7"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31994ECD"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5F6B7A77"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3F0F4A77"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48A88F6C"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Steve Platt</w:t>
            </w:r>
          </w:p>
        </w:tc>
        <w:tc>
          <w:tcPr>
            <w:tcW w:w="1340" w:type="dxa"/>
            <w:tcBorders>
              <w:top w:val="nil"/>
              <w:left w:val="nil"/>
              <w:bottom w:val="nil"/>
              <w:right w:val="nil"/>
            </w:tcBorders>
            <w:shd w:val="clear" w:color="auto" w:fill="auto"/>
            <w:noWrap/>
            <w:vAlign w:val="bottom"/>
            <w:hideMark/>
          </w:tcPr>
          <w:p w14:paraId="0592F40F"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£22,500.00</w:t>
            </w:r>
          </w:p>
        </w:tc>
        <w:tc>
          <w:tcPr>
            <w:tcW w:w="1100" w:type="dxa"/>
            <w:tcBorders>
              <w:top w:val="nil"/>
              <w:left w:val="nil"/>
              <w:bottom w:val="nil"/>
              <w:right w:val="nil"/>
            </w:tcBorders>
            <w:shd w:val="clear" w:color="auto" w:fill="auto"/>
            <w:noWrap/>
            <w:vAlign w:val="bottom"/>
            <w:hideMark/>
          </w:tcPr>
          <w:p w14:paraId="71A9A469"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14153C7E"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0DBE7A6E"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1A8E5D87"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39462363"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52C865FB"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Liz Hickson</w:t>
            </w:r>
          </w:p>
        </w:tc>
        <w:tc>
          <w:tcPr>
            <w:tcW w:w="1340" w:type="dxa"/>
            <w:tcBorders>
              <w:top w:val="nil"/>
              <w:left w:val="nil"/>
              <w:bottom w:val="nil"/>
              <w:right w:val="nil"/>
            </w:tcBorders>
            <w:shd w:val="clear" w:color="auto" w:fill="auto"/>
            <w:noWrap/>
            <w:vAlign w:val="bottom"/>
            <w:hideMark/>
          </w:tcPr>
          <w:p w14:paraId="6CFD1FEE"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£24,500.00</w:t>
            </w:r>
          </w:p>
        </w:tc>
        <w:tc>
          <w:tcPr>
            <w:tcW w:w="1100" w:type="dxa"/>
            <w:tcBorders>
              <w:top w:val="nil"/>
              <w:left w:val="nil"/>
              <w:bottom w:val="nil"/>
              <w:right w:val="nil"/>
            </w:tcBorders>
            <w:shd w:val="clear" w:color="auto" w:fill="auto"/>
            <w:noWrap/>
            <w:vAlign w:val="bottom"/>
            <w:hideMark/>
          </w:tcPr>
          <w:p w14:paraId="45BECDD2"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43EABB8B"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1F299D90"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09F3F8E8"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62A6D111"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34AF6EE4"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Dave Nicholas</w:t>
            </w:r>
          </w:p>
        </w:tc>
        <w:tc>
          <w:tcPr>
            <w:tcW w:w="1340" w:type="dxa"/>
            <w:tcBorders>
              <w:top w:val="nil"/>
              <w:left w:val="nil"/>
              <w:bottom w:val="nil"/>
              <w:right w:val="nil"/>
            </w:tcBorders>
            <w:shd w:val="clear" w:color="auto" w:fill="auto"/>
            <w:noWrap/>
            <w:vAlign w:val="bottom"/>
            <w:hideMark/>
          </w:tcPr>
          <w:p w14:paraId="493DE204"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£24,500.00</w:t>
            </w:r>
          </w:p>
        </w:tc>
        <w:tc>
          <w:tcPr>
            <w:tcW w:w="1100" w:type="dxa"/>
            <w:tcBorders>
              <w:top w:val="nil"/>
              <w:left w:val="nil"/>
              <w:bottom w:val="nil"/>
              <w:right w:val="nil"/>
            </w:tcBorders>
            <w:shd w:val="clear" w:color="auto" w:fill="auto"/>
            <w:noWrap/>
            <w:vAlign w:val="bottom"/>
            <w:hideMark/>
          </w:tcPr>
          <w:p w14:paraId="66148E57"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3DA5861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1216A63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66D29DE3"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6FA09D17"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7FB78020"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Jamie Smith</w:t>
            </w:r>
          </w:p>
        </w:tc>
        <w:tc>
          <w:tcPr>
            <w:tcW w:w="1340" w:type="dxa"/>
            <w:tcBorders>
              <w:top w:val="nil"/>
              <w:left w:val="nil"/>
              <w:bottom w:val="nil"/>
              <w:right w:val="nil"/>
            </w:tcBorders>
            <w:shd w:val="clear" w:color="auto" w:fill="auto"/>
            <w:noWrap/>
            <w:vAlign w:val="bottom"/>
            <w:hideMark/>
          </w:tcPr>
          <w:p w14:paraId="3DBB46B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£20,000.00</w:t>
            </w:r>
          </w:p>
        </w:tc>
        <w:tc>
          <w:tcPr>
            <w:tcW w:w="1100" w:type="dxa"/>
            <w:tcBorders>
              <w:top w:val="nil"/>
              <w:left w:val="nil"/>
              <w:bottom w:val="nil"/>
              <w:right w:val="nil"/>
            </w:tcBorders>
            <w:shd w:val="clear" w:color="auto" w:fill="auto"/>
            <w:noWrap/>
            <w:vAlign w:val="bottom"/>
            <w:hideMark/>
          </w:tcPr>
          <w:p w14:paraId="54955E8E"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015959A3"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5BD072D8"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5A97DC0E"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38FFF577"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4E78B491"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xml:space="preserve">Joanne </w:t>
            </w:r>
            <w:proofErr w:type="spellStart"/>
            <w:r w:rsidRPr="00B1459F">
              <w:rPr>
                <w:rFonts w:ascii="Trebuchet MS" w:eastAsia="Times New Roman" w:hAnsi="Trebuchet MS" w:cs="Times New Roman"/>
                <w:color w:val="000000"/>
                <w:kern w:val="0"/>
                <w:sz w:val="16"/>
                <w:szCs w:val="16"/>
                <w:lang w:eastAsia="en-GB"/>
                <w14:ligatures w14:val="none"/>
              </w:rPr>
              <w:t>Mansworth</w:t>
            </w:r>
            <w:proofErr w:type="spellEnd"/>
          </w:p>
        </w:tc>
        <w:tc>
          <w:tcPr>
            <w:tcW w:w="1340" w:type="dxa"/>
            <w:tcBorders>
              <w:top w:val="nil"/>
              <w:left w:val="nil"/>
              <w:bottom w:val="nil"/>
              <w:right w:val="nil"/>
            </w:tcBorders>
            <w:shd w:val="clear" w:color="auto" w:fill="auto"/>
            <w:noWrap/>
            <w:vAlign w:val="bottom"/>
            <w:hideMark/>
          </w:tcPr>
          <w:p w14:paraId="07B3EC75"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£20,000.00</w:t>
            </w:r>
          </w:p>
        </w:tc>
        <w:tc>
          <w:tcPr>
            <w:tcW w:w="1100" w:type="dxa"/>
            <w:tcBorders>
              <w:top w:val="nil"/>
              <w:left w:val="nil"/>
              <w:bottom w:val="nil"/>
              <w:right w:val="nil"/>
            </w:tcBorders>
            <w:shd w:val="clear" w:color="auto" w:fill="auto"/>
            <w:noWrap/>
            <w:vAlign w:val="bottom"/>
            <w:hideMark/>
          </w:tcPr>
          <w:p w14:paraId="1C82E673"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64CF881E"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08A5C589"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34D6E65A"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0EE1E346"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0AD8B446"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340" w:type="dxa"/>
            <w:tcBorders>
              <w:top w:val="single" w:sz="4" w:space="0" w:color="auto"/>
              <w:left w:val="nil"/>
              <w:bottom w:val="nil"/>
              <w:right w:val="nil"/>
            </w:tcBorders>
            <w:shd w:val="clear" w:color="000000" w:fill="D9D9D9"/>
            <w:noWrap/>
            <w:vAlign w:val="bottom"/>
            <w:hideMark/>
          </w:tcPr>
          <w:p w14:paraId="36888B9D"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£318,000.00</w:t>
            </w:r>
          </w:p>
        </w:tc>
        <w:tc>
          <w:tcPr>
            <w:tcW w:w="1100" w:type="dxa"/>
            <w:tcBorders>
              <w:top w:val="single" w:sz="4" w:space="0" w:color="auto"/>
              <w:left w:val="nil"/>
              <w:bottom w:val="nil"/>
              <w:right w:val="nil"/>
            </w:tcBorders>
            <w:shd w:val="clear" w:color="000000" w:fill="D9D9D9"/>
            <w:noWrap/>
            <w:vAlign w:val="bottom"/>
            <w:hideMark/>
          </w:tcPr>
          <w:p w14:paraId="2F60E9FE"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single" w:sz="4" w:space="0" w:color="auto"/>
              <w:left w:val="nil"/>
              <w:bottom w:val="nil"/>
              <w:right w:val="nil"/>
            </w:tcBorders>
            <w:shd w:val="clear" w:color="000000" w:fill="D9D9D9"/>
            <w:noWrap/>
            <w:vAlign w:val="bottom"/>
            <w:hideMark/>
          </w:tcPr>
          <w:p w14:paraId="33FD7497"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single" w:sz="4" w:space="0" w:color="auto"/>
              <w:left w:val="nil"/>
              <w:bottom w:val="nil"/>
              <w:right w:val="single" w:sz="4" w:space="0" w:color="auto"/>
            </w:tcBorders>
            <w:shd w:val="clear" w:color="000000" w:fill="D9D9D9"/>
            <w:noWrap/>
            <w:vAlign w:val="bottom"/>
            <w:hideMark/>
          </w:tcPr>
          <w:p w14:paraId="1D6E8AFE"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78F4AD8A" w14:textId="77777777" w:rsidTr="001D499C">
        <w:trPr>
          <w:trHeight w:val="19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334FC763"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single" w:sz="4" w:space="0" w:color="auto"/>
              <w:right w:val="single" w:sz="4" w:space="0" w:color="auto"/>
            </w:tcBorders>
            <w:shd w:val="clear" w:color="auto" w:fill="auto"/>
            <w:noWrap/>
            <w:vAlign w:val="bottom"/>
            <w:hideMark/>
          </w:tcPr>
          <w:p w14:paraId="16A0FFC1"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340" w:type="dxa"/>
            <w:tcBorders>
              <w:top w:val="nil"/>
              <w:left w:val="nil"/>
              <w:bottom w:val="single" w:sz="4" w:space="0" w:color="auto"/>
              <w:right w:val="nil"/>
            </w:tcBorders>
            <w:shd w:val="clear" w:color="000000" w:fill="D9D9D9"/>
            <w:noWrap/>
            <w:vAlign w:val="bottom"/>
            <w:hideMark/>
          </w:tcPr>
          <w:p w14:paraId="398039F9"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100" w:type="dxa"/>
            <w:tcBorders>
              <w:top w:val="nil"/>
              <w:left w:val="nil"/>
              <w:bottom w:val="single" w:sz="4" w:space="0" w:color="auto"/>
              <w:right w:val="nil"/>
            </w:tcBorders>
            <w:shd w:val="clear" w:color="000000" w:fill="D9D9D9"/>
            <w:noWrap/>
            <w:vAlign w:val="bottom"/>
            <w:hideMark/>
          </w:tcPr>
          <w:p w14:paraId="073CDB67"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w:t>
            </w:r>
          </w:p>
        </w:tc>
        <w:tc>
          <w:tcPr>
            <w:tcW w:w="1100" w:type="dxa"/>
            <w:tcBorders>
              <w:top w:val="nil"/>
              <w:left w:val="nil"/>
              <w:bottom w:val="single" w:sz="4" w:space="0" w:color="auto"/>
              <w:right w:val="nil"/>
            </w:tcBorders>
            <w:shd w:val="clear" w:color="000000" w:fill="D9D9D9"/>
            <w:noWrap/>
            <w:vAlign w:val="bottom"/>
            <w:hideMark/>
          </w:tcPr>
          <w:p w14:paraId="44B9BF02"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w:t>
            </w:r>
          </w:p>
        </w:tc>
        <w:tc>
          <w:tcPr>
            <w:tcW w:w="1100" w:type="dxa"/>
            <w:tcBorders>
              <w:top w:val="nil"/>
              <w:left w:val="nil"/>
              <w:bottom w:val="single" w:sz="4" w:space="0" w:color="auto"/>
              <w:right w:val="single" w:sz="4" w:space="0" w:color="auto"/>
            </w:tcBorders>
            <w:shd w:val="clear" w:color="000000" w:fill="D9D9D9"/>
            <w:noWrap/>
            <w:vAlign w:val="bottom"/>
            <w:hideMark/>
          </w:tcPr>
          <w:p w14:paraId="24E1793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w:t>
            </w:r>
          </w:p>
        </w:tc>
      </w:tr>
      <w:tr w:rsidR="00756350" w:rsidRPr="00B1459F" w14:paraId="57A83398"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5DB2708E"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Logistics</w:t>
            </w:r>
          </w:p>
        </w:tc>
        <w:tc>
          <w:tcPr>
            <w:tcW w:w="1960" w:type="dxa"/>
            <w:tcBorders>
              <w:top w:val="nil"/>
              <w:left w:val="nil"/>
              <w:bottom w:val="nil"/>
              <w:right w:val="single" w:sz="4" w:space="0" w:color="auto"/>
            </w:tcBorders>
            <w:shd w:val="clear" w:color="auto" w:fill="auto"/>
            <w:noWrap/>
            <w:vAlign w:val="bottom"/>
            <w:hideMark/>
          </w:tcPr>
          <w:p w14:paraId="2194E74E"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Izzy Granger</w:t>
            </w:r>
          </w:p>
        </w:tc>
        <w:tc>
          <w:tcPr>
            <w:tcW w:w="1340" w:type="dxa"/>
            <w:tcBorders>
              <w:top w:val="nil"/>
              <w:left w:val="nil"/>
              <w:bottom w:val="nil"/>
              <w:right w:val="nil"/>
            </w:tcBorders>
            <w:shd w:val="clear" w:color="auto" w:fill="auto"/>
            <w:noWrap/>
            <w:vAlign w:val="bottom"/>
            <w:hideMark/>
          </w:tcPr>
          <w:p w14:paraId="687A6E81"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£41,000.00</w:t>
            </w:r>
          </w:p>
        </w:tc>
        <w:tc>
          <w:tcPr>
            <w:tcW w:w="1100" w:type="dxa"/>
            <w:tcBorders>
              <w:top w:val="nil"/>
              <w:left w:val="nil"/>
              <w:bottom w:val="nil"/>
              <w:right w:val="nil"/>
            </w:tcBorders>
            <w:shd w:val="clear" w:color="auto" w:fill="auto"/>
            <w:noWrap/>
            <w:vAlign w:val="bottom"/>
            <w:hideMark/>
          </w:tcPr>
          <w:p w14:paraId="3BEE3C88"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3D94F5F0"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16ABCB70"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26CFC49F"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6AD038FD"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51273BE5"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Ruth Sixsmith</w:t>
            </w:r>
          </w:p>
        </w:tc>
        <w:tc>
          <w:tcPr>
            <w:tcW w:w="1340" w:type="dxa"/>
            <w:tcBorders>
              <w:top w:val="nil"/>
              <w:left w:val="nil"/>
              <w:bottom w:val="nil"/>
              <w:right w:val="nil"/>
            </w:tcBorders>
            <w:shd w:val="clear" w:color="auto" w:fill="auto"/>
            <w:noWrap/>
            <w:vAlign w:val="bottom"/>
            <w:hideMark/>
          </w:tcPr>
          <w:p w14:paraId="69318EF0"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£23,750.00</w:t>
            </w:r>
          </w:p>
        </w:tc>
        <w:tc>
          <w:tcPr>
            <w:tcW w:w="1100" w:type="dxa"/>
            <w:tcBorders>
              <w:top w:val="nil"/>
              <w:left w:val="nil"/>
              <w:bottom w:val="nil"/>
              <w:right w:val="nil"/>
            </w:tcBorders>
            <w:shd w:val="clear" w:color="auto" w:fill="auto"/>
            <w:noWrap/>
            <w:vAlign w:val="bottom"/>
            <w:hideMark/>
          </w:tcPr>
          <w:p w14:paraId="2D4589B8"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5FC12D56"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£950.00</w:t>
            </w:r>
          </w:p>
        </w:tc>
        <w:tc>
          <w:tcPr>
            <w:tcW w:w="1100" w:type="dxa"/>
            <w:tcBorders>
              <w:top w:val="nil"/>
              <w:left w:val="nil"/>
              <w:bottom w:val="nil"/>
              <w:right w:val="single" w:sz="4" w:space="0" w:color="auto"/>
            </w:tcBorders>
            <w:shd w:val="clear" w:color="auto" w:fill="auto"/>
            <w:noWrap/>
            <w:vAlign w:val="bottom"/>
            <w:hideMark/>
          </w:tcPr>
          <w:p w14:paraId="10F51FC0"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£950.00</w:t>
            </w:r>
          </w:p>
        </w:tc>
      </w:tr>
      <w:tr w:rsidR="00756350" w:rsidRPr="00B1459F" w14:paraId="61EC2B8D"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0BB6C043"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7CFA7C2A"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Wendy Boot</w:t>
            </w:r>
          </w:p>
        </w:tc>
        <w:tc>
          <w:tcPr>
            <w:tcW w:w="1340" w:type="dxa"/>
            <w:tcBorders>
              <w:top w:val="nil"/>
              <w:left w:val="nil"/>
              <w:bottom w:val="nil"/>
              <w:right w:val="nil"/>
            </w:tcBorders>
            <w:shd w:val="clear" w:color="auto" w:fill="auto"/>
            <w:noWrap/>
            <w:vAlign w:val="bottom"/>
            <w:hideMark/>
          </w:tcPr>
          <w:p w14:paraId="307A4F72"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£23,750.00</w:t>
            </w:r>
          </w:p>
        </w:tc>
        <w:tc>
          <w:tcPr>
            <w:tcW w:w="1100" w:type="dxa"/>
            <w:tcBorders>
              <w:top w:val="nil"/>
              <w:left w:val="nil"/>
              <w:bottom w:val="nil"/>
              <w:right w:val="nil"/>
            </w:tcBorders>
            <w:shd w:val="clear" w:color="auto" w:fill="auto"/>
            <w:noWrap/>
            <w:vAlign w:val="bottom"/>
            <w:hideMark/>
          </w:tcPr>
          <w:p w14:paraId="5F468960"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30111439"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£950.00</w:t>
            </w:r>
          </w:p>
        </w:tc>
        <w:tc>
          <w:tcPr>
            <w:tcW w:w="1100" w:type="dxa"/>
            <w:tcBorders>
              <w:top w:val="nil"/>
              <w:left w:val="nil"/>
              <w:bottom w:val="nil"/>
              <w:right w:val="single" w:sz="4" w:space="0" w:color="auto"/>
            </w:tcBorders>
            <w:shd w:val="clear" w:color="auto" w:fill="auto"/>
            <w:noWrap/>
            <w:vAlign w:val="bottom"/>
            <w:hideMark/>
          </w:tcPr>
          <w:p w14:paraId="1A419B36"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£950.00</w:t>
            </w:r>
          </w:p>
        </w:tc>
      </w:tr>
      <w:tr w:rsidR="00756350" w:rsidRPr="00B1459F" w14:paraId="73A01C74"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3C4F9E42"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5577223E"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Sally Rigbye</w:t>
            </w:r>
          </w:p>
        </w:tc>
        <w:tc>
          <w:tcPr>
            <w:tcW w:w="1340" w:type="dxa"/>
            <w:tcBorders>
              <w:top w:val="nil"/>
              <w:left w:val="nil"/>
              <w:bottom w:val="nil"/>
              <w:right w:val="nil"/>
            </w:tcBorders>
            <w:shd w:val="clear" w:color="auto" w:fill="auto"/>
            <w:noWrap/>
            <w:vAlign w:val="bottom"/>
            <w:hideMark/>
          </w:tcPr>
          <w:p w14:paraId="56697D50"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£23,750.00</w:t>
            </w:r>
          </w:p>
        </w:tc>
        <w:tc>
          <w:tcPr>
            <w:tcW w:w="1100" w:type="dxa"/>
            <w:tcBorders>
              <w:top w:val="nil"/>
              <w:left w:val="nil"/>
              <w:bottom w:val="nil"/>
              <w:right w:val="nil"/>
            </w:tcBorders>
            <w:shd w:val="clear" w:color="auto" w:fill="auto"/>
            <w:noWrap/>
            <w:vAlign w:val="bottom"/>
            <w:hideMark/>
          </w:tcPr>
          <w:p w14:paraId="27F94945"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£950.00</w:t>
            </w:r>
          </w:p>
        </w:tc>
        <w:tc>
          <w:tcPr>
            <w:tcW w:w="1100" w:type="dxa"/>
            <w:tcBorders>
              <w:top w:val="nil"/>
              <w:left w:val="nil"/>
              <w:bottom w:val="nil"/>
              <w:right w:val="nil"/>
            </w:tcBorders>
            <w:shd w:val="clear" w:color="auto" w:fill="auto"/>
            <w:noWrap/>
            <w:vAlign w:val="bottom"/>
            <w:hideMark/>
          </w:tcPr>
          <w:p w14:paraId="217CA26D"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456FF894"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£950.00</w:t>
            </w:r>
          </w:p>
        </w:tc>
      </w:tr>
      <w:tr w:rsidR="00756350" w:rsidRPr="00B1459F" w14:paraId="7E07A53D"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60709469"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59FA6D2A"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Ian Charnock</w:t>
            </w:r>
          </w:p>
        </w:tc>
        <w:tc>
          <w:tcPr>
            <w:tcW w:w="1340" w:type="dxa"/>
            <w:tcBorders>
              <w:top w:val="nil"/>
              <w:left w:val="nil"/>
              <w:bottom w:val="nil"/>
              <w:right w:val="nil"/>
            </w:tcBorders>
            <w:shd w:val="clear" w:color="auto" w:fill="auto"/>
            <w:noWrap/>
            <w:vAlign w:val="bottom"/>
            <w:hideMark/>
          </w:tcPr>
          <w:p w14:paraId="773AC91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£24,000.00</w:t>
            </w:r>
          </w:p>
        </w:tc>
        <w:tc>
          <w:tcPr>
            <w:tcW w:w="1100" w:type="dxa"/>
            <w:tcBorders>
              <w:top w:val="nil"/>
              <w:left w:val="nil"/>
              <w:bottom w:val="nil"/>
              <w:right w:val="nil"/>
            </w:tcBorders>
            <w:shd w:val="clear" w:color="auto" w:fill="auto"/>
            <w:noWrap/>
            <w:vAlign w:val="bottom"/>
            <w:hideMark/>
          </w:tcPr>
          <w:p w14:paraId="254223BF"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75621181"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4E4667C4"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1D15BC1D"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065B099A"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6D8C16E9"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Chris Walley</w:t>
            </w:r>
          </w:p>
        </w:tc>
        <w:tc>
          <w:tcPr>
            <w:tcW w:w="1340" w:type="dxa"/>
            <w:tcBorders>
              <w:top w:val="nil"/>
              <w:left w:val="nil"/>
              <w:bottom w:val="nil"/>
              <w:right w:val="nil"/>
            </w:tcBorders>
            <w:shd w:val="clear" w:color="auto" w:fill="auto"/>
            <w:noWrap/>
            <w:vAlign w:val="bottom"/>
            <w:hideMark/>
          </w:tcPr>
          <w:p w14:paraId="3257CACD"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£24,000.00</w:t>
            </w:r>
          </w:p>
        </w:tc>
        <w:tc>
          <w:tcPr>
            <w:tcW w:w="1100" w:type="dxa"/>
            <w:tcBorders>
              <w:top w:val="nil"/>
              <w:left w:val="nil"/>
              <w:bottom w:val="nil"/>
              <w:right w:val="nil"/>
            </w:tcBorders>
            <w:shd w:val="clear" w:color="auto" w:fill="auto"/>
            <w:noWrap/>
            <w:vAlign w:val="bottom"/>
            <w:hideMark/>
          </w:tcPr>
          <w:p w14:paraId="6D0BF283"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7E6375D6"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48AC8276"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7DEBA705"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65DE76CE"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2280A79C"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Liz Parry</w:t>
            </w:r>
          </w:p>
        </w:tc>
        <w:tc>
          <w:tcPr>
            <w:tcW w:w="1340" w:type="dxa"/>
            <w:tcBorders>
              <w:top w:val="nil"/>
              <w:left w:val="nil"/>
              <w:bottom w:val="nil"/>
              <w:right w:val="nil"/>
            </w:tcBorders>
            <w:shd w:val="clear" w:color="auto" w:fill="auto"/>
            <w:noWrap/>
            <w:vAlign w:val="bottom"/>
            <w:hideMark/>
          </w:tcPr>
          <w:p w14:paraId="3CAADF4B"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£26,000.00</w:t>
            </w:r>
          </w:p>
        </w:tc>
        <w:tc>
          <w:tcPr>
            <w:tcW w:w="1100" w:type="dxa"/>
            <w:tcBorders>
              <w:top w:val="nil"/>
              <w:left w:val="nil"/>
              <w:bottom w:val="nil"/>
              <w:right w:val="nil"/>
            </w:tcBorders>
            <w:shd w:val="clear" w:color="auto" w:fill="auto"/>
            <w:noWrap/>
            <w:vAlign w:val="bottom"/>
            <w:hideMark/>
          </w:tcPr>
          <w:p w14:paraId="02450F00"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2E5D22CE"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460D0E55"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72FDBA0B"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54736A58"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6AC391CD"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Suzanne Wells</w:t>
            </w:r>
          </w:p>
        </w:tc>
        <w:tc>
          <w:tcPr>
            <w:tcW w:w="1340" w:type="dxa"/>
            <w:tcBorders>
              <w:top w:val="nil"/>
              <w:left w:val="nil"/>
              <w:bottom w:val="nil"/>
              <w:right w:val="nil"/>
            </w:tcBorders>
            <w:shd w:val="clear" w:color="auto" w:fill="auto"/>
            <w:noWrap/>
            <w:vAlign w:val="bottom"/>
            <w:hideMark/>
          </w:tcPr>
          <w:p w14:paraId="6BBD4B86"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£26,000.00</w:t>
            </w:r>
          </w:p>
        </w:tc>
        <w:tc>
          <w:tcPr>
            <w:tcW w:w="1100" w:type="dxa"/>
            <w:tcBorders>
              <w:top w:val="nil"/>
              <w:left w:val="nil"/>
              <w:bottom w:val="nil"/>
              <w:right w:val="nil"/>
            </w:tcBorders>
            <w:shd w:val="clear" w:color="auto" w:fill="auto"/>
            <w:noWrap/>
            <w:vAlign w:val="bottom"/>
            <w:hideMark/>
          </w:tcPr>
          <w:p w14:paraId="58073CA7"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28AEBEF1"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52DFE915"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0B8D2311"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0AD73C06"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7E2667C0"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xml:space="preserve">Neil </w:t>
            </w:r>
            <w:proofErr w:type="spellStart"/>
            <w:r w:rsidRPr="00B1459F">
              <w:rPr>
                <w:rFonts w:ascii="Trebuchet MS" w:eastAsia="Times New Roman" w:hAnsi="Trebuchet MS" w:cs="Times New Roman"/>
                <w:color w:val="000000"/>
                <w:kern w:val="0"/>
                <w:sz w:val="16"/>
                <w:szCs w:val="16"/>
                <w:lang w:eastAsia="en-GB"/>
                <w14:ligatures w14:val="none"/>
              </w:rPr>
              <w:t>Mansley</w:t>
            </w:r>
            <w:proofErr w:type="spellEnd"/>
          </w:p>
        </w:tc>
        <w:tc>
          <w:tcPr>
            <w:tcW w:w="1340" w:type="dxa"/>
            <w:tcBorders>
              <w:top w:val="nil"/>
              <w:left w:val="nil"/>
              <w:bottom w:val="nil"/>
              <w:right w:val="nil"/>
            </w:tcBorders>
            <w:shd w:val="clear" w:color="auto" w:fill="auto"/>
            <w:noWrap/>
            <w:vAlign w:val="bottom"/>
            <w:hideMark/>
          </w:tcPr>
          <w:p w14:paraId="22672C16"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£26,000.00</w:t>
            </w:r>
          </w:p>
        </w:tc>
        <w:tc>
          <w:tcPr>
            <w:tcW w:w="1100" w:type="dxa"/>
            <w:tcBorders>
              <w:top w:val="nil"/>
              <w:left w:val="nil"/>
              <w:bottom w:val="nil"/>
              <w:right w:val="nil"/>
            </w:tcBorders>
            <w:shd w:val="clear" w:color="auto" w:fill="auto"/>
            <w:noWrap/>
            <w:vAlign w:val="bottom"/>
            <w:hideMark/>
          </w:tcPr>
          <w:p w14:paraId="6B12FADE"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522EFD4D"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6FB8471D"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50A7DB0F"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4086FCA5"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15972BFF"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Jean Livesey</w:t>
            </w:r>
          </w:p>
        </w:tc>
        <w:tc>
          <w:tcPr>
            <w:tcW w:w="1340" w:type="dxa"/>
            <w:tcBorders>
              <w:top w:val="nil"/>
              <w:left w:val="nil"/>
              <w:bottom w:val="nil"/>
              <w:right w:val="nil"/>
            </w:tcBorders>
            <w:shd w:val="clear" w:color="auto" w:fill="auto"/>
            <w:noWrap/>
            <w:vAlign w:val="bottom"/>
            <w:hideMark/>
          </w:tcPr>
          <w:p w14:paraId="637F983F"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£26,000.00</w:t>
            </w:r>
          </w:p>
        </w:tc>
        <w:tc>
          <w:tcPr>
            <w:tcW w:w="1100" w:type="dxa"/>
            <w:tcBorders>
              <w:top w:val="nil"/>
              <w:left w:val="nil"/>
              <w:bottom w:val="nil"/>
              <w:right w:val="nil"/>
            </w:tcBorders>
            <w:shd w:val="clear" w:color="auto" w:fill="auto"/>
            <w:noWrap/>
            <w:vAlign w:val="bottom"/>
            <w:hideMark/>
          </w:tcPr>
          <w:p w14:paraId="31009516"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7E642B8E"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£1,040.00</w:t>
            </w:r>
          </w:p>
        </w:tc>
        <w:tc>
          <w:tcPr>
            <w:tcW w:w="1100" w:type="dxa"/>
            <w:tcBorders>
              <w:top w:val="nil"/>
              <w:left w:val="nil"/>
              <w:bottom w:val="nil"/>
              <w:right w:val="single" w:sz="4" w:space="0" w:color="auto"/>
            </w:tcBorders>
            <w:shd w:val="clear" w:color="auto" w:fill="auto"/>
            <w:noWrap/>
            <w:vAlign w:val="bottom"/>
            <w:hideMark/>
          </w:tcPr>
          <w:p w14:paraId="63E7DA20"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£1,040.00</w:t>
            </w:r>
          </w:p>
        </w:tc>
      </w:tr>
      <w:tr w:rsidR="00756350" w:rsidRPr="00B1459F" w14:paraId="20A2FF7B"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528BBBB2"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55AC6F0F"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Lucy Abercrombie</w:t>
            </w:r>
          </w:p>
        </w:tc>
        <w:tc>
          <w:tcPr>
            <w:tcW w:w="1340" w:type="dxa"/>
            <w:tcBorders>
              <w:top w:val="nil"/>
              <w:left w:val="nil"/>
              <w:bottom w:val="nil"/>
              <w:right w:val="nil"/>
            </w:tcBorders>
            <w:shd w:val="clear" w:color="auto" w:fill="auto"/>
            <w:noWrap/>
            <w:vAlign w:val="bottom"/>
            <w:hideMark/>
          </w:tcPr>
          <w:p w14:paraId="532D72A8"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£26,000.00</w:t>
            </w:r>
          </w:p>
        </w:tc>
        <w:tc>
          <w:tcPr>
            <w:tcW w:w="1100" w:type="dxa"/>
            <w:tcBorders>
              <w:top w:val="nil"/>
              <w:left w:val="nil"/>
              <w:bottom w:val="nil"/>
              <w:right w:val="nil"/>
            </w:tcBorders>
            <w:shd w:val="clear" w:color="auto" w:fill="auto"/>
            <w:noWrap/>
            <w:vAlign w:val="bottom"/>
            <w:hideMark/>
          </w:tcPr>
          <w:p w14:paraId="11947991"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08085DAF"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43FECA48"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2A559804"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282FC490"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4B94889A"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Siobhan Wilson</w:t>
            </w:r>
          </w:p>
        </w:tc>
        <w:tc>
          <w:tcPr>
            <w:tcW w:w="1340" w:type="dxa"/>
            <w:tcBorders>
              <w:top w:val="nil"/>
              <w:left w:val="nil"/>
              <w:bottom w:val="nil"/>
              <w:right w:val="nil"/>
            </w:tcBorders>
            <w:shd w:val="clear" w:color="auto" w:fill="auto"/>
            <w:noWrap/>
            <w:vAlign w:val="bottom"/>
            <w:hideMark/>
          </w:tcPr>
          <w:p w14:paraId="1C494FF1"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£19,500.00</w:t>
            </w:r>
          </w:p>
        </w:tc>
        <w:tc>
          <w:tcPr>
            <w:tcW w:w="1100" w:type="dxa"/>
            <w:tcBorders>
              <w:top w:val="nil"/>
              <w:left w:val="nil"/>
              <w:bottom w:val="nil"/>
              <w:right w:val="nil"/>
            </w:tcBorders>
            <w:shd w:val="clear" w:color="auto" w:fill="auto"/>
            <w:noWrap/>
            <w:vAlign w:val="bottom"/>
            <w:hideMark/>
          </w:tcPr>
          <w:p w14:paraId="438C9BC7"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04410939"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4E0B80B6"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62554DA7"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30B59963"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41CA2CD4"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Julie Chisnall</w:t>
            </w:r>
          </w:p>
        </w:tc>
        <w:tc>
          <w:tcPr>
            <w:tcW w:w="1340" w:type="dxa"/>
            <w:tcBorders>
              <w:top w:val="nil"/>
              <w:left w:val="nil"/>
              <w:bottom w:val="nil"/>
              <w:right w:val="nil"/>
            </w:tcBorders>
            <w:shd w:val="clear" w:color="auto" w:fill="auto"/>
            <w:noWrap/>
            <w:vAlign w:val="bottom"/>
            <w:hideMark/>
          </w:tcPr>
          <w:p w14:paraId="04268DE5"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£19,500.00</w:t>
            </w:r>
          </w:p>
        </w:tc>
        <w:tc>
          <w:tcPr>
            <w:tcW w:w="1100" w:type="dxa"/>
            <w:tcBorders>
              <w:top w:val="nil"/>
              <w:left w:val="nil"/>
              <w:bottom w:val="nil"/>
              <w:right w:val="nil"/>
            </w:tcBorders>
            <w:shd w:val="clear" w:color="auto" w:fill="auto"/>
            <w:noWrap/>
            <w:vAlign w:val="bottom"/>
            <w:hideMark/>
          </w:tcPr>
          <w:p w14:paraId="561E4B9A"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£780.00</w:t>
            </w:r>
          </w:p>
        </w:tc>
        <w:tc>
          <w:tcPr>
            <w:tcW w:w="1100" w:type="dxa"/>
            <w:tcBorders>
              <w:top w:val="nil"/>
              <w:left w:val="nil"/>
              <w:bottom w:val="nil"/>
              <w:right w:val="nil"/>
            </w:tcBorders>
            <w:shd w:val="clear" w:color="auto" w:fill="auto"/>
            <w:noWrap/>
            <w:vAlign w:val="bottom"/>
            <w:hideMark/>
          </w:tcPr>
          <w:p w14:paraId="634742BD"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£780.00</w:t>
            </w:r>
          </w:p>
        </w:tc>
        <w:tc>
          <w:tcPr>
            <w:tcW w:w="1100" w:type="dxa"/>
            <w:tcBorders>
              <w:top w:val="nil"/>
              <w:left w:val="nil"/>
              <w:bottom w:val="nil"/>
              <w:right w:val="single" w:sz="4" w:space="0" w:color="auto"/>
            </w:tcBorders>
            <w:shd w:val="clear" w:color="auto" w:fill="auto"/>
            <w:noWrap/>
            <w:vAlign w:val="bottom"/>
            <w:hideMark/>
          </w:tcPr>
          <w:p w14:paraId="3FD826CD"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£1,560.00</w:t>
            </w:r>
          </w:p>
        </w:tc>
      </w:tr>
      <w:tr w:rsidR="00756350" w:rsidRPr="00B1459F" w14:paraId="396A9DA8"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7D90EEEF"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3C2B3CE9"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Rick Lovall</w:t>
            </w:r>
          </w:p>
        </w:tc>
        <w:tc>
          <w:tcPr>
            <w:tcW w:w="1340" w:type="dxa"/>
            <w:tcBorders>
              <w:top w:val="nil"/>
              <w:left w:val="nil"/>
              <w:bottom w:val="nil"/>
              <w:right w:val="nil"/>
            </w:tcBorders>
            <w:shd w:val="clear" w:color="auto" w:fill="auto"/>
            <w:noWrap/>
            <w:vAlign w:val="bottom"/>
            <w:hideMark/>
          </w:tcPr>
          <w:p w14:paraId="61CC9AA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£19,500.00</w:t>
            </w:r>
          </w:p>
        </w:tc>
        <w:tc>
          <w:tcPr>
            <w:tcW w:w="1100" w:type="dxa"/>
            <w:tcBorders>
              <w:top w:val="nil"/>
              <w:left w:val="nil"/>
              <w:bottom w:val="nil"/>
              <w:right w:val="nil"/>
            </w:tcBorders>
            <w:shd w:val="clear" w:color="auto" w:fill="auto"/>
            <w:noWrap/>
            <w:vAlign w:val="bottom"/>
            <w:hideMark/>
          </w:tcPr>
          <w:p w14:paraId="0156A522"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£780.00</w:t>
            </w:r>
          </w:p>
        </w:tc>
        <w:tc>
          <w:tcPr>
            <w:tcW w:w="1100" w:type="dxa"/>
            <w:tcBorders>
              <w:top w:val="nil"/>
              <w:left w:val="nil"/>
              <w:bottom w:val="nil"/>
              <w:right w:val="nil"/>
            </w:tcBorders>
            <w:shd w:val="clear" w:color="auto" w:fill="auto"/>
            <w:noWrap/>
            <w:vAlign w:val="bottom"/>
            <w:hideMark/>
          </w:tcPr>
          <w:p w14:paraId="7409CB5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36CB899A"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£780.00</w:t>
            </w:r>
          </w:p>
        </w:tc>
      </w:tr>
      <w:tr w:rsidR="00756350" w:rsidRPr="00B1459F" w14:paraId="515ECC78"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4A2EFF29"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07FFAC87"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Pam Harrison</w:t>
            </w:r>
          </w:p>
        </w:tc>
        <w:tc>
          <w:tcPr>
            <w:tcW w:w="1340" w:type="dxa"/>
            <w:tcBorders>
              <w:top w:val="nil"/>
              <w:left w:val="nil"/>
              <w:bottom w:val="nil"/>
              <w:right w:val="nil"/>
            </w:tcBorders>
            <w:shd w:val="clear" w:color="auto" w:fill="auto"/>
            <w:noWrap/>
            <w:vAlign w:val="bottom"/>
            <w:hideMark/>
          </w:tcPr>
          <w:p w14:paraId="768A6858"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£19,500.00</w:t>
            </w:r>
          </w:p>
        </w:tc>
        <w:tc>
          <w:tcPr>
            <w:tcW w:w="1100" w:type="dxa"/>
            <w:tcBorders>
              <w:top w:val="nil"/>
              <w:left w:val="nil"/>
              <w:bottom w:val="nil"/>
              <w:right w:val="nil"/>
            </w:tcBorders>
            <w:shd w:val="clear" w:color="auto" w:fill="auto"/>
            <w:noWrap/>
            <w:vAlign w:val="bottom"/>
            <w:hideMark/>
          </w:tcPr>
          <w:p w14:paraId="36D1E5BD"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2D67618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7216022F"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690CDE00"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3CD6FA20"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1E4671FF"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Max Eagle</w:t>
            </w:r>
          </w:p>
        </w:tc>
        <w:tc>
          <w:tcPr>
            <w:tcW w:w="1340" w:type="dxa"/>
            <w:tcBorders>
              <w:top w:val="nil"/>
              <w:left w:val="nil"/>
              <w:bottom w:val="nil"/>
              <w:right w:val="nil"/>
            </w:tcBorders>
            <w:shd w:val="clear" w:color="auto" w:fill="auto"/>
            <w:noWrap/>
            <w:vAlign w:val="bottom"/>
            <w:hideMark/>
          </w:tcPr>
          <w:p w14:paraId="0F900B59"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£19,500.00</w:t>
            </w:r>
          </w:p>
        </w:tc>
        <w:tc>
          <w:tcPr>
            <w:tcW w:w="1100" w:type="dxa"/>
            <w:tcBorders>
              <w:top w:val="nil"/>
              <w:left w:val="nil"/>
              <w:bottom w:val="nil"/>
              <w:right w:val="nil"/>
            </w:tcBorders>
            <w:shd w:val="clear" w:color="auto" w:fill="auto"/>
            <w:noWrap/>
            <w:vAlign w:val="bottom"/>
            <w:hideMark/>
          </w:tcPr>
          <w:p w14:paraId="2410024B"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1534AA20"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206F4DEA"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35E72FA7"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2DAD9798"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779D63C7"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Gill Jamieson</w:t>
            </w:r>
          </w:p>
        </w:tc>
        <w:tc>
          <w:tcPr>
            <w:tcW w:w="1340" w:type="dxa"/>
            <w:tcBorders>
              <w:top w:val="nil"/>
              <w:left w:val="nil"/>
              <w:bottom w:val="nil"/>
              <w:right w:val="nil"/>
            </w:tcBorders>
            <w:shd w:val="clear" w:color="auto" w:fill="auto"/>
            <w:noWrap/>
            <w:vAlign w:val="bottom"/>
            <w:hideMark/>
          </w:tcPr>
          <w:p w14:paraId="6C09C705"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£19,500.00</w:t>
            </w:r>
          </w:p>
        </w:tc>
        <w:tc>
          <w:tcPr>
            <w:tcW w:w="1100" w:type="dxa"/>
            <w:tcBorders>
              <w:top w:val="nil"/>
              <w:left w:val="nil"/>
              <w:bottom w:val="nil"/>
              <w:right w:val="nil"/>
            </w:tcBorders>
            <w:shd w:val="clear" w:color="auto" w:fill="auto"/>
            <w:noWrap/>
            <w:vAlign w:val="bottom"/>
            <w:hideMark/>
          </w:tcPr>
          <w:p w14:paraId="4E25033A"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£780.00</w:t>
            </w:r>
          </w:p>
        </w:tc>
        <w:tc>
          <w:tcPr>
            <w:tcW w:w="1100" w:type="dxa"/>
            <w:tcBorders>
              <w:top w:val="nil"/>
              <w:left w:val="nil"/>
              <w:bottom w:val="nil"/>
              <w:right w:val="nil"/>
            </w:tcBorders>
            <w:shd w:val="clear" w:color="auto" w:fill="auto"/>
            <w:noWrap/>
            <w:vAlign w:val="bottom"/>
            <w:hideMark/>
          </w:tcPr>
          <w:p w14:paraId="7CF99E02"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£780.00</w:t>
            </w:r>
          </w:p>
        </w:tc>
        <w:tc>
          <w:tcPr>
            <w:tcW w:w="1100" w:type="dxa"/>
            <w:tcBorders>
              <w:top w:val="nil"/>
              <w:left w:val="nil"/>
              <w:bottom w:val="nil"/>
              <w:right w:val="single" w:sz="4" w:space="0" w:color="auto"/>
            </w:tcBorders>
            <w:shd w:val="clear" w:color="auto" w:fill="auto"/>
            <w:noWrap/>
            <w:vAlign w:val="bottom"/>
            <w:hideMark/>
          </w:tcPr>
          <w:p w14:paraId="0F2FC00B"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£1,560.00</w:t>
            </w:r>
          </w:p>
        </w:tc>
      </w:tr>
      <w:tr w:rsidR="00756350" w:rsidRPr="00B1459F" w14:paraId="6FC6D8A3"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011BE25A"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25C75184"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Rowina Draper</w:t>
            </w:r>
          </w:p>
        </w:tc>
        <w:tc>
          <w:tcPr>
            <w:tcW w:w="1340" w:type="dxa"/>
            <w:tcBorders>
              <w:top w:val="nil"/>
              <w:left w:val="nil"/>
              <w:bottom w:val="nil"/>
              <w:right w:val="nil"/>
            </w:tcBorders>
            <w:shd w:val="clear" w:color="auto" w:fill="auto"/>
            <w:noWrap/>
            <w:vAlign w:val="bottom"/>
            <w:hideMark/>
          </w:tcPr>
          <w:p w14:paraId="6A8EFEFB"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£19,500.00</w:t>
            </w:r>
          </w:p>
        </w:tc>
        <w:tc>
          <w:tcPr>
            <w:tcW w:w="1100" w:type="dxa"/>
            <w:tcBorders>
              <w:top w:val="nil"/>
              <w:left w:val="nil"/>
              <w:bottom w:val="nil"/>
              <w:right w:val="nil"/>
            </w:tcBorders>
            <w:shd w:val="clear" w:color="auto" w:fill="auto"/>
            <w:noWrap/>
            <w:vAlign w:val="bottom"/>
            <w:hideMark/>
          </w:tcPr>
          <w:p w14:paraId="0AD8DA36"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3C37FE84"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4B2BF0EF"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4F799955"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3A71E0EC"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3DCE9361"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Will Draper</w:t>
            </w:r>
          </w:p>
        </w:tc>
        <w:tc>
          <w:tcPr>
            <w:tcW w:w="1340" w:type="dxa"/>
            <w:tcBorders>
              <w:top w:val="nil"/>
              <w:left w:val="nil"/>
              <w:bottom w:val="nil"/>
              <w:right w:val="nil"/>
            </w:tcBorders>
            <w:shd w:val="clear" w:color="auto" w:fill="auto"/>
            <w:noWrap/>
            <w:vAlign w:val="bottom"/>
            <w:hideMark/>
          </w:tcPr>
          <w:p w14:paraId="38F8BB51"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£19,500.00</w:t>
            </w:r>
          </w:p>
        </w:tc>
        <w:tc>
          <w:tcPr>
            <w:tcW w:w="1100" w:type="dxa"/>
            <w:tcBorders>
              <w:top w:val="nil"/>
              <w:left w:val="nil"/>
              <w:bottom w:val="nil"/>
              <w:right w:val="nil"/>
            </w:tcBorders>
            <w:shd w:val="clear" w:color="auto" w:fill="auto"/>
            <w:noWrap/>
            <w:vAlign w:val="bottom"/>
            <w:hideMark/>
          </w:tcPr>
          <w:p w14:paraId="3936EC6A"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0B187E1F"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45AB160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293570BE"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06FC3CF5"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15BB25C6"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Jamie Penny</w:t>
            </w:r>
          </w:p>
        </w:tc>
        <w:tc>
          <w:tcPr>
            <w:tcW w:w="1340" w:type="dxa"/>
            <w:tcBorders>
              <w:top w:val="nil"/>
              <w:left w:val="nil"/>
              <w:bottom w:val="nil"/>
              <w:right w:val="nil"/>
            </w:tcBorders>
            <w:shd w:val="clear" w:color="auto" w:fill="auto"/>
            <w:noWrap/>
            <w:vAlign w:val="bottom"/>
            <w:hideMark/>
          </w:tcPr>
          <w:p w14:paraId="47A4DB32"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£19,500.00</w:t>
            </w:r>
          </w:p>
        </w:tc>
        <w:tc>
          <w:tcPr>
            <w:tcW w:w="1100" w:type="dxa"/>
            <w:tcBorders>
              <w:top w:val="nil"/>
              <w:left w:val="nil"/>
              <w:bottom w:val="nil"/>
              <w:right w:val="nil"/>
            </w:tcBorders>
            <w:shd w:val="clear" w:color="auto" w:fill="auto"/>
            <w:noWrap/>
            <w:vAlign w:val="bottom"/>
            <w:hideMark/>
          </w:tcPr>
          <w:p w14:paraId="1A79E4D5"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514C86C9"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7FDBAAD4"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4D48D679"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0232E7E4"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75F6D883"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340" w:type="dxa"/>
            <w:tcBorders>
              <w:top w:val="single" w:sz="4" w:space="0" w:color="auto"/>
              <w:left w:val="nil"/>
              <w:bottom w:val="nil"/>
              <w:right w:val="nil"/>
            </w:tcBorders>
            <w:shd w:val="clear" w:color="000000" w:fill="D9D9D9"/>
            <w:noWrap/>
            <w:vAlign w:val="bottom"/>
            <w:hideMark/>
          </w:tcPr>
          <w:p w14:paraId="19DD0CC2"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£465,750.00</w:t>
            </w:r>
          </w:p>
        </w:tc>
        <w:tc>
          <w:tcPr>
            <w:tcW w:w="1100" w:type="dxa"/>
            <w:tcBorders>
              <w:top w:val="single" w:sz="4" w:space="0" w:color="auto"/>
              <w:left w:val="nil"/>
              <w:bottom w:val="nil"/>
              <w:right w:val="nil"/>
            </w:tcBorders>
            <w:shd w:val="clear" w:color="000000" w:fill="D9D9D9"/>
            <w:noWrap/>
            <w:vAlign w:val="bottom"/>
            <w:hideMark/>
          </w:tcPr>
          <w:p w14:paraId="503F3FE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£3,290.00</w:t>
            </w:r>
          </w:p>
        </w:tc>
        <w:tc>
          <w:tcPr>
            <w:tcW w:w="1100" w:type="dxa"/>
            <w:tcBorders>
              <w:top w:val="single" w:sz="4" w:space="0" w:color="auto"/>
              <w:left w:val="nil"/>
              <w:bottom w:val="nil"/>
              <w:right w:val="nil"/>
            </w:tcBorders>
            <w:shd w:val="clear" w:color="000000" w:fill="D9D9D9"/>
            <w:noWrap/>
            <w:vAlign w:val="bottom"/>
            <w:hideMark/>
          </w:tcPr>
          <w:p w14:paraId="25842B96"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£4,500.00</w:t>
            </w:r>
          </w:p>
        </w:tc>
        <w:tc>
          <w:tcPr>
            <w:tcW w:w="1100" w:type="dxa"/>
            <w:tcBorders>
              <w:top w:val="single" w:sz="4" w:space="0" w:color="auto"/>
              <w:left w:val="nil"/>
              <w:bottom w:val="nil"/>
              <w:right w:val="single" w:sz="4" w:space="0" w:color="auto"/>
            </w:tcBorders>
            <w:shd w:val="clear" w:color="000000" w:fill="D9D9D9"/>
            <w:noWrap/>
            <w:vAlign w:val="bottom"/>
            <w:hideMark/>
          </w:tcPr>
          <w:p w14:paraId="5A88CDB7"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£7,790.00</w:t>
            </w:r>
          </w:p>
        </w:tc>
      </w:tr>
      <w:tr w:rsidR="00756350" w:rsidRPr="00B1459F" w14:paraId="161F951D" w14:textId="77777777" w:rsidTr="001D499C">
        <w:trPr>
          <w:trHeight w:val="19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7E58B67F"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single" w:sz="4" w:space="0" w:color="auto"/>
              <w:right w:val="single" w:sz="4" w:space="0" w:color="auto"/>
            </w:tcBorders>
            <w:shd w:val="clear" w:color="auto" w:fill="auto"/>
            <w:noWrap/>
            <w:vAlign w:val="bottom"/>
            <w:hideMark/>
          </w:tcPr>
          <w:p w14:paraId="2C5E1E79"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340" w:type="dxa"/>
            <w:tcBorders>
              <w:top w:val="nil"/>
              <w:left w:val="nil"/>
              <w:bottom w:val="single" w:sz="4" w:space="0" w:color="auto"/>
              <w:right w:val="nil"/>
            </w:tcBorders>
            <w:shd w:val="clear" w:color="000000" w:fill="D9D9D9"/>
            <w:noWrap/>
            <w:vAlign w:val="bottom"/>
            <w:hideMark/>
          </w:tcPr>
          <w:p w14:paraId="31C3D702"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100" w:type="dxa"/>
            <w:tcBorders>
              <w:top w:val="nil"/>
              <w:left w:val="nil"/>
              <w:bottom w:val="single" w:sz="4" w:space="0" w:color="auto"/>
              <w:right w:val="nil"/>
            </w:tcBorders>
            <w:shd w:val="clear" w:color="000000" w:fill="D9D9D9"/>
            <w:noWrap/>
            <w:vAlign w:val="bottom"/>
            <w:hideMark/>
          </w:tcPr>
          <w:p w14:paraId="411C3368"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0.71%</w:t>
            </w:r>
          </w:p>
        </w:tc>
        <w:tc>
          <w:tcPr>
            <w:tcW w:w="1100" w:type="dxa"/>
            <w:tcBorders>
              <w:top w:val="nil"/>
              <w:left w:val="nil"/>
              <w:bottom w:val="single" w:sz="4" w:space="0" w:color="auto"/>
              <w:right w:val="nil"/>
            </w:tcBorders>
            <w:shd w:val="clear" w:color="000000" w:fill="D9D9D9"/>
            <w:noWrap/>
            <w:vAlign w:val="bottom"/>
            <w:hideMark/>
          </w:tcPr>
          <w:p w14:paraId="71ECE1CA"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0.97%</w:t>
            </w:r>
          </w:p>
        </w:tc>
        <w:tc>
          <w:tcPr>
            <w:tcW w:w="1100" w:type="dxa"/>
            <w:tcBorders>
              <w:top w:val="nil"/>
              <w:left w:val="nil"/>
              <w:bottom w:val="single" w:sz="4" w:space="0" w:color="auto"/>
              <w:right w:val="single" w:sz="4" w:space="0" w:color="auto"/>
            </w:tcBorders>
            <w:shd w:val="clear" w:color="000000" w:fill="D9D9D9"/>
            <w:noWrap/>
            <w:vAlign w:val="bottom"/>
            <w:hideMark/>
          </w:tcPr>
          <w:p w14:paraId="279EE763"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1.67%</w:t>
            </w:r>
          </w:p>
        </w:tc>
      </w:tr>
      <w:tr w:rsidR="00756350" w:rsidRPr="00B1459F" w14:paraId="07A627A7"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54A82C56"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R&amp;D</w:t>
            </w:r>
          </w:p>
        </w:tc>
        <w:tc>
          <w:tcPr>
            <w:tcW w:w="1960" w:type="dxa"/>
            <w:tcBorders>
              <w:top w:val="nil"/>
              <w:left w:val="nil"/>
              <w:bottom w:val="nil"/>
              <w:right w:val="single" w:sz="4" w:space="0" w:color="auto"/>
            </w:tcBorders>
            <w:shd w:val="clear" w:color="auto" w:fill="auto"/>
            <w:noWrap/>
            <w:vAlign w:val="bottom"/>
            <w:hideMark/>
          </w:tcPr>
          <w:p w14:paraId="52B9BEED"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Ethan Brar</w:t>
            </w:r>
          </w:p>
        </w:tc>
        <w:tc>
          <w:tcPr>
            <w:tcW w:w="1340" w:type="dxa"/>
            <w:tcBorders>
              <w:top w:val="nil"/>
              <w:left w:val="nil"/>
              <w:bottom w:val="nil"/>
              <w:right w:val="nil"/>
            </w:tcBorders>
            <w:shd w:val="clear" w:color="auto" w:fill="auto"/>
            <w:noWrap/>
            <w:vAlign w:val="bottom"/>
            <w:hideMark/>
          </w:tcPr>
          <w:p w14:paraId="3ADE6237"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£32,500.00</w:t>
            </w:r>
          </w:p>
        </w:tc>
        <w:tc>
          <w:tcPr>
            <w:tcW w:w="1100" w:type="dxa"/>
            <w:tcBorders>
              <w:top w:val="nil"/>
              <w:left w:val="nil"/>
              <w:bottom w:val="nil"/>
              <w:right w:val="nil"/>
            </w:tcBorders>
            <w:shd w:val="clear" w:color="auto" w:fill="auto"/>
            <w:noWrap/>
            <w:vAlign w:val="bottom"/>
            <w:hideMark/>
          </w:tcPr>
          <w:p w14:paraId="006AA2D7"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£1,300.00</w:t>
            </w:r>
          </w:p>
        </w:tc>
        <w:tc>
          <w:tcPr>
            <w:tcW w:w="1100" w:type="dxa"/>
            <w:tcBorders>
              <w:top w:val="nil"/>
              <w:left w:val="nil"/>
              <w:bottom w:val="nil"/>
              <w:right w:val="nil"/>
            </w:tcBorders>
            <w:shd w:val="clear" w:color="auto" w:fill="auto"/>
            <w:noWrap/>
            <w:vAlign w:val="bottom"/>
            <w:hideMark/>
          </w:tcPr>
          <w:p w14:paraId="15F5B0D4"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£1,300.00</w:t>
            </w:r>
          </w:p>
        </w:tc>
        <w:tc>
          <w:tcPr>
            <w:tcW w:w="1100" w:type="dxa"/>
            <w:tcBorders>
              <w:top w:val="nil"/>
              <w:left w:val="nil"/>
              <w:bottom w:val="nil"/>
              <w:right w:val="single" w:sz="4" w:space="0" w:color="auto"/>
            </w:tcBorders>
            <w:shd w:val="clear" w:color="auto" w:fill="auto"/>
            <w:noWrap/>
            <w:vAlign w:val="bottom"/>
            <w:hideMark/>
          </w:tcPr>
          <w:p w14:paraId="0D8D7AA1"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£2,600.00</w:t>
            </w:r>
          </w:p>
        </w:tc>
      </w:tr>
      <w:tr w:rsidR="00756350" w:rsidRPr="00B1459F" w14:paraId="654F5E89"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0C4BF37F"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58C90559"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Harrison Briggs</w:t>
            </w:r>
          </w:p>
        </w:tc>
        <w:tc>
          <w:tcPr>
            <w:tcW w:w="1340" w:type="dxa"/>
            <w:tcBorders>
              <w:top w:val="nil"/>
              <w:left w:val="nil"/>
              <w:bottom w:val="nil"/>
              <w:right w:val="nil"/>
            </w:tcBorders>
            <w:shd w:val="clear" w:color="auto" w:fill="auto"/>
            <w:noWrap/>
            <w:vAlign w:val="bottom"/>
            <w:hideMark/>
          </w:tcPr>
          <w:p w14:paraId="32DEFDFD"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£32,500.00</w:t>
            </w:r>
          </w:p>
        </w:tc>
        <w:tc>
          <w:tcPr>
            <w:tcW w:w="1100" w:type="dxa"/>
            <w:tcBorders>
              <w:top w:val="nil"/>
              <w:left w:val="nil"/>
              <w:bottom w:val="nil"/>
              <w:right w:val="nil"/>
            </w:tcBorders>
            <w:shd w:val="clear" w:color="auto" w:fill="auto"/>
            <w:noWrap/>
            <w:vAlign w:val="bottom"/>
            <w:hideMark/>
          </w:tcPr>
          <w:p w14:paraId="2FC29C31"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57EED000"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£1,300.00</w:t>
            </w:r>
          </w:p>
        </w:tc>
        <w:tc>
          <w:tcPr>
            <w:tcW w:w="1100" w:type="dxa"/>
            <w:tcBorders>
              <w:top w:val="nil"/>
              <w:left w:val="nil"/>
              <w:bottom w:val="nil"/>
              <w:right w:val="single" w:sz="4" w:space="0" w:color="auto"/>
            </w:tcBorders>
            <w:shd w:val="clear" w:color="auto" w:fill="auto"/>
            <w:noWrap/>
            <w:vAlign w:val="bottom"/>
            <w:hideMark/>
          </w:tcPr>
          <w:p w14:paraId="7FAE85C9"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£1,300.00</w:t>
            </w:r>
          </w:p>
        </w:tc>
      </w:tr>
      <w:tr w:rsidR="00756350" w:rsidRPr="00B1459F" w14:paraId="33374F63"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30EAAAFA"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35AE004E"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Steve Owens</w:t>
            </w:r>
          </w:p>
        </w:tc>
        <w:tc>
          <w:tcPr>
            <w:tcW w:w="1340" w:type="dxa"/>
            <w:tcBorders>
              <w:top w:val="nil"/>
              <w:left w:val="nil"/>
              <w:bottom w:val="nil"/>
              <w:right w:val="nil"/>
            </w:tcBorders>
            <w:shd w:val="clear" w:color="auto" w:fill="auto"/>
            <w:noWrap/>
            <w:vAlign w:val="bottom"/>
            <w:hideMark/>
          </w:tcPr>
          <w:p w14:paraId="6F4E6EC0"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£29,500.00</w:t>
            </w:r>
          </w:p>
        </w:tc>
        <w:tc>
          <w:tcPr>
            <w:tcW w:w="1100" w:type="dxa"/>
            <w:tcBorders>
              <w:top w:val="nil"/>
              <w:left w:val="nil"/>
              <w:bottom w:val="nil"/>
              <w:right w:val="nil"/>
            </w:tcBorders>
            <w:shd w:val="clear" w:color="auto" w:fill="auto"/>
            <w:noWrap/>
            <w:vAlign w:val="bottom"/>
            <w:hideMark/>
          </w:tcPr>
          <w:p w14:paraId="2EFBA15B"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0669DF3A"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£1,180.00</w:t>
            </w:r>
          </w:p>
        </w:tc>
        <w:tc>
          <w:tcPr>
            <w:tcW w:w="1100" w:type="dxa"/>
            <w:tcBorders>
              <w:top w:val="nil"/>
              <w:left w:val="nil"/>
              <w:bottom w:val="nil"/>
              <w:right w:val="single" w:sz="4" w:space="0" w:color="auto"/>
            </w:tcBorders>
            <w:shd w:val="clear" w:color="auto" w:fill="auto"/>
            <w:noWrap/>
            <w:vAlign w:val="bottom"/>
            <w:hideMark/>
          </w:tcPr>
          <w:p w14:paraId="26A56C45"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£1,180.00</w:t>
            </w:r>
          </w:p>
        </w:tc>
      </w:tr>
      <w:tr w:rsidR="00756350" w:rsidRPr="00B1459F" w14:paraId="4498681A"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6BED44E8"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08795E1D"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Karen Hancock</w:t>
            </w:r>
          </w:p>
        </w:tc>
        <w:tc>
          <w:tcPr>
            <w:tcW w:w="1340" w:type="dxa"/>
            <w:tcBorders>
              <w:top w:val="nil"/>
              <w:left w:val="nil"/>
              <w:bottom w:val="nil"/>
              <w:right w:val="nil"/>
            </w:tcBorders>
            <w:shd w:val="clear" w:color="auto" w:fill="auto"/>
            <w:noWrap/>
            <w:vAlign w:val="bottom"/>
            <w:hideMark/>
          </w:tcPr>
          <w:p w14:paraId="331C2C51"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£29,500.00</w:t>
            </w:r>
          </w:p>
        </w:tc>
        <w:tc>
          <w:tcPr>
            <w:tcW w:w="1100" w:type="dxa"/>
            <w:tcBorders>
              <w:top w:val="nil"/>
              <w:left w:val="nil"/>
              <w:bottom w:val="nil"/>
              <w:right w:val="nil"/>
            </w:tcBorders>
            <w:shd w:val="clear" w:color="auto" w:fill="auto"/>
            <w:noWrap/>
            <w:vAlign w:val="bottom"/>
            <w:hideMark/>
          </w:tcPr>
          <w:p w14:paraId="5ADCF897"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6A399889"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3E9DBE40"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0BB95C91"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25DE98E5"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679C4ECC"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Annabelle Hayes</w:t>
            </w:r>
          </w:p>
        </w:tc>
        <w:tc>
          <w:tcPr>
            <w:tcW w:w="1340" w:type="dxa"/>
            <w:tcBorders>
              <w:top w:val="nil"/>
              <w:left w:val="nil"/>
              <w:bottom w:val="nil"/>
              <w:right w:val="nil"/>
            </w:tcBorders>
            <w:shd w:val="clear" w:color="auto" w:fill="auto"/>
            <w:noWrap/>
            <w:vAlign w:val="bottom"/>
            <w:hideMark/>
          </w:tcPr>
          <w:p w14:paraId="7287DE7E"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£29,500.00</w:t>
            </w:r>
          </w:p>
        </w:tc>
        <w:tc>
          <w:tcPr>
            <w:tcW w:w="1100" w:type="dxa"/>
            <w:tcBorders>
              <w:top w:val="nil"/>
              <w:left w:val="nil"/>
              <w:bottom w:val="nil"/>
              <w:right w:val="nil"/>
            </w:tcBorders>
            <w:shd w:val="clear" w:color="auto" w:fill="auto"/>
            <w:noWrap/>
            <w:vAlign w:val="bottom"/>
            <w:hideMark/>
          </w:tcPr>
          <w:p w14:paraId="616F87AD"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0EB4D416"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4A391A78"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2AF2C6D4"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6120DA86"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446C3B31"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Ruby Gardner</w:t>
            </w:r>
          </w:p>
        </w:tc>
        <w:tc>
          <w:tcPr>
            <w:tcW w:w="1340" w:type="dxa"/>
            <w:tcBorders>
              <w:top w:val="nil"/>
              <w:left w:val="nil"/>
              <w:bottom w:val="nil"/>
              <w:right w:val="nil"/>
            </w:tcBorders>
            <w:shd w:val="clear" w:color="auto" w:fill="auto"/>
            <w:noWrap/>
            <w:vAlign w:val="bottom"/>
            <w:hideMark/>
          </w:tcPr>
          <w:p w14:paraId="0727B1F4"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£29,500.00</w:t>
            </w:r>
          </w:p>
        </w:tc>
        <w:tc>
          <w:tcPr>
            <w:tcW w:w="1100" w:type="dxa"/>
            <w:tcBorders>
              <w:top w:val="nil"/>
              <w:left w:val="nil"/>
              <w:bottom w:val="nil"/>
              <w:right w:val="nil"/>
            </w:tcBorders>
            <w:shd w:val="clear" w:color="auto" w:fill="auto"/>
            <w:noWrap/>
            <w:vAlign w:val="bottom"/>
            <w:hideMark/>
          </w:tcPr>
          <w:p w14:paraId="18E28761"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45704E62"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007BDDA6"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295433B0"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3EC27C39"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46246771"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Ellie Riding</w:t>
            </w:r>
          </w:p>
        </w:tc>
        <w:tc>
          <w:tcPr>
            <w:tcW w:w="1340" w:type="dxa"/>
            <w:tcBorders>
              <w:top w:val="nil"/>
              <w:left w:val="nil"/>
              <w:bottom w:val="nil"/>
              <w:right w:val="nil"/>
            </w:tcBorders>
            <w:shd w:val="clear" w:color="auto" w:fill="auto"/>
            <w:noWrap/>
            <w:vAlign w:val="bottom"/>
            <w:hideMark/>
          </w:tcPr>
          <w:p w14:paraId="7DA13C34"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£34,500.00</w:t>
            </w:r>
          </w:p>
        </w:tc>
        <w:tc>
          <w:tcPr>
            <w:tcW w:w="1100" w:type="dxa"/>
            <w:tcBorders>
              <w:top w:val="nil"/>
              <w:left w:val="nil"/>
              <w:bottom w:val="nil"/>
              <w:right w:val="nil"/>
            </w:tcBorders>
            <w:shd w:val="clear" w:color="auto" w:fill="auto"/>
            <w:noWrap/>
            <w:vAlign w:val="bottom"/>
            <w:hideMark/>
          </w:tcPr>
          <w:p w14:paraId="2D8F9525"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785988D3"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1DE3056F"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5FD8CE12"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1E4FC1E7"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74CE8206"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Laura Jones</w:t>
            </w:r>
          </w:p>
        </w:tc>
        <w:tc>
          <w:tcPr>
            <w:tcW w:w="1340" w:type="dxa"/>
            <w:tcBorders>
              <w:top w:val="nil"/>
              <w:left w:val="nil"/>
              <w:bottom w:val="nil"/>
              <w:right w:val="nil"/>
            </w:tcBorders>
            <w:shd w:val="clear" w:color="auto" w:fill="auto"/>
            <w:noWrap/>
            <w:vAlign w:val="bottom"/>
            <w:hideMark/>
          </w:tcPr>
          <w:p w14:paraId="315F087B"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£29,500.00</w:t>
            </w:r>
          </w:p>
        </w:tc>
        <w:tc>
          <w:tcPr>
            <w:tcW w:w="1100" w:type="dxa"/>
            <w:tcBorders>
              <w:top w:val="nil"/>
              <w:left w:val="nil"/>
              <w:bottom w:val="nil"/>
              <w:right w:val="nil"/>
            </w:tcBorders>
            <w:shd w:val="clear" w:color="auto" w:fill="auto"/>
            <w:noWrap/>
            <w:vAlign w:val="bottom"/>
            <w:hideMark/>
          </w:tcPr>
          <w:p w14:paraId="25D52A88"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nil"/>
            </w:tcBorders>
            <w:shd w:val="clear" w:color="auto" w:fill="auto"/>
            <w:noWrap/>
            <w:vAlign w:val="bottom"/>
            <w:hideMark/>
          </w:tcPr>
          <w:p w14:paraId="7DCD60B2"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c>
          <w:tcPr>
            <w:tcW w:w="1100" w:type="dxa"/>
            <w:tcBorders>
              <w:top w:val="nil"/>
              <w:left w:val="nil"/>
              <w:bottom w:val="nil"/>
              <w:right w:val="single" w:sz="4" w:space="0" w:color="auto"/>
            </w:tcBorders>
            <w:shd w:val="clear" w:color="auto" w:fill="auto"/>
            <w:noWrap/>
            <w:vAlign w:val="bottom"/>
            <w:hideMark/>
          </w:tcPr>
          <w:p w14:paraId="4B037CD5"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£0.00</w:t>
            </w:r>
          </w:p>
        </w:tc>
      </w:tr>
      <w:tr w:rsidR="00756350" w:rsidRPr="00B1459F" w14:paraId="62B7403A"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1B666873"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42C1CA6F"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Tasha Graham</w:t>
            </w:r>
          </w:p>
        </w:tc>
        <w:tc>
          <w:tcPr>
            <w:tcW w:w="1340" w:type="dxa"/>
            <w:tcBorders>
              <w:top w:val="nil"/>
              <w:left w:val="nil"/>
              <w:bottom w:val="nil"/>
              <w:right w:val="nil"/>
            </w:tcBorders>
            <w:shd w:val="clear" w:color="auto" w:fill="auto"/>
            <w:noWrap/>
            <w:vAlign w:val="bottom"/>
            <w:hideMark/>
          </w:tcPr>
          <w:p w14:paraId="1F7FE92E"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£29,500.00</w:t>
            </w:r>
          </w:p>
        </w:tc>
        <w:tc>
          <w:tcPr>
            <w:tcW w:w="1100" w:type="dxa"/>
            <w:tcBorders>
              <w:top w:val="nil"/>
              <w:left w:val="nil"/>
              <w:bottom w:val="nil"/>
              <w:right w:val="nil"/>
            </w:tcBorders>
            <w:shd w:val="clear" w:color="auto" w:fill="auto"/>
            <w:noWrap/>
            <w:vAlign w:val="bottom"/>
            <w:hideMark/>
          </w:tcPr>
          <w:p w14:paraId="09214FE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£1,180.00</w:t>
            </w:r>
          </w:p>
        </w:tc>
        <w:tc>
          <w:tcPr>
            <w:tcW w:w="1100" w:type="dxa"/>
            <w:tcBorders>
              <w:top w:val="nil"/>
              <w:left w:val="nil"/>
              <w:bottom w:val="nil"/>
              <w:right w:val="nil"/>
            </w:tcBorders>
            <w:shd w:val="clear" w:color="auto" w:fill="auto"/>
            <w:noWrap/>
            <w:vAlign w:val="bottom"/>
            <w:hideMark/>
          </w:tcPr>
          <w:p w14:paraId="5E03CBC7"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£1,180.00</w:t>
            </w:r>
          </w:p>
        </w:tc>
        <w:tc>
          <w:tcPr>
            <w:tcW w:w="1100" w:type="dxa"/>
            <w:tcBorders>
              <w:top w:val="nil"/>
              <w:left w:val="nil"/>
              <w:bottom w:val="nil"/>
              <w:right w:val="single" w:sz="4" w:space="0" w:color="auto"/>
            </w:tcBorders>
            <w:shd w:val="clear" w:color="auto" w:fill="auto"/>
            <w:noWrap/>
            <w:vAlign w:val="bottom"/>
            <w:hideMark/>
          </w:tcPr>
          <w:p w14:paraId="52AD703A"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£2,360.00</w:t>
            </w:r>
          </w:p>
        </w:tc>
      </w:tr>
      <w:tr w:rsidR="00756350" w:rsidRPr="00B1459F" w14:paraId="1501BEEF"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2B27E523"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348E310E"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Jennifer Frost</w:t>
            </w:r>
          </w:p>
        </w:tc>
        <w:tc>
          <w:tcPr>
            <w:tcW w:w="1340" w:type="dxa"/>
            <w:tcBorders>
              <w:top w:val="nil"/>
              <w:left w:val="nil"/>
              <w:bottom w:val="nil"/>
              <w:right w:val="nil"/>
            </w:tcBorders>
            <w:shd w:val="clear" w:color="auto" w:fill="auto"/>
            <w:noWrap/>
            <w:vAlign w:val="bottom"/>
            <w:hideMark/>
          </w:tcPr>
          <w:p w14:paraId="4DFCA88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£29,500.00</w:t>
            </w:r>
          </w:p>
        </w:tc>
        <w:tc>
          <w:tcPr>
            <w:tcW w:w="1100" w:type="dxa"/>
            <w:tcBorders>
              <w:top w:val="nil"/>
              <w:left w:val="nil"/>
              <w:bottom w:val="nil"/>
              <w:right w:val="nil"/>
            </w:tcBorders>
            <w:shd w:val="clear" w:color="auto" w:fill="auto"/>
            <w:noWrap/>
            <w:vAlign w:val="bottom"/>
            <w:hideMark/>
          </w:tcPr>
          <w:p w14:paraId="70DAE11E"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£1,180.00</w:t>
            </w:r>
          </w:p>
        </w:tc>
        <w:tc>
          <w:tcPr>
            <w:tcW w:w="1100" w:type="dxa"/>
            <w:tcBorders>
              <w:top w:val="nil"/>
              <w:left w:val="nil"/>
              <w:bottom w:val="nil"/>
              <w:right w:val="nil"/>
            </w:tcBorders>
            <w:shd w:val="clear" w:color="auto" w:fill="auto"/>
            <w:noWrap/>
            <w:vAlign w:val="bottom"/>
            <w:hideMark/>
          </w:tcPr>
          <w:p w14:paraId="17FB2912"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£1,180.00</w:t>
            </w:r>
          </w:p>
        </w:tc>
        <w:tc>
          <w:tcPr>
            <w:tcW w:w="1100" w:type="dxa"/>
            <w:tcBorders>
              <w:top w:val="nil"/>
              <w:left w:val="nil"/>
              <w:bottom w:val="nil"/>
              <w:right w:val="single" w:sz="4" w:space="0" w:color="auto"/>
            </w:tcBorders>
            <w:shd w:val="clear" w:color="auto" w:fill="auto"/>
            <w:noWrap/>
            <w:vAlign w:val="bottom"/>
            <w:hideMark/>
          </w:tcPr>
          <w:p w14:paraId="1963640B"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£2,360.00</w:t>
            </w:r>
          </w:p>
        </w:tc>
      </w:tr>
      <w:tr w:rsidR="00756350" w:rsidRPr="00B1459F" w14:paraId="13A1D128" w14:textId="77777777" w:rsidTr="001D499C">
        <w:trPr>
          <w:trHeight w:val="190"/>
        </w:trPr>
        <w:tc>
          <w:tcPr>
            <w:tcW w:w="1940" w:type="dxa"/>
            <w:tcBorders>
              <w:top w:val="nil"/>
              <w:left w:val="single" w:sz="4" w:space="0" w:color="auto"/>
              <w:bottom w:val="nil"/>
              <w:right w:val="single" w:sz="4" w:space="0" w:color="auto"/>
            </w:tcBorders>
            <w:shd w:val="clear" w:color="auto" w:fill="auto"/>
            <w:noWrap/>
            <w:vAlign w:val="bottom"/>
            <w:hideMark/>
          </w:tcPr>
          <w:p w14:paraId="7F068E7E"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nil"/>
              <w:right w:val="single" w:sz="4" w:space="0" w:color="auto"/>
            </w:tcBorders>
            <w:shd w:val="clear" w:color="auto" w:fill="auto"/>
            <w:noWrap/>
            <w:vAlign w:val="bottom"/>
            <w:hideMark/>
          </w:tcPr>
          <w:p w14:paraId="39957667"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340" w:type="dxa"/>
            <w:tcBorders>
              <w:top w:val="single" w:sz="4" w:space="0" w:color="auto"/>
              <w:left w:val="nil"/>
              <w:bottom w:val="nil"/>
              <w:right w:val="nil"/>
            </w:tcBorders>
            <w:shd w:val="clear" w:color="000000" w:fill="D9D9D9"/>
            <w:noWrap/>
            <w:vAlign w:val="bottom"/>
            <w:hideMark/>
          </w:tcPr>
          <w:p w14:paraId="35EC265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£306,000.00</w:t>
            </w:r>
          </w:p>
        </w:tc>
        <w:tc>
          <w:tcPr>
            <w:tcW w:w="1100" w:type="dxa"/>
            <w:tcBorders>
              <w:top w:val="single" w:sz="4" w:space="0" w:color="auto"/>
              <w:left w:val="nil"/>
              <w:bottom w:val="nil"/>
              <w:right w:val="nil"/>
            </w:tcBorders>
            <w:shd w:val="clear" w:color="000000" w:fill="D9D9D9"/>
            <w:noWrap/>
            <w:vAlign w:val="bottom"/>
            <w:hideMark/>
          </w:tcPr>
          <w:p w14:paraId="3F886233"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£3,660.00</w:t>
            </w:r>
          </w:p>
        </w:tc>
        <w:tc>
          <w:tcPr>
            <w:tcW w:w="1100" w:type="dxa"/>
            <w:tcBorders>
              <w:top w:val="single" w:sz="4" w:space="0" w:color="auto"/>
              <w:left w:val="nil"/>
              <w:bottom w:val="nil"/>
              <w:right w:val="nil"/>
            </w:tcBorders>
            <w:shd w:val="clear" w:color="000000" w:fill="D9D9D9"/>
            <w:noWrap/>
            <w:vAlign w:val="bottom"/>
            <w:hideMark/>
          </w:tcPr>
          <w:p w14:paraId="6E2C2301"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£6,140.00</w:t>
            </w:r>
          </w:p>
        </w:tc>
        <w:tc>
          <w:tcPr>
            <w:tcW w:w="1100" w:type="dxa"/>
            <w:tcBorders>
              <w:top w:val="single" w:sz="4" w:space="0" w:color="auto"/>
              <w:left w:val="nil"/>
              <w:bottom w:val="nil"/>
              <w:right w:val="single" w:sz="4" w:space="0" w:color="auto"/>
            </w:tcBorders>
            <w:shd w:val="clear" w:color="000000" w:fill="D9D9D9"/>
            <w:noWrap/>
            <w:vAlign w:val="bottom"/>
            <w:hideMark/>
          </w:tcPr>
          <w:p w14:paraId="2E47CD75"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£9,800.00</w:t>
            </w:r>
          </w:p>
        </w:tc>
      </w:tr>
      <w:tr w:rsidR="00756350" w:rsidRPr="00B1459F" w14:paraId="4C937615" w14:textId="77777777" w:rsidTr="001D499C">
        <w:trPr>
          <w:trHeight w:val="19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41E1A23B"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960" w:type="dxa"/>
            <w:tcBorders>
              <w:top w:val="nil"/>
              <w:left w:val="nil"/>
              <w:bottom w:val="single" w:sz="4" w:space="0" w:color="auto"/>
              <w:right w:val="single" w:sz="4" w:space="0" w:color="auto"/>
            </w:tcBorders>
            <w:shd w:val="clear" w:color="auto" w:fill="auto"/>
            <w:noWrap/>
            <w:vAlign w:val="bottom"/>
            <w:hideMark/>
          </w:tcPr>
          <w:p w14:paraId="08197BD7" w14:textId="77777777" w:rsidR="00756350" w:rsidRPr="00B1459F" w:rsidRDefault="00756350" w:rsidP="000E1DD0">
            <w:pPr>
              <w:spacing w:after="0" w:line="240" w:lineRule="auto"/>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340" w:type="dxa"/>
            <w:tcBorders>
              <w:top w:val="nil"/>
              <w:left w:val="nil"/>
              <w:bottom w:val="single" w:sz="4" w:space="0" w:color="auto"/>
              <w:right w:val="nil"/>
            </w:tcBorders>
            <w:shd w:val="clear" w:color="000000" w:fill="D9D9D9"/>
            <w:noWrap/>
            <w:vAlign w:val="bottom"/>
            <w:hideMark/>
          </w:tcPr>
          <w:p w14:paraId="54B0A8BE"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 </w:t>
            </w:r>
          </w:p>
        </w:tc>
        <w:tc>
          <w:tcPr>
            <w:tcW w:w="1100" w:type="dxa"/>
            <w:tcBorders>
              <w:top w:val="nil"/>
              <w:left w:val="nil"/>
              <w:bottom w:val="single" w:sz="4" w:space="0" w:color="auto"/>
              <w:right w:val="nil"/>
            </w:tcBorders>
            <w:shd w:val="clear" w:color="000000" w:fill="D9D9D9"/>
            <w:noWrap/>
            <w:vAlign w:val="bottom"/>
            <w:hideMark/>
          </w:tcPr>
          <w:p w14:paraId="18465F5C"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1.20%</w:t>
            </w:r>
          </w:p>
        </w:tc>
        <w:tc>
          <w:tcPr>
            <w:tcW w:w="1100" w:type="dxa"/>
            <w:tcBorders>
              <w:top w:val="nil"/>
              <w:left w:val="nil"/>
              <w:bottom w:val="single" w:sz="4" w:space="0" w:color="auto"/>
              <w:right w:val="nil"/>
            </w:tcBorders>
            <w:shd w:val="clear" w:color="000000" w:fill="D9D9D9"/>
            <w:noWrap/>
            <w:vAlign w:val="bottom"/>
            <w:hideMark/>
          </w:tcPr>
          <w:p w14:paraId="5EC51A32"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2.01%</w:t>
            </w:r>
          </w:p>
        </w:tc>
        <w:tc>
          <w:tcPr>
            <w:tcW w:w="1100" w:type="dxa"/>
            <w:tcBorders>
              <w:top w:val="nil"/>
              <w:left w:val="nil"/>
              <w:bottom w:val="single" w:sz="4" w:space="0" w:color="auto"/>
              <w:right w:val="single" w:sz="4" w:space="0" w:color="auto"/>
            </w:tcBorders>
            <w:shd w:val="clear" w:color="000000" w:fill="D9D9D9"/>
            <w:noWrap/>
            <w:vAlign w:val="bottom"/>
            <w:hideMark/>
          </w:tcPr>
          <w:p w14:paraId="4A8ADED5" w14:textId="77777777" w:rsidR="00756350" w:rsidRPr="00B1459F" w:rsidRDefault="00756350" w:rsidP="000E1DD0">
            <w:pPr>
              <w:spacing w:after="0" w:line="240" w:lineRule="auto"/>
              <w:jc w:val="center"/>
              <w:rPr>
                <w:rFonts w:ascii="Trebuchet MS" w:eastAsia="Times New Roman" w:hAnsi="Trebuchet MS" w:cs="Times New Roman"/>
                <w:color w:val="000000"/>
                <w:kern w:val="0"/>
                <w:sz w:val="16"/>
                <w:szCs w:val="16"/>
                <w:lang w:eastAsia="en-GB"/>
                <w14:ligatures w14:val="none"/>
              </w:rPr>
            </w:pPr>
            <w:r w:rsidRPr="00B1459F">
              <w:rPr>
                <w:rFonts w:ascii="Trebuchet MS" w:eastAsia="Times New Roman" w:hAnsi="Trebuchet MS" w:cs="Times New Roman"/>
                <w:color w:val="000000"/>
                <w:kern w:val="0"/>
                <w:sz w:val="16"/>
                <w:szCs w:val="16"/>
                <w:lang w:eastAsia="en-GB"/>
                <w14:ligatures w14:val="none"/>
              </w:rPr>
              <w:t>3.20%</w:t>
            </w:r>
          </w:p>
        </w:tc>
      </w:tr>
    </w:tbl>
    <w:p w14:paraId="5025E243" w14:textId="77777777" w:rsidR="00756350" w:rsidRDefault="00756350" w:rsidP="00756350"/>
    <w:p w14:paraId="047FE1BD" w14:textId="77777777" w:rsidR="00BC7330" w:rsidRDefault="00BC7330" w:rsidP="002E232E"/>
    <w:p w14:paraId="42EEDBA0" w14:textId="77777777" w:rsidR="000B41DE" w:rsidRPr="000B41DE" w:rsidRDefault="000B41DE" w:rsidP="00671204">
      <w:pPr>
        <w:jc w:val="both"/>
      </w:pPr>
      <w:r w:rsidRPr="000B41DE">
        <w:t>2.2</w:t>
      </w:r>
    </w:p>
    <w:p w14:paraId="606C728C" w14:textId="77777777" w:rsidR="000B41DE" w:rsidRPr="000B41DE" w:rsidRDefault="000B41DE" w:rsidP="00671204">
      <w:pPr>
        <w:jc w:val="both"/>
      </w:pPr>
      <w:r w:rsidRPr="000B41DE">
        <w:t>From the data we can see that the entire sales team achieved the same rating, which for 13 people within the department is unlikely, especially as this was the same result over 2 quarters.  If an effective performance calibration exercise had been completed, where managers complete performance appraisals and provide ratings, comparing against peers, it is likely we would see a bell curve within that one team.  Whilst a bell curve method is questionable in current working environments, there is fact in that throughout a department you are likely to see peaks and troughs of performance.  There is also suggestion (Armstrong, 2017) that sales staff are more likely to be eligible for bonuses on the grounds that generating sales are key contributors to the performance of the company.  The experience and understanding of the process of assigning ratings by the Sales Team manager would be called into question.</w:t>
      </w:r>
    </w:p>
    <w:p w14:paraId="3B735481" w14:textId="77777777" w:rsidR="000B41DE" w:rsidRPr="000B41DE" w:rsidRDefault="000B41DE" w:rsidP="00671204">
      <w:pPr>
        <w:jc w:val="both"/>
      </w:pPr>
      <w:r w:rsidRPr="000B41DE">
        <w:t>Bonus schemes are wildly used within organisations as a means to motivate and increase performance (CIPD 2019), to only be receiving a bonus for outstanding performance over meets is highly demotivating, and the bonus structure of this company is in question, with a recommendation that a tiered approach to bonus is considered such as a lower percentage bonus being given to employees who meet objectives and a higher to those who exceed.</w:t>
      </w:r>
    </w:p>
    <w:p w14:paraId="527DA511" w14:textId="77777777" w:rsidR="000B41DE" w:rsidRPr="000B41DE" w:rsidRDefault="000B41DE" w:rsidP="00671204">
      <w:pPr>
        <w:jc w:val="both"/>
      </w:pPr>
      <w:r w:rsidRPr="000B41DE">
        <w:t xml:space="preserve">There are several questions that have arisen from the data provided which would be up for debate.  There are 2 agents who were underperforming in Q1 and moved to exceeding performance in Q2. Whilst effective performance management would have a positive impact on ratings, it would be expected that it would take more than 3 months to turn performance around to that extent and it would be expected that there would be sufficient written evidence to support how a turnaround of this extent had been achieved, for example monthly 1:1’s, personal development plans etc.  </w:t>
      </w:r>
    </w:p>
    <w:p w14:paraId="39324C9A" w14:textId="67527748" w:rsidR="000B41DE" w:rsidRPr="000B41DE" w:rsidRDefault="000B41DE" w:rsidP="00671204">
      <w:pPr>
        <w:jc w:val="both"/>
      </w:pPr>
      <w:r w:rsidRPr="000B41DE">
        <w:t xml:space="preserve">Accurate data is key when trying to analyse performance MI and there are some inaccurate recordings that would need to be corrected in order to give accurate </w:t>
      </w:r>
      <w:r w:rsidR="00F10A1C" w:rsidRPr="000B41DE">
        <w:t>analysis</w:t>
      </w:r>
      <w:r w:rsidRPr="000B41DE">
        <w:t xml:space="preserve">, for example, there is an employee within the administration department that is absent in Q1, however neither recorded as absent </w:t>
      </w:r>
      <w:proofErr w:type="gramStart"/>
      <w:r w:rsidRPr="000B41DE">
        <w:t>or</w:t>
      </w:r>
      <w:proofErr w:type="gramEnd"/>
      <w:r w:rsidRPr="000B41DE">
        <w:t xml:space="preserve"> rated within Q2.  There is also a job role within the </w:t>
      </w:r>
      <w:r w:rsidR="00F10A1C" w:rsidRPr="000B41DE">
        <w:t>organisation</w:t>
      </w:r>
      <w:r w:rsidRPr="000B41DE">
        <w:t xml:space="preserve"> that would benefit from a review of absence, as the only 2 staff doing that role are both recorded as absent for Q2 (Warehousing and Storage within </w:t>
      </w:r>
      <w:proofErr w:type="gramStart"/>
      <w:r w:rsidRPr="000B41DE">
        <w:t>Logistics )</w:t>
      </w:r>
      <w:proofErr w:type="gramEnd"/>
      <w:r w:rsidRPr="000B41DE">
        <w:t>, and there could be a pattern or trend as to why both these individuals are absent.</w:t>
      </w:r>
    </w:p>
    <w:p w14:paraId="220F1FB7" w14:textId="77777777" w:rsidR="000B41DE" w:rsidRPr="000B41DE" w:rsidRDefault="000B41DE" w:rsidP="00671204">
      <w:pPr>
        <w:jc w:val="both"/>
      </w:pPr>
      <w:r w:rsidRPr="000B41DE">
        <w:t>2.3</w:t>
      </w:r>
    </w:p>
    <w:p w14:paraId="3940722B" w14:textId="77777777" w:rsidR="000B41DE" w:rsidRPr="000B41DE" w:rsidRDefault="000B41DE" w:rsidP="00671204">
      <w:pPr>
        <w:jc w:val="both"/>
      </w:pPr>
      <w:r w:rsidRPr="000B41DE">
        <w:t xml:space="preserve">There are several </w:t>
      </w:r>
      <w:proofErr w:type="gramStart"/>
      <w:r w:rsidRPr="000B41DE">
        <w:t>key</w:t>
      </w:r>
      <w:proofErr w:type="gramEnd"/>
      <w:r w:rsidRPr="000B41DE">
        <w:t xml:space="preserve"> stand out results from the Managers survey.  88% of those who completed the survey had not received training </w:t>
      </w:r>
      <w:proofErr w:type="gramStart"/>
      <w:r w:rsidRPr="000B41DE">
        <w:t>in order to</w:t>
      </w:r>
      <w:proofErr w:type="gramEnd"/>
      <w:r w:rsidRPr="000B41DE">
        <w:t xml:space="preserve"> undertake appraisals, and whilst 52% of managers agreed that they felt strongly or agreed that they were confident in completing appraisals, 48% on them disagreed or strongly disagreed.  37% of managers did not feel they were good at challenging underperformance and 62% of managers disagreed that they were good at providing feedback and setting performance targets</w:t>
      </w:r>
    </w:p>
    <w:p w14:paraId="7868A86B" w14:textId="18CC56CE" w:rsidR="000B41DE" w:rsidRPr="000B41DE" w:rsidRDefault="000B41DE" w:rsidP="00671204">
      <w:pPr>
        <w:jc w:val="both"/>
      </w:pPr>
      <w:r w:rsidRPr="000B41DE">
        <w:t>The only areas where significantly more managers agreed tha</w:t>
      </w:r>
      <w:r w:rsidR="00EB15ED">
        <w:t>n</w:t>
      </w:r>
      <w:r w:rsidRPr="000B41DE">
        <w:t xml:space="preserve"> disagreed, was allowing staff time to prepare, applying ratings to appraisals, and being able to assess performance fairly.  The data suggests that the administration side of conducting reviews is a strength, </w:t>
      </w:r>
      <w:proofErr w:type="spellStart"/>
      <w:r w:rsidRPr="000B41DE">
        <w:t>where as</w:t>
      </w:r>
      <w:proofErr w:type="spellEnd"/>
      <w:r w:rsidRPr="000B41DE">
        <w:t xml:space="preserve"> the communicating or having challenging conversations was not.  The data also raises questions as to how managers could be </w:t>
      </w:r>
      <w:r w:rsidRPr="000B41DE">
        <w:lastRenderedPageBreak/>
        <w:t xml:space="preserve">confident in any area of question, when only 12%, 6 managers out of </w:t>
      </w:r>
      <w:proofErr w:type="gramStart"/>
      <w:r w:rsidRPr="000B41DE">
        <w:t>50,  had</w:t>
      </w:r>
      <w:proofErr w:type="gramEnd"/>
      <w:r w:rsidRPr="000B41DE">
        <w:t xml:space="preserve"> received any form of training.</w:t>
      </w:r>
    </w:p>
    <w:p w14:paraId="6212180A" w14:textId="722ADF4B" w:rsidR="000B41DE" w:rsidRPr="000B41DE" w:rsidRDefault="000B41DE" w:rsidP="00671204">
      <w:pPr>
        <w:jc w:val="both"/>
      </w:pPr>
      <w:r w:rsidRPr="000B41DE">
        <w:t xml:space="preserve">A report published by CIPD (2023) stated the single largest improvement in employee outcomes would result from better people management.  The observations from the </w:t>
      </w:r>
      <w:proofErr w:type="spellStart"/>
      <w:r w:rsidRPr="000B41DE">
        <w:t>managers</w:t>
      </w:r>
      <w:proofErr w:type="spellEnd"/>
      <w:r w:rsidRPr="000B41DE">
        <w:t xml:space="preserve"> survey support that the organisation has let down both the managers by not providing adequate training, but also has a </w:t>
      </w:r>
      <w:proofErr w:type="gramStart"/>
      <w:r w:rsidRPr="000B41DE">
        <w:t>knock on</w:t>
      </w:r>
      <w:proofErr w:type="gramEnd"/>
      <w:r w:rsidRPr="000B41DE">
        <w:t xml:space="preserve"> effect to its employees.  Whilst the organisation has opened itself up to risk of allowing its managers to be leading employees whilst not suitably trained, it is also a failure of the managers for potentially not asking for suitable training. </w:t>
      </w:r>
      <w:proofErr w:type="gramStart"/>
      <w:r w:rsidRPr="000B41DE">
        <w:t>Furthermore</w:t>
      </w:r>
      <w:proofErr w:type="gramEnd"/>
      <w:r w:rsidRPr="000B41DE">
        <w:t xml:space="preserve"> there is a direct link to appraisal and feedback to productivity with the same CIPD (2023) report stating: Appraisal training and manager training were all associated with a more positive productivity rating, as were all five of the employee health and wellbeing practices covered. Broader aspects of managing productivity – talking about it, measuring it – also had a positive effect on the productivity rating.</w:t>
      </w:r>
    </w:p>
    <w:p w14:paraId="6B312B8B" w14:textId="242E1E8C" w:rsidR="000B41DE" w:rsidRPr="000B41DE" w:rsidRDefault="000B41DE" w:rsidP="00671204">
      <w:pPr>
        <w:jc w:val="both"/>
      </w:pPr>
      <w:r w:rsidRPr="000B41DE">
        <w:t xml:space="preserve">The staff survey results find the strongest negative opinion to be around providing clear and direct guidance and having ideas listened to when presented by employees, which is in direct correlation to managers not having had training, and not being confident at providing feedback and setting performance </w:t>
      </w:r>
      <w:proofErr w:type="gramStart"/>
      <w:r w:rsidRPr="000B41DE">
        <w:t>targets .</w:t>
      </w:r>
      <w:proofErr w:type="gramEnd"/>
      <w:r w:rsidRPr="000B41DE">
        <w:t xml:space="preserve"> It is also worth noting that the staff survey had more passive responses, with few staff either strongly agreeing or disagreeing to questions asked, </w:t>
      </w:r>
      <w:proofErr w:type="gramStart"/>
      <w:r w:rsidRPr="000B41DE">
        <w:t>with the exception of</w:t>
      </w:r>
      <w:proofErr w:type="gramEnd"/>
      <w:r w:rsidRPr="000B41DE">
        <w:t xml:space="preserve"> providing constructive feedback where all responses were similar.</w:t>
      </w:r>
    </w:p>
    <w:p w14:paraId="5860739F" w14:textId="00129A75" w:rsidR="000B41DE" w:rsidRPr="000B41DE" w:rsidRDefault="000B41DE" w:rsidP="00671204">
      <w:pPr>
        <w:jc w:val="both"/>
      </w:pPr>
      <w:r w:rsidRPr="000B41DE">
        <w:t>Based on the above findings, there are 2 suggested training aspects that need to be considered.  Initially all managers need to be trained on how to prepare for and conduct an appraisal, including setting performance targets.  Further training to managers on having challenging conversations and providing feedback would also be beneficial, including soft skills</w:t>
      </w:r>
      <w:r w:rsidR="00AE6D10">
        <w:t>, use of SMART for setting goals</w:t>
      </w:r>
      <w:r w:rsidR="002E7980">
        <w:t xml:space="preserve"> etc</w:t>
      </w:r>
      <w:r w:rsidRPr="000B41DE">
        <w:t xml:space="preserve">, however this should be tailored to the level of current confidence and expertise. There are several styles of learning that could be considered.  Coaching by either an experienced colleague or line manager, to develop skills and levels of confidence, action learning, where role plays of </w:t>
      </w:r>
      <w:proofErr w:type="gramStart"/>
      <w:r w:rsidRPr="000B41DE">
        <w:t>real life</w:t>
      </w:r>
      <w:proofErr w:type="gramEnd"/>
      <w:r w:rsidRPr="000B41DE">
        <w:t xml:space="preserve"> appraisals could be ‘walked’ through, or observations or actual appraisals taking place, and training by means of courses and e-learnings, both internal to the organisation or external through websites such as CIPD and Indeed.</w:t>
      </w:r>
    </w:p>
    <w:p w14:paraId="07408BFB" w14:textId="1C5C2DAE" w:rsidR="001D499C" w:rsidRDefault="000B41DE" w:rsidP="00671204">
      <w:pPr>
        <w:jc w:val="both"/>
      </w:pPr>
      <w:r w:rsidRPr="000B41DE">
        <w:t xml:space="preserve">The majority of this training </w:t>
      </w:r>
      <w:r w:rsidR="00C53933">
        <w:t>can be</w:t>
      </w:r>
      <w:r w:rsidRPr="000B41DE">
        <w:t xml:space="preserve"> encompassed in the </w:t>
      </w:r>
      <w:proofErr w:type="gramStart"/>
      <w:r w:rsidRPr="000B41DE">
        <w:t>day to day</w:t>
      </w:r>
      <w:proofErr w:type="gramEnd"/>
      <w:r w:rsidRPr="000B41DE">
        <w:t xml:space="preserve"> role, through practice, 1:1’s, coaching slots and mandatory learning time, with very little time or financial cost to the organisation, however </w:t>
      </w:r>
      <w:r w:rsidR="00B93D11">
        <w:t xml:space="preserve">investing </w:t>
      </w:r>
      <w:r w:rsidR="00C53933">
        <w:t>i</w:t>
      </w:r>
      <w:r w:rsidR="00B93D11">
        <w:t xml:space="preserve">n the 2 </w:t>
      </w:r>
      <w:r w:rsidR="00501D4A">
        <w:t>suggested areas</w:t>
      </w:r>
      <w:r w:rsidR="00B93D11">
        <w:t xml:space="preserve"> of training would result in a </w:t>
      </w:r>
      <w:r w:rsidRPr="000B41DE">
        <w:t>more engaged and productive workforce</w:t>
      </w:r>
      <w:r w:rsidR="00C53933">
        <w:t>.</w:t>
      </w:r>
    </w:p>
    <w:p w14:paraId="17513CC3" w14:textId="77777777" w:rsidR="001D499C" w:rsidRDefault="001D499C">
      <w:r>
        <w:br w:type="page"/>
      </w:r>
    </w:p>
    <w:p w14:paraId="15EA5626" w14:textId="77777777" w:rsidR="00EC7CD9" w:rsidRDefault="00EC7CD9" w:rsidP="00EC7CD9">
      <w:r>
        <w:lastRenderedPageBreak/>
        <w:t>Bibliography</w:t>
      </w:r>
    </w:p>
    <w:p w14:paraId="59F7AAD9" w14:textId="77777777" w:rsidR="00EC7CD9" w:rsidRPr="00837213" w:rsidRDefault="00EC7CD9" w:rsidP="00EC7CD9">
      <w:pPr>
        <w:jc w:val="both"/>
      </w:pPr>
      <w:r w:rsidRPr="00837213">
        <w:t xml:space="preserve">ACAS, 2019. </w:t>
      </w:r>
      <w:r w:rsidRPr="00837213">
        <w:rPr>
          <w:i/>
          <w:iCs/>
        </w:rPr>
        <w:t>Conducting Workplace Investigations</w:t>
      </w:r>
      <w:r w:rsidRPr="00837213">
        <w:t>. ACAS Guidance, June 2019.</w:t>
      </w:r>
    </w:p>
    <w:p w14:paraId="0D6225C5" w14:textId="77777777" w:rsidR="00EC7CD9" w:rsidRPr="00837213" w:rsidRDefault="00EC7CD9" w:rsidP="00EC7CD9">
      <w:pPr>
        <w:jc w:val="both"/>
      </w:pPr>
      <w:r w:rsidRPr="00837213">
        <w:t xml:space="preserve">Armstrong, M., 2017. </w:t>
      </w:r>
      <w:r w:rsidRPr="00837213">
        <w:rPr>
          <w:i/>
          <w:iCs/>
        </w:rPr>
        <w:t>Armstrong’s Handbook of Human Resource Management Practice</w:t>
      </w:r>
      <w:r w:rsidRPr="00837213">
        <w:t>. 14th ed. London: Kogan Page.</w:t>
      </w:r>
    </w:p>
    <w:p w14:paraId="094FAF5E" w14:textId="77777777" w:rsidR="00EC7CD9" w:rsidRPr="00837213" w:rsidRDefault="00EC7CD9" w:rsidP="00EC7CD9">
      <w:pPr>
        <w:jc w:val="both"/>
      </w:pPr>
      <w:r w:rsidRPr="00837213">
        <w:t xml:space="preserve">Becker, B.E. and Gerhart, B., 1996. The impact of human resource management on organisational performance: Progress and prospects. </w:t>
      </w:r>
      <w:r w:rsidRPr="00837213">
        <w:rPr>
          <w:i/>
          <w:iCs/>
        </w:rPr>
        <w:t>Academy of Management Journal</w:t>
      </w:r>
      <w:r w:rsidRPr="00837213">
        <w:t>, 39(4), pp. 59-75.</w:t>
      </w:r>
    </w:p>
    <w:p w14:paraId="5107507C" w14:textId="77777777" w:rsidR="00EC7CD9" w:rsidRDefault="00EC7CD9" w:rsidP="00EC7CD9">
      <w:pPr>
        <w:jc w:val="both"/>
      </w:pPr>
      <w:r w:rsidRPr="00837213">
        <w:t xml:space="preserve">Boxall, P.F., Purcell, J. and Wright, P., 2007. Human resource management: Scope, analysis and significance. In: P. Boxall, J. Purcell and P. Wright, eds. </w:t>
      </w:r>
      <w:r w:rsidRPr="00837213">
        <w:rPr>
          <w:i/>
          <w:iCs/>
        </w:rPr>
        <w:t>The Oxford Handbook of Human Resource Management</w:t>
      </w:r>
      <w:r w:rsidRPr="00837213">
        <w:t>. Oxford: Oxford University Press, pp. 1-18.</w:t>
      </w:r>
    </w:p>
    <w:p w14:paraId="20A78CC0" w14:textId="77777777" w:rsidR="00EC7CD9" w:rsidRPr="00837213" w:rsidRDefault="00EC7CD9" w:rsidP="00EC7CD9">
      <w:pPr>
        <w:jc w:val="both"/>
      </w:pPr>
      <w:r w:rsidRPr="00837213">
        <w:t xml:space="preserve">Briner, R.B., Denyer, D. and Rousseau, D.M., 2009. Evidence-based management: Concept cleanup time? </w:t>
      </w:r>
      <w:r w:rsidRPr="00837213">
        <w:rPr>
          <w:i/>
          <w:iCs/>
        </w:rPr>
        <w:t>Academy of Management Perspectives</w:t>
      </w:r>
      <w:r w:rsidRPr="00837213">
        <w:t>, September, pp. 19-32.</w:t>
      </w:r>
    </w:p>
    <w:p w14:paraId="56CF6436" w14:textId="77777777" w:rsidR="00EC7CD9" w:rsidRDefault="00EC7CD9" w:rsidP="00EC7CD9">
      <w:pPr>
        <w:jc w:val="both"/>
      </w:pPr>
      <w:r w:rsidRPr="00837213">
        <w:t xml:space="preserve">Cappelli, P. and Crocker-Hefter, A., 1996. Distinctive human resources are firms' core competencies. </w:t>
      </w:r>
      <w:r w:rsidRPr="00837213">
        <w:rPr>
          <w:i/>
          <w:iCs/>
        </w:rPr>
        <w:t>Organisational Dynamics</w:t>
      </w:r>
      <w:r w:rsidRPr="00837213">
        <w:t>, Winter, pp. 7-22.</w:t>
      </w:r>
    </w:p>
    <w:p w14:paraId="6D4449E0" w14:textId="77777777" w:rsidR="00EC7CD9" w:rsidRPr="00837213" w:rsidRDefault="00EC7CD9" w:rsidP="00EC7CD9">
      <w:pPr>
        <w:jc w:val="both"/>
      </w:pPr>
      <w:r w:rsidRPr="00837213">
        <w:t xml:space="preserve">CIPD, 2019. Podcast 154: Critical thinking. [Podcast] CIPD Podcasts. Available at: </w:t>
      </w:r>
      <w:hyperlink r:id="rId27" w:anchor="gref" w:tgtFrame="_new" w:history="1">
        <w:r w:rsidRPr="00837213">
          <w:rPr>
            <w:rStyle w:val="Hyperlink"/>
          </w:rPr>
          <w:t>https://www.cipd.co.uk/podcasts/critical-thinking#gref</w:t>
        </w:r>
      </w:hyperlink>
      <w:r w:rsidRPr="00837213">
        <w:t xml:space="preserve"> [Accessed 18 November 2024]. Archived at: </w:t>
      </w:r>
      <w:hyperlink r:id="rId28" w:tgtFrame="_new" w:history="1">
        <w:r w:rsidRPr="00837213">
          <w:rPr>
            <w:rStyle w:val="Hyperlink"/>
          </w:rPr>
          <w:t>https://perma.cc/X8K4-SCR7</w:t>
        </w:r>
      </w:hyperlink>
      <w:r w:rsidRPr="00837213">
        <w:t>.</w:t>
      </w:r>
    </w:p>
    <w:p w14:paraId="6FD3038B" w14:textId="77777777" w:rsidR="00EC7CD9" w:rsidRDefault="00EC7CD9" w:rsidP="00EC7CD9">
      <w:pPr>
        <w:jc w:val="both"/>
      </w:pPr>
      <w:r w:rsidRPr="00837213">
        <w:t xml:space="preserve">CIPD, 2024. </w:t>
      </w:r>
      <w:r w:rsidRPr="00837213">
        <w:rPr>
          <w:i/>
          <w:iCs/>
        </w:rPr>
        <w:t>Discipline and Grievance Procedures: UK Employment Law</w:t>
      </w:r>
      <w:r w:rsidRPr="00837213">
        <w:t>. CIPD Factsheet, February 2024.</w:t>
      </w:r>
    </w:p>
    <w:p w14:paraId="0D3BDE5D" w14:textId="77777777" w:rsidR="00EC7CD9" w:rsidRDefault="00EC7CD9" w:rsidP="00EC7CD9">
      <w:pPr>
        <w:jc w:val="both"/>
      </w:pPr>
      <w:r w:rsidRPr="00837213">
        <w:t xml:space="preserve">CIPD, 2015. </w:t>
      </w:r>
      <w:r w:rsidRPr="00837213">
        <w:rPr>
          <w:i/>
          <w:iCs/>
        </w:rPr>
        <w:t>Ethical Decision-Making: Eight Perspectives on Workplace Dilemmas</w:t>
      </w:r>
      <w:r w:rsidRPr="00837213">
        <w:t>. CIPD Research Report 2015.</w:t>
      </w:r>
    </w:p>
    <w:p w14:paraId="4CCE5ACB" w14:textId="77777777" w:rsidR="00EC7CD9" w:rsidRDefault="00EC7CD9" w:rsidP="00EC7CD9">
      <w:pPr>
        <w:jc w:val="both"/>
      </w:pPr>
      <w:r w:rsidRPr="00837213">
        <w:t xml:space="preserve">CIPD, 2021a. </w:t>
      </w:r>
      <w:r w:rsidRPr="00837213">
        <w:rPr>
          <w:i/>
          <w:iCs/>
        </w:rPr>
        <w:t>Resourcing and Talent Planning Survey</w:t>
      </w:r>
      <w:r w:rsidRPr="00837213">
        <w:t xml:space="preserve">. Available at: https://www.cipd.co.uk/knowledge/strategy/resourcing/surveys [Accessed 18 November 2024]. Archived at: </w:t>
      </w:r>
      <w:hyperlink r:id="rId29" w:tgtFrame="_new" w:history="1">
        <w:r w:rsidRPr="00837213">
          <w:rPr>
            <w:rStyle w:val="Hyperlink"/>
          </w:rPr>
          <w:t>https://perma.cc/9Z7U-C26T</w:t>
        </w:r>
      </w:hyperlink>
      <w:r w:rsidRPr="00837213">
        <w:t>.</w:t>
      </w:r>
    </w:p>
    <w:p w14:paraId="237E02C0" w14:textId="77777777" w:rsidR="00EC7CD9" w:rsidRDefault="00EC7CD9" w:rsidP="00EC7CD9">
      <w:pPr>
        <w:jc w:val="both"/>
      </w:pPr>
      <w:r>
        <w:t xml:space="preserve">CIPD, 2021a. Strategic Reward and Total Reward Management factsheet, </w:t>
      </w:r>
      <w:hyperlink r:id="rId30" w:history="1">
        <w:r w:rsidRPr="00F32714">
          <w:rPr>
            <w:rStyle w:val="Hyperlink"/>
          </w:rPr>
          <w:t>https://www.cipd.co.uk/knowledge/strategy/reward/strategic-total-factsheet</w:t>
        </w:r>
      </w:hyperlink>
      <w:r>
        <w:t xml:space="preserve"> (Archived at https//perma.cc/S6MT-QVAX)</w:t>
      </w:r>
    </w:p>
    <w:p w14:paraId="343C53E5" w14:textId="77777777" w:rsidR="00EC7CD9" w:rsidRPr="00837213" w:rsidRDefault="00EC7CD9" w:rsidP="00EC7CD9">
      <w:pPr>
        <w:jc w:val="both"/>
      </w:pPr>
      <w:r w:rsidRPr="00837213">
        <w:t xml:space="preserve">CIPD, 2015. </w:t>
      </w:r>
      <w:r w:rsidRPr="00837213">
        <w:rPr>
          <w:i/>
          <w:iCs/>
        </w:rPr>
        <w:t>Survey of Absence Management</w:t>
      </w:r>
      <w:r w:rsidRPr="00837213">
        <w:t xml:space="preserve">. [online] Available at: </w:t>
      </w:r>
      <w:hyperlink r:id="rId31" w:tgtFrame="_new" w:history="1">
        <w:r w:rsidRPr="00837213">
          <w:rPr>
            <w:rStyle w:val="Hyperlink"/>
          </w:rPr>
          <w:t>http://www.cipd.co.uk/hr-resources/survey-reports/absence-management-2015.aspx</w:t>
        </w:r>
      </w:hyperlink>
      <w:r w:rsidRPr="00837213">
        <w:t xml:space="preserve"> [Accessed 27 October 2015].</w:t>
      </w:r>
    </w:p>
    <w:p w14:paraId="096B515C" w14:textId="77777777" w:rsidR="00EC7CD9" w:rsidRDefault="00EC7CD9" w:rsidP="00EC7CD9">
      <w:pPr>
        <w:jc w:val="both"/>
      </w:pPr>
      <w:r w:rsidRPr="00837213">
        <w:t xml:space="preserve">Cotterell, S., 2023. </w:t>
      </w:r>
      <w:r w:rsidRPr="00837213">
        <w:rPr>
          <w:i/>
          <w:iCs/>
        </w:rPr>
        <w:t>Critical Thinking Skills: Effective Analysis, Argument and Reflection</w:t>
      </w:r>
      <w:r w:rsidRPr="00837213">
        <w:t>. 4th ed. London: Bloomsbury.</w:t>
      </w:r>
    </w:p>
    <w:p w14:paraId="751CEFBD" w14:textId="77777777" w:rsidR="00EC7CD9" w:rsidRPr="00837213" w:rsidRDefault="00EC7CD9" w:rsidP="00EC7CD9">
      <w:pPr>
        <w:jc w:val="both"/>
      </w:pPr>
      <w:r w:rsidRPr="00837213">
        <w:t xml:space="preserve">De Bono, E., 2000. </w:t>
      </w:r>
      <w:r w:rsidRPr="00837213">
        <w:rPr>
          <w:i/>
          <w:iCs/>
        </w:rPr>
        <w:t>Six Thinking Hats</w:t>
      </w:r>
      <w:r w:rsidRPr="00837213">
        <w:t>. 3rd ed. London: Penguin.</w:t>
      </w:r>
    </w:p>
    <w:p w14:paraId="72262423" w14:textId="77777777" w:rsidR="00EC7CD9" w:rsidRDefault="00EC7CD9" w:rsidP="00EC7CD9">
      <w:pPr>
        <w:jc w:val="both"/>
      </w:pPr>
      <w:r w:rsidRPr="00837213">
        <w:t xml:space="preserve">De Bono, E., 2014. </w:t>
      </w:r>
      <w:r w:rsidRPr="00837213">
        <w:rPr>
          <w:i/>
          <w:iCs/>
        </w:rPr>
        <w:t>Lateral Thinking: An Introduction</w:t>
      </w:r>
      <w:r w:rsidRPr="00837213">
        <w:t>. 1st ed. London: Vermilion.</w:t>
      </w:r>
    </w:p>
    <w:p w14:paraId="3C4543EF" w14:textId="77777777" w:rsidR="00EC7CD9" w:rsidRDefault="00EC7CD9" w:rsidP="00EC7CD9">
      <w:pPr>
        <w:jc w:val="both"/>
      </w:pPr>
      <w:r w:rsidRPr="00837213">
        <w:t>Diamond, A., Walkley, L., Forbes, P., Hughes, T. and Sheen, J., 2011. Global graduates into global leaders. Paper presented at the Association of Graduate Recruiters, The Council for Industry and Higher Education and CFE Research and Consulting. London: CFE.</w:t>
      </w:r>
    </w:p>
    <w:p w14:paraId="484BECFC" w14:textId="77777777" w:rsidR="00EC7CD9" w:rsidRPr="00837213" w:rsidRDefault="00EC7CD9" w:rsidP="00EC7CD9">
      <w:pPr>
        <w:jc w:val="both"/>
      </w:pPr>
      <w:r w:rsidRPr="00837213">
        <w:rPr>
          <w:i/>
          <w:iCs/>
        </w:rPr>
        <w:t>Financial Times</w:t>
      </w:r>
      <w:r w:rsidRPr="00837213">
        <w:t xml:space="preserve">, 24 May 2006. Extract from </w:t>
      </w:r>
      <w:r w:rsidRPr="00837213">
        <w:rPr>
          <w:i/>
          <w:iCs/>
        </w:rPr>
        <w:t>When Misuse Leads to Failure</w:t>
      </w:r>
      <w:r w:rsidRPr="00837213">
        <w:t>. Harvard Business School Online.</w:t>
      </w:r>
    </w:p>
    <w:p w14:paraId="23CF4C20" w14:textId="77777777" w:rsidR="00EC7CD9" w:rsidRDefault="00EC7CD9" w:rsidP="00EC7CD9">
      <w:pPr>
        <w:jc w:val="both"/>
      </w:pPr>
      <w:r w:rsidRPr="00837213">
        <w:lastRenderedPageBreak/>
        <w:t xml:space="preserve">Handy, C., 2016. </w:t>
      </w:r>
      <w:r w:rsidRPr="00837213">
        <w:rPr>
          <w:i/>
          <w:iCs/>
        </w:rPr>
        <w:t>The Glass Towers</w:t>
      </w:r>
      <w:r w:rsidRPr="00837213">
        <w:t>. Governance and Compliance, March, pp. 12-13.</w:t>
      </w:r>
    </w:p>
    <w:p w14:paraId="62A83387" w14:textId="77777777" w:rsidR="00EC7CD9" w:rsidRPr="00837213" w:rsidRDefault="00EC7CD9" w:rsidP="00EC7CD9">
      <w:pPr>
        <w:jc w:val="both"/>
      </w:pPr>
      <w:r w:rsidRPr="00837213">
        <w:t>Is ‘best practice’ holding you back? HR Magazine, 2021, Hannah Gifford.</w:t>
      </w:r>
    </w:p>
    <w:p w14:paraId="69CD9BF4" w14:textId="77777777" w:rsidR="00EC7CD9" w:rsidRDefault="00EC7CD9" w:rsidP="00EC7CD9">
      <w:pPr>
        <w:jc w:val="both"/>
      </w:pPr>
      <w:r w:rsidRPr="00837213">
        <w:t xml:space="preserve">Jones, M., 2006. </w:t>
      </w:r>
      <w:r w:rsidRPr="00837213">
        <w:rPr>
          <w:i/>
          <w:iCs/>
        </w:rPr>
        <w:t>Accounting</w:t>
      </w:r>
      <w:r w:rsidRPr="00837213">
        <w:t>. 2nd ed. England: Wiley.</w:t>
      </w:r>
    </w:p>
    <w:p w14:paraId="0FE4DEA6" w14:textId="77777777" w:rsidR="00EC7CD9" w:rsidRPr="00837213" w:rsidRDefault="00EC7CD9" w:rsidP="00EC7CD9">
      <w:pPr>
        <w:jc w:val="both"/>
      </w:pPr>
      <w:r w:rsidRPr="00837213">
        <w:t xml:space="preserve">Mullins, L.J., 2013. </w:t>
      </w:r>
      <w:r w:rsidRPr="00837213">
        <w:rPr>
          <w:i/>
          <w:iCs/>
        </w:rPr>
        <w:t>Management &amp; Organisational Behaviour</w:t>
      </w:r>
      <w:r w:rsidRPr="00837213">
        <w:t>. 13th ed. Harlow: Pearson Education Limited.</w:t>
      </w:r>
    </w:p>
    <w:p w14:paraId="5A3E3535" w14:textId="77777777" w:rsidR="00EC7CD9" w:rsidRPr="00837213" w:rsidRDefault="00EC7CD9" w:rsidP="00EC7CD9">
      <w:pPr>
        <w:jc w:val="both"/>
      </w:pPr>
      <w:r w:rsidRPr="00837213">
        <w:t xml:space="preserve">Pfeffer, J., 1998. </w:t>
      </w:r>
      <w:r w:rsidRPr="00837213">
        <w:rPr>
          <w:i/>
          <w:iCs/>
        </w:rPr>
        <w:t>The Human Equation</w:t>
      </w:r>
      <w:r w:rsidRPr="00837213">
        <w:t>. Boston, MA: Harvard Business School Press.</w:t>
      </w:r>
    </w:p>
    <w:p w14:paraId="1F8C2738" w14:textId="77777777" w:rsidR="00EC7CD9" w:rsidRDefault="00EC7CD9" w:rsidP="00EC7CD9">
      <w:pPr>
        <w:jc w:val="both"/>
      </w:pPr>
      <w:r>
        <w:t>R</w:t>
      </w:r>
      <w:r w:rsidRPr="00837213">
        <w:t xml:space="preserve">ousseau, E.P.B., Rousseau, D.M. and Barends, E.G., 2011. Becoming an evidence-based HR practitioner. </w:t>
      </w:r>
      <w:r w:rsidRPr="00837213">
        <w:rPr>
          <w:i/>
          <w:iCs/>
        </w:rPr>
        <w:t>Human Resource Management Journal</w:t>
      </w:r>
      <w:r w:rsidRPr="00837213">
        <w:t>, 21(3), pp. 221-235.</w:t>
      </w:r>
    </w:p>
    <w:p w14:paraId="5EC95793" w14:textId="77777777" w:rsidR="00EC7CD9" w:rsidRDefault="00EC7CD9" w:rsidP="00EC7CD9">
      <w:pPr>
        <w:jc w:val="both"/>
      </w:pPr>
      <w:r w:rsidRPr="00837213">
        <w:t xml:space="preserve">Schneider, B., 1987. The people make the place. </w:t>
      </w:r>
      <w:r w:rsidRPr="00837213">
        <w:rPr>
          <w:i/>
          <w:iCs/>
        </w:rPr>
        <w:t>Personnel Psychology</w:t>
      </w:r>
      <w:r w:rsidRPr="00837213">
        <w:t>, 40(3), pp. 437-453.</w:t>
      </w:r>
    </w:p>
    <w:p w14:paraId="6D318023" w14:textId="77777777" w:rsidR="00EC7CD9" w:rsidRDefault="00EC7CD9" w:rsidP="00EC7CD9">
      <w:pPr>
        <w:jc w:val="both"/>
      </w:pPr>
      <w:r w:rsidRPr="00837213">
        <w:t xml:space="preserve">Storey, J., 2001. Human resource management today: An assessment. In: J. Storey, ed. </w:t>
      </w:r>
      <w:r w:rsidRPr="00837213">
        <w:rPr>
          <w:i/>
          <w:iCs/>
        </w:rPr>
        <w:t>Human Resource Management: A Critical Text</w:t>
      </w:r>
      <w:r w:rsidRPr="00837213">
        <w:t>. London: Thompson Learning, pp. 3-20.</w:t>
      </w:r>
    </w:p>
    <w:p w14:paraId="1F0DA179" w14:textId="77777777" w:rsidR="00EC7CD9" w:rsidRPr="00837213" w:rsidRDefault="00EC7CD9" w:rsidP="00EC7CD9">
      <w:pPr>
        <w:jc w:val="both"/>
      </w:pPr>
      <w:r w:rsidRPr="00837213">
        <w:t xml:space="preserve">Vance, R.J., 2006. </w:t>
      </w:r>
      <w:r w:rsidRPr="00837213">
        <w:rPr>
          <w:i/>
          <w:iCs/>
        </w:rPr>
        <w:t>Employee Engagement and Commitment: A Guide to Understanding, Measuring, and Increasing Engagement in Your Organisation</w:t>
      </w:r>
      <w:r w:rsidRPr="00837213">
        <w:t>. Alexandria, VA: SHRM Foundations.</w:t>
      </w:r>
    </w:p>
    <w:p w14:paraId="68F86204" w14:textId="77777777" w:rsidR="00EC7CD9" w:rsidRPr="00837213" w:rsidRDefault="00EC7CD9" w:rsidP="00EC7CD9"/>
    <w:p w14:paraId="1BD52319" w14:textId="77777777" w:rsidR="00EC7CD9" w:rsidRDefault="00EC7CD9" w:rsidP="00EC7CD9"/>
    <w:p w14:paraId="02784B2F" w14:textId="77777777" w:rsidR="001D499C" w:rsidRPr="000B41DE" w:rsidRDefault="001D499C" w:rsidP="00671204">
      <w:pPr>
        <w:jc w:val="both"/>
      </w:pPr>
    </w:p>
    <w:p w14:paraId="5246E144" w14:textId="77777777" w:rsidR="000B41DE" w:rsidRPr="000B41DE" w:rsidRDefault="000B41DE" w:rsidP="000B41DE"/>
    <w:p w14:paraId="043CD9AE" w14:textId="77777777" w:rsidR="000B41DE" w:rsidRPr="000B41DE" w:rsidRDefault="000B41DE" w:rsidP="000B41DE"/>
    <w:p w14:paraId="2D7791DF" w14:textId="77777777" w:rsidR="000B41DE" w:rsidRPr="000B41DE" w:rsidRDefault="000B41DE" w:rsidP="000B41DE"/>
    <w:p w14:paraId="000318C4" w14:textId="77777777" w:rsidR="00912973" w:rsidRDefault="00912973" w:rsidP="002E232E"/>
    <w:p w14:paraId="25F1D34F" w14:textId="77777777" w:rsidR="000269CF" w:rsidRDefault="000269CF" w:rsidP="00D32CAF"/>
    <w:sectPr w:rsidR="000269CF" w:rsidSect="0060389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9408B4" w14:textId="77777777" w:rsidR="00FD05E8" w:rsidRDefault="00FD05E8" w:rsidP="00FD05E8">
      <w:pPr>
        <w:spacing w:after="0" w:line="240" w:lineRule="auto"/>
      </w:pPr>
      <w:r>
        <w:separator/>
      </w:r>
    </w:p>
  </w:endnote>
  <w:endnote w:type="continuationSeparator" w:id="0">
    <w:p w14:paraId="363C7178" w14:textId="77777777" w:rsidR="00FD05E8" w:rsidRDefault="00FD05E8" w:rsidP="00FD05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6899E3" w14:textId="77777777" w:rsidR="00FD05E8" w:rsidRDefault="00FD05E8" w:rsidP="00FD05E8">
      <w:pPr>
        <w:spacing w:after="0" w:line="240" w:lineRule="auto"/>
      </w:pPr>
      <w:r>
        <w:separator/>
      </w:r>
    </w:p>
  </w:footnote>
  <w:footnote w:type="continuationSeparator" w:id="0">
    <w:p w14:paraId="202C4813" w14:textId="77777777" w:rsidR="00FD05E8" w:rsidRDefault="00FD05E8" w:rsidP="00FD05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9C6B08"/>
    <w:multiLevelType w:val="multilevel"/>
    <w:tmpl w:val="C3CAD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000218"/>
    <w:multiLevelType w:val="multilevel"/>
    <w:tmpl w:val="FF307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11485803">
    <w:abstractNumId w:val="1"/>
  </w:num>
  <w:num w:numId="2" w16cid:durableId="6253072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22BB"/>
    <w:rsid w:val="000035B5"/>
    <w:rsid w:val="00016BC5"/>
    <w:rsid w:val="00017A5E"/>
    <w:rsid w:val="00022D27"/>
    <w:rsid w:val="000269CF"/>
    <w:rsid w:val="000314CF"/>
    <w:rsid w:val="000316DA"/>
    <w:rsid w:val="00033593"/>
    <w:rsid w:val="000357EB"/>
    <w:rsid w:val="00042E75"/>
    <w:rsid w:val="00050DF8"/>
    <w:rsid w:val="0005460C"/>
    <w:rsid w:val="0005521A"/>
    <w:rsid w:val="00062394"/>
    <w:rsid w:val="00064F58"/>
    <w:rsid w:val="000657A0"/>
    <w:rsid w:val="0006615B"/>
    <w:rsid w:val="00067729"/>
    <w:rsid w:val="000707CA"/>
    <w:rsid w:val="00071A51"/>
    <w:rsid w:val="000728AE"/>
    <w:rsid w:val="000803C0"/>
    <w:rsid w:val="00082BD2"/>
    <w:rsid w:val="000836F1"/>
    <w:rsid w:val="00083C5E"/>
    <w:rsid w:val="0009220F"/>
    <w:rsid w:val="00093022"/>
    <w:rsid w:val="0009414C"/>
    <w:rsid w:val="000A3121"/>
    <w:rsid w:val="000A397E"/>
    <w:rsid w:val="000B29BF"/>
    <w:rsid w:val="000B3CBF"/>
    <w:rsid w:val="000B41DE"/>
    <w:rsid w:val="000B4BAD"/>
    <w:rsid w:val="000B5A13"/>
    <w:rsid w:val="000C0E0A"/>
    <w:rsid w:val="000C2C68"/>
    <w:rsid w:val="000C47E4"/>
    <w:rsid w:val="000C7391"/>
    <w:rsid w:val="000C7767"/>
    <w:rsid w:val="000C77F3"/>
    <w:rsid w:val="000C7FB4"/>
    <w:rsid w:val="000D0505"/>
    <w:rsid w:val="000D59B0"/>
    <w:rsid w:val="000E3FAF"/>
    <w:rsid w:val="000E4C83"/>
    <w:rsid w:val="000E6E2A"/>
    <w:rsid w:val="000E6F3D"/>
    <w:rsid w:val="000F0257"/>
    <w:rsid w:val="000F49F2"/>
    <w:rsid w:val="000F5907"/>
    <w:rsid w:val="000F6B64"/>
    <w:rsid w:val="001058F8"/>
    <w:rsid w:val="00106A5C"/>
    <w:rsid w:val="0010751C"/>
    <w:rsid w:val="0011181B"/>
    <w:rsid w:val="001159B7"/>
    <w:rsid w:val="00117857"/>
    <w:rsid w:val="0012303F"/>
    <w:rsid w:val="00127B53"/>
    <w:rsid w:val="00130C06"/>
    <w:rsid w:val="00133011"/>
    <w:rsid w:val="00136001"/>
    <w:rsid w:val="0014014C"/>
    <w:rsid w:val="00140885"/>
    <w:rsid w:val="001410EE"/>
    <w:rsid w:val="0014165E"/>
    <w:rsid w:val="00143A46"/>
    <w:rsid w:val="001449B2"/>
    <w:rsid w:val="001469D9"/>
    <w:rsid w:val="00146C7C"/>
    <w:rsid w:val="00146D0D"/>
    <w:rsid w:val="001470AD"/>
    <w:rsid w:val="0015147C"/>
    <w:rsid w:val="001521BB"/>
    <w:rsid w:val="001525D3"/>
    <w:rsid w:val="00162B3A"/>
    <w:rsid w:val="00163E85"/>
    <w:rsid w:val="0019035E"/>
    <w:rsid w:val="001A0314"/>
    <w:rsid w:val="001A104E"/>
    <w:rsid w:val="001A4438"/>
    <w:rsid w:val="001A59B5"/>
    <w:rsid w:val="001A656C"/>
    <w:rsid w:val="001A65BF"/>
    <w:rsid w:val="001B0AFE"/>
    <w:rsid w:val="001B4916"/>
    <w:rsid w:val="001B755A"/>
    <w:rsid w:val="001B7592"/>
    <w:rsid w:val="001C79ED"/>
    <w:rsid w:val="001D499C"/>
    <w:rsid w:val="001D7968"/>
    <w:rsid w:val="001E4DE0"/>
    <w:rsid w:val="001E6A17"/>
    <w:rsid w:val="001E6BC6"/>
    <w:rsid w:val="001F0613"/>
    <w:rsid w:val="001F0DBA"/>
    <w:rsid w:val="001F20F9"/>
    <w:rsid w:val="001F3BB7"/>
    <w:rsid w:val="002022B0"/>
    <w:rsid w:val="00203961"/>
    <w:rsid w:val="00206D57"/>
    <w:rsid w:val="00220E31"/>
    <w:rsid w:val="00221197"/>
    <w:rsid w:val="002328E7"/>
    <w:rsid w:val="002375EF"/>
    <w:rsid w:val="00241B3B"/>
    <w:rsid w:val="002422BB"/>
    <w:rsid w:val="00243969"/>
    <w:rsid w:val="002478D1"/>
    <w:rsid w:val="00250E32"/>
    <w:rsid w:val="00251ACA"/>
    <w:rsid w:val="00255668"/>
    <w:rsid w:val="00261AF6"/>
    <w:rsid w:val="00266C38"/>
    <w:rsid w:val="002711BA"/>
    <w:rsid w:val="00272BF8"/>
    <w:rsid w:val="00274B7F"/>
    <w:rsid w:val="00275DAD"/>
    <w:rsid w:val="00277696"/>
    <w:rsid w:val="0029013F"/>
    <w:rsid w:val="0029587B"/>
    <w:rsid w:val="00297D59"/>
    <w:rsid w:val="002A2D42"/>
    <w:rsid w:val="002A6509"/>
    <w:rsid w:val="002B2F54"/>
    <w:rsid w:val="002B3CBC"/>
    <w:rsid w:val="002B4054"/>
    <w:rsid w:val="002B5D98"/>
    <w:rsid w:val="002C063E"/>
    <w:rsid w:val="002C06E0"/>
    <w:rsid w:val="002C0AE7"/>
    <w:rsid w:val="002C14BD"/>
    <w:rsid w:val="002D4A54"/>
    <w:rsid w:val="002E025A"/>
    <w:rsid w:val="002E225F"/>
    <w:rsid w:val="002E232E"/>
    <w:rsid w:val="002E7980"/>
    <w:rsid w:val="002F1FDC"/>
    <w:rsid w:val="002F5307"/>
    <w:rsid w:val="002F68C5"/>
    <w:rsid w:val="002F736D"/>
    <w:rsid w:val="00303C24"/>
    <w:rsid w:val="00304859"/>
    <w:rsid w:val="00307034"/>
    <w:rsid w:val="00313D0F"/>
    <w:rsid w:val="00323383"/>
    <w:rsid w:val="00326534"/>
    <w:rsid w:val="00334814"/>
    <w:rsid w:val="00346790"/>
    <w:rsid w:val="003473E1"/>
    <w:rsid w:val="00351689"/>
    <w:rsid w:val="00351CBD"/>
    <w:rsid w:val="00357252"/>
    <w:rsid w:val="00363116"/>
    <w:rsid w:val="00364BA8"/>
    <w:rsid w:val="00365690"/>
    <w:rsid w:val="003767F9"/>
    <w:rsid w:val="003822F6"/>
    <w:rsid w:val="00382DFD"/>
    <w:rsid w:val="003838C6"/>
    <w:rsid w:val="00384C6C"/>
    <w:rsid w:val="0038623F"/>
    <w:rsid w:val="00390CCB"/>
    <w:rsid w:val="00391E9F"/>
    <w:rsid w:val="00392CEB"/>
    <w:rsid w:val="00393F47"/>
    <w:rsid w:val="003948DC"/>
    <w:rsid w:val="003A1703"/>
    <w:rsid w:val="003A6F0C"/>
    <w:rsid w:val="003B1272"/>
    <w:rsid w:val="003B14DC"/>
    <w:rsid w:val="003B3D0C"/>
    <w:rsid w:val="003B5F7A"/>
    <w:rsid w:val="003B721E"/>
    <w:rsid w:val="003C2CB1"/>
    <w:rsid w:val="003D31E7"/>
    <w:rsid w:val="003E1FAC"/>
    <w:rsid w:val="003E77D2"/>
    <w:rsid w:val="003E7C7A"/>
    <w:rsid w:val="003F166C"/>
    <w:rsid w:val="003F544E"/>
    <w:rsid w:val="003F6D29"/>
    <w:rsid w:val="00400076"/>
    <w:rsid w:val="00404C62"/>
    <w:rsid w:val="00404E73"/>
    <w:rsid w:val="0041035F"/>
    <w:rsid w:val="00411846"/>
    <w:rsid w:val="004124ED"/>
    <w:rsid w:val="00412D2B"/>
    <w:rsid w:val="0041356E"/>
    <w:rsid w:val="00415F5E"/>
    <w:rsid w:val="004172E6"/>
    <w:rsid w:val="00426B26"/>
    <w:rsid w:val="004371A4"/>
    <w:rsid w:val="0044009D"/>
    <w:rsid w:val="00442454"/>
    <w:rsid w:val="00443813"/>
    <w:rsid w:val="00443FDA"/>
    <w:rsid w:val="00446756"/>
    <w:rsid w:val="00451A36"/>
    <w:rsid w:val="0046746E"/>
    <w:rsid w:val="00470742"/>
    <w:rsid w:val="00470F7D"/>
    <w:rsid w:val="00475ACE"/>
    <w:rsid w:val="00481785"/>
    <w:rsid w:val="00483E32"/>
    <w:rsid w:val="004848A1"/>
    <w:rsid w:val="004850E0"/>
    <w:rsid w:val="004906BC"/>
    <w:rsid w:val="00490F2F"/>
    <w:rsid w:val="00494690"/>
    <w:rsid w:val="00494F1B"/>
    <w:rsid w:val="00495A02"/>
    <w:rsid w:val="004A05DB"/>
    <w:rsid w:val="004A05DF"/>
    <w:rsid w:val="004A07EF"/>
    <w:rsid w:val="004A194A"/>
    <w:rsid w:val="004A342A"/>
    <w:rsid w:val="004A5738"/>
    <w:rsid w:val="004A573A"/>
    <w:rsid w:val="004A7C30"/>
    <w:rsid w:val="004B3EB1"/>
    <w:rsid w:val="004B4911"/>
    <w:rsid w:val="004B4FEA"/>
    <w:rsid w:val="004B520A"/>
    <w:rsid w:val="004C429E"/>
    <w:rsid w:val="004C43FF"/>
    <w:rsid w:val="004C44DA"/>
    <w:rsid w:val="004C4AC8"/>
    <w:rsid w:val="004C7C44"/>
    <w:rsid w:val="004D0D65"/>
    <w:rsid w:val="004E4683"/>
    <w:rsid w:val="004E5324"/>
    <w:rsid w:val="004F0256"/>
    <w:rsid w:val="004F284A"/>
    <w:rsid w:val="004F428E"/>
    <w:rsid w:val="004F4A5A"/>
    <w:rsid w:val="00501D4A"/>
    <w:rsid w:val="00502752"/>
    <w:rsid w:val="00505BC1"/>
    <w:rsid w:val="00506962"/>
    <w:rsid w:val="00512D9C"/>
    <w:rsid w:val="00513C35"/>
    <w:rsid w:val="00516D17"/>
    <w:rsid w:val="0052257D"/>
    <w:rsid w:val="00522961"/>
    <w:rsid w:val="00526CB5"/>
    <w:rsid w:val="00532451"/>
    <w:rsid w:val="005347EB"/>
    <w:rsid w:val="0054007D"/>
    <w:rsid w:val="00542054"/>
    <w:rsid w:val="005435E2"/>
    <w:rsid w:val="005457DE"/>
    <w:rsid w:val="00546992"/>
    <w:rsid w:val="005501E3"/>
    <w:rsid w:val="00552D2B"/>
    <w:rsid w:val="005545D9"/>
    <w:rsid w:val="005566B2"/>
    <w:rsid w:val="00556CBC"/>
    <w:rsid w:val="00563238"/>
    <w:rsid w:val="00567D54"/>
    <w:rsid w:val="00567D96"/>
    <w:rsid w:val="00570D2F"/>
    <w:rsid w:val="005722BB"/>
    <w:rsid w:val="00575C05"/>
    <w:rsid w:val="005777E2"/>
    <w:rsid w:val="005801DF"/>
    <w:rsid w:val="00583847"/>
    <w:rsid w:val="005852AD"/>
    <w:rsid w:val="005865E2"/>
    <w:rsid w:val="00587EB4"/>
    <w:rsid w:val="005903A5"/>
    <w:rsid w:val="00594675"/>
    <w:rsid w:val="005A2126"/>
    <w:rsid w:val="005A558F"/>
    <w:rsid w:val="005C1170"/>
    <w:rsid w:val="005C2EF9"/>
    <w:rsid w:val="005C7175"/>
    <w:rsid w:val="005D18E5"/>
    <w:rsid w:val="005D2098"/>
    <w:rsid w:val="005D3415"/>
    <w:rsid w:val="005D409A"/>
    <w:rsid w:val="005D7293"/>
    <w:rsid w:val="005E2839"/>
    <w:rsid w:val="005E38E6"/>
    <w:rsid w:val="005E6A28"/>
    <w:rsid w:val="005F08B4"/>
    <w:rsid w:val="005F16E2"/>
    <w:rsid w:val="005F2AC9"/>
    <w:rsid w:val="005F53CD"/>
    <w:rsid w:val="005F5BED"/>
    <w:rsid w:val="005F5D1B"/>
    <w:rsid w:val="005F6084"/>
    <w:rsid w:val="005F6765"/>
    <w:rsid w:val="0060342A"/>
    <w:rsid w:val="00603897"/>
    <w:rsid w:val="00606883"/>
    <w:rsid w:val="00613DA7"/>
    <w:rsid w:val="00622116"/>
    <w:rsid w:val="00625E5F"/>
    <w:rsid w:val="0062646D"/>
    <w:rsid w:val="00626E44"/>
    <w:rsid w:val="00632EF8"/>
    <w:rsid w:val="00636819"/>
    <w:rsid w:val="006429D0"/>
    <w:rsid w:val="0065106B"/>
    <w:rsid w:val="0065106F"/>
    <w:rsid w:val="00651DA6"/>
    <w:rsid w:val="00656392"/>
    <w:rsid w:val="00663BBF"/>
    <w:rsid w:val="00664F73"/>
    <w:rsid w:val="00671204"/>
    <w:rsid w:val="00690AD5"/>
    <w:rsid w:val="006913EE"/>
    <w:rsid w:val="00691E4B"/>
    <w:rsid w:val="00693ADA"/>
    <w:rsid w:val="00696F69"/>
    <w:rsid w:val="006971F5"/>
    <w:rsid w:val="006A096C"/>
    <w:rsid w:val="006A0AB7"/>
    <w:rsid w:val="006A3F70"/>
    <w:rsid w:val="006A4F95"/>
    <w:rsid w:val="006A5710"/>
    <w:rsid w:val="006B0E0F"/>
    <w:rsid w:val="006B16BB"/>
    <w:rsid w:val="006B2487"/>
    <w:rsid w:val="006B5D23"/>
    <w:rsid w:val="006C2051"/>
    <w:rsid w:val="006D16AB"/>
    <w:rsid w:val="006D20BB"/>
    <w:rsid w:val="006D2E63"/>
    <w:rsid w:val="006D548B"/>
    <w:rsid w:val="006D6A59"/>
    <w:rsid w:val="006E16E9"/>
    <w:rsid w:val="006E1CA9"/>
    <w:rsid w:val="006E2737"/>
    <w:rsid w:val="006F4618"/>
    <w:rsid w:val="0070208A"/>
    <w:rsid w:val="00702676"/>
    <w:rsid w:val="007032B3"/>
    <w:rsid w:val="00710190"/>
    <w:rsid w:val="00712C53"/>
    <w:rsid w:val="00720DB6"/>
    <w:rsid w:val="007260D6"/>
    <w:rsid w:val="00727E37"/>
    <w:rsid w:val="0073084D"/>
    <w:rsid w:val="007311DE"/>
    <w:rsid w:val="0073196B"/>
    <w:rsid w:val="00734AA9"/>
    <w:rsid w:val="00736163"/>
    <w:rsid w:val="00742ACE"/>
    <w:rsid w:val="00744021"/>
    <w:rsid w:val="00754CDA"/>
    <w:rsid w:val="00756350"/>
    <w:rsid w:val="0076655E"/>
    <w:rsid w:val="00770E48"/>
    <w:rsid w:val="00772420"/>
    <w:rsid w:val="00772D03"/>
    <w:rsid w:val="00773986"/>
    <w:rsid w:val="0077663E"/>
    <w:rsid w:val="00776643"/>
    <w:rsid w:val="00785BD6"/>
    <w:rsid w:val="00787CC7"/>
    <w:rsid w:val="00793B46"/>
    <w:rsid w:val="007A1273"/>
    <w:rsid w:val="007A60E2"/>
    <w:rsid w:val="007A6D92"/>
    <w:rsid w:val="007B2554"/>
    <w:rsid w:val="007B442D"/>
    <w:rsid w:val="007B52F1"/>
    <w:rsid w:val="007C68CC"/>
    <w:rsid w:val="007C775F"/>
    <w:rsid w:val="007C7B7B"/>
    <w:rsid w:val="007C7F34"/>
    <w:rsid w:val="007D13C8"/>
    <w:rsid w:val="007D4D45"/>
    <w:rsid w:val="007E1006"/>
    <w:rsid w:val="007E4CD6"/>
    <w:rsid w:val="007E515F"/>
    <w:rsid w:val="007E5590"/>
    <w:rsid w:val="007E5F31"/>
    <w:rsid w:val="007F05DA"/>
    <w:rsid w:val="007F075E"/>
    <w:rsid w:val="007F2846"/>
    <w:rsid w:val="007F338F"/>
    <w:rsid w:val="007F54D0"/>
    <w:rsid w:val="00802C38"/>
    <w:rsid w:val="00804236"/>
    <w:rsid w:val="00810256"/>
    <w:rsid w:val="00814192"/>
    <w:rsid w:val="008144FA"/>
    <w:rsid w:val="00815A91"/>
    <w:rsid w:val="00824547"/>
    <w:rsid w:val="00824F1C"/>
    <w:rsid w:val="0083310D"/>
    <w:rsid w:val="00835881"/>
    <w:rsid w:val="00857969"/>
    <w:rsid w:val="00857E1A"/>
    <w:rsid w:val="00862295"/>
    <w:rsid w:val="00862ECB"/>
    <w:rsid w:val="00864CD9"/>
    <w:rsid w:val="00865477"/>
    <w:rsid w:val="00866630"/>
    <w:rsid w:val="00867172"/>
    <w:rsid w:val="00871583"/>
    <w:rsid w:val="00876963"/>
    <w:rsid w:val="00880618"/>
    <w:rsid w:val="00880F21"/>
    <w:rsid w:val="00881A21"/>
    <w:rsid w:val="00882D62"/>
    <w:rsid w:val="00883584"/>
    <w:rsid w:val="008845CE"/>
    <w:rsid w:val="008849E7"/>
    <w:rsid w:val="00886A16"/>
    <w:rsid w:val="00887E60"/>
    <w:rsid w:val="00890A51"/>
    <w:rsid w:val="00893FA8"/>
    <w:rsid w:val="00896752"/>
    <w:rsid w:val="0089766B"/>
    <w:rsid w:val="008A4BEB"/>
    <w:rsid w:val="008B0B9C"/>
    <w:rsid w:val="008B6F04"/>
    <w:rsid w:val="008B748D"/>
    <w:rsid w:val="008C1949"/>
    <w:rsid w:val="008C66D1"/>
    <w:rsid w:val="008D20D5"/>
    <w:rsid w:val="008D755A"/>
    <w:rsid w:val="008D798E"/>
    <w:rsid w:val="008D7A4B"/>
    <w:rsid w:val="008E00F8"/>
    <w:rsid w:val="008E075C"/>
    <w:rsid w:val="008E083A"/>
    <w:rsid w:val="008E5850"/>
    <w:rsid w:val="008E6E78"/>
    <w:rsid w:val="008E6FFB"/>
    <w:rsid w:val="008E7389"/>
    <w:rsid w:val="008E7E19"/>
    <w:rsid w:val="008F220B"/>
    <w:rsid w:val="008F3E13"/>
    <w:rsid w:val="008F4377"/>
    <w:rsid w:val="009017F4"/>
    <w:rsid w:val="009057C1"/>
    <w:rsid w:val="00911398"/>
    <w:rsid w:val="00911460"/>
    <w:rsid w:val="00912973"/>
    <w:rsid w:val="009154AB"/>
    <w:rsid w:val="00915791"/>
    <w:rsid w:val="0092085C"/>
    <w:rsid w:val="00921062"/>
    <w:rsid w:val="00927EC5"/>
    <w:rsid w:val="009332FF"/>
    <w:rsid w:val="009353F3"/>
    <w:rsid w:val="009419C4"/>
    <w:rsid w:val="00946975"/>
    <w:rsid w:val="009476D9"/>
    <w:rsid w:val="00947DE2"/>
    <w:rsid w:val="00956112"/>
    <w:rsid w:val="0095734E"/>
    <w:rsid w:val="009607C7"/>
    <w:rsid w:val="00961FF7"/>
    <w:rsid w:val="009631D0"/>
    <w:rsid w:val="00964A89"/>
    <w:rsid w:val="009676D9"/>
    <w:rsid w:val="00974ADE"/>
    <w:rsid w:val="00976060"/>
    <w:rsid w:val="009835E0"/>
    <w:rsid w:val="009854FF"/>
    <w:rsid w:val="009900BE"/>
    <w:rsid w:val="00997601"/>
    <w:rsid w:val="009A204D"/>
    <w:rsid w:val="009A37C2"/>
    <w:rsid w:val="009A3B5C"/>
    <w:rsid w:val="009A5A3A"/>
    <w:rsid w:val="009A7D8B"/>
    <w:rsid w:val="009B1B1C"/>
    <w:rsid w:val="009B4CC8"/>
    <w:rsid w:val="009C0C42"/>
    <w:rsid w:val="009C0C7D"/>
    <w:rsid w:val="009C10C7"/>
    <w:rsid w:val="009C2203"/>
    <w:rsid w:val="009C2F94"/>
    <w:rsid w:val="009C53A8"/>
    <w:rsid w:val="009C585A"/>
    <w:rsid w:val="009D25EE"/>
    <w:rsid w:val="009D5637"/>
    <w:rsid w:val="009D6DD5"/>
    <w:rsid w:val="009D7BC8"/>
    <w:rsid w:val="009E095F"/>
    <w:rsid w:val="009E1F1A"/>
    <w:rsid w:val="009E2BB7"/>
    <w:rsid w:val="009E3742"/>
    <w:rsid w:val="009E66BF"/>
    <w:rsid w:val="009F20B3"/>
    <w:rsid w:val="009F2967"/>
    <w:rsid w:val="009F4D96"/>
    <w:rsid w:val="00A003CE"/>
    <w:rsid w:val="00A02613"/>
    <w:rsid w:val="00A05224"/>
    <w:rsid w:val="00A0694B"/>
    <w:rsid w:val="00A06C1E"/>
    <w:rsid w:val="00A10A43"/>
    <w:rsid w:val="00A112B8"/>
    <w:rsid w:val="00A11572"/>
    <w:rsid w:val="00A14DA9"/>
    <w:rsid w:val="00A310A6"/>
    <w:rsid w:val="00A339E2"/>
    <w:rsid w:val="00A36126"/>
    <w:rsid w:val="00A364DA"/>
    <w:rsid w:val="00A37C74"/>
    <w:rsid w:val="00A40197"/>
    <w:rsid w:val="00A441F1"/>
    <w:rsid w:val="00A44E8D"/>
    <w:rsid w:val="00A454B1"/>
    <w:rsid w:val="00A47CFB"/>
    <w:rsid w:val="00A50474"/>
    <w:rsid w:val="00A53FB2"/>
    <w:rsid w:val="00A579A5"/>
    <w:rsid w:val="00A608EA"/>
    <w:rsid w:val="00A650C5"/>
    <w:rsid w:val="00A6670E"/>
    <w:rsid w:val="00A67BB8"/>
    <w:rsid w:val="00A71B1A"/>
    <w:rsid w:val="00A7777B"/>
    <w:rsid w:val="00A80A81"/>
    <w:rsid w:val="00A85159"/>
    <w:rsid w:val="00A85C1A"/>
    <w:rsid w:val="00A949E6"/>
    <w:rsid w:val="00A94C27"/>
    <w:rsid w:val="00A95CDC"/>
    <w:rsid w:val="00A96893"/>
    <w:rsid w:val="00A96F4C"/>
    <w:rsid w:val="00AA2572"/>
    <w:rsid w:val="00AA53AA"/>
    <w:rsid w:val="00AA71D1"/>
    <w:rsid w:val="00AB0AD9"/>
    <w:rsid w:val="00AB0FFA"/>
    <w:rsid w:val="00AB1AFD"/>
    <w:rsid w:val="00AB1BB3"/>
    <w:rsid w:val="00AB51D4"/>
    <w:rsid w:val="00AC0613"/>
    <w:rsid w:val="00AC1371"/>
    <w:rsid w:val="00AC166F"/>
    <w:rsid w:val="00AC6963"/>
    <w:rsid w:val="00AC7C20"/>
    <w:rsid w:val="00AD0AA8"/>
    <w:rsid w:val="00AD0BDA"/>
    <w:rsid w:val="00AD10F0"/>
    <w:rsid w:val="00AE0C06"/>
    <w:rsid w:val="00AE5319"/>
    <w:rsid w:val="00AE6D10"/>
    <w:rsid w:val="00AE763D"/>
    <w:rsid w:val="00AF0386"/>
    <w:rsid w:val="00AF11B9"/>
    <w:rsid w:val="00AF23FC"/>
    <w:rsid w:val="00B0011F"/>
    <w:rsid w:val="00B00E33"/>
    <w:rsid w:val="00B01BAB"/>
    <w:rsid w:val="00B05CB9"/>
    <w:rsid w:val="00B065A1"/>
    <w:rsid w:val="00B1006C"/>
    <w:rsid w:val="00B163F4"/>
    <w:rsid w:val="00B166CE"/>
    <w:rsid w:val="00B17430"/>
    <w:rsid w:val="00B17565"/>
    <w:rsid w:val="00B17F6F"/>
    <w:rsid w:val="00B2019E"/>
    <w:rsid w:val="00B24FEA"/>
    <w:rsid w:val="00B259ED"/>
    <w:rsid w:val="00B26F4C"/>
    <w:rsid w:val="00B27081"/>
    <w:rsid w:val="00B36CC3"/>
    <w:rsid w:val="00B378E7"/>
    <w:rsid w:val="00B37DAA"/>
    <w:rsid w:val="00B408E4"/>
    <w:rsid w:val="00B41427"/>
    <w:rsid w:val="00B42624"/>
    <w:rsid w:val="00B456FF"/>
    <w:rsid w:val="00B50651"/>
    <w:rsid w:val="00B50C62"/>
    <w:rsid w:val="00B51E7F"/>
    <w:rsid w:val="00B5221D"/>
    <w:rsid w:val="00B61EA9"/>
    <w:rsid w:val="00B62B73"/>
    <w:rsid w:val="00B63854"/>
    <w:rsid w:val="00B64746"/>
    <w:rsid w:val="00B711DB"/>
    <w:rsid w:val="00B752BE"/>
    <w:rsid w:val="00B80700"/>
    <w:rsid w:val="00B80B31"/>
    <w:rsid w:val="00B80F9B"/>
    <w:rsid w:val="00B85AD5"/>
    <w:rsid w:val="00B923E5"/>
    <w:rsid w:val="00B93D11"/>
    <w:rsid w:val="00BA1CDC"/>
    <w:rsid w:val="00BA2432"/>
    <w:rsid w:val="00BB0D74"/>
    <w:rsid w:val="00BB318F"/>
    <w:rsid w:val="00BB501F"/>
    <w:rsid w:val="00BB51CB"/>
    <w:rsid w:val="00BB7119"/>
    <w:rsid w:val="00BB7AC8"/>
    <w:rsid w:val="00BC0C4E"/>
    <w:rsid w:val="00BC4B67"/>
    <w:rsid w:val="00BC7330"/>
    <w:rsid w:val="00BD1740"/>
    <w:rsid w:val="00BD7AF0"/>
    <w:rsid w:val="00BE2280"/>
    <w:rsid w:val="00BE4228"/>
    <w:rsid w:val="00BE493C"/>
    <w:rsid w:val="00BE59BD"/>
    <w:rsid w:val="00BF0DAD"/>
    <w:rsid w:val="00BF1107"/>
    <w:rsid w:val="00BF214D"/>
    <w:rsid w:val="00BF3987"/>
    <w:rsid w:val="00BF6DDA"/>
    <w:rsid w:val="00C01FD6"/>
    <w:rsid w:val="00C03623"/>
    <w:rsid w:val="00C03919"/>
    <w:rsid w:val="00C03DD6"/>
    <w:rsid w:val="00C06A6F"/>
    <w:rsid w:val="00C11A16"/>
    <w:rsid w:val="00C12AE4"/>
    <w:rsid w:val="00C13C28"/>
    <w:rsid w:val="00C142E2"/>
    <w:rsid w:val="00C2262E"/>
    <w:rsid w:val="00C24253"/>
    <w:rsid w:val="00C2556D"/>
    <w:rsid w:val="00C443FB"/>
    <w:rsid w:val="00C46D66"/>
    <w:rsid w:val="00C47912"/>
    <w:rsid w:val="00C53933"/>
    <w:rsid w:val="00C566A2"/>
    <w:rsid w:val="00C615FA"/>
    <w:rsid w:val="00C62C26"/>
    <w:rsid w:val="00C62CA1"/>
    <w:rsid w:val="00C62FDD"/>
    <w:rsid w:val="00C641FE"/>
    <w:rsid w:val="00C70A09"/>
    <w:rsid w:val="00C70D0D"/>
    <w:rsid w:val="00C729D6"/>
    <w:rsid w:val="00C73ECA"/>
    <w:rsid w:val="00C74247"/>
    <w:rsid w:val="00C74301"/>
    <w:rsid w:val="00C7628D"/>
    <w:rsid w:val="00C7759A"/>
    <w:rsid w:val="00C81C66"/>
    <w:rsid w:val="00C82D80"/>
    <w:rsid w:val="00C834B4"/>
    <w:rsid w:val="00C85959"/>
    <w:rsid w:val="00C87119"/>
    <w:rsid w:val="00C91DF0"/>
    <w:rsid w:val="00C92D9C"/>
    <w:rsid w:val="00C96E25"/>
    <w:rsid w:val="00CA0D53"/>
    <w:rsid w:val="00CA136C"/>
    <w:rsid w:val="00CA1AE9"/>
    <w:rsid w:val="00CA45B6"/>
    <w:rsid w:val="00CA6D17"/>
    <w:rsid w:val="00CA6EDE"/>
    <w:rsid w:val="00CA708A"/>
    <w:rsid w:val="00CA7E59"/>
    <w:rsid w:val="00CB0BFC"/>
    <w:rsid w:val="00CB546B"/>
    <w:rsid w:val="00CC25A0"/>
    <w:rsid w:val="00CC26A8"/>
    <w:rsid w:val="00CC3563"/>
    <w:rsid w:val="00CD1683"/>
    <w:rsid w:val="00CD3D80"/>
    <w:rsid w:val="00CD5D15"/>
    <w:rsid w:val="00CE253C"/>
    <w:rsid w:val="00CF24BF"/>
    <w:rsid w:val="00D00A65"/>
    <w:rsid w:val="00D07E01"/>
    <w:rsid w:val="00D12461"/>
    <w:rsid w:val="00D13273"/>
    <w:rsid w:val="00D1631B"/>
    <w:rsid w:val="00D202BC"/>
    <w:rsid w:val="00D207A1"/>
    <w:rsid w:val="00D244B5"/>
    <w:rsid w:val="00D25348"/>
    <w:rsid w:val="00D31704"/>
    <w:rsid w:val="00D31FE1"/>
    <w:rsid w:val="00D326D3"/>
    <w:rsid w:val="00D32CAF"/>
    <w:rsid w:val="00D33717"/>
    <w:rsid w:val="00D34158"/>
    <w:rsid w:val="00D37F4D"/>
    <w:rsid w:val="00D41D27"/>
    <w:rsid w:val="00D42DBE"/>
    <w:rsid w:val="00D51056"/>
    <w:rsid w:val="00D539EB"/>
    <w:rsid w:val="00D53D35"/>
    <w:rsid w:val="00D57243"/>
    <w:rsid w:val="00D604C7"/>
    <w:rsid w:val="00D616FB"/>
    <w:rsid w:val="00D62331"/>
    <w:rsid w:val="00D65A10"/>
    <w:rsid w:val="00D82A77"/>
    <w:rsid w:val="00D82D87"/>
    <w:rsid w:val="00D82E08"/>
    <w:rsid w:val="00D85E32"/>
    <w:rsid w:val="00D8654E"/>
    <w:rsid w:val="00D900FB"/>
    <w:rsid w:val="00D9045C"/>
    <w:rsid w:val="00DA1129"/>
    <w:rsid w:val="00DA4878"/>
    <w:rsid w:val="00DA6C9D"/>
    <w:rsid w:val="00DB1730"/>
    <w:rsid w:val="00DB6330"/>
    <w:rsid w:val="00DB7464"/>
    <w:rsid w:val="00DC0F60"/>
    <w:rsid w:val="00DC48D7"/>
    <w:rsid w:val="00DC4C3A"/>
    <w:rsid w:val="00DC6A8F"/>
    <w:rsid w:val="00DD116A"/>
    <w:rsid w:val="00DD2E16"/>
    <w:rsid w:val="00DD3D54"/>
    <w:rsid w:val="00DD42FE"/>
    <w:rsid w:val="00DD4EB1"/>
    <w:rsid w:val="00DD707B"/>
    <w:rsid w:val="00DE64EA"/>
    <w:rsid w:val="00DE6850"/>
    <w:rsid w:val="00DE6FAF"/>
    <w:rsid w:val="00DF003E"/>
    <w:rsid w:val="00DF455C"/>
    <w:rsid w:val="00DF5450"/>
    <w:rsid w:val="00DF71E9"/>
    <w:rsid w:val="00DF79BA"/>
    <w:rsid w:val="00E0090B"/>
    <w:rsid w:val="00E041BE"/>
    <w:rsid w:val="00E048AE"/>
    <w:rsid w:val="00E06D2C"/>
    <w:rsid w:val="00E15CA1"/>
    <w:rsid w:val="00E20515"/>
    <w:rsid w:val="00E20FB8"/>
    <w:rsid w:val="00E272B6"/>
    <w:rsid w:val="00E27E38"/>
    <w:rsid w:val="00E30760"/>
    <w:rsid w:val="00E3147A"/>
    <w:rsid w:val="00E3529E"/>
    <w:rsid w:val="00E375B1"/>
    <w:rsid w:val="00E37C71"/>
    <w:rsid w:val="00E42581"/>
    <w:rsid w:val="00E42EEC"/>
    <w:rsid w:val="00E5384E"/>
    <w:rsid w:val="00E538F1"/>
    <w:rsid w:val="00E53A86"/>
    <w:rsid w:val="00E5468D"/>
    <w:rsid w:val="00E57A5D"/>
    <w:rsid w:val="00E61737"/>
    <w:rsid w:val="00E64A07"/>
    <w:rsid w:val="00E70E6A"/>
    <w:rsid w:val="00E73B48"/>
    <w:rsid w:val="00E84666"/>
    <w:rsid w:val="00E85B80"/>
    <w:rsid w:val="00E90918"/>
    <w:rsid w:val="00E92506"/>
    <w:rsid w:val="00E9516B"/>
    <w:rsid w:val="00EA08B5"/>
    <w:rsid w:val="00EA2CB3"/>
    <w:rsid w:val="00EA33D8"/>
    <w:rsid w:val="00EA4A2F"/>
    <w:rsid w:val="00EA5F18"/>
    <w:rsid w:val="00EA6F5D"/>
    <w:rsid w:val="00EB0EAD"/>
    <w:rsid w:val="00EB123A"/>
    <w:rsid w:val="00EB15ED"/>
    <w:rsid w:val="00EB4A56"/>
    <w:rsid w:val="00EB75AC"/>
    <w:rsid w:val="00EC047C"/>
    <w:rsid w:val="00EC7CD9"/>
    <w:rsid w:val="00ED1574"/>
    <w:rsid w:val="00ED26DA"/>
    <w:rsid w:val="00EE18EA"/>
    <w:rsid w:val="00EE1DCB"/>
    <w:rsid w:val="00EF1236"/>
    <w:rsid w:val="00EF1531"/>
    <w:rsid w:val="00F00BAB"/>
    <w:rsid w:val="00F04184"/>
    <w:rsid w:val="00F04864"/>
    <w:rsid w:val="00F10A1C"/>
    <w:rsid w:val="00F14922"/>
    <w:rsid w:val="00F14B6D"/>
    <w:rsid w:val="00F14BE4"/>
    <w:rsid w:val="00F16156"/>
    <w:rsid w:val="00F23DCB"/>
    <w:rsid w:val="00F3321B"/>
    <w:rsid w:val="00F35349"/>
    <w:rsid w:val="00F35434"/>
    <w:rsid w:val="00F40C73"/>
    <w:rsid w:val="00F40EDF"/>
    <w:rsid w:val="00F41D73"/>
    <w:rsid w:val="00F43A70"/>
    <w:rsid w:val="00F47268"/>
    <w:rsid w:val="00F538B7"/>
    <w:rsid w:val="00F5693C"/>
    <w:rsid w:val="00F64EAF"/>
    <w:rsid w:val="00F66726"/>
    <w:rsid w:val="00F71BC3"/>
    <w:rsid w:val="00F730C1"/>
    <w:rsid w:val="00F74668"/>
    <w:rsid w:val="00F767BD"/>
    <w:rsid w:val="00F77DD8"/>
    <w:rsid w:val="00F81A3E"/>
    <w:rsid w:val="00F84533"/>
    <w:rsid w:val="00F97420"/>
    <w:rsid w:val="00F97BDE"/>
    <w:rsid w:val="00FA039D"/>
    <w:rsid w:val="00FA0D43"/>
    <w:rsid w:val="00FA202C"/>
    <w:rsid w:val="00FA2598"/>
    <w:rsid w:val="00FA41C9"/>
    <w:rsid w:val="00FA435C"/>
    <w:rsid w:val="00FA4B5B"/>
    <w:rsid w:val="00FA5F96"/>
    <w:rsid w:val="00FB22DD"/>
    <w:rsid w:val="00FB2840"/>
    <w:rsid w:val="00FC43F5"/>
    <w:rsid w:val="00FC6212"/>
    <w:rsid w:val="00FC6414"/>
    <w:rsid w:val="00FC7B09"/>
    <w:rsid w:val="00FD05E8"/>
    <w:rsid w:val="00FD4ABE"/>
    <w:rsid w:val="00FD622A"/>
    <w:rsid w:val="00FD67C0"/>
    <w:rsid w:val="00FD6F81"/>
    <w:rsid w:val="00FD7824"/>
    <w:rsid w:val="00FE2014"/>
    <w:rsid w:val="00FE23E7"/>
    <w:rsid w:val="00FE3726"/>
    <w:rsid w:val="00FF2E8C"/>
    <w:rsid w:val="00FF44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D7AB1B"/>
  <w15:chartTrackingRefBased/>
  <w15:docId w15:val="{1970A073-8834-4320-8218-B9FA54940E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22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722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22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22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22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22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22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22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22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22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722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22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22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22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22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22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22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22BB"/>
    <w:rPr>
      <w:rFonts w:eastAsiaTheme="majorEastAsia" w:cstheme="majorBidi"/>
      <w:color w:val="272727" w:themeColor="text1" w:themeTint="D8"/>
    </w:rPr>
  </w:style>
  <w:style w:type="paragraph" w:styleId="Title">
    <w:name w:val="Title"/>
    <w:basedOn w:val="Normal"/>
    <w:next w:val="Normal"/>
    <w:link w:val="TitleChar"/>
    <w:uiPriority w:val="10"/>
    <w:qFormat/>
    <w:rsid w:val="005722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22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22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22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22BB"/>
    <w:pPr>
      <w:spacing w:before="160"/>
      <w:jc w:val="center"/>
    </w:pPr>
    <w:rPr>
      <w:i/>
      <w:iCs/>
      <w:color w:val="404040" w:themeColor="text1" w:themeTint="BF"/>
    </w:rPr>
  </w:style>
  <w:style w:type="character" w:customStyle="1" w:styleId="QuoteChar">
    <w:name w:val="Quote Char"/>
    <w:basedOn w:val="DefaultParagraphFont"/>
    <w:link w:val="Quote"/>
    <w:uiPriority w:val="29"/>
    <w:rsid w:val="005722BB"/>
    <w:rPr>
      <w:i/>
      <w:iCs/>
      <w:color w:val="404040" w:themeColor="text1" w:themeTint="BF"/>
    </w:rPr>
  </w:style>
  <w:style w:type="paragraph" w:styleId="ListParagraph">
    <w:name w:val="List Paragraph"/>
    <w:basedOn w:val="Normal"/>
    <w:uiPriority w:val="34"/>
    <w:qFormat/>
    <w:rsid w:val="005722BB"/>
    <w:pPr>
      <w:ind w:left="720"/>
      <w:contextualSpacing/>
    </w:pPr>
  </w:style>
  <w:style w:type="character" w:styleId="IntenseEmphasis">
    <w:name w:val="Intense Emphasis"/>
    <w:basedOn w:val="DefaultParagraphFont"/>
    <w:uiPriority w:val="21"/>
    <w:qFormat/>
    <w:rsid w:val="005722BB"/>
    <w:rPr>
      <w:i/>
      <w:iCs/>
      <w:color w:val="0F4761" w:themeColor="accent1" w:themeShade="BF"/>
    </w:rPr>
  </w:style>
  <w:style w:type="paragraph" w:styleId="IntenseQuote">
    <w:name w:val="Intense Quote"/>
    <w:basedOn w:val="Normal"/>
    <w:next w:val="Normal"/>
    <w:link w:val="IntenseQuoteChar"/>
    <w:uiPriority w:val="30"/>
    <w:qFormat/>
    <w:rsid w:val="005722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22BB"/>
    <w:rPr>
      <w:i/>
      <w:iCs/>
      <w:color w:val="0F4761" w:themeColor="accent1" w:themeShade="BF"/>
    </w:rPr>
  </w:style>
  <w:style w:type="character" w:styleId="IntenseReference">
    <w:name w:val="Intense Reference"/>
    <w:basedOn w:val="DefaultParagraphFont"/>
    <w:uiPriority w:val="32"/>
    <w:qFormat/>
    <w:rsid w:val="005722BB"/>
    <w:rPr>
      <w:b/>
      <w:bCs/>
      <w:smallCaps/>
      <w:color w:val="0F4761" w:themeColor="accent1" w:themeShade="BF"/>
      <w:spacing w:val="5"/>
    </w:rPr>
  </w:style>
  <w:style w:type="paragraph" w:styleId="Revision">
    <w:name w:val="Revision"/>
    <w:hidden/>
    <w:uiPriority w:val="99"/>
    <w:semiHidden/>
    <w:rsid w:val="004C43FF"/>
    <w:pPr>
      <w:spacing w:after="0" w:line="240" w:lineRule="auto"/>
    </w:pPr>
  </w:style>
  <w:style w:type="paragraph" w:styleId="NormalWeb">
    <w:name w:val="Normal (Web)"/>
    <w:basedOn w:val="Normal"/>
    <w:uiPriority w:val="99"/>
    <w:semiHidden/>
    <w:unhideWhenUsed/>
    <w:rsid w:val="005D3415"/>
    <w:rPr>
      <w:rFonts w:ascii="Times New Roman" w:hAnsi="Times New Roman" w:cs="Times New Roman"/>
    </w:rPr>
  </w:style>
  <w:style w:type="character" w:styleId="Hyperlink">
    <w:name w:val="Hyperlink"/>
    <w:basedOn w:val="DefaultParagraphFont"/>
    <w:uiPriority w:val="99"/>
    <w:unhideWhenUsed/>
    <w:rsid w:val="001F0613"/>
    <w:rPr>
      <w:color w:val="467886" w:themeColor="hyperlink"/>
      <w:u w:val="single"/>
    </w:rPr>
  </w:style>
  <w:style w:type="character" w:styleId="UnresolvedMention">
    <w:name w:val="Unresolved Mention"/>
    <w:basedOn w:val="DefaultParagraphFont"/>
    <w:uiPriority w:val="99"/>
    <w:semiHidden/>
    <w:unhideWhenUsed/>
    <w:rsid w:val="001F0613"/>
    <w:rPr>
      <w:color w:val="605E5C"/>
      <w:shd w:val="clear" w:color="auto" w:fill="E1DFDD"/>
    </w:rPr>
  </w:style>
  <w:style w:type="paragraph" w:styleId="Header">
    <w:name w:val="header"/>
    <w:basedOn w:val="Normal"/>
    <w:link w:val="HeaderChar"/>
    <w:uiPriority w:val="99"/>
    <w:unhideWhenUsed/>
    <w:rsid w:val="00FD05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5E8"/>
  </w:style>
  <w:style w:type="paragraph" w:styleId="Footer">
    <w:name w:val="footer"/>
    <w:basedOn w:val="Normal"/>
    <w:link w:val="FooterChar"/>
    <w:uiPriority w:val="99"/>
    <w:unhideWhenUsed/>
    <w:rsid w:val="00FD05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5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3458274">
      <w:bodyDiv w:val="1"/>
      <w:marLeft w:val="0"/>
      <w:marRight w:val="0"/>
      <w:marTop w:val="0"/>
      <w:marBottom w:val="0"/>
      <w:divBdr>
        <w:top w:val="none" w:sz="0" w:space="0" w:color="auto"/>
        <w:left w:val="none" w:sz="0" w:space="0" w:color="auto"/>
        <w:bottom w:val="none" w:sz="0" w:space="0" w:color="auto"/>
        <w:right w:val="none" w:sz="0" w:space="0" w:color="auto"/>
      </w:divBdr>
    </w:div>
    <w:div w:id="559637549">
      <w:bodyDiv w:val="1"/>
      <w:marLeft w:val="0"/>
      <w:marRight w:val="0"/>
      <w:marTop w:val="0"/>
      <w:marBottom w:val="0"/>
      <w:divBdr>
        <w:top w:val="none" w:sz="0" w:space="0" w:color="auto"/>
        <w:left w:val="none" w:sz="0" w:space="0" w:color="auto"/>
        <w:bottom w:val="none" w:sz="0" w:space="0" w:color="auto"/>
        <w:right w:val="none" w:sz="0" w:space="0" w:color="auto"/>
      </w:divBdr>
    </w:div>
    <w:div w:id="654993916">
      <w:bodyDiv w:val="1"/>
      <w:marLeft w:val="0"/>
      <w:marRight w:val="0"/>
      <w:marTop w:val="0"/>
      <w:marBottom w:val="0"/>
      <w:divBdr>
        <w:top w:val="none" w:sz="0" w:space="0" w:color="auto"/>
        <w:left w:val="none" w:sz="0" w:space="0" w:color="auto"/>
        <w:bottom w:val="none" w:sz="0" w:space="0" w:color="auto"/>
        <w:right w:val="none" w:sz="0" w:space="0" w:color="auto"/>
      </w:divBdr>
    </w:div>
    <w:div w:id="672343748">
      <w:bodyDiv w:val="1"/>
      <w:marLeft w:val="0"/>
      <w:marRight w:val="0"/>
      <w:marTop w:val="0"/>
      <w:marBottom w:val="0"/>
      <w:divBdr>
        <w:top w:val="none" w:sz="0" w:space="0" w:color="auto"/>
        <w:left w:val="none" w:sz="0" w:space="0" w:color="auto"/>
        <w:bottom w:val="none" w:sz="0" w:space="0" w:color="auto"/>
        <w:right w:val="none" w:sz="0" w:space="0" w:color="auto"/>
      </w:divBdr>
    </w:div>
    <w:div w:id="1310472880">
      <w:bodyDiv w:val="1"/>
      <w:marLeft w:val="0"/>
      <w:marRight w:val="0"/>
      <w:marTop w:val="0"/>
      <w:marBottom w:val="0"/>
      <w:divBdr>
        <w:top w:val="none" w:sz="0" w:space="0" w:color="auto"/>
        <w:left w:val="none" w:sz="0" w:space="0" w:color="auto"/>
        <w:bottom w:val="none" w:sz="0" w:space="0" w:color="auto"/>
        <w:right w:val="none" w:sz="0" w:space="0" w:color="auto"/>
      </w:divBdr>
    </w:div>
    <w:div w:id="1474642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chart" Target="charts/chart8.xml"/><Relationship Id="rId3" Type="http://schemas.openxmlformats.org/officeDocument/2006/relationships/settings" Target="settings.xml"/><Relationship Id="rId21" Type="http://schemas.openxmlformats.org/officeDocument/2006/relationships/chart" Target="charts/chart3.xml"/><Relationship Id="rId7" Type="http://schemas.openxmlformats.org/officeDocument/2006/relationships/hyperlink" Target="https://www.bing.com/ck/a?!&amp;&amp;p=ac2f7330f1de605e8c4e3a496455fa1a23f173f0eeab81c2277e4d6ea4f9a66eJmltdHM9MTczMTg4ODAwMA&amp;ptn=3&amp;ver=2&amp;hsh=4&amp;fclid=137d0e45-59ae-6a16-2045-1aa858a86bc8&amp;psq=best+fit+in+HR&amp;u=a1aHR0cHM6Ly9waGRlc3NheS5jb20vYmVzdC1maXQtdnMtYmVzdC1wcmFjdGljZS8&amp;ntb=1" TargetMode="Externa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chart" Target="charts/chart7.xm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chart" Target="charts/chart2.xml"/><Relationship Id="rId29" Type="http://schemas.openxmlformats.org/officeDocument/2006/relationships/hyperlink" Target="https://perma.cc/9Z7U-C26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png"/><Relationship Id="rId24" Type="http://schemas.openxmlformats.org/officeDocument/2006/relationships/chart" Target="charts/chart6.xm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chart" Target="charts/chart5.xml"/><Relationship Id="rId28" Type="http://schemas.openxmlformats.org/officeDocument/2006/relationships/hyperlink" Target="https://perma.cc/X8K4-SCR7" TargetMode="External"/><Relationship Id="rId10" Type="http://schemas.openxmlformats.org/officeDocument/2006/relationships/hyperlink" Target="https://www.hrmagazine.co.uk/content/features/is-best-practice-holding-you-back/" TargetMode="External"/><Relationship Id="rId19" Type="http://schemas.openxmlformats.org/officeDocument/2006/relationships/chart" Target="charts/chart1.xml"/><Relationship Id="rId31" Type="http://schemas.openxmlformats.org/officeDocument/2006/relationships/hyperlink" Target="http://www.cipd.co.uk/hr-resources/survey-reports/absence-management-2015.aspx" TargetMode="External"/><Relationship Id="rId4" Type="http://schemas.openxmlformats.org/officeDocument/2006/relationships/webSettings" Target="webSettings.xml"/><Relationship Id="rId9" Type="http://schemas.openxmlformats.org/officeDocument/2006/relationships/hyperlink" Target="https://www.bing.com/ck/a?!&amp;&amp;p=2f7c7a2f063fb04cb19624926b5e6281dabca6c02eccdf5b824ee261ae51d0e0JmltdHM9MTczMTg4ODAwMA&amp;ptn=3&amp;ver=2&amp;hsh=4&amp;fclid=137d0e45-59ae-6a16-2045-1aa858a86bc8&amp;psq=best+fit+in+HR&amp;u=a1aHR0cHM6Ly93d3cubWJha25vbC5jb20vaHVtYW4tcmVzb3VyY2UtbWFuYWdlbWVudC9iZXN0LWZpdC1hbmQtYmVzdC1wcmFjdGljZS1hcHByb2FjaGVzLWluLXN0cmF0ZWdpYy1ocm0v&amp;ntb=1" TargetMode="External"/><Relationship Id="rId14" Type="http://schemas.openxmlformats.org/officeDocument/2006/relationships/image" Target="media/image4.png"/><Relationship Id="rId22" Type="http://schemas.openxmlformats.org/officeDocument/2006/relationships/chart" Target="charts/chart4.xml"/><Relationship Id="rId27" Type="http://schemas.openxmlformats.org/officeDocument/2006/relationships/hyperlink" Target="https://www.cipd.co.uk/podcasts/critical-thinking" TargetMode="External"/><Relationship Id="rId30" Type="http://schemas.openxmlformats.org/officeDocument/2006/relationships/hyperlink" Target="https://www.cipd.co.uk/knowledge/strategy/reward/strategic-total-factsheet" TargetMode="External"/><Relationship Id="rId8" Type="http://schemas.openxmlformats.org/officeDocument/2006/relationships/hyperlink" Target="https://www.bing.com/ck/a?!&amp;&amp;p=06d94c54fc0aec410f863f4608e24e739ac1b7ba99b83e6f78b4fce1760f11f7JmltdHM9MTczMTg4ODAwMA&amp;ptn=3&amp;ver=2&amp;hsh=4&amp;fclid=137d0e45-59ae-6a16-2045-1aa858a86bc8&amp;psq=best+fit+in+HR&amp;u=a1aHR0cHM6Ly9hbmdvbGF0cmFuc3BhcmVuY3kuYmxvZy9lbi93aGF0LWlzLXRoZS1iZXN0LWZpdC1tb2RlbC1pbi1oci1zdHJhdGVneS8&amp;ntb=1"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file:///C:\Users\paulw\Downloads\UWTSD%20Assignment%202.xlsx" TargetMode="Externa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file:///C:\Users\paulw\Downloads\UWTSD%20Assignment%202.xlsx" TargetMode="External"/></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oleObject" Target="file:///C:\Users\paulw\Downloads\UWTSD%20Assignment%202.xlsx" TargetMode="Externa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oleObject" Target="file:///C:\Users\paulw\Downloads\UWTSD%20Assignment%202.xlsx" TargetMode="External"/></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oleObject" Target="file:///C:\Users\paulw\Downloads\UWTSD%20Assignment%202.xlsx" TargetMode="External"/></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xlsx"/></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oleObject" Target="file:///C:\Users\paulw\Downloads\UWTSD%20Assignment%202.xlsx" TargetMode="External"/></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oleObject" Target="file:///C:\Users\paulw\Downloads\UWTSD%20Assignment%202.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Q1</a:t>
            </a:r>
            <a:r>
              <a:rPr lang="en-GB" baseline="0"/>
              <a:t> Dept Distribution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spPr>
            <a:solidFill>
              <a:schemeClr val="accent3">
                <a:lumMod val="40000"/>
                <a:lumOff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Company!$F$10:$I$10</c:f>
              <c:strCache>
                <c:ptCount val="4"/>
                <c:pt idx="0">
                  <c:v>O</c:v>
                </c:pt>
                <c:pt idx="1">
                  <c:v>M</c:v>
                </c:pt>
                <c:pt idx="2">
                  <c:v>N</c:v>
                </c:pt>
                <c:pt idx="3">
                  <c:v>U</c:v>
                </c:pt>
              </c:strCache>
            </c:strRef>
          </c:cat>
          <c:val>
            <c:numRef>
              <c:f>Company!$F$11:$I$11</c:f>
              <c:numCache>
                <c:formatCode>0%</c:formatCode>
                <c:ptCount val="4"/>
                <c:pt idx="0">
                  <c:v>0.22222222222222221</c:v>
                </c:pt>
                <c:pt idx="1">
                  <c:v>7.6923076923076927E-2</c:v>
                </c:pt>
                <c:pt idx="2">
                  <c:v>0.3</c:v>
                </c:pt>
                <c:pt idx="3">
                  <c:v>0.375</c:v>
                </c:pt>
              </c:numCache>
            </c:numRef>
          </c:val>
          <c:extLst>
            <c:ext xmlns:c16="http://schemas.microsoft.com/office/drawing/2014/chart" uri="{C3380CC4-5D6E-409C-BE32-E72D297353CC}">
              <c16:uniqueId val="{00000000-0A6A-4E1C-9D6C-EF7D7A77B25C}"/>
            </c:ext>
          </c:extLst>
        </c:ser>
        <c:ser>
          <c:idx val="1"/>
          <c:order val="1"/>
          <c:spPr>
            <a:solidFill>
              <a:schemeClr val="accent3">
                <a:lumMod val="20000"/>
                <a:lumOff val="80000"/>
              </a:schemeClr>
            </a:solidFill>
            <a:ln>
              <a:noFill/>
            </a:ln>
            <a:effectLst/>
          </c:spPr>
          <c:invertIfNegative val="0"/>
          <c:dLbls>
            <c:spPr>
              <a:solidFill>
                <a:schemeClr val="accent3">
                  <a:lumMod val="20000"/>
                  <a:lumOff val="80000"/>
                </a:schemeClr>
              </a:soli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Company!$F$10:$I$10</c:f>
              <c:strCache>
                <c:ptCount val="4"/>
                <c:pt idx="0">
                  <c:v>O</c:v>
                </c:pt>
                <c:pt idx="1">
                  <c:v>M</c:v>
                </c:pt>
                <c:pt idx="2">
                  <c:v>N</c:v>
                </c:pt>
                <c:pt idx="3">
                  <c:v>U</c:v>
                </c:pt>
              </c:strCache>
            </c:strRef>
          </c:cat>
          <c:val>
            <c:numRef>
              <c:f>Company!$F$12:$I$12</c:f>
              <c:numCache>
                <c:formatCode>0%</c:formatCode>
                <c:ptCount val="4"/>
                <c:pt idx="0">
                  <c:v>0</c:v>
                </c:pt>
                <c:pt idx="1">
                  <c:v>0.5</c:v>
                </c:pt>
                <c:pt idx="2">
                  <c:v>0</c:v>
                </c:pt>
                <c:pt idx="3">
                  <c:v>0</c:v>
                </c:pt>
              </c:numCache>
            </c:numRef>
          </c:val>
          <c:extLst>
            <c:ext xmlns:c16="http://schemas.microsoft.com/office/drawing/2014/chart" uri="{C3380CC4-5D6E-409C-BE32-E72D297353CC}">
              <c16:uniqueId val="{00000001-0A6A-4E1C-9D6C-EF7D7A77B25C}"/>
            </c:ext>
          </c:extLst>
        </c:ser>
        <c:ser>
          <c:idx val="2"/>
          <c:order val="2"/>
          <c:spPr>
            <a:solidFill>
              <a:schemeClr val="tx2">
                <a:lumMod val="25000"/>
                <a:lumOff val="75000"/>
              </a:schemeClr>
            </a:solidFill>
            <a:ln>
              <a:solidFill>
                <a:schemeClr val="tx2">
                  <a:lumMod val="25000"/>
                  <a:lumOff val="75000"/>
                </a:schemeClr>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Company!$F$10:$I$10</c:f>
              <c:strCache>
                <c:ptCount val="4"/>
                <c:pt idx="0">
                  <c:v>O</c:v>
                </c:pt>
                <c:pt idx="1">
                  <c:v>M</c:v>
                </c:pt>
                <c:pt idx="2">
                  <c:v>N</c:v>
                </c:pt>
                <c:pt idx="3">
                  <c:v>U</c:v>
                </c:pt>
              </c:strCache>
            </c:strRef>
          </c:cat>
          <c:val>
            <c:numRef>
              <c:f>Company!$F$13:$I$13</c:f>
              <c:numCache>
                <c:formatCode>0%</c:formatCode>
                <c:ptCount val="4"/>
                <c:pt idx="0">
                  <c:v>0.44444444444444442</c:v>
                </c:pt>
                <c:pt idx="1">
                  <c:v>0.30769230769230771</c:v>
                </c:pt>
                <c:pt idx="2">
                  <c:v>0.6</c:v>
                </c:pt>
                <c:pt idx="3">
                  <c:v>0.25</c:v>
                </c:pt>
              </c:numCache>
            </c:numRef>
          </c:val>
          <c:extLst>
            <c:ext xmlns:c16="http://schemas.microsoft.com/office/drawing/2014/chart" uri="{C3380CC4-5D6E-409C-BE32-E72D297353CC}">
              <c16:uniqueId val="{00000002-0A6A-4E1C-9D6C-EF7D7A77B25C}"/>
            </c:ext>
          </c:extLst>
        </c:ser>
        <c:ser>
          <c:idx val="3"/>
          <c:order val="3"/>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Company!$F$10:$I$10</c:f>
              <c:strCache>
                <c:ptCount val="4"/>
                <c:pt idx="0">
                  <c:v>O</c:v>
                </c:pt>
                <c:pt idx="1">
                  <c:v>M</c:v>
                </c:pt>
                <c:pt idx="2">
                  <c:v>N</c:v>
                </c:pt>
                <c:pt idx="3">
                  <c:v>U</c:v>
                </c:pt>
              </c:strCache>
            </c:strRef>
          </c:cat>
          <c:val>
            <c:numRef>
              <c:f>Company!$F$14:$I$14</c:f>
              <c:numCache>
                <c:formatCode>0%</c:formatCode>
                <c:ptCount val="4"/>
                <c:pt idx="0">
                  <c:v>0.33333333333333331</c:v>
                </c:pt>
                <c:pt idx="1">
                  <c:v>0.11538461538461539</c:v>
                </c:pt>
                <c:pt idx="2">
                  <c:v>0.1</c:v>
                </c:pt>
                <c:pt idx="3">
                  <c:v>0.375</c:v>
                </c:pt>
              </c:numCache>
            </c:numRef>
          </c:val>
          <c:extLst>
            <c:ext xmlns:c16="http://schemas.microsoft.com/office/drawing/2014/chart" uri="{C3380CC4-5D6E-409C-BE32-E72D297353CC}">
              <c16:uniqueId val="{00000003-0A6A-4E1C-9D6C-EF7D7A77B25C}"/>
            </c:ext>
          </c:extLst>
        </c:ser>
        <c:dLbls>
          <c:showLegendKey val="0"/>
          <c:showVal val="0"/>
          <c:showCatName val="0"/>
          <c:showSerName val="0"/>
          <c:showPercent val="0"/>
          <c:showBubbleSize val="0"/>
        </c:dLbls>
        <c:gapWidth val="150"/>
        <c:overlap val="100"/>
        <c:axId val="1183037183"/>
        <c:axId val="1183032383"/>
      </c:barChart>
      <c:catAx>
        <c:axId val="118303718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3032383"/>
        <c:crosses val="autoZero"/>
        <c:auto val="1"/>
        <c:lblAlgn val="ctr"/>
        <c:lblOffset val="100"/>
        <c:noMultiLvlLbl val="0"/>
      </c:catAx>
      <c:valAx>
        <c:axId val="1183032383"/>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303718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Q2 Dept Distribution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spPr>
            <a:solidFill>
              <a:schemeClr val="accent3">
                <a:lumMod val="40000"/>
                <a:lumOff val="60000"/>
              </a:schemeClr>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Company!$J$10:$M$10</c:f>
              <c:strCache>
                <c:ptCount val="4"/>
                <c:pt idx="0">
                  <c:v>O</c:v>
                </c:pt>
                <c:pt idx="1">
                  <c:v>M</c:v>
                </c:pt>
                <c:pt idx="2">
                  <c:v>N</c:v>
                </c:pt>
                <c:pt idx="3">
                  <c:v>U</c:v>
                </c:pt>
              </c:strCache>
            </c:strRef>
          </c:cat>
          <c:val>
            <c:numRef>
              <c:f>Company!$J$11:$M$11</c:f>
              <c:numCache>
                <c:formatCode>0%</c:formatCode>
                <c:ptCount val="4"/>
                <c:pt idx="0">
                  <c:v>9.0909090909090912E-2</c:v>
                </c:pt>
                <c:pt idx="1">
                  <c:v>0.13793103448275862</c:v>
                </c:pt>
                <c:pt idx="2">
                  <c:v>0.44444444444444442</c:v>
                </c:pt>
                <c:pt idx="3">
                  <c:v>1</c:v>
                </c:pt>
              </c:numCache>
            </c:numRef>
          </c:val>
          <c:extLst>
            <c:ext xmlns:c16="http://schemas.microsoft.com/office/drawing/2014/chart" uri="{C3380CC4-5D6E-409C-BE32-E72D297353CC}">
              <c16:uniqueId val="{00000000-7348-4BEE-910D-4281BA4DFC00}"/>
            </c:ext>
          </c:extLst>
        </c:ser>
        <c:ser>
          <c:idx val="1"/>
          <c:order val="1"/>
          <c:spPr>
            <a:solidFill>
              <a:schemeClr val="accent3">
                <a:lumMod val="20000"/>
                <a:lumOff val="80000"/>
              </a:schemeClr>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Company!$J$10:$M$10</c:f>
              <c:strCache>
                <c:ptCount val="4"/>
                <c:pt idx="0">
                  <c:v>O</c:v>
                </c:pt>
                <c:pt idx="1">
                  <c:v>M</c:v>
                </c:pt>
                <c:pt idx="2">
                  <c:v>N</c:v>
                </c:pt>
                <c:pt idx="3">
                  <c:v>U</c:v>
                </c:pt>
              </c:strCache>
            </c:strRef>
          </c:cat>
          <c:val>
            <c:numRef>
              <c:f>Company!$J$12:$M$12</c:f>
              <c:numCache>
                <c:formatCode>0%</c:formatCode>
                <c:ptCount val="4"/>
                <c:pt idx="0">
                  <c:v>0</c:v>
                </c:pt>
                <c:pt idx="1">
                  <c:v>0.44827586206896552</c:v>
                </c:pt>
                <c:pt idx="2">
                  <c:v>0</c:v>
                </c:pt>
                <c:pt idx="3">
                  <c:v>0</c:v>
                </c:pt>
              </c:numCache>
            </c:numRef>
          </c:val>
          <c:extLst>
            <c:ext xmlns:c16="http://schemas.microsoft.com/office/drawing/2014/chart" uri="{C3380CC4-5D6E-409C-BE32-E72D297353CC}">
              <c16:uniqueId val="{00000001-7348-4BEE-910D-4281BA4DFC00}"/>
            </c:ext>
          </c:extLst>
        </c:ser>
        <c:ser>
          <c:idx val="2"/>
          <c:order val="2"/>
          <c:spPr>
            <a:solidFill>
              <a:schemeClr val="tx2">
                <a:lumMod val="25000"/>
                <a:lumOff val="75000"/>
              </a:schemeClr>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Company!$J$10:$M$10</c:f>
              <c:strCache>
                <c:ptCount val="4"/>
                <c:pt idx="0">
                  <c:v>O</c:v>
                </c:pt>
                <c:pt idx="1">
                  <c:v>M</c:v>
                </c:pt>
                <c:pt idx="2">
                  <c:v>N</c:v>
                </c:pt>
                <c:pt idx="3">
                  <c:v>U</c:v>
                </c:pt>
              </c:strCache>
            </c:strRef>
          </c:cat>
          <c:val>
            <c:numRef>
              <c:f>Company!$J$13:$M$13</c:f>
              <c:numCache>
                <c:formatCode>0%</c:formatCode>
                <c:ptCount val="4"/>
                <c:pt idx="0">
                  <c:v>0.45454545454545453</c:v>
                </c:pt>
                <c:pt idx="1">
                  <c:v>0.31034482758620691</c:v>
                </c:pt>
                <c:pt idx="2">
                  <c:v>0.44444444444444442</c:v>
                </c:pt>
                <c:pt idx="3">
                  <c:v>0</c:v>
                </c:pt>
              </c:numCache>
            </c:numRef>
          </c:val>
          <c:extLst>
            <c:ext xmlns:c16="http://schemas.microsoft.com/office/drawing/2014/chart" uri="{C3380CC4-5D6E-409C-BE32-E72D297353CC}">
              <c16:uniqueId val="{00000002-7348-4BEE-910D-4281BA4DFC00}"/>
            </c:ext>
          </c:extLst>
        </c:ser>
        <c:ser>
          <c:idx val="3"/>
          <c:order val="3"/>
          <c:spPr>
            <a:solidFill>
              <a:schemeClr val="accent4"/>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Company!$J$10:$M$10</c:f>
              <c:strCache>
                <c:ptCount val="4"/>
                <c:pt idx="0">
                  <c:v>O</c:v>
                </c:pt>
                <c:pt idx="1">
                  <c:v>M</c:v>
                </c:pt>
                <c:pt idx="2">
                  <c:v>N</c:v>
                </c:pt>
                <c:pt idx="3">
                  <c:v>U</c:v>
                </c:pt>
              </c:strCache>
            </c:strRef>
          </c:cat>
          <c:val>
            <c:numRef>
              <c:f>Company!$J$14:$M$14</c:f>
              <c:numCache>
                <c:formatCode>0%</c:formatCode>
                <c:ptCount val="4"/>
                <c:pt idx="0">
                  <c:v>0.45454545454545453</c:v>
                </c:pt>
                <c:pt idx="1">
                  <c:v>0.10344827586206896</c:v>
                </c:pt>
                <c:pt idx="2">
                  <c:v>0.1111111111111111</c:v>
                </c:pt>
                <c:pt idx="3">
                  <c:v>0</c:v>
                </c:pt>
              </c:numCache>
            </c:numRef>
          </c:val>
          <c:extLst>
            <c:ext xmlns:c16="http://schemas.microsoft.com/office/drawing/2014/chart" uri="{C3380CC4-5D6E-409C-BE32-E72D297353CC}">
              <c16:uniqueId val="{00000003-7348-4BEE-910D-4281BA4DFC00}"/>
            </c:ext>
          </c:extLst>
        </c:ser>
        <c:dLbls>
          <c:showLegendKey val="0"/>
          <c:showVal val="0"/>
          <c:showCatName val="0"/>
          <c:showSerName val="0"/>
          <c:showPercent val="0"/>
          <c:showBubbleSize val="0"/>
        </c:dLbls>
        <c:gapWidth val="150"/>
        <c:shape val="box"/>
        <c:axId val="907295151"/>
        <c:axId val="907287951"/>
        <c:axId val="0"/>
      </c:bar3DChart>
      <c:catAx>
        <c:axId val="907295151"/>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7287951"/>
        <c:crosses val="autoZero"/>
        <c:auto val="1"/>
        <c:lblAlgn val="ctr"/>
        <c:lblOffset val="100"/>
        <c:noMultiLvlLbl val="0"/>
      </c:catAx>
      <c:valAx>
        <c:axId val="907287951"/>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729515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H1</a:t>
            </a:r>
            <a:r>
              <a:rPr lang="en-GB" baseline="0"/>
              <a:t> Company Distribution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strRef>
              <c:f>(Company!$N$2,Company!$O$2,Company!$P$2,Company!$Q$2)</c:f>
              <c:strCache>
                <c:ptCount val="4"/>
                <c:pt idx="0">
                  <c:v>O</c:v>
                </c:pt>
                <c:pt idx="1">
                  <c:v>M</c:v>
                </c:pt>
                <c:pt idx="2">
                  <c:v>N</c:v>
                </c:pt>
                <c:pt idx="3">
                  <c:v>U</c:v>
                </c:pt>
              </c:strCache>
            </c:strRef>
          </c:cat>
          <c:val>
            <c:numRef>
              <c:f>(Company!$N$8,Company!$O$8,Company!$P$8,Company!$Q$8)</c:f>
              <c:numCache>
                <c:formatCode>0%</c:formatCode>
                <c:ptCount val="4"/>
                <c:pt idx="0">
                  <c:v>0.1941747572815534</c:v>
                </c:pt>
                <c:pt idx="1">
                  <c:v>0.53398058252427183</c:v>
                </c:pt>
                <c:pt idx="2">
                  <c:v>0.18446601941747573</c:v>
                </c:pt>
                <c:pt idx="3">
                  <c:v>8.7378640776699032E-2</c:v>
                </c:pt>
              </c:numCache>
            </c:numRef>
          </c:val>
          <c:smooth val="0"/>
          <c:extLst>
            <c:ext xmlns:c16="http://schemas.microsoft.com/office/drawing/2014/chart" uri="{C3380CC4-5D6E-409C-BE32-E72D297353CC}">
              <c16:uniqueId val="{00000000-E570-4D17-8B36-BCE258D07BCA}"/>
            </c:ext>
          </c:extLst>
        </c:ser>
        <c:dLbls>
          <c:showLegendKey val="0"/>
          <c:showVal val="0"/>
          <c:showCatName val="0"/>
          <c:showSerName val="0"/>
          <c:showPercent val="0"/>
          <c:showBubbleSize val="0"/>
        </c:dLbls>
        <c:smooth val="0"/>
        <c:axId val="907281231"/>
        <c:axId val="907292751"/>
      </c:lineChart>
      <c:catAx>
        <c:axId val="90728123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7292751"/>
        <c:crosses val="autoZero"/>
        <c:auto val="1"/>
        <c:lblAlgn val="ctr"/>
        <c:lblOffset val="100"/>
        <c:noMultiLvlLbl val="0"/>
      </c:catAx>
      <c:valAx>
        <c:axId val="907292751"/>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728123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Company Bonus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Company!$B$2</c:f>
              <c:strCache>
                <c:ptCount val="1"/>
                <c:pt idx="0">
                  <c:v>Q1</c:v>
                </c:pt>
              </c:strCache>
            </c:strRef>
          </c:tx>
          <c:spPr>
            <a:solidFill>
              <a:schemeClr val="accent1"/>
            </a:solidFill>
            <a:ln>
              <a:noFill/>
            </a:ln>
            <a:effectLst/>
          </c:spPr>
          <c:invertIfNegative val="0"/>
          <c:cat>
            <c:strRef>
              <c:f>Company!$A$3:$A$7</c:f>
              <c:strCache>
                <c:ptCount val="5"/>
                <c:pt idx="0">
                  <c:v>Admin</c:v>
                </c:pt>
                <c:pt idx="1">
                  <c:v>Sales</c:v>
                </c:pt>
                <c:pt idx="2">
                  <c:v>Logistics</c:v>
                </c:pt>
                <c:pt idx="3">
                  <c:v>R&amp;D</c:v>
                </c:pt>
                <c:pt idx="4">
                  <c:v>Company</c:v>
                </c:pt>
              </c:strCache>
            </c:strRef>
          </c:cat>
          <c:val>
            <c:numRef>
              <c:f>Company!$B$3:$B$7</c:f>
              <c:numCache>
                <c:formatCode>General</c:formatCode>
                <c:ptCount val="5"/>
                <c:pt idx="0">
                  <c:v>2220</c:v>
                </c:pt>
                <c:pt idx="1">
                  <c:v>0</c:v>
                </c:pt>
                <c:pt idx="2">
                  <c:v>3290</c:v>
                </c:pt>
                <c:pt idx="3">
                  <c:v>3660</c:v>
                </c:pt>
                <c:pt idx="4">
                  <c:v>9170</c:v>
                </c:pt>
              </c:numCache>
            </c:numRef>
          </c:val>
          <c:extLst>
            <c:ext xmlns:c16="http://schemas.microsoft.com/office/drawing/2014/chart" uri="{C3380CC4-5D6E-409C-BE32-E72D297353CC}">
              <c16:uniqueId val="{00000000-2C84-48C7-8A8A-2EE400369A82}"/>
            </c:ext>
          </c:extLst>
        </c:ser>
        <c:ser>
          <c:idx val="1"/>
          <c:order val="1"/>
          <c:tx>
            <c:strRef>
              <c:f>Company!$C$2</c:f>
              <c:strCache>
                <c:ptCount val="1"/>
                <c:pt idx="0">
                  <c:v>Q2</c:v>
                </c:pt>
              </c:strCache>
            </c:strRef>
          </c:tx>
          <c:spPr>
            <a:solidFill>
              <a:schemeClr val="accent2"/>
            </a:solidFill>
            <a:ln>
              <a:noFill/>
            </a:ln>
            <a:effectLst/>
          </c:spPr>
          <c:invertIfNegative val="0"/>
          <c:cat>
            <c:strRef>
              <c:f>Company!$A$3:$A$7</c:f>
              <c:strCache>
                <c:ptCount val="5"/>
                <c:pt idx="0">
                  <c:v>Admin</c:v>
                </c:pt>
                <c:pt idx="1">
                  <c:v>Sales</c:v>
                </c:pt>
                <c:pt idx="2">
                  <c:v>Logistics</c:v>
                </c:pt>
                <c:pt idx="3">
                  <c:v>R&amp;D</c:v>
                </c:pt>
                <c:pt idx="4">
                  <c:v>Company</c:v>
                </c:pt>
              </c:strCache>
            </c:strRef>
          </c:cat>
          <c:val>
            <c:numRef>
              <c:f>Company!$C$3:$C$7</c:f>
              <c:numCache>
                <c:formatCode>General</c:formatCode>
                <c:ptCount val="5"/>
                <c:pt idx="0">
                  <c:v>960</c:v>
                </c:pt>
                <c:pt idx="1">
                  <c:v>0</c:v>
                </c:pt>
                <c:pt idx="2">
                  <c:v>4500</c:v>
                </c:pt>
                <c:pt idx="3">
                  <c:v>6140</c:v>
                </c:pt>
                <c:pt idx="4">
                  <c:v>11600</c:v>
                </c:pt>
              </c:numCache>
            </c:numRef>
          </c:val>
          <c:extLst>
            <c:ext xmlns:c16="http://schemas.microsoft.com/office/drawing/2014/chart" uri="{C3380CC4-5D6E-409C-BE32-E72D297353CC}">
              <c16:uniqueId val="{00000001-2C84-48C7-8A8A-2EE400369A82}"/>
            </c:ext>
          </c:extLst>
        </c:ser>
        <c:ser>
          <c:idx val="2"/>
          <c:order val="2"/>
          <c:tx>
            <c:strRef>
              <c:f>Company!$D$2</c:f>
              <c:strCache>
                <c:ptCount val="1"/>
                <c:pt idx="0">
                  <c:v>H1</c:v>
                </c:pt>
              </c:strCache>
            </c:strRef>
          </c:tx>
          <c:spPr>
            <a:solidFill>
              <a:schemeClr val="accent3"/>
            </a:solidFill>
            <a:ln>
              <a:noFill/>
            </a:ln>
            <a:effectLst/>
          </c:spPr>
          <c:invertIfNegative val="0"/>
          <c:cat>
            <c:strRef>
              <c:f>Company!$A$3:$A$7</c:f>
              <c:strCache>
                <c:ptCount val="5"/>
                <c:pt idx="0">
                  <c:v>Admin</c:v>
                </c:pt>
                <c:pt idx="1">
                  <c:v>Sales</c:v>
                </c:pt>
                <c:pt idx="2">
                  <c:v>Logistics</c:v>
                </c:pt>
                <c:pt idx="3">
                  <c:v>R&amp;D</c:v>
                </c:pt>
                <c:pt idx="4">
                  <c:v>Company</c:v>
                </c:pt>
              </c:strCache>
            </c:strRef>
          </c:cat>
          <c:val>
            <c:numRef>
              <c:f>Company!$D$3:$D$7</c:f>
              <c:numCache>
                <c:formatCode>General</c:formatCode>
                <c:ptCount val="5"/>
                <c:pt idx="0">
                  <c:v>3180</c:v>
                </c:pt>
                <c:pt idx="1">
                  <c:v>0</c:v>
                </c:pt>
                <c:pt idx="2">
                  <c:v>7790</c:v>
                </c:pt>
                <c:pt idx="3">
                  <c:v>9800</c:v>
                </c:pt>
                <c:pt idx="4">
                  <c:v>20770</c:v>
                </c:pt>
              </c:numCache>
            </c:numRef>
          </c:val>
          <c:extLst>
            <c:ext xmlns:c16="http://schemas.microsoft.com/office/drawing/2014/chart" uri="{C3380CC4-5D6E-409C-BE32-E72D297353CC}">
              <c16:uniqueId val="{00000002-2C84-48C7-8A8A-2EE400369A82}"/>
            </c:ext>
          </c:extLst>
        </c:ser>
        <c:dLbls>
          <c:showLegendKey val="0"/>
          <c:showVal val="0"/>
          <c:showCatName val="0"/>
          <c:showSerName val="0"/>
          <c:showPercent val="0"/>
          <c:showBubbleSize val="0"/>
        </c:dLbls>
        <c:gapWidth val="219"/>
        <c:overlap val="-27"/>
        <c:axId val="207455024"/>
        <c:axId val="207454064"/>
      </c:barChart>
      <c:catAx>
        <c:axId val="2074550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454064"/>
        <c:crosses val="autoZero"/>
        <c:auto val="1"/>
        <c:lblAlgn val="ctr"/>
        <c:lblOffset val="100"/>
        <c:noMultiLvlLbl val="0"/>
      </c:catAx>
      <c:valAx>
        <c:axId val="2074540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4550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Admin Bonus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Admin!$D$2</c:f>
              <c:strCache>
                <c:ptCount val="1"/>
                <c:pt idx="0">
                  <c:v>Q1 Bonus</c:v>
                </c:pt>
              </c:strCache>
            </c:strRef>
          </c:tx>
          <c:spPr>
            <a:solidFill>
              <a:schemeClr val="accent1"/>
            </a:solidFill>
            <a:ln>
              <a:noFill/>
            </a:ln>
            <a:effectLst/>
          </c:spPr>
          <c:invertIfNegative val="0"/>
          <c:cat>
            <c:strRef>
              <c:f>Admin!$B$3:$B$13</c:f>
              <c:strCache>
                <c:ptCount val="11"/>
                <c:pt idx="0">
                  <c:v>Harry Hunter</c:v>
                </c:pt>
                <c:pt idx="1">
                  <c:v>Sumira Kiiki</c:v>
                </c:pt>
                <c:pt idx="2">
                  <c:v>Lexi Masterson </c:v>
                </c:pt>
                <c:pt idx="3">
                  <c:v>Robin Bird</c:v>
                </c:pt>
                <c:pt idx="4">
                  <c:v>Becky Heron </c:v>
                </c:pt>
                <c:pt idx="5">
                  <c:v>Wade Duck</c:v>
                </c:pt>
                <c:pt idx="6">
                  <c:v>Saffron Finch </c:v>
                </c:pt>
                <c:pt idx="7">
                  <c:v>Steve Swift</c:v>
                </c:pt>
                <c:pt idx="8">
                  <c:v>Myna Wren </c:v>
                </c:pt>
                <c:pt idx="9">
                  <c:v>Sally Starling</c:v>
                </c:pt>
                <c:pt idx="10">
                  <c:v>Petra Gull</c:v>
                </c:pt>
              </c:strCache>
            </c:strRef>
          </c:cat>
          <c:val>
            <c:numRef>
              <c:f>Admin!$D$3:$D$13</c:f>
              <c:numCache>
                <c:formatCode>"£"#,##0.00_);[Red]\("£"#,##0.00\)</c:formatCode>
                <c:ptCount val="11"/>
                <c:pt idx="0">
                  <c:v>0</c:v>
                </c:pt>
                <c:pt idx="1">
                  <c:v>0</c:v>
                </c:pt>
                <c:pt idx="2">
                  <c:v>0</c:v>
                </c:pt>
                <c:pt idx="3">
                  <c:v>1260</c:v>
                </c:pt>
                <c:pt idx="4">
                  <c:v>0</c:v>
                </c:pt>
                <c:pt idx="5">
                  <c:v>0</c:v>
                </c:pt>
                <c:pt idx="6">
                  <c:v>960</c:v>
                </c:pt>
                <c:pt idx="7">
                  <c:v>0</c:v>
                </c:pt>
                <c:pt idx="8">
                  <c:v>0</c:v>
                </c:pt>
                <c:pt idx="9">
                  <c:v>0</c:v>
                </c:pt>
                <c:pt idx="10">
                  <c:v>0</c:v>
                </c:pt>
              </c:numCache>
            </c:numRef>
          </c:val>
          <c:extLst>
            <c:ext xmlns:c16="http://schemas.microsoft.com/office/drawing/2014/chart" uri="{C3380CC4-5D6E-409C-BE32-E72D297353CC}">
              <c16:uniqueId val="{00000000-9962-400A-A7D8-459965B9DE74}"/>
            </c:ext>
          </c:extLst>
        </c:ser>
        <c:ser>
          <c:idx val="1"/>
          <c:order val="1"/>
          <c:tx>
            <c:strRef>
              <c:f>Admin!$E$2</c:f>
              <c:strCache>
                <c:ptCount val="1"/>
                <c:pt idx="0">
                  <c:v>Q2 Bonus</c:v>
                </c:pt>
              </c:strCache>
            </c:strRef>
          </c:tx>
          <c:spPr>
            <a:solidFill>
              <a:schemeClr val="accent2"/>
            </a:solidFill>
            <a:ln>
              <a:noFill/>
            </a:ln>
            <a:effectLst/>
          </c:spPr>
          <c:invertIfNegative val="0"/>
          <c:cat>
            <c:strRef>
              <c:f>Admin!$B$3:$B$13</c:f>
              <c:strCache>
                <c:ptCount val="11"/>
                <c:pt idx="0">
                  <c:v>Harry Hunter</c:v>
                </c:pt>
                <c:pt idx="1">
                  <c:v>Sumira Kiiki</c:v>
                </c:pt>
                <c:pt idx="2">
                  <c:v>Lexi Masterson </c:v>
                </c:pt>
                <c:pt idx="3">
                  <c:v>Robin Bird</c:v>
                </c:pt>
                <c:pt idx="4">
                  <c:v>Becky Heron </c:v>
                </c:pt>
                <c:pt idx="5">
                  <c:v>Wade Duck</c:v>
                </c:pt>
                <c:pt idx="6">
                  <c:v>Saffron Finch </c:v>
                </c:pt>
                <c:pt idx="7">
                  <c:v>Steve Swift</c:v>
                </c:pt>
                <c:pt idx="8">
                  <c:v>Myna Wren </c:v>
                </c:pt>
                <c:pt idx="9">
                  <c:v>Sally Starling</c:v>
                </c:pt>
                <c:pt idx="10">
                  <c:v>Petra Gull</c:v>
                </c:pt>
              </c:strCache>
            </c:strRef>
          </c:cat>
          <c:val>
            <c:numRef>
              <c:f>Admin!$E$3:$E$13</c:f>
              <c:numCache>
                <c:formatCode>"£"#,##0.00_);[Red]\("£"#,##0.00\)</c:formatCode>
                <c:ptCount val="11"/>
                <c:pt idx="0">
                  <c:v>0</c:v>
                </c:pt>
                <c:pt idx="1">
                  <c:v>0</c:v>
                </c:pt>
                <c:pt idx="2">
                  <c:v>0</c:v>
                </c:pt>
                <c:pt idx="3">
                  <c:v>0</c:v>
                </c:pt>
                <c:pt idx="4">
                  <c:v>0</c:v>
                </c:pt>
                <c:pt idx="5">
                  <c:v>0</c:v>
                </c:pt>
                <c:pt idx="6">
                  <c:v>960</c:v>
                </c:pt>
                <c:pt idx="7">
                  <c:v>0</c:v>
                </c:pt>
                <c:pt idx="8">
                  <c:v>0</c:v>
                </c:pt>
                <c:pt idx="9">
                  <c:v>0</c:v>
                </c:pt>
                <c:pt idx="10">
                  <c:v>0</c:v>
                </c:pt>
              </c:numCache>
            </c:numRef>
          </c:val>
          <c:extLst>
            <c:ext xmlns:c16="http://schemas.microsoft.com/office/drawing/2014/chart" uri="{C3380CC4-5D6E-409C-BE32-E72D297353CC}">
              <c16:uniqueId val="{00000001-9962-400A-A7D8-459965B9DE74}"/>
            </c:ext>
          </c:extLst>
        </c:ser>
        <c:ser>
          <c:idx val="2"/>
          <c:order val="2"/>
          <c:tx>
            <c:strRef>
              <c:f>Admin!$F$2</c:f>
              <c:strCache>
                <c:ptCount val="1"/>
                <c:pt idx="0">
                  <c:v>H1 Bonus</c:v>
                </c:pt>
              </c:strCache>
            </c:strRef>
          </c:tx>
          <c:spPr>
            <a:solidFill>
              <a:schemeClr val="accent3"/>
            </a:solidFill>
            <a:ln>
              <a:noFill/>
            </a:ln>
            <a:effectLst/>
          </c:spPr>
          <c:invertIfNegative val="0"/>
          <c:cat>
            <c:strRef>
              <c:f>Admin!$B$3:$B$13</c:f>
              <c:strCache>
                <c:ptCount val="11"/>
                <c:pt idx="0">
                  <c:v>Harry Hunter</c:v>
                </c:pt>
                <c:pt idx="1">
                  <c:v>Sumira Kiiki</c:v>
                </c:pt>
                <c:pt idx="2">
                  <c:v>Lexi Masterson </c:v>
                </c:pt>
                <c:pt idx="3">
                  <c:v>Robin Bird</c:v>
                </c:pt>
                <c:pt idx="4">
                  <c:v>Becky Heron </c:v>
                </c:pt>
                <c:pt idx="5">
                  <c:v>Wade Duck</c:v>
                </c:pt>
                <c:pt idx="6">
                  <c:v>Saffron Finch </c:v>
                </c:pt>
                <c:pt idx="7">
                  <c:v>Steve Swift</c:v>
                </c:pt>
                <c:pt idx="8">
                  <c:v>Myna Wren </c:v>
                </c:pt>
                <c:pt idx="9">
                  <c:v>Sally Starling</c:v>
                </c:pt>
                <c:pt idx="10">
                  <c:v>Petra Gull</c:v>
                </c:pt>
              </c:strCache>
            </c:strRef>
          </c:cat>
          <c:val>
            <c:numRef>
              <c:f>Admin!$F$3:$F$13</c:f>
              <c:numCache>
                <c:formatCode>General</c:formatCode>
                <c:ptCount val="11"/>
                <c:pt idx="0">
                  <c:v>0</c:v>
                </c:pt>
                <c:pt idx="1">
                  <c:v>0</c:v>
                </c:pt>
                <c:pt idx="2">
                  <c:v>0</c:v>
                </c:pt>
                <c:pt idx="3">
                  <c:v>1260</c:v>
                </c:pt>
                <c:pt idx="4">
                  <c:v>0</c:v>
                </c:pt>
                <c:pt idx="5">
                  <c:v>0</c:v>
                </c:pt>
                <c:pt idx="6">
                  <c:v>1920</c:v>
                </c:pt>
                <c:pt idx="7">
                  <c:v>0</c:v>
                </c:pt>
                <c:pt idx="8">
                  <c:v>0</c:v>
                </c:pt>
                <c:pt idx="9">
                  <c:v>0</c:v>
                </c:pt>
                <c:pt idx="10">
                  <c:v>0</c:v>
                </c:pt>
              </c:numCache>
            </c:numRef>
          </c:val>
          <c:extLst>
            <c:ext xmlns:c16="http://schemas.microsoft.com/office/drawing/2014/chart" uri="{C3380CC4-5D6E-409C-BE32-E72D297353CC}">
              <c16:uniqueId val="{00000002-9962-400A-A7D8-459965B9DE74}"/>
            </c:ext>
          </c:extLst>
        </c:ser>
        <c:dLbls>
          <c:showLegendKey val="0"/>
          <c:showVal val="0"/>
          <c:showCatName val="0"/>
          <c:showSerName val="0"/>
          <c:showPercent val="0"/>
          <c:showBubbleSize val="0"/>
        </c:dLbls>
        <c:gapWidth val="219"/>
        <c:overlap val="-27"/>
        <c:axId val="204708272"/>
        <c:axId val="204708752"/>
      </c:barChart>
      <c:catAx>
        <c:axId val="2047082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708752"/>
        <c:crosses val="autoZero"/>
        <c:auto val="1"/>
        <c:lblAlgn val="ctr"/>
        <c:lblOffset val="100"/>
        <c:noMultiLvlLbl val="0"/>
      </c:catAx>
      <c:valAx>
        <c:axId val="204708752"/>
        <c:scaling>
          <c:orientation val="minMax"/>
        </c:scaling>
        <c:delete val="0"/>
        <c:axPos val="l"/>
        <c:majorGridlines>
          <c:spPr>
            <a:ln w="9525" cap="flat" cmpd="sng" algn="ctr">
              <a:solidFill>
                <a:schemeClr val="tx1">
                  <a:lumMod val="15000"/>
                  <a:lumOff val="85000"/>
                </a:schemeClr>
              </a:solidFill>
              <a:round/>
            </a:ln>
            <a:effectLst/>
          </c:spPr>
        </c:majorGridlines>
        <c:numFmt formatCode="&quot;£&quot;#,##0.00_);[Red]\(&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7082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Sales Bonus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Sales!$D$1</c:f>
              <c:strCache>
                <c:ptCount val="1"/>
                <c:pt idx="0">
                  <c:v>Q1 Bonus</c:v>
                </c:pt>
              </c:strCache>
            </c:strRef>
          </c:tx>
          <c:spPr>
            <a:solidFill>
              <a:schemeClr val="accent1"/>
            </a:solidFill>
            <a:ln>
              <a:noFill/>
            </a:ln>
            <a:effectLst/>
          </c:spPr>
          <c:invertIfNegative val="0"/>
          <c:cat>
            <c:strRef>
              <c:f>Sales!$B$2:$B$14</c:f>
              <c:strCache>
                <c:ptCount val="13"/>
                <c:pt idx="0">
                  <c:v>Bill Heraclitus</c:v>
                </c:pt>
                <c:pt idx="1">
                  <c:v>Richard Descartes</c:v>
                </c:pt>
                <c:pt idx="2">
                  <c:v>Craig Berkely</c:v>
                </c:pt>
                <c:pt idx="3">
                  <c:v>Gordon Nietzsche </c:v>
                </c:pt>
                <c:pt idx="4">
                  <c:v>Nicola Bergson</c:v>
                </c:pt>
                <c:pt idx="5">
                  <c:v>Karen Dewey</c:v>
                </c:pt>
                <c:pt idx="6">
                  <c:v>Toni Luther</c:v>
                </c:pt>
                <c:pt idx="7">
                  <c:v>Lee Foxton</c:v>
                </c:pt>
                <c:pt idx="8">
                  <c:v>Steve Platt</c:v>
                </c:pt>
                <c:pt idx="9">
                  <c:v>Liz Hickson</c:v>
                </c:pt>
                <c:pt idx="10">
                  <c:v>Dave Nicholas</c:v>
                </c:pt>
                <c:pt idx="11">
                  <c:v>Jamie Smith</c:v>
                </c:pt>
                <c:pt idx="12">
                  <c:v>Joanne Mansworth</c:v>
                </c:pt>
              </c:strCache>
            </c:strRef>
          </c:cat>
          <c:val>
            <c:numRef>
              <c:f>Sales!$D$2:$D$14</c:f>
              <c:numCache>
                <c:formatCode>"£"#,##0.00_);[Red]\("£"#,##0.00\)</c:formatCode>
                <c:ptCount val="13"/>
                <c:pt idx="0">
                  <c:v>0</c:v>
                </c:pt>
                <c:pt idx="1">
                  <c:v>0</c:v>
                </c:pt>
                <c:pt idx="2">
                  <c:v>0</c:v>
                </c:pt>
                <c:pt idx="3">
                  <c:v>0</c:v>
                </c:pt>
                <c:pt idx="4">
                  <c:v>0</c:v>
                </c:pt>
                <c:pt idx="5">
                  <c:v>0</c:v>
                </c:pt>
                <c:pt idx="6">
                  <c:v>0</c:v>
                </c:pt>
                <c:pt idx="7">
                  <c:v>0</c:v>
                </c:pt>
                <c:pt idx="8">
                  <c:v>0</c:v>
                </c:pt>
                <c:pt idx="9">
                  <c:v>0</c:v>
                </c:pt>
                <c:pt idx="10">
                  <c:v>0</c:v>
                </c:pt>
                <c:pt idx="11">
                  <c:v>0</c:v>
                </c:pt>
                <c:pt idx="12">
                  <c:v>0</c:v>
                </c:pt>
              </c:numCache>
            </c:numRef>
          </c:val>
          <c:extLst>
            <c:ext xmlns:c16="http://schemas.microsoft.com/office/drawing/2014/chart" uri="{C3380CC4-5D6E-409C-BE32-E72D297353CC}">
              <c16:uniqueId val="{00000000-95E0-474D-BCF6-9BB5C62E3D4E}"/>
            </c:ext>
          </c:extLst>
        </c:ser>
        <c:ser>
          <c:idx val="1"/>
          <c:order val="1"/>
          <c:tx>
            <c:strRef>
              <c:f>Sales!$E$1</c:f>
              <c:strCache>
                <c:ptCount val="1"/>
                <c:pt idx="0">
                  <c:v>Q2 Bonus</c:v>
                </c:pt>
              </c:strCache>
            </c:strRef>
          </c:tx>
          <c:spPr>
            <a:solidFill>
              <a:schemeClr val="accent2"/>
            </a:solidFill>
            <a:ln>
              <a:noFill/>
            </a:ln>
            <a:effectLst/>
          </c:spPr>
          <c:invertIfNegative val="0"/>
          <c:cat>
            <c:strRef>
              <c:f>Sales!$B$2:$B$14</c:f>
              <c:strCache>
                <c:ptCount val="13"/>
                <c:pt idx="0">
                  <c:v>Bill Heraclitus</c:v>
                </c:pt>
                <c:pt idx="1">
                  <c:v>Richard Descartes</c:v>
                </c:pt>
                <c:pt idx="2">
                  <c:v>Craig Berkely</c:v>
                </c:pt>
                <c:pt idx="3">
                  <c:v>Gordon Nietzsche </c:v>
                </c:pt>
                <c:pt idx="4">
                  <c:v>Nicola Bergson</c:v>
                </c:pt>
                <c:pt idx="5">
                  <c:v>Karen Dewey</c:v>
                </c:pt>
                <c:pt idx="6">
                  <c:v>Toni Luther</c:v>
                </c:pt>
                <c:pt idx="7">
                  <c:v>Lee Foxton</c:v>
                </c:pt>
                <c:pt idx="8">
                  <c:v>Steve Platt</c:v>
                </c:pt>
                <c:pt idx="9">
                  <c:v>Liz Hickson</c:v>
                </c:pt>
                <c:pt idx="10">
                  <c:v>Dave Nicholas</c:v>
                </c:pt>
                <c:pt idx="11">
                  <c:v>Jamie Smith</c:v>
                </c:pt>
                <c:pt idx="12">
                  <c:v>Joanne Mansworth</c:v>
                </c:pt>
              </c:strCache>
            </c:strRef>
          </c:cat>
          <c:val>
            <c:numRef>
              <c:f>Sales!$E$2:$E$14</c:f>
              <c:numCache>
                <c:formatCode>"£"#,##0.00_);[Red]\("£"#,##0.00\)</c:formatCode>
                <c:ptCount val="13"/>
                <c:pt idx="0">
                  <c:v>0</c:v>
                </c:pt>
                <c:pt idx="1">
                  <c:v>0</c:v>
                </c:pt>
                <c:pt idx="2">
                  <c:v>0</c:v>
                </c:pt>
                <c:pt idx="3">
                  <c:v>0</c:v>
                </c:pt>
                <c:pt idx="4">
                  <c:v>0</c:v>
                </c:pt>
                <c:pt idx="5">
                  <c:v>0</c:v>
                </c:pt>
                <c:pt idx="6">
                  <c:v>0</c:v>
                </c:pt>
                <c:pt idx="7">
                  <c:v>0</c:v>
                </c:pt>
                <c:pt idx="8">
                  <c:v>0</c:v>
                </c:pt>
                <c:pt idx="9">
                  <c:v>0</c:v>
                </c:pt>
                <c:pt idx="10">
                  <c:v>0</c:v>
                </c:pt>
                <c:pt idx="11">
                  <c:v>0</c:v>
                </c:pt>
                <c:pt idx="12">
                  <c:v>0</c:v>
                </c:pt>
              </c:numCache>
            </c:numRef>
          </c:val>
          <c:extLst>
            <c:ext xmlns:c16="http://schemas.microsoft.com/office/drawing/2014/chart" uri="{C3380CC4-5D6E-409C-BE32-E72D297353CC}">
              <c16:uniqueId val="{00000001-95E0-474D-BCF6-9BB5C62E3D4E}"/>
            </c:ext>
          </c:extLst>
        </c:ser>
        <c:ser>
          <c:idx val="2"/>
          <c:order val="2"/>
          <c:tx>
            <c:strRef>
              <c:f>Sales!$F$1</c:f>
              <c:strCache>
                <c:ptCount val="1"/>
                <c:pt idx="0">
                  <c:v>H1 Bonus</c:v>
                </c:pt>
              </c:strCache>
            </c:strRef>
          </c:tx>
          <c:spPr>
            <a:solidFill>
              <a:schemeClr val="accent3"/>
            </a:solidFill>
            <a:ln>
              <a:noFill/>
            </a:ln>
            <a:effectLst/>
          </c:spPr>
          <c:invertIfNegative val="0"/>
          <c:cat>
            <c:strRef>
              <c:f>Sales!$B$2:$B$14</c:f>
              <c:strCache>
                <c:ptCount val="13"/>
                <c:pt idx="0">
                  <c:v>Bill Heraclitus</c:v>
                </c:pt>
                <c:pt idx="1">
                  <c:v>Richard Descartes</c:v>
                </c:pt>
                <c:pt idx="2">
                  <c:v>Craig Berkely</c:v>
                </c:pt>
                <c:pt idx="3">
                  <c:v>Gordon Nietzsche </c:v>
                </c:pt>
                <c:pt idx="4">
                  <c:v>Nicola Bergson</c:v>
                </c:pt>
                <c:pt idx="5">
                  <c:v>Karen Dewey</c:v>
                </c:pt>
                <c:pt idx="6">
                  <c:v>Toni Luther</c:v>
                </c:pt>
                <c:pt idx="7">
                  <c:v>Lee Foxton</c:v>
                </c:pt>
                <c:pt idx="8">
                  <c:v>Steve Platt</c:v>
                </c:pt>
                <c:pt idx="9">
                  <c:v>Liz Hickson</c:v>
                </c:pt>
                <c:pt idx="10">
                  <c:v>Dave Nicholas</c:v>
                </c:pt>
                <c:pt idx="11">
                  <c:v>Jamie Smith</c:v>
                </c:pt>
                <c:pt idx="12">
                  <c:v>Joanne Mansworth</c:v>
                </c:pt>
              </c:strCache>
            </c:strRef>
          </c:cat>
          <c:val>
            <c:numRef>
              <c:f>Sales!$F$2:$F$14</c:f>
              <c:numCache>
                <c:formatCode>General</c:formatCode>
                <c:ptCount val="13"/>
                <c:pt idx="0">
                  <c:v>0</c:v>
                </c:pt>
                <c:pt idx="1">
                  <c:v>0</c:v>
                </c:pt>
                <c:pt idx="2">
                  <c:v>0</c:v>
                </c:pt>
                <c:pt idx="3">
                  <c:v>0</c:v>
                </c:pt>
                <c:pt idx="4">
                  <c:v>0</c:v>
                </c:pt>
                <c:pt idx="5">
                  <c:v>0</c:v>
                </c:pt>
                <c:pt idx="6">
                  <c:v>0</c:v>
                </c:pt>
                <c:pt idx="7">
                  <c:v>0</c:v>
                </c:pt>
                <c:pt idx="8">
                  <c:v>0</c:v>
                </c:pt>
                <c:pt idx="9">
                  <c:v>0</c:v>
                </c:pt>
                <c:pt idx="10">
                  <c:v>0</c:v>
                </c:pt>
                <c:pt idx="11">
                  <c:v>0</c:v>
                </c:pt>
                <c:pt idx="12">
                  <c:v>0</c:v>
                </c:pt>
              </c:numCache>
            </c:numRef>
          </c:val>
          <c:extLst>
            <c:ext xmlns:c16="http://schemas.microsoft.com/office/drawing/2014/chart" uri="{C3380CC4-5D6E-409C-BE32-E72D297353CC}">
              <c16:uniqueId val="{00000002-95E0-474D-BCF6-9BB5C62E3D4E}"/>
            </c:ext>
          </c:extLst>
        </c:ser>
        <c:dLbls>
          <c:showLegendKey val="0"/>
          <c:showVal val="0"/>
          <c:showCatName val="0"/>
          <c:showSerName val="0"/>
          <c:showPercent val="0"/>
          <c:showBubbleSize val="0"/>
        </c:dLbls>
        <c:gapWidth val="219"/>
        <c:overlap val="-27"/>
        <c:axId val="657965120"/>
        <c:axId val="657976160"/>
      </c:barChart>
      <c:catAx>
        <c:axId val="6579651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7976160"/>
        <c:crosses val="autoZero"/>
        <c:auto val="1"/>
        <c:lblAlgn val="ctr"/>
        <c:lblOffset val="100"/>
        <c:noMultiLvlLbl val="0"/>
      </c:catAx>
      <c:valAx>
        <c:axId val="657976160"/>
        <c:scaling>
          <c:orientation val="minMax"/>
        </c:scaling>
        <c:delete val="0"/>
        <c:axPos val="l"/>
        <c:majorGridlines>
          <c:spPr>
            <a:ln w="9525" cap="flat" cmpd="sng" algn="ctr">
              <a:solidFill>
                <a:schemeClr val="tx1">
                  <a:lumMod val="15000"/>
                  <a:lumOff val="85000"/>
                </a:schemeClr>
              </a:solidFill>
              <a:round/>
            </a:ln>
            <a:effectLst/>
          </c:spPr>
        </c:majorGridlines>
        <c:numFmt formatCode="&quot;£&quot;#,##0.00_);[Red]\(&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79651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Logistics Bonus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Logistics!$D$1</c:f>
              <c:strCache>
                <c:ptCount val="1"/>
                <c:pt idx="0">
                  <c:v>Q1 Bonus</c:v>
                </c:pt>
              </c:strCache>
            </c:strRef>
          </c:tx>
          <c:spPr>
            <a:solidFill>
              <a:schemeClr val="accent1"/>
            </a:solidFill>
            <a:ln>
              <a:noFill/>
            </a:ln>
            <a:effectLst/>
          </c:spPr>
          <c:invertIfNegative val="0"/>
          <c:cat>
            <c:strRef>
              <c:f>Logistics!$B$2:$B$21</c:f>
              <c:strCache>
                <c:ptCount val="20"/>
                <c:pt idx="0">
                  <c:v>Izzy Granger</c:v>
                </c:pt>
                <c:pt idx="1">
                  <c:v>Ruth Sixsmith</c:v>
                </c:pt>
                <c:pt idx="2">
                  <c:v>Wendy Boot</c:v>
                </c:pt>
                <c:pt idx="3">
                  <c:v>Sally Rigbye</c:v>
                </c:pt>
                <c:pt idx="4">
                  <c:v>Ian Charnock</c:v>
                </c:pt>
                <c:pt idx="5">
                  <c:v>Chris Walley</c:v>
                </c:pt>
                <c:pt idx="6">
                  <c:v>Liz Parry</c:v>
                </c:pt>
                <c:pt idx="7">
                  <c:v>Suzanne Wells</c:v>
                </c:pt>
                <c:pt idx="8">
                  <c:v>Neil Mansley</c:v>
                </c:pt>
                <c:pt idx="9">
                  <c:v>Jean Livesey</c:v>
                </c:pt>
                <c:pt idx="10">
                  <c:v>Lucy Abercrombie</c:v>
                </c:pt>
                <c:pt idx="11">
                  <c:v>Siobhan Wilson</c:v>
                </c:pt>
                <c:pt idx="12">
                  <c:v>Julie Chisnall</c:v>
                </c:pt>
                <c:pt idx="13">
                  <c:v>Rick Lovall</c:v>
                </c:pt>
                <c:pt idx="14">
                  <c:v>Pam Harrison</c:v>
                </c:pt>
                <c:pt idx="15">
                  <c:v>Max Eagle</c:v>
                </c:pt>
                <c:pt idx="16">
                  <c:v>Gill Jamieson</c:v>
                </c:pt>
                <c:pt idx="17">
                  <c:v>Rowina Draper</c:v>
                </c:pt>
                <c:pt idx="18">
                  <c:v>Will Draper</c:v>
                </c:pt>
                <c:pt idx="19">
                  <c:v>Jamie Penny</c:v>
                </c:pt>
              </c:strCache>
            </c:strRef>
          </c:cat>
          <c:val>
            <c:numRef>
              <c:f>Logistics!$D$2:$D$21</c:f>
              <c:numCache>
                <c:formatCode>"£"#,##0.00_);[Red]\("£"#,##0.00\)</c:formatCode>
                <c:ptCount val="20"/>
                <c:pt idx="0">
                  <c:v>0</c:v>
                </c:pt>
                <c:pt idx="1">
                  <c:v>0</c:v>
                </c:pt>
                <c:pt idx="2">
                  <c:v>0</c:v>
                </c:pt>
                <c:pt idx="3">
                  <c:v>950</c:v>
                </c:pt>
                <c:pt idx="4">
                  <c:v>0</c:v>
                </c:pt>
                <c:pt idx="5">
                  <c:v>0</c:v>
                </c:pt>
                <c:pt idx="6">
                  <c:v>0</c:v>
                </c:pt>
                <c:pt idx="7">
                  <c:v>0</c:v>
                </c:pt>
                <c:pt idx="8">
                  <c:v>0</c:v>
                </c:pt>
                <c:pt idx="9">
                  <c:v>0</c:v>
                </c:pt>
                <c:pt idx="10">
                  <c:v>0</c:v>
                </c:pt>
                <c:pt idx="11">
                  <c:v>0</c:v>
                </c:pt>
                <c:pt idx="12">
                  <c:v>780</c:v>
                </c:pt>
                <c:pt idx="13">
                  <c:v>780</c:v>
                </c:pt>
                <c:pt idx="14">
                  <c:v>0</c:v>
                </c:pt>
                <c:pt idx="15">
                  <c:v>0</c:v>
                </c:pt>
                <c:pt idx="16">
                  <c:v>780</c:v>
                </c:pt>
                <c:pt idx="17">
                  <c:v>0</c:v>
                </c:pt>
                <c:pt idx="18">
                  <c:v>0</c:v>
                </c:pt>
                <c:pt idx="19">
                  <c:v>0</c:v>
                </c:pt>
              </c:numCache>
            </c:numRef>
          </c:val>
          <c:extLst>
            <c:ext xmlns:c16="http://schemas.microsoft.com/office/drawing/2014/chart" uri="{C3380CC4-5D6E-409C-BE32-E72D297353CC}">
              <c16:uniqueId val="{00000000-D11C-4ECA-80F1-52A3F561C238}"/>
            </c:ext>
          </c:extLst>
        </c:ser>
        <c:ser>
          <c:idx val="1"/>
          <c:order val="1"/>
          <c:tx>
            <c:strRef>
              <c:f>Logistics!$E$1</c:f>
              <c:strCache>
                <c:ptCount val="1"/>
                <c:pt idx="0">
                  <c:v>Q2 Bonus</c:v>
                </c:pt>
              </c:strCache>
            </c:strRef>
          </c:tx>
          <c:spPr>
            <a:solidFill>
              <a:schemeClr val="accent2"/>
            </a:solidFill>
            <a:ln>
              <a:noFill/>
            </a:ln>
            <a:effectLst/>
          </c:spPr>
          <c:invertIfNegative val="0"/>
          <c:cat>
            <c:strRef>
              <c:f>Logistics!$B$2:$B$21</c:f>
              <c:strCache>
                <c:ptCount val="20"/>
                <c:pt idx="0">
                  <c:v>Izzy Granger</c:v>
                </c:pt>
                <c:pt idx="1">
                  <c:v>Ruth Sixsmith</c:v>
                </c:pt>
                <c:pt idx="2">
                  <c:v>Wendy Boot</c:v>
                </c:pt>
                <c:pt idx="3">
                  <c:v>Sally Rigbye</c:v>
                </c:pt>
                <c:pt idx="4">
                  <c:v>Ian Charnock</c:v>
                </c:pt>
                <c:pt idx="5">
                  <c:v>Chris Walley</c:v>
                </c:pt>
                <c:pt idx="6">
                  <c:v>Liz Parry</c:v>
                </c:pt>
                <c:pt idx="7">
                  <c:v>Suzanne Wells</c:v>
                </c:pt>
                <c:pt idx="8">
                  <c:v>Neil Mansley</c:v>
                </c:pt>
                <c:pt idx="9">
                  <c:v>Jean Livesey</c:v>
                </c:pt>
                <c:pt idx="10">
                  <c:v>Lucy Abercrombie</c:v>
                </c:pt>
                <c:pt idx="11">
                  <c:v>Siobhan Wilson</c:v>
                </c:pt>
                <c:pt idx="12">
                  <c:v>Julie Chisnall</c:v>
                </c:pt>
                <c:pt idx="13">
                  <c:v>Rick Lovall</c:v>
                </c:pt>
                <c:pt idx="14">
                  <c:v>Pam Harrison</c:v>
                </c:pt>
                <c:pt idx="15">
                  <c:v>Max Eagle</c:v>
                </c:pt>
                <c:pt idx="16">
                  <c:v>Gill Jamieson</c:v>
                </c:pt>
                <c:pt idx="17">
                  <c:v>Rowina Draper</c:v>
                </c:pt>
                <c:pt idx="18">
                  <c:v>Will Draper</c:v>
                </c:pt>
                <c:pt idx="19">
                  <c:v>Jamie Penny</c:v>
                </c:pt>
              </c:strCache>
            </c:strRef>
          </c:cat>
          <c:val>
            <c:numRef>
              <c:f>Logistics!$E$2:$E$21</c:f>
              <c:numCache>
                <c:formatCode>"£"#,##0.00_);[Red]\("£"#,##0.00\)</c:formatCode>
                <c:ptCount val="20"/>
                <c:pt idx="0">
                  <c:v>0</c:v>
                </c:pt>
                <c:pt idx="1">
                  <c:v>950</c:v>
                </c:pt>
                <c:pt idx="2">
                  <c:v>950</c:v>
                </c:pt>
                <c:pt idx="3">
                  <c:v>0</c:v>
                </c:pt>
                <c:pt idx="4">
                  <c:v>0</c:v>
                </c:pt>
                <c:pt idx="5">
                  <c:v>0</c:v>
                </c:pt>
                <c:pt idx="6">
                  <c:v>0</c:v>
                </c:pt>
                <c:pt idx="7">
                  <c:v>0</c:v>
                </c:pt>
                <c:pt idx="8">
                  <c:v>0</c:v>
                </c:pt>
                <c:pt idx="9">
                  <c:v>1040</c:v>
                </c:pt>
                <c:pt idx="10">
                  <c:v>0</c:v>
                </c:pt>
                <c:pt idx="11">
                  <c:v>0</c:v>
                </c:pt>
                <c:pt idx="12">
                  <c:v>780</c:v>
                </c:pt>
                <c:pt idx="13">
                  <c:v>0</c:v>
                </c:pt>
                <c:pt idx="14">
                  <c:v>0</c:v>
                </c:pt>
                <c:pt idx="15">
                  <c:v>0</c:v>
                </c:pt>
                <c:pt idx="16">
                  <c:v>780</c:v>
                </c:pt>
                <c:pt idx="17">
                  <c:v>0</c:v>
                </c:pt>
                <c:pt idx="18">
                  <c:v>0</c:v>
                </c:pt>
                <c:pt idx="19">
                  <c:v>0</c:v>
                </c:pt>
              </c:numCache>
            </c:numRef>
          </c:val>
          <c:extLst>
            <c:ext xmlns:c16="http://schemas.microsoft.com/office/drawing/2014/chart" uri="{C3380CC4-5D6E-409C-BE32-E72D297353CC}">
              <c16:uniqueId val="{00000001-D11C-4ECA-80F1-52A3F561C238}"/>
            </c:ext>
          </c:extLst>
        </c:ser>
        <c:ser>
          <c:idx val="2"/>
          <c:order val="2"/>
          <c:tx>
            <c:strRef>
              <c:f>Logistics!$F$1</c:f>
              <c:strCache>
                <c:ptCount val="1"/>
                <c:pt idx="0">
                  <c:v>H1 Bonus</c:v>
                </c:pt>
              </c:strCache>
            </c:strRef>
          </c:tx>
          <c:spPr>
            <a:solidFill>
              <a:schemeClr val="accent3"/>
            </a:solidFill>
            <a:ln>
              <a:noFill/>
            </a:ln>
            <a:effectLst/>
          </c:spPr>
          <c:invertIfNegative val="0"/>
          <c:cat>
            <c:strRef>
              <c:f>Logistics!$B$2:$B$21</c:f>
              <c:strCache>
                <c:ptCount val="20"/>
                <c:pt idx="0">
                  <c:v>Izzy Granger</c:v>
                </c:pt>
                <c:pt idx="1">
                  <c:v>Ruth Sixsmith</c:v>
                </c:pt>
                <c:pt idx="2">
                  <c:v>Wendy Boot</c:v>
                </c:pt>
                <c:pt idx="3">
                  <c:v>Sally Rigbye</c:v>
                </c:pt>
                <c:pt idx="4">
                  <c:v>Ian Charnock</c:v>
                </c:pt>
                <c:pt idx="5">
                  <c:v>Chris Walley</c:v>
                </c:pt>
                <c:pt idx="6">
                  <c:v>Liz Parry</c:v>
                </c:pt>
                <c:pt idx="7">
                  <c:v>Suzanne Wells</c:v>
                </c:pt>
                <c:pt idx="8">
                  <c:v>Neil Mansley</c:v>
                </c:pt>
                <c:pt idx="9">
                  <c:v>Jean Livesey</c:v>
                </c:pt>
                <c:pt idx="10">
                  <c:v>Lucy Abercrombie</c:v>
                </c:pt>
                <c:pt idx="11">
                  <c:v>Siobhan Wilson</c:v>
                </c:pt>
                <c:pt idx="12">
                  <c:v>Julie Chisnall</c:v>
                </c:pt>
                <c:pt idx="13">
                  <c:v>Rick Lovall</c:v>
                </c:pt>
                <c:pt idx="14">
                  <c:v>Pam Harrison</c:v>
                </c:pt>
                <c:pt idx="15">
                  <c:v>Max Eagle</c:v>
                </c:pt>
                <c:pt idx="16">
                  <c:v>Gill Jamieson</c:v>
                </c:pt>
                <c:pt idx="17">
                  <c:v>Rowina Draper</c:v>
                </c:pt>
                <c:pt idx="18">
                  <c:v>Will Draper</c:v>
                </c:pt>
                <c:pt idx="19">
                  <c:v>Jamie Penny</c:v>
                </c:pt>
              </c:strCache>
            </c:strRef>
          </c:cat>
          <c:val>
            <c:numRef>
              <c:f>Logistics!$F$2:$F$21</c:f>
              <c:numCache>
                <c:formatCode>"£"#,##0.00;[Red]"£"#,##0.00</c:formatCode>
                <c:ptCount val="20"/>
                <c:pt idx="0">
                  <c:v>0</c:v>
                </c:pt>
                <c:pt idx="1">
                  <c:v>950</c:v>
                </c:pt>
                <c:pt idx="2">
                  <c:v>950</c:v>
                </c:pt>
                <c:pt idx="3">
                  <c:v>950</c:v>
                </c:pt>
                <c:pt idx="4">
                  <c:v>0</c:v>
                </c:pt>
                <c:pt idx="5">
                  <c:v>0</c:v>
                </c:pt>
                <c:pt idx="6">
                  <c:v>0</c:v>
                </c:pt>
                <c:pt idx="7">
                  <c:v>0</c:v>
                </c:pt>
                <c:pt idx="8">
                  <c:v>0</c:v>
                </c:pt>
                <c:pt idx="9">
                  <c:v>1040</c:v>
                </c:pt>
                <c:pt idx="10">
                  <c:v>0</c:v>
                </c:pt>
                <c:pt idx="11">
                  <c:v>0</c:v>
                </c:pt>
                <c:pt idx="12">
                  <c:v>1560</c:v>
                </c:pt>
                <c:pt idx="13">
                  <c:v>780</c:v>
                </c:pt>
                <c:pt idx="14">
                  <c:v>0</c:v>
                </c:pt>
                <c:pt idx="15">
                  <c:v>0</c:v>
                </c:pt>
                <c:pt idx="16">
                  <c:v>1560</c:v>
                </c:pt>
                <c:pt idx="17">
                  <c:v>0</c:v>
                </c:pt>
                <c:pt idx="18">
                  <c:v>0</c:v>
                </c:pt>
                <c:pt idx="19">
                  <c:v>0</c:v>
                </c:pt>
              </c:numCache>
            </c:numRef>
          </c:val>
          <c:extLst>
            <c:ext xmlns:c16="http://schemas.microsoft.com/office/drawing/2014/chart" uri="{C3380CC4-5D6E-409C-BE32-E72D297353CC}">
              <c16:uniqueId val="{00000002-D11C-4ECA-80F1-52A3F561C238}"/>
            </c:ext>
          </c:extLst>
        </c:ser>
        <c:dLbls>
          <c:showLegendKey val="0"/>
          <c:showVal val="0"/>
          <c:showCatName val="0"/>
          <c:showSerName val="0"/>
          <c:showPercent val="0"/>
          <c:showBubbleSize val="0"/>
        </c:dLbls>
        <c:gapWidth val="219"/>
        <c:overlap val="-27"/>
        <c:axId val="657980000"/>
        <c:axId val="657973280"/>
      </c:barChart>
      <c:catAx>
        <c:axId val="6579800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7973280"/>
        <c:crosses val="autoZero"/>
        <c:auto val="1"/>
        <c:lblAlgn val="ctr"/>
        <c:lblOffset val="100"/>
        <c:noMultiLvlLbl val="0"/>
      </c:catAx>
      <c:valAx>
        <c:axId val="657973280"/>
        <c:scaling>
          <c:orientation val="minMax"/>
        </c:scaling>
        <c:delete val="0"/>
        <c:axPos val="l"/>
        <c:majorGridlines>
          <c:spPr>
            <a:ln w="9525" cap="flat" cmpd="sng" algn="ctr">
              <a:solidFill>
                <a:schemeClr val="tx1">
                  <a:lumMod val="15000"/>
                  <a:lumOff val="85000"/>
                </a:schemeClr>
              </a:solidFill>
              <a:round/>
            </a:ln>
            <a:effectLst/>
          </c:spPr>
        </c:majorGridlines>
        <c:numFmt formatCode="&quot;£&quot;#,##0.00_);[Red]\(&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79800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R&amp;D Bonus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'R&amp;D'!$D$1</c:f>
              <c:strCache>
                <c:ptCount val="1"/>
                <c:pt idx="0">
                  <c:v>Q1 Bonus</c:v>
                </c:pt>
              </c:strCache>
            </c:strRef>
          </c:tx>
          <c:spPr>
            <a:solidFill>
              <a:schemeClr val="accent1"/>
            </a:solidFill>
            <a:ln>
              <a:noFill/>
            </a:ln>
            <a:effectLst/>
          </c:spPr>
          <c:invertIfNegative val="0"/>
          <c:cat>
            <c:strRef>
              <c:f>'R&amp;D'!$B$2:$B$11</c:f>
              <c:strCache>
                <c:ptCount val="10"/>
                <c:pt idx="0">
                  <c:v>Ethan Brar</c:v>
                </c:pt>
                <c:pt idx="1">
                  <c:v>Harrison Briggs</c:v>
                </c:pt>
                <c:pt idx="2">
                  <c:v>Steve Owens</c:v>
                </c:pt>
                <c:pt idx="3">
                  <c:v>Karen Hancock</c:v>
                </c:pt>
                <c:pt idx="4">
                  <c:v>Annabelle Hayes</c:v>
                </c:pt>
                <c:pt idx="5">
                  <c:v>Ruby Gardner</c:v>
                </c:pt>
                <c:pt idx="6">
                  <c:v>Ellie Riding</c:v>
                </c:pt>
                <c:pt idx="7">
                  <c:v>Laura Jones</c:v>
                </c:pt>
                <c:pt idx="8">
                  <c:v>Tasha Graham</c:v>
                </c:pt>
                <c:pt idx="9">
                  <c:v>Jennifer Frost</c:v>
                </c:pt>
              </c:strCache>
            </c:strRef>
          </c:cat>
          <c:val>
            <c:numRef>
              <c:f>'R&amp;D'!$D$2:$D$11</c:f>
              <c:numCache>
                <c:formatCode>"£"#,##0.00_);[Red]\("£"#,##0.00\)</c:formatCode>
                <c:ptCount val="10"/>
                <c:pt idx="0">
                  <c:v>1300</c:v>
                </c:pt>
                <c:pt idx="1">
                  <c:v>0</c:v>
                </c:pt>
                <c:pt idx="2">
                  <c:v>0</c:v>
                </c:pt>
                <c:pt idx="3">
                  <c:v>0</c:v>
                </c:pt>
                <c:pt idx="4">
                  <c:v>0</c:v>
                </c:pt>
                <c:pt idx="5">
                  <c:v>0</c:v>
                </c:pt>
                <c:pt idx="6">
                  <c:v>0</c:v>
                </c:pt>
                <c:pt idx="7">
                  <c:v>0</c:v>
                </c:pt>
                <c:pt idx="8">
                  <c:v>1180</c:v>
                </c:pt>
                <c:pt idx="9">
                  <c:v>1180</c:v>
                </c:pt>
              </c:numCache>
            </c:numRef>
          </c:val>
          <c:extLst>
            <c:ext xmlns:c16="http://schemas.microsoft.com/office/drawing/2014/chart" uri="{C3380CC4-5D6E-409C-BE32-E72D297353CC}">
              <c16:uniqueId val="{00000000-AFA0-4C10-B849-03EAC093D043}"/>
            </c:ext>
          </c:extLst>
        </c:ser>
        <c:ser>
          <c:idx val="1"/>
          <c:order val="1"/>
          <c:tx>
            <c:strRef>
              <c:f>'R&amp;D'!$E$1</c:f>
              <c:strCache>
                <c:ptCount val="1"/>
                <c:pt idx="0">
                  <c:v>Q2 Bonus</c:v>
                </c:pt>
              </c:strCache>
            </c:strRef>
          </c:tx>
          <c:spPr>
            <a:solidFill>
              <a:schemeClr val="accent2"/>
            </a:solidFill>
            <a:ln>
              <a:noFill/>
            </a:ln>
            <a:effectLst/>
          </c:spPr>
          <c:invertIfNegative val="0"/>
          <c:cat>
            <c:strRef>
              <c:f>'R&amp;D'!$B$2:$B$11</c:f>
              <c:strCache>
                <c:ptCount val="10"/>
                <c:pt idx="0">
                  <c:v>Ethan Brar</c:v>
                </c:pt>
                <c:pt idx="1">
                  <c:v>Harrison Briggs</c:v>
                </c:pt>
                <c:pt idx="2">
                  <c:v>Steve Owens</c:v>
                </c:pt>
                <c:pt idx="3">
                  <c:v>Karen Hancock</c:v>
                </c:pt>
                <c:pt idx="4">
                  <c:v>Annabelle Hayes</c:v>
                </c:pt>
                <c:pt idx="5">
                  <c:v>Ruby Gardner</c:v>
                </c:pt>
                <c:pt idx="6">
                  <c:v>Ellie Riding</c:v>
                </c:pt>
                <c:pt idx="7">
                  <c:v>Laura Jones</c:v>
                </c:pt>
                <c:pt idx="8">
                  <c:v>Tasha Graham</c:v>
                </c:pt>
                <c:pt idx="9">
                  <c:v>Jennifer Frost</c:v>
                </c:pt>
              </c:strCache>
            </c:strRef>
          </c:cat>
          <c:val>
            <c:numRef>
              <c:f>'R&amp;D'!$E$2:$E$11</c:f>
              <c:numCache>
                <c:formatCode>"£"#,##0.00_);[Red]\("£"#,##0.00\)</c:formatCode>
                <c:ptCount val="10"/>
                <c:pt idx="0">
                  <c:v>1300</c:v>
                </c:pt>
                <c:pt idx="1">
                  <c:v>1300</c:v>
                </c:pt>
                <c:pt idx="2">
                  <c:v>1180</c:v>
                </c:pt>
                <c:pt idx="3">
                  <c:v>0</c:v>
                </c:pt>
                <c:pt idx="4">
                  <c:v>0</c:v>
                </c:pt>
                <c:pt idx="5">
                  <c:v>0</c:v>
                </c:pt>
                <c:pt idx="6">
                  <c:v>0</c:v>
                </c:pt>
                <c:pt idx="7">
                  <c:v>0</c:v>
                </c:pt>
                <c:pt idx="8">
                  <c:v>1180</c:v>
                </c:pt>
                <c:pt idx="9">
                  <c:v>1180</c:v>
                </c:pt>
              </c:numCache>
            </c:numRef>
          </c:val>
          <c:extLst>
            <c:ext xmlns:c16="http://schemas.microsoft.com/office/drawing/2014/chart" uri="{C3380CC4-5D6E-409C-BE32-E72D297353CC}">
              <c16:uniqueId val="{00000001-AFA0-4C10-B849-03EAC093D043}"/>
            </c:ext>
          </c:extLst>
        </c:ser>
        <c:ser>
          <c:idx val="2"/>
          <c:order val="2"/>
          <c:tx>
            <c:strRef>
              <c:f>'R&amp;D'!$F$1</c:f>
              <c:strCache>
                <c:ptCount val="1"/>
                <c:pt idx="0">
                  <c:v>H1 Bonus</c:v>
                </c:pt>
              </c:strCache>
            </c:strRef>
          </c:tx>
          <c:spPr>
            <a:solidFill>
              <a:schemeClr val="accent3"/>
            </a:solidFill>
            <a:ln>
              <a:noFill/>
            </a:ln>
            <a:effectLst/>
          </c:spPr>
          <c:invertIfNegative val="0"/>
          <c:cat>
            <c:strRef>
              <c:f>'R&amp;D'!$B$2:$B$11</c:f>
              <c:strCache>
                <c:ptCount val="10"/>
                <c:pt idx="0">
                  <c:v>Ethan Brar</c:v>
                </c:pt>
                <c:pt idx="1">
                  <c:v>Harrison Briggs</c:v>
                </c:pt>
                <c:pt idx="2">
                  <c:v>Steve Owens</c:v>
                </c:pt>
                <c:pt idx="3">
                  <c:v>Karen Hancock</c:v>
                </c:pt>
                <c:pt idx="4">
                  <c:v>Annabelle Hayes</c:v>
                </c:pt>
                <c:pt idx="5">
                  <c:v>Ruby Gardner</c:v>
                </c:pt>
                <c:pt idx="6">
                  <c:v>Ellie Riding</c:v>
                </c:pt>
                <c:pt idx="7">
                  <c:v>Laura Jones</c:v>
                </c:pt>
                <c:pt idx="8">
                  <c:v>Tasha Graham</c:v>
                </c:pt>
                <c:pt idx="9">
                  <c:v>Jennifer Frost</c:v>
                </c:pt>
              </c:strCache>
            </c:strRef>
          </c:cat>
          <c:val>
            <c:numRef>
              <c:f>'R&amp;D'!$F$2:$F$11</c:f>
              <c:numCache>
                <c:formatCode>General</c:formatCode>
                <c:ptCount val="10"/>
                <c:pt idx="0">
                  <c:v>2600</c:v>
                </c:pt>
                <c:pt idx="1">
                  <c:v>1300</c:v>
                </c:pt>
                <c:pt idx="2">
                  <c:v>1180</c:v>
                </c:pt>
                <c:pt idx="3">
                  <c:v>0</c:v>
                </c:pt>
                <c:pt idx="4">
                  <c:v>0</c:v>
                </c:pt>
                <c:pt idx="5">
                  <c:v>0</c:v>
                </c:pt>
                <c:pt idx="6">
                  <c:v>0</c:v>
                </c:pt>
                <c:pt idx="7">
                  <c:v>0</c:v>
                </c:pt>
                <c:pt idx="8">
                  <c:v>2360</c:v>
                </c:pt>
                <c:pt idx="9">
                  <c:v>2360</c:v>
                </c:pt>
              </c:numCache>
            </c:numRef>
          </c:val>
          <c:extLst>
            <c:ext xmlns:c16="http://schemas.microsoft.com/office/drawing/2014/chart" uri="{C3380CC4-5D6E-409C-BE32-E72D297353CC}">
              <c16:uniqueId val="{00000002-AFA0-4C10-B849-03EAC093D043}"/>
            </c:ext>
          </c:extLst>
        </c:ser>
        <c:dLbls>
          <c:showLegendKey val="0"/>
          <c:showVal val="0"/>
          <c:showCatName val="0"/>
          <c:showSerName val="0"/>
          <c:showPercent val="0"/>
          <c:showBubbleSize val="0"/>
        </c:dLbls>
        <c:gapWidth val="219"/>
        <c:overlap val="-27"/>
        <c:axId val="713952064"/>
        <c:axId val="713943424"/>
      </c:barChart>
      <c:catAx>
        <c:axId val="7139520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3943424"/>
        <c:crosses val="autoZero"/>
        <c:auto val="1"/>
        <c:lblAlgn val="ctr"/>
        <c:lblOffset val="100"/>
        <c:noMultiLvlLbl val="0"/>
      </c:catAx>
      <c:valAx>
        <c:axId val="713943424"/>
        <c:scaling>
          <c:orientation val="minMax"/>
        </c:scaling>
        <c:delete val="0"/>
        <c:axPos val="l"/>
        <c:majorGridlines>
          <c:spPr>
            <a:ln w="9525" cap="flat" cmpd="sng" algn="ctr">
              <a:solidFill>
                <a:schemeClr val="tx1">
                  <a:lumMod val="15000"/>
                  <a:lumOff val="85000"/>
                </a:schemeClr>
              </a:solidFill>
              <a:round/>
            </a:ln>
            <a:effectLst/>
          </c:spPr>
        </c:majorGridlines>
        <c:numFmt formatCode="&quot;£&quot;#,##0.00_);[Red]\(&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39520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2</TotalTime>
  <Pages>15</Pages>
  <Words>5247</Words>
  <Characters>29914</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Williams</dc:creator>
  <cp:keywords/>
  <dc:description/>
  <cp:lastModifiedBy>Alison Williams</cp:lastModifiedBy>
  <cp:revision>2</cp:revision>
  <dcterms:created xsi:type="dcterms:W3CDTF">2024-11-24T16:55:00Z</dcterms:created>
  <dcterms:modified xsi:type="dcterms:W3CDTF">2024-11-24T16:55:00Z</dcterms:modified>
</cp:coreProperties>
</file>