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spacing w:line="360" w:lineRule="auto"/>
        <w:jc w:val="both"/>
        <w:rPr>
          <w:sz w:val="24"/>
          <w:szCs w:val="24"/>
        </w:rPr>
      </w:pPr>
    </w:p>
    <w:tbl>
      <w:tblPr>
        <w:tblW w:w="903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093"/>
        <w:gridCol w:w="2126"/>
        <w:gridCol w:w="3119"/>
        <w:gridCol w:w="1701"/>
      </w:tblGrid>
      <w:tr>
        <w:tblPrEx>
          <w:shd w:val="clear" w:color="auto" w:fill="ced7e7"/>
        </w:tblPrEx>
        <w:trPr>
          <w:trHeight w:val="330" w:hRule="atLeast"/>
        </w:trPr>
        <w:tc>
          <w:tcPr>
            <w:tcW w:type="dxa" w:w="20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</w:pPr>
            <w:r>
              <w:rPr>
                <w:rFonts w:ascii="Arial Unicode MS" w:hAnsi="Arial Unicode MS"/>
                <w:sz w:val="24"/>
                <w:szCs w:val="24"/>
                <w:rtl w:val="0"/>
                <w:lang w:val="en-US"/>
              </w:rPr>
              <w:t>Student name:</w:t>
            </w:r>
          </w:p>
        </w:tc>
        <w:tc>
          <w:tcPr>
            <w:tcW w:type="dxa" w:w="212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</w:pPr>
            <w:r>
              <w:rPr>
                <w:rFonts w:ascii="Arial Unicode MS" w:hAnsi="Arial Unicode MS"/>
                <w:sz w:val="24"/>
                <w:szCs w:val="24"/>
                <w:rtl w:val="0"/>
                <w:lang w:val="en-US"/>
              </w:rPr>
              <w:t>Xi Jiang(Sissi)</w:t>
            </w:r>
          </w:p>
        </w:tc>
        <w:tc>
          <w:tcPr>
            <w:tcW w:type="dxa" w:w="31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</w:pPr>
            <w:r>
              <w:rPr>
                <w:rFonts w:ascii="Arial Unicode MS" w:hAnsi="Arial Unicode MS"/>
                <w:sz w:val="24"/>
                <w:szCs w:val="24"/>
                <w:rtl w:val="0"/>
                <w:lang w:val="en-US"/>
              </w:rPr>
              <w:t>Student ID number:</w:t>
            </w:r>
          </w:p>
        </w:tc>
        <w:tc>
          <w:tcPr>
            <w:tcW w:type="dxa" w:w="17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</w:pPr>
            <w:r>
              <w:rPr>
                <w:rFonts w:ascii="Arial Unicode MS" w:hAnsi="Arial Unicode MS"/>
                <w:sz w:val="24"/>
                <w:szCs w:val="24"/>
                <w:rtl w:val="0"/>
                <w:lang w:val="en-US"/>
              </w:rPr>
              <w:t>1811683</w:t>
            </w:r>
          </w:p>
        </w:tc>
      </w:tr>
      <w:tr>
        <w:tblPrEx>
          <w:shd w:val="clear" w:color="auto" w:fill="ced7e7"/>
        </w:tblPrEx>
        <w:trPr>
          <w:trHeight w:val="330" w:hRule="atLeast"/>
        </w:trPr>
        <w:tc>
          <w:tcPr>
            <w:tcW w:type="dxa" w:w="20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</w:pPr>
            <w:r>
              <w:rPr>
                <w:rFonts w:ascii="Arial Unicode MS" w:hAnsi="Arial Unicode MS"/>
                <w:sz w:val="24"/>
                <w:szCs w:val="24"/>
                <w:rtl w:val="0"/>
                <w:lang w:val="en-US"/>
              </w:rPr>
              <w:t>Programme:</w:t>
            </w:r>
          </w:p>
        </w:tc>
        <w:tc>
          <w:tcPr>
            <w:tcW w:type="dxa" w:w="6946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</w:pPr>
            <w:r>
              <w:rPr>
                <w:rFonts w:ascii="Arial Unicode MS" w:hAnsi="Arial Unicode MS"/>
                <w:sz w:val="24"/>
                <w:szCs w:val="24"/>
                <w:rtl w:val="0"/>
                <w:lang w:val="en-US"/>
              </w:rPr>
              <w:t>DBA</w:t>
            </w:r>
          </w:p>
        </w:tc>
      </w:tr>
      <w:tr>
        <w:tblPrEx>
          <w:shd w:val="clear" w:color="auto" w:fill="ced7e7"/>
        </w:tblPrEx>
        <w:trPr>
          <w:trHeight w:val="330" w:hRule="atLeast"/>
        </w:trPr>
        <w:tc>
          <w:tcPr>
            <w:tcW w:type="dxa" w:w="20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</w:pPr>
            <w:r>
              <w:rPr>
                <w:rFonts w:ascii="Arial Unicode MS" w:hAnsi="Arial Unicode MS"/>
                <w:sz w:val="24"/>
                <w:szCs w:val="24"/>
                <w:rtl w:val="0"/>
                <w:lang w:val="en-US"/>
              </w:rPr>
              <w:t>Module:</w:t>
            </w:r>
          </w:p>
        </w:tc>
        <w:tc>
          <w:tcPr>
            <w:tcW w:type="dxa" w:w="6946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</w:pPr>
            <w:r>
              <w:rPr>
                <w:rFonts w:ascii="Arial Unicode MS" w:hAnsi="Arial Unicode MS"/>
                <w:sz w:val="24"/>
                <w:szCs w:val="24"/>
                <w:rtl w:val="0"/>
                <w:lang w:val="en-US"/>
              </w:rPr>
              <w:t>Identity and Approaches to Applied Business Research</w:t>
            </w:r>
          </w:p>
        </w:tc>
      </w:tr>
      <w:tr>
        <w:tblPrEx>
          <w:shd w:val="clear" w:color="auto" w:fill="ced7e7"/>
        </w:tblPrEx>
        <w:trPr>
          <w:trHeight w:val="810" w:hRule="atLeast"/>
        </w:trPr>
        <w:tc>
          <w:tcPr>
            <w:tcW w:type="dxa" w:w="20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</w:pPr>
            <w:r>
              <w:rPr>
                <w:rFonts w:ascii="Arial Unicode MS" w:hAnsi="Arial Unicode MS"/>
                <w:sz w:val="24"/>
                <w:szCs w:val="24"/>
                <w:rtl w:val="0"/>
                <w:lang w:val="en-US"/>
              </w:rPr>
              <w:t>Module code:</w:t>
            </w:r>
          </w:p>
        </w:tc>
        <w:tc>
          <w:tcPr>
            <w:tcW w:type="dxa" w:w="212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</w:pPr>
            <w:r>
              <w:rPr>
                <w:rFonts w:ascii="Arial Unicode MS" w:hAnsi="Arial Unicode MS"/>
                <w:sz w:val="24"/>
                <w:szCs w:val="24"/>
                <w:rtl w:val="0"/>
                <w:lang w:val="en-US"/>
              </w:rPr>
              <w:t>BMDM7001</w:t>
            </w:r>
          </w:p>
        </w:tc>
        <w:tc>
          <w:tcPr>
            <w:tcW w:type="dxa" w:w="31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2"/>
              <w:spacing w:before="0" w:after="0" w:line="360" w:lineRule="auto"/>
              <w:jc w:val="both"/>
            </w:pPr>
            <w:r>
              <w:rPr>
                <w:rFonts w:ascii="Arial Unicode MS" w:hAnsi="Arial Unicode MS"/>
                <w:b w:val="0"/>
                <w:bCs w:val="0"/>
                <w:i w:val="0"/>
                <w:iCs w:val="0"/>
                <w:sz w:val="24"/>
                <w:szCs w:val="24"/>
                <w:rtl w:val="0"/>
                <w:lang w:val="en-US"/>
              </w:rPr>
              <w:t>Contribution to Overall Module Assessment (%):</w:t>
            </w:r>
          </w:p>
        </w:tc>
        <w:tc>
          <w:tcPr>
            <w:tcW w:type="dxa" w:w="17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</w:pPr>
            <w:r>
              <w:rPr>
                <w:rFonts w:ascii="Arial Unicode MS" w:hAnsi="Arial Unicode MS"/>
                <w:sz w:val="24"/>
                <w:szCs w:val="24"/>
                <w:rtl w:val="0"/>
                <w:lang w:val="en-US"/>
              </w:rPr>
              <w:t>50%</w:t>
            </w:r>
          </w:p>
        </w:tc>
      </w:tr>
      <w:tr>
        <w:tblPrEx>
          <w:shd w:val="clear" w:color="auto" w:fill="ced7e7"/>
        </w:tblPrEx>
        <w:trPr>
          <w:trHeight w:val="810" w:hRule="atLeast"/>
        </w:trPr>
        <w:tc>
          <w:tcPr>
            <w:tcW w:type="dxa" w:w="20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</w:pPr>
            <w:r>
              <w:rPr>
                <w:rFonts w:ascii="Arial Unicode MS" w:hAnsi="Arial Unicode MS"/>
                <w:sz w:val="24"/>
                <w:szCs w:val="24"/>
                <w:rtl w:val="0"/>
                <w:lang w:val="en-US"/>
              </w:rPr>
              <w:t>Lecturer:</w:t>
            </w:r>
          </w:p>
        </w:tc>
        <w:tc>
          <w:tcPr>
            <w:tcW w:type="dxa" w:w="212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</w:pPr>
            <w:r>
              <w:rPr>
                <w:rFonts w:ascii="Arial Unicode MS" w:hAnsi="Arial Unicode MS"/>
                <w:sz w:val="24"/>
                <w:szCs w:val="24"/>
                <w:rtl w:val="0"/>
                <w:lang w:val="en-US"/>
              </w:rPr>
              <w:t>Professor Jill Venus</w:t>
            </w:r>
          </w:p>
        </w:tc>
        <w:tc>
          <w:tcPr>
            <w:tcW w:type="dxa" w:w="31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</w:pPr>
            <w:r>
              <w:rPr>
                <w:rFonts w:ascii="Arial Unicode MS" w:hAnsi="Arial Unicode MS"/>
                <w:sz w:val="24"/>
                <w:szCs w:val="24"/>
                <w:rtl w:val="0"/>
                <w:lang w:val="en-US"/>
              </w:rPr>
              <w:t>Internal Verifier:</w:t>
            </w:r>
          </w:p>
        </w:tc>
        <w:tc>
          <w:tcPr>
            <w:tcW w:type="dxa" w:w="17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10" w:hRule="atLeast"/>
        </w:trPr>
        <w:tc>
          <w:tcPr>
            <w:tcW w:type="dxa" w:w="20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</w:pPr>
            <w:r>
              <w:rPr>
                <w:rFonts w:ascii="Arial Unicode MS" w:hAnsi="Arial Unicode MS"/>
                <w:sz w:val="24"/>
                <w:szCs w:val="24"/>
                <w:rtl w:val="0"/>
                <w:lang w:val="en-US"/>
              </w:rPr>
              <w:t>Assignment Title:</w:t>
            </w:r>
          </w:p>
        </w:tc>
        <w:tc>
          <w:tcPr>
            <w:tcW w:type="dxa" w:w="212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</w:pPr>
            <w:r>
              <w:rPr>
                <w:rFonts w:ascii="Arial Unicode MS" w:hAnsi="Arial Unicode MS"/>
                <w:sz w:val="24"/>
                <w:szCs w:val="24"/>
                <w:rtl w:val="0"/>
                <w:lang w:val="en-US"/>
              </w:rPr>
              <w:t>Individual Video</w:t>
            </w:r>
          </w:p>
        </w:tc>
        <w:tc>
          <w:tcPr>
            <w:tcW w:type="dxa" w:w="31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</w:pPr>
            <w:r>
              <w:rPr>
                <w:rFonts w:ascii="Arial Unicode MS" w:hAnsi="Arial Unicode MS"/>
                <w:sz w:val="24"/>
                <w:szCs w:val="24"/>
                <w:rtl w:val="0"/>
                <w:lang w:val="en-US"/>
              </w:rPr>
              <w:t>Word count (or equivalent):</w:t>
            </w:r>
          </w:p>
        </w:tc>
        <w:tc>
          <w:tcPr>
            <w:tcW w:type="dxa" w:w="17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</w:pPr>
            <w:r>
              <w:rPr>
                <w:rFonts w:ascii="Arial Unicode MS" w:hAnsi="Arial Unicode MS"/>
                <w:sz w:val="24"/>
                <w:szCs w:val="24"/>
                <w:rtl w:val="0"/>
                <w:lang w:val="en-US"/>
              </w:rPr>
              <w:t>15 minutes</w:t>
            </w:r>
          </w:p>
        </w:tc>
      </w:tr>
      <w:tr>
        <w:tblPrEx>
          <w:shd w:val="clear" w:color="auto" w:fill="ced7e7"/>
        </w:tblPrEx>
        <w:trPr>
          <w:trHeight w:val="1290" w:hRule="atLeast"/>
        </w:trPr>
        <w:tc>
          <w:tcPr>
            <w:tcW w:type="dxa" w:w="20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</w:pPr>
            <w:r>
              <w:rPr>
                <w:rFonts w:ascii="Arial Unicode MS" w:hAnsi="Arial Unicode MS"/>
                <w:sz w:val="24"/>
                <w:szCs w:val="24"/>
                <w:rtl w:val="0"/>
                <w:lang w:val="en-US"/>
              </w:rPr>
              <w:t>Submission deadline:</w:t>
            </w:r>
          </w:p>
        </w:tc>
        <w:tc>
          <w:tcPr>
            <w:tcW w:type="dxa" w:w="212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</w:pPr>
            <w:r>
              <w:rPr>
                <w:rFonts w:ascii="Arial Unicode MS" w:hAnsi="Arial Unicode MS"/>
                <w:sz w:val="24"/>
                <w:szCs w:val="24"/>
                <w:rtl w:val="0"/>
                <w:lang w:val="en-US"/>
              </w:rPr>
              <w:t>May 2</w:t>
            </w:r>
            <w:r>
              <w:rPr>
                <w:rFonts w:ascii="Arial Unicode MS" w:hAnsi="Arial Unicode MS"/>
                <w:sz w:val="24"/>
                <w:szCs w:val="24"/>
                <w:vertAlign w:val="superscript"/>
                <w:rtl w:val="0"/>
                <w:lang w:val="en-US"/>
              </w:rPr>
              <w:t>nd</w:t>
            </w:r>
            <w:r>
              <w:rPr>
                <w:rFonts w:ascii="Arial Unicode MS" w:hAnsi="Arial Unicode MS"/>
                <w:sz w:val="24"/>
                <w:szCs w:val="24"/>
                <w:rtl w:val="0"/>
                <w:lang w:val="en-US"/>
              </w:rPr>
              <w:t>, 10.00am</w:t>
            </w:r>
          </w:p>
        </w:tc>
        <w:tc>
          <w:tcPr>
            <w:tcW w:type="dxa" w:w="31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8d8d8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</w:pPr>
            <w:r>
              <w:rPr>
                <w:rFonts w:ascii="Arial Unicode MS" w:hAnsi="Arial Unicode MS"/>
                <w:sz w:val="24"/>
                <w:szCs w:val="24"/>
                <w:rtl w:val="0"/>
                <w:lang w:val="en-US"/>
              </w:rPr>
              <w:t>Return date of provisional marks &amp; written feedback:</w:t>
            </w:r>
          </w:p>
        </w:tc>
        <w:tc>
          <w:tcPr>
            <w:tcW w:type="dxa" w:w="17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both"/>
            </w:pPr>
            <w:r>
              <w:rPr>
                <w:rFonts w:ascii="Arial Unicode MS" w:hAnsi="Arial Unicode MS"/>
                <w:sz w:val="24"/>
                <w:szCs w:val="24"/>
                <w:rtl w:val="0"/>
                <w:lang w:val="en-US"/>
              </w:rPr>
              <w:t>May 30</w:t>
            </w:r>
            <w:r>
              <w:rPr>
                <w:rFonts w:ascii="Arial Unicode MS" w:hAnsi="Arial Unicode MS"/>
                <w:sz w:val="24"/>
                <w:szCs w:val="24"/>
                <w:vertAlign w:val="superscript"/>
                <w:rtl w:val="0"/>
                <w:lang w:val="en-US"/>
              </w:rPr>
              <w:t>th</w:t>
            </w:r>
          </w:p>
        </w:tc>
      </w:tr>
    </w:tbl>
    <w:p>
      <w:pPr>
        <w:pStyle w:val="Normal.0"/>
        <w:spacing w:line="360" w:lineRule="auto"/>
        <w:jc w:val="both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4"/>
          <w:szCs w:val="24"/>
        </w:rPr>
        <w:br w:type="page"/>
      </w:r>
    </w:p>
    <w:p>
      <w:pPr>
        <w:pStyle w:val="heading 1"/>
        <w:spacing w:before="0"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The url YouTube link to my video</w:t>
      </w:r>
      <w:r>
        <w:rPr>
          <w:sz w:val="24"/>
          <w:szCs w:val="24"/>
          <w:rtl w:val="0"/>
          <w:lang w:val="en-US"/>
        </w:rPr>
        <w:t>:</w:t>
      </w:r>
    </w:p>
    <w:p>
      <w:pPr>
        <w:pStyle w:val="Normal.0"/>
        <w:spacing w:line="360" w:lineRule="auto"/>
        <w:jc w:val="both"/>
        <w:rPr>
          <w:rFonts w:ascii="Arial" w:cs="Arial" w:hAnsi="Arial" w:eastAsia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rtl w:val="0"/>
          <w:lang w:val="en-US"/>
        </w:rPr>
        <w:t>https://youtu.be/YRjmEu8_p_0</w:t>
      </w:r>
    </w:p>
    <w:p>
      <w:pPr>
        <w:pStyle w:val="heading 1"/>
        <w:spacing w:before="0" w:after="0" w:line="360" w:lineRule="auto"/>
        <w:jc w:val="both"/>
        <w:rPr>
          <w:lang w:val="en-US"/>
        </w:rPr>
      </w:pPr>
    </w:p>
    <w:p>
      <w:pPr>
        <w:pStyle w:val="heading 1"/>
        <w:spacing w:before="0" w:after="0" w:line="360" w:lineRule="auto"/>
        <w:jc w:val="both"/>
        <w:rPr>
          <w:b w:val="0"/>
          <w:bCs w:val="0"/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Bibliography</w:t>
      </w:r>
    </w:p>
    <w:p>
      <w:pPr>
        <w:pStyle w:val="Normal.0"/>
        <w:rPr>
          <w:color w:val="53565a"/>
          <w:u w:color="53565a"/>
        </w:rPr>
      </w:pP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21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世纪经济报道</w:t>
      </w:r>
      <w:r>
        <w:rPr>
          <w:color w:val="53565a"/>
          <w:u w:color="53565a"/>
          <w:rtl w:val="0"/>
          <w:lang w:val="en-US"/>
        </w:rPr>
        <w:t xml:space="preserve">, 2015.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法国养老巨头进军中国市场</w:t>
      </w:r>
      <w:r>
        <w:rPr>
          <w:color w:val="53565a"/>
          <w:u w:color="53565a"/>
          <w:rtl w:val="0"/>
          <w:lang w:val="zh-TW" w:eastAsia="zh-TW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出牌医养结合</w:t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ALI HAMED, May 29, 2014-last update, Coventure elderly_care.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"https://www.slideshare.net/AliHamed3/co-venture-elderlycare"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https://www.slideshare.net/AliHamed3/co-venture-elderlycare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CHINADAILY, Feb 28, 2016-last update, Private capital encouraged to invest in elderly care industry.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"http://www.chinadaily.com.cn/china/2015-02/26/content_19655487.htm"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http://www.chinadaily.com.cn/china/2015-02/26/content_19655487.htm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CHINAPOWER TEAM, April 29, 2019-last update, Does China have an aging problem?.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"https://chinapower.csis.org/aging-problem/"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https://chinapower.csis.org/aging-problem/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COVAN, E.K., 1997. Cultural priorities and elder care: The impact on women.</w:t>
      </w:r>
      <w:r>
        <w:rPr>
          <w:color w:val="53565a"/>
          <w:u w:color="53565a"/>
          <w:rtl w:val="0"/>
          <w:lang w:val="en-US"/>
        </w:rPr>
        <w:t> </w:t>
      </w:r>
      <w:r>
        <w:rPr>
          <w:color w:val="53565a"/>
          <w:u w:color="53565a"/>
          <w:rtl w:val="0"/>
          <w:lang w:val="en-US"/>
        </w:rPr>
        <w:t>Health care for women international,</w:t>
      </w:r>
      <w:r>
        <w:rPr>
          <w:color w:val="53565a"/>
          <w:u w:color="53565a"/>
          <w:rtl w:val="0"/>
          <w:lang w:val="en-US"/>
        </w:rPr>
        <w:t> </w:t>
      </w:r>
      <w:r>
        <w:rPr>
          <w:color w:val="53565a"/>
          <w:u w:color="53565a"/>
          <w:rtl w:val="0"/>
          <w:lang w:val="en-US"/>
        </w:rPr>
        <w:t>18(4), pp. 329-342.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DANA LARSEN, Oct 10, 2016-last update, How Do Different Cultures Take Care of Seniors?.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"https://www.aplaceformom.com/blog/10-10-16-how-different-cultures-take-care-of-seniors/"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https://www.aplaceformom.com/blog/10-10-16-how-different-cultures-take-care-of-seniors/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 xml:space="preserve">DENIS, G., July 30, 2014-last update, Elderly care </w:t>
      </w:r>
      <w:r>
        <w:rPr>
          <w:color w:val="53565a"/>
          <w:u w:color="53565a"/>
          <w:rtl w:val="0"/>
          <w:lang w:val="en-US"/>
        </w:rPr>
        <w:t xml:space="preserve">– </w:t>
      </w:r>
      <w:r>
        <w:rPr>
          <w:color w:val="53565a"/>
          <w:u w:color="53565a"/>
          <w:rtl w:val="0"/>
          <w:lang w:val="en-US"/>
        </w:rPr>
        <w:t>coping with the 4:2:1 problem.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"http://chinaoutlook.com/elderly-care-coping-with-the-421-problem/"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http://chinaoutlook.com/elderly-care-coping-with-the-421-problem/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E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药脸谱网</w:t>
      </w:r>
      <w:r>
        <w:rPr>
          <w:color w:val="53565a"/>
          <w:u w:color="53565a"/>
          <w:rtl w:val="0"/>
          <w:lang w:val="en-US"/>
        </w:rPr>
        <w:t xml:space="preserve">, 2016.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从北美最大两家养老连锁公司的崛起历程看中国机构养老发展趋势</w:t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FEEH, M., 2013. Cultural Differences in Elderly Care.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FRANCHISEHELP, 2018-last update, Senior Care Industry Analysis 2018 - Cost &amp;amp; Trends.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"https://www.franchisehelp.com/industry-reports/senior-care-industry-analysis-2018-cost-trends/"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https://www.franchisehelp.com/industry-reports/senior-care-industry-analysis-2018-cost-trends/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FREEDONIAGROUP, , Elder Care Services.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"https://www.freedoniagroup.com/industry-study/elder-care-services-3214.htm"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https://www.freedoniagroup.com/industry-study/elder-care-services-3214.htm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 xml:space="preserve">GEDDES, J., 2016. Elaboration Likelihood Model Theory </w:t>
      </w:r>
      <w:r>
        <w:rPr>
          <w:color w:val="53565a"/>
          <w:u w:color="53565a"/>
          <w:rtl w:val="0"/>
          <w:lang w:val="en-US"/>
        </w:rPr>
        <w:t xml:space="preserve">– </w:t>
      </w:r>
      <w:r>
        <w:rPr>
          <w:color w:val="53565a"/>
          <w:u w:color="53565a"/>
          <w:rtl w:val="0"/>
          <w:lang w:val="en-US"/>
        </w:rPr>
        <w:t>Using ELM to Get inside the User</w:t>
      </w:r>
      <w:r>
        <w:rPr>
          <w:color w:val="53565a"/>
          <w:u w:color="53565a"/>
          <w:rtl w:val="0"/>
          <w:lang w:val="en-US"/>
        </w:rPr>
        <w:t>’</w:t>
      </w:r>
      <w:r>
        <w:rPr>
          <w:color w:val="53565a"/>
          <w:u w:color="53565a"/>
          <w:rtl w:val="0"/>
          <w:lang w:val="en-US"/>
        </w:rPr>
        <w:t>s Mind.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INNOVATE, B.C., Aug 2, 2018-last update, Why Elder Care is the Next Billion-Dollar Market | #BCTECH Summit 2018.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"https://www.youtube.com/watch?v=V2XqSv_U4C8"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https://www.youtube.com/watch?v=V2XqSv_U4C8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IPSOS ENCYCLOPEDIA, June13, 2016-last update, Ipsos Encyclopedia - Usage &amp;amp; Attitude Surveys (U&amp;amp;A).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"https://www.ipsos.com/en/ipsos-encyclopedia-usage-attitude-surveys-ua"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https://www.ipsos.com/en/ipsos-encyclopedia-usage-attitude-surveys-ua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JIANHUA, L., Mar 22, 2019-last update, Can China handle its aging population?.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"https://news.cgtn.com/news/3d3d514f3349544e33457a6333566d54/index.html"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https://news.cgtn.com/news/3d3d514f3349544e33457a6333566d54/index.html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LAUNCHFACTORY88, Mar 18, 2015-last update, Selling in the Chinese Elderly Care and Rehabilitation Sector.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"https://www.slideshare.net/LaunchFactory88/sales-and-distribution-in-elderlycareandrehabiliationsectorpdf?qid=a318d386-7de8-4976-b9a7-adf2266d683c&amp;v=&amp;b=&amp;from_search=14"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https://www.slideshare.net/LaunchFactory88/sales-and-distribution-in-elderlycareandrehabiliationsectorpdf?qid=a318d386-7de8-4976-b9a7-adf2266d683c&amp;v=&amp;b=&amp;from_search=14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LEE, J.A. and KACEN, J.J., 2008. Cultural influences on consumer satisfaction with impulse and planned purchase decisions.</w:t>
      </w:r>
      <w:r>
        <w:rPr>
          <w:color w:val="53565a"/>
          <w:u w:color="53565a"/>
          <w:rtl w:val="0"/>
          <w:lang w:val="en-US"/>
        </w:rPr>
        <w:t> </w:t>
      </w:r>
      <w:r>
        <w:rPr>
          <w:color w:val="53565a"/>
          <w:u w:color="53565a"/>
          <w:rtl w:val="0"/>
          <w:lang w:val="en-US"/>
        </w:rPr>
        <w:t>Journal of Business Research,</w:t>
      </w:r>
      <w:r>
        <w:rPr>
          <w:color w:val="53565a"/>
          <w:u w:color="53565a"/>
          <w:rtl w:val="0"/>
          <w:lang w:val="en-US"/>
        </w:rPr>
        <w:t> </w:t>
      </w:r>
      <w:r>
        <w:rPr>
          <w:color w:val="53565a"/>
          <w:u w:color="53565a"/>
          <w:rtl w:val="0"/>
          <w:lang w:val="en-US"/>
        </w:rPr>
        <w:t>61(3), pp. 265-272.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LONDON BUSINESS SCHOOL, April 4, 2017-last update, The 100 year life | London Business School.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"https://www.youtube.com/watch?v=toeGObb7gy4"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https://www.youtube.com/watch?v=toeGObb7gy4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MAZURSKYFILM, Sep 19., 2010-last update, "HARRY &amp;amp; TONTO" TRAILER.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"https://youtu.be/aPZ87LqYzlM"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https://youtu.be/aPZ87LqYzlM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 xml:space="preserve">MBALIB, 2019-last update,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什么是</w:t>
      </w:r>
      <w:r>
        <w:rPr>
          <w:color w:val="53565a"/>
          <w:u w:color="53565a"/>
          <w:rtl w:val="0"/>
          <w:lang w:val="en-US"/>
        </w:rPr>
        <w:t>TOFA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模型</w:t>
      </w:r>
      <w:r>
        <w:rPr>
          <w:color w:val="53565a"/>
          <w:u w:color="53565a"/>
          <w:rtl w:val="0"/>
          <w:lang w:val="en-US"/>
        </w:rPr>
        <w:t>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1"/>
          <w:color w:val="0066cc"/>
          <w:u w:color="0066cc"/>
          <w:lang w:val="en-US"/>
        </w:rPr>
        <w:fldChar w:fldCharType="begin" w:fldLock="0"/>
      </w:r>
      <w:r>
        <w:rPr>
          <w:rStyle w:val="Hyperlink.1"/>
          <w:color w:val="0066cc"/>
          <w:u w:color="0066cc"/>
          <w:lang w:val="en-US"/>
        </w:rPr>
        <w:instrText xml:space="preserve"> HYPERLINK "https://wiki.mbalib.com/wiki/TOFA%25E6%25A8%25A1%25E5%259E%258B"</w:instrText>
      </w:r>
      <w:r>
        <w:rPr>
          <w:rStyle w:val="Hyperlink.1"/>
          <w:color w:val="0066cc"/>
          <w:u w:color="0066cc"/>
          <w:lang w:val="en-US"/>
        </w:rPr>
        <w:fldChar w:fldCharType="separate" w:fldLock="0"/>
      </w:r>
      <w:r>
        <w:rPr>
          <w:rStyle w:val="Hyperlink.1"/>
          <w:color w:val="0066cc"/>
          <w:u w:color="0066cc"/>
          <w:rtl w:val="0"/>
          <w:lang w:val="en-US"/>
        </w:rPr>
        <w:t>https://wiki.mbalib.com/wiki/TOFA%E6%A8%A1%E5%9E%8B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MITHILESH TRIVEDI, Jul 25, 2014-last update, Consumer Decision Making Models.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"https://www.slideshare.net/mithileshtrivedi581/consumer-decision-making-models"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https://www.slideshare.net/mithileshtrivedi581/consumer-decision-making-models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MORTIMER NATALIE, February 8, 2017-last update, The new old: Why the creative industry needs to rethink the ageing population.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"https://www.thedrum.com/news/2017/02/08/the-new-old-why-the-creative-industry-needs-rethink-the-ageing-population"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https://www.thedrum.com/news/2017/02/08/the-new-old-why-the-creative-industry-needs-rethink-the-ageing-population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 xml:space="preserve">MYERS, S.L., WU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，</w:t>
      </w:r>
      <w:r>
        <w:rPr>
          <w:color w:val="53565a"/>
          <w:u w:color="53565a"/>
          <w:rtl w:val="0"/>
          <w:lang w:val="en-US"/>
        </w:rPr>
        <w:t>JIN and FU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，</w:t>
      </w:r>
      <w:r>
        <w:rPr>
          <w:color w:val="53565a"/>
          <w:u w:color="53565a"/>
          <w:rtl w:val="0"/>
          <w:lang w:val="zh-TW" w:eastAsia="zh-TW"/>
        </w:rPr>
        <w:t xml:space="preserve"> </w:t>
      </w:r>
      <w:r>
        <w:rPr>
          <w:color w:val="53565a"/>
          <w:u w:color="53565a"/>
          <w:rtl w:val="0"/>
          <w:lang w:val="en-US"/>
        </w:rPr>
        <w:t>CLAIRE, January 21, 2019-last update, China</w:t>
      </w:r>
      <w:r>
        <w:rPr>
          <w:color w:val="53565a"/>
          <w:u w:color="53565a"/>
          <w:rtl w:val="0"/>
          <w:lang w:val="en-US"/>
        </w:rPr>
        <w:t>’</w:t>
      </w:r>
      <w:r>
        <w:rPr>
          <w:color w:val="53565a"/>
          <w:u w:color="53565a"/>
          <w:rtl w:val="0"/>
          <w:lang w:val="en-US"/>
        </w:rPr>
        <w:t>s Looming Crisis: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color w:val="53565a"/>
          <w:u w:color="53565a"/>
          <w:lang w:val="en-US"/>
        </w:rPr>
        <w:br w:type="textWrapping"/>
      </w:r>
      <w:r>
        <w:rPr>
          <w:color w:val="53565a"/>
          <w:u w:color="53565a"/>
          <w:rtl w:val="0"/>
          <w:lang w:val="en-US"/>
        </w:rPr>
        <w:t>A Shrinking Population.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1"/>
          <w:color w:val="0066cc"/>
          <w:u w:color="0066cc"/>
          <w:lang w:val="en-US"/>
        </w:rPr>
        <w:fldChar w:fldCharType="begin" w:fldLock="0"/>
      </w:r>
      <w:r>
        <w:rPr>
          <w:rStyle w:val="Hyperlink.1"/>
          <w:color w:val="0066cc"/>
          <w:u w:color="0066cc"/>
          <w:lang w:val="en-US"/>
        </w:rPr>
        <w:instrText xml:space="preserve"> HYPERLINK "https://www.nytimes.com/interactive/2019/01/17/world/asia/china-population-crisis.html"</w:instrText>
      </w:r>
      <w:r>
        <w:rPr>
          <w:rStyle w:val="Hyperlink.1"/>
          <w:color w:val="0066cc"/>
          <w:u w:color="0066cc"/>
          <w:lang w:val="en-US"/>
        </w:rPr>
        <w:fldChar w:fldCharType="separate" w:fldLock="0"/>
      </w:r>
      <w:r>
        <w:rPr>
          <w:rStyle w:val="Hyperlink.1"/>
          <w:color w:val="0066cc"/>
          <w:u w:color="0066cc"/>
          <w:rtl w:val="0"/>
          <w:lang w:val="en-US"/>
        </w:rPr>
        <w:t>https://www.nytimes.com/interactive/2019/01/17/world/asia/china-population-crisis.html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NRP, 2013. An Age-Old Problem: Who Is 'Elderly'? 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PARRY, K.R., 2015. No title.</w:t>
      </w:r>
      <w:r>
        <w:rPr>
          <w:color w:val="53565a"/>
          <w:u w:color="53565a"/>
          <w:rtl w:val="0"/>
          <w:lang w:val="en-US"/>
        </w:rPr>
        <w:t> </w:t>
      </w:r>
      <w:r>
        <w:rPr>
          <w:color w:val="53565a"/>
          <w:u w:color="53565a"/>
          <w:rtl w:val="0"/>
          <w:lang w:val="en-US"/>
        </w:rPr>
        <w:t>Enhancing Quality of Life for Elderly People Through Effective Decision-making Processes in the Planning and Design of the External Residential Environment on the UK South Coast,</w:t>
      </w:r>
      <w:r>
        <w:rPr>
          <w:color w:val="53565a"/>
          <w:u w:color="53565a"/>
          <w:rtl w:val="0"/>
          <w:lang w:val="en-US"/>
        </w:rPr>
        <w:t> </w:t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POPULATIONPYRAMID.NET, Population Pyramids of the World from 1950 to 2100.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SCIENCE NEWS, July 15, 2016-last update, What is aging?.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"https://www.youtube.com/watch?v=3I4Sh9Mtl30"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https://www.youtube.com/watch?v=3I4Sh9Mtl30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SMITHSTREET, Jun 4, 2014-last update, Opportunities in China</w:t>
      </w:r>
      <w:r>
        <w:rPr>
          <w:color w:val="53565a"/>
          <w:u w:color="53565a"/>
          <w:rtl w:val="0"/>
          <w:lang w:val="en-US"/>
        </w:rPr>
        <w:t>’</w:t>
      </w:r>
      <w:r>
        <w:rPr>
          <w:color w:val="53565a"/>
          <w:u w:color="53565a"/>
          <w:rtl w:val="0"/>
          <w:lang w:val="en-US"/>
        </w:rPr>
        <w:t>s Elderly Care Facilities Market.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"https://www.slideshare.net/smithstreet/opportunities-in-chinas-elderly-care-facilities-market?qid=a318d386-7de8-4976-b9a7-adf2266d683c&amp;v=&amp;b=&amp;from_search=1"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https://www.slideshare.net/smithstreet/opportunities-in-chinas-elderly-care-facilities-market?qid=a318d386-7de8-4976-b9a7-adf2266d683c&amp;v=&amp;b=&amp;from_search=1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THE EMERGING MARKETS SYMPOSIUM, , EMS 2015: Programme. Available: Https://ems.gtc.ox.ac.uk/ems-2015/programme.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THE NEW YORKER VIDEOS, Nov 15, 2018-last update, The Blessings of aging.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"https://video.newyorker.com/watch/the-blessings-of-aging"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https://video.newyorker.com/watch/the-blessings-of-aging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VARSHA CHAUDHARI, Feb 5, 2018-last update, Elderly Care Market Research Trend: 2018.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"https://www.slideshare.net/varshachaudhari/elderly-care-market-research-trend-2018?qid=a318d386-7de8-4976-b9a7-adf2266d683c&amp;v=&amp;b=&amp;from_search=3"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https://www.slideshare.net/varshachaudhari/elderly-care-market-research-trend-2018?qid=a318d386-7de8-4976-b9a7-adf2266d683c&amp;v=&amp;b=&amp;from_search=3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WHO, , 10 Priorities for a Decade of Action on Healthy Ageing.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"https://www.who.int/ageing/en/"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https://www.who.int/ageing/en/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YAO, C., Oct 18, 2017-last update, China</w:t>
      </w:r>
      <w:r>
        <w:rPr>
          <w:color w:val="53565a"/>
          <w:u w:color="53565a"/>
          <w:rtl w:val="0"/>
          <w:lang w:val="en-US"/>
        </w:rPr>
        <w:t>’</w:t>
      </w:r>
      <w:r>
        <w:rPr>
          <w:color w:val="53565a"/>
          <w:u w:color="53565a"/>
          <w:rtl w:val="0"/>
          <w:lang w:val="en-US"/>
        </w:rPr>
        <w:t>s Universities for the Elderly.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"https://news.cgtn.com/news/3151544f30597a6333566d54/index.html"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https://news.cgtn.com/news/3151544f30597a6333566d54/index.html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YAU, O.H., 1988. Chinese cultural values: Their dimensions and marketing implications.</w:t>
      </w:r>
      <w:r>
        <w:rPr>
          <w:color w:val="53565a"/>
          <w:u w:color="53565a"/>
          <w:rtl w:val="0"/>
          <w:lang w:val="en-US"/>
        </w:rPr>
        <w:t> </w:t>
      </w:r>
      <w:r>
        <w:rPr>
          <w:color w:val="53565a"/>
          <w:u w:color="53565a"/>
          <w:rtl w:val="0"/>
          <w:lang w:val="en-US"/>
        </w:rPr>
        <w:t>European Journal of marketing,</w:t>
      </w:r>
      <w:r>
        <w:rPr>
          <w:color w:val="53565a"/>
          <w:u w:color="53565a"/>
          <w:rtl w:val="0"/>
          <w:lang w:val="en-US"/>
        </w:rPr>
        <w:t> </w:t>
      </w:r>
      <w:r>
        <w:rPr>
          <w:color w:val="53565a"/>
          <w:u w:color="53565a"/>
          <w:rtl w:val="0"/>
          <w:lang w:val="en-US"/>
        </w:rPr>
        <w:t>22(5), pp. 44-57.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YE, M., Jun 21, 2018-last update, &amp;nbsp;China looks for swiss solutions in the elderly care sector&amp;nbsp;.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"https://www.s-ge.com/en/article/global-opportunities/20182-china-opportunities-elderly-care-sector"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https://www.s-ge.com/en/article/global-opportunities/20182-china-opportunities-elderly-care-sector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YOUTUBE, 2019-last update, How an ageing population will change the world - BBC News.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"https://www.youtube.com/watch?v=x4r0S5qoIXc"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https://www.youtube.com/watch?v=x4r0S5qoIXc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ZHANG, Y., 2015.</w:t>
      </w:r>
      <w:r>
        <w:rPr>
          <w:color w:val="53565a"/>
          <w:u w:color="53565a"/>
          <w:rtl w:val="0"/>
          <w:lang w:val="en-US"/>
        </w:rPr>
        <w:t> </w:t>
      </w:r>
      <w:r>
        <w:rPr>
          <w:color w:val="53565a"/>
          <w:u w:color="53565a"/>
          <w:rtl w:val="0"/>
          <w:lang w:val="en-US"/>
        </w:rPr>
        <w:t>Full Circle.</w:t>
      </w:r>
      <w:r>
        <w:rPr>
          <w:color w:val="53565a"/>
          <w:u w:color="53565a"/>
          <w:rtl w:val="0"/>
          <w:lang w:val="en-US"/>
        </w:rPr>
        <w:t> </w:t>
      </w:r>
      <w:r>
        <w:rPr>
          <w:color w:val="53565a"/>
          <w:u w:color="53565a"/>
          <w:rtl w:val="0"/>
          <w:lang w:val="en-US"/>
        </w:rPr>
        <w:t>tt2401013: 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color w:val="53565a"/>
          <w:u w:color="53565a"/>
          <w:rtl w:val="0"/>
          <w:lang w:val="en-US"/>
        </w:rPr>
        <w:t>ZHANG, Y. and GOZA, F.W., 2006. Who will care for the elderly in China?: A review of the problems caused by China's one-child policy and their potential solutions.</w:t>
      </w:r>
      <w:r>
        <w:rPr>
          <w:color w:val="53565a"/>
          <w:u w:color="53565a"/>
          <w:rtl w:val="0"/>
          <w:lang w:val="en-US"/>
        </w:rPr>
        <w:t> </w:t>
      </w:r>
      <w:r>
        <w:rPr>
          <w:color w:val="53565a"/>
          <w:u w:color="53565a"/>
          <w:rtl w:val="0"/>
          <w:lang w:val="en-US"/>
        </w:rPr>
        <w:t>Journal of Aging Studies,</w:t>
      </w:r>
      <w:r>
        <w:rPr>
          <w:color w:val="53565a"/>
          <w:u w:color="53565a"/>
          <w:rtl w:val="0"/>
          <w:lang w:val="en-US"/>
        </w:rPr>
        <w:t> </w:t>
      </w:r>
      <w:r>
        <w:rPr>
          <w:color w:val="53565a"/>
          <w:u w:color="53565a"/>
          <w:rtl w:val="0"/>
          <w:lang w:val="en-US"/>
        </w:rPr>
        <w:t>20(2), pp. 151-164.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刘</w:t>
      </w:r>
      <w:r>
        <w:rPr>
          <w:color w:val="53565a"/>
          <w:u w:color="53565a"/>
          <w:rtl w:val="0"/>
          <w:lang w:val="en-US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静</w:t>
      </w:r>
      <w:r>
        <w:rPr>
          <w:color w:val="53565a"/>
          <w:u w:color="53565a"/>
          <w:rtl w:val="0"/>
          <w:lang w:val="en-US"/>
        </w:rPr>
        <w:t xml:space="preserve">, 2019.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分析</w:t>
      </w:r>
      <w:r>
        <w:rPr>
          <w:color w:val="53565a"/>
          <w:u w:color="53565a"/>
          <w:rtl w:val="0"/>
          <w:lang w:val="en-US"/>
        </w:rPr>
        <w:t>82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家涉足养老产业的上市公司</w:t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前瞻网</w:t>
      </w:r>
      <w:r>
        <w:rPr>
          <w:color w:val="53565a"/>
          <w:u w:color="53565a"/>
          <w:rtl w:val="0"/>
          <w:lang w:val="en-US"/>
        </w:rPr>
        <w:t xml:space="preserve">, July 27, 2018-last update,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养老产业的</w:t>
      </w:r>
      <w:r>
        <w:rPr>
          <w:color w:val="53565a"/>
          <w:u w:color="53565a"/>
          <w:rtl w:val="0"/>
          <w:lang w:val="en-US"/>
        </w:rPr>
        <w:t>10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大细分市场分析</w:t>
      </w:r>
      <w:r>
        <w:rPr>
          <w:color w:val="53565a"/>
          <w:u w:color="53565a"/>
          <w:rtl w:val="0"/>
          <w:lang w:val="en-US"/>
        </w:rPr>
        <w:t>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1"/>
          <w:color w:val="0066cc"/>
          <w:u w:color="0066cc"/>
          <w:lang w:val="en-US"/>
        </w:rPr>
        <w:fldChar w:fldCharType="begin" w:fldLock="0"/>
      </w:r>
      <w:r>
        <w:rPr>
          <w:rStyle w:val="Hyperlink.1"/>
          <w:color w:val="0066cc"/>
          <w:u w:color="0066cc"/>
          <w:lang w:val="en-US"/>
        </w:rPr>
        <w:instrText xml:space="preserve"> HYPERLINK "http://m.sohu.com/a/243673352_114835"</w:instrText>
      </w:r>
      <w:r>
        <w:rPr>
          <w:rStyle w:val="Hyperlink.1"/>
          <w:color w:val="0066cc"/>
          <w:u w:color="0066cc"/>
          <w:lang w:val="en-US"/>
        </w:rPr>
        <w:fldChar w:fldCharType="separate" w:fldLock="0"/>
      </w:r>
      <w:r>
        <w:rPr>
          <w:rStyle w:val="Hyperlink.1"/>
          <w:color w:val="0066cc"/>
          <w:u w:color="0066cc"/>
          <w:rtl w:val="0"/>
          <w:lang w:val="en-US"/>
        </w:rPr>
        <w:t>http://m.sohu.com/a/243673352_114835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勇登</w:t>
      </w:r>
      <w:r>
        <w:rPr>
          <w:color w:val="53565a"/>
          <w:u w:color="53565a"/>
          <w:rtl w:val="0"/>
          <w:lang w:val="zh-TW" w:eastAsia="zh-TW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山下</w:t>
      </w:r>
      <w:r>
        <w:rPr>
          <w:color w:val="53565a"/>
          <w:u w:color="53565a"/>
          <w:rtl w:val="0"/>
          <w:lang w:val="en-US"/>
        </w:rPr>
        <w:t>, Aug 19, 2015-last update, Elderly care in china.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1"/>
          <w:color w:val="0066cc"/>
          <w:u w:color="0066cc"/>
          <w:lang w:val="en-US"/>
        </w:rPr>
        <w:fldChar w:fldCharType="begin" w:fldLock="0"/>
      </w:r>
      <w:r>
        <w:rPr>
          <w:rStyle w:val="Hyperlink.1"/>
          <w:color w:val="0066cc"/>
          <w:u w:color="0066cc"/>
          <w:lang w:val="en-US"/>
        </w:rPr>
        <w:instrText xml:space="preserve"> HYPERLINK "https://www.slideshare.net/hayatoyamashita1/elderly-care-in-china?qid=a318d386-7de8-4976-b9a7-adf2266d683c&amp;v=&amp;b=&amp;from_search=22"</w:instrText>
      </w:r>
      <w:r>
        <w:rPr>
          <w:rStyle w:val="Hyperlink.1"/>
          <w:color w:val="0066cc"/>
          <w:u w:color="0066cc"/>
          <w:lang w:val="en-US"/>
        </w:rPr>
        <w:fldChar w:fldCharType="separate" w:fldLock="0"/>
      </w:r>
      <w:r>
        <w:rPr>
          <w:rStyle w:val="Hyperlink.1"/>
          <w:color w:val="0066cc"/>
          <w:u w:color="0066cc"/>
          <w:rtl w:val="0"/>
          <w:lang w:val="en-US"/>
        </w:rPr>
        <w:t>https://www.slideshare.net/hayatoyamashita1/elderly-care-in-china?qid=a318d386-7de8-4976-b9a7-adf2266d683c&amp;v=&amp;b=&amp;from_search=22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婕</w:t>
      </w:r>
      <w:r>
        <w:rPr>
          <w:color w:val="53565a"/>
          <w:u w:color="53565a"/>
          <w:rtl w:val="0"/>
          <w:lang w:val="en-US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王</w:t>
      </w:r>
      <w:r>
        <w:rPr>
          <w:color w:val="53565a"/>
          <w:u w:color="53565a"/>
          <w:rtl w:val="0"/>
          <w:lang w:val="zh-TW" w:eastAsia="zh-TW"/>
        </w:rPr>
        <w:t xml:space="preserve"> </w:t>
      </w:r>
      <w:r>
        <w:rPr>
          <w:color w:val="53565a"/>
          <w:u w:color="53565a"/>
          <w:rtl w:val="0"/>
          <w:lang w:val="en-US"/>
        </w:rPr>
        <w:t xml:space="preserve">and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小燕</w:t>
      </w:r>
      <w:r>
        <w:rPr>
          <w:color w:val="53565a"/>
          <w:u w:color="53565a"/>
          <w:rtl w:val="0"/>
          <w:lang w:val="en-US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陈</w:t>
      </w:r>
      <w:r>
        <w:rPr>
          <w:color w:val="53565a"/>
          <w:u w:color="53565a"/>
          <w:rtl w:val="0"/>
          <w:lang w:val="en-US"/>
        </w:rPr>
        <w:t xml:space="preserve">, oct 20, 2015-last update,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老年大学</w:t>
      </w:r>
      <w:r>
        <w:rPr>
          <w:color w:val="53565a"/>
          <w:u w:color="53565a"/>
          <w:rtl w:val="0"/>
          <w:lang w:val="en-US"/>
        </w:rPr>
        <w:t>“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供不应求</w:t>
      </w:r>
      <w:r>
        <w:rPr>
          <w:color w:val="53565a"/>
          <w:u w:color="53565a"/>
          <w:rtl w:val="0"/>
          <w:lang w:val="en-US"/>
        </w:rPr>
        <w:t>”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，有老人表示还想学点理财</w:t>
      </w:r>
      <w:r>
        <w:rPr>
          <w:color w:val="53565a"/>
          <w:u w:color="53565a"/>
          <w:rtl w:val="0"/>
          <w:lang w:val="en-US"/>
        </w:rPr>
        <w:t>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1"/>
          <w:color w:val="0066cc"/>
          <w:u w:color="0066cc"/>
          <w:lang w:val="en-US"/>
        </w:rPr>
        <w:fldChar w:fldCharType="begin" w:fldLock="0"/>
      </w:r>
      <w:r>
        <w:rPr>
          <w:rStyle w:val="Hyperlink.1"/>
          <w:color w:val="0066cc"/>
          <w:u w:color="0066cc"/>
          <w:lang w:val="en-US"/>
        </w:rPr>
        <w:instrText xml:space="preserve"> HYPERLINK "http://zj.people.com.cn/n/2015/1020/c228592-26864232.html"</w:instrText>
      </w:r>
      <w:r>
        <w:rPr>
          <w:rStyle w:val="Hyperlink.1"/>
          <w:color w:val="0066cc"/>
          <w:u w:color="0066cc"/>
          <w:lang w:val="en-US"/>
        </w:rPr>
        <w:fldChar w:fldCharType="separate" w:fldLock="0"/>
      </w:r>
      <w:r>
        <w:rPr>
          <w:rStyle w:val="Hyperlink.1"/>
          <w:color w:val="0066cc"/>
          <w:u w:color="0066cc"/>
          <w:rtl w:val="0"/>
          <w:lang w:val="en-US"/>
        </w:rPr>
        <w:t>http://zj.people.com.cn/n/2015/1020/c228592-26864232.html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家具专区网</w:t>
      </w:r>
      <w:r>
        <w:rPr>
          <w:color w:val="53565a"/>
          <w:u w:color="53565a"/>
          <w:rtl w:val="0"/>
          <w:lang w:val="en-US"/>
        </w:rPr>
        <w:t xml:space="preserve">, 2018.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谷歌考虑开发老年人的智能家居产品</w:t>
      </w:r>
      <w:r>
        <w:rPr>
          <w:color w:val="53565a"/>
          <w:u w:color="53565a"/>
          <w:rtl w:val="0"/>
          <w:lang w:val="zh-TW" w:eastAsia="zh-TW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正在与养老机构和老年专家接洽</w:t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张国庆</w:t>
      </w:r>
      <w:r>
        <w:rPr>
          <w:color w:val="53565a"/>
          <w:u w:color="53565a"/>
          <w:rtl w:val="0"/>
          <w:lang w:val="en-US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曹学慧</w:t>
      </w:r>
      <w:r>
        <w:rPr>
          <w:color w:val="53565a"/>
          <w:u w:color="53565a"/>
          <w:rtl w:val="0"/>
          <w:lang w:val="zh-TW" w:eastAsia="zh-TW"/>
        </w:rPr>
        <w:t xml:space="preserve"> </w:t>
      </w:r>
      <w:r>
        <w:rPr>
          <w:color w:val="53565a"/>
          <w:u w:color="53565a"/>
          <w:rtl w:val="0"/>
          <w:lang w:val="en-US"/>
        </w:rPr>
        <w:t xml:space="preserve">and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文泽华</w:t>
      </w:r>
      <w:r>
        <w:rPr>
          <w:color w:val="53565a"/>
          <w:u w:color="53565a"/>
          <w:rtl w:val="0"/>
          <w:lang w:val="en-US"/>
        </w:rPr>
        <w:t xml:space="preserve">, 2009.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传统文化对消费心理的影响及营销对策</w:t>
      </w:r>
      <w:r>
        <w:rPr>
          <w:color w:val="53565a"/>
          <w:u w:color="53565a"/>
          <w:rtl w:val="0"/>
          <w:lang w:val="en-US"/>
        </w:rPr>
        <w:t>.</w:t>
      </w:r>
      <w:r>
        <w:rPr>
          <w:color w:val="53565a"/>
          <w:u w:color="53565a"/>
          <w:rtl w:val="0"/>
          <w:lang w:val="en-US"/>
        </w:rPr>
        <w:t> 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中外企业家</w:t>
      </w:r>
      <w:r>
        <w:rPr>
          <w:color w:val="53565a"/>
          <w:u w:color="53565a"/>
          <w:rtl w:val="0"/>
          <w:lang w:val="en-US"/>
        </w:rPr>
        <w:t>,</w:t>
      </w:r>
      <w:r>
        <w:rPr>
          <w:color w:val="53565a"/>
          <w:u w:color="53565a"/>
          <w:rtl w:val="0"/>
          <w:lang w:val="en-US"/>
        </w:rPr>
        <w:t> </w:t>
      </w:r>
      <w:r>
        <w:rPr>
          <w:color w:val="53565a"/>
          <w:u w:color="53565a"/>
          <w:rtl w:val="0"/>
          <w:lang w:val="en-US"/>
        </w:rPr>
        <w:t>6.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杨晓燕</w:t>
      </w:r>
      <w:r>
        <w:rPr>
          <w:color w:val="53565a"/>
          <w:u w:color="53565a"/>
          <w:rtl w:val="0"/>
          <w:lang w:val="en-US"/>
        </w:rPr>
        <w:t xml:space="preserve">, 2003.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中国消费者行为研究综述</w:t>
      </w:r>
      <w:r>
        <w:rPr>
          <w:color w:val="53565a"/>
          <w:u w:color="53565a"/>
          <w:rtl w:val="0"/>
          <w:lang w:val="en-US"/>
        </w:rPr>
        <w:t>.</w:t>
      </w:r>
      <w:r>
        <w:rPr>
          <w:color w:val="53565a"/>
          <w:u w:color="53565a"/>
          <w:rtl w:val="0"/>
          <w:lang w:val="en-US"/>
        </w:rPr>
        <w:t> 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经济经纬</w:t>
      </w:r>
      <w:r>
        <w:rPr>
          <w:color w:val="53565a"/>
          <w:u w:color="53565a"/>
          <w:rtl w:val="0"/>
          <w:lang w:val="en-US"/>
        </w:rPr>
        <w:t>,</w:t>
      </w:r>
      <w:r>
        <w:rPr>
          <w:color w:val="53565a"/>
          <w:u w:color="53565a"/>
          <w:rtl w:val="0"/>
          <w:lang w:val="en-US"/>
        </w:rPr>
        <w:t> </w:t>
      </w:r>
      <w:r>
        <w:rPr>
          <w:color w:val="53565a"/>
          <w:u w:color="53565a"/>
          <w:rtl w:val="0"/>
          <w:lang w:val="en-US"/>
        </w:rPr>
        <w:t>1, pp. 56-58.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杨鼎新</w:t>
      </w:r>
      <w:r>
        <w:rPr>
          <w:color w:val="53565a"/>
          <w:u w:color="53565a"/>
          <w:rtl w:val="0"/>
          <w:lang w:val="en-US"/>
        </w:rPr>
        <w:t xml:space="preserve">, 2003.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论品牌营销的文化定位</w:t>
      </w:r>
      <w:r>
        <w:rPr>
          <w:color w:val="53565a"/>
          <w:u w:color="53565a"/>
          <w:rtl w:val="0"/>
          <w:lang w:val="en-US"/>
        </w:rPr>
        <w:t>.</w:t>
      </w:r>
      <w:r>
        <w:rPr>
          <w:color w:val="53565a"/>
          <w:u w:color="53565a"/>
          <w:rtl w:val="0"/>
          <w:lang w:val="en-US"/>
        </w:rPr>
        <w:t> 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经济研究参考</w:t>
      </w:r>
      <w:r>
        <w:rPr>
          <w:color w:val="53565a"/>
          <w:u w:color="53565a"/>
          <w:rtl w:val="0"/>
          <w:lang w:val="en-US"/>
        </w:rPr>
        <w:t>,</w:t>
      </w:r>
      <w:r>
        <w:rPr>
          <w:color w:val="53565a"/>
          <w:u w:color="53565a"/>
          <w:rtl w:val="0"/>
          <w:lang w:val="en-US"/>
        </w:rPr>
        <w:t> </w:t>
      </w:r>
      <w:r>
        <w:rPr>
          <w:color w:val="53565a"/>
          <w:u w:color="53565a"/>
          <w:rtl w:val="0"/>
          <w:lang w:val="en-US"/>
        </w:rPr>
        <w:t>22.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潘煜</w:t>
      </w:r>
      <w:r>
        <w:rPr>
          <w:color w:val="53565a"/>
          <w:u w:color="53565a"/>
          <w:rtl w:val="0"/>
          <w:lang w:val="en-US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高丽</w:t>
      </w:r>
      <w:r>
        <w:rPr>
          <w:color w:val="53565a"/>
          <w:u w:color="53565a"/>
          <w:rtl w:val="0"/>
          <w:lang w:val="en-US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张星</w:t>
      </w:r>
      <w:r>
        <w:rPr>
          <w:color w:val="53565a"/>
          <w:u w:color="53565a"/>
          <w:rtl w:val="0"/>
          <w:lang w:val="zh-TW" w:eastAsia="zh-TW"/>
        </w:rPr>
        <w:t xml:space="preserve"> </w:t>
      </w:r>
      <w:r>
        <w:rPr>
          <w:color w:val="53565a"/>
          <w:u w:color="53565a"/>
          <w:rtl w:val="0"/>
          <w:lang w:val="en-US"/>
        </w:rPr>
        <w:t xml:space="preserve">and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万岩</w:t>
      </w:r>
      <w:r>
        <w:rPr>
          <w:color w:val="53565a"/>
          <w:u w:color="53565a"/>
          <w:rtl w:val="0"/>
          <w:lang w:val="en-US"/>
        </w:rPr>
        <w:t xml:space="preserve">, 2014.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中国文化背景下的消费者价值观研究</w:t>
      </w:r>
      <w:r>
        <w:rPr>
          <w:color w:val="53565a"/>
          <w:u w:color="53565a"/>
          <w:rtl w:val="0"/>
          <w:lang w:val="en-US"/>
        </w:rPr>
        <w:t>——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量表开发与比较</w:t>
      </w:r>
      <w:r>
        <w:rPr>
          <w:color w:val="53565a"/>
          <w:u w:color="53565a"/>
          <w:rtl w:val="0"/>
          <w:lang w:val="en-US"/>
        </w:rPr>
        <w:t>.</w:t>
      </w:r>
      <w:r>
        <w:rPr>
          <w:color w:val="53565a"/>
          <w:u w:color="53565a"/>
          <w:rtl w:val="0"/>
          <w:lang w:val="en-US"/>
        </w:rPr>
        <w:t> 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管理世界</w:t>
      </w:r>
      <w:r>
        <w:rPr>
          <w:color w:val="53565a"/>
          <w:u w:color="53565a"/>
          <w:rtl w:val="0"/>
          <w:lang w:val="en-US"/>
        </w:rPr>
        <w:t>,</w:t>
      </w:r>
      <w:r>
        <w:rPr>
          <w:color w:val="53565a"/>
          <w:u w:color="53565a"/>
          <w:rtl w:val="0"/>
          <w:lang w:val="en-US"/>
        </w:rPr>
        <w:t> </w:t>
      </w:r>
      <w:r>
        <w:rPr>
          <w:color w:val="53565a"/>
          <w:u w:color="53565a"/>
          <w:rtl w:val="0"/>
          <w:lang w:val="en-US"/>
        </w:rPr>
        <w:t>4, pp. 90-106.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璠</w:t>
      </w:r>
      <w:r>
        <w:rPr>
          <w:color w:val="53565a"/>
          <w:u w:color="53565a"/>
          <w:rtl w:val="0"/>
          <w:lang w:val="en-US"/>
        </w:rPr>
        <w:t xml:space="preserve">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李</w:t>
      </w:r>
      <w:r>
        <w:rPr>
          <w:color w:val="53565a"/>
          <w:u w:color="53565a"/>
          <w:rtl w:val="0"/>
          <w:lang w:val="en-US"/>
        </w:rPr>
        <w:t xml:space="preserve">, Nov 25, 2014-last update,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山西老年大学新增</w:t>
      </w:r>
      <w:r>
        <w:rPr>
          <w:color w:val="53565a"/>
          <w:u w:color="53565a"/>
          <w:rtl w:val="0"/>
          <w:lang w:val="en-US"/>
        </w:rPr>
        <w:t>17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个班仍</w:t>
      </w:r>
      <w:r>
        <w:rPr>
          <w:color w:val="53565a"/>
          <w:u w:color="53565a"/>
          <w:rtl w:val="0"/>
          <w:lang w:val="en-US"/>
        </w:rPr>
        <w:t>“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供不应求</w:t>
      </w:r>
      <w:r>
        <w:rPr>
          <w:color w:val="53565a"/>
          <w:u w:color="53565a"/>
          <w:rtl w:val="0"/>
          <w:lang w:val="en-US"/>
        </w:rPr>
        <w:t>”</w:t>
      </w:r>
      <w:r>
        <w:rPr>
          <w:color w:val="53565a"/>
          <w:u w:color="53565a"/>
          <w:rtl w:val="0"/>
          <w:lang w:val="en-US"/>
        </w:rPr>
        <w:t>. Available:</w:t>
      </w:r>
      <w:r>
        <w:rPr>
          <w:color w:val="53565a"/>
          <w:u w:color="53565a"/>
          <w:rtl w:val="0"/>
          <w:lang w:val="en-US"/>
        </w:rPr>
        <w:t> </w:t>
      </w:r>
      <w:r>
        <w:rPr>
          <w:rStyle w:val="Hyperlink.1"/>
          <w:color w:val="0066cc"/>
          <w:u w:color="0066cc"/>
          <w:lang w:val="en-US"/>
        </w:rPr>
        <w:fldChar w:fldCharType="begin" w:fldLock="0"/>
      </w:r>
      <w:r>
        <w:rPr>
          <w:rStyle w:val="Hyperlink.1"/>
          <w:color w:val="0066cc"/>
          <w:u w:color="0066cc"/>
          <w:lang w:val="en-US"/>
        </w:rPr>
        <w:instrText xml:space="preserve"> HYPERLINK "http://www.cncaprc.gov.cn/contents/793/167118.html"</w:instrText>
      </w:r>
      <w:r>
        <w:rPr>
          <w:rStyle w:val="Hyperlink.1"/>
          <w:color w:val="0066cc"/>
          <w:u w:color="0066cc"/>
          <w:lang w:val="en-US"/>
        </w:rPr>
        <w:fldChar w:fldCharType="separate" w:fldLock="0"/>
      </w:r>
      <w:r>
        <w:rPr>
          <w:rStyle w:val="Hyperlink.1"/>
          <w:color w:val="0066cc"/>
          <w:u w:color="0066cc"/>
          <w:rtl w:val="0"/>
          <w:lang w:val="en-US"/>
        </w:rPr>
        <w:t>http://www.cncaprc.gov.cn/contents/793/167118.html</w:t>
      </w:r>
      <w:r>
        <w:rPr/>
        <w:fldChar w:fldCharType="end" w:fldLock="0"/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符国群</w:t>
      </w:r>
      <w:r>
        <w:rPr>
          <w:color w:val="53565a"/>
          <w:u w:color="53565a"/>
          <w:rtl w:val="0"/>
          <w:lang w:val="en-US"/>
        </w:rPr>
        <w:t>, 2010.</w:t>
      </w:r>
      <w:r>
        <w:rPr>
          <w:color w:val="53565a"/>
          <w:u w:color="53565a"/>
          <w:rtl w:val="0"/>
          <w:lang w:val="en-US"/>
        </w:rPr>
        <w:t> 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消费者行为学</w:t>
      </w:r>
      <w:r>
        <w:rPr>
          <w:color w:val="53565a"/>
          <w:u w:color="53565a"/>
          <w:rtl w:val="0"/>
          <w:lang w:val="en-US"/>
        </w:rPr>
        <w:t>.</w:t>
      </w:r>
      <w:r>
        <w:rPr>
          <w:color w:val="53565a"/>
          <w:u w:color="53565a"/>
          <w:rtl w:val="0"/>
          <w:lang w:val="en-US"/>
        </w:rPr>
        <w:t> 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高等教育出版社</w:t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  <w:rPr>
          <w:color w:val="53565a"/>
          <w:u w:color="53565a"/>
        </w:rPr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颐养在线资讯</w:t>
      </w:r>
      <w:r>
        <w:rPr>
          <w:color w:val="53565a"/>
          <w:u w:color="53565a"/>
          <w:rtl w:val="0"/>
          <w:lang w:val="zh-TW" w:eastAsia="zh-TW"/>
        </w:rPr>
        <w:t xml:space="preserve"> </w:t>
      </w:r>
      <w:r>
        <w:rPr>
          <w:color w:val="53565a"/>
          <w:u w:color="53565a"/>
          <w:rtl w:val="0"/>
          <w:lang w:val="en-US"/>
        </w:rPr>
        <w:t xml:space="preserve">2018-08-09, 2018.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中国养老市场存在巨大商机</w:t>
      </w:r>
      <w:r>
        <w:rPr>
          <w:color w:val="53565a"/>
          <w:u w:color="53565a"/>
          <w:rtl w:val="0"/>
          <w:lang w:val="en-US"/>
        </w:rPr>
        <w:t>.</w:t>
      </w:r>
    </w:p>
    <w:p>
      <w:pPr>
        <w:pStyle w:val="Normal (Web)"/>
        <w:shd w:val="clear" w:color="auto" w:fill="ffffff"/>
        <w:spacing w:before="0" w:after="0" w:line="360" w:lineRule="auto"/>
        <w:jc w:val="both"/>
      </w:pP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高志静</w:t>
      </w:r>
      <w:r>
        <w:rPr>
          <w:color w:val="53565a"/>
          <w:u w:color="53565a"/>
          <w:rtl w:val="0"/>
          <w:lang w:val="en-US"/>
        </w:rPr>
        <w:t xml:space="preserve">, 2008.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论传统文化与价值观对消费者行为的影响</w:t>
      </w:r>
      <w:r>
        <w:rPr>
          <w:color w:val="53565a"/>
          <w:u w:color="53565a"/>
          <w:rtl w:val="0"/>
          <w:lang w:val="en-US"/>
        </w:rPr>
        <w:t>.</w:t>
      </w:r>
      <w:r>
        <w:rPr>
          <w:color w:val="53565a"/>
          <w:u w:color="53565a"/>
          <w:rtl w:val="0"/>
          <w:lang w:val="en-US"/>
        </w:rPr>
        <w:t> 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3565a"/>
          <w:u w:color="53565a"/>
          <w:rtl w:val="0"/>
          <w:lang w:val="zh-TW" w:eastAsia="zh-TW"/>
        </w:rPr>
        <w:t>中国集体经济</w:t>
      </w:r>
      <w:r>
        <w:rPr>
          <w:color w:val="53565a"/>
          <w:u w:color="53565a"/>
          <w:rtl w:val="0"/>
          <w:lang w:val="en-US"/>
        </w:rPr>
        <w:t>,</w:t>
      </w:r>
      <w:r>
        <w:rPr>
          <w:color w:val="53565a"/>
          <w:u w:color="53565a"/>
          <w:rtl w:val="0"/>
          <w:lang w:val="en-US"/>
        </w:rPr>
        <w:t> </w:t>
      </w:r>
      <w:r>
        <w:rPr>
          <w:color w:val="53565a"/>
          <w:u w:color="53565a"/>
          <w:rtl w:val="0"/>
          <w:lang w:val="en-US"/>
        </w:rPr>
        <w:t>8.</w:t>
      </w:r>
      <w:r>
        <w:rPr>
          <w:color w:val="53565a"/>
          <w:u w:color="53565a"/>
        </w:rPr>
      </w:r>
    </w:p>
    <w:sectPr>
      <w:headerReference w:type="default" r:id="rId4"/>
      <w:footerReference w:type="default" r:id="rId5"/>
      <w:pgSz w:w="11900" w:h="16840" w:orient="portrait"/>
      <w:pgMar w:top="1440" w:right="1800" w:bottom="1440" w:left="1800" w:header="851" w:footer="992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宋体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4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  <w:style w:type="paragraph" w:styleId="heading 2">
    <w:name w:val="heading 2"/>
    <w:next w:val="Normal.0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40" w:after="60" w:line="276" w:lineRule="auto"/>
      <w:ind w:left="0" w:right="0" w:firstLine="0"/>
      <w:jc w:val="left"/>
      <w:outlineLvl w:val="1"/>
    </w:pPr>
    <w:rPr>
      <w:rFonts w:ascii="Arial" w:cs="Arial Unicode MS" w:hAnsi="Arial" w:eastAsia="Arial Unicode MS"/>
      <w:b w:val="1"/>
      <w:bCs w:val="1"/>
      <w:i w:val="1"/>
      <w:iCs w:val="1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vertAlign w:val="baseline"/>
      <w:lang w:val="en-US"/>
    </w:rPr>
  </w:style>
  <w:style w:type="paragraph" w:styleId="heading 1">
    <w:name w:val="heading 1"/>
    <w:next w:val="Normal.0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340" w:after="330" w:line="578" w:lineRule="auto"/>
      <w:ind w:left="0" w:right="0" w:firstLine="0"/>
      <w:jc w:val="left"/>
      <w:outlineLvl w:val="0"/>
    </w:pPr>
    <w:rPr>
      <w:rFonts w:ascii="Calibri" w:cs="Calibri" w:hAnsi="Calibri" w:eastAsia="Calibri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44"/>
      <w:position w:val="0"/>
      <w:sz w:val="44"/>
      <w:szCs w:val="44"/>
      <w:u w:val="none" w:color="000000"/>
      <w:vertAlign w:val="baseline"/>
      <w:lang w:val="en-US"/>
    </w:rPr>
  </w:style>
  <w:style w:type="paragraph" w:styleId="Normal (Web)">
    <w:name w:val="Normal (Web)"/>
    <w:next w:val="Normal (Web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宋体" w:cs="宋体" w:hAnsi="宋体" w:eastAsia="宋体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character" w:styleId="Link">
    <w:name w:val="Link"/>
    <w:rPr>
      <w:color w:val="0000ff"/>
      <w:u w:val="single" w:color="0000ff"/>
    </w:rPr>
  </w:style>
  <w:style w:type="character" w:styleId="Hyperlink.0">
    <w:name w:val="Hyperlink.0"/>
    <w:basedOn w:val="Link"/>
    <w:next w:val="Hyperlink.0"/>
    <w:rPr>
      <w:color w:val="0066cc"/>
      <w:u w:color="0066cc"/>
    </w:rPr>
  </w:style>
  <w:style w:type="character" w:styleId="Hyperlink.1">
    <w:name w:val="Hyperlink.1"/>
    <w:basedOn w:val="Link"/>
    <w:next w:val="Hyperlink.1"/>
    <w:rPr>
      <w:color w:val="0066cc"/>
      <w:u w:color="0066cc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主题​​">
  <a:themeElements>
    <a:clrScheme name="Office 主题​​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主题​​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主题​​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