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C0A9F4D" wp14:paraId="59BA9080" wp14:textId="6FAA7B91">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Consent and its role in in cases involving battery</w:t>
      </w:r>
    </w:p>
    <w:p xmlns:wp14="http://schemas.microsoft.com/office/word/2010/wordml" w:rsidP="0C0A9F4D" wp14:paraId="710CC07D" wp14:textId="4A774DCB">
      <w:pPr>
        <w:spacing w:before="0" w:beforeAutospacing="off" w:after="160" w:afterAutospacing="off" w:line="360" w:lineRule="exact"/>
        <w:rPr>
          <w:rFonts w:ascii="Arial" w:hAnsi="Arial" w:eastAsia="Arial" w:cs="Arial"/>
          <w:noProof w:val="0"/>
          <w:color w:val="1F1F1F"/>
          <w:sz w:val="24"/>
          <w:szCs w:val="24"/>
          <w:lang w:val="en-GB"/>
        </w:rPr>
      </w:pPr>
      <w:r w:rsidRPr="0C0A9F4D" w:rsidR="7B1AE128">
        <w:rPr>
          <w:rFonts w:ascii="Arial" w:hAnsi="Arial" w:eastAsia="Arial" w:cs="Arial"/>
          <w:noProof w:val="0"/>
          <w:color w:val="1F1F1F"/>
          <w:sz w:val="24"/>
          <w:szCs w:val="24"/>
          <w:lang w:val="en-GB"/>
        </w:rPr>
        <w:t xml:space="preserve">In the UK, unwanted touching can be a crime called battery. This essay will explain what battery is and how consent plays a big part in deciding if </w:t>
      </w:r>
      <w:r w:rsidRPr="0C0A9F4D" w:rsidR="7B1AE128">
        <w:rPr>
          <w:rFonts w:ascii="Arial" w:hAnsi="Arial" w:eastAsia="Arial" w:cs="Arial"/>
          <w:noProof w:val="0"/>
          <w:color w:val="1F1F1F"/>
          <w:sz w:val="24"/>
          <w:szCs w:val="24"/>
          <w:lang w:val="en-GB"/>
        </w:rPr>
        <w:t>it's</w:t>
      </w:r>
      <w:r w:rsidRPr="0C0A9F4D" w:rsidR="7B1AE128">
        <w:rPr>
          <w:rFonts w:ascii="Arial" w:hAnsi="Arial" w:eastAsia="Arial" w:cs="Arial"/>
          <w:noProof w:val="0"/>
          <w:color w:val="1F1F1F"/>
          <w:sz w:val="24"/>
          <w:szCs w:val="24"/>
          <w:lang w:val="en-GB"/>
        </w:rPr>
        <w:t xml:space="preserve"> a crime. </w:t>
      </w:r>
      <w:r w:rsidRPr="0C0A9F4D" w:rsidR="7B1AE128">
        <w:rPr>
          <w:rFonts w:ascii="Arial" w:hAnsi="Arial" w:eastAsia="Arial" w:cs="Arial"/>
          <w:noProof w:val="0"/>
          <w:color w:val="1F1F1F"/>
          <w:sz w:val="24"/>
          <w:szCs w:val="24"/>
          <w:lang w:val="en-GB"/>
        </w:rPr>
        <w:t>We'll</w:t>
      </w:r>
      <w:r w:rsidRPr="0C0A9F4D" w:rsidR="7B1AE128">
        <w:rPr>
          <w:rFonts w:ascii="Arial" w:hAnsi="Arial" w:eastAsia="Arial" w:cs="Arial"/>
          <w:noProof w:val="0"/>
          <w:color w:val="1F1F1F"/>
          <w:sz w:val="24"/>
          <w:szCs w:val="24"/>
          <w:lang w:val="en-GB"/>
        </w:rPr>
        <w:t xml:space="preserve"> look at the legal rules for battery charges, including when someone's consent makes a difference and when it </w:t>
      </w:r>
      <w:r w:rsidRPr="0C0A9F4D" w:rsidR="7B1AE128">
        <w:rPr>
          <w:rFonts w:ascii="Arial" w:hAnsi="Arial" w:eastAsia="Arial" w:cs="Arial"/>
          <w:noProof w:val="0"/>
          <w:color w:val="1F1F1F"/>
          <w:sz w:val="24"/>
          <w:szCs w:val="24"/>
          <w:lang w:val="en-GB"/>
        </w:rPr>
        <w:t>doesn't</w:t>
      </w:r>
      <w:r w:rsidRPr="0C0A9F4D" w:rsidR="7B1AE128">
        <w:rPr>
          <w:rFonts w:ascii="Arial" w:hAnsi="Arial" w:eastAsia="Arial" w:cs="Arial"/>
          <w:noProof w:val="0"/>
          <w:color w:val="1F1F1F"/>
          <w:sz w:val="24"/>
          <w:szCs w:val="24"/>
          <w:lang w:val="en-GB"/>
        </w:rPr>
        <w:t xml:space="preserve">. By exploring situations like sports and police interactions, </w:t>
      </w:r>
      <w:r w:rsidRPr="0C0A9F4D" w:rsidR="7B1AE128">
        <w:rPr>
          <w:rFonts w:ascii="Arial" w:hAnsi="Arial" w:eastAsia="Arial" w:cs="Arial"/>
          <w:noProof w:val="0"/>
          <w:color w:val="1F1F1F"/>
          <w:sz w:val="24"/>
          <w:szCs w:val="24"/>
          <w:lang w:val="en-GB"/>
        </w:rPr>
        <w:t>we'll</w:t>
      </w:r>
      <w:r w:rsidRPr="0C0A9F4D" w:rsidR="7B1AE128">
        <w:rPr>
          <w:rFonts w:ascii="Arial" w:hAnsi="Arial" w:eastAsia="Arial" w:cs="Arial"/>
          <w:noProof w:val="0"/>
          <w:color w:val="1F1F1F"/>
          <w:sz w:val="24"/>
          <w:szCs w:val="24"/>
          <w:lang w:val="en-GB"/>
        </w:rPr>
        <w:t xml:space="preserve"> see how consent shapes the law surrounding battery. This will help us understand consent and </w:t>
      </w:r>
      <w:r w:rsidRPr="0C0A9F4D" w:rsidR="7B1AE128">
        <w:rPr>
          <w:rFonts w:ascii="Arial" w:hAnsi="Arial" w:eastAsia="Arial" w:cs="Arial"/>
          <w:noProof w:val="0"/>
          <w:color w:val="1F1F1F"/>
          <w:sz w:val="24"/>
          <w:szCs w:val="24"/>
          <w:lang w:val="en-GB"/>
        </w:rPr>
        <w:t>it’s</w:t>
      </w:r>
      <w:r w:rsidRPr="0C0A9F4D" w:rsidR="7B1AE128">
        <w:rPr>
          <w:rFonts w:ascii="Arial" w:hAnsi="Arial" w:eastAsia="Arial" w:cs="Arial"/>
          <w:noProof w:val="0"/>
          <w:color w:val="1F1F1F"/>
          <w:sz w:val="24"/>
          <w:szCs w:val="24"/>
          <w:lang w:val="en-GB"/>
        </w:rPr>
        <w:t xml:space="preserve"> role in cases involving battery. </w:t>
      </w:r>
    </w:p>
    <w:p xmlns:wp14="http://schemas.microsoft.com/office/word/2010/wordml" w:rsidP="0C0A9F4D" wp14:paraId="78676433" wp14:textId="1BBD95D4">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The definition of battery as </w:t>
      </w:r>
      <w:r w:rsidRPr="0C0A9F4D" w:rsidR="7B1AE128">
        <w:rPr>
          <w:rFonts w:ascii="Arial" w:hAnsi="Arial" w:eastAsia="Arial" w:cs="Arial"/>
          <w:noProof w:val="0"/>
          <w:color w:val="000000" w:themeColor="text1" w:themeTint="FF" w:themeShade="FF"/>
          <w:sz w:val="24"/>
          <w:szCs w:val="24"/>
          <w:lang w:val="en-GB"/>
        </w:rPr>
        <w:t>stated</w:t>
      </w:r>
      <w:r w:rsidRPr="0C0A9F4D" w:rsidR="7B1AE128">
        <w:rPr>
          <w:rFonts w:ascii="Arial" w:hAnsi="Arial" w:eastAsia="Arial" w:cs="Arial"/>
          <w:noProof w:val="0"/>
          <w:color w:val="000000" w:themeColor="text1" w:themeTint="FF" w:themeShade="FF"/>
          <w:sz w:val="24"/>
          <w:szCs w:val="24"/>
          <w:lang w:val="en-GB"/>
        </w:rPr>
        <w:t xml:space="preserve"> by Herring (2022, p. 322) as the actus reus is “the defendant touched or applied force to the victim” with the </w:t>
      </w:r>
      <w:r w:rsidRPr="0C0A9F4D" w:rsidR="7B1AE128">
        <w:rPr>
          <w:rFonts w:ascii="Arial" w:hAnsi="Arial" w:eastAsia="Arial" w:cs="Arial"/>
          <w:noProof w:val="0"/>
          <w:color w:val="000000" w:themeColor="text1" w:themeTint="FF" w:themeShade="FF"/>
          <w:sz w:val="24"/>
          <w:szCs w:val="24"/>
          <w:lang w:val="en-GB"/>
        </w:rPr>
        <w:t>mens</w:t>
      </w:r>
      <w:r w:rsidRPr="0C0A9F4D" w:rsidR="7B1AE128">
        <w:rPr>
          <w:rFonts w:ascii="Arial" w:hAnsi="Arial" w:eastAsia="Arial" w:cs="Arial"/>
          <w:noProof w:val="0"/>
          <w:color w:val="000000" w:themeColor="text1" w:themeTint="FF" w:themeShade="FF"/>
          <w:sz w:val="24"/>
          <w:szCs w:val="24"/>
          <w:lang w:val="en-GB"/>
        </w:rPr>
        <w:t xml:space="preserve"> rea being “the defendant intended or was reckless as to touching or applying force to the victim”. This also implies “that battery can be committed without the victim suffering any kind of serious injury</w:t>
      </w:r>
      <w:r w:rsidRPr="0C0A9F4D" w:rsidR="7B1AE128">
        <w:rPr>
          <w:rFonts w:ascii="Arial" w:hAnsi="Arial" w:eastAsia="Arial" w:cs="Arial"/>
          <w:noProof w:val="0"/>
          <w:color w:val="000000" w:themeColor="text1" w:themeTint="FF" w:themeShade="FF"/>
          <w:sz w:val="24"/>
          <w:szCs w:val="24"/>
          <w:lang w:val="en-GB"/>
        </w:rPr>
        <w:t>”.</w:t>
      </w:r>
      <w:r w:rsidRPr="0C0A9F4D" w:rsidR="7B1AE128">
        <w:rPr>
          <w:rFonts w:ascii="Arial" w:hAnsi="Arial" w:eastAsia="Arial" w:cs="Arial"/>
          <w:noProof w:val="0"/>
          <w:color w:val="000000" w:themeColor="text1" w:themeTint="FF" w:themeShade="FF"/>
          <w:sz w:val="24"/>
          <w:szCs w:val="24"/>
          <w:lang w:val="en-GB"/>
        </w:rPr>
        <w:t xml:space="preserve"> Herring also </w:t>
      </w:r>
      <w:r w:rsidRPr="0C0A9F4D" w:rsidR="7B1AE128">
        <w:rPr>
          <w:rFonts w:ascii="Arial" w:hAnsi="Arial" w:eastAsia="Arial" w:cs="Arial"/>
          <w:noProof w:val="0"/>
          <w:color w:val="000000" w:themeColor="text1" w:themeTint="FF" w:themeShade="FF"/>
          <w:sz w:val="24"/>
          <w:szCs w:val="24"/>
          <w:lang w:val="en-GB"/>
        </w:rPr>
        <w:t>states</w:t>
      </w:r>
      <w:r w:rsidRPr="0C0A9F4D" w:rsidR="7B1AE128">
        <w:rPr>
          <w:rFonts w:ascii="Arial" w:hAnsi="Arial" w:eastAsia="Arial" w:cs="Arial"/>
          <w:noProof w:val="0"/>
          <w:color w:val="000000" w:themeColor="text1" w:themeTint="FF" w:themeShade="FF"/>
          <w:sz w:val="24"/>
          <w:szCs w:val="24"/>
          <w:lang w:val="en-GB"/>
        </w:rPr>
        <w:t xml:space="preserve"> that “touching can constitute battery</w:t>
      </w:r>
      <w:r w:rsidRPr="0C0A9F4D" w:rsidR="7B1AE128">
        <w:rPr>
          <w:rFonts w:ascii="Arial" w:hAnsi="Arial" w:eastAsia="Arial" w:cs="Arial"/>
          <w:noProof w:val="0"/>
          <w:color w:val="000000" w:themeColor="text1" w:themeTint="FF" w:themeShade="FF"/>
          <w:sz w:val="24"/>
          <w:szCs w:val="24"/>
          <w:lang w:val="en-GB"/>
        </w:rPr>
        <w:t>”.</w:t>
      </w:r>
      <w:r w:rsidRPr="0C0A9F4D" w:rsidR="7B1AE128">
        <w:rPr>
          <w:rFonts w:ascii="Arial" w:hAnsi="Arial" w:eastAsia="Arial" w:cs="Arial"/>
          <w:noProof w:val="0"/>
          <w:color w:val="000000" w:themeColor="text1" w:themeTint="FF" w:themeShade="FF"/>
          <w:sz w:val="24"/>
          <w:szCs w:val="24"/>
          <w:lang w:val="en-GB"/>
        </w:rPr>
        <w:t xml:space="preserve"> For an action to </w:t>
      </w:r>
      <w:r w:rsidRPr="0C0A9F4D" w:rsidR="61585682">
        <w:rPr>
          <w:rFonts w:ascii="Arial" w:hAnsi="Arial" w:eastAsia="Arial" w:cs="Arial"/>
          <w:noProof w:val="0"/>
          <w:color w:val="000000" w:themeColor="text1" w:themeTint="FF" w:themeShade="FF"/>
          <w:sz w:val="24"/>
          <w:szCs w:val="24"/>
          <w:lang w:val="en-GB"/>
        </w:rPr>
        <w:t>constitute</w:t>
      </w:r>
      <w:r w:rsidRPr="0C0A9F4D" w:rsidR="7B1AE128">
        <w:rPr>
          <w:rFonts w:ascii="Arial" w:hAnsi="Arial" w:eastAsia="Arial" w:cs="Arial"/>
          <w:noProof w:val="0"/>
          <w:color w:val="000000" w:themeColor="text1" w:themeTint="FF" w:themeShade="FF"/>
          <w:sz w:val="24"/>
          <w:szCs w:val="24"/>
          <w:lang w:val="en-GB"/>
        </w:rPr>
        <w:t xml:space="preserve"> battery, it </w:t>
      </w:r>
      <w:r w:rsidRPr="0C0A9F4D" w:rsidR="7B1AE128">
        <w:rPr>
          <w:rFonts w:ascii="Arial" w:hAnsi="Arial" w:eastAsia="Arial" w:cs="Arial"/>
          <w:noProof w:val="0"/>
          <w:color w:val="000000" w:themeColor="text1" w:themeTint="FF" w:themeShade="FF"/>
          <w:sz w:val="24"/>
          <w:szCs w:val="24"/>
          <w:lang w:val="en-GB"/>
        </w:rPr>
        <w:t>generally requires</w:t>
      </w:r>
      <w:r w:rsidRPr="0C0A9F4D" w:rsidR="7B1AE128">
        <w:rPr>
          <w:rFonts w:ascii="Arial" w:hAnsi="Arial" w:eastAsia="Arial" w:cs="Arial"/>
          <w:noProof w:val="0"/>
          <w:color w:val="000000" w:themeColor="text1" w:themeTint="FF" w:themeShade="FF"/>
          <w:sz w:val="24"/>
          <w:szCs w:val="24"/>
          <w:lang w:val="en-GB"/>
        </w:rPr>
        <w:t xml:space="preserve"> intentional and unlawful physical contact with another person. However, if the individual consented to the contact, either </w:t>
      </w:r>
      <w:r w:rsidRPr="0C0A9F4D" w:rsidR="7E67FB81">
        <w:rPr>
          <w:rFonts w:ascii="Arial" w:hAnsi="Arial" w:eastAsia="Arial" w:cs="Arial"/>
          <w:noProof w:val="0"/>
          <w:color w:val="000000" w:themeColor="text1" w:themeTint="FF" w:themeShade="FF"/>
          <w:sz w:val="24"/>
          <w:szCs w:val="24"/>
          <w:lang w:val="en-GB"/>
        </w:rPr>
        <w:t>explicitly</w:t>
      </w:r>
      <w:r w:rsidRPr="0C0A9F4D" w:rsidR="7B1AE128">
        <w:rPr>
          <w:rFonts w:ascii="Arial" w:hAnsi="Arial" w:eastAsia="Arial" w:cs="Arial"/>
          <w:noProof w:val="0"/>
          <w:color w:val="000000" w:themeColor="text1" w:themeTint="FF" w:themeShade="FF"/>
          <w:sz w:val="24"/>
          <w:szCs w:val="24"/>
          <w:lang w:val="en-GB"/>
        </w:rPr>
        <w:t xml:space="preserve"> or implicitly, it may be considered lawful. </w:t>
      </w:r>
    </w:p>
    <w:p xmlns:wp14="http://schemas.microsoft.com/office/word/2010/wordml" w:rsidP="0C0A9F4D" wp14:paraId="582A276B" wp14:textId="064FA9C9">
      <w:pPr>
        <w:spacing w:before="240" w:beforeAutospacing="off" w:after="240" w:afterAutospacing="off" w:line="360" w:lineRule="exact"/>
        <w:rPr>
          <w:rFonts w:ascii="Arial" w:hAnsi="Arial" w:eastAsia="Arial" w:cs="Arial"/>
          <w:b w:val="0"/>
          <w:bCs w:val="0"/>
          <w:noProof w:val="0"/>
          <w:color w:val="1F1F1F"/>
          <w:sz w:val="24"/>
          <w:szCs w:val="24"/>
          <w:lang w:val="en-GB"/>
        </w:rPr>
      </w:pPr>
      <w:r w:rsidRPr="0C0A9F4D" w:rsidR="7B1AE128">
        <w:rPr>
          <w:rFonts w:ascii="Arial" w:hAnsi="Arial" w:eastAsia="Arial" w:cs="Arial"/>
          <w:b w:val="0"/>
          <w:bCs w:val="0"/>
          <w:noProof w:val="0"/>
          <w:color w:val="1F1F1F"/>
          <w:sz w:val="24"/>
          <w:szCs w:val="24"/>
          <w:lang w:val="en-GB"/>
        </w:rPr>
        <w:t xml:space="preserve">In battery cases, both </w:t>
      </w:r>
      <w:r w:rsidRPr="0C0A9F4D" w:rsidR="7B1AE128">
        <w:rPr>
          <w:rFonts w:ascii="Arial" w:hAnsi="Arial" w:eastAsia="Arial" w:cs="Arial"/>
          <w:b w:val="0"/>
          <w:bCs w:val="0"/>
          <w:noProof w:val="0"/>
          <w:color w:val="1F1F1F"/>
          <w:sz w:val="24"/>
          <w:szCs w:val="24"/>
          <w:lang w:val="en-GB"/>
        </w:rPr>
        <w:t>mens</w:t>
      </w:r>
      <w:r w:rsidRPr="0C0A9F4D" w:rsidR="7B1AE128">
        <w:rPr>
          <w:rFonts w:ascii="Arial" w:hAnsi="Arial" w:eastAsia="Arial" w:cs="Arial"/>
          <w:b w:val="0"/>
          <w:bCs w:val="0"/>
          <w:noProof w:val="0"/>
          <w:color w:val="1F1F1F"/>
          <w:sz w:val="24"/>
          <w:szCs w:val="24"/>
          <w:lang w:val="en-GB"/>
        </w:rPr>
        <w:t xml:space="preserve"> rea (guilty mind) and actus reus (guilty act) must be proven. </w:t>
      </w:r>
      <w:r w:rsidRPr="0C0A9F4D" w:rsidR="7B1AE128">
        <w:rPr>
          <w:rFonts w:ascii="Arial" w:hAnsi="Arial" w:eastAsia="Arial" w:cs="Arial"/>
          <w:b w:val="0"/>
          <w:bCs w:val="0"/>
          <w:noProof w:val="0"/>
          <w:color w:val="1F1F1F"/>
          <w:sz w:val="24"/>
          <w:szCs w:val="24"/>
          <w:lang w:val="en-GB"/>
        </w:rPr>
        <w:t>Mens</w:t>
      </w:r>
      <w:r w:rsidRPr="0C0A9F4D" w:rsidR="7B1AE128">
        <w:rPr>
          <w:rFonts w:ascii="Arial" w:hAnsi="Arial" w:eastAsia="Arial" w:cs="Arial"/>
          <w:b w:val="0"/>
          <w:bCs w:val="0"/>
          <w:noProof w:val="0"/>
          <w:color w:val="1F1F1F"/>
          <w:sz w:val="24"/>
          <w:szCs w:val="24"/>
          <w:lang w:val="en-GB"/>
        </w:rPr>
        <w:t xml:space="preserve"> rea refers to the mental state of the defendant. </w:t>
      </w:r>
      <w:r w:rsidRPr="0C0A9F4D" w:rsidR="7B1AE128">
        <w:rPr>
          <w:rFonts w:ascii="Arial" w:hAnsi="Arial" w:eastAsia="Arial" w:cs="Arial"/>
          <w:b w:val="0"/>
          <w:bCs w:val="0"/>
          <w:noProof w:val="0"/>
          <w:color w:val="1F1F1F"/>
          <w:sz w:val="24"/>
          <w:szCs w:val="24"/>
          <w:lang w:val="en-GB"/>
        </w:rPr>
        <w:t>It's</w:t>
      </w:r>
      <w:r w:rsidRPr="0C0A9F4D" w:rsidR="7B1AE128">
        <w:rPr>
          <w:rFonts w:ascii="Arial" w:hAnsi="Arial" w:eastAsia="Arial" w:cs="Arial"/>
          <w:b w:val="0"/>
          <w:bCs w:val="0"/>
          <w:noProof w:val="0"/>
          <w:color w:val="1F1F1F"/>
          <w:sz w:val="24"/>
          <w:szCs w:val="24"/>
          <w:lang w:val="en-GB"/>
        </w:rPr>
        <w:t xml:space="preserve"> not enough to simply think about committing an act, like stealing. There needs to be an intention to carry it out.</w:t>
      </w:r>
    </w:p>
    <w:p xmlns:wp14="http://schemas.microsoft.com/office/word/2010/wordml" w:rsidP="0C0A9F4D" wp14:paraId="255C541C" wp14:textId="7A36C57C">
      <w:pPr>
        <w:spacing w:before="240" w:beforeAutospacing="off" w:after="240" w:afterAutospacing="off" w:line="360" w:lineRule="exact"/>
        <w:rPr>
          <w:rFonts w:ascii="Arial" w:hAnsi="Arial" w:eastAsia="Arial" w:cs="Arial"/>
          <w:b w:val="0"/>
          <w:bCs w:val="0"/>
          <w:noProof w:val="0"/>
          <w:color w:val="1F1F1F"/>
          <w:sz w:val="24"/>
          <w:szCs w:val="24"/>
          <w:lang w:val="en-GB"/>
        </w:rPr>
      </w:pPr>
      <w:r w:rsidRPr="0C0A9F4D" w:rsidR="7B1AE128">
        <w:rPr>
          <w:rFonts w:ascii="Arial" w:hAnsi="Arial" w:eastAsia="Arial" w:cs="Arial"/>
          <w:b w:val="0"/>
          <w:bCs w:val="0"/>
          <w:noProof w:val="0"/>
          <w:color w:val="1F1F1F"/>
          <w:sz w:val="24"/>
          <w:szCs w:val="24"/>
          <w:lang w:val="en-GB"/>
        </w:rPr>
        <w:t xml:space="preserve">For example, planning </w:t>
      </w:r>
      <w:r w:rsidRPr="0C0A9F4D" w:rsidR="7B1AE128">
        <w:rPr>
          <w:rFonts w:ascii="Arial" w:hAnsi="Arial" w:eastAsia="Arial" w:cs="Arial"/>
          <w:b w:val="0"/>
          <w:bCs w:val="0"/>
          <w:noProof w:val="0"/>
          <w:color w:val="1F1F1F"/>
          <w:sz w:val="24"/>
          <w:szCs w:val="24"/>
          <w:lang w:val="en-GB"/>
        </w:rPr>
        <w:t>a to</w:t>
      </w:r>
      <w:r w:rsidRPr="0C0A9F4D" w:rsidR="7B1AE128">
        <w:rPr>
          <w:rFonts w:ascii="Arial" w:hAnsi="Arial" w:eastAsia="Arial" w:cs="Arial"/>
          <w:b w:val="0"/>
          <w:bCs w:val="0"/>
          <w:noProof w:val="0"/>
          <w:color w:val="1F1F1F"/>
          <w:sz w:val="24"/>
          <w:szCs w:val="24"/>
          <w:lang w:val="en-GB"/>
        </w:rPr>
        <w:t xml:space="preserve"> rob a person demonstrates </w:t>
      </w:r>
      <w:r w:rsidRPr="0C0A9F4D" w:rsidR="7B1AE128">
        <w:rPr>
          <w:rFonts w:ascii="Arial" w:hAnsi="Arial" w:eastAsia="Arial" w:cs="Arial"/>
          <w:b w:val="0"/>
          <w:bCs w:val="0"/>
          <w:noProof w:val="0"/>
          <w:color w:val="1F1F1F"/>
          <w:sz w:val="24"/>
          <w:szCs w:val="24"/>
          <w:lang w:val="en-GB"/>
        </w:rPr>
        <w:t>mens</w:t>
      </w:r>
      <w:r w:rsidRPr="0C0A9F4D" w:rsidR="7B1AE128">
        <w:rPr>
          <w:rFonts w:ascii="Arial" w:hAnsi="Arial" w:eastAsia="Arial" w:cs="Arial"/>
          <w:b w:val="0"/>
          <w:bCs w:val="0"/>
          <w:noProof w:val="0"/>
          <w:color w:val="1F1F1F"/>
          <w:sz w:val="24"/>
          <w:szCs w:val="24"/>
          <w:lang w:val="en-GB"/>
        </w:rPr>
        <w:t xml:space="preserve"> rea. If the person then </w:t>
      </w:r>
      <w:r w:rsidRPr="0C0A9F4D" w:rsidR="7B1AE128">
        <w:rPr>
          <w:rFonts w:ascii="Arial" w:hAnsi="Arial" w:eastAsia="Arial" w:cs="Arial"/>
          <w:b w:val="0"/>
          <w:bCs w:val="0"/>
          <w:noProof w:val="0"/>
          <w:color w:val="1F1F1F"/>
          <w:sz w:val="24"/>
          <w:szCs w:val="24"/>
          <w:lang w:val="en-GB"/>
        </w:rPr>
        <w:t>proceeds</w:t>
      </w:r>
      <w:r w:rsidRPr="0C0A9F4D" w:rsidR="7B1AE128">
        <w:rPr>
          <w:rFonts w:ascii="Arial" w:hAnsi="Arial" w:eastAsia="Arial" w:cs="Arial"/>
          <w:b w:val="0"/>
          <w:bCs w:val="0"/>
          <w:noProof w:val="0"/>
          <w:color w:val="1F1F1F"/>
          <w:sz w:val="24"/>
          <w:szCs w:val="24"/>
          <w:lang w:val="en-GB"/>
        </w:rPr>
        <w:t xml:space="preserve"> with the robbery, </w:t>
      </w:r>
      <w:r w:rsidRPr="0C0A9F4D" w:rsidR="7B1AE128">
        <w:rPr>
          <w:rFonts w:ascii="Arial" w:hAnsi="Arial" w:eastAsia="Arial" w:cs="Arial"/>
          <w:b w:val="0"/>
          <w:bCs w:val="0"/>
          <w:noProof w:val="0"/>
          <w:color w:val="1F1F1F"/>
          <w:sz w:val="24"/>
          <w:szCs w:val="24"/>
          <w:lang w:val="en-GB"/>
        </w:rPr>
        <w:t>they've</w:t>
      </w:r>
      <w:r w:rsidRPr="0C0A9F4D" w:rsidR="7B1AE128">
        <w:rPr>
          <w:rFonts w:ascii="Arial" w:hAnsi="Arial" w:eastAsia="Arial" w:cs="Arial"/>
          <w:b w:val="0"/>
          <w:bCs w:val="0"/>
          <w:noProof w:val="0"/>
          <w:color w:val="1F1F1F"/>
          <w:sz w:val="24"/>
          <w:szCs w:val="24"/>
          <w:lang w:val="en-GB"/>
        </w:rPr>
        <w:t xml:space="preserve"> also committed the actus reus. In this scenario, both elements of the crime are present - the intention (</w:t>
      </w:r>
      <w:r w:rsidRPr="0C0A9F4D" w:rsidR="7B1AE128">
        <w:rPr>
          <w:rFonts w:ascii="Arial" w:hAnsi="Arial" w:eastAsia="Arial" w:cs="Arial"/>
          <w:b w:val="0"/>
          <w:bCs w:val="0"/>
          <w:noProof w:val="0"/>
          <w:color w:val="1F1F1F"/>
          <w:sz w:val="24"/>
          <w:szCs w:val="24"/>
          <w:lang w:val="en-GB"/>
        </w:rPr>
        <w:t>mens</w:t>
      </w:r>
      <w:r w:rsidRPr="0C0A9F4D" w:rsidR="7B1AE128">
        <w:rPr>
          <w:rFonts w:ascii="Arial" w:hAnsi="Arial" w:eastAsia="Arial" w:cs="Arial"/>
          <w:b w:val="0"/>
          <w:bCs w:val="0"/>
          <w:noProof w:val="0"/>
          <w:color w:val="1F1F1F"/>
          <w:sz w:val="24"/>
          <w:szCs w:val="24"/>
          <w:lang w:val="en-GB"/>
        </w:rPr>
        <w:t xml:space="preserve"> rea) and the physical act (actus reus) of battery.</w:t>
      </w:r>
    </w:p>
    <w:p xmlns:wp14="http://schemas.microsoft.com/office/word/2010/wordml" w:rsidP="0C0A9F4D" wp14:paraId="261C77E9" wp14:textId="01A30AF2">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Ormerod and Laird (2021, p. 697) state that “it was established by Venna69 in 1975 that assault and battery may be committed recklessly as well as intentionally”. In this act D was arrested for ‘public order offences</w:t>
      </w:r>
      <w:r w:rsidRPr="0C0A9F4D" w:rsidR="7B1AE128">
        <w:rPr>
          <w:rFonts w:ascii="Arial" w:hAnsi="Arial" w:eastAsia="Arial" w:cs="Arial"/>
          <w:noProof w:val="0"/>
          <w:color w:val="000000" w:themeColor="text1" w:themeTint="FF" w:themeShade="FF"/>
          <w:sz w:val="24"/>
          <w:szCs w:val="24"/>
          <w:lang w:val="en-GB"/>
        </w:rPr>
        <w:t>’,</w:t>
      </w:r>
      <w:r w:rsidRPr="0C0A9F4D" w:rsidR="7B1AE128">
        <w:rPr>
          <w:rFonts w:ascii="Arial" w:hAnsi="Arial" w:eastAsia="Arial" w:cs="Arial"/>
          <w:noProof w:val="0"/>
          <w:color w:val="000000" w:themeColor="text1" w:themeTint="FF" w:themeShade="FF"/>
          <w:sz w:val="24"/>
          <w:szCs w:val="24"/>
          <w:lang w:val="en-GB"/>
        </w:rPr>
        <w:t xml:space="preserve"> ‘D struggled violently with V</w:t>
      </w:r>
      <w:r w:rsidRPr="0C0A9F4D" w:rsidR="7B1AE128">
        <w:rPr>
          <w:rFonts w:ascii="Arial" w:hAnsi="Arial" w:eastAsia="Arial" w:cs="Arial"/>
          <w:noProof w:val="0"/>
          <w:color w:val="000000" w:themeColor="text1" w:themeTint="FF" w:themeShade="FF"/>
          <w:sz w:val="24"/>
          <w:szCs w:val="24"/>
          <w:lang w:val="en-GB"/>
        </w:rPr>
        <w:t>’,</w:t>
      </w:r>
      <w:r w:rsidRPr="0C0A9F4D" w:rsidR="7B1AE128">
        <w:rPr>
          <w:rFonts w:ascii="Arial" w:hAnsi="Arial" w:eastAsia="Arial" w:cs="Arial"/>
          <w:noProof w:val="0"/>
          <w:color w:val="000000" w:themeColor="text1" w:themeTint="FF" w:themeShade="FF"/>
          <w:sz w:val="24"/>
          <w:szCs w:val="24"/>
          <w:lang w:val="en-GB"/>
        </w:rPr>
        <w:t xml:space="preserve"> ‘the police officer causing him injury</w:t>
      </w:r>
      <w:r w:rsidRPr="0C0A9F4D" w:rsidR="7B1AE128">
        <w:rPr>
          <w:rFonts w:ascii="Arial" w:hAnsi="Arial" w:eastAsia="Arial" w:cs="Arial"/>
          <w:noProof w:val="0"/>
          <w:color w:val="000000" w:themeColor="text1" w:themeTint="FF" w:themeShade="FF"/>
          <w:sz w:val="24"/>
          <w:szCs w:val="24"/>
          <w:lang w:val="en-GB"/>
        </w:rPr>
        <w:t>’.</w:t>
      </w:r>
      <w:r w:rsidRPr="0C0A9F4D" w:rsidR="7B1AE128">
        <w:rPr>
          <w:rFonts w:ascii="Arial" w:hAnsi="Arial" w:eastAsia="Arial" w:cs="Arial"/>
          <w:noProof w:val="0"/>
          <w:color w:val="000000" w:themeColor="text1" w:themeTint="FF" w:themeShade="FF"/>
          <w:sz w:val="24"/>
          <w:szCs w:val="24"/>
          <w:lang w:val="en-GB"/>
        </w:rPr>
        <w:t xml:space="preserve"> “</w:t>
      </w:r>
      <w:r w:rsidRPr="0C0A9F4D" w:rsidR="7B1AE128">
        <w:rPr>
          <w:rFonts w:ascii="Arial" w:hAnsi="Arial" w:eastAsia="Arial" w:cs="Arial"/>
          <w:noProof w:val="0"/>
          <w:color w:val="000000" w:themeColor="text1" w:themeTint="FF" w:themeShade="FF"/>
          <w:sz w:val="24"/>
          <w:szCs w:val="24"/>
          <w:lang w:val="en-GB"/>
        </w:rPr>
        <w:t>it</w:t>
      </w:r>
      <w:r w:rsidRPr="0C0A9F4D" w:rsidR="7B1AE128">
        <w:rPr>
          <w:rFonts w:ascii="Arial" w:hAnsi="Arial" w:eastAsia="Arial" w:cs="Arial"/>
          <w:noProof w:val="0"/>
          <w:color w:val="000000" w:themeColor="text1" w:themeTint="FF" w:themeShade="FF"/>
          <w:sz w:val="24"/>
          <w:szCs w:val="24"/>
          <w:lang w:val="en-GB"/>
        </w:rPr>
        <w:t xml:space="preserve"> is not battery (nor an assault) for D to pull himself free from V who is detaining him even though D uses force” Ormerod and Laird (2021 p. 697). Although we see the use of force by D it is not seen as battery for D to try and break free from V using (force). </w:t>
      </w:r>
    </w:p>
    <w:p xmlns:wp14="http://schemas.microsoft.com/office/word/2010/wordml" w:rsidP="0C0A9F4D" wp14:paraId="6B2E5F9B" wp14:textId="5EF375E4">
      <w:pPr>
        <w:spacing w:before="240" w:beforeAutospacing="off" w:after="240" w:afterAutospacing="off" w:line="360" w:lineRule="exact"/>
        <w:rPr>
          <w:rFonts w:ascii="Arial" w:hAnsi="Arial" w:eastAsia="Arial" w:cs="Arial"/>
          <w:noProof w:val="0"/>
          <w:color w:val="1F1F1F"/>
          <w:sz w:val="24"/>
          <w:szCs w:val="24"/>
          <w:lang w:val="en-GB"/>
        </w:rPr>
      </w:pPr>
      <w:r w:rsidRPr="0C0A9F4D" w:rsidR="7B1AE128">
        <w:rPr>
          <w:rFonts w:ascii="Arial" w:hAnsi="Arial" w:eastAsia="Arial" w:cs="Arial"/>
          <w:noProof w:val="0"/>
          <w:color w:val="1F1F1F"/>
          <w:sz w:val="24"/>
          <w:szCs w:val="24"/>
          <w:lang w:val="en-GB"/>
        </w:rPr>
        <w:t xml:space="preserve">Consent plays a crucial role in battery cases involving contact sports like boxing and rugby. When athletes </w:t>
      </w:r>
      <w:r w:rsidRPr="0C0A9F4D" w:rsidR="7B1AE128">
        <w:rPr>
          <w:rFonts w:ascii="Arial" w:hAnsi="Arial" w:eastAsia="Arial" w:cs="Arial"/>
          <w:noProof w:val="0"/>
          <w:color w:val="1F1F1F"/>
          <w:sz w:val="24"/>
          <w:szCs w:val="24"/>
          <w:lang w:val="en-GB"/>
        </w:rPr>
        <w:t>participate</w:t>
      </w:r>
      <w:r w:rsidRPr="0C0A9F4D" w:rsidR="7B1AE128">
        <w:rPr>
          <w:rFonts w:ascii="Arial" w:hAnsi="Arial" w:eastAsia="Arial" w:cs="Arial"/>
          <w:noProof w:val="0"/>
          <w:color w:val="1F1F1F"/>
          <w:sz w:val="24"/>
          <w:szCs w:val="24"/>
          <w:lang w:val="en-GB"/>
        </w:rPr>
        <w:t xml:space="preserve"> in these sports, they implicitly consent to a certain level of physical contact inherent in the game. This includes the possibility of sustaining injuries, ranging from minor bruises to broken bones, concussions, or even more </w:t>
      </w:r>
      <w:r w:rsidRPr="0C0A9F4D" w:rsidR="7B1AE128">
        <w:rPr>
          <w:rFonts w:ascii="Arial" w:hAnsi="Arial" w:eastAsia="Arial" w:cs="Arial"/>
          <w:noProof w:val="0"/>
          <w:color w:val="1F1F1F"/>
          <w:sz w:val="24"/>
          <w:szCs w:val="24"/>
          <w:lang w:val="en-GB"/>
        </w:rPr>
        <w:t>serious consequences</w:t>
      </w:r>
      <w:r w:rsidRPr="0C0A9F4D" w:rsidR="7B1AE128">
        <w:rPr>
          <w:rFonts w:ascii="Arial" w:hAnsi="Arial" w:eastAsia="Arial" w:cs="Arial"/>
          <w:noProof w:val="0"/>
          <w:color w:val="1F1F1F"/>
          <w:sz w:val="24"/>
          <w:szCs w:val="24"/>
          <w:lang w:val="en-GB"/>
        </w:rPr>
        <w:t xml:space="preserve">. </w:t>
      </w:r>
      <w:r w:rsidRPr="0C0A9F4D" w:rsidR="7B1AE128">
        <w:rPr>
          <w:rFonts w:ascii="Arial" w:hAnsi="Arial" w:eastAsia="Arial" w:cs="Arial"/>
          <w:noProof w:val="0"/>
          <w:color w:val="000000" w:themeColor="text1" w:themeTint="FF" w:themeShade="FF"/>
          <w:sz w:val="24"/>
          <w:szCs w:val="24"/>
          <w:lang w:val="en-GB"/>
        </w:rPr>
        <w:t xml:space="preserve">Ormerod and Laird (2021, p. 713) state that “by playing the sport V consents to whatever the rules permit, if the rules permit an unacceptably dangerous act, the law need not recognize the validity of V’s factual consent”. </w:t>
      </w:r>
      <w:r w:rsidRPr="0C0A9F4D" w:rsidR="7B1AE128">
        <w:rPr>
          <w:rFonts w:ascii="Arial" w:hAnsi="Arial" w:eastAsia="Arial" w:cs="Arial"/>
          <w:noProof w:val="0"/>
          <w:color w:val="1F1F1F"/>
          <w:sz w:val="24"/>
          <w:szCs w:val="24"/>
          <w:lang w:val="en-GB"/>
        </w:rPr>
        <w:t>This means that if the rules allow for unreasonably dangerous acts, a player's consent might not be considered valid in the eyes of the law</w:t>
      </w:r>
      <w:r w:rsidRPr="0C0A9F4D" w:rsidR="6079874C">
        <w:rPr>
          <w:rFonts w:ascii="Arial" w:hAnsi="Arial" w:eastAsia="Arial" w:cs="Arial"/>
          <w:noProof w:val="0"/>
          <w:color w:val="1F1F1F"/>
          <w:sz w:val="24"/>
          <w:szCs w:val="24"/>
          <w:lang w:val="en-GB"/>
        </w:rPr>
        <w:t xml:space="preserve">. An example of this that links to boxing is Mike Tyson and Evander Holyfield, during a </w:t>
      </w:r>
      <w:r w:rsidRPr="0C0A9F4D" w:rsidR="18B7D61A">
        <w:rPr>
          <w:rFonts w:ascii="Arial" w:hAnsi="Arial" w:eastAsia="Arial" w:cs="Arial"/>
          <w:noProof w:val="0"/>
          <w:color w:val="1F1F1F"/>
          <w:sz w:val="24"/>
          <w:szCs w:val="24"/>
          <w:lang w:val="en-GB"/>
        </w:rPr>
        <w:t>b</w:t>
      </w:r>
      <w:r w:rsidRPr="0C0A9F4D" w:rsidR="6079874C">
        <w:rPr>
          <w:rFonts w:ascii="Arial" w:hAnsi="Arial" w:eastAsia="Arial" w:cs="Arial"/>
          <w:noProof w:val="0"/>
          <w:color w:val="1F1F1F"/>
          <w:sz w:val="24"/>
          <w:szCs w:val="24"/>
          <w:lang w:val="en-GB"/>
        </w:rPr>
        <w:t xml:space="preserve">oxing match between both </w:t>
      </w:r>
      <w:r w:rsidRPr="0C0A9F4D" w:rsidR="08D144ED">
        <w:rPr>
          <w:rFonts w:ascii="Arial" w:hAnsi="Arial" w:eastAsia="Arial" w:cs="Arial"/>
          <w:noProof w:val="0"/>
          <w:color w:val="1F1F1F"/>
          <w:sz w:val="24"/>
          <w:szCs w:val="24"/>
          <w:lang w:val="en-GB"/>
        </w:rPr>
        <w:t xml:space="preserve">the tension was escalating </w:t>
      </w:r>
      <w:r w:rsidRPr="0C0A9F4D" w:rsidR="0E940626">
        <w:rPr>
          <w:rFonts w:ascii="Arial" w:hAnsi="Arial" w:eastAsia="Arial" w:cs="Arial"/>
          <w:noProof w:val="0"/>
          <w:color w:val="1F1F1F"/>
          <w:sz w:val="24"/>
          <w:szCs w:val="24"/>
          <w:lang w:val="en-GB"/>
        </w:rPr>
        <w:t xml:space="preserve">and Mike Tyson bit a piece of Evander Holyfield ear off. During the fight </w:t>
      </w:r>
      <w:r w:rsidRPr="0C0A9F4D" w:rsidR="63A5B5F1">
        <w:rPr>
          <w:rFonts w:ascii="Arial" w:hAnsi="Arial" w:eastAsia="Arial" w:cs="Arial"/>
          <w:noProof w:val="0"/>
          <w:color w:val="1F1F1F"/>
          <w:sz w:val="24"/>
          <w:szCs w:val="24"/>
          <w:lang w:val="en-GB"/>
        </w:rPr>
        <w:t xml:space="preserve">Mike Tyson was taken away </w:t>
      </w:r>
      <w:r w:rsidRPr="0C0A9F4D" w:rsidR="224A9B23">
        <w:rPr>
          <w:rFonts w:ascii="Arial" w:hAnsi="Arial" w:eastAsia="Arial" w:cs="Arial"/>
          <w:noProof w:val="0"/>
          <w:color w:val="1F1F1F"/>
          <w:sz w:val="24"/>
          <w:szCs w:val="24"/>
          <w:lang w:val="en-GB"/>
        </w:rPr>
        <w:t>by</w:t>
      </w:r>
      <w:r w:rsidRPr="0C0A9F4D" w:rsidR="63A5B5F1">
        <w:rPr>
          <w:rFonts w:ascii="Arial" w:hAnsi="Arial" w:eastAsia="Arial" w:cs="Arial"/>
          <w:noProof w:val="0"/>
          <w:color w:val="1F1F1F"/>
          <w:sz w:val="24"/>
          <w:szCs w:val="24"/>
          <w:lang w:val="en-GB"/>
        </w:rPr>
        <w:t xml:space="preserve"> police, he </w:t>
      </w:r>
      <w:r w:rsidRPr="0C0A9F4D" w:rsidR="63A5B5F1">
        <w:rPr>
          <w:rFonts w:ascii="Arial" w:hAnsi="Arial" w:eastAsia="Arial" w:cs="Arial"/>
          <w:noProof w:val="0"/>
          <w:color w:val="1F1F1F"/>
          <w:sz w:val="24"/>
          <w:szCs w:val="24"/>
          <w:lang w:val="en-GB"/>
        </w:rPr>
        <w:t>wasn't</w:t>
      </w:r>
      <w:r w:rsidRPr="0C0A9F4D" w:rsidR="63A5B5F1">
        <w:rPr>
          <w:rFonts w:ascii="Arial" w:hAnsi="Arial" w:eastAsia="Arial" w:cs="Arial"/>
          <w:noProof w:val="0"/>
          <w:color w:val="1F1F1F"/>
          <w:sz w:val="24"/>
          <w:szCs w:val="24"/>
          <w:lang w:val="en-GB"/>
        </w:rPr>
        <w:t xml:space="preserve"> charged with anything as </w:t>
      </w:r>
      <w:r w:rsidRPr="0C0A9F4D" w:rsidR="68726081">
        <w:rPr>
          <w:rFonts w:ascii="Arial" w:hAnsi="Arial" w:eastAsia="Arial" w:cs="Arial"/>
          <w:noProof w:val="0"/>
          <w:color w:val="1F1F1F"/>
          <w:sz w:val="24"/>
          <w:szCs w:val="24"/>
          <w:lang w:val="en-GB"/>
        </w:rPr>
        <w:t xml:space="preserve">Evander Holyfield let him off and </w:t>
      </w:r>
      <w:r w:rsidRPr="0C0A9F4D" w:rsidR="68726081">
        <w:rPr>
          <w:rFonts w:ascii="Arial" w:hAnsi="Arial" w:eastAsia="Arial" w:cs="Arial"/>
          <w:noProof w:val="0"/>
          <w:color w:val="1F1F1F"/>
          <w:sz w:val="24"/>
          <w:szCs w:val="24"/>
          <w:lang w:val="en-GB"/>
        </w:rPr>
        <w:t>didn't</w:t>
      </w:r>
      <w:r w:rsidRPr="0C0A9F4D" w:rsidR="68726081">
        <w:rPr>
          <w:rFonts w:ascii="Arial" w:hAnsi="Arial" w:eastAsia="Arial" w:cs="Arial"/>
          <w:noProof w:val="0"/>
          <w:color w:val="1F1F1F"/>
          <w:sz w:val="24"/>
          <w:szCs w:val="24"/>
          <w:lang w:val="en-GB"/>
        </w:rPr>
        <w:t xml:space="preserve"> press charges. </w:t>
      </w:r>
    </w:p>
    <w:p xmlns:wp14="http://schemas.microsoft.com/office/word/2010/wordml" w:rsidP="0C0A9F4D" wp14:paraId="4CBC9C75" wp14:textId="23976875">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There are cases where the victim may have said they consent to the force that was administered to them but this consent as Herring (2022, p. 322) states “may not be true consent”. This could happen if “the consent was given by the victim who was mistaken as to the identity of the defendant” Herring (2022, p. 322) therefore if the V mistook the D for someone else it could result in something that the V did not want to happen but did not realize it was the D until after this had taken place. An example of this is covered by Ormerod and Laird (2021, p. 705) in the section Consent Procured by Fraud. “D, a registered dental </w:t>
      </w:r>
      <w:r w:rsidRPr="0C0A9F4D" w:rsidR="7B1AE128">
        <w:rPr>
          <w:rFonts w:ascii="Arial" w:hAnsi="Arial" w:eastAsia="Arial" w:cs="Arial"/>
          <w:noProof w:val="0"/>
          <w:color w:val="000000" w:themeColor="text1" w:themeTint="FF" w:themeShade="FF"/>
          <w:sz w:val="24"/>
          <w:szCs w:val="24"/>
          <w:lang w:val="en-GB"/>
        </w:rPr>
        <w:t>practi</w:t>
      </w:r>
      <w:r w:rsidRPr="0C0A9F4D" w:rsidR="0050E233">
        <w:rPr>
          <w:rFonts w:ascii="Arial" w:hAnsi="Arial" w:eastAsia="Arial" w:cs="Arial"/>
          <w:noProof w:val="0"/>
          <w:color w:val="000000" w:themeColor="text1" w:themeTint="FF" w:themeShade="FF"/>
          <w:sz w:val="24"/>
          <w:szCs w:val="24"/>
          <w:lang w:val="en-GB"/>
        </w:rPr>
        <w:t>ti</w:t>
      </w:r>
      <w:r w:rsidRPr="0C0A9F4D" w:rsidR="7B1AE128">
        <w:rPr>
          <w:rFonts w:ascii="Arial" w:hAnsi="Arial" w:eastAsia="Arial" w:cs="Arial"/>
          <w:noProof w:val="0"/>
          <w:color w:val="000000" w:themeColor="text1" w:themeTint="FF" w:themeShade="FF"/>
          <w:sz w:val="24"/>
          <w:szCs w:val="24"/>
          <w:lang w:val="en-GB"/>
        </w:rPr>
        <w:t>oner</w:t>
      </w:r>
      <w:r w:rsidRPr="0C0A9F4D" w:rsidR="7B1AE128">
        <w:rPr>
          <w:rFonts w:ascii="Arial" w:hAnsi="Arial" w:eastAsia="Arial" w:cs="Arial"/>
          <w:noProof w:val="0"/>
          <w:color w:val="000000" w:themeColor="text1" w:themeTint="FF" w:themeShade="FF"/>
          <w:sz w:val="24"/>
          <w:szCs w:val="24"/>
          <w:lang w:val="en-GB"/>
        </w:rPr>
        <w:t xml:space="preserve"> who was suspended from practice, carried out dentistry on patients who said they would not have consented had they know D was suspended.” </w:t>
      </w:r>
    </w:p>
    <w:p xmlns:wp14="http://schemas.microsoft.com/office/word/2010/wordml" w:rsidP="0C0A9F4D" wp14:paraId="5D8739B6" wp14:textId="27481495">
      <w:pPr>
        <w:spacing w:before="0" w:beforeAutospacing="off" w:after="160" w:afterAutospacing="off" w:line="360" w:lineRule="exact"/>
        <w:rPr>
          <w:rFonts w:ascii="Arial" w:hAnsi="Arial" w:eastAsia="Arial" w:cs="Arial"/>
          <w:noProof w:val="0"/>
          <w:color w:val="1F1F1F"/>
          <w:sz w:val="24"/>
          <w:szCs w:val="24"/>
          <w:lang w:val="en-GB"/>
        </w:rPr>
      </w:pPr>
      <w:r w:rsidRPr="0C0A9F4D" w:rsidR="7B1AE128">
        <w:rPr>
          <w:rFonts w:ascii="Arial" w:hAnsi="Arial" w:eastAsia="Arial" w:cs="Arial"/>
          <w:noProof w:val="0"/>
          <w:color w:val="1F1F1F"/>
          <w:sz w:val="24"/>
          <w:szCs w:val="24"/>
          <w:lang w:val="en-GB"/>
        </w:rPr>
        <w:t xml:space="preserve">Battery </w:t>
      </w:r>
      <w:r w:rsidRPr="0C0A9F4D" w:rsidR="7B1AE128">
        <w:rPr>
          <w:rFonts w:ascii="Arial" w:hAnsi="Arial" w:eastAsia="Arial" w:cs="Arial"/>
          <w:noProof w:val="0"/>
          <w:color w:val="1F1F1F"/>
          <w:sz w:val="24"/>
          <w:szCs w:val="24"/>
          <w:lang w:val="en-GB"/>
        </w:rPr>
        <w:t>doesn't</w:t>
      </w:r>
      <w:r w:rsidRPr="0C0A9F4D" w:rsidR="7B1AE128">
        <w:rPr>
          <w:rFonts w:ascii="Arial" w:hAnsi="Arial" w:eastAsia="Arial" w:cs="Arial"/>
          <w:noProof w:val="0"/>
          <w:color w:val="1F1F1F"/>
          <w:sz w:val="24"/>
          <w:szCs w:val="24"/>
          <w:lang w:val="en-GB"/>
        </w:rPr>
        <w:t xml:space="preserve"> necessarily involve a hostile act, as </w:t>
      </w:r>
      <w:r w:rsidRPr="0C0A9F4D" w:rsidR="7B1AE128">
        <w:rPr>
          <w:rFonts w:ascii="Arial" w:hAnsi="Arial" w:eastAsia="Arial" w:cs="Arial"/>
          <w:noProof w:val="0"/>
          <w:color w:val="1F1F1F"/>
          <w:sz w:val="24"/>
          <w:szCs w:val="24"/>
          <w:lang w:val="en-GB"/>
        </w:rPr>
        <w:t>stated</w:t>
      </w:r>
      <w:r w:rsidRPr="0C0A9F4D" w:rsidR="7B1AE128">
        <w:rPr>
          <w:rFonts w:ascii="Arial" w:hAnsi="Arial" w:eastAsia="Arial" w:cs="Arial"/>
          <w:noProof w:val="0"/>
          <w:color w:val="1F1F1F"/>
          <w:sz w:val="24"/>
          <w:szCs w:val="24"/>
          <w:lang w:val="en-GB"/>
        </w:rPr>
        <w:t xml:space="preserve"> by Herring (2022, p. 326). Unwanted touching can also </w:t>
      </w:r>
      <w:r w:rsidRPr="0C0A9F4D" w:rsidR="7B1AE128">
        <w:rPr>
          <w:rFonts w:ascii="Arial" w:hAnsi="Arial" w:eastAsia="Arial" w:cs="Arial"/>
          <w:noProof w:val="0"/>
          <w:color w:val="1F1F1F"/>
          <w:sz w:val="24"/>
          <w:szCs w:val="24"/>
          <w:lang w:val="en-GB"/>
        </w:rPr>
        <w:t>constitute</w:t>
      </w:r>
      <w:r w:rsidRPr="0C0A9F4D" w:rsidR="7B1AE128">
        <w:rPr>
          <w:rFonts w:ascii="Arial" w:hAnsi="Arial" w:eastAsia="Arial" w:cs="Arial"/>
          <w:noProof w:val="0"/>
          <w:color w:val="1F1F1F"/>
          <w:sz w:val="24"/>
          <w:szCs w:val="24"/>
          <w:lang w:val="en-GB"/>
        </w:rPr>
        <w:t xml:space="preserve"> battery. For example, “lovingly stroking someone's hair without their consent” would be considered battery. Similarly, grabbing someone's hand without their permission can be battery, as the lack of consent can cause apprehension about the person's intentions.</w:t>
      </w:r>
    </w:p>
    <w:p xmlns:wp14="http://schemas.microsoft.com/office/word/2010/wordml" w:rsidP="0C0A9F4D" wp14:paraId="18B67F4B" wp14:textId="69B37FFB">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Collins v Wilcock [1984] 1 WLR 1172 is an example of Battery involving Police</w:t>
      </w:r>
      <w:r w:rsidRPr="0C0A9F4D" w:rsidR="7B1AE128">
        <w:rPr>
          <w:rFonts w:ascii="Arial" w:hAnsi="Arial" w:eastAsia="Arial" w:cs="Arial"/>
          <w:noProof w:val="0"/>
          <w:color w:val="000000" w:themeColor="text1" w:themeTint="FF" w:themeShade="FF"/>
          <w:sz w:val="24"/>
          <w:szCs w:val="24"/>
          <w:lang w:val="en-GB"/>
        </w:rPr>
        <w:t xml:space="preserve">.  </w:t>
      </w:r>
      <w:r w:rsidRPr="0C0A9F4D" w:rsidR="7B1AE128">
        <w:rPr>
          <w:rFonts w:ascii="Arial" w:hAnsi="Arial" w:eastAsia="Arial" w:cs="Arial"/>
          <w:noProof w:val="0"/>
          <w:color w:val="000000" w:themeColor="text1" w:themeTint="FF" w:themeShade="FF"/>
          <w:sz w:val="24"/>
          <w:szCs w:val="24"/>
          <w:lang w:val="en-GB"/>
        </w:rPr>
        <w:t xml:space="preserve">Herring (2022, p. 324), tells us that “two police officers suspected that two women were </w:t>
      </w:r>
      <w:r w:rsidRPr="0C0A9F4D" w:rsidR="7B1AE128">
        <w:rPr>
          <w:rFonts w:ascii="Arial" w:hAnsi="Arial" w:eastAsia="Arial" w:cs="Arial"/>
          <w:noProof w:val="0"/>
          <w:color w:val="000000" w:themeColor="text1" w:themeTint="FF" w:themeShade="FF"/>
          <w:sz w:val="24"/>
          <w:szCs w:val="24"/>
          <w:lang w:val="en-GB"/>
        </w:rPr>
        <w:t>soliciting</w:t>
      </w:r>
      <w:r w:rsidRPr="0C0A9F4D" w:rsidR="7B1AE128">
        <w:rPr>
          <w:rFonts w:ascii="Arial" w:hAnsi="Arial" w:eastAsia="Arial" w:cs="Arial"/>
          <w:noProof w:val="0"/>
          <w:color w:val="000000" w:themeColor="text1" w:themeTint="FF" w:themeShade="FF"/>
          <w:sz w:val="24"/>
          <w:szCs w:val="24"/>
          <w:lang w:val="en-GB"/>
        </w:rPr>
        <w:t xml:space="preserve"> for the purpose of prostitution. They approached the women, but one (the appellant) refused to answer questions and walked away. One police officer took hold of her arm. The appellant responded by scratching the officer, and for that she was later convicted of assaulting a police officer in the execution of her duty, contrary to section 50(1) of the policing act 1964”. The offending did later appeal against the conviction, suggesting that the officer committed battery by grabbing her wrist and as </w:t>
      </w:r>
      <w:r w:rsidRPr="0C0A9F4D" w:rsidR="7B1AE128">
        <w:rPr>
          <w:rFonts w:ascii="Arial" w:hAnsi="Arial" w:eastAsia="Arial" w:cs="Arial"/>
          <w:noProof w:val="0"/>
          <w:color w:val="000000" w:themeColor="text1" w:themeTint="FF" w:themeShade="FF"/>
          <w:sz w:val="24"/>
          <w:szCs w:val="24"/>
          <w:lang w:val="en-GB"/>
        </w:rPr>
        <w:t>stated</w:t>
      </w:r>
      <w:r w:rsidRPr="0C0A9F4D" w:rsidR="7B1AE128">
        <w:rPr>
          <w:rFonts w:ascii="Arial" w:hAnsi="Arial" w:eastAsia="Arial" w:cs="Arial"/>
          <w:noProof w:val="0"/>
          <w:color w:val="000000" w:themeColor="text1" w:themeTint="FF" w:themeShade="FF"/>
          <w:sz w:val="24"/>
          <w:szCs w:val="24"/>
          <w:lang w:val="en-GB"/>
        </w:rPr>
        <w:t xml:space="preserve"> further up “a battery can be committed without the victim suffering any kind of injuries. So, a touching can constituting a battery” Herring (2022, p. 324). </w:t>
      </w:r>
    </w:p>
    <w:p xmlns:wp14="http://schemas.microsoft.com/office/word/2010/wordml" w:rsidP="0C0A9F4D" wp14:paraId="6309F809" wp14:textId="02F53246">
      <w:pPr>
        <w:spacing w:before="0" w:beforeAutospacing="off" w:after="160" w:afterAutospacing="off" w:line="330" w:lineRule="exact"/>
        <w:rPr>
          <w:rFonts w:ascii="Helvetica Neue" w:hAnsi="Helvetica Neue" w:eastAsia="Helvetica Neue" w:cs="Helvetica Neue"/>
          <w:noProof w:val="0"/>
          <w:color w:val="1F1F1F"/>
          <w:sz w:val="22"/>
          <w:szCs w:val="22"/>
          <w:lang w:val="en-GB"/>
        </w:rPr>
      </w:pPr>
      <w:r w:rsidRPr="0C0A9F4D" w:rsidR="7B1AE128">
        <w:rPr>
          <w:rFonts w:ascii="Helvetica Neue" w:hAnsi="Helvetica Neue" w:eastAsia="Helvetica Neue" w:cs="Helvetica Neue"/>
          <w:noProof w:val="0"/>
          <w:color w:val="1F1F1F"/>
          <w:sz w:val="22"/>
          <w:szCs w:val="22"/>
          <w:lang w:val="en-GB"/>
        </w:rPr>
        <w:t xml:space="preserve">Reinforcing the concept of unlawful contact, Lawteacher.net </w:t>
      </w:r>
      <w:r w:rsidRPr="0C0A9F4D" w:rsidR="7B1AE128">
        <w:rPr>
          <w:rFonts w:ascii="Helvetica Neue" w:hAnsi="Helvetica Neue" w:eastAsia="Helvetica Neue" w:cs="Helvetica Neue"/>
          <w:noProof w:val="0"/>
          <w:color w:val="1F1F1F"/>
          <w:sz w:val="22"/>
          <w:szCs w:val="22"/>
          <w:lang w:val="en-GB"/>
        </w:rPr>
        <w:t>states</w:t>
      </w:r>
      <w:r w:rsidRPr="0C0A9F4D" w:rsidR="7B1AE128">
        <w:rPr>
          <w:rFonts w:ascii="Helvetica Neue" w:hAnsi="Helvetica Neue" w:eastAsia="Helvetica Neue" w:cs="Helvetica Neue"/>
          <w:noProof w:val="0"/>
          <w:color w:val="1F1F1F"/>
          <w:sz w:val="22"/>
          <w:szCs w:val="22"/>
          <w:lang w:val="en-GB"/>
        </w:rPr>
        <w:t xml:space="preserve"> that "it was held further that the grabbing on the part of the police officer, without the power to make an arrest, amounted to an unlawful assault (a battery)"(Lawteacher.net). In this case, the woman had the right to resist the officer's actions in </w:t>
      </w:r>
      <w:r w:rsidRPr="0C0A9F4D" w:rsidR="402D7140">
        <w:rPr>
          <w:rFonts w:ascii="Helvetica Neue" w:hAnsi="Helvetica Neue" w:eastAsia="Helvetica Neue" w:cs="Helvetica Neue"/>
          <w:noProof w:val="0"/>
          <w:color w:val="1F1F1F"/>
          <w:sz w:val="22"/>
          <w:szCs w:val="22"/>
          <w:lang w:val="en-GB"/>
        </w:rPr>
        <w:t>self-defence</w:t>
      </w:r>
      <w:r w:rsidRPr="0C0A9F4D" w:rsidR="7B1AE128">
        <w:rPr>
          <w:rFonts w:ascii="Helvetica Neue" w:hAnsi="Helvetica Neue" w:eastAsia="Helvetica Neue" w:cs="Helvetica Neue"/>
          <w:noProof w:val="0"/>
          <w:color w:val="1F1F1F"/>
          <w:sz w:val="22"/>
          <w:szCs w:val="22"/>
          <w:lang w:val="en-GB"/>
        </w:rPr>
        <w:t xml:space="preserve">, </w:t>
      </w:r>
      <w:r w:rsidRPr="0C0A9F4D" w:rsidR="7B1AE128">
        <w:rPr>
          <w:rFonts w:ascii="Helvetica Neue" w:hAnsi="Helvetica Neue" w:eastAsia="Helvetica Neue" w:cs="Helvetica Neue"/>
          <w:noProof w:val="0"/>
          <w:color w:val="1F1F1F"/>
          <w:sz w:val="22"/>
          <w:szCs w:val="22"/>
          <w:lang w:val="en-GB"/>
        </w:rPr>
        <w:t>ultimately leading</w:t>
      </w:r>
      <w:r w:rsidRPr="0C0A9F4D" w:rsidR="7B1AE128">
        <w:rPr>
          <w:rFonts w:ascii="Helvetica Neue" w:hAnsi="Helvetica Neue" w:eastAsia="Helvetica Neue" w:cs="Helvetica Neue"/>
          <w:noProof w:val="0"/>
          <w:color w:val="1F1F1F"/>
          <w:sz w:val="22"/>
          <w:szCs w:val="22"/>
          <w:lang w:val="en-GB"/>
        </w:rPr>
        <w:t xml:space="preserve"> to her conviction being quashed. This scenario highlights that unwanted touching by a police officer, </w:t>
      </w:r>
      <w:r w:rsidRPr="0C0A9F4D" w:rsidR="00D9C22F">
        <w:rPr>
          <w:rFonts w:ascii="Helvetica Neue" w:hAnsi="Helvetica Neue" w:eastAsia="Helvetica Neue" w:cs="Helvetica Neue"/>
          <w:noProof w:val="0"/>
          <w:color w:val="1F1F1F"/>
          <w:sz w:val="22"/>
          <w:szCs w:val="22"/>
          <w:lang w:val="en-GB"/>
        </w:rPr>
        <w:t>without</w:t>
      </w:r>
      <w:r w:rsidRPr="0C0A9F4D" w:rsidR="7B1AE128">
        <w:rPr>
          <w:rFonts w:ascii="Helvetica Neue" w:hAnsi="Helvetica Neue" w:eastAsia="Helvetica Neue" w:cs="Helvetica Neue"/>
          <w:noProof w:val="0"/>
          <w:color w:val="1F1F1F"/>
          <w:sz w:val="22"/>
          <w:szCs w:val="22"/>
          <w:lang w:val="en-GB"/>
        </w:rPr>
        <w:t xml:space="preserve"> a legitimate reason for detainment, constitutes battery. The woman's act of scratching the officer can be viewed as </w:t>
      </w:r>
      <w:r w:rsidRPr="0C0A9F4D" w:rsidR="3C4EB2FD">
        <w:rPr>
          <w:rFonts w:ascii="Helvetica Neue" w:hAnsi="Helvetica Neue" w:eastAsia="Helvetica Neue" w:cs="Helvetica Neue"/>
          <w:noProof w:val="0"/>
          <w:color w:val="1F1F1F"/>
          <w:sz w:val="22"/>
          <w:szCs w:val="22"/>
          <w:lang w:val="en-GB"/>
        </w:rPr>
        <w:t>self-defence</w:t>
      </w:r>
      <w:r w:rsidRPr="0C0A9F4D" w:rsidR="7B1AE128">
        <w:rPr>
          <w:rFonts w:ascii="Helvetica Neue" w:hAnsi="Helvetica Neue" w:eastAsia="Helvetica Neue" w:cs="Helvetica Neue"/>
          <w:noProof w:val="0"/>
          <w:color w:val="1F1F1F"/>
          <w:sz w:val="22"/>
          <w:szCs w:val="22"/>
          <w:lang w:val="en-GB"/>
        </w:rPr>
        <w:t xml:space="preserve"> against the unlawful grab, as the officer's suspicion of soliciting </w:t>
      </w:r>
      <w:r w:rsidRPr="0C0A9F4D" w:rsidR="7B1AE128">
        <w:rPr>
          <w:rFonts w:ascii="Helvetica Neue" w:hAnsi="Helvetica Neue" w:eastAsia="Helvetica Neue" w:cs="Helvetica Neue"/>
          <w:noProof w:val="0"/>
          <w:color w:val="1F1F1F"/>
          <w:sz w:val="22"/>
          <w:szCs w:val="22"/>
          <w:lang w:val="en-GB"/>
        </w:rPr>
        <w:t>wasn't</w:t>
      </w:r>
      <w:r w:rsidRPr="0C0A9F4D" w:rsidR="7B1AE128">
        <w:rPr>
          <w:rFonts w:ascii="Helvetica Neue" w:hAnsi="Helvetica Neue" w:eastAsia="Helvetica Neue" w:cs="Helvetica Neue"/>
          <w:noProof w:val="0"/>
          <w:color w:val="1F1F1F"/>
          <w:sz w:val="22"/>
          <w:szCs w:val="22"/>
          <w:lang w:val="en-GB"/>
        </w:rPr>
        <w:t xml:space="preserve"> enough to justify the physical contact.</w:t>
      </w:r>
    </w:p>
    <w:p xmlns:wp14="http://schemas.microsoft.com/office/word/2010/wordml" w:rsidP="0C0A9F4D" wp14:paraId="62C9B01D" wp14:textId="52E41ABE">
      <w:pPr>
        <w:pStyle w:val="Heading1"/>
        <w:spacing w:before="240" w:beforeAutospacing="off" w:after="0" w:afterAutospacing="off" w:line="360" w:lineRule="exact"/>
        <w:rPr>
          <w:rFonts w:ascii="Arial" w:hAnsi="Arial" w:eastAsia="Arial" w:cs="Arial"/>
          <w:b w:val="0"/>
          <w:bCs w:val="0"/>
          <w:noProof w:val="0"/>
          <w:color w:val="1F1F1F"/>
          <w:sz w:val="24"/>
          <w:szCs w:val="24"/>
          <w:lang w:val="en-GB"/>
        </w:rPr>
      </w:pPr>
      <w:r w:rsidRPr="0C0A9F4D" w:rsidR="7B1AE128">
        <w:rPr>
          <w:rFonts w:ascii="Arial" w:hAnsi="Arial" w:eastAsia="Arial" w:cs="Arial"/>
          <w:b w:val="0"/>
          <w:bCs w:val="0"/>
          <w:noProof w:val="0"/>
          <w:color w:val="1F1F1F"/>
          <w:sz w:val="24"/>
          <w:szCs w:val="24"/>
          <w:lang w:val="en-GB"/>
        </w:rPr>
        <w:t xml:space="preserve">The concept of consent in battery cases becomes more complex when considering body modification. </w:t>
      </w:r>
      <w:r w:rsidRPr="0C0A9F4D" w:rsidR="7B1AE128">
        <w:rPr>
          <w:rFonts w:ascii="Arial" w:hAnsi="Arial" w:eastAsia="Arial" w:cs="Arial"/>
          <w:b w:val="0"/>
          <w:bCs w:val="0"/>
          <w:noProof w:val="0"/>
          <w:color w:val="000000" w:themeColor="text1" w:themeTint="FF" w:themeShade="FF"/>
          <w:sz w:val="24"/>
          <w:szCs w:val="24"/>
          <w:lang w:val="en-GB"/>
        </w:rPr>
        <w:t xml:space="preserve">Ormerod and Laird (2021, p. 715) state that “Ritual circumcision of males, ear piercing and tattooing of adults are generally assumed to be lawful”. From this it could be presumed that the same is true for some of the more exotic </w:t>
      </w:r>
      <w:r w:rsidRPr="0C0A9F4D" w:rsidR="7B1AE128">
        <w:rPr>
          <w:rFonts w:ascii="Arial" w:hAnsi="Arial" w:eastAsia="Arial" w:cs="Arial"/>
          <w:b w:val="0"/>
          <w:bCs w:val="0"/>
          <w:noProof w:val="0"/>
          <w:color w:val="000000" w:themeColor="text1" w:themeTint="FF" w:themeShade="FF"/>
          <w:sz w:val="24"/>
          <w:szCs w:val="24"/>
          <w:lang w:val="en-GB"/>
        </w:rPr>
        <w:t>body-piercing</w:t>
      </w:r>
      <w:r w:rsidRPr="0C0A9F4D" w:rsidR="7B1AE128">
        <w:rPr>
          <w:rFonts w:ascii="Arial" w:hAnsi="Arial" w:eastAsia="Arial" w:cs="Arial"/>
          <w:b w:val="0"/>
          <w:bCs w:val="0"/>
          <w:noProof w:val="0"/>
          <w:color w:val="000000" w:themeColor="text1" w:themeTint="FF" w:themeShade="FF"/>
          <w:sz w:val="24"/>
          <w:szCs w:val="24"/>
          <w:lang w:val="en-GB"/>
        </w:rPr>
        <w:t xml:space="preserve"> of adults. However, this is not the case. </w:t>
      </w:r>
      <w:r w:rsidRPr="0C0A9F4D" w:rsidR="7B1AE128">
        <w:rPr>
          <w:rFonts w:ascii="Arial" w:hAnsi="Arial" w:eastAsia="Arial" w:cs="Arial"/>
          <w:b w:val="0"/>
          <w:bCs w:val="0"/>
          <w:noProof w:val="0"/>
          <w:color w:val="1F1F1F"/>
          <w:sz w:val="24"/>
          <w:szCs w:val="24"/>
          <w:lang w:val="en-GB"/>
        </w:rPr>
        <w:t>A prominent example is the case of "Dr. Evil," a tattoo artist who performed body modifications like ear and nipple removals, and tongue splitting (Press Association, The Guardian, 2019). While he obtained consent from his clients, the procedures themselves were illegal. Despite his claim of ignorance, Dr. Evil was arrested and charged with grievous bodily harm.</w:t>
      </w:r>
    </w:p>
    <w:p xmlns:wp14="http://schemas.microsoft.com/office/word/2010/wordml" w:rsidP="0C0A9F4D" wp14:paraId="489F931A" wp14:textId="3050AAB7">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Ormerod and Laird (2021, p. 714) state in relation to this case that “the Court of Appeal’ has held that unlicensed activities such as tongue </w:t>
      </w:r>
      <w:r w:rsidRPr="0C0A9F4D" w:rsidR="32E9F0F3">
        <w:rPr>
          <w:rFonts w:ascii="Arial" w:hAnsi="Arial" w:eastAsia="Arial" w:cs="Arial"/>
          <w:noProof w:val="0"/>
          <w:color w:val="000000" w:themeColor="text1" w:themeTint="FF" w:themeShade="FF"/>
          <w:sz w:val="24"/>
          <w:szCs w:val="24"/>
          <w:lang w:val="en-GB"/>
        </w:rPr>
        <w:t>splitting,</w:t>
      </w:r>
      <w:r w:rsidRPr="0C0A9F4D" w:rsidR="7B1AE128">
        <w:rPr>
          <w:rFonts w:ascii="Arial" w:hAnsi="Arial" w:eastAsia="Arial" w:cs="Arial"/>
          <w:noProof w:val="0"/>
          <w:color w:val="000000" w:themeColor="text1" w:themeTint="FF" w:themeShade="FF"/>
          <w:sz w:val="24"/>
          <w:szCs w:val="24"/>
          <w:lang w:val="en-GB"/>
        </w:rPr>
        <w:t xml:space="preserve"> and ear removal cannot be consented to.” They further state this is “despite the fact that the customer may desire such extreme body modification.”</w:t>
      </w:r>
    </w:p>
    <w:p xmlns:wp14="http://schemas.microsoft.com/office/word/2010/wordml" w:rsidP="0C0A9F4D" wp14:paraId="61F05E45" wp14:textId="266FE0FE">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5DC856BB" wp14:textId="2B1BC937">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034104D9" wp14:textId="305DE66C">
      <w:pPr>
        <w:spacing w:before="240" w:beforeAutospacing="off" w:after="240" w:afterAutospacing="off" w:line="360" w:lineRule="exact"/>
        <w:rPr>
          <w:rFonts w:ascii="Arial" w:hAnsi="Arial" w:eastAsia="Arial" w:cs="Arial"/>
          <w:noProof w:val="0"/>
          <w:color w:val="1F1F1F"/>
          <w:sz w:val="24"/>
          <w:szCs w:val="24"/>
          <w:lang w:val="en-GB"/>
        </w:rPr>
      </w:pPr>
      <w:r w:rsidRPr="0C0A9F4D" w:rsidR="7B1AE128">
        <w:rPr>
          <w:rFonts w:ascii="Arial" w:hAnsi="Arial" w:eastAsia="Arial" w:cs="Arial"/>
          <w:noProof w:val="0"/>
          <w:color w:val="1F1F1F"/>
          <w:sz w:val="24"/>
          <w:szCs w:val="24"/>
          <w:lang w:val="en-GB"/>
        </w:rPr>
        <w:t xml:space="preserve">This essay has explored the critical role of consent in battery cases. </w:t>
      </w:r>
      <w:r w:rsidRPr="0C0A9F4D" w:rsidR="7B1AE128">
        <w:rPr>
          <w:rFonts w:ascii="Arial" w:hAnsi="Arial" w:eastAsia="Arial" w:cs="Arial"/>
          <w:noProof w:val="0"/>
          <w:color w:val="1F1F1F"/>
          <w:sz w:val="24"/>
          <w:szCs w:val="24"/>
          <w:lang w:val="en-GB"/>
        </w:rPr>
        <w:t>We've</w:t>
      </w:r>
      <w:r w:rsidRPr="0C0A9F4D" w:rsidR="7B1AE128">
        <w:rPr>
          <w:rFonts w:ascii="Arial" w:hAnsi="Arial" w:eastAsia="Arial" w:cs="Arial"/>
          <w:noProof w:val="0"/>
          <w:color w:val="1F1F1F"/>
          <w:sz w:val="24"/>
          <w:szCs w:val="24"/>
          <w:lang w:val="en-GB"/>
        </w:rPr>
        <w:t xml:space="preserve"> seen how a </w:t>
      </w:r>
      <w:r w:rsidRPr="0C0A9F4D" w:rsidR="7B1AE128">
        <w:rPr>
          <w:rFonts w:ascii="Arial" w:hAnsi="Arial" w:eastAsia="Arial" w:cs="Arial"/>
          <w:noProof w:val="0"/>
          <w:color w:val="1F1F1F"/>
          <w:sz w:val="24"/>
          <w:szCs w:val="24"/>
          <w:lang w:val="en-GB"/>
        </w:rPr>
        <w:t>seemingly simple</w:t>
      </w:r>
      <w:r w:rsidRPr="0C0A9F4D" w:rsidR="7B1AE128">
        <w:rPr>
          <w:rFonts w:ascii="Arial" w:hAnsi="Arial" w:eastAsia="Arial" w:cs="Arial"/>
          <w:noProof w:val="0"/>
          <w:color w:val="1F1F1F"/>
          <w:sz w:val="24"/>
          <w:szCs w:val="24"/>
          <w:lang w:val="en-GB"/>
        </w:rPr>
        <w:t xml:space="preserve"> touch can be transformed from a crime into a lawful interaction through freely given consent. However, as the title suggests, "Consent and its role in battery cases," understanding the limitations of consent is equally important.</w:t>
      </w:r>
    </w:p>
    <w:p xmlns:wp14="http://schemas.microsoft.com/office/word/2010/wordml" w:rsidP="0C0A9F4D" wp14:paraId="0BD41E78" wp14:textId="67408CCF">
      <w:pPr>
        <w:spacing w:before="240" w:beforeAutospacing="off" w:after="240" w:afterAutospacing="off" w:line="360" w:lineRule="exact"/>
        <w:rPr>
          <w:rFonts w:ascii="Arial" w:hAnsi="Arial" w:eastAsia="Arial" w:cs="Arial"/>
          <w:noProof w:val="0"/>
          <w:color w:val="1F1F1F"/>
          <w:sz w:val="24"/>
          <w:szCs w:val="24"/>
          <w:lang w:val="en-GB"/>
        </w:rPr>
      </w:pPr>
      <w:r w:rsidRPr="0C0A9F4D" w:rsidR="7B1AE128">
        <w:rPr>
          <w:rFonts w:ascii="Arial" w:hAnsi="Arial" w:eastAsia="Arial" w:cs="Arial"/>
          <w:noProof w:val="0"/>
          <w:color w:val="1F1F1F"/>
          <w:sz w:val="24"/>
          <w:szCs w:val="24"/>
          <w:lang w:val="en-GB"/>
        </w:rPr>
        <w:t xml:space="preserve">Consent cannot be a shield for acts causing serious harm, those violating established laws, or those withdrawn by the victim. We explored situations where consent is implicit, like in contact sports, and situations where it is clearly absent, like the police officer's actions in Collins v Wilcock. Additionally, the "Dr. Evil" case highlighted that even with consent, procedures </w:t>
      </w:r>
      <w:r w:rsidRPr="0C0A9F4D" w:rsidR="7B1AE128">
        <w:rPr>
          <w:rFonts w:ascii="Arial" w:hAnsi="Arial" w:eastAsia="Arial" w:cs="Arial"/>
          <w:noProof w:val="0"/>
          <w:color w:val="1F1F1F"/>
          <w:sz w:val="24"/>
          <w:szCs w:val="24"/>
          <w:lang w:val="en-GB"/>
        </w:rPr>
        <w:t>deemed</w:t>
      </w:r>
      <w:r w:rsidRPr="0C0A9F4D" w:rsidR="7B1AE128">
        <w:rPr>
          <w:rFonts w:ascii="Arial" w:hAnsi="Arial" w:eastAsia="Arial" w:cs="Arial"/>
          <w:noProof w:val="0"/>
          <w:color w:val="1F1F1F"/>
          <w:sz w:val="24"/>
          <w:szCs w:val="24"/>
          <w:lang w:val="en-GB"/>
        </w:rPr>
        <w:t xml:space="preserve"> illegal cannot be justified. The examples used show the need for Police officers to be fully informed and have a good understanding of consent and the role it can play in cases of battery. </w:t>
      </w:r>
    </w:p>
    <w:p xmlns:wp14="http://schemas.microsoft.com/office/word/2010/wordml" w:rsidP="0C0A9F4D" wp14:paraId="37208173" wp14:textId="4740C2C4">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201504AA" wp14:textId="04E8E3A1">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19E15DD6" wp14:textId="1A6A3CB7">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6BC21D0B" wp14:textId="238A1309">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1EE327DF" wp14:textId="47A15912">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2F9ED3E5" wp14:textId="4085217A">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59576002" wp14:textId="621D8CA8">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4372B63D" wp14:textId="2F41B4FA">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73993DD0" wp14:textId="2998F62D">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7B1953EF" wp14:textId="0E4E2CF8">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06EF0C09" wp14:textId="5517804D">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7E2982CE" wp14:textId="5F679C7B">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4D65D0DB" wp14:textId="59467BD0">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5A3FB1DE" wp14:textId="01FAEC18">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3B234573" wp14:textId="716DD0AA">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75636049" wp14:textId="214994A6">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p>
    <w:p xmlns:wp14="http://schemas.microsoft.com/office/word/2010/wordml" w:rsidP="0C0A9F4D" wp14:paraId="665D35B0" wp14:textId="1612541D">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p>
    <w:p xmlns:wp14="http://schemas.microsoft.com/office/word/2010/wordml" w:rsidP="0C0A9F4D" wp14:paraId="26FE12BE" wp14:textId="0AF9D96E">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p>
    <w:p xmlns:wp14="http://schemas.microsoft.com/office/word/2010/wordml" w:rsidP="0C0A9F4D" wp14:paraId="68DE0505" wp14:textId="754A9900">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p>
    <w:p xmlns:wp14="http://schemas.microsoft.com/office/word/2010/wordml" w:rsidP="0C0A9F4D" wp14:paraId="1A751678" wp14:textId="681D717E">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p>
    <w:p xmlns:wp14="http://schemas.microsoft.com/office/word/2010/wordml" w:rsidP="0C0A9F4D" wp14:paraId="7AAE357D" wp14:textId="217A41E2">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p>
    <w:p xmlns:wp14="http://schemas.microsoft.com/office/word/2010/wordml" w:rsidP="0C0A9F4D" wp14:paraId="7EE80DD3" wp14:textId="5BE41ABC">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p>
    <w:p xmlns:wp14="http://schemas.microsoft.com/office/word/2010/wordml" w:rsidP="0C0A9F4D" wp14:paraId="67B363D2" wp14:textId="005D5175">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p>
    <w:p xmlns:wp14="http://schemas.microsoft.com/office/word/2010/wordml" w:rsidP="0C0A9F4D" wp14:paraId="28C84765" wp14:textId="676A13CE">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Word count- 1432</w:t>
      </w:r>
    </w:p>
    <w:p xmlns:wp14="http://schemas.microsoft.com/office/word/2010/wordml" w:rsidP="0C0A9F4D" wp14:paraId="302907D5" wp14:textId="1F43F303">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075491D5" wp14:textId="0184D6ED">
      <w:pPr>
        <w:spacing w:before="0" w:beforeAutospacing="off" w:after="160" w:afterAutospacing="off" w:line="360" w:lineRule="exact"/>
        <w:rPr>
          <w:rFonts w:ascii="Arial" w:hAnsi="Arial" w:eastAsia="Arial" w:cs="Arial"/>
          <w:noProof w:val="0"/>
          <w:color w:val="000000" w:themeColor="text1" w:themeTint="FF" w:themeShade="FF"/>
          <w:sz w:val="24"/>
          <w:szCs w:val="24"/>
          <w:u w:val="single"/>
          <w:lang w:val="en-GB"/>
        </w:rPr>
      </w:pPr>
      <w:r w:rsidRPr="0C0A9F4D" w:rsidR="7B1AE128">
        <w:rPr>
          <w:rFonts w:ascii="Arial" w:hAnsi="Arial" w:eastAsia="Arial" w:cs="Arial"/>
          <w:noProof w:val="0"/>
          <w:color w:val="000000" w:themeColor="text1" w:themeTint="FF" w:themeShade="FF"/>
          <w:sz w:val="24"/>
          <w:szCs w:val="24"/>
          <w:u w:val="single"/>
          <w:lang w:val="en-GB"/>
        </w:rPr>
        <w:t>Reference list</w:t>
      </w:r>
    </w:p>
    <w:p xmlns:wp14="http://schemas.microsoft.com/office/word/2010/wordml" w:rsidP="0C0A9F4D" wp14:paraId="393CF74B" wp14:textId="0426DECC">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Herring. J (2022), </w:t>
      </w:r>
      <w:r w:rsidRPr="0C0A9F4D" w:rsidR="7B1AE128">
        <w:rPr>
          <w:rFonts w:ascii="Arial" w:hAnsi="Arial" w:eastAsia="Arial" w:cs="Arial"/>
          <w:i w:val="1"/>
          <w:iCs w:val="1"/>
          <w:noProof w:val="0"/>
          <w:color w:val="000000" w:themeColor="text1" w:themeTint="FF" w:themeShade="FF"/>
          <w:sz w:val="24"/>
          <w:szCs w:val="24"/>
          <w:lang w:val="en-GB"/>
        </w:rPr>
        <w:t>Criminal Law</w:t>
      </w:r>
      <w:r w:rsidRPr="0C0A9F4D" w:rsidR="7B1AE128">
        <w:rPr>
          <w:rFonts w:ascii="Arial" w:hAnsi="Arial" w:eastAsia="Arial" w:cs="Arial"/>
          <w:noProof w:val="0"/>
          <w:color w:val="000000" w:themeColor="text1" w:themeTint="FF" w:themeShade="FF"/>
          <w:sz w:val="24"/>
          <w:szCs w:val="24"/>
          <w:lang w:val="en-GB"/>
        </w:rPr>
        <w:t xml:space="preserve"> text cases and material tenth edition </w:t>
      </w:r>
      <w:r w:rsidRPr="0C0A9F4D" w:rsidR="7B1AE128">
        <w:rPr>
          <w:rFonts w:ascii="Arial" w:hAnsi="Arial" w:eastAsia="Arial" w:cs="Arial"/>
          <w:noProof w:val="0"/>
          <w:color w:val="000000" w:themeColor="text1" w:themeTint="FF" w:themeShade="FF"/>
          <w:sz w:val="24"/>
          <w:szCs w:val="24"/>
          <w:lang w:val="en-GB"/>
        </w:rPr>
        <w:t>Oxford:Oxford</w:t>
      </w:r>
      <w:r w:rsidRPr="0C0A9F4D" w:rsidR="7B1AE128">
        <w:rPr>
          <w:rFonts w:ascii="Arial" w:hAnsi="Arial" w:eastAsia="Arial" w:cs="Arial"/>
          <w:noProof w:val="0"/>
          <w:color w:val="000000" w:themeColor="text1" w:themeTint="FF" w:themeShade="FF"/>
          <w:sz w:val="24"/>
          <w:szCs w:val="24"/>
          <w:lang w:val="en-GB"/>
        </w:rPr>
        <w:t xml:space="preserve"> University Press</w:t>
      </w:r>
      <w:r>
        <w:br/>
      </w:r>
      <w:r>
        <w:br/>
      </w:r>
    </w:p>
    <w:p xmlns:wp14="http://schemas.microsoft.com/office/word/2010/wordml" w:rsidP="0C0A9F4D" wp14:paraId="46FE300E" wp14:textId="29C0DCBA">
      <w:pPr>
        <w:pStyle w:val="Heading1"/>
        <w:spacing w:before="240" w:beforeAutospacing="off" w:after="0" w:afterAutospacing="off" w:line="360" w:lineRule="exact"/>
        <w:rPr>
          <w:rFonts w:ascii="Arial" w:hAnsi="Arial" w:eastAsia="Arial" w:cs="Arial"/>
          <w:b w:val="0"/>
          <w:bCs w:val="0"/>
          <w:noProof w:val="0"/>
          <w:color w:val="212529"/>
          <w:sz w:val="24"/>
          <w:szCs w:val="24"/>
          <w:lang w:val="en-GB"/>
        </w:rPr>
      </w:pPr>
      <w:r w:rsidRPr="0C0A9F4D" w:rsidR="7B1AE128">
        <w:rPr>
          <w:rFonts w:ascii="Arial" w:hAnsi="Arial" w:eastAsia="Arial" w:cs="Arial"/>
          <w:b w:val="0"/>
          <w:bCs w:val="0"/>
          <w:noProof w:val="0"/>
          <w:color w:val="2F5496"/>
          <w:sz w:val="24"/>
          <w:szCs w:val="24"/>
          <w:lang w:val="en-GB"/>
        </w:rPr>
        <w:t xml:space="preserve">Law </w:t>
      </w:r>
      <w:r w:rsidRPr="0C0A9F4D" w:rsidR="7B1AE128">
        <w:rPr>
          <w:rFonts w:ascii="Arial" w:hAnsi="Arial" w:eastAsia="Arial" w:cs="Arial"/>
          <w:b w:val="0"/>
          <w:bCs w:val="0"/>
          <w:noProof w:val="0"/>
          <w:color w:val="2F5496"/>
          <w:sz w:val="24"/>
          <w:szCs w:val="24"/>
          <w:lang w:val="en-GB"/>
        </w:rPr>
        <w:t xml:space="preserve">Teacher  </w:t>
      </w:r>
      <w:r w:rsidRPr="0C0A9F4D" w:rsidR="7B1AE128">
        <w:rPr>
          <w:rFonts w:ascii="Arial" w:hAnsi="Arial" w:eastAsia="Arial" w:cs="Arial"/>
          <w:b w:val="0"/>
          <w:bCs w:val="0"/>
          <w:noProof w:val="0"/>
          <w:color w:val="212529"/>
          <w:sz w:val="24"/>
          <w:szCs w:val="24"/>
          <w:lang w:val="en-GB"/>
        </w:rPr>
        <w:t>Collins</w:t>
      </w:r>
      <w:r w:rsidRPr="0C0A9F4D" w:rsidR="7B1AE128">
        <w:rPr>
          <w:rFonts w:ascii="Arial" w:hAnsi="Arial" w:eastAsia="Arial" w:cs="Arial"/>
          <w:b w:val="0"/>
          <w:bCs w:val="0"/>
          <w:noProof w:val="0"/>
          <w:color w:val="212529"/>
          <w:sz w:val="24"/>
          <w:szCs w:val="24"/>
          <w:lang w:val="en-GB"/>
        </w:rPr>
        <w:t xml:space="preserve"> v Wilcock - 1984</w:t>
      </w:r>
    </w:p>
    <w:p xmlns:wp14="http://schemas.microsoft.com/office/word/2010/wordml" w:rsidP="0C0A9F4D" wp14:paraId="4DAD3F1F" wp14:textId="599089BF">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(no date) Available at:  </w:t>
      </w:r>
      <w:hyperlink w:anchor=":~:text=Decision%2FOutcome&amp;text=It%20was%20held%20further%20that,Her%20conviction%20was%20therefore%20quashed." r:id="R47024134942a4f2c">
        <w:r w:rsidRPr="0C0A9F4D" w:rsidR="7B1AE128">
          <w:rPr>
            <w:rStyle w:val="Hyperlink"/>
            <w:rFonts w:ascii="Arial" w:hAnsi="Arial" w:eastAsia="Arial" w:cs="Arial"/>
            <w:noProof w:val="0"/>
            <w:color w:val="954F72"/>
            <w:sz w:val="24"/>
            <w:szCs w:val="24"/>
            <w:lang w:val="en-GB"/>
          </w:rPr>
          <w:t>https://www.lawteacher.net/cases/collins-v-wilcock.php#:~:text=Decision%2FOutcome&amp;text=It%20was%20held%20further%20that,Her%20conviction%20was%20therefore%20quashed.</w:t>
        </w:r>
      </w:hyperlink>
      <w:r w:rsidRPr="0C0A9F4D" w:rsidR="7B1AE128">
        <w:rPr>
          <w:rFonts w:ascii="Arial" w:hAnsi="Arial" w:eastAsia="Arial" w:cs="Arial"/>
          <w:noProof w:val="0"/>
          <w:color w:val="000000" w:themeColor="text1" w:themeTint="FF" w:themeShade="FF"/>
          <w:sz w:val="24"/>
          <w:szCs w:val="24"/>
          <w:lang w:val="en-GB"/>
        </w:rPr>
        <w:t>(Accessed 9 October 2023)</w:t>
      </w:r>
      <w:r>
        <w:br/>
      </w:r>
      <w:r>
        <w:br/>
      </w:r>
    </w:p>
    <w:p xmlns:wp14="http://schemas.microsoft.com/office/word/2010/wordml" w:rsidP="0C0A9F4D" wp14:paraId="4C20F79C" wp14:textId="681ABC4F">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Ormerod, D. and </w:t>
      </w:r>
      <w:r w:rsidRPr="0C0A9F4D" w:rsidR="7B1AE128">
        <w:rPr>
          <w:rFonts w:ascii="Arial" w:hAnsi="Arial" w:eastAsia="Arial" w:cs="Arial"/>
          <w:noProof w:val="0"/>
          <w:color w:val="000000" w:themeColor="text1" w:themeTint="FF" w:themeShade="FF"/>
          <w:sz w:val="24"/>
          <w:szCs w:val="24"/>
          <w:lang w:val="en-GB"/>
        </w:rPr>
        <w:t>Laird.K</w:t>
      </w:r>
      <w:r w:rsidRPr="0C0A9F4D" w:rsidR="7B1AE128">
        <w:rPr>
          <w:rFonts w:ascii="Arial" w:hAnsi="Arial" w:eastAsia="Arial" w:cs="Arial"/>
          <w:noProof w:val="0"/>
          <w:color w:val="000000" w:themeColor="text1" w:themeTint="FF" w:themeShade="FF"/>
          <w:sz w:val="24"/>
          <w:szCs w:val="24"/>
          <w:lang w:val="en-GB"/>
        </w:rPr>
        <w:t xml:space="preserve">  </w:t>
      </w:r>
      <w:r w:rsidRPr="0C0A9F4D" w:rsidR="7B1AE128">
        <w:rPr>
          <w:rFonts w:ascii="Arial" w:hAnsi="Arial" w:eastAsia="Arial" w:cs="Arial"/>
          <w:i w:val="1"/>
          <w:iCs w:val="1"/>
          <w:noProof w:val="0"/>
          <w:color w:val="000000" w:themeColor="text1" w:themeTint="FF" w:themeShade="FF"/>
          <w:sz w:val="24"/>
          <w:szCs w:val="24"/>
          <w:lang w:val="en-GB"/>
        </w:rPr>
        <w:t xml:space="preserve">Smith, Hogan, &amp; </w:t>
      </w:r>
      <w:r w:rsidRPr="0C0A9F4D" w:rsidR="7B1AE128">
        <w:rPr>
          <w:rFonts w:ascii="Arial" w:hAnsi="Arial" w:eastAsia="Arial" w:cs="Arial"/>
          <w:i w:val="1"/>
          <w:iCs w:val="1"/>
          <w:noProof w:val="0"/>
          <w:color w:val="000000" w:themeColor="text1" w:themeTint="FF" w:themeShade="FF"/>
          <w:sz w:val="24"/>
          <w:szCs w:val="24"/>
          <w:lang w:val="en-GB"/>
        </w:rPr>
        <w:t>Ormerods</w:t>
      </w:r>
      <w:r w:rsidRPr="0C0A9F4D" w:rsidR="7B1AE128">
        <w:rPr>
          <w:rFonts w:ascii="Arial" w:hAnsi="Arial" w:eastAsia="Arial" w:cs="Arial"/>
          <w:i w:val="1"/>
          <w:iCs w:val="1"/>
          <w:noProof w:val="0"/>
          <w:color w:val="000000" w:themeColor="text1" w:themeTint="FF" w:themeShade="FF"/>
          <w:sz w:val="24"/>
          <w:szCs w:val="24"/>
          <w:lang w:val="en-GB"/>
        </w:rPr>
        <w:t xml:space="preserve"> Criminal Law</w:t>
      </w:r>
      <w:r w:rsidRPr="0C0A9F4D" w:rsidR="7B1AE128">
        <w:rPr>
          <w:rFonts w:ascii="Arial" w:hAnsi="Arial" w:eastAsia="Arial" w:cs="Arial"/>
          <w:noProof w:val="0"/>
          <w:color w:val="000000" w:themeColor="text1" w:themeTint="FF" w:themeShade="FF"/>
          <w:sz w:val="24"/>
          <w:szCs w:val="24"/>
          <w:lang w:val="en-GB"/>
        </w:rPr>
        <w:t xml:space="preserve"> sixteenth Edition </w:t>
      </w:r>
      <w:r w:rsidRPr="0C0A9F4D" w:rsidR="7B1AE128">
        <w:rPr>
          <w:rFonts w:ascii="Arial" w:hAnsi="Arial" w:eastAsia="Arial" w:cs="Arial"/>
          <w:noProof w:val="0"/>
          <w:color w:val="000000" w:themeColor="text1" w:themeTint="FF" w:themeShade="FF"/>
          <w:sz w:val="24"/>
          <w:szCs w:val="24"/>
          <w:lang w:val="en-GB"/>
        </w:rPr>
        <w:t>Oxford:Oxford</w:t>
      </w:r>
      <w:r w:rsidRPr="0C0A9F4D" w:rsidR="7B1AE128">
        <w:rPr>
          <w:rFonts w:ascii="Arial" w:hAnsi="Arial" w:eastAsia="Arial" w:cs="Arial"/>
          <w:noProof w:val="0"/>
          <w:color w:val="000000" w:themeColor="text1" w:themeTint="FF" w:themeShade="FF"/>
          <w:sz w:val="24"/>
          <w:szCs w:val="24"/>
          <w:lang w:val="en-GB"/>
        </w:rPr>
        <w:t xml:space="preserve"> University Press </w:t>
      </w:r>
      <w:r>
        <w:br/>
      </w:r>
      <w:r>
        <w:br/>
      </w:r>
    </w:p>
    <w:p xmlns:wp14="http://schemas.microsoft.com/office/word/2010/wordml" w:rsidP="0C0A9F4D" wp14:paraId="46F2E74E" wp14:textId="70173A91">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Press association 2019 ‘</w:t>
      </w:r>
      <w:r w:rsidRPr="0C0A9F4D" w:rsidR="7B1AE128">
        <w:rPr>
          <w:rFonts w:ascii="Arial" w:hAnsi="Arial" w:eastAsia="Arial" w:cs="Arial"/>
          <w:i w:val="1"/>
          <w:iCs w:val="1"/>
          <w:noProof w:val="0"/>
          <w:color w:val="121212"/>
          <w:sz w:val="24"/>
          <w:szCs w:val="24"/>
          <w:lang w:val="en-GB"/>
        </w:rPr>
        <w:t>tattooist 'Dr Evil' jailed for performing ear and nipple removals</w:t>
      </w:r>
      <w:r w:rsidRPr="0C0A9F4D" w:rsidR="7B1AE128">
        <w:rPr>
          <w:rFonts w:ascii="Arial" w:hAnsi="Arial" w:eastAsia="Arial" w:cs="Arial"/>
          <w:noProof w:val="0"/>
          <w:color w:val="121212"/>
          <w:sz w:val="24"/>
          <w:szCs w:val="24"/>
          <w:lang w:val="en-GB"/>
        </w:rPr>
        <w:t xml:space="preserve">’ The Guardian (21 march) Available at: </w:t>
      </w:r>
      <w:r w:rsidRPr="0C0A9F4D" w:rsidR="7B1AE128">
        <w:rPr>
          <w:rFonts w:ascii="Arial" w:hAnsi="Arial" w:eastAsia="Arial" w:cs="Arial"/>
          <w:noProof w:val="0"/>
          <w:color w:val="000000" w:themeColor="text1" w:themeTint="FF" w:themeShade="FF"/>
          <w:sz w:val="24"/>
          <w:szCs w:val="24"/>
          <w:lang w:val="en-GB"/>
        </w:rPr>
        <w:t xml:space="preserve"> </w:t>
      </w:r>
      <w:hyperlink r:id="R75bf2fdd31484430">
        <w:r w:rsidRPr="0C0A9F4D" w:rsidR="7B1AE128">
          <w:rPr>
            <w:rStyle w:val="Hyperlink"/>
            <w:rFonts w:ascii="Arial" w:hAnsi="Arial" w:eastAsia="Arial" w:cs="Arial"/>
            <w:noProof w:val="0"/>
            <w:color w:val="954F72"/>
            <w:sz w:val="24"/>
            <w:szCs w:val="24"/>
            <w:lang w:val="en-GB"/>
          </w:rPr>
          <w:t>https://www.theguardian.com/uk-news/2019/mar/21/tattooist-dr-evil-jailed-for-performing-ear-and-nipple-removals</w:t>
        </w:r>
        <w:r>
          <w:br/>
        </w:r>
      </w:hyperlink>
      <w:r w:rsidRPr="0C0A9F4D" w:rsidR="7B1AE128">
        <w:rPr>
          <w:rFonts w:ascii="Arial" w:hAnsi="Arial" w:eastAsia="Arial" w:cs="Arial"/>
          <w:noProof w:val="0"/>
          <w:color w:val="000000" w:themeColor="text1" w:themeTint="FF" w:themeShade="FF"/>
          <w:sz w:val="24"/>
          <w:szCs w:val="24"/>
          <w:lang w:val="en-GB"/>
        </w:rPr>
        <w:t xml:space="preserve"> (accessed on 10 November)</w:t>
      </w:r>
      <w:r w:rsidRPr="0C0A9F4D" w:rsidR="7B1AE128">
        <w:rPr>
          <w:rFonts w:ascii="Arial" w:hAnsi="Arial" w:eastAsia="Arial" w:cs="Arial"/>
          <w:noProof w:val="0"/>
          <w:color w:val="000000" w:themeColor="text1" w:themeTint="FF" w:themeShade="FF"/>
          <w:sz w:val="24"/>
          <w:szCs w:val="24"/>
          <w:lang w:val="en-GB"/>
        </w:rPr>
        <w:t xml:space="preserve">.  </w:t>
      </w:r>
    </w:p>
    <w:p xmlns:wp14="http://schemas.microsoft.com/office/word/2010/wordml" w:rsidP="0C0A9F4D" wp14:paraId="0C4FD254" wp14:textId="4F312227">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Assault and battery Page 322 line 16 2.2 battery, criminal law text cases and material tenth edition Herring (Accessed on the 8</w:t>
      </w:r>
      <w:r w:rsidRPr="0C0A9F4D" w:rsidR="7B1AE128">
        <w:rPr>
          <w:rFonts w:ascii="Arial" w:hAnsi="Arial" w:eastAsia="Arial" w:cs="Arial"/>
          <w:noProof w:val="0"/>
          <w:color w:val="000000" w:themeColor="text1" w:themeTint="FF" w:themeShade="FF"/>
          <w:sz w:val="24"/>
          <w:szCs w:val="24"/>
          <w:vertAlign w:val="superscript"/>
          <w:lang w:val="en-GB"/>
        </w:rPr>
        <w:t>th</w:t>
      </w:r>
      <w:r w:rsidRPr="0C0A9F4D" w:rsidR="7B1AE128">
        <w:rPr>
          <w:rFonts w:ascii="Arial" w:hAnsi="Arial" w:eastAsia="Arial" w:cs="Arial"/>
          <w:noProof w:val="0"/>
          <w:color w:val="000000" w:themeColor="text1" w:themeTint="FF" w:themeShade="FF"/>
          <w:sz w:val="24"/>
          <w:szCs w:val="24"/>
          <w:lang w:val="en-GB"/>
        </w:rPr>
        <w:t xml:space="preserve"> of October 2023)</w:t>
      </w:r>
    </w:p>
    <w:p xmlns:wp14="http://schemas.microsoft.com/office/word/2010/wordml" w:rsidP="0C0A9F4D" wp14:paraId="7010BBE4" wp14:textId="4F9E84A0">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Consent  Page</w:t>
      </w:r>
      <w:r w:rsidRPr="0C0A9F4D" w:rsidR="7B1AE128">
        <w:rPr>
          <w:rFonts w:ascii="Arial" w:hAnsi="Arial" w:eastAsia="Arial" w:cs="Arial"/>
          <w:noProof w:val="0"/>
          <w:color w:val="000000" w:themeColor="text1" w:themeTint="FF" w:themeShade="FF"/>
          <w:sz w:val="24"/>
          <w:szCs w:val="24"/>
          <w:lang w:val="en-GB"/>
        </w:rPr>
        <w:t xml:space="preserve"> 278 line 7, consent where the victim was ‘consenting due to fear or mistake’ criminal law text cases and material tenth edition herring (Accessed on the 8</w:t>
      </w:r>
      <w:r w:rsidRPr="0C0A9F4D" w:rsidR="7B1AE128">
        <w:rPr>
          <w:rFonts w:ascii="Arial" w:hAnsi="Arial" w:eastAsia="Arial" w:cs="Arial"/>
          <w:noProof w:val="0"/>
          <w:color w:val="000000" w:themeColor="text1" w:themeTint="FF" w:themeShade="FF"/>
          <w:sz w:val="24"/>
          <w:szCs w:val="24"/>
          <w:vertAlign w:val="superscript"/>
          <w:lang w:val="en-GB"/>
        </w:rPr>
        <w:t>th</w:t>
      </w:r>
      <w:r w:rsidRPr="0C0A9F4D" w:rsidR="7B1AE128">
        <w:rPr>
          <w:rFonts w:ascii="Arial" w:hAnsi="Arial" w:eastAsia="Arial" w:cs="Arial"/>
          <w:noProof w:val="0"/>
          <w:color w:val="000000" w:themeColor="text1" w:themeTint="FF" w:themeShade="FF"/>
          <w:sz w:val="24"/>
          <w:szCs w:val="24"/>
          <w:lang w:val="en-GB"/>
        </w:rPr>
        <w:t xml:space="preserve"> of October 2023)</w:t>
      </w:r>
      <w:r>
        <w:br/>
      </w:r>
      <w:r>
        <w:br/>
      </w:r>
    </w:p>
    <w:p xmlns:wp14="http://schemas.microsoft.com/office/word/2010/wordml" w:rsidP="0C0A9F4D" wp14:paraId="2E4E08F2" wp14:textId="266AA958">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Collins v Wilcock [1984] Page </w:t>
      </w:r>
      <w:r w:rsidRPr="0C0A9F4D" w:rsidR="7B1AE128">
        <w:rPr>
          <w:rFonts w:ascii="Arial" w:hAnsi="Arial" w:eastAsia="Arial" w:cs="Arial"/>
          <w:noProof w:val="0"/>
          <w:color w:val="000000" w:themeColor="text1" w:themeTint="FF" w:themeShade="FF"/>
          <w:sz w:val="24"/>
          <w:szCs w:val="24"/>
          <w:lang w:val="en-GB"/>
        </w:rPr>
        <w:t>324 line</w:t>
      </w:r>
      <w:r w:rsidRPr="0C0A9F4D" w:rsidR="7B1AE128">
        <w:rPr>
          <w:rFonts w:ascii="Arial" w:hAnsi="Arial" w:eastAsia="Arial" w:cs="Arial"/>
          <w:noProof w:val="0"/>
          <w:color w:val="000000" w:themeColor="text1" w:themeTint="FF" w:themeShade="FF"/>
          <w:sz w:val="24"/>
          <w:szCs w:val="24"/>
          <w:lang w:val="en-GB"/>
        </w:rPr>
        <w:t xml:space="preserve"> 7 criminal law text cases and material tenth edition herring (Accessed on the 8</w:t>
      </w:r>
      <w:r w:rsidRPr="0C0A9F4D" w:rsidR="7B1AE128">
        <w:rPr>
          <w:rFonts w:ascii="Arial" w:hAnsi="Arial" w:eastAsia="Arial" w:cs="Arial"/>
          <w:noProof w:val="0"/>
          <w:color w:val="000000" w:themeColor="text1" w:themeTint="FF" w:themeShade="FF"/>
          <w:sz w:val="24"/>
          <w:szCs w:val="24"/>
          <w:vertAlign w:val="superscript"/>
          <w:lang w:val="en-GB"/>
        </w:rPr>
        <w:t>th</w:t>
      </w:r>
      <w:r w:rsidRPr="0C0A9F4D" w:rsidR="7B1AE128">
        <w:rPr>
          <w:rFonts w:ascii="Arial" w:hAnsi="Arial" w:eastAsia="Arial" w:cs="Arial"/>
          <w:noProof w:val="0"/>
          <w:color w:val="000000" w:themeColor="text1" w:themeTint="FF" w:themeShade="FF"/>
          <w:sz w:val="24"/>
          <w:szCs w:val="24"/>
          <w:lang w:val="en-GB"/>
        </w:rPr>
        <w:t xml:space="preserve"> of October 2023)</w:t>
      </w:r>
    </w:p>
    <w:p xmlns:wp14="http://schemas.microsoft.com/office/word/2010/wordml" w:rsidP="0C0A9F4D" wp14:paraId="54F4A1EE" wp14:textId="24C18CA1">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 xml:space="preserve">Collins v Wilcock (2023)  </w:t>
      </w:r>
      <w:hyperlink w:anchor=":~:text=Decision%2FOutcome&amp;text=It%20was%20held%20further%20that,Her%20conviction%20was%20therefore%20quashed." r:id="R9d983034c1c649bb">
        <w:r w:rsidRPr="0C0A9F4D" w:rsidR="7B1AE128">
          <w:rPr>
            <w:rStyle w:val="Hyperlink"/>
            <w:rFonts w:ascii="Arial" w:hAnsi="Arial" w:eastAsia="Arial" w:cs="Arial"/>
            <w:noProof w:val="0"/>
            <w:color w:val="954F72"/>
            <w:sz w:val="24"/>
            <w:szCs w:val="24"/>
            <w:lang w:val="en-GB"/>
          </w:rPr>
          <w:t>https://www.lawteacher.net/cases/collins-v-wilcock.php#:~:text=Decision%2FOutcome&amp;text=It%20was%20held%20further%20that,Her%20conviction%20was%20therefore%20quashed.</w:t>
        </w:r>
      </w:hyperlink>
      <w:r w:rsidRPr="0C0A9F4D" w:rsidR="7B1AE128">
        <w:rPr>
          <w:rFonts w:ascii="Arial" w:hAnsi="Arial" w:eastAsia="Arial" w:cs="Arial"/>
          <w:noProof w:val="0"/>
          <w:color w:val="000000" w:themeColor="text1" w:themeTint="FF" w:themeShade="FF"/>
          <w:sz w:val="24"/>
          <w:szCs w:val="24"/>
          <w:lang w:val="en-GB"/>
        </w:rPr>
        <w:t>(Accessed on the 9</w:t>
      </w:r>
      <w:r w:rsidRPr="0C0A9F4D" w:rsidR="7B1AE128">
        <w:rPr>
          <w:rFonts w:ascii="Arial" w:hAnsi="Arial" w:eastAsia="Arial" w:cs="Arial"/>
          <w:noProof w:val="0"/>
          <w:color w:val="000000" w:themeColor="text1" w:themeTint="FF" w:themeShade="FF"/>
          <w:sz w:val="24"/>
          <w:szCs w:val="24"/>
          <w:vertAlign w:val="superscript"/>
          <w:lang w:val="en-GB"/>
        </w:rPr>
        <w:t>th</w:t>
      </w:r>
      <w:r w:rsidRPr="0C0A9F4D" w:rsidR="7B1AE128">
        <w:rPr>
          <w:rFonts w:ascii="Arial" w:hAnsi="Arial" w:eastAsia="Arial" w:cs="Arial"/>
          <w:noProof w:val="0"/>
          <w:color w:val="000000" w:themeColor="text1" w:themeTint="FF" w:themeShade="FF"/>
          <w:sz w:val="24"/>
          <w:szCs w:val="24"/>
          <w:lang w:val="en-GB"/>
        </w:rPr>
        <w:t xml:space="preserve"> of October 2023)</w:t>
      </w:r>
      <w:r>
        <w:br/>
      </w:r>
      <w:r>
        <w:br/>
      </w:r>
    </w:p>
    <w:p xmlns:wp14="http://schemas.microsoft.com/office/word/2010/wordml" w:rsidP="0C0A9F4D" wp14:paraId="1F312963" wp14:textId="28A34773">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Mens</w:t>
      </w:r>
      <w:r w:rsidRPr="0C0A9F4D" w:rsidR="7B1AE128">
        <w:rPr>
          <w:rFonts w:ascii="Arial" w:hAnsi="Arial" w:eastAsia="Arial" w:cs="Arial"/>
          <w:noProof w:val="0"/>
          <w:color w:val="000000" w:themeColor="text1" w:themeTint="FF" w:themeShade="FF"/>
          <w:sz w:val="24"/>
          <w:szCs w:val="24"/>
          <w:lang w:val="en-GB"/>
        </w:rPr>
        <w:t xml:space="preserve"> rea 697 line 27 down 16.1.6 Smith, Hogan, &amp; </w:t>
      </w:r>
      <w:r w:rsidRPr="0C0A9F4D" w:rsidR="7B1AE128">
        <w:rPr>
          <w:rFonts w:ascii="Arial" w:hAnsi="Arial" w:eastAsia="Arial" w:cs="Arial"/>
          <w:noProof w:val="0"/>
          <w:color w:val="000000" w:themeColor="text1" w:themeTint="FF" w:themeShade="FF"/>
          <w:sz w:val="24"/>
          <w:szCs w:val="24"/>
          <w:lang w:val="en-GB"/>
        </w:rPr>
        <w:t>Ormerods</w:t>
      </w:r>
      <w:r w:rsidRPr="0C0A9F4D" w:rsidR="7B1AE128">
        <w:rPr>
          <w:rFonts w:ascii="Arial" w:hAnsi="Arial" w:eastAsia="Arial" w:cs="Arial"/>
          <w:noProof w:val="0"/>
          <w:color w:val="000000" w:themeColor="text1" w:themeTint="FF" w:themeShade="FF"/>
          <w:sz w:val="24"/>
          <w:szCs w:val="24"/>
          <w:lang w:val="en-GB"/>
        </w:rPr>
        <w:t xml:space="preserve"> criminal law sixteenth Edition (Accessed on the 9</w:t>
      </w:r>
      <w:r w:rsidRPr="0C0A9F4D" w:rsidR="7B1AE128">
        <w:rPr>
          <w:rFonts w:ascii="Arial" w:hAnsi="Arial" w:eastAsia="Arial" w:cs="Arial"/>
          <w:noProof w:val="0"/>
          <w:color w:val="000000" w:themeColor="text1" w:themeTint="FF" w:themeShade="FF"/>
          <w:sz w:val="24"/>
          <w:szCs w:val="24"/>
          <w:vertAlign w:val="superscript"/>
          <w:lang w:val="en-GB"/>
        </w:rPr>
        <w:t>th</w:t>
      </w:r>
      <w:r w:rsidRPr="0C0A9F4D" w:rsidR="7B1AE128">
        <w:rPr>
          <w:rFonts w:ascii="Arial" w:hAnsi="Arial" w:eastAsia="Arial" w:cs="Arial"/>
          <w:noProof w:val="0"/>
          <w:color w:val="000000" w:themeColor="text1" w:themeTint="FF" w:themeShade="FF"/>
          <w:sz w:val="24"/>
          <w:szCs w:val="24"/>
          <w:lang w:val="en-GB"/>
        </w:rPr>
        <w:t xml:space="preserve"> of October 2023)</w:t>
      </w:r>
      <w:r>
        <w:br/>
      </w:r>
      <w:r>
        <w:br/>
      </w:r>
    </w:p>
    <w:p xmlns:wp14="http://schemas.microsoft.com/office/word/2010/wordml" w:rsidP="0C0A9F4D" wp14:paraId="4D25AEA5" wp14:textId="3A16B3C4">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r w:rsidRPr="0C0A9F4D" w:rsidR="7B1AE128">
        <w:rPr>
          <w:rFonts w:ascii="Arial" w:hAnsi="Arial" w:eastAsia="Arial" w:cs="Arial"/>
          <w:noProof w:val="0"/>
          <w:color w:val="000000" w:themeColor="text1" w:themeTint="FF" w:themeShade="FF"/>
          <w:sz w:val="24"/>
          <w:szCs w:val="24"/>
          <w:lang w:val="en-GB"/>
        </w:rPr>
        <w:t>Sports  Page</w:t>
      </w:r>
      <w:r w:rsidRPr="0C0A9F4D" w:rsidR="7B1AE128">
        <w:rPr>
          <w:rFonts w:ascii="Arial" w:hAnsi="Arial" w:eastAsia="Arial" w:cs="Arial"/>
          <w:noProof w:val="0"/>
          <w:color w:val="000000" w:themeColor="text1" w:themeTint="FF" w:themeShade="FF"/>
          <w:sz w:val="24"/>
          <w:szCs w:val="24"/>
          <w:lang w:val="en-GB"/>
        </w:rPr>
        <w:t xml:space="preserve"> </w:t>
      </w:r>
      <w:r w:rsidRPr="0C0A9F4D" w:rsidR="7B1AE128">
        <w:rPr>
          <w:rFonts w:ascii="Arial" w:hAnsi="Arial" w:eastAsia="Arial" w:cs="Arial"/>
          <w:noProof w:val="0"/>
          <w:color w:val="000000" w:themeColor="text1" w:themeTint="FF" w:themeShade="FF"/>
          <w:sz w:val="24"/>
          <w:szCs w:val="24"/>
          <w:lang w:val="en-GB"/>
        </w:rPr>
        <w:t>713 line</w:t>
      </w:r>
      <w:r w:rsidRPr="0C0A9F4D" w:rsidR="7B1AE128">
        <w:rPr>
          <w:rFonts w:ascii="Arial" w:hAnsi="Arial" w:eastAsia="Arial" w:cs="Arial"/>
          <w:noProof w:val="0"/>
          <w:color w:val="000000" w:themeColor="text1" w:themeTint="FF" w:themeShade="FF"/>
          <w:sz w:val="24"/>
          <w:szCs w:val="24"/>
          <w:lang w:val="en-GB"/>
        </w:rPr>
        <w:t xml:space="preserve"> 6 Smith, Hogan, &amp; </w:t>
      </w:r>
      <w:r w:rsidRPr="0C0A9F4D" w:rsidR="7B1AE128">
        <w:rPr>
          <w:rFonts w:ascii="Arial" w:hAnsi="Arial" w:eastAsia="Arial" w:cs="Arial"/>
          <w:noProof w:val="0"/>
          <w:color w:val="000000" w:themeColor="text1" w:themeTint="FF" w:themeShade="FF"/>
          <w:sz w:val="24"/>
          <w:szCs w:val="24"/>
          <w:lang w:val="en-GB"/>
        </w:rPr>
        <w:t>Ormerods</w:t>
      </w:r>
      <w:r w:rsidRPr="0C0A9F4D" w:rsidR="7B1AE128">
        <w:rPr>
          <w:rFonts w:ascii="Arial" w:hAnsi="Arial" w:eastAsia="Arial" w:cs="Arial"/>
          <w:noProof w:val="0"/>
          <w:color w:val="000000" w:themeColor="text1" w:themeTint="FF" w:themeShade="FF"/>
          <w:sz w:val="24"/>
          <w:szCs w:val="24"/>
          <w:lang w:val="en-GB"/>
        </w:rPr>
        <w:t xml:space="preserve"> criminal law sixteenth Edition (Accessed on the 9</w:t>
      </w:r>
      <w:r w:rsidRPr="0C0A9F4D" w:rsidR="7B1AE128">
        <w:rPr>
          <w:rFonts w:ascii="Arial" w:hAnsi="Arial" w:eastAsia="Arial" w:cs="Arial"/>
          <w:noProof w:val="0"/>
          <w:color w:val="000000" w:themeColor="text1" w:themeTint="FF" w:themeShade="FF"/>
          <w:sz w:val="24"/>
          <w:szCs w:val="24"/>
          <w:vertAlign w:val="superscript"/>
          <w:lang w:val="en-GB"/>
        </w:rPr>
        <w:t>th</w:t>
      </w:r>
      <w:r w:rsidRPr="0C0A9F4D" w:rsidR="7B1AE128">
        <w:rPr>
          <w:rFonts w:ascii="Arial" w:hAnsi="Arial" w:eastAsia="Arial" w:cs="Arial"/>
          <w:noProof w:val="0"/>
          <w:color w:val="000000" w:themeColor="text1" w:themeTint="FF" w:themeShade="FF"/>
          <w:sz w:val="24"/>
          <w:szCs w:val="24"/>
          <w:lang w:val="en-GB"/>
        </w:rPr>
        <w:t xml:space="preserve"> of October 2023) (Accessed on the 9</w:t>
      </w:r>
      <w:r w:rsidRPr="0C0A9F4D" w:rsidR="7B1AE128">
        <w:rPr>
          <w:rFonts w:ascii="Arial" w:hAnsi="Arial" w:eastAsia="Arial" w:cs="Arial"/>
          <w:noProof w:val="0"/>
          <w:color w:val="000000" w:themeColor="text1" w:themeTint="FF" w:themeShade="FF"/>
          <w:sz w:val="24"/>
          <w:szCs w:val="24"/>
          <w:vertAlign w:val="superscript"/>
          <w:lang w:val="en-GB"/>
        </w:rPr>
        <w:t>th</w:t>
      </w:r>
      <w:r w:rsidRPr="0C0A9F4D" w:rsidR="7B1AE128">
        <w:rPr>
          <w:rFonts w:ascii="Arial" w:hAnsi="Arial" w:eastAsia="Arial" w:cs="Arial"/>
          <w:noProof w:val="0"/>
          <w:color w:val="000000" w:themeColor="text1" w:themeTint="FF" w:themeShade="FF"/>
          <w:sz w:val="24"/>
          <w:szCs w:val="24"/>
          <w:lang w:val="en-GB"/>
        </w:rPr>
        <w:t xml:space="preserve"> of October 2023)</w:t>
      </w:r>
      <w:r>
        <w:br/>
      </w:r>
      <w:r>
        <w:br/>
      </w:r>
    </w:p>
    <w:p xmlns:wp14="http://schemas.microsoft.com/office/word/2010/wordml" w:rsidP="0C0A9F4D" wp14:paraId="35C9CC75" wp14:textId="7DBA4E01">
      <w:pPr>
        <w:spacing w:before="0" w:beforeAutospacing="off" w:after="160" w:afterAutospacing="off" w:line="360" w:lineRule="exact"/>
        <w:rPr>
          <w:rFonts w:ascii="Arial" w:hAnsi="Arial" w:eastAsia="Arial" w:cs="Arial"/>
          <w:noProof w:val="0"/>
          <w:color w:val="000000" w:themeColor="text1" w:themeTint="FF" w:themeShade="FF"/>
          <w:sz w:val="24"/>
          <w:szCs w:val="24"/>
          <w:lang w:val="en-GB"/>
        </w:rPr>
      </w:pPr>
    </w:p>
    <w:p xmlns:wp14="http://schemas.microsoft.com/office/word/2010/wordml" w:rsidP="0C0A9F4D" wp14:paraId="2C078E63" wp14:textId="3A7C80BC">
      <w:pPr>
        <w:pStyle w:val="Normal"/>
        <w:rPr>
          <w:noProof w:val="0"/>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98CA49"/>
    <w:rsid w:val="0050E233"/>
    <w:rsid w:val="00D9C22F"/>
    <w:rsid w:val="068D8D25"/>
    <w:rsid w:val="08D144ED"/>
    <w:rsid w:val="08D2FE8B"/>
    <w:rsid w:val="0C0A9F4D"/>
    <w:rsid w:val="0C33AB58"/>
    <w:rsid w:val="0E940626"/>
    <w:rsid w:val="18B7D61A"/>
    <w:rsid w:val="224A9B23"/>
    <w:rsid w:val="32E9F0F3"/>
    <w:rsid w:val="3C4EB2FD"/>
    <w:rsid w:val="3D166A6A"/>
    <w:rsid w:val="402D7140"/>
    <w:rsid w:val="404E0B2C"/>
    <w:rsid w:val="51A4E957"/>
    <w:rsid w:val="604706E2"/>
    <w:rsid w:val="6079874C"/>
    <w:rsid w:val="61585682"/>
    <w:rsid w:val="63A5B5F1"/>
    <w:rsid w:val="68726081"/>
    <w:rsid w:val="6C9F8D83"/>
    <w:rsid w:val="7172FEA6"/>
    <w:rsid w:val="7598CA49"/>
    <w:rsid w:val="78CC1D59"/>
    <w:rsid w:val="7B1AE128"/>
    <w:rsid w:val="7E67FB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61D02"/>
  <w15:chartTrackingRefBased/>
  <w15:docId w15:val="{B91F263B-7E15-44F2-938C-94C747FCD8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awteacher.net/cases/collins-v-wilcock.php" TargetMode="External" Id="R47024134942a4f2c" /><Relationship Type="http://schemas.openxmlformats.org/officeDocument/2006/relationships/hyperlink" Target="https://www.theguardian.com/uk-news/2019/mar/21/tattooist-dr-evil-jailed-for-performing-ear-and-nipple-removals" TargetMode="External" Id="R75bf2fdd31484430" /><Relationship Type="http://schemas.openxmlformats.org/officeDocument/2006/relationships/hyperlink" Target="https://www.lawteacher.net/cases/collins-v-wilcock.php" TargetMode="External" Id="R9d983034c1c649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2024-04-19T11:04:17.9679867Z</dcterms:created>
  <dcterms:modified xsi:type="dcterms:W3CDTF">2024-04-19T14:27:03.9091027Z</dcterms:modified>
  <dc:creator>Cole Swinson (2305329)</dc:creator>
  <lastModifiedBy>Cole Swinson (2305329)</lastModifiedBy>
</coreProperties>
</file>