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BDC56" w14:textId="77777777" w:rsidR="00D0592C" w:rsidRDefault="00E83195" w:rsidP="00D0592C">
      <w:pPr>
        <w:pStyle w:val="Title"/>
        <w:rPr>
          <w:rFonts w:ascii="Arial" w:eastAsia="Times New Roman" w:hAnsi="Arial" w:cs="Arial"/>
          <w:b/>
          <w:bCs/>
          <w:kern w:val="36"/>
          <w:sz w:val="22"/>
          <w:szCs w:val="22"/>
          <w:lang w:eastAsia="en-GB"/>
          <w14:ligatures w14:val="none"/>
        </w:rPr>
      </w:pPr>
      <w:r w:rsidRPr="00601505">
        <w:rPr>
          <w:rFonts w:ascii="Arial" w:eastAsia="Times New Roman" w:hAnsi="Arial" w:cs="Arial"/>
          <w:b/>
          <w:bCs/>
          <w:color w:val="000000"/>
          <w:kern w:val="0"/>
          <w:sz w:val="22"/>
          <w:szCs w:val="22"/>
          <w:lang w:eastAsia="en-GB"/>
          <w14:ligatures w14:val="none"/>
        </w:rPr>
        <w:t>Name:</w:t>
      </w:r>
      <w:r w:rsidRPr="00601505">
        <w:rPr>
          <w:rFonts w:ascii="Arial" w:eastAsia="Times New Roman" w:hAnsi="Arial" w:cs="Arial"/>
          <w:color w:val="000000"/>
          <w:kern w:val="0"/>
          <w:sz w:val="22"/>
          <w:szCs w:val="22"/>
          <w:lang w:eastAsia="en-GB"/>
          <w14:ligatures w14:val="none"/>
        </w:rPr>
        <w:t> </w:t>
      </w:r>
      <w:r w:rsidRPr="00B14D93">
        <w:rPr>
          <w:rFonts w:ascii="Arial" w:eastAsia="Times New Roman" w:hAnsi="Arial" w:cs="Arial"/>
          <w:color w:val="000000"/>
          <w:kern w:val="0"/>
          <w:sz w:val="22"/>
          <w:szCs w:val="22"/>
          <w:lang w:eastAsia="en-GB"/>
          <w14:ligatures w14:val="none"/>
        </w:rPr>
        <w:t>MUHAMMAD ALI</w:t>
      </w:r>
      <w:r w:rsidRPr="00601505">
        <w:rPr>
          <w:rFonts w:ascii="Arial" w:eastAsia="Times New Roman" w:hAnsi="Arial" w:cs="Arial"/>
          <w:color w:val="000000"/>
          <w:kern w:val="0"/>
          <w:sz w:val="22"/>
          <w:szCs w:val="22"/>
          <w:lang w:eastAsia="en-GB"/>
          <w14:ligatures w14:val="none"/>
        </w:rPr>
        <w:br/>
      </w:r>
      <w:r w:rsidRPr="00601505">
        <w:rPr>
          <w:rFonts w:ascii="Arial" w:eastAsia="Times New Roman" w:hAnsi="Arial" w:cs="Arial"/>
          <w:b/>
          <w:bCs/>
          <w:color w:val="000000"/>
          <w:kern w:val="0"/>
          <w:sz w:val="22"/>
          <w:szCs w:val="22"/>
          <w:lang w:eastAsia="en-GB"/>
          <w14:ligatures w14:val="none"/>
        </w:rPr>
        <w:t>Module Code:</w:t>
      </w:r>
      <w:r w:rsidRPr="00601505">
        <w:rPr>
          <w:rFonts w:ascii="Arial" w:eastAsia="Times New Roman" w:hAnsi="Arial" w:cs="Arial"/>
          <w:color w:val="000000"/>
          <w:kern w:val="0"/>
          <w:sz w:val="22"/>
          <w:szCs w:val="22"/>
          <w:lang w:eastAsia="en-GB"/>
          <w14:ligatures w14:val="none"/>
        </w:rPr>
        <w:t> BMHP5019</w:t>
      </w:r>
      <w:r w:rsidRPr="00601505">
        <w:rPr>
          <w:rFonts w:ascii="Arial" w:eastAsia="Times New Roman" w:hAnsi="Arial" w:cs="Arial"/>
          <w:color w:val="000000"/>
          <w:kern w:val="0"/>
          <w:sz w:val="22"/>
          <w:szCs w:val="22"/>
          <w:lang w:eastAsia="en-GB"/>
          <w14:ligatures w14:val="none"/>
        </w:rPr>
        <w:br/>
      </w:r>
      <w:r w:rsidRPr="00601505">
        <w:rPr>
          <w:rFonts w:ascii="Arial" w:eastAsia="Times New Roman" w:hAnsi="Arial" w:cs="Arial"/>
          <w:b/>
          <w:bCs/>
          <w:color w:val="000000"/>
          <w:kern w:val="0"/>
          <w:sz w:val="22"/>
          <w:szCs w:val="22"/>
          <w:lang w:eastAsia="en-GB"/>
          <w14:ligatures w14:val="none"/>
        </w:rPr>
        <w:t>Assignment Title:</w:t>
      </w:r>
      <w:r w:rsidRPr="00601505">
        <w:rPr>
          <w:rFonts w:ascii="Arial" w:eastAsia="Times New Roman" w:hAnsi="Arial" w:cs="Arial"/>
          <w:color w:val="000000"/>
          <w:kern w:val="0"/>
          <w:sz w:val="22"/>
          <w:szCs w:val="22"/>
          <w:lang w:eastAsia="en-GB"/>
          <w14:ligatures w14:val="none"/>
        </w:rPr>
        <w:t xml:space="preserve"> Research Report – </w:t>
      </w:r>
      <w:r w:rsidRPr="00667D3E">
        <w:rPr>
          <w:rFonts w:ascii="Arial" w:eastAsia="Times New Roman" w:hAnsi="Arial" w:cs="Arial"/>
          <w:b/>
          <w:bCs/>
          <w:kern w:val="36"/>
          <w:sz w:val="22"/>
          <w:szCs w:val="22"/>
          <w:lang w:eastAsia="en-GB"/>
          <w14:ligatures w14:val="none"/>
        </w:rPr>
        <w:t>Impact of Dementia on Daily Life in UK Care Homes</w:t>
      </w:r>
      <w:r w:rsidRPr="00B14D93">
        <w:rPr>
          <w:rFonts w:ascii="Arial" w:eastAsia="Times New Roman" w:hAnsi="Arial" w:cs="Arial"/>
          <w:color w:val="000000"/>
          <w:kern w:val="0"/>
          <w:sz w:val="22"/>
          <w:szCs w:val="22"/>
          <w:lang w:eastAsia="en-GB"/>
          <w14:ligatures w14:val="none"/>
        </w:rPr>
        <w:t xml:space="preserve"> </w:t>
      </w:r>
      <w:r w:rsidRPr="00B14D93">
        <w:rPr>
          <w:rFonts w:ascii="Arial" w:eastAsia="Times New Roman" w:hAnsi="Arial" w:cs="Arial"/>
          <w:b/>
          <w:bCs/>
          <w:kern w:val="36"/>
          <w:sz w:val="22"/>
          <w:szCs w:val="22"/>
          <w:lang w:eastAsia="en-GB"/>
          <w14:ligatures w14:val="none"/>
        </w:rPr>
        <w:br/>
      </w:r>
      <w:r w:rsidRPr="00B14D93">
        <w:rPr>
          <w:rFonts w:ascii="Arial" w:eastAsia="Times New Roman" w:hAnsi="Arial" w:cs="Arial"/>
          <w:b/>
          <w:bCs/>
          <w:kern w:val="36"/>
          <w:sz w:val="22"/>
          <w:szCs w:val="22"/>
          <w:lang w:eastAsia="en-GB"/>
          <w14:ligatures w14:val="none"/>
        </w:rPr>
        <w:br/>
      </w:r>
      <w:r w:rsidR="00667D3E" w:rsidRPr="00667D3E">
        <w:rPr>
          <w:rFonts w:ascii="Arial" w:eastAsia="Times New Roman" w:hAnsi="Arial" w:cs="Arial"/>
          <w:b/>
          <w:bCs/>
          <w:kern w:val="36"/>
          <w:sz w:val="22"/>
          <w:szCs w:val="22"/>
          <w:lang w:eastAsia="en-GB"/>
          <w14:ligatures w14:val="none"/>
        </w:rPr>
        <w:t>Impact of Dementia on Daily Life in UK Care Homes: A Scoping Review</w:t>
      </w:r>
      <w:r w:rsidR="00B14D93" w:rsidRPr="00B14D93">
        <w:rPr>
          <w:rFonts w:ascii="Arial" w:eastAsia="Times New Roman" w:hAnsi="Arial" w:cs="Arial"/>
          <w:b/>
          <w:bCs/>
          <w:kern w:val="36"/>
          <w:sz w:val="22"/>
          <w:szCs w:val="22"/>
          <w:lang w:eastAsia="en-GB"/>
          <w14:ligatures w14:val="none"/>
        </w:rPr>
        <w:br/>
      </w:r>
    </w:p>
    <w:p w14:paraId="43FF209C" w14:textId="2DE061FC" w:rsidR="00D0592C" w:rsidRPr="00D0592C" w:rsidRDefault="00B14D93" w:rsidP="00D0592C">
      <w:pPr>
        <w:pStyle w:val="Title"/>
        <w:rPr>
          <w:rFonts w:ascii="Arial" w:eastAsia="Times New Roman" w:hAnsi="Arial" w:cs="Arial"/>
          <w:lang w:eastAsia="en-GB"/>
        </w:rPr>
      </w:pPr>
      <w:r w:rsidRPr="00B14D93">
        <w:rPr>
          <w:rFonts w:ascii="Arial" w:eastAsia="Times New Roman" w:hAnsi="Arial" w:cs="Arial"/>
          <w:b/>
          <w:bCs/>
          <w:kern w:val="36"/>
          <w:sz w:val="22"/>
          <w:szCs w:val="22"/>
          <w:lang w:eastAsia="en-GB"/>
          <w14:ligatures w14:val="none"/>
        </w:rPr>
        <w:br/>
      </w:r>
      <w:r w:rsidR="00D0592C">
        <w:rPr>
          <w:rFonts w:ascii="Arial" w:eastAsia="Times New Roman" w:hAnsi="Arial" w:cs="Arial"/>
          <w:lang w:eastAsia="en-GB"/>
        </w:rPr>
        <w:t>Table of Contents</w:t>
      </w:r>
      <w:r w:rsidR="00D0592C">
        <w:rPr>
          <w:rFonts w:ascii="Arial" w:eastAsia="Times New Roman" w:hAnsi="Arial" w:cs="Arial"/>
          <w:color w:val="000000"/>
          <w:kern w:val="0"/>
          <w:sz w:val="22"/>
          <w:szCs w:val="22"/>
          <w:lang w:eastAsia="en-GB"/>
          <w14:ligatures w14:val="none"/>
        </w:rPr>
        <w:fldChar w:fldCharType="begin"/>
      </w:r>
      <w:r w:rsidR="00D0592C">
        <w:rPr>
          <w:rFonts w:ascii="Arial" w:eastAsia="Times New Roman" w:hAnsi="Arial" w:cs="Arial"/>
          <w:color w:val="000000"/>
          <w:kern w:val="0"/>
          <w:sz w:val="22"/>
          <w:szCs w:val="22"/>
          <w:lang w:eastAsia="en-GB"/>
          <w14:ligatures w14:val="none"/>
        </w:rPr>
        <w:instrText xml:space="preserve"> TOC \h \z \t "Title,1,Subtitle,2" </w:instrText>
      </w:r>
      <w:r w:rsidR="00D0592C">
        <w:rPr>
          <w:rFonts w:ascii="Arial" w:eastAsia="Times New Roman" w:hAnsi="Arial" w:cs="Arial"/>
          <w:color w:val="000000"/>
          <w:kern w:val="0"/>
          <w:sz w:val="22"/>
          <w:szCs w:val="22"/>
          <w:lang w:eastAsia="en-GB"/>
          <w14:ligatures w14:val="none"/>
        </w:rPr>
        <w:fldChar w:fldCharType="separate"/>
      </w:r>
    </w:p>
    <w:p w14:paraId="2D92C947" w14:textId="72693E25" w:rsidR="00D0592C" w:rsidRDefault="00D0592C">
      <w:pPr>
        <w:pStyle w:val="TOC1"/>
        <w:tabs>
          <w:tab w:val="right" w:leader="dot" w:pos="9016"/>
        </w:tabs>
        <w:rPr>
          <w:rFonts w:eastAsiaTheme="minorEastAsia"/>
          <w:b w:val="0"/>
          <w:bCs w:val="0"/>
          <w:caps w:val="0"/>
          <w:noProof/>
          <w:sz w:val="24"/>
          <w:szCs w:val="24"/>
          <w:lang w:eastAsia="en-GB"/>
        </w:rPr>
      </w:pPr>
      <w:hyperlink w:anchor="_Toc214121046" w:history="1">
        <w:r w:rsidRPr="00266A3B">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_Toc214121046 \h </w:instrText>
        </w:r>
        <w:r>
          <w:rPr>
            <w:noProof/>
            <w:webHidden/>
          </w:rPr>
        </w:r>
        <w:r>
          <w:rPr>
            <w:noProof/>
            <w:webHidden/>
          </w:rPr>
          <w:fldChar w:fldCharType="separate"/>
        </w:r>
        <w:r>
          <w:rPr>
            <w:noProof/>
            <w:webHidden/>
          </w:rPr>
          <w:t>1</w:t>
        </w:r>
        <w:r>
          <w:rPr>
            <w:noProof/>
            <w:webHidden/>
          </w:rPr>
          <w:fldChar w:fldCharType="end"/>
        </w:r>
      </w:hyperlink>
    </w:p>
    <w:p w14:paraId="73408301" w14:textId="784DF6BE" w:rsidR="00D0592C" w:rsidRDefault="00D0592C">
      <w:pPr>
        <w:pStyle w:val="TOC1"/>
        <w:tabs>
          <w:tab w:val="right" w:leader="dot" w:pos="9016"/>
        </w:tabs>
        <w:rPr>
          <w:rFonts w:eastAsiaTheme="minorEastAsia"/>
          <w:b w:val="0"/>
          <w:bCs w:val="0"/>
          <w:caps w:val="0"/>
          <w:noProof/>
          <w:sz w:val="24"/>
          <w:szCs w:val="24"/>
          <w:lang w:eastAsia="en-GB"/>
        </w:rPr>
      </w:pPr>
      <w:hyperlink w:anchor="_Toc214121047" w:history="1">
        <w:r w:rsidRPr="00266A3B">
          <w:rPr>
            <w:rStyle w:val="Hyperlink"/>
            <w:rFonts w:ascii="Arial" w:eastAsia="Times New Roman" w:hAnsi="Arial" w:cs="Arial"/>
            <w:noProof/>
            <w:lang w:eastAsia="en-GB"/>
          </w:rPr>
          <w:t>Background</w:t>
        </w:r>
        <w:r>
          <w:rPr>
            <w:noProof/>
            <w:webHidden/>
          </w:rPr>
          <w:tab/>
        </w:r>
        <w:r>
          <w:rPr>
            <w:noProof/>
            <w:webHidden/>
          </w:rPr>
          <w:fldChar w:fldCharType="begin"/>
        </w:r>
        <w:r>
          <w:rPr>
            <w:noProof/>
            <w:webHidden/>
          </w:rPr>
          <w:instrText xml:space="preserve"> PAGEREF _Toc214121047 \h </w:instrText>
        </w:r>
        <w:r>
          <w:rPr>
            <w:noProof/>
            <w:webHidden/>
          </w:rPr>
        </w:r>
        <w:r>
          <w:rPr>
            <w:noProof/>
            <w:webHidden/>
          </w:rPr>
          <w:fldChar w:fldCharType="separate"/>
        </w:r>
        <w:r>
          <w:rPr>
            <w:noProof/>
            <w:webHidden/>
          </w:rPr>
          <w:t>2</w:t>
        </w:r>
        <w:r>
          <w:rPr>
            <w:noProof/>
            <w:webHidden/>
          </w:rPr>
          <w:fldChar w:fldCharType="end"/>
        </w:r>
      </w:hyperlink>
    </w:p>
    <w:p w14:paraId="0CEEB1E1" w14:textId="2F0A7C94" w:rsidR="00D0592C" w:rsidRDefault="00D0592C">
      <w:pPr>
        <w:pStyle w:val="TOC2"/>
        <w:tabs>
          <w:tab w:val="right" w:leader="dot" w:pos="9016"/>
        </w:tabs>
        <w:rPr>
          <w:rFonts w:eastAsiaTheme="minorEastAsia"/>
          <w:smallCaps w:val="0"/>
          <w:noProof/>
          <w:sz w:val="24"/>
          <w:szCs w:val="24"/>
          <w:lang w:eastAsia="en-GB"/>
        </w:rPr>
      </w:pPr>
      <w:hyperlink w:anchor="_Toc214121048" w:history="1">
        <w:r w:rsidRPr="00266A3B">
          <w:rPr>
            <w:rStyle w:val="Hyperlink"/>
            <w:rFonts w:ascii="Arial" w:eastAsia="Times New Roman" w:hAnsi="Arial" w:cs="Arial"/>
            <w:noProof/>
            <w:lang w:eastAsia="en-GB"/>
          </w:rPr>
          <w:t>Three everyday areas are especially critical:</w:t>
        </w:r>
        <w:r>
          <w:rPr>
            <w:noProof/>
            <w:webHidden/>
          </w:rPr>
          <w:tab/>
        </w:r>
        <w:r>
          <w:rPr>
            <w:noProof/>
            <w:webHidden/>
          </w:rPr>
          <w:fldChar w:fldCharType="begin"/>
        </w:r>
        <w:r>
          <w:rPr>
            <w:noProof/>
            <w:webHidden/>
          </w:rPr>
          <w:instrText xml:space="preserve"> PAGEREF _Toc214121048 \h </w:instrText>
        </w:r>
        <w:r>
          <w:rPr>
            <w:noProof/>
            <w:webHidden/>
          </w:rPr>
        </w:r>
        <w:r>
          <w:rPr>
            <w:noProof/>
            <w:webHidden/>
          </w:rPr>
          <w:fldChar w:fldCharType="separate"/>
        </w:r>
        <w:r>
          <w:rPr>
            <w:noProof/>
            <w:webHidden/>
          </w:rPr>
          <w:t>3</w:t>
        </w:r>
        <w:r>
          <w:rPr>
            <w:noProof/>
            <w:webHidden/>
          </w:rPr>
          <w:fldChar w:fldCharType="end"/>
        </w:r>
      </w:hyperlink>
    </w:p>
    <w:p w14:paraId="3C2AC999" w14:textId="5ACE918E" w:rsidR="00D0592C" w:rsidRDefault="00D0592C">
      <w:pPr>
        <w:pStyle w:val="TOC1"/>
        <w:tabs>
          <w:tab w:val="right" w:leader="dot" w:pos="9016"/>
        </w:tabs>
        <w:rPr>
          <w:rFonts w:eastAsiaTheme="minorEastAsia"/>
          <w:b w:val="0"/>
          <w:bCs w:val="0"/>
          <w:caps w:val="0"/>
          <w:noProof/>
          <w:sz w:val="24"/>
          <w:szCs w:val="24"/>
          <w:lang w:eastAsia="en-GB"/>
        </w:rPr>
      </w:pPr>
      <w:hyperlink w:anchor="_Toc214121049" w:history="1">
        <w:r w:rsidRPr="00266A3B">
          <w:rPr>
            <w:rStyle w:val="Hyperlink"/>
            <w:rFonts w:ascii="Arial" w:eastAsia="Times New Roman" w:hAnsi="Arial" w:cs="Arial"/>
            <w:noProof/>
            <w:lang w:eastAsia="en-GB"/>
          </w:rPr>
          <w:t>Methods</w:t>
        </w:r>
        <w:r>
          <w:rPr>
            <w:noProof/>
            <w:webHidden/>
          </w:rPr>
          <w:tab/>
        </w:r>
        <w:r>
          <w:rPr>
            <w:noProof/>
            <w:webHidden/>
          </w:rPr>
          <w:fldChar w:fldCharType="begin"/>
        </w:r>
        <w:r>
          <w:rPr>
            <w:noProof/>
            <w:webHidden/>
          </w:rPr>
          <w:instrText xml:space="preserve"> PAGEREF _Toc214121049 \h </w:instrText>
        </w:r>
        <w:r>
          <w:rPr>
            <w:noProof/>
            <w:webHidden/>
          </w:rPr>
        </w:r>
        <w:r>
          <w:rPr>
            <w:noProof/>
            <w:webHidden/>
          </w:rPr>
          <w:fldChar w:fldCharType="separate"/>
        </w:r>
        <w:r>
          <w:rPr>
            <w:noProof/>
            <w:webHidden/>
          </w:rPr>
          <w:t>3</w:t>
        </w:r>
        <w:r>
          <w:rPr>
            <w:noProof/>
            <w:webHidden/>
          </w:rPr>
          <w:fldChar w:fldCharType="end"/>
        </w:r>
      </w:hyperlink>
    </w:p>
    <w:p w14:paraId="5084C9A6" w14:textId="084927DD" w:rsidR="00D0592C" w:rsidRDefault="00D0592C">
      <w:pPr>
        <w:pStyle w:val="TOC2"/>
        <w:tabs>
          <w:tab w:val="right" w:leader="dot" w:pos="9016"/>
        </w:tabs>
        <w:rPr>
          <w:rFonts w:eastAsiaTheme="minorEastAsia"/>
          <w:smallCaps w:val="0"/>
          <w:noProof/>
          <w:sz w:val="24"/>
          <w:szCs w:val="24"/>
          <w:lang w:eastAsia="en-GB"/>
        </w:rPr>
      </w:pPr>
      <w:hyperlink w:anchor="_Toc214121050" w:history="1">
        <w:r w:rsidRPr="00266A3B">
          <w:rPr>
            <w:rStyle w:val="Hyperlink"/>
            <w:rFonts w:ascii="Arial" w:eastAsia="Times New Roman" w:hAnsi="Arial" w:cs="Arial"/>
            <w:noProof/>
            <w:lang w:eastAsia="en-GB"/>
          </w:rPr>
          <w:t>Design</w:t>
        </w:r>
        <w:r>
          <w:rPr>
            <w:noProof/>
            <w:webHidden/>
          </w:rPr>
          <w:tab/>
        </w:r>
        <w:r>
          <w:rPr>
            <w:noProof/>
            <w:webHidden/>
          </w:rPr>
          <w:fldChar w:fldCharType="begin"/>
        </w:r>
        <w:r>
          <w:rPr>
            <w:noProof/>
            <w:webHidden/>
          </w:rPr>
          <w:instrText xml:space="preserve"> PAGEREF _Toc214121050 \h </w:instrText>
        </w:r>
        <w:r>
          <w:rPr>
            <w:noProof/>
            <w:webHidden/>
          </w:rPr>
        </w:r>
        <w:r>
          <w:rPr>
            <w:noProof/>
            <w:webHidden/>
          </w:rPr>
          <w:fldChar w:fldCharType="separate"/>
        </w:r>
        <w:r>
          <w:rPr>
            <w:noProof/>
            <w:webHidden/>
          </w:rPr>
          <w:t>3</w:t>
        </w:r>
        <w:r>
          <w:rPr>
            <w:noProof/>
            <w:webHidden/>
          </w:rPr>
          <w:fldChar w:fldCharType="end"/>
        </w:r>
      </w:hyperlink>
    </w:p>
    <w:p w14:paraId="1138C1B2" w14:textId="61E4CF78" w:rsidR="00D0592C" w:rsidRDefault="00D0592C">
      <w:pPr>
        <w:pStyle w:val="TOC2"/>
        <w:tabs>
          <w:tab w:val="right" w:leader="dot" w:pos="9016"/>
        </w:tabs>
        <w:rPr>
          <w:rFonts w:eastAsiaTheme="minorEastAsia"/>
          <w:smallCaps w:val="0"/>
          <w:noProof/>
          <w:sz w:val="24"/>
          <w:szCs w:val="24"/>
          <w:lang w:eastAsia="en-GB"/>
        </w:rPr>
      </w:pPr>
      <w:hyperlink w:anchor="_Toc214121051" w:history="1">
        <w:r w:rsidRPr="00266A3B">
          <w:rPr>
            <w:rStyle w:val="Hyperlink"/>
            <w:rFonts w:ascii="Arial" w:eastAsia="Times New Roman" w:hAnsi="Arial" w:cs="Arial"/>
            <w:noProof/>
            <w:lang w:eastAsia="en-GB"/>
          </w:rPr>
          <w:t>Data sources and search strategy</w:t>
        </w:r>
        <w:r>
          <w:rPr>
            <w:noProof/>
            <w:webHidden/>
          </w:rPr>
          <w:tab/>
        </w:r>
        <w:r>
          <w:rPr>
            <w:noProof/>
            <w:webHidden/>
          </w:rPr>
          <w:fldChar w:fldCharType="begin"/>
        </w:r>
        <w:r>
          <w:rPr>
            <w:noProof/>
            <w:webHidden/>
          </w:rPr>
          <w:instrText xml:space="preserve"> PAGEREF _Toc214121051 \h </w:instrText>
        </w:r>
        <w:r>
          <w:rPr>
            <w:noProof/>
            <w:webHidden/>
          </w:rPr>
        </w:r>
        <w:r>
          <w:rPr>
            <w:noProof/>
            <w:webHidden/>
          </w:rPr>
          <w:fldChar w:fldCharType="separate"/>
        </w:r>
        <w:r>
          <w:rPr>
            <w:noProof/>
            <w:webHidden/>
          </w:rPr>
          <w:t>3</w:t>
        </w:r>
        <w:r>
          <w:rPr>
            <w:noProof/>
            <w:webHidden/>
          </w:rPr>
          <w:fldChar w:fldCharType="end"/>
        </w:r>
      </w:hyperlink>
    </w:p>
    <w:p w14:paraId="496B7BB7" w14:textId="478FEC25" w:rsidR="00D0592C" w:rsidRDefault="00D0592C">
      <w:pPr>
        <w:pStyle w:val="TOC2"/>
        <w:tabs>
          <w:tab w:val="right" w:leader="dot" w:pos="9016"/>
        </w:tabs>
        <w:rPr>
          <w:rFonts w:eastAsiaTheme="minorEastAsia"/>
          <w:smallCaps w:val="0"/>
          <w:noProof/>
          <w:sz w:val="24"/>
          <w:szCs w:val="24"/>
          <w:lang w:eastAsia="en-GB"/>
        </w:rPr>
      </w:pPr>
      <w:hyperlink w:anchor="_Toc214121052" w:history="1">
        <w:r w:rsidRPr="00266A3B">
          <w:rPr>
            <w:rStyle w:val="Hyperlink"/>
            <w:rFonts w:ascii="Arial" w:eastAsia="Times New Roman" w:hAnsi="Arial" w:cs="Arial"/>
            <w:noProof/>
            <w:lang w:eastAsia="en-GB"/>
          </w:rPr>
          <w:t>Data analysis</w:t>
        </w:r>
        <w:r>
          <w:rPr>
            <w:noProof/>
            <w:webHidden/>
          </w:rPr>
          <w:tab/>
        </w:r>
        <w:r>
          <w:rPr>
            <w:noProof/>
            <w:webHidden/>
          </w:rPr>
          <w:fldChar w:fldCharType="begin"/>
        </w:r>
        <w:r>
          <w:rPr>
            <w:noProof/>
            <w:webHidden/>
          </w:rPr>
          <w:instrText xml:space="preserve"> PAGEREF _Toc214121052 \h </w:instrText>
        </w:r>
        <w:r>
          <w:rPr>
            <w:noProof/>
            <w:webHidden/>
          </w:rPr>
        </w:r>
        <w:r>
          <w:rPr>
            <w:noProof/>
            <w:webHidden/>
          </w:rPr>
          <w:fldChar w:fldCharType="separate"/>
        </w:r>
        <w:r>
          <w:rPr>
            <w:noProof/>
            <w:webHidden/>
          </w:rPr>
          <w:t>4</w:t>
        </w:r>
        <w:r>
          <w:rPr>
            <w:noProof/>
            <w:webHidden/>
          </w:rPr>
          <w:fldChar w:fldCharType="end"/>
        </w:r>
      </w:hyperlink>
    </w:p>
    <w:p w14:paraId="3B760235" w14:textId="326508CB" w:rsidR="00D0592C" w:rsidRDefault="00D0592C">
      <w:pPr>
        <w:pStyle w:val="TOC1"/>
        <w:tabs>
          <w:tab w:val="right" w:leader="dot" w:pos="9016"/>
        </w:tabs>
        <w:rPr>
          <w:rFonts w:eastAsiaTheme="minorEastAsia"/>
          <w:b w:val="0"/>
          <w:bCs w:val="0"/>
          <w:caps w:val="0"/>
          <w:noProof/>
          <w:sz w:val="24"/>
          <w:szCs w:val="24"/>
          <w:lang w:eastAsia="en-GB"/>
        </w:rPr>
      </w:pPr>
      <w:hyperlink w:anchor="_Toc214121053" w:history="1">
        <w:r w:rsidRPr="00266A3B">
          <w:rPr>
            <w:rStyle w:val="Hyperlink"/>
            <w:rFonts w:ascii="Arial" w:eastAsia="Times New Roman" w:hAnsi="Arial" w:cs="Arial"/>
            <w:noProof/>
            <w:lang w:eastAsia="en-GB"/>
          </w:rPr>
          <w:t>Results</w:t>
        </w:r>
        <w:r>
          <w:rPr>
            <w:noProof/>
            <w:webHidden/>
          </w:rPr>
          <w:tab/>
        </w:r>
        <w:r>
          <w:rPr>
            <w:noProof/>
            <w:webHidden/>
          </w:rPr>
          <w:fldChar w:fldCharType="begin"/>
        </w:r>
        <w:r>
          <w:rPr>
            <w:noProof/>
            <w:webHidden/>
          </w:rPr>
          <w:instrText xml:space="preserve"> PAGEREF _Toc214121053 \h </w:instrText>
        </w:r>
        <w:r>
          <w:rPr>
            <w:noProof/>
            <w:webHidden/>
          </w:rPr>
        </w:r>
        <w:r>
          <w:rPr>
            <w:noProof/>
            <w:webHidden/>
          </w:rPr>
          <w:fldChar w:fldCharType="separate"/>
        </w:r>
        <w:r>
          <w:rPr>
            <w:noProof/>
            <w:webHidden/>
          </w:rPr>
          <w:t>4</w:t>
        </w:r>
        <w:r>
          <w:rPr>
            <w:noProof/>
            <w:webHidden/>
          </w:rPr>
          <w:fldChar w:fldCharType="end"/>
        </w:r>
      </w:hyperlink>
    </w:p>
    <w:p w14:paraId="393F8638" w14:textId="046BFB27" w:rsidR="00D0592C" w:rsidRDefault="00D0592C">
      <w:pPr>
        <w:pStyle w:val="TOC2"/>
        <w:tabs>
          <w:tab w:val="right" w:leader="dot" w:pos="9016"/>
        </w:tabs>
        <w:rPr>
          <w:rFonts w:eastAsiaTheme="minorEastAsia"/>
          <w:smallCaps w:val="0"/>
          <w:noProof/>
          <w:sz w:val="24"/>
          <w:szCs w:val="24"/>
          <w:lang w:eastAsia="en-GB"/>
        </w:rPr>
      </w:pPr>
      <w:hyperlink w:anchor="_Toc214121054" w:history="1">
        <w:r w:rsidRPr="00266A3B">
          <w:rPr>
            <w:rStyle w:val="Hyperlink"/>
            <w:rFonts w:ascii="Arial" w:eastAsia="Times New Roman" w:hAnsi="Arial" w:cs="Arial"/>
            <w:noProof/>
            <w:lang w:eastAsia="en-GB"/>
          </w:rPr>
          <w:t>Overview of included studies</w:t>
        </w:r>
        <w:r>
          <w:rPr>
            <w:noProof/>
            <w:webHidden/>
          </w:rPr>
          <w:tab/>
        </w:r>
        <w:r>
          <w:rPr>
            <w:noProof/>
            <w:webHidden/>
          </w:rPr>
          <w:fldChar w:fldCharType="begin"/>
        </w:r>
        <w:r>
          <w:rPr>
            <w:noProof/>
            <w:webHidden/>
          </w:rPr>
          <w:instrText xml:space="preserve"> PAGEREF _Toc214121054 \h </w:instrText>
        </w:r>
        <w:r>
          <w:rPr>
            <w:noProof/>
            <w:webHidden/>
          </w:rPr>
        </w:r>
        <w:r>
          <w:rPr>
            <w:noProof/>
            <w:webHidden/>
          </w:rPr>
          <w:fldChar w:fldCharType="separate"/>
        </w:r>
        <w:r>
          <w:rPr>
            <w:noProof/>
            <w:webHidden/>
          </w:rPr>
          <w:t>4</w:t>
        </w:r>
        <w:r>
          <w:rPr>
            <w:noProof/>
            <w:webHidden/>
          </w:rPr>
          <w:fldChar w:fldCharType="end"/>
        </w:r>
      </w:hyperlink>
    </w:p>
    <w:p w14:paraId="550CD973" w14:textId="290B0D10" w:rsidR="00D0592C" w:rsidRDefault="00D0592C">
      <w:pPr>
        <w:pStyle w:val="TOC2"/>
        <w:tabs>
          <w:tab w:val="right" w:leader="dot" w:pos="9016"/>
        </w:tabs>
        <w:rPr>
          <w:rFonts w:eastAsiaTheme="minorEastAsia"/>
          <w:smallCaps w:val="0"/>
          <w:noProof/>
          <w:sz w:val="24"/>
          <w:szCs w:val="24"/>
          <w:lang w:eastAsia="en-GB"/>
        </w:rPr>
      </w:pPr>
      <w:hyperlink w:anchor="_Toc214121055" w:history="1">
        <w:r w:rsidRPr="00266A3B">
          <w:rPr>
            <w:rStyle w:val="Hyperlink"/>
            <w:rFonts w:ascii="Arial" w:eastAsia="Times New Roman" w:hAnsi="Arial" w:cs="Arial"/>
            <w:noProof/>
            <w:lang w:eastAsia="en-GB"/>
          </w:rPr>
          <w:t>Table 1: Summary of Included UK-Based Studies (2015–2025)</w:t>
        </w:r>
        <w:r>
          <w:rPr>
            <w:noProof/>
            <w:webHidden/>
          </w:rPr>
          <w:tab/>
        </w:r>
        <w:r>
          <w:rPr>
            <w:noProof/>
            <w:webHidden/>
          </w:rPr>
          <w:fldChar w:fldCharType="begin"/>
        </w:r>
        <w:r>
          <w:rPr>
            <w:noProof/>
            <w:webHidden/>
          </w:rPr>
          <w:instrText xml:space="preserve"> PAGEREF _Toc214121055 \h </w:instrText>
        </w:r>
        <w:r>
          <w:rPr>
            <w:noProof/>
            <w:webHidden/>
          </w:rPr>
        </w:r>
        <w:r>
          <w:rPr>
            <w:noProof/>
            <w:webHidden/>
          </w:rPr>
          <w:fldChar w:fldCharType="separate"/>
        </w:r>
        <w:r>
          <w:rPr>
            <w:noProof/>
            <w:webHidden/>
          </w:rPr>
          <w:t>5</w:t>
        </w:r>
        <w:r>
          <w:rPr>
            <w:noProof/>
            <w:webHidden/>
          </w:rPr>
          <w:fldChar w:fldCharType="end"/>
        </w:r>
      </w:hyperlink>
    </w:p>
    <w:p w14:paraId="68FEF913" w14:textId="43EEE2C7" w:rsidR="00D0592C" w:rsidRDefault="00D0592C">
      <w:pPr>
        <w:pStyle w:val="TOC1"/>
        <w:tabs>
          <w:tab w:val="right" w:leader="dot" w:pos="9016"/>
        </w:tabs>
        <w:rPr>
          <w:rFonts w:eastAsiaTheme="minorEastAsia"/>
          <w:b w:val="0"/>
          <w:bCs w:val="0"/>
          <w:caps w:val="0"/>
          <w:noProof/>
          <w:sz w:val="24"/>
          <w:szCs w:val="24"/>
          <w:lang w:eastAsia="en-GB"/>
        </w:rPr>
      </w:pPr>
      <w:hyperlink w:anchor="_Toc214121056" w:history="1">
        <w:r w:rsidRPr="00266A3B">
          <w:rPr>
            <w:rStyle w:val="Hyperlink"/>
            <w:rFonts w:ascii="Arial" w:hAnsi="Arial" w:cs="Arial"/>
            <w:noProof/>
            <w:lang w:eastAsia="en-GB"/>
          </w:rPr>
          <w:t>Key Themes</w:t>
        </w:r>
        <w:r>
          <w:rPr>
            <w:noProof/>
            <w:webHidden/>
          </w:rPr>
          <w:tab/>
        </w:r>
        <w:r>
          <w:rPr>
            <w:noProof/>
            <w:webHidden/>
          </w:rPr>
          <w:fldChar w:fldCharType="begin"/>
        </w:r>
        <w:r>
          <w:rPr>
            <w:noProof/>
            <w:webHidden/>
          </w:rPr>
          <w:instrText xml:space="preserve"> PAGEREF _Toc214121056 \h </w:instrText>
        </w:r>
        <w:r>
          <w:rPr>
            <w:noProof/>
            <w:webHidden/>
          </w:rPr>
        </w:r>
        <w:r>
          <w:rPr>
            <w:noProof/>
            <w:webHidden/>
          </w:rPr>
          <w:fldChar w:fldCharType="separate"/>
        </w:r>
        <w:r>
          <w:rPr>
            <w:noProof/>
            <w:webHidden/>
          </w:rPr>
          <w:t>7</w:t>
        </w:r>
        <w:r>
          <w:rPr>
            <w:noProof/>
            <w:webHidden/>
          </w:rPr>
          <w:fldChar w:fldCharType="end"/>
        </w:r>
      </w:hyperlink>
    </w:p>
    <w:p w14:paraId="18A6481D" w14:textId="1FD75FC9" w:rsidR="00D0592C" w:rsidRDefault="00D0592C">
      <w:pPr>
        <w:pStyle w:val="TOC2"/>
        <w:tabs>
          <w:tab w:val="right" w:leader="dot" w:pos="9016"/>
        </w:tabs>
        <w:rPr>
          <w:rFonts w:eastAsiaTheme="minorEastAsia"/>
          <w:smallCaps w:val="0"/>
          <w:noProof/>
          <w:sz w:val="24"/>
          <w:szCs w:val="24"/>
          <w:lang w:eastAsia="en-GB"/>
        </w:rPr>
      </w:pPr>
      <w:hyperlink w:anchor="_Toc214121057" w:history="1">
        <w:r w:rsidRPr="00266A3B">
          <w:rPr>
            <w:rStyle w:val="Hyperlink"/>
            <w:rFonts w:ascii="Arial" w:eastAsia="Times New Roman" w:hAnsi="Arial" w:cs="Arial"/>
            <w:noProof/>
            <w:lang w:eastAsia="en-GB"/>
          </w:rPr>
          <w:t>1. Personal hygiene, refusals of care and continence</w:t>
        </w:r>
        <w:r>
          <w:rPr>
            <w:noProof/>
            <w:webHidden/>
          </w:rPr>
          <w:tab/>
        </w:r>
        <w:r>
          <w:rPr>
            <w:noProof/>
            <w:webHidden/>
          </w:rPr>
          <w:fldChar w:fldCharType="begin"/>
        </w:r>
        <w:r>
          <w:rPr>
            <w:noProof/>
            <w:webHidden/>
          </w:rPr>
          <w:instrText xml:space="preserve"> PAGEREF _Toc214121057 \h </w:instrText>
        </w:r>
        <w:r>
          <w:rPr>
            <w:noProof/>
            <w:webHidden/>
          </w:rPr>
        </w:r>
        <w:r>
          <w:rPr>
            <w:noProof/>
            <w:webHidden/>
          </w:rPr>
          <w:fldChar w:fldCharType="separate"/>
        </w:r>
        <w:r>
          <w:rPr>
            <w:noProof/>
            <w:webHidden/>
          </w:rPr>
          <w:t>7</w:t>
        </w:r>
        <w:r>
          <w:rPr>
            <w:noProof/>
            <w:webHidden/>
          </w:rPr>
          <w:fldChar w:fldCharType="end"/>
        </w:r>
      </w:hyperlink>
    </w:p>
    <w:p w14:paraId="3E293DD4" w14:textId="3994DE19" w:rsidR="00D0592C" w:rsidRDefault="00D0592C">
      <w:pPr>
        <w:pStyle w:val="TOC2"/>
        <w:tabs>
          <w:tab w:val="right" w:leader="dot" w:pos="9016"/>
        </w:tabs>
        <w:rPr>
          <w:rFonts w:eastAsiaTheme="minorEastAsia"/>
          <w:smallCaps w:val="0"/>
          <w:noProof/>
          <w:sz w:val="24"/>
          <w:szCs w:val="24"/>
          <w:lang w:eastAsia="en-GB"/>
        </w:rPr>
      </w:pPr>
      <w:hyperlink w:anchor="_Toc214121058" w:history="1">
        <w:r w:rsidRPr="00266A3B">
          <w:rPr>
            <w:rStyle w:val="Hyperlink"/>
            <w:rFonts w:ascii="Arial" w:eastAsia="Times New Roman" w:hAnsi="Arial" w:cs="Arial"/>
            <w:noProof/>
            <w:lang w:eastAsia="en-GB"/>
          </w:rPr>
          <w:t>2. Eating, nutrition and mealtime experiences</w:t>
        </w:r>
        <w:r>
          <w:rPr>
            <w:noProof/>
            <w:webHidden/>
          </w:rPr>
          <w:tab/>
        </w:r>
        <w:r>
          <w:rPr>
            <w:noProof/>
            <w:webHidden/>
          </w:rPr>
          <w:fldChar w:fldCharType="begin"/>
        </w:r>
        <w:r>
          <w:rPr>
            <w:noProof/>
            <w:webHidden/>
          </w:rPr>
          <w:instrText xml:space="preserve"> PAGEREF _Toc214121058 \h </w:instrText>
        </w:r>
        <w:r>
          <w:rPr>
            <w:noProof/>
            <w:webHidden/>
          </w:rPr>
        </w:r>
        <w:r>
          <w:rPr>
            <w:noProof/>
            <w:webHidden/>
          </w:rPr>
          <w:fldChar w:fldCharType="separate"/>
        </w:r>
        <w:r>
          <w:rPr>
            <w:noProof/>
            <w:webHidden/>
          </w:rPr>
          <w:t>8</w:t>
        </w:r>
        <w:r>
          <w:rPr>
            <w:noProof/>
            <w:webHidden/>
          </w:rPr>
          <w:fldChar w:fldCharType="end"/>
        </w:r>
      </w:hyperlink>
    </w:p>
    <w:p w14:paraId="4F35B7D2" w14:textId="275EAC19" w:rsidR="00D0592C" w:rsidRDefault="00D0592C">
      <w:pPr>
        <w:pStyle w:val="TOC2"/>
        <w:tabs>
          <w:tab w:val="right" w:leader="dot" w:pos="9016"/>
        </w:tabs>
        <w:rPr>
          <w:rFonts w:eastAsiaTheme="minorEastAsia"/>
          <w:smallCaps w:val="0"/>
          <w:noProof/>
          <w:sz w:val="24"/>
          <w:szCs w:val="24"/>
          <w:lang w:eastAsia="en-GB"/>
        </w:rPr>
      </w:pPr>
      <w:hyperlink w:anchor="_Toc214121059" w:history="1">
        <w:r w:rsidRPr="00266A3B">
          <w:rPr>
            <w:rStyle w:val="Hyperlink"/>
            <w:rFonts w:ascii="Arial" w:eastAsia="Times New Roman" w:hAnsi="Arial" w:cs="Arial"/>
            <w:noProof/>
            <w:lang w:eastAsia="en-GB"/>
          </w:rPr>
          <w:t>3. Medication management, polypharmacy and psychotropic use</w:t>
        </w:r>
        <w:r>
          <w:rPr>
            <w:noProof/>
            <w:webHidden/>
          </w:rPr>
          <w:tab/>
        </w:r>
        <w:r>
          <w:rPr>
            <w:noProof/>
            <w:webHidden/>
          </w:rPr>
          <w:fldChar w:fldCharType="begin"/>
        </w:r>
        <w:r>
          <w:rPr>
            <w:noProof/>
            <w:webHidden/>
          </w:rPr>
          <w:instrText xml:space="preserve"> PAGEREF _Toc214121059 \h </w:instrText>
        </w:r>
        <w:r>
          <w:rPr>
            <w:noProof/>
            <w:webHidden/>
          </w:rPr>
        </w:r>
        <w:r>
          <w:rPr>
            <w:noProof/>
            <w:webHidden/>
          </w:rPr>
          <w:fldChar w:fldCharType="separate"/>
        </w:r>
        <w:r>
          <w:rPr>
            <w:noProof/>
            <w:webHidden/>
          </w:rPr>
          <w:t>8</w:t>
        </w:r>
        <w:r>
          <w:rPr>
            <w:noProof/>
            <w:webHidden/>
          </w:rPr>
          <w:fldChar w:fldCharType="end"/>
        </w:r>
      </w:hyperlink>
    </w:p>
    <w:p w14:paraId="5AD9C9E8" w14:textId="04CE64D0" w:rsidR="00D0592C" w:rsidRDefault="00D0592C">
      <w:pPr>
        <w:pStyle w:val="TOC2"/>
        <w:tabs>
          <w:tab w:val="right" w:leader="dot" w:pos="9016"/>
        </w:tabs>
        <w:rPr>
          <w:rFonts w:eastAsiaTheme="minorEastAsia"/>
          <w:smallCaps w:val="0"/>
          <w:noProof/>
          <w:sz w:val="24"/>
          <w:szCs w:val="24"/>
          <w:lang w:eastAsia="en-GB"/>
        </w:rPr>
      </w:pPr>
      <w:hyperlink w:anchor="_Toc214121060" w:history="1">
        <w:r w:rsidRPr="00266A3B">
          <w:rPr>
            <w:rStyle w:val="Hyperlink"/>
            <w:rFonts w:ascii="Arial" w:eastAsia="Times New Roman" w:hAnsi="Arial" w:cs="Arial"/>
            <w:noProof/>
            <w:lang w:eastAsia="en-GB"/>
          </w:rPr>
          <w:t>4. Staff strategies and person-centred care</w:t>
        </w:r>
        <w:r>
          <w:rPr>
            <w:noProof/>
            <w:webHidden/>
          </w:rPr>
          <w:tab/>
        </w:r>
        <w:r>
          <w:rPr>
            <w:noProof/>
            <w:webHidden/>
          </w:rPr>
          <w:fldChar w:fldCharType="begin"/>
        </w:r>
        <w:r>
          <w:rPr>
            <w:noProof/>
            <w:webHidden/>
          </w:rPr>
          <w:instrText xml:space="preserve"> PAGEREF _Toc214121060 \h </w:instrText>
        </w:r>
        <w:r>
          <w:rPr>
            <w:noProof/>
            <w:webHidden/>
          </w:rPr>
        </w:r>
        <w:r>
          <w:rPr>
            <w:noProof/>
            <w:webHidden/>
          </w:rPr>
          <w:fldChar w:fldCharType="separate"/>
        </w:r>
        <w:r>
          <w:rPr>
            <w:noProof/>
            <w:webHidden/>
          </w:rPr>
          <w:t>9</w:t>
        </w:r>
        <w:r>
          <w:rPr>
            <w:noProof/>
            <w:webHidden/>
          </w:rPr>
          <w:fldChar w:fldCharType="end"/>
        </w:r>
      </w:hyperlink>
    </w:p>
    <w:p w14:paraId="7023A238" w14:textId="3F1B56C1" w:rsidR="00D0592C" w:rsidRDefault="00D0592C">
      <w:pPr>
        <w:pStyle w:val="TOC1"/>
        <w:tabs>
          <w:tab w:val="right" w:leader="dot" w:pos="9016"/>
        </w:tabs>
        <w:rPr>
          <w:rFonts w:eastAsiaTheme="minorEastAsia"/>
          <w:b w:val="0"/>
          <w:bCs w:val="0"/>
          <w:caps w:val="0"/>
          <w:noProof/>
          <w:sz w:val="24"/>
          <w:szCs w:val="24"/>
          <w:lang w:eastAsia="en-GB"/>
        </w:rPr>
      </w:pPr>
      <w:hyperlink w:anchor="_Toc214121061" w:history="1">
        <w:r w:rsidRPr="00266A3B">
          <w:rPr>
            <w:rStyle w:val="Hyperlink"/>
            <w:rFonts w:ascii="Arial" w:eastAsia="Times New Roman" w:hAnsi="Arial" w:cs="Arial"/>
            <w:noProof/>
            <w:lang w:eastAsia="en-GB"/>
          </w:rPr>
          <w:t>Discussion</w:t>
        </w:r>
        <w:r>
          <w:rPr>
            <w:noProof/>
            <w:webHidden/>
          </w:rPr>
          <w:tab/>
        </w:r>
        <w:r>
          <w:rPr>
            <w:noProof/>
            <w:webHidden/>
          </w:rPr>
          <w:fldChar w:fldCharType="begin"/>
        </w:r>
        <w:r>
          <w:rPr>
            <w:noProof/>
            <w:webHidden/>
          </w:rPr>
          <w:instrText xml:space="preserve"> PAGEREF _Toc214121061 \h </w:instrText>
        </w:r>
        <w:r>
          <w:rPr>
            <w:noProof/>
            <w:webHidden/>
          </w:rPr>
        </w:r>
        <w:r>
          <w:rPr>
            <w:noProof/>
            <w:webHidden/>
          </w:rPr>
          <w:fldChar w:fldCharType="separate"/>
        </w:r>
        <w:r>
          <w:rPr>
            <w:noProof/>
            <w:webHidden/>
          </w:rPr>
          <w:t>10</w:t>
        </w:r>
        <w:r>
          <w:rPr>
            <w:noProof/>
            <w:webHidden/>
          </w:rPr>
          <w:fldChar w:fldCharType="end"/>
        </w:r>
      </w:hyperlink>
    </w:p>
    <w:p w14:paraId="22132F7D" w14:textId="0FD5CD3B" w:rsidR="00D0592C" w:rsidRDefault="00D0592C">
      <w:pPr>
        <w:pStyle w:val="TOC1"/>
        <w:tabs>
          <w:tab w:val="right" w:leader="dot" w:pos="9016"/>
        </w:tabs>
        <w:rPr>
          <w:rFonts w:eastAsiaTheme="minorEastAsia"/>
          <w:b w:val="0"/>
          <w:bCs w:val="0"/>
          <w:caps w:val="0"/>
          <w:noProof/>
          <w:sz w:val="24"/>
          <w:szCs w:val="24"/>
          <w:lang w:eastAsia="en-GB"/>
        </w:rPr>
      </w:pPr>
      <w:hyperlink w:anchor="_Toc214121062" w:history="1">
        <w:r w:rsidRPr="00266A3B">
          <w:rPr>
            <w:rStyle w:val="Hyperlink"/>
            <w:rFonts w:ascii="Arial" w:eastAsia="Times New Roman" w:hAnsi="Arial" w:cs="Arial"/>
            <w:noProof/>
            <w:lang w:eastAsia="en-GB"/>
          </w:rPr>
          <w:t>Conclusion and Recommendations</w:t>
        </w:r>
        <w:r>
          <w:rPr>
            <w:noProof/>
            <w:webHidden/>
          </w:rPr>
          <w:tab/>
        </w:r>
        <w:r>
          <w:rPr>
            <w:noProof/>
            <w:webHidden/>
          </w:rPr>
          <w:fldChar w:fldCharType="begin"/>
        </w:r>
        <w:r>
          <w:rPr>
            <w:noProof/>
            <w:webHidden/>
          </w:rPr>
          <w:instrText xml:space="preserve"> PAGEREF _Toc214121062 \h </w:instrText>
        </w:r>
        <w:r>
          <w:rPr>
            <w:noProof/>
            <w:webHidden/>
          </w:rPr>
        </w:r>
        <w:r>
          <w:rPr>
            <w:noProof/>
            <w:webHidden/>
          </w:rPr>
          <w:fldChar w:fldCharType="separate"/>
        </w:r>
        <w:r>
          <w:rPr>
            <w:noProof/>
            <w:webHidden/>
          </w:rPr>
          <w:t>11</w:t>
        </w:r>
        <w:r>
          <w:rPr>
            <w:noProof/>
            <w:webHidden/>
          </w:rPr>
          <w:fldChar w:fldCharType="end"/>
        </w:r>
      </w:hyperlink>
    </w:p>
    <w:p w14:paraId="55118C86" w14:textId="61C3B023" w:rsidR="00D0592C" w:rsidRDefault="00D0592C">
      <w:pPr>
        <w:pStyle w:val="TOC2"/>
        <w:tabs>
          <w:tab w:val="right" w:leader="dot" w:pos="9016"/>
        </w:tabs>
        <w:rPr>
          <w:rFonts w:eastAsiaTheme="minorEastAsia"/>
          <w:smallCaps w:val="0"/>
          <w:noProof/>
          <w:sz w:val="24"/>
          <w:szCs w:val="24"/>
          <w:lang w:eastAsia="en-GB"/>
        </w:rPr>
      </w:pPr>
      <w:hyperlink w:anchor="_Toc214121063" w:history="1">
        <w:r w:rsidRPr="00266A3B">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_Toc214121063 \h </w:instrText>
        </w:r>
        <w:r>
          <w:rPr>
            <w:noProof/>
            <w:webHidden/>
          </w:rPr>
        </w:r>
        <w:r>
          <w:rPr>
            <w:noProof/>
            <w:webHidden/>
          </w:rPr>
          <w:fldChar w:fldCharType="separate"/>
        </w:r>
        <w:r>
          <w:rPr>
            <w:noProof/>
            <w:webHidden/>
          </w:rPr>
          <w:t>11</w:t>
        </w:r>
        <w:r>
          <w:rPr>
            <w:noProof/>
            <w:webHidden/>
          </w:rPr>
          <w:fldChar w:fldCharType="end"/>
        </w:r>
      </w:hyperlink>
    </w:p>
    <w:p w14:paraId="1D48E0C6" w14:textId="30468E4E" w:rsidR="00D0592C" w:rsidRDefault="00D0592C">
      <w:pPr>
        <w:pStyle w:val="TOC2"/>
        <w:tabs>
          <w:tab w:val="right" w:leader="dot" w:pos="9016"/>
        </w:tabs>
        <w:rPr>
          <w:rFonts w:eastAsiaTheme="minorEastAsia"/>
          <w:smallCaps w:val="0"/>
          <w:noProof/>
          <w:sz w:val="24"/>
          <w:szCs w:val="24"/>
          <w:lang w:eastAsia="en-GB"/>
        </w:rPr>
      </w:pPr>
      <w:hyperlink w:anchor="_Toc214121064" w:history="1">
        <w:r w:rsidRPr="00266A3B">
          <w:rPr>
            <w:rStyle w:val="Hyperlink"/>
            <w:rFonts w:ascii="Arial" w:eastAsia="Times New Roman" w:hAnsi="Arial" w:cs="Arial"/>
            <w:noProof/>
            <w:lang w:eastAsia="en-GB"/>
          </w:rPr>
          <w:t>Recommendations for research</w:t>
        </w:r>
        <w:r>
          <w:rPr>
            <w:noProof/>
            <w:webHidden/>
          </w:rPr>
          <w:tab/>
        </w:r>
        <w:r>
          <w:rPr>
            <w:noProof/>
            <w:webHidden/>
          </w:rPr>
          <w:fldChar w:fldCharType="begin"/>
        </w:r>
        <w:r>
          <w:rPr>
            <w:noProof/>
            <w:webHidden/>
          </w:rPr>
          <w:instrText xml:space="preserve"> PAGEREF _Toc214121064 \h </w:instrText>
        </w:r>
        <w:r>
          <w:rPr>
            <w:noProof/>
            <w:webHidden/>
          </w:rPr>
        </w:r>
        <w:r>
          <w:rPr>
            <w:noProof/>
            <w:webHidden/>
          </w:rPr>
          <w:fldChar w:fldCharType="separate"/>
        </w:r>
        <w:r>
          <w:rPr>
            <w:noProof/>
            <w:webHidden/>
          </w:rPr>
          <w:t>11</w:t>
        </w:r>
        <w:r>
          <w:rPr>
            <w:noProof/>
            <w:webHidden/>
          </w:rPr>
          <w:fldChar w:fldCharType="end"/>
        </w:r>
      </w:hyperlink>
    </w:p>
    <w:p w14:paraId="0FE3DB95" w14:textId="05C6C644" w:rsidR="00D0592C" w:rsidRDefault="00D0592C">
      <w:pPr>
        <w:pStyle w:val="TOC1"/>
        <w:tabs>
          <w:tab w:val="right" w:leader="dot" w:pos="9016"/>
        </w:tabs>
        <w:rPr>
          <w:rFonts w:eastAsiaTheme="minorEastAsia"/>
          <w:b w:val="0"/>
          <w:bCs w:val="0"/>
          <w:caps w:val="0"/>
          <w:noProof/>
          <w:sz w:val="24"/>
          <w:szCs w:val="24"/>
          <w:lang w:eastAsia="en-GB"/>
        </w:rPr>
      </w:pPr>
      <w:hyperlink w:anchor="_Toc214121065" w:history="1">
        <w:r w:rsidRPr="00266A3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_Toc214121065 \h </w:instrText>
        </w:r>
        <w:r>
          <w:rPr>
            <w:noProof/>
            <w:webHidden/>
          </w:rPr>
        </w:r>
        <w:r>
          <w:rPr>
            <w:noProof/>
            <w:webHidden/>
          </w:rPr>
          <w:fldChar w:fldCharType="separate"/>
        </w:r>
        <w:r>
          <w:rPr>
            <w:noProof/>
            <w:webHidden/>
          </w:rPr>
          <w:t>12</w:t>
        </w:r>
        <w:r>
          <w:rPr>
            <w:noProof/>
            <w:webHidden/>
          </w:rPr>
          <w:fldChar w:fldCharType="end"/>
        </w:r>
      </w:hyperlink>
    </w:p>
    <w:p w14:paraId="4FB7729F" w14:textId="4A47EA95" w:rsidR="00667D3E" w:rsidRDefault="00D0592C" w:rsidP="00E83195">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fldChar w:fldCharType="end"/>
      </w:r>
    </w:p>
    <w:p w14:paraId="41F1DCC3" w14:textId="77777777" w:rsidR="00D0592C" w:rsidRDefault="00D0592C" w:rsidP="00E83195">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32254E1E" w14:textId="77777777" w:rsidR="00D0592C" w:rsidRDefault="00D0592C" w:rsidP="00E83195">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30232905" w14:textId="77777777" w:rsidR="00D0592C" w:rsidRDefault="00D0592C" w:rsidP="00E83195">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64B4A0FA" w14:textId="77777777" w:rsidR="00D0592C" w:rsidRDefault="00D0592C" w:rsidP="00E83195">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763481B5" w14:textId="77777777" w:rsidR="00D0592C" w:rsidRDefault="00D0592C" w:rsidP="00E83195">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358A1365" w14:textId="77777777" w:rsidR="00D0592C" w:rsidRPr="00667D3E" w:rsidRDefault="00D0592C" w:rsidP="00E83195">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4BB529BC" w14:textId="77777777" w:rsidR="00667D3E" w:rsidRPr="00B14D93" w:rsidRDefault="00667D3E" w:rsidP="00B14D93">
      <w:pPr>
        <w:pStyle w:val="Title"/>
        <w:rPr>
          <w:rFonts w:ascii="Arial" w:eastAsia="Times New Roman" w:hAnsi="Arial" w:cs="Arial"/>
          <w:lang w:eastAsia="en-GB"/>
        </w:rPr>
      </w:pPr>
      <w:bookmarkStart w:id="0" w:name="_Toc214121046"/>
      <w:r w:rsidRPr="00B14D93">
        <w:rPr>
          <w:rFonts w:ascii="Arial" w:eastAsia="Times New Roman" w:hAnsi="Arial" w:cs="Arial"/>
          <w:lang w:eastAsia="en-GB"/>
        </w:rPr>
        <w:lastRenderedPageBreak/>
        <w:t>Introduction</w:t>
      </w:r>
      <w:bookmarkEnd w:id="0"/>
    </w:p>
    <w:p w14:paraId="72112859" w14:textId="35E58178"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Dementia is a progressive neurocognitive syndrome characterised by decline in memory, reasoning, communication and ability to carry out everyday activities. It is an umbrella term that includes Alzheimer’s disease, vascular dementia and other related disorders (Livingston et al., 2017). In the UK an estimated 900,000 people are currently living with dementia, with numbers projected to exceed 1 million within the next decade (Alzheimer’s Society, 2024). A large proportion of people with dementia live in institutional care: UK estimates suggest that around 70–80% of care home residents have dementia or significant memory problems (CQC, 2014; Livingston et al., 2017).</w:t>
      </w:r>
      <w:r w:rsidR="006B7663" w:rsidRPr="00B14D93">
        <w:rPr>
          <w:rFonts w:ascii="Arial" w:eastAsia="Times New Roman" w:hAnsi="Arial" w:cs="Arial"/>
          <w:kern w:val="0"/>
          <w:sz w:val="22"/>
          <w:szCs w:val="22"/>
          <w:lang w:eastAsia="en-GB"/>
          <w14:ligatures w14:val="none"/>
        </w:rPr>
        <w:t xml:space="preserve"> </w:t>
      </w:r>
      <w:r w:rsidRPr="00E250FE">
        <w:rPr>
          <w:rFonts w:ascii="Arial" w:eastAsia="Times New Roman" w:hAnsi="Arial" w:cs="Arial"/>
          <w:kern w:val="0"/>
          <w:sz w:val="22"/>
          <w:szCs w:val="22"/>
          <w:lang w:eastAsia="en-GB"/>
          <w14:ligatures w14:val="none"/>
        </w:rPr>
        <w:t>This makes care homes a crucial setting for dementia care policy, practice and research.</w:t>
      </w:r>
    </w:p>
    <w:p w14:paraId="1745D70B" w14:textId="49F45B51"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Dementia gradually erodes a person’s ability to manage everyday tasks such as washing, dressing, eating and taking medicines safely. These activities of daily living are central to dignity, comfort and health. When they are not supported well, consequences can include poor personal hygiene, malnutrition, dehydration, medication errors, avoidable hospital admissions and reduced quality of life (Livingston et al., 2017; NICE, 2018). In UK care homes, staff must therefore provide intensive support with personal hygiene, nutrition and medication management, often under conditions of high workload, staffing pressures and variable dementia-specific training (CQC, 2014; NHS England, 2016).</w:t>
      </w:r>
      <w:r w:rsidRPr="00B14D93">
        <w:rPr>
          <w:rFonts w:ascii="Arial" w:eastAsia="Times New Roman" w:hAnsi="Arial" w:cs="Arial"/>
          <w:kern w:val="0"/>
          <w:sz w:val="22"/>
          <w:szCs w:val="22"/>
          <w:lang w:eastAsia="en-GB"/>
          <w14:ligatures w14:val="none"/>
        </w:rPr>
        <w:t xml:space="preserve"> </w:t>
      </w:r>
    </w:p>
    <w:p w14:paraId="6D578C72"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A scoping review is an appropriate way to map and synthesise the breadth of evidence in an area where research is heterogeneous and exploratory (Arksey and O’Malley, 2005; Levac, Colquhoun and O’Brien, 2010). Scoping reviews aim to clarify key concepts, summarise the range of evidence and identify gaps rather than to provide a narrow, pooled effect estimate (</w:t>
      </w:r>
      <w:proofErr w:type="spellStart"/>
      <w:r w:rsidRPr="00E250FE">
        <w:rPr>
          <w:rFonts w:ascii="Arial" w:eastAsia="Times New Roman" w:hAnsi="Arial" w:cs="Arial"/>
          <w:kern w:val="0"/>
          <w:sz w:val="22"/>
          <w:szCs w:val="22"/>
          <w:lang w:eastAsia="en-GB"/>
          <w14:ligatures w14:val="none"/>
        </w:rPr>
        <w:t>Tricco</w:t>
      </w:r>
      <w:proofErr w:type="spellEnd"/>
      <w:r w:rsidRPr="00E250FE">
        <w:rPr>
          <w:rFonts w:ascii="Arial" w:eastAsia="Times New Roman" w:hAnsi="Arial" w:cs="Arial"/>
          <w:kern w:val="0"/>
          <w:sz w:val="22"/>
          <w:szCs w:val="22"/>
          <w:lang w:eastAsia="en-GB"/>
          <w14:ligatures w14:val="none"/>
        </w:rPr>
        <w:t xml:space="preserve"> et al., 2018).</w:t>
      </w:r>
    </w:p>
    <w:p w14:paraId="52B3EE3E"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This scoping review explores how dementia affects three interlinked domains of daily life for older people in UK care homes:</w:t>
      </w:r>
    </w:p>
    <w:p w14:paraId="5BC7B1E3" w14:textId="77777777" w:rsidR="00E250FE" w:rsidRPr="00E250FE" w:rsidRDefault="00E250FE" w:rsidP="00E250FE">
      <w:pPr>
        <w:numPr>
          <w:ilvl w:val="0"/>
          <w:numId w:val="5"/>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Personal hygiene and continence care</w:t>
      </w:r>
    </w:p>
    <w:p w14:paraId="17004ADA" w14:textId="77777777" w:rsidR="00E250FE" w:rsidRPr="00E250FE" w:rsidRDefault="00E250FE" w:rsidP="00E250FE">
      <w:pPr>
        <w:numPr>
          <w:ilvl w:val="0"/>
          <w:numId w:val="5"/>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Eating, drinking and nutritional care</w:t>
      </w:r>
    </w:p>
    <w:p w14:paraId="01444A91" w14:textId="77777777" w:rsidR="00E250FE" w:rsidRPr="00E250FE" w:rsidRDefault="00E250FE" w:rsidP="00E250FE">
      <w:pPr>
        <w:numPr>
          <w:ilvl w:val="0"/>
          <w:numId w:val="5"/>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Medication management (including psychotropic use)</w:t>
      </w:r>
    </w:p>
    <w:p w14:paraId="33ED4716"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Review question: </w:t>
      </w:r>
      <w:r w:rsidRPr="00E250FE">
        <w:rPr>
          <w:rFonts w:ascii="Arial" w:eastAsia="Times New Roman" w:hAnsi="Arial" w:cs="Arial"/>
          <w:i/>
          <w:iCs/>
          <w:kern w:val="0"/>
          <w:sz w:val="22"/>
          <w:szCs w:val="22"/>
          <w:lang w:eastAsia="en-GB"/>
          <w14:ligatures w14:val="none"/>
        </w:rPr>
        <w:t>How does dementia affect older people’s daily lives in UK care homes with respect to personal hygiene, eating/nutrition and medication management, and what implications does this have for person-centred care?</w:t>
      </w:r>
    </w:p>
    <w:p w14:paraId="30CCE97E" w14:textId="77777777" w:rsidR="00E250FE" w:rsidRPr="00E250FE" w:rsidRDefault="00E250FE" w:rsidP="00E250FE">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E250FE">
        <w:rPr>
          <w:rFonts w:ascii="Arial" w:eastAsia="Times New Roman" w:hAnsi="Arial" w:cs="Arial"/>
          <w:b/>
          <w:bCs/>
          <w:kern w:val="0"/>
          <w:sz w:val="22"/>
          <w:szCs w:val="22"/>
          <w:lang w:eastAsia="en-GB"/>
          <w14:ligatures w14:val="none"/>
        </w:rPr>
        <w:t>Objectives:</w:t>
      </w:r>
    </w:p>
    <w:p w14:paraId="4026453A" w14:textId="77777777" w:rsidR="00E250FE" w:rsidRPr="00E250FE" w:rsidRDefault="00E250FE" w:rsidP="00E250FE">
      <w:pPr>
        <w:numPr>
          <w:ilvl w:val="0"/>
          <w:numId w:val="6"/>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To identify and summarise recent UK-based research (2015–2025) on hygiene, nutrition and medication use for people with dementia in care homes.</w:t>
      </w:r>
    </w:p>
    <w:p w14:paraId="173A97FA" w14:textId="418B5936" w:rsidR="00E250FE" w:rsidRPr="00E250FE" w:rsidRDefault="00E250FE" w:rsidP="00E250FE">
      <w:pPr>
        <w:numPr>
          <w:ilvl w:val="0"/>
          <w:numId w:val="6"/>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To use Aveyard’s simplified thematic analysis to map common themes and challenges in these domains (Aveyard, 2014).</w:t>
      </w:r>
      <w:r w:rsidRPr="00B14D93">
        <w:rPr>
          <w:rFonts w:ascii="Arial" w:eastAsia="Times New Roman" w:hAnsi="Arial" w:cs="Arial"/>
          <w:kern w:val="0"/>
          <w:sz w:val="22"/>
          <w:szCs w:val="22"/>
          <w:lang w:eastAsia="en-GB"/>
          <w14:ligatures w14:val="none"/>
        </w:rPr>
        <w:t xml:space="preserve"> </w:t>
      </w:r>
    </w:p>
    <w:p w14:paraId="3DE52225" w14:textId="77777777" w:rsidR="00E250FE" w:rsidRDefault="00E250FE" w:rsidP="00E250FE">
      <w:pPr>
        <w:numPr>
          <w:ilvl w:val="0"/>
          <w:numId w:val="6"/>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To identify implications for practice, policy and future research in line with UK dementia strategies and NICE guidance.</w:t>
      </w:r>
    </w:p>
    <w:p w14:paraId="3EA8922B" w14:textId="77777777" w:rsidR="00D0592C" w:rsidRDefault="00D0592C" w:rsidP="00D0592C">
      <w:pPr>
        <w:spacing w:before="100" w:beforeAutospacing="1" w:after="100" w:afterAutospacing="1" w:line="240" w:lineRule="auto"/>
        <w:outlineLvl w:val="1"/>
        <w:rPr>
          <w:rFonts w:ascii="Arial" w:eastAsia="Times New Roman" w:hAnsi="Arial" w:cs="Arial"/>
          <w:kern w:val="0"/>
          <w:sz w:val="22"/>
          <w:szCs w:val="22"/>
          <w:lang w:eastAsia="en-GB"/>
          <w14:ligatures w14:val="none"/>
        </w:rPr>
      </w:pPr>
    </w:p>
    <w:p w14:paraId="20666F6A" w14:textId="77777777" w:rsidR="00D0592C" w:rsidRPr="00E250FE" w:rsidRDefault="00D0592C" w:rsidP="00D0592C">
      <w:pPr>
        <w:spacing w:before="100" w:beforeAutospacing="1" w:after="100" w:afterAutospacing="1" w:line="240" w:lineRule="auto"/>
        <w:outlineLvl w:val="1"/>
        <w:rPr>
          <w:rFonts w:ascii="Arial" w:eastAsia="Times New Roman" w:hAnsi="Arial" w:cs="Arial"/>
          <w:kern w:val="0"/>
          <w:sz w:val="22"/>
          <w:szCs w:val="22"/>
          <w:lang w:eastAsia="en-GB"/>
          <w14:ligatures w14:val="none"/>
        </w:rPr>
      </w:pPr>
    </w:p>
    <w:p w14:paraId="08BA4E66" w14:textId="77777777" w:rsidR="00667D3E" w:rsidRPr="00B14D93" w:rsidRDefault="00667D3E" w:rsidP="00B14D93">
      <w:pPr>
        <w:pStyle w:val="Title"/>
        <w:rPr>
          <w:rFonts w:ascii="Arial" w:eastAsia="Times New Roman" w:hAnsi="Arial" w:cs="Arial"/>
          <w:lang w:eastAsia="en-GB"/>
        </w:rPr>
      </w:pPr>
      <w:bookmarkStart w:id="1" w:name="_Toc214121047"/>
      <w:r w:rsidRPr="00B14D93">
        <w:rPr>
          <w:rFonts w:ascii="Arial" w:eastAsia="Times New Roman" w:hAnsi="Arial" w:cs="Arial"/>
          <w:lang w:eastAsia="en-GB"/>
        </w:rPr>
        <w:lastRenderedPageBreak/>
        <w:t>Background</w:t>
      </w:r>
      <w:bookmarkEnd w:id="1"/>
    </w:p>
    <w:p w14:paraId="200EC6F0" w14:textId="01E1DEF6"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 xml:space="preserve">Over the last 15 years, dementia has been framed as a national priority in the UK. The National Dementia </w:t>
      </w:r>
      <w:r w:rsidR="006B7663" w:rsidRPr="00B14D93">
        <w:rPr>
          <w:rFonts w:ascii="Arial" w:eastAsia="Times New Roman" w:hAnsi="Arial" w:cs="Arial"/>
          <w:kern w:val="0"/>
          <w:sz w:val="22"/>
          <w:szCs w:val="22"/>
          <w:lang w:eastAsia="en-GB"/>
          <w14:ligatures w14:val="none"/>
        </w:rPr>
        <w:t>Strategy (</w:t>
      </w:r>
      <w:r w:rsidRPr="00E250FE">
        <w:rPr>
          <w:rFonts w:ascii="Arial" w:eastAsia="Times New Roman" w:hAnsi="Arial" w:cs="Arial"/>
          <w:kern w:val="0"/>
          <w:sz w:val="22"/>
          <w:szCs w:val="22"/>
          <w:lang w:eastAsia="en-GB"/>
          <w14:ligatures w14:val="none"/>
        </w:rPr>
        <w:t>2009) and Prime Minister’s Challenge on Dementia 2020 called for earlier diagnosis, better care and improved quality of life for people living with dementia and their carers (Department of Health, 2015). The NHS Well Pathway for Dementia emphasises “living well”, “supporting well” and “dying well” across settings, including care homes (NHS England, 2016). The NHS Long Term Plan reiterates commitments to personalised, integrated care for older people with complex needs, including dementia (NHS England, 2019).</w:t>
      </w:r>
    </w:p>
    <w:p w14:paraId="71F29D4E" w14:textId="26209B6A"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NICE guideline NG97 on dementia (2018) sets out expectations for person-centred care, emphasising maintenance of independence in daily living, regular review of care and support, and cautious, time-limited use of antipsychotic medicines for behavioural and psychological symptoms of dementia (BPSD) (NICE, 2018, 2019).People with dementia in care homes should receive support that respects their preferences and life history, in an environment adapted to their sensory and cognitive needs.</w:t>
      </w:r>
    </w:p>
    <w:p w14:paraId="0389BB6A" w14:textId="5B92D402"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Despite this policy framework, multiple reports highlight variability in care home quality. CQC inspections have documented examples of excellent, person-centred dementia care alongside homes where residents experience poor personal care, lack of meaningful activity and avoidable harm such as falls, pressure ulcers or dehydration (CQC, 2014). Alzheimer’s Society reports similarly describe “patchy” dementia care and call for mandatory dementia-specific training for all care home staff (Alzheimer’s Society, 2016; 2020).</w:t>
      </w:r>
      <w:r w:rsidR="006B7663" w:rsidRPr="00B14D93">
        <w:rPr>
          <w:rFonts w:ascii="Arial" w:eastAsia="Times New Roman" w:hAnsi="Arial" w:cs="Arial"/>
          <w:kern w:val="0"/>
          <w:sz w:val="22"/>
          <w:szCs w:val="22"/>
          <w:lang w:eastAsia="en-GB"/>
          <w14:ligatures w14:val="none"/>
        </w:rPr>
        <w:t xml:space="preserve"> </w:t>
      </w:r>
    </w:p>
    <w:p w14:paraId="55E79192" w14:textId="77777777" w:rsidR="00E250FE" w:rsidRPr="00B14D93" w:rsidRDefault="00E250FE" w:rsidP="00B14D93">
      <w:pPr>
        <w:pStyle w:val="Subtitle"/>
        <w:rPr>
          <w:rFonts w:ascii="Arial" w:eastAsia="Times New Roman" w:hAnsi="Arial" w:cs="Arial"/>
          <w:lang w:eastAsia="en-GB"/>
        </w:rPr>
      </w:pPr>
      <w:bookmarkStart w:id="2" w:name="_Toc214121048"/>
      <w:r w:rsidRPr="00B14D93">
        <w:rPr>
          <w:rFonts w:ascii="Arial" w:eastAsia="Times New Roman" w:hAnsi="Arial" w:cs="Arial"/>
          <w:lang w:eastAsia="en-GB"/>
        </w:rPr>
        <w:t>Three everyday areas are especially critical:</w:t>
      </w:r>
      <w:bookmarkEnd w:id="2"/>
    </w:p>
    <w:p w14:paraId="2FC8737E" w14:textId="5D146A19" w:rsidR="00E250FE" w:rsidRPr="00E250FE" w:rsidRDefault="00E250FE" w:rsidP="00E250FE">
      <w:pPr>
        <w:numPr>
          <w:ilvl w:val="0"/>
          <w:numId w:val="7"/>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Personal hygiene and continence care: Dementia is associated with difficulties sequencing tasks and recognising toileting cues, leading to dependence and high rates of incontinence (NICE, 2018). NIHR evidence has described continence problems in people with dementia as a “double indignity”, with stigma around both dementia and incontinence (NIHR, 2022).</w:t>
      </w:r>
      <w:r w:rsidR="00B14D93" w:rsidRPr="00B14D93">
        <w:rPr>
          <w:rFonts w:ascii="Arial" w:eastAsia="Times New Roman" w:hAnsi="Arial" w:cs="Arial"/>
          <w:kern w:val="0"/>
          <w:sz w:val="22"/>
          <w:szCs w:val="22"/>
          <w:lang w:eastAsia="en-GB"/>
          <w14:ligatures w14:val="none"/>
        </w:rPr>
        <w:t xml:space="preserve"> </w:t>
      </w:r>
    </w:p>
    <w:p w14:paraId="3803805E" w14:textId="2893E280" w:rsidR="00E250FE" w:rsidRPr="00E250FE" w:rsidRDefault="00E250FE" w:rsidP="00E250FE">
      <w:pPr>
        <w:numPr>
          <w:ilvl w:val="0"/>
          <w:numId w:val="7"/>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Eating, drinking and nutrition: As dementia progresses, cognitive, behavioural and physical changes can make eating and drinking increasingly challenging, raising the risk of malnutrition and dehydration (Bunn et al., 2016; Abdelhamid et al., 2016).</w:t>
      </w:r>
      <w:r w:rsidR="00B14D93" w:rsidRPr="00B14D93">
        <w:rPr>
          <w:rFonts w:ascii="Arial" w:eastAsia="Times New Roman" w:hAnsi="Arial" w:cs="Arial"/>
          <w:kern w:val="0"/>
          <w:sz w:val="22"/>
          <w:szCs w:val="22"/>
          <w:lang w:eastAsia="en-GB"/>
          <w14:ligatures w14:val="none"/>
        </w:rPr>
        <w:t xml:space="preserve"> </w:t>
      </w:r>
    </w:p>
    <w:p w14:paraId="79605695" w14:textId="7F49A7D9" w:rsidR="00E250FE" w:rsidRPr="00E250FE" w:rsidRDefault="00E250FE" w:rsidP="00E250FE">
      <w:pPr>
        <w:numPr>
          <w:ilvl w:val="0"/>
          <w:numId w:val="7"/>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Medication management: People with dementia often experience polypharmacy and are at risk of inappropriate medicines and adverse drug events, especially when psychotropics are used to manage BPSD (Livingston et al., 2017; NICE, 2018; La Frenais et al., 2021).</w:t>
      </w:r>
      <w:r w:rsidR="00B14D93" w:rsidRPr="00B14D93">
        <w:rPr>
          <w:rFonts w:ascii="Arial" w:eastAsia="Times New Roman" w:hAnsi="Arial" w:cs="Arial"/>
          <w:kern w:val="0"/>
          <w:sz w:val="22"/>
          <w:szCs w:val="22"/>
          <w:lang w:eastAsia="en-GB"/>
          <w14:ligatures w14:val="none"/>
        </w:rPr>
        <w:t xml:space="preserve"> </w:t>
      </w:r>
    </w:p>
    <w:p w14:paraId="7FE69A6B" w14:textId="77777777" w:rsid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Understanding how dementia shapes residents’ experiences in these domains, and how staff respond, is crucial for implementing UK policy commitments to person-centred, safe care in care homes.</w:t>
      </w:r>
    </w:p>
    <w:p w14:paraId="2BDC7B86" w14:textId="77777777" w:rsidR="00D0592C" w:rsidRDefault="00D0592C"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p>
    <w:p w14:paraId="2CD0D194" w14:textId="77777777" w:rsidR="00D0592C" w:rsidRDefault="00D0592C"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p>
    <w:p w14:paraId="60FAC316" w14:textId="77777777" w:rsidR="00D0592C" w:rsidRPr="00E250FE" w:rsidRDefault="00D0592C"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p>
    <w:p w14:paraId="6B643B0D" w14:textId="77777777" w:rsidR="00667D3E" w:rsidRPr="00B14D93" w:rsidRDefault="00667D3E" w:rsidP="00B14D93">
      <w:pPr>
        <w:pStyle w:val="Title"/>
        <w:rPr>
          <w:rFonts w:ascii="Arial" w:eastAsia="Times New Roman" w:hAnsi="Arial" w:cs="Arial"/>
          <w:lang w:eastAsia="en-GB"/>
        </w:rPr>
      </w:pPr>
      <w:bookmarkStart w:id="3" w:name="_Toc214121049"/>
      <w:r w:rsidRPr="00B14D93">
        <w:rPr>
          <w:rFonts w:ascii="Arial" w:eastAsia="Times New Roman" w:hAnsi="Arial" w:cs="Arial"/>
          <w:lang w:eastAsia="en-GB"/>
        </w:rPr>
        <w:lastRenderedPageBreak/>
        <w:t>Methods</w:t>
      </w:r>
      <w:bookmarkEnd w:id="3"/>
    </w:p>
    <w:p w14:paraId="7B25E793" w14:textId="77777777" w:rsidR="00E250FE" w:rsidRPr="00B14D93" w:rsidRDefault="00E250FE" w:rsidP="00B14D93">
      <w:pPr>
        <w:pStyle w:val="Subtitle"/>
        <w:rPr>
          <w:rFonts w:ascii="Arial" w:eastAsia="Times New Roman" w:hAnsi="Arial" w:cs="Arial"/>
          <w:lang w:eastAsia="en-GB"/>
        </w:rPr>
      </w:pPr>
      <w:bookmarkStart w:id="4" w:name="_Toc214121050"/>
      <w:r w:rsidRPr="00B14D93">
        <w:rPr>
          <w:rFonts w:ascii="Arial" w:eastAsia="Times New Roman" w:hAnsi="Arial" w:cs="Arial"/>
          <w:lang w:eastAsia="en-GB"/>
        </w:rPr>
        <w:t>Design</w:t>
      </w:r>
      <w:bookmarkEnd w:id="4"/>
    </w:p>
    <w:p w14:paraId="7831EB69"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A scoping review methodology was adopted following the framework of Arksey and O’Malley (2005), refined by Levac, Colquhoun and O’Brien (2010) and reported with reference to the PRISMA-</w:t>
      </w:r>
      <w:proofErr w:type="spellStart"/>
      <w:r w:rsidRPr="00E250FE">
        <w:rPr>
          <w:rFonts w:ascii="Arial" w:eastAsia="Times New Roman" w:hAnsi="Arial" w:cs="Arial"/>
          <w:kern w:val="0"/>
          <w:sz w:val="22"/>
          <w:szCs w:val="22"/>
          <w:lang w:eastAsia="en-GB"/>
          <w14:ligatures w14:val="none"/>
        </w:rPr>
        <w:t>ScR</w:t>
      </w:r>
      <w:proofErr w:type="spellEnd"/>
      <w:r w:rsidRPr="00E250FE">
        <w:rPr>
          <w:rFonts w:ascii="Arial" w:eastAsia="Times New Roman" w:hAnsi="Arial" w:cs="Arial"/>
          <w:kern w:val="0"/>
          <w:sz w:val="22"/>
          <w:szCs w:val="22"/>
          <w:lang w:eastAsia="en-GB"/>
          <w14:ligatures w14:val="none"/>
        </w:rPr>
        <w:t xml:space="preserve"> extension (</w:t>
      </w:r>
      <w:proofErr w:type="spellStart"/>
      <w:r w:rsidRPr="00E250FE">
        <w:rPr>
          <w:rFonts w:ascii="Arial" w:eastAsia="Times New Roman" w:hAnsi="Arial" w:cs="Arial"/>
          <w:kern w:val="0"/>
          <w:sz w:val="22"/>
          <w:szCs w:val="22"/>
          <w:lang w:eastAsia="en-GB"/>
          <w14:ligatures w14:val="none"/>
        </w:rPr>
        <w:t>Tricco</w:t>
      </w:r>
      <w:proofErr w:type="spellEnd"/>
      <w:r w:rsidRPr="00E250FE">
        <w:rPr>
          <w:rFonts w:ascii="Arial" w:eastAsia="Times New Roman" w:hAnsi="Arial" w:cs="Arial"/>
          <w:kern w:val="0"/>
          <w:sz w:val="22"/>
          <w:szCs w:val="22"/>
          <w:lang w:eastAsia="en-GB"/>
          <w14:ligatures w14:val="none"/>
        </w:rPr>
        <w:t xml:space="preserve"> et al., 2018). The Population–Concept–Context (PCC) framework was used to define scope:</w:t>
      </w:r>
    </w:p>
    <w:p w14:paraId="2E210279" w14:textId="77777777" w:rsidR="00E250FE" w:rsidRPr="00E250FE" w:rsidRDefault="00E250FE" w:rsidP="00E250FE">
      <w:pPr>
        <w:numPr>
          <w:ilvl w:val="0"/>
          <w:numId w:val="8"/>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Population: Older adults (≈65+) with dementia living in UK care homes (residential or nursing homes), and/or staff and family carers involved in their care.</w:t>
      </w:r>
    </w:p>
    <w:p w14:paraId="4368A204" w14:textId="77777777" w:rsidR="00E250FE" w:rsidRPr="00E250FE" w:rsidRDefault="00E250FE" w:rsidP="00E250FE">
      <w:pPr>
        <w:numPr>
          <w:ilvl w:val="0"/>
          <w:numId w:val="8"/>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Concept: Experiences and management of personal hygiene/continence, eating and nutrition, and medication use.</w:t>
      </w:r>
    </w:p>
    <w:p w14:paraId="201C46ED" w14:textId="77777777" w:rsidR="00E250FE" w:rsidRPr="00E250FE" w:rsidRDefault="00E250FE" w:rsidP="00E250FE">
      <w:pPr>
        <w:numPr>
          <w:ilvl w:val="0"/>
          <w:numId w:val="8"/>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Context: UK care home settings.</w:t>
      </w:r>
    </w:p>
    <w:p w14:paraId="77D9B2E8"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A protocol was planned to guide search strategy, eligibility criteria and data charting.</w:t>
      </w:r>
    </w:p>
    <w:p w14:paraId="75B1730D" w14:textId="77777777" w:rsidR="00E250FE" w:rsidRPr="00B14D93" w:rsidRDefault="00E250FE" w:rsidP="00B14D93">
      <w:pPr>
        <w:pStyle w:val="Subtitle"/>
        <w:rPr>
          <w:rFonts w:ascii="Arial" w:eastAsia="Times New Roman" w:hAnsi="Arial" w:cs="Arial"/>
          <w:lang w:eastAsia="en-GB"/>
        </w:rPr>
      </w:pPr>
      <w:bookmarkStart w:id="5" w:name="_Toc214121051"/>
      <w:r w:rsidRPr="00B14D93">
        <w:rPr>
          <w:rFonts w:ascii="Arial" w:eastAsia="Times New Roman" w:hAnsi="Arial" w:cs="Arial"/>
          <w:lang w:eastAsia="en-GB"/>
        </w:rPr>
        <w:t>Data sources and search strategy</w:t>
      </w:r>
      <w:bookmarkEnd w:id="5"/>
    </w:p>
    <w:p w14:paraId="3397B4D5"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Electronic searches were undertaken in CINAHL, PubMed/MEDLINE, PsycINFO and the UWTSD library discovery service (covering Scopus and Web of Science) for studies published between January 2015 and October 2025. Search strings combined terms for dementia and care homes with each domain, for example:</w:t>
      </w:r>
    </w:p>
    <w:p w14:paraId="5E0113A3" w14:textId="77777777" w:rsidR="00E250FE" w:rsidRPr="00E250FE" w:rsidRDefault="00E250FE" w:rsidP="00E250FE">
      <w:pPr>
        <w:numPr>
          <w:ilvl w:val="0"/>
          <w:numId w:val="9"/>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(“dementia” OR “Alzheimer*”) AND (“care home*” OR “nursing home*”) AND (bathing OR washing OR dressing OR “personal care” OR continence)</w:t>
      </w:r>
    </w:p>
    <w:p w14:paraId="6A5B4042" w14:textId="77777777" w:rsidR="00E250FE" w:rsidRPr="00E250FE" w:rsidRDefault="00E250FE" w:rsidP="00E250FE">
      <w:pPr>
        <w:numPr>
          <w:ilvl w:val="0"/>
          <w:numId w:val="9"/>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(“dementia”) AND (“care home*” OR “nursing home*”) AND (eating OR feeding OR nutrition OR “mealtime*”)</w:t>
      </w:r>
    </w:p>
    <w:p w14:paraId="49BD2155" w14:textId="77777777" w:rsidR="00E250FE" w:rsidRPr="00E250FE" w:rsidRDefault="00E250FE" w:rsidP="00E250FE">
      <w:pPr>
        <w:numPr>
          <w:ilvl w:val="0"/>
          <w:numId w:val="9"/>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(“dementia”) AND (“care home*” OR “nursing home*”) AND (medication OR medicines OR prescribing OR psychotropic*).</w:t>
      </w:r>
    </w:p>
    <w:p w14:paraId="77B48F4B"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Filters were applied for English-language, peer-reviewed articles and UK-based settings. Reference lists of key papers were hand-searched for additional relevant studies. Grey literature and policy documents were used only for contextual background.</w:t>
      </w:r>
    </w:p>
    <w:p w14:paraId="64EA3325"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Inclusion and exclusion criteria</w:t>
      </w:r>
    </w:p>
    <w:p w14:paraId="07B8F8DF"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Included studies:</w:t>
      </w:r>
    </w:p>
    <w:p w14:paraId="5E30421A" w14:textId="77777777" w:rsidR="00E250FE" w:rsidRPr="00E250FE" w:rsidRDefault="00E250FE" w:rsidP="00E250FE">
      <w:pPr>
        <w:numPr>
          <w:ilvl w:val="0"/>
          <w:numId w:val="10"/>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Primary research (qualitative, quantitative or mixed methods) or systematic reviews.</w:t>
      </w:r>
    </w:p>
    <w:p w14:paraId="7C64B708" w14:textId="77777777" w:rsidR="00E250FE" w:rsidRPr="00E250FE" w:rsidRDefault="00E250FE" w:rsidP="00E250FE">
      <w:pPr>
        <w:numPr>
          <w:ilvl w:val="0"/>
          <w:numId w:val="10"/>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Participants: older adults with dementia living in UK care homes, and/or staff/family caring for them.</w:t>
      </w:r>
    </w:p>
    <w:p w14:paraId="3ECEBB12" w14:textId="77777777" w:rsidR="00E250FE" w:rsidRPr="00E250FE" w:rsidRDefault="00E250FE" w:rsidP="00E250FE">
      <w:pPr>
        <w:numPr>
          <w:ilvl w:val="0"/>
          <w:numId w:val="10"/>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Focused on at least one of: personal hygiene/continence, mealtime and nutrition support, or medication management (including psychotropic use).</w:t>
      </w:r>
    </w:p>
    <w:p w14:paraId="1BEB8379" w14:textId="77777777" w:rsidR="00E250FE" w:rsidRPr="00E250FE" w:rsidRDefault="00E250FE" w:rsidP="00E250FE">
      <w:pPr>
        <w:numPr>
          <w:ilvl w:val="0"/>
          <w:numId w:val="10"/>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Published 2015 onwards, peer-reviewed and in English.</w:t>
      </w:r>
    </w:p>
    <w:p w14:paraId="351F7BF2"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Excluded studies:</w:t>
      </w:r>
    </w:p>
    <w:p w14:paraId="13E2B53B" w14:textId="77777777" w:rsidR="00E250FE" w:rsidRPr="00E250FE" w:rsidRDefault="00E250FE" w:rsidP="00E250FE">
      <w:pPr>
        <w:numPr>
          <w:ilvl w:val="0"/>
          <w:numId w:val="11"/>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Community-dwelling populations or hospital-only settings.</w:t>
      </w:r>
    </w:p>
    <w:p w14:paraId="7B4F4264" w14:textId="77777777" w:rsidR="00E250FE" w:rsidRPr="00E250FE" w:rsidRDefault="00E250FE" w:rsidP="00E250FE">
      <w:pPr>
        <w:numPr>
          <w:ilvl w:val="0"/>
          <w:numId w:val="11"/>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Non-UK studies without clear UK sub-analysis.</w:t>
      </w:r>
    </w:p>
    <w:p w14:paraId="2AB2EBBE" w14:textId="77777777" w:rsidR="00E250FE" w:rsidRPr="00E250FE" w:rsidRDefault="00E250FE" w:rsidP="00E250FE">
      <w:pPr>
        <w:numPr>
          <w:ilvl w:val="0"/>
          <w:numId w:val="11"/>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Editorials, commentaries and non-empirical pieces.</w:t>
      </w:r>
    </w:p>
    <w:p w14:paraId="2D0AA3C7" w14:textId="715E5CA0" w:rsidR="00E250FE" w:rsidRPr="00B14D93" w:rsidRDefault="00E250FE" w:rsidP="00B14D93">
      <w:pPr>
        <w:pStyle w:val="Subtitle"/>
        <w:rPr>
          <w:rFonts w:ascii="Arial" w:eastAsia="Times New Roman" w:hAnsi="Arial" w:cs="Arial"/>
          <w:lang w:eastAsia="en-GB"/>
        </w:rPr>
      </w:pPr>
      <w:bookmarkStart w:id="6" w:name="_Toc214121052"/>
      <w:r w:rsidRPr="00B14D93">
        <w:rPr>
          <w:rFonts w:ascii="Arial" w:eastAsia="Times New Roman" w:hAnsi="Arial" w:cs="Arial"/>
          <w:lang w:eastAsia="en-GB"/>
        </w:rPr>
        <w:lastRenderedPageBreak/>
        <w:t>Data analysis</w:t>
      </w:r>
      <w:bookmarkEnd w:id="6"/>
    </w:p>
    <w:p w14:paraId="0C39D546"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Key characteristics of included studies were extracted into a charting form: citation, aims, design, participants, setting and main findings relevant to the review question.</w:t>
      </w:r>
    </w:p>
    <w:p w14:paraId="21B798F3"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A simplified thematic analysis, based on Aveyard (2014), was used to synthesise findings. Each paper was read several times; text relating to the three domains was coded inductively (e.g. “refusals of care”, “mealtime environment”, “psychotropic deprescribing”). Codes were then grouped into broader themes and subthemes across studies. This approach allowed integration of both qualitative and quantitative findings into a narrative synthesis.</w:t>
      </w:r>
    </w:p>
    <w:p w14:paraId="1B7376CD" w14:textId="77777777" w:rsidR="00E250FE" w:rsidRPr="00E250FE" w:rsidRDefault="00E250FE" w:rsidP="00E250FE">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E250FE">
        <w:rPr>
          <w:rFonts w:ascii="Arial" w:eastAsia="Times New Roman" w:hAnsi="Arial" w:cs="Arial"/>
          <w:kern w:val="0"/>
          <w:sz w:val="22"/>
          <w:szCs w:val="22"/>
          <w:lang w:eastAsia="en-GB"/>
          <w14:ligatures w14:val="none"/>
        </w:rPr>
        <w:t>Ethical approval was not required as the review used secondary data only. However, attention was paid to ethical issues raised in the original studies, such as approaches to consent in advanced dementia.</w:t>
      </w:r>
    </w:p>
    <w:p w14:paraId="6FA3C527" w14:textId="77777777" w:rsidR="00667D3E" w:rsidRPr="00B14D93" w:rsidRDefault="00667D3E" w:rsidP="00B14D93">
      <w:pPr>
        <w:pStyle w:val="Title"/>
        <w:rPr>
          <w:rFonts w:ascii="Arial" w:eastAsia="Times New Roman" w:hAnsi="Arial" w:cs="Arial"/>
          <w:lang w:eastAsia="en-GB"/>
        </w:rPr>
      </w:pPr>
      <w:bookmarkStart w:id="7" w:name="_Toc214121053"/>
      <w:r w:rsidRPr="00B14D93">
        <w:rPr>
          <w:rFonts w:ascii="Arial" w:eastAsia="Times New Roman" w:hAnsi="Arial" w:cs="Arial"/>
          <w:lang w:eastAsia="en-GB"/>
        </w:rPr>
        <w:t>Results</w:t>
      </w:r>
      <w:bookmarkEnd w:id="7"/>
    </w:p>
    <w:p w14:paraId="71B6519A" w14:textId="77777777" w:rsidR="007D4876" w:rsidRPr="00B14D93" w:rsidRDefault="007D4876" w:rsidP="00B14D93">
      <w:pPr>
        <w:pStyle w:val="Subtitle"/>
        <w:rPr>
          <w:rFonts w:ascii="Arial" w:eastAsia="Times New Roman" w:hAnsi="Arial" w:cs="Arial"/>
          <w:lang w:eastAsia="en-GB"/>
        </w:rPr>
      </w:pPr>
      <w:bookmarkStart w:id="8" w:name="_Toc214121054"/>
      <w:r w:rsidRPr="00B14D93">
        <w:rPr>
          <w:rFonts w:ascii="Arial" w:eastAsia="Times New Roman" w:hAnsi="Arial" w:cs="Arial"/>
          <w:lang w:eastAsia="en-GB"/>
        </w:rPr>
        <w:t>Overview of included studies</w:t>
      </w:r>
      <w:bookmarkEnd w:id="8"/>
    </w:p>
    <w:p w14:paraId="7A65626C" w14:textId="77777777" w:rsidR="007D4876" w:rsidRPr="007D4876" w:rsidRDefault="007D4876" w:rsidP="007D4876">
      <w:pPr>
        <w:spacing w:before="100" w:beforeAutospacing="1" w:after="100" w:afterAutospacing="1" w:line="240" w:lineRule="auto"/>
        <w:rPr>
          <w:rFonts w:ascii="Arial" w:eastAsia="Times New Roman" w:hAnsi="Arial" w:cs="Arial"/>
          <w:kern w:val="0"/>
          <w:sz w:val="22"/>
          <w:szCs w:val="22"/>
          <w:lang w:eastAsia="en-GB"/>
          <w14:ligatures w14:val="none"/>
        </w:rPr>
      </w:pPr>
      <w:r w:rsidRPr="007D4876">
        <w:rPr>
          <w:rFonts w:ascii="Arial" w:eastAsia="Times New Roman" w:hAnsi="Arial" w:cs="Arial"/>
          <w:kern w:val="0"/>
          <w:sz w:val="22"/>
          <w:szCs w:val="22"/>
          <w:lang w:eastAsia="en-GB"/>
          <w14:ligatures w14:val="none"/>
        </w:rPr>
        <w:t>Six core UK-focused research papers were included, alongside a small number of broader systematic reviews judged highly relevant:</w:t>
      </w:r>
    </w:p>
    <w:p w14:paraId="1E7DD594" w14:textId="6FE2BE30" w:rsidR="007D4876" w:rsidRPr="007D4876" w:rsidRDefault="007D4876" w:rsidP="007D4876">
      <w:pPr>
        <w:numPr>
          <w:ilvl w:val="0"/>
          <w:numId w:val="12"/>
        </w:numPr>
        <w:spacing w:before="100" w:beforeAutospacing="1" w:after="100" w:afterAutospacing="1" w:line="240" w:lineRule="auto"/>
        <w:rPr>
          <w:rFonts w:ascii="Arial" w:eastAsia="Times New Roman" w:hAnsi="Arial" w:cs="Arial"/>
          <w:kern w:val="0"/>
          <w:sz w:val="22"/>
          <w:szCs w:val="22"/>
          <w:lang w:eastAsia="en-GB"/>
          <w14:ligatures w14:val="none"/>
        </w:rPr>
      </w:pPr>
      <w:r w:rsidRPr="007D4876">
        <w:rPr>
          <w:rFonts w:ascii="Arial" w:eastAsia="Times New Roman" w:hAnsi="Arial" w:cs="Arial"/>
          <w:b/>
          <w:bCs/>
          <w:kern w:val="0"/>
          <w:sz w:val="22"/>
          <w:szCs w:val="22"/>
          <w:lang w:eastAsia="en-GB"/>
          <w14:ligatures w14:val="none"/>
        </w:rPr>
        <w:t>Personal hygiene/continence:</w:t>
      </w:r>
      <w:r w:rsidRPr="007D4876">
        <w:rPr>
          <w:rFonts w:ascii="Arial" w:eastAsia="Times New Roman" w:hAnsi="Arial" w:cs="Arial"/>
          <w:kern w:val="0"/>
          <w:sz w:val="22"/>
          <w:szCs w:val="22"/>
          <w:lang w:eastAsia="en-GB"/>
          <w14:ligatures w14:val="none"/>
        </w:rPr>
        <w:t> Backhouse et al. (2023) developed and validated the Refusal of Care Informant Scale (</w:t>
      </w:r>
      <w:proofErr w:type="spellStart"/>
      <w:r w:rsidRPr="007D4876">
        <w:rPr>
          <w:rFonts w:ascii="Arial" w:eastAsia="Times New Roman" w:hAnsi="Arial" w:cs="Arial"/>
          <w:kern w:val="0"/>
          <w:sz w:val="22"/>
          <w:szCs w:val="22"/>
          <w:lang w:eastAsia="en-GB"/>
          <w14:ligatures w14:val="none"/>
        </w:rPr>
        <w:t>RoCIS</w:t>
      </w:r>
      <w:proofErr w:type="spellEnd"/>
      <w:r w:rsidRPr="007D4876">
        <w:rPr>
          <w:rFonts w:ascii="Arial" w:eastAsia="Times New Roman" w:hAnsi="Arial" w:cs="Arial"/>
          <w:kern w:val="0"/>
          <w:sz w:val="22"/>
          <w:szCs w:val="22"/>
          <w:lang w:eastAsia="en-GB"/>
          <w14:ligatures w14:val="none"/>
        </w:rPr>
        <w:t xml:space="preserve">) to quantify refusals of personal care in advanced dementia across 20 English care </w:t>
      </w:r>
      <w:proofErr w:type="spellStart"/>
      <w:r w:rsidRPr="007D4876">
        <w:rPr>
          <w:rFonts w:ascii="Arial" w:eastAsia="Times New Roman" w:hAnsi="Arial" w:cs="Arial"/>
          <w:kern w:val="0"/>
          <w:sz w:val="22"/>
          <w:szCs w:val="22"/>
          <w:lang w:eastAsia="en-GB"/>
          <w14:ligatures w14:val="none"/>
        </w:rPr>
        <w:t>homesNIHR</w:t>
      </w:r>
      <w:proofErr w:type="spellEnd"/>
      <w:r w:rsidRPr="007D4876">
        <w:rPr>
          <w:rFonts w:ascii="Arial" w:eastAsia="Times New Roman" w:hAnsi="Arial" w:cs="Arial"/>
          <w:kern w:val="0"/>
          <w:sz w:val="22"/>
          <w:szCs w:val="22"/>
          <w:lang w:eastAsia="en-GB"/>
          <w14:ligatures w14:val="none"/>
        </w:rPr>
        <w:t xml:space="preserve"> evidence syntheses on continence and dementia were also considered (Featherstone et al., 2022; NIHR, 2022).</w:t>
      </w:r>
      <w:r w:rsidRPr="00B14D93">
        <w:rPr>
          <w:rFonts w:ascii="Arial" w:eastAsia="Times New Roman" w:hAnsi="Arial" w:cs="Arial"/>
          <w:kern w:val="0"/>
          <w:sz w:val="22"/>
          <w:szCs w:val="22"/>
          <w:lang w:eastAsia="en-GB"/>
          <w14:ligatures w14:val="none"/>
        </w:rPr>
        <w:t xml:space="preserve"> </w:t>
      </w:r>
    </w:p>
    <w:p w14:paraId="5C774A7B" w14:textId="5454BB3A" w:rsidR="007D4876" w:rsidRPr="007D4876" w:rsidRDefault="007D4876" w:rsidP="007D4876">
      <w:pPr>
        <w:numPr>
          <w:ilvl w:val="0"/>
          <w:numId w:val="12"/>
        </w:numPr>
        <w:spacing w:before="100" w:beforeAutospacing="1" w:after="100" w:afterAutospacing="1" w:line="240" w:lineRule="auto"/>
        <w:rPr>
          <w:rFonts w:ascii="Arial" w:eastAsia="Times New Roman" w:hAnsi="Arial" w:cs="Arial"/>
          <w:kern w:val="0"/>
          <w:sz w:val="22"/>
          <w:szCs w:val="22"/>
          <w:lang w:eastAsia="en-GB"/>
          <w14:ligatures w14:val="none"/>
        </w:rPr>
      </w:pPr>
      <w:r w:rsidRPr="007D4876">
        <w:rPr>
          <w:rFonts w:ascii="Arial" w:eastAsia="Times New Roman" w:hAnsi="Arial" w:cs="Arial"/>
          <w:b/>
          <w:bCs/>
          <w:kern w:val="0"/>
          <w:sz w:val="22"/>
          <w:szCs w:val="22"/>
          <w:lang w:eastAsia="en-GB"/>
          <w14:ligatures w14:val="none"/>
        </w:rPr>
        <w:t>Nutrition and mealtimes:</w:t>
      </w:r>
      <w:r w:rsidRPr="007D4876">
        <w:rPr>
          <w:rFonts w:ascii="Arial" w:eastAsia="Times New Roman" w:hAnsi="Arial" w:cs="Arial"/>
          <w:kern w:val="0"/>
          <w:sz w:val="22"/>
          <w:szCs w:val="22"/>
          <w:lang w:eastAsia="en-GB"/>
          <w14:ligatures w14:val="none"/>
        </w:rPr>
        <w:t> Murphy, Holmes and Brooks (2017) produced an evidence-based model for nutritional care in dementia in six nursing homes in the south of England.</w:t>
      </w:r>
      <w:r w:rsidRPr="00B14D93">
        <w:rPr>
          <w:rFonts w:ascii="Arial" w:eastAsia="Times New Roman" w:hAnsi="Arial" w:cs="Arial"/>
          <w:kern w:val="0"/>
          <w:sz w:val="22"/>
          <w:szCs w:val="22"/>
          <w:lang w:eastAsia="en-GB"/>
          <w14:ligatures w14:val="none"/>
        </w:rPr>
        <w:t xml:space="preserve"> </w:t>
      </w:r>
      <w:r w:rsidRPr="007D4876">
        <w:rPr>
          <w:rFonts w:ascii="Arial" w:eastAsia="Times New Roman" w:hAnsi="Arial" w:cs="Arial"/>
          <w:kern w:val="0"/>
          <w:sz w:val="22"/>
          <w:szCs w:val="22"/>
          <w:lang w:eastAsia="en-GB"/>
          <w14:ligatures w14:val="none"/>
        </w:rPr>
        <w:t>The EDWINA systematic review by Bunn et al. (2016) examined interventions to support food and drink intake in people with dementia, including UK care home studies.</w:t>
      </w:r>
      <w:r w:rsidRPr="00B14D93">
        <w:rPr>
          <w:rFonts w:ascii="Arial" w:eastAsia="Times New Roman" w:hAnsi="Arial" w:cs="Arial"/>
          <w:kern w:val="0"/>
          <w:sz w:val="22"/>
          <w:szCs w:val="22"/>
          <w:lang w:eastAsia="en-GB"/>
          <w14:ligatures w14:val="none"/>
        </w:rPr>
        <w:t xml:space="preserve"> </w:t>
      </w:r>
    </w:p>
    <w:p w14:paraId="25B984B0" w14:textId="57C9ED55" w:rsidR="007D4876" w:rsidRPr="00B14D93" w:rsidRDefault="007D4876" w:rsidP="007D4876">
      <w:pPr>
        <w:numPr>
          <w:ilvl w:val="0"/>
          <w:numId w:val="12"/>
        </w:numPr>
        <w:spacing w:before="100" w:beforeAutospacing="1" w:after="100" w:afterAutospacing="1" w:line="240" w:lineRule="auto"/>
        <w:rPr>
          <w:rFonts w:ascii="Arial" w:eastAsia="Times New Roman" w:hAnsi="Arial" w:cs="Arial"/>
          <w:kern w:val="0"/>
          <w:sz w:val="22"/>
          <w:szCs w:val="22"/>
          <w:lang w:eastAsia="en-GB"/>
          <w14:ligatures w14:val="none"/>
        </w:rPr>
      </w:pPr>
      <w:r w:rsidRPr="007D4876">
        <w:rPr>
          <w:rFonts w:ascii="Arial" w:eastAsia="Times New Roman" w:hAnsi="Arial" w:cs="Arial"/>
          <w:b/>
          <w:bCs/>
          <w:kern w:val="0"/>
          <w:sz w:val="22"/>
          <w:szCs w:val="22"/>
          <w:lang w:eastAsia="en-GB"/>
          <w14:ligatures w14:val="none"/>
        </w:rPr>
        <w:t>Medication management:</w:t>
      </w:r>
      <w:r w:rsidRPr="007D4876">
        <w:rPr>
          <w:rFonts w:ascii="Arial" w:eastAsia="Times New Roman" w:hAnsi="Arial" w:cs="Arial"/>
          <w:kern w:val="0"/>
          <w:sz w:val="22"/>
          <w:szCs w:val="22"/>
          <w:lang w:eastAsia="en-GB"/>
          <w14:ligatures w14:val="none"/>
        </w:rPr>
        <w:t> Lim and Sharmeen’s (2018) systematic review explored medicines management issues in dementia and coping strategies among carers, including UK care home contexts.</w:t>
      </w:r>
      <w:r w:rsidRPr="00B14D93">
        <w:rPr>
          <w:rFonts w:ascii="Arial" w:eastAsia="Times New Roman" w:hAnsi="Arial" w:cs="Arial"/>
          <w:kern w:val="0"/>
          <w:sz w:val="22"/>
          <w:szCs w:val="22"/>
          <w:lang w:eastAsia="en-GB"/>
          <w14:ligatures w14:val="none"/>
        </w:rPr>
        <w:t xml:space="preserve"> </w:t>
      </w:r>
      <w:r w:rsidRPr="007D4876">
        <w:rPr>
          <w:rFonts w:ascii="Arial" w:eastAsia="Times New Roman" w:hAnsi="Arial" w:cs="Arial"/>
          <w:kern w:val="0"/>
          <w:sz w:val="22"/>
          <w:szCs w:val="22"/>
          <w:lang w:eastAsia="en-GB"/>
          <w14:ligatures w14:val="none"/>
        </w:rPr>
        <w:t>La Frenais et al. (2021) analysed psychotropic prescribing patterns for residents with dementia in 86 English care homes using MARQUE cohort data.</w:t>
      </w:r>
    </w:p>
    <w:p w14:paraId="677147F8" w14:textId="68A71D1D" w:rsidR="007D4876" w:rsidRPr="007D4876" w:rsidRDefault="007D4876" w:rsidP="007D4876">
      <w:pPr>
        <w:numPr>
          <w:ilvl w:val="0"/>
          <w:numId w:val="12"/>
        </w:numPr>
        <w:spacing w:before="100" w:beforeAutospacing="1" w:after="100" w:afterAutospacing="1" w:line="240" w:lineRule="auto"/>
        <w:rPr>
          <w:rFonts w:ascii="Arial" w:eastAsia="Times New Roman" w:hAnsi="Arial" w:cs="Arial"/>
          <w:kern w:val="0"/>
          <w:sz w:val="22"/>
          <w:szCs w:val="22"/>
          <w:lang w:eastAsia="en-GB"/>
          <w14:ligatures w14:val="none"/>
        </w:rPr>
      </w:pPr>
      <w:r w:rsidRPr="007D4876">
        <w:rPr>
          <w:rFonts w:ascii="Arial" w:eastAsia="Times New Roman" w:hAnsi="Arial" w:cs="Arial"/>
          <w:kern w:val="0"/>
          <w:sz w:val="22"/>
          <w:szCs w:val="22"/>
          <w:lang w:eastAsia="en-GB"/>
          <w14:ligatures w14:val="none"/>
        </w:rPr>
        <w:t>Maidment et al. (2020) evaluated the MEDREV pharmacist-led review plus staff training intervention in five care homes.</w:t>
      </w:r>
      <w:r w:rsidRPr="00B14D93">
        <w:rPr>
          <w:rFonts w:ascii="Arial" w:eastAsia="Times New Roman" w:hAnsi="Arial" w:cs="Arial"/>
          <w:kern w:val="0"/>
          <w:sz w:val="22"/>
          <w:szCs w:val="22"/>
          <w:lang w:eastAsia="en-GB"/>
          <w14:ligatures w14:val="none"/>
        </w:rPr>
        <w:t xml:space="preserve"> </w:t>
      </w:r>
    </w:p>
    <w:p w14:paraId="7FE2D586" w14:textId="77777777" w:rsidR="007D4876" w:rsidRPr="007D4876" w:rsidRDefault="007D4876" w:rsidP="007D4876">
      <w:pPr>
        <w:spacing w:before="100" w:beforeAutospacing="1" w:after="100" w:afterAutospacing="1" w:line="240" w:lineRule="auto"/>
        <w:rPr>
          <w:rFonts w:ascii="Arial" w:eastAsia="Times New Roman" w:hAnsi="Arial" w:cs="Arial"/>
          <w:kern w:val="0"/>
          <w:sz w:val="22"/>
          <w:szCs w:val="22"/>
          <w:lang w:eastAsia="en-GB"/>
          <w14:ligatures w14:val="none"/>
        </w:rPr>
      </w:pPr>
      <w:r w:rsidRPr="007D4876">
        <w:rPr>
          <w:rFonts w:ascii="Arial" w:eastAsia="Times New Roman" w:hAnsi="Arial" w:cs="Arial"/>
          <w:kern w:val="0"/>
          <w:sz w:val="22"/>
          <w:szCs w:val="22"/>
          <w:lang w:eastAsia="en-GB"/>
          <w14:ligatures w14:val="none"/>
        </w:rPr>
        <w:t>From these studies four overarching themes were identified:</w:t>
      </w:r>
    </w:p>
    <w:p w14:paraId="3C266D1E" w14:textId="77777777" w:rsidR="007D4876" w:rsidRPr="007D4876" w:rsidRDefault="007D4876" w:rsidP="007D4876">
      <w:pPr>
        <w:numPr>
          <w:ilvl w:val="0"/>
          <w:numId w:val="13"/>
        </w:numPr>
        <w:spacing w:before="100" w:beforeAutospacing="1" w:after="100" w:afterAutospacing="1" w:line="240" w:lineRule="auto"/>
        <w:rPr>
          <w:rFonts w:ascii="Arial" w:eastAsia="Times New Roman" w:hAnsi="Arial" w:cs="Arial"/>
          <w:kern w:val="0"/>
          <w:sz w:val="22"/>
          <w:szCs w:val="22"/>
          <w:lang w:eastAsia="en-GB"/>
          <w14:ligatures w14:val="none"/>
        </w:rPr>
      </w:pPr>
      <w:r w:rsidRPr="007D4876">
        <w:rPr>
          <w:rFonts w:ascii="Arial" w:eastAsia="Times New Roman" w:hAnsi="Arial" w:cs="Arial"/>
          <w:kern w:val="0"/>
          <w:sz w:val="22"/>
          <w:szCs w:val="22"/>
          <w:lang w:eastAsia="en-GB"/>
          <w14:ligatures w14:val="none"/>
        </w:rPr>
        <w:t>Dependence, refusals and dignity in personal hygiene and continence care</w:t>
      </w:r>
    </w:p>
    <w:p w14:paraId="2934DFE8" w14:textId="6FD4F3E9" w:rsidR="007D4876" w:rsidRPr="007D4876" w:rsidRDefault="007D4876" w:rsidP="007D4876">
      <w:pPr>
        <w:numPr>
          <w:ilvl w:val="0"/>
          <w:numId w:val="13"/>
        </w:numPr>
        <w:spacing w:before="100" w:beforeAutospacing="1" w:after="100" w:afterAutospacing="1" w:line="240" w:lineRule="auto"/>
        <w:rPr>
          <w:rFonts w:ascii="Arial" w:eastAsia="Times New Roman" w:hAnsi="Arial" w:cs="Arial"/>
          <w:kern w:val="0"/>
          <w:sz w:val="22"/>
          <w:szCs w:val="22"/>
          <w:lang w:eastAsia="en-GB"/>
          <w14:ligatures w14:val="none"/>
        </w:rPr>
      </w:pPr>
      <w:r w:rsidRPr="007D4876">
        <w:rPr>
          <w:rFonts w:ascii="Arial" w:eastAsia="Times New Roman" w:hAnsi="Arial" w:cs="Arial"/>
          <w:kern w:val="0"/>
          <w:sz w:val="22"/>
          <w:szCs w:val="22"/>
          <w:lang w:eastAsia="en-GB"/>
          <w14:ligatures w14:val="none"/>
        </w:rPr>
        <w:t xml:space="preserve">Multi-factorial eating and drinking difficulties and the importance of the mealtime </w:t>
      </w:r>
      <w:r w:rsidRPr="00B14D93">
        <w:rPr>
          <w:rFonts w:ascii="Arial" w:eastAsia="Times New Roman" w:hAnsi="Arial" w:cs="Arial"/>
          <w:kern w:val="0"/>
          <w:sz w:val="22"/>
          <w:szCs w:val="22"/>
          <w:lang w:eastAsia="en-GB"/>
          <w14:ligatures w14:val="none"/>
        </w:rPr>
        <w:t>environment.</w:t>
      </w:r>
    </w:p>
    <w:p w14:paraId="6C7E901C" w14:textId="77777777" w:rsidR="007D4876" w:rsidRPr="007D4876" w:rsidRDefault="007D4876" w:rsidP="007D4876">
      <w:pPr>
        <w:numPr>
          <w:ilvl w:val="0"/>
          <w:numId w:val="13"/>
        </w:numPr>
        <w:spacing w:before="100" w:beforeAutospacing="1" w:after="100" w:afterAutospacing="1" w:line="240" w:lineRule="auto"/>
        <w:rPr>
          <w:rFonts w:ascii="Arial" w:eastAsia="Times New Roman" w:hAnsi="Arial" w:cs="Arial"/>
          <w:kern w:val="0"/>
          <w:sz w:val="22"/>
          <w:szCs w:val="22"/>
          <w:lang w:eastAsia="en-GB"/>
          <w14:ligatures w14:val="none"/>
        </w:rPr>
      </w:pPr>
      <w:r w:rsidRPr="007D4876">
        <w:rPr>
          <w:rFonts w:ascii="Arial" w:eastAsia="Times New Roman" w:hAnsi="Arial" w:cs="Arial"/>
          <w:kern w:val="0"/>
          <w:sz w:val="22"/>
          <w:szCs w:val="22"/>
          <w:lang w:eastAsia="en-GB"/>
          <w14:ligatures w14:val="none"/>
        </w:rPr>
        <w:t>Polypharmacy, psychotropic use and challenges in optimising medication</w:t>
      </w:r>
    </w:p>
    <w:p w14:paraId="0B04A2CE" w14:textId="1867AC8C" w:rsidR="00B14D93" w:rsidRDefault="007D4876" w:rsidP="00B14D93">
      <w:pPr>
        <w:numPr>
          <w:ilvl w:val="0"/>
          <w:numId w:val="13"/>
        </w:numPr>
        <w:spacing w:before="100" w:beforeAutospacing="1" w:after="100" w:afterAutospacing="1" w:line="240" w:lineRule="auto"/>
        <w:rPr>
          <w:rFonts w:ascii="Arial" w:eastAsia="Times New Roman" w:hAnsi="Arial" w:cs="Arial"/>
          <w:kern w:val="0"/>
          <w:sz w:val="22"/>
          <w:szCs w:val="22"/>
          <w:lang w:eastAsia="en-GB"/>
          <w14:ligatures w14:val="none"/>
        </w:rPr>
      </w:pPr>
      <w:r w:rsidRPr="007D4876">
        <w:rPr>
          <w:rFonts w:ascii="Arial" w:eastAsia="Times New Roman" w:hAnsi="Arial" w:cs="Arial"/>
          <w:kern w:val="0"/>
          <w:sz w:val="22"/>
          <w:szCs w:val="22"/>
          <w:lang w:eastAsia="en-GB"/>
          <w14:ligatures w14:val="none"/>
        </w:rPr>
        <w:t>Cross-cutting staff strategies and person-centred approaches</w:t>
      </w:r>
    </w:p>
    <w:p w14:paraId="01E18500" w14:textId="77777777" w:rsidR="00D0592C" w:rsidRPr="007D4876" w:rsidRDefault="00D0592C" w:rsidP="00D0592C">
      <w:pPr>
        <w:spacing w:before="100" w:beforeAutospacing="1" w:after="100" w:afterAutospacing="1" w:line="240" w:lineRule="auto"/>
        <w:rPr>
          <w:rFonts w:ascii="Arial" w:eastAsia="Times New Roman" w:hAnsi="Arial" w:cs="Arial"/>
          <w:kern w:val="0"/>
          <w:sz w:val="22"/>
          <w:szCs w:val="22"/>
          <w:lang w:eastAsia="en-GB"/>
          <w14:ligatures w14:val="none"/>
        </w:rPr>
      </w:pPr>
    </w:p>
    <w:p w14:paraId="72C7C89B" w14:textId="77777777" w:rsidR="00B14D93" w:rsidRPr="00B14D93" w:rsidRDefault="00667D3E" w:rsidP="00B14D93">
      <w:pPr>
        <w:pStyle w:val="Subtitle"/>
        <w:rPr>
          <w:rFonts w:ascii="Arial" w:eastAsia="Times New Roman" w:hAnsi="Arial" w:cs="Arial"/>
          <w:lang w:eastAsia="en-GB"/>
        </w:rPr>
      </w:pPr>
      <w:bookmarkStart w:id="9" w:name="_Toc214121055"/>
      <w:r w:rsidRPr="00B14D93">
        <w:rPr>
          <w:rFonts w:ascii="Arial" w:eastAsia="Times New Roman" w:hAnsi="Arial" w:cs="Arial"/>
          <w:lang w:eastAsia="en-GB"/>
        </w:rPr>
        <w:lastRenderedPageBreak/>
        <w:t>Table 1: Summary of Included UK-Based Studies (2015–2025)</w:t>
      </w:r>
      <w:bookmarkEnd w:id="9"/>
      <w:r w:rsidR="00B14D93" w:rsidRPr="00B14D93">
        <w:rPr>
          <w:rFonts w:ascii="Arial" w:eastAsia="Times New Roman" w:hAnsi="Arial" w:cs="Arial"/>
          <w:lang w:eastAsia="en-GB"/>
        </w:rPr>
        <w:br/>
      </w:r>
    </w:p>
    <w:tbl>
      <w:tblPr>
        <w:tblStyle w:val="GridTable1Light"/>
        <w:tblW w:w="11482" w:type="dxa"/>
        <w:tblInd w:w="-1281" w:type="dxa"/>
        <w:tblLook w:val="04A0" w:firstRow="1" w:lastRow="0" w:firstColumn="1" w:lastColumn="0" w:noHBand="0" w:noVBand="1"/>
      </w:tblPr>
      <w:tblGrid>
        <w:gridCol w:w="3544"/>
        <w:gridCol w:w="2410"/>
        <w:gridCol w:w="1985"/>
        <w:gridCol w:w="3543"/>
      </w:tblGrid>
      <w:tr w:rsidR="00B14D93" w:rsidRPr="00B14D93" w14:paraId="46C065B1" w14:textId="77777777" w:rsidTr="00B14D93">
        <w:trPr>
          <w:cnfStyle w:val="100000000000" w:firstRow="1" w:lastRow="0" w:firstColumn="0" w:lastColumn="0" w:oddVBand="0" w:evenVBand="0" w:oddHBand="0" w:evenHBand="0" w:firstRowFirstColumn="0" w:firstRowLastColumn="0" w:lastRowFirstColumn="0" w:lastRowLastColumn="0"/>
          <w:trHeight w:val="542"/>
        </w:trPr>
        <w:tc>
          <w:tcPr>
            <w:cnfStyle w:val="001000000000" w:firstRow="0" w:lastRow="0" w:firstColumn="1" w:lastColumn="0" w:oddVBand="0" w:evenVBand="0" w:oddHBand="0" w:evenHBand="0" w:firstRowFirstColumn="0" w:firstRowLastColumn="0" w:lastRowFirstColumn="0" w:lastRowLastColumn="0"/>
            <w:tcW w:w="3544" w:type="dxa"/>
            <w:hideMark/>
          </w:tcPr>
          <w:p w14:paraId="7567E31B" w14:textId="77777777" w:rsidR="00B14D93" w:rsidRPr="00B14D93" w:rsidRDefault="00B14D93" w:rsidP="00B14D93">
            <w:pPr>
              <w:jc w:val="center"/>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Study</w:t>
            </w:r>
          </w:p>
        </w:tc>
        <w:tc>
          <w:tcPr>
            <w:tcW w:w="2410" w:type="dxa"/>
            <w:hideMark/>
          </w:tcPr>
          <w:p w14:paraId="2D808C4E" w14:textId="77777777" w:rsidR="00B14D93" w:rsidRPr="00B14D93" w:rsidRDefault="00B14D93" w:rsidP="00B14D9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Aim / Focus</w:t>
            </w:r>
          </w:p>
        </w:tc>
        <w:tc>
          <w:tcPr>
            <w:tcW w:w="1985" w:type="dxa"/>
            <w:hideMark/>
          </w:tcPr>
          <w:p w14:paraId="37934BCD" w14:textId="77777777" w:rsidR="00B14D93" w:rsidRPr="00B14D93" w:rsidRDefault="00B14D93" w:rsidP="00B14D9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 xml:space="preserve">Design &amp; </w:t>
            </w:r>
            <w:proofErr w:type="gramStart"/>
            <w:r w:rsidRPr="00B14D93">
              <w:rPr>
                <w:rFonts w:ascii="Arial" w:eastAsia="Times New Roman" w:hAnsi="Arial" w:cs="Arial"/>
                <w:kern w:val="0"/>
                <w:sz w:val="22"/>
                <w:szCs w:val="22"/>
                <w:lang w:eastAsia="en-GB"/>
                <w14:ligatures w14:val="none"/>
              </w:rPr>
              <w:t>Setting</w:t>
            </w:r>
            <w:proofErr w:type="gramEnd"/>
          </w:p>
        </w:tc>
        <w:tc>
          <w:tcPr>
            <w:tcW w:w="3543" w:type="dxa"/>
            <w:hideMark/>
          </w:tcPr>
          <w:p w14:paraId="28CFCB8B" w14:textId="77777777" w:rsidR="00B14D93" w:rsidRPr="00B14D93" w:rsidRDefault="00B14D93" w:rsidP="00B14D9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Key Findings Relevant to Review Question</w:t>
            </w:r>
          </w:p>
        </w:tc>
      </w:tr>
      <w:tr w:rsidR="00B14D93" w:rsidRPr="00B14D93" w14:paraId="7B81AD29" w14:textId="77777777" w:rsidTr="00B14D93">
        <w:trPr>
          <w:trHeight w:val="2757"/>
        </w:trPr>
        <w:tc>
          <w:tcPr>
            <w:cnfStyle w:val="001000000000" w:firstRow="0" w:lastRow="0" w:firstColumn="1" w:lastColumn="0" w:oddVBand="0" w:evenVBand="0" w:oddHBand="0" w:evenHBand="0" w:firstRowFirstColumn="0" w:firstRowLastColumn="0" w:lastRowFirstColumn="0" w:lastRowLastColumn="0"/>
            <w:tcW w:w="3544" w:type="dxa"/>
            <w:hideMark/>
          </w:tcPr>
          <w:p w14:paraId="5E0A1B1B" w14:textId="77777777" w:rsidR="00B14D93" w:rsidRPr="00B14D93" w:rsidRDefault="00B14D93" w:rsidP="00B14D93">
            <w:pPr>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Murphy, Holmes and Brooks (2017)</w:t>
            </w:r>
          </w:p>
        </w:tc>
        <w:tc>
          <w:tcPr>
            <w:tcW w:w="2410" w:type="dxa"/>
            <w:hideMark/>
          </w:tcPr>
          <w:p w14:paraId="44BEB28D"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To develop an evidence-based model for nutritional care for people with dementia in nursing homes.</w:t>
            </w:r>
          </w:p>
        </w:tc>
        <w:tc>
          <w:tcPr>
            <w:tcW w:w="1985" w:type="dxa"/>
            <w:hideMark/>
          </w:tcPr>
          <w:p w14:paraId="62D49999"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Qualitative study; 6 nursing homes in the south of England; focus groups and interviews with care staff and family carers.</w:t>
            </w:r>
          </w:p>
        </w:tc>
        <w:tc>
          <w:tcPr>
            <w:tcW w:w="3543" w:type="dxa"/>
            <w:hideMark/>
          </w:tcPr>
          <w:p w14:paraId="11155C46"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Identified a seven-domain model of person-centred nutritional care (knowing the person, environment, food availability, tools, routines, monitoring). Highlighted multi-factorial causes of eating and drinking difficulties and the importance of calm, sociable mealtimes and individualised support.</w:t>
            </w:r>
          </w:p>
        </w:tc>
      </w:tr>
      <w:tr w:rsidR="00B14D93" w:rsidRPr="00B14D93" w14:paraId="533F9EB0" w14:textId="77777777" w:rsidTr="00B14D93">
        <w:trPr>
          <w:trHeight w:val="2494"/>
        </w:trPr>
        <w:tc>
          <w:tcPr>
            <w:cnfStyle w:val="001000000000" w:firstRow="0" w:lastRow="0" w:firstColumn="1" w:lastColumn="0" w:oddVBand="0" w:evenVBand="0" w:oddHBand="0" w:evenHBand="0" w:firstRowFirstColumn="0" w:firstRowLastColumn="0" w:lastRowFirstColumn="0" w:lastRowLastColumn="0"/>
            <w:tcW w:w="3544" w:type="dxa"/>
            <w:hideMark/>
          </w:tcPr>
          <w:p w14:paraId="38DD05E4" w14:textId="77777777" w:rsidR="00B14D93" w:rsidRPr="00B14D93" w:rsidRDefault="00B14D93" w:rsidP="00B14D93">
            <w:pPr>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Backhouse et al. (2023)</w:t>
            </w:r>
          </w:p>
        </w:tc>
        <w:tc>
          <w:tcPr>
            <w:tcW w:w="2410" w:type="dxa"/>
            <w:hideMark/>
          </w:tcPr>
          <w:p w14:paraId="1237C962"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To measure refusals of personal care in advanced dementia and validate the Refusal of Care Informant Scale (</w:t>
            </w:r>
            <w:proofErr w:type="spellStart"/>
            <w:r w:rsidRPr="00B14D93">
              <w:rPr>
                <w:rFonts w:ascii="Arial" w:eastAsia="Times New Roman" w:hAnsi="Arial" w:cs="Arial"/>
                <w:kern w:val="0"/>
                <w:sz w:val="22"/>
                <w:szCs w:val="22"/>
                <w:lang w:eastAsia="en-GB"/>
                <w14:ligatures w14:val="none"/>
              </w:rPr>
              <w:t>RoCIS</w:t>
            </w:r>
            <w:proofErr w:type="spellEnd"/>
            <w:r w:rsidRPr="00B14D93">
              <w:rPr>
                <w:rFonts w:ascii="Arial" w:eastAsia="Times New Roman" w:hAnsi="Arial" w:cs="Arial"/>
                <w:kern w:val="0"/>
                <w:sz w:val="22"/>
                <w:szCs w:val="22"/>
                <w:lang w:eastAsia="en-GB"/>
                <w14:ligatures w14:val="none"/>
              </w:rPr>
              <w:t>).</w:t>
            </w:r>
          </w:p>
        </w:tc>
        <w:tc>
          <w:tcPr>
            <w:tcW w:w="1985" w:type="dxa"/>
            <w:hideMark/>
          </w:tcPr>
          <w:p w14:paraId="01356802"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Cross-sectional study; 20 care homes in England; staff informant ratings for 129 residents with advanced dementia.</w:t>
            </w:r>
          </w:p>
        </w:tc>
        <w:tc>
          <w:tcPr>
            <w:tcW w:w="3543" w:type="dxa"/>
            <w:hideMark/>
          </w:tcPr>
          <w:p w14:paraId="78E3B910"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Found that 68% of residents had refused personal care at least once in the previous month. Verbal “no”, verbal aggression and physical withdrawal were the most common behaviours. Demonstrated that refusals are frequent during intimate care and need to be understood and managed sensitively.</w:t>
            </w:r>
          </w:p>
        </w:tc>
      </w:tr>
      <w:tr w:rsidR="00B14D93" w:rsidRPr="00B14D93" w14:paraId="5E21D073" w14:textId="77777777" w:rsidTr="00B14D93">
        <w:trPr>
          <w:trHeight w:val="2742"/>
        </w:trPr>
        <w:tc>
          <w:tcPr>
            <w:cnfStyle w:val="001000000000" w:firstRow="0" w:lastRow="0" w:firstColumn="1" w:lastColumn="0" w:oddVBand="0" w:evenVBand="0" w:oddHBand="0" w:evenHBand="0" w:firstRowFirstColumn="0" w:firstRowLastColumn="0" w:lastRowFirstColumn="0" w:lastRowLastColumn="0"/>
            <w:tcW w:w="3544" w:type="dxa"/>
            <w:hideMark/>
          </w:tcPr>
          <w:p w14:paraId="4AB79F54" w14:textId="77777777" w:rsidR="00B14D93" w:rsidRPr="00B14D93" w:rsidRDefault="00B14D93" w:rsidP="00B14D93">
            <w:pPr>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Bunn et al. (2016)</w:t>
            </w:r>
          </w:p>
        </w:tc>
        <w:tc>
          <w:tcPr>
            <w:tcW w:w="2410" w:type="dxa"/>
            <w:hideMark/>
          </w:tcPr>
          <w:p w14:paraId="016827BF"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To review interventions that support food and drink intake in people with dementia (EDWINA review).</w:t>
            </w:r>
          </w:p>
        </w:tc>
        <w:tc>
          <w:tcPr>
            <w:tcW w:w="1985" w:type="dxa"/>
            <w:hideMark/>
          </w:tcPr>
          <w:p w14:paraId="13C96FC7"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Systematic review of international studies, including UK care home settings.</w:t>
            </w:r>
          </w:p>
        </w:tc>
        <w:tc>
          <w:tcPr>
            <w:tcW w:w="3543" w:type="dxa"/>
            <w:hideMark/>
          </w:tcPr>
          <w:p w14:paraId="31D1F146"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Showed high risk of malnutrition and dehydration in people with dementia. Found that no single intervention is consistently effective; multicomponent approaches (environmental changes, staff training, individualised support) show modest benefits for intake and quality of life.</w:t>
            </w:r>
          </w:p>
        </w:tc>
      </w:tr>
      <w:tr w:rsidR="00B14D93" w:rsidRPr="00B14D93" w14:paraId="0642FC3C" w14:textId="77777777" w:rsidTr="00B14D93">
        <w:trPr>
          <w:trHeight w:val="2478"/>
        </w:trPr>
        <w:tc>
          <w:tcPr>
            <w:cnfStyle w:val="001000000000" w:firstRow="0" w:lastRow="0" w:firstColumn="1" w:lastColumn="0" w:oddVBand="0" w:evenVBand="0" w:oddHBand="0" w:evenHBand="0" w:firstRowFirstColumn="0" w:firstRowLastColumn="0" w:lastRowFirstColumn="0" w:lastRowLastColumn="0"/>
            <w:tcW w:w="3544" w:type="dxa"/>
            <w:hideMark/>
          </w:tcPr>
          <w:p w14:paraId="5246AEF2" w14:textId="77777777" w:rsidR="00B14D93" w:rsidRPr="00B14D93" w:rsidRDefault="00B14D93" w:rsidP="00B14D93">
            <w:pPr>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Lim and Sharmeen (2018)</w:t>
            </w:r>
          </w:p>
        </w:tc>
        <w:tc>
          <w:tcPr>
            <w:tcW w:w="2410" w:type="dxa"/>
            <w:hideMark/>
          </w:tcPr>
          <w:p w14:paraId="7CB25001"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To identify medicines-management issues in dementia and coping strategies used by people with dementia and carers.</w:t>
            </w:r>
          </w:p>
        </w:tc>
        <w:tc>
          <w:tcPr>
            <w:tcW w:w="1985" w:type="dxa"/>
            <w:hideMark/>
          </w:tcPr>
          <w:p w14:paraId="5FB42B40"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Systematic review of 11 studies across community and care settings, including UK care homes.</w:t>
            </w:r>
          </w:p>
        </w:tc>
        <w:tc>
          <w:tcPr>
            <w:tcW w:w="3543" w:type="dxa"/>
            <w:hideMark/>
          </w:tcPr>
          <w:p w14:paraId="1DEC1DE1"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Reported common problems such as forgetfulness, confusion about regimens, difficulty swallowing and refusal of medicines. Emphasised carers’ central role in managing medicines and the need for simple, tailored information and structured review to support safe medication use.</w:t>
            </w:r>
          </w:p>
        </w:tc>
      </w:tr>
      <w:tr w:rsidR="00B14D93" w:rsidRPr="00B14D93" w14:paraId="0BD066EB" w14:textId="77777777" w:rsidTr="00B14D93">
        <w:trPr>
          <w:trHeight w:val="1658"/>
        </w:trPr>
        <w:tc>
          <w:tcPr>
            <w:cnfStyle w:val="001000000000" w:firstRow="0" w:lastRow="0" w:firstColumn="1" w:lastColumn="0" w:oddVBand="0" w:evenVBand="0" w:oddHBand="0" w:evenHBand="0" w:firstRowFirstColumn="0" w:firstRowLastColumn="0" w:lastRowFirstColumn="0" w:lastRowLastColumn="0"/>
            <w:tcW w:w="3544" w:type="dxa"/>
            <w:hideMark/>
          </w:tcPr>
          <w:p w14:paraId="52D345D0" w14:textId="77777777" w:rsidR="00B14D93" w:rsidRPr="00B14D93" w:rsidRDefault="00B14D93" w:rsidP="00B14D93">
            <w:pPr>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La Frenais et al. (2021)</w:t>
            </w:r>
          </w:p>
        </w:tc>
        <w:tc>
          <w:tcPr>
            <w:tcW w:w="2410" w:type="dxa"/>
            <w:hideMark/>
          </w:tcPr>
          <w:p w14:paraId="0E2A295D"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 xml:space="preserve">To describe psychotropic prescribing for care home residents with dementia and compare practice with </w:t>
            </w:r>
            <w:r w:rsidRPr="00B14D93">
              <w:rPr>
                <w:rFonts w:ascii="Arial" w:eastAsia="Times New Roman" w:hAnsi="Arial" w:cs="Arial"/>
                <w:kern w:val="0"/>
                <w:sz w:val="22"/>
                <w:szCs w:val="22"/>
                <w:lang w:eastAsia="en-GB"/>
                <w14:ligatures w14:val="none"/>
              </w:rPr>
              <w:lastRenderedPageBreak/>
              <w:t>national guidance (MARQUE study).</w:t>
            </w:r>
          </w:p>
        </w:tc>
        <w:tc>
          <w:tcPr>
            <w:tcW w:w="1985" w:type="dxa"/>
            <w:hideMark/>
          </w:tcPr>
          <w:p w14:paraId="02817E60"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lastRenderedPageBreak/>
              <w:t>Observational cohort; 86 care homes in England; 1,425 residents with dementia.</w:t>
            </w:r>
          </w:p>
        </w:tc>
        <w:tc>
          <w:tcPr>
            <w:tcW w:w="3543" w:type="dxa"/>
            <w:hideMark/>
          </w:tcPr>
          <w:p w14:paraId="3CD9D515"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 xml:space="preserve">Found that over half of residents were prescribed at least one psychotropic. Antipsychotic use had fallen compared with earlier data but remained higher and longer than guideline recommendations for some </w:t>
            </w:r>
            <w:r w:rsidRPr="00B14D93">
              <w:rPr>
                <w:rFonts w:ascii="Arial" w:eastAsia="Times New Roman" w:hAnsi="Arial" w:cs="Arial"/>
                <w:kern w:val="0"/>
                <w:sz w:val="22"/>
                <w:szCs w:val="22"/>
                <w:lang w:eastAsia="en-GB"/>
                <w14:ligatures w14:val="none"/>
              </w:rPr>
              <w:lastRenderedPageBreak/>
              <w:t>residents. Highlighted ongoing concerns about overall psychotropic burden and incomplete implementation of deprescribing guidance.</w:t>
            </w:r>
          </w:p>
        </w:tc>
      </w:tr>
      <w:tr w:rsidR="00B14D93" w:rsidRPr="00B14D93" w14:paraId="22EA2456" w14:textId="77777777" w:rsidTr="00B14D93">
        <w:trPr>
          <w:trHeight w:val="3579"/>
        </w:trPr>
        <w:tc>
          <w:tcPr>
            <w:cnfStyle w:val="001000000000" w:firstRow="0" w:lastRow="0" w:firstColumn="1" w:lastColumn="0" w:oddVBand="0" w:evenVBand="0" w:oddHBand="0" w:evenHBand="0" w:firstRowFirstColumn="0" w:firstRowLastColumn="0" w:lastRowFirstColumn="0" w:lastRowLastColumn="0"/>
            <w:tcW w:w="3544" w:type="dxa"/>
            <w:hideMark/>
          </w:tcPr>
          <w:p w14:paraId="5508F925" w14:textId="77777777" w:rsidR="00B14D93" w:rsidRPr="00B14D93" w:rsidRDefault="00B14D93" w:rsidP="00B14D93">
            <w:pPr>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lastRenderedPageBreak/>
              <w:t>Maidment et al. (2020)</w:t>
            </w:r>
          </w:p>
        </w:tc>
        <w:tc>
          <w:tcPr>
            <w:tcW w:w="2410" w:type="dxa"/>
            <w:hideMark/>
          </w:tcPr>
          <w:p w14:paraId="544AEDFC"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To test the feasibility of a pharmacist-led medication review plus staff training (MEDREV) to optimise psychotropic use for people with dementia.</w:t>
            </w:r>
          </w:p>
        </w:tc>
        <w:tc>
          <w:tcPr>
            <w:tcW w:w="1985" w:type="dxa"/>
            <w:hideMark/>
          </w:tcPr>
          <w:p w14:paraId="5998CBD0"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Mixed-methods feasibility study; 5 care homes in England; residents on psychotropic medicines and staff participants.</w:t>
            </w:r>
          </w:p>
        </w:tc>
        <w:tc>
          <w:tcPr>
            <w:tcW w:w="3543" w:type="dxa"/>
            <w:hideMark/>
          </w:tcPr>
          <w:p w14:paraId="55CFE0A6" w14:textId="77777777" w:rsidR="00B14D93" w:rsidRPr="00B14D93" w:rsidRDefault="00B14D93" w:rsidP="00B14D9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B14D93">
              <w:rPr>
                <w:rFonts w:ascii="Arial" w:eastAsia="Times New Roman" w:hAnsi="Arial" w:cs="Arial"/>
                <w:kern w:val="0"/>
                <w:sz w:val="22"/>
                <w:szCs w:val="22"/>
                <w:lang w:eastAsia="en-GB"/>
                <w14:ligatures w14:val="none"/>
              </w:rPr>
              <w:t>Pharmacists recommended changes to psychotropic regimens for most residents, but only around half of recommendations were implemented within three months due to organisational barriers. Staff reported increased confidence in non-pharmacological approaches after training. Suggested that integrated pharmacist involvement and staff education may safely reduce inappropriate psychotropic use.</w:t>
            </w:r>
          </w:p>
        </w:tc>
      </w:tr>
    </w:tbl>
    <w:p w14:paraId="4552928E" w14:textId="7F2CBFD2" w:rsidR="00667D3E" w:rsidRPr="00B14D93" w:rsidRDefault="00667D3E" w:rsidP="006B7663">
      <w:pPr>
        <w:pStyle w:val="Heading2"/>
        <w:rPr>
          <w:rFonts w:ascii="Arial" w:eastAsia="Times New Roman" w:hAnsi="Arial" w:cs="Arial"/>
          <w:lang w:eastAsia="en-GB"/>
        </w:rPr>
      </w:pPr>
    </w:p>
    <w:p w14:paraId="7263A61D" w14:textId="77777777" w:rsidR="00667D3E" w:rsidRPr="00667D3E" w:rsidRDefault="00667D3E" w:rsidP="00667D3E">
      <w:pPr>
        <w:spacing w:before="100" w:beforeAutospacing="1" w:after="100" w:afterAutospacing="1" w:line="240" w:lineRule="auto"/>
        <w:rPr>
          <w:rFonts w:ascii="Arial" w:eastAsia="Times New Roman" w:hAnsi="Arial" w:cs="Arial"/>
          <w:kern w:val="0"/>
          <w:sz w:val="22"/>
          <w:szCs w:val="22"/>
          <w:lang w:eastAsia="en-GB"/>
          <w14:ligatures w14:val="none"/>
        </w:rPr>
      </w:pPr>
      <w:bookmarkStart w:id="10" w:name="_Toc214121056"/>
      <w:r w:rsidRPr="00667D3E">
        <w:rPr>
          <w:rStyle w:val="TitleChar"/>
          <w:rFonts w:ascii="Arial" w:hAnsi="Arial" w:cs="Arial"/>
          <w:lang w:eastAsia="en-GB"/>
        </w:rPr>
        <w:t>Key Themes</w:t>
      </w:r>
      <w:bookmarkEnd w:id="10"/>
      <w:r w:rsidRPr="00667D3E">
        <w:rPr>
          <w:rFonts w:ascii="Arial" w:eastAsia="Times New Roman" w:hAnsi="Arial" w:cs="Arial"/>
          <w:b/>
          <w:bCs/>
          <w:kern w:val="0"/>
          <w:sz w:val="22"/>
          <w:szCs w:val="22"/>
          <w:lang w:eastAsia="en-GB"/>
          <w14:ligatures w14:val="none"/>
        </w:rPr>
        <w:t xml:space="preserve"> from the Scoping Review:</w:t>
      </w:r>
      <w:r w:rsidRPr="00667D3E">
        <w:rPr>
          <w:rFonts w:ascii="Arial" w:eastAsia="Times New Roman" w:hAnsi="Arial" w:cs="Arial"/>
          <w:kern w:val="0"/>
          <w:sz w:val="22"/>
          <w:szCs w:val="22"/>
          <w:lang w:eastAsia="en-GB"/>
          <w14:ligatures w14:val="none"/>
        </w:rPr>
        <w:t> Analysis of these studies reveals several overarching themes regarding how dementia affects residents’ lives in care homes. These themes and subthemes are discussed below, with integrated evidence from the studies:</w:t>
      </w:r>
    </w:p>
    <w:p w14:paraId="46CCF478" w14:textId="77777777" w:rsidR="006B7663" w:rsidRPr="00B14D93" w:rsidRDefault="006B7663" w:rsidP="00B14D93">
      <w:pPr>
        <w:pStyle w:val="Subtitle"/>
        <w:rPr>
          <w:rFonts w:ascii="Arial" w:eastAsia="Times New Roman" w:hAnsi="Arial" w:cs="Arial"/>
          <w:lang w:eastAsia="en-GB"/>
        </w:rPr>
      </w:pPr>
      <w:bookmarkStart w:id="11" w:name="_Toc214121057"/>
      <w:r w:rsidRPr="00B14D93">
        <w:rPr>
          <w:rFonts w:ascii="Arial" w:eastAsia="Times New Roman" w:hAnsi="Arial" w:cs="Arial"/>
          <w:lang w:eastAsia="en-GB"/>
        </w:rPr>
        <w:t>1. Personal hygiene, refusals of care and continence</w:t>
      </w:r>
      <w:bookmarkEnd w:id="11"/>
    </w:p>
    <w:p w14:paraId="3FCB70F7" w14:textId="7777777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As dementia progresses, residents become increasingly dependent on staff for intimate care tasks such as bathing, dressing, oral care and toileting. Dementia-related memory loss, reduced insight and difficulties understanding instructions mean that the purpose of these activities may not be clear to the person, leading to anxiety or fear.</w:t>
      </w:r>
    </w:p>
    <w:p w14:paraId="7AB9979B" w14:textId="75AC6279"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Backhouse et al. (2023) found that 68% of residents with advanced dementia in their sample had refused personal care at least once in the previous month. The most common behaviours were verbally saying “no” or objecting, followed by verbal aggression or physical withdrawal (e.g. pulling away) (Backhouse et al., 2023).</w:t>
      </w:r>
      <w:r w:rsidRPr="00B14D93">
        <w:rPr>
          <w:rFonts w:ascii="Arial" w:eastAsia="Times New Roman" w:hAnsi="Arial" w:cs="Arial"/>
          <w:kern w:val="0"/>
          <w:sz w:val="22"/>
          <w:szCs w:val="22"/>
          <w:lang w:eastAsia="en-GB"/>
          <w14:ligatures w14:val="none"/>
        </w:rPr>
        <w:t xml:space="preserve"> </w:t>
      </w:r>
      <w:r w:rsidRPr="006B7663">
        <w:rPr>
          <w:rFonts w:ascii="Arial" w:eastAsia="Times New Roman" w:hAnsi="Arial" w:cs="Arial"/>
          <w:kern w:val="0"/>
          <w:sz w:val="22"/>
          <w:szCs w:val="22"/>
          <w:lang w:eastAsia="en-GB"/>
          <w14:ligatures w14:val="none"/>
        </w:rPr>
        <w:t>Residents with very severe dementia were less likely to show overt aggression and more likely to exhibit passive refusals (remaining unresponsive, keeping their mouth closed during oral care).</w:t>
      </w:r>
    </w:p>
    <w:p w14:paraId="3CFA1A62" w14:textId="7777777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These refusals are clinically important. Repeated resistance can result in missed or rushed care, poor hygiene, increased risk of skin breakdown and infections, and heightened distress for both residents and staff. Alzheimer’s Society guidance suggests that refusals often communicate distress, embarrassment or feeling out of control rather than simple “non-compliance” (Alzheimer’s Society, 2020).</w:t>
      </w:r>
    </w:p>
    <w:p w14:paraId="61D2EBDB" w14:textId="7A58D1F6"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 xml:space="preserve">Continence care poses </w:t>
      </w:r>
      <w:proofErr w:type="gramStart"/>
      <w:r w:rsidRPr="006B7663">
        <w:rPr>
          <w:rFonts w:ascii="Arial" w:eastAsia="Times New Roman" w:hAnsi="Arial" w:cs="Arial"/>
          <w:kern w:val="0"/>
          <w:sz w:val="22"/>
          <w:szCs w:val="22"/>
          <w:lang w:eastAsia="en-GB"/>
          <w14:ligatures w14:val="none"/>
        </w:rPr>
        <w:t>particular challenges</w:t>
      </w:r>
      <w:proofErr w:type="gramEnd"/>
      <w:r w:rsidRPr="006B7663">
        <w:rPr>
          <w:rFonts w:ascii="Arial" w:eastAsia="Times New Roman" w:hAnsi="Arial" w:cs="Arial"/>
          <w:kern w:val="0"/>
          <w:sz w:val="22"/>
          <w:szCs w:val="22"/>
          <w:lang w:eastAsia="en-GB"/>
          <w14:ligatures w14:val="none"/>
        </w:rPr>
        <w:t xml:space="preserve">. NIHR’s review of continence, dementia and dignity reported high prevalence of urinary and faecal incontinence in people with dementia </w:t>
      </w:r>
      <w:r w:rsidRPr="006B7663">
        <w:rPr>
          <w:rFonts w:ascii="Arial" w:eastAsia="Times New Roman" w:hAnsi="Arial" w:cs="Arial"/>
          <w:kern w:val="0"/>
          <w:sz w:val="22"/>
          <w:szCs w:val="22"/>
          <w:lang w:eastAsia="en-GB"/>
          <w14:ligatures w14:val="none"/>
        </w:rPr>
        <w:lastRenderedPageBreak/>
        <w:t>and highlighted how stigma around both conditions can delay help-seeking and lead to a “double indignity” (NIHR, 2022; Featherstone et al., 2022).</w:t>
      </w:r>
      <w:r w:rsidRPr="00B14D93">
        <w:rPr>
          <w:rFonts w:ascii="Arial" w:eastAsia="Times New Roman" w:hAnsi="Arial" w:cs="Arial"/>
          <w:kern w:val="0"/>
          <w:sz w:val="22"/>
          <w:szCs w:val="22"/>
          <w:lang w:eastAsia="en-GB"/>
          <w14:ligatures w14:val="none"/>
        </w:rPr>
        <w:t xml:space="preserve"> </w:t>
      </w:r>
      <w:r w:rsidRPr="006B7663">
        <w:rPr>
          <w:rFonts w:ascii="Arial" w:eastAsia="Times New Roman" w:hAnsi="Arial" w:cs="Arial"/>
          <w:kern w:val="0"/>
          <w:sz w:val="22"/>
          <w:szCs w:val="22"/>
          <w:lang w:eastAsia="en-GB"/>
          <w14:ligatures w14:val="none"/>
        </w:rPr>
        <w:t>In care homes, responses may default to containment (pads, catheters) rather than proactive continence promotion (timed toileting, accessible toilets), especially where staffing is tight or training is limited.</w:t>
      </w:r>
    </w:p>
    <w:p w14:paraId="1D375C57" w14:textId="4AA019A5"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Across studies and guidance, effective hygiene and continence care for people with dementia were consistently linked to person-centred strategies, for example: respecting privacy and modesty, offering choice (when to bathe, what to wear), explaining each step calmly, using familiar carers and adapting routines to the person’s preferences (Alzheimer’s Society, 2020; NICE, 2018). Where these elements were absent, refusals and distress were more common.</w:t>
      </w:r>
    </w:p>
    <w:p w14:paraId="6FDE42B4" w14:textId="77777777" w:rsidR="006B7663" w:rsidRPr="00B14D93" w:rsidRDefault="006B7663" w:rsidP="00B14D93">
      <w:pPr>
        <w:pStyle w:val="Subtitle"/>
        <w:rPr>
          <w:rFonts w:ascii="Arial" w:eastAsia="Times New Roman" w:hAnsi="Arial" w:cs="Arial"/>
          <w:lang w:eastAsia="en-GB"/>
        </w:rPr>
      </w:pPr>
      <w:bookmarkStart w:id="12" w:name="_Toc214121058"/>
      <w:r w:rsidRPr="00B14D93">
        <w:rPr>
          <w:rFonts w:ascii="Arial" w:eastAsia="Times New Roman" w:hAnsi="Arial" w:cs="Arial"/>
          <w:lang w:eastAsia="en-GB"/>
        </w:rPr>
        <w:t>2. Eating, nutrition and mealtime experiences</w:t>
      </w:r>
      <w:bookmarkEnd w:id="12"/>
    </w:p>
    <w:p w14:paraId="3CB1F012" w14:textId="4AA76C95"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Eating and drinking difficulties are widely documented in dementia. EDWINA showed that people with dementia across settings, including care homes, are at increased risk of malnutrition and dehydration, and that undernutrition is associated with worse clinical outcomes (Bunn et al., 2016).</w:t>
      </w:r>
      <w:r w:rsidRPr="00B14D93">
        <w:rPr>
          <w:rFonts w:ascii="Arial" w:eastAsia="Times New Roman" w:hAnsi="Arial" w:cs="Arial"/>
          <w:kern w:val="0"/>
          <w:sz w:val="22"/>
          <w:szCs w:val="22"/>
          <w:lang w:eastAsia="en-GB"/>
          <w14:ligatures w14:val="none"/>
        </w:rPr>
        <w:t xml:space="preserve"> </w:t>
      </w:r>
    </w:p>
    <w:p w14:paraId="1153C5F9" w14:textId="7777777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Murphy, Holmes and Brooks (2017) undertook focus groups and interviews with staff and family carers in six English nursing homes to explore barriers and facilitators to good nutritional care. They developed a seven-domain model of person-centred nutritional care, including:</w:t>
      </w:r>
    </w:p>
    <w:p w14:paraId="55DE965B" w14:textId="77777777" w:rsidR="006B7663" w:rsidRPr="006B7663" w:rsidRDefault="006B7663" w:rsidP="006B7663">
      <w:pPr>
        <w:numPr>
          <w:ilvl w:val="0"/>
          <w:numId w:val="14"/>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Knowing the person and their life history</w:t>
      </w:r>
    </w:p>
    <w:p w14:paraId="573B040A" w14:textId="77777777" w:rsidR="006B7663" w:rsidRPr="006B7663" w:rsidRDefault="006B7663" w:rsidP="006B7663">
      <w:pPr>
        <w:numPr>
          <w:ilvl w:val="0"/>
          <w:numId w:val="14"/>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Adapting to changing tastes and swallowing difficulties</w:t>
      </w:r>
    </w:p>
    <w:p w14:paraId="0E16CB74" w14:textId="77777777" w:rsidR="006B7663" w:rsidRPr="006B7663" w:rsidRDefault="006B7663" w:rsidP="006B7663">
      <w:pPr>
        <w:numPr>
          <w:ilvl w:val="0"/>
          <w:numId w:val="14"/>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Creating a calm, sociable mealtime environment</w:t>
      </w:r>
    </w:p>
    <w:p w14:paraId="1B87D020" w14:textId="77777777" w:rsidR="006B7663" w:rsidRPr="006B7663" w:rsidRDefault="006B7663" w:rsidP="006B7663">
      <w:pPr>
        <w:numPr>
          <w:ilvl w:val="0"/>
          <w:numId w:val="14"/>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Ensuring sufficient availability of preferred foods and drinks</w:t>
      </w:r>
    </w:p>
    <w:p w14:paraId="44480AD4" w14:textId="77777777" w:rsidR="006B7663" w:rsidRPr="006B7663" w:rsidRDefault="006B7663" w:rsidP="006B7663">
      <w:pPr>
        <w:numPr>
          <w:ilvl w:val="0"/>
          <w:numId w:val="14"/>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Providing appropriate tools (e.g. adapted cutlery, high-contrast crockery)</w:t>
      </w:r>
    </w:p>
    <w:p w14:paraId="1AD4517E" w14:textId="77777777" w:rsidR="006B7663" w:rsidRPr="006B7663" w:rsidRDefault="006B7663" w:rsidP="006B7663">
      <w:pPr>
        <w:numPr>
          <w:ilvl w:val="0"/>
          <w:numId w:val="14"/>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Consistent routines and communication between staff groups</w:t>
      </w:r>
    </w:p>
    <w:p w14:paraId="5E470685" w14:textId="7EACCFC6" w:rsidR="006B7663" w:rsidRPr="006B7663" w:rsidRDefault="006B7663" w:rsidP="006B7663">
      <w:pPr>
        <w:numPr>
          <w:ilvl w:val="0"/>
          <w:numId w:val="14"/>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Ongoing monitoring and review of nutritional status (Murphy, Holmes and Brooks, 2017).</w:t>
      </w:r>
      <w:r w:rsidRPr="00B14D93">
        <w:rPr>
          <w:rFonts w:ascii="Arial" w:eastAsia="Times New Roman" w:hAnsi="Arial" w:cs="Arial"/>
          <w:kern w:val="0"/>
          <w:sz w:val="22"/>
          <w:szCs w:val="22"/>
          <w:lang w:eastAsia="en-GB"/>
          <w14:ligatures w14:val="none"/>
        </w:rPr>
        <w:t xml:space="preserve"> </w:t>
      </w:r>
    </w:p>
    <w:p w14:paraId="65D1FB8C" w14:textId="7777777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The studies highlighted several ways dementia affects mealtimes:</w:t>
      </w:r>
    </w:p>
    <w:p w14:paraId="43AC24E4" w14:textId="77777777" w:rsidR="006B7663" w:rsidRPr="006B7663" w:rsidRDefault="006B7663" w:rsidP="006B7663">
      <w:pPr>
        <w:numPr>
          <w:ilvl w:val="0"/>
          <w:numId w:val="15"/>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Cognitive and physical impairment: Residents may forget to eat, be unable to use cutlery or fail to recognise food. Dysphagia is common and requires careful assessment and modified textures.</w:t>
      </w:r>
    </w:p>
    <w:p w14:paraId="3E102269" w14:textId="77777777" w:rsidR="006B7663" w:rsidRPr="006B7663" w:rsidRDefault="006B7663" w:rsidP="006B7663">
      <w:pPr>
        <w:numPr>
          <w:ilvl w:val="0"/>
          <w:numId w:val="15"/>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Behavioural symptoms: Agitation, wandering or apathy can disrupt mealtimes; some residents leave the table repeatedly or fall asleep during meals.</w:t>
      </w:r>
    </w:p>
    <w:p w14:paraId="0C04D8FC" w14:textId="2E2F6F9F" w:rsidR="006B7663" w:rsidRPr="006B7663" w:rsidRDefault="006B7663" w:rsidP="006B7663">
      <w:pPr>
        <w:numPr>
          <w:ilvl w:val="0"/>
          <w:numId w:val="15"/>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Environmental factors: Noisy, rushed or institutional dining rooms were associated with lower intake, whereas homely, unhurried environments with staff sitting alongside residents encouraged better nutrition (Bunn et al., 2016; Murphy, Holmes and Brooks, 2017).</w:t>
      </w:r>
      <w:r w:rsidRPr="00B14D93">
        <w:rPr>
          <w:rFonts w:ascii="Arial" w:eastAsia="Times New Roman" w:hAnsi="Arial" w:cs="Arial"/>
          <w:kern w:val="0"/>
          <w:sz w:val="22"/>
          <w:szCs w:val="22"/>
          <w:lang w:eastAsia="en-GB"/>
          <w14:ligatures w14:val="none"/>
        </w:rPr>
        <w:t xml:space="preserve"> </w:t>
      </w:r>
    </w:p>
    <w:p w14:paraId="3104EFEC" w14:textId="02811D83"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 xml:space="preserve">EDWINA concluded that no single intervention consistently solved nutritional problems in dementia; </w:t>
      </w:r>
      <w:proofErr w:type="gramStart"/>
      <w:r w:rsidRPr="006B7663">
        <w:rPr>
          <w:rFonts w:ascii="Arial" w:eastAsia="Times New Roman" w:hAnsi="Arial" w:cs="Arial"/>
          <w:kern w:val="0"/>
          <w:sz w:val="22"/>
          <w:szCs w:val="22"/>
          <w:lang w:eastAsia="en-GB"/>
          <w14:ligatures w14:val="none"/>
        </w:rPr>
        <w:t>instead</w:t>
      </w:r>
      <w:proofErr w:type="gramEnd"/>
      <w:r w:rsidRPr="006B7663">
        <w:rPr>
          <w:rFonts w:ascii="Arial" w:eastAsia="Times New Roman" w:hAnsi="Arial" w:cs="Arial"/>
          <w:kern w:val="0"/>
          <w:sz w:val="22"/>
          <w:szCs w:val="22"/>
          <w:lang w:eastAsia="en-GB"/>
          <w14:ligatures w14:val="none"/>
        </w:rPr>
        <w:t> multi-component approaches (combining environmental changes, staff training and individualised support) were more promising than isolated strategies (Bunn et al., 2016). For example, initiatives that prepared residents for meals, optimised the dining environment, offered choice and provided one-to-one feeding assistance showed modest improvements in intake and quality of life, although evidence quality was mixed.</w:t>
      </w:r>
    </w:p>
    <w:p w14:paraId="15F29D47" w14:textId="4642FE6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lastRenderedPageBreak/>
        <w:t>Overall, the UK nutrition literature suggests that dementia affects not just </w:t>
      </w:r>
      <w:r w:rsidRPr="006B7663">
        <w:rPr>
          <w:rFonts w:ascii="Arial" w:eastAsia="Times New Roman" w:hAnsi="Arial" w:cs="Arial"/>
          <w:i/>
          <w:iCs/>
          <w:kern w:val="0"/>
          <w:sz w:val="22"/>
          <w:szCs w:val="22"/>
          <w:lang w:eastAsia="en-GB"/>
          <w14:ligatures w14:val="none"/>
        </w:rPr>
        <w:t>how much</w:t>
      </w:r>
      <w:r w:rsidRPr="006B7663">
        <w:rPr>
          <w:rFonts w:ascii="Arial" w:eastAsia="Times New Roman" w:hAnsi="Arial" w:cs="Arial"/>
          <w:kern w:val="0"/>
          <w:sz w:val="22"/>
          <w:szCs w:val="22"/>
          <w:lang w:eastAsia="en-GB"/>
          <w14:ligatures w14:val="none"/>
        </w:rPr>
        <w:t> residents eat, but the meaning of mealtimes. When care homes treat mealtimes as relational, social events—rather than purely task-focused feeding opportunities—residents tend to eat more and derive more pleasure from food.</w:t>
      </w:r>
    </w:p>
    <w:p w14:paraId="17885927" w14:textId="77777777" w:rsidR="006B7663" w:rsidRPr="00B14D93" w:rsidRDefault="006B7663" w:rsidP="00B14D93">
      <w:pPr>
        <w:pStyle w:val="Subtitle"/>
        <w:rPr>
          <w:rFonts w:ascii="Arial" w:eastAsia="Times New Roman" w:hAnsi="Arial" w:cs="Arial"/>
          <w:lang w:eastAsia="en-GB"/>
        </w:rPr>
      </w:pPr>
      <w:bookmarkStart w:id="13" w:name="_Toc214121059"/>
      <w:r w:rsidRPr="00B14D93">
        <w:rPr>
          <w:rFonts w:ascii="Arial" w:eastAsia="Times New Roman" w:hAnsi="Arial" w:cs="Arial"/>
          <w:lang w:eastAsia="en-GB"/>
        </w:rPr>
        <w:t>3. Medication management, polypharmacy and psychotropic use</w:t>
      </w:r>
      <w:bookmarkEnd w:id="13"/>
    </w:p>
    <w:p w14:paraId="64D0F506" w14:textId="5DF9F9E1"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Medication use is ubiquitous in care homes and is made more complex by dementia. Lim and Sharmeen’s (2018) systematic review identified multiple medicines-management issues across settings, including forgetfulness, confusion about complex regimens, difficulty swallowing, refusal of medicines and lack of information for carers (Lim and Sharmeen, 2018).</w:t>
      </w:r>
      <w:r w:rsidRPr="00B14D93">
        <w:rPr>
          <w:rFonts w:ascii="Arial" w:eastAsia="Times New Roman" w:hAnsi="Arial" w:cs="Arial"/>
          <w:kern w:val="0"/>
          <w:sz w:val="22"/>
          <w:szCs w:val="22"/>
          <w:lang w:eastAsia="en-GB"/>
          <w14:ligatures w14:val="none"/>
        </w:rPr>
        <w:t xml:space="preserve"> </w:t>
      </w:r>
      <w:r w:rsidRPr="006B7663">
        <w:rPr>
          <w:rFonts w:ascii="Arial" w:eastAsia="Times New Roman" w:hAnsi="Arial" w:cs="Arial"/>
          <w:kern w:val="0"/>
          <w:sz w:val="22"/>
          <w:szCs w:val="22"/>
          <w:lang w:eastAsia="en-GB"/>
          <w14:ligatures w14:val="none"/>
        </w:rPr>
        <w:t>In care homes, responsibility for medicines usually shifts almost entirely to staff and visiting healthcare professionals.</w:t>
      </w:r>
    </w:p>
    <w:p w14:paraId="3F54C870" w14:textId="6724C76B"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Using data from the MARQUE cohort, La Frenais et al. (2021) examined psychotropic prescribing for 1,425 residents with dementia in 86 English care homes (La Frenais et al., 2021).</w:t>
      </w:r>
      <w:r w:rsidRPr="00B14D93">
        <w:rPr>
          <w:rFonts w:ascii="Arial" w:eastAsia="Times New Roman" w:hAnsi="Arial" w:cs="Arial"/>
          <w:kern w:val="0"/>
          <w:sz w:val="22"/>
          <w:szCs w:val="22"/>
          <w:lang w:eastAsia="en-GB"/>
          <w14:ligatures w14:val="none"/>
        </w:rPr>
        <w:t xml:space="preserve"> </w:t>
      </w:r>
      <w:r w:rsidRPr="006B7663">
        <w:rPr>
          <w:rFonts w:ascii="Arial" w:eastAsia="Times New Roman" w:hAnsi="Arial" w:cs="Arial"/>
          <w:kern w:val="0"/>
          <w:sz w:val="22"/>
          <w:szCs w:val="22"/>
          <w:lang w:eastAsia="en-GB"/>
          <w14:ligatures w14:val="none"/>
        </w:rPr>
        <w:t>Over half of residents were prescribed at least one psychotropic medicine (antidepressants, antipsychotics, anxiolytics or hypnotics). Antipsychotic prescribing had declined compared with earlier national data but remained common, and benzodiazepine and antidepressant use was high. Prescribing was only partly aligned with NICE guidance: some residents without severe distress or risk were still on long-term antipsychotics, and documentation of regular reviews was limited.</w:t>
      </w:r>
    </w:p>
    <w:p w14:paraId="329A41B0" w14:textId="3A55A13F"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The MEDREV feasibility trial tested a combined intervention of specialist dementia pharmacist medication review plus behaviour-focused staff training in five UK care homes (Maidment et al., 2020).</w:t>
      </w:r>
      <w:r w:rsidRPr="00B14D93">
        <w:rPr>
          <w:rFonts w:ascii="Arial" w:eastAsia="Times New Roman" w:hAnsi="Arial" w:cs="Arial"/>
          <w:kern w:val="0"/>
          <w:sz w:val="22"/>
          <w:szCs w:val="22"/>
          <w:lang w:eastAsia="en-GB"/>
          <w14:ligatures w14:val="none"/>
        </w:rPr>
        <w:t xml:space="preserve"> </w:t>
      </w:r>
      <w:r w:rsidRPr="006B7663">
        <w:rPr>
          <w:rFonts w:ascii="Arial" w:eastAsia="Times New Roman" w:hAnsi="Arial" w:cs="Arial"/>
          <w:kern w:val="0"/>
          <w:sz w:val="22"/>
          <w:szCs w:val="22"/>
          <w:lang w:eastAsia="en-GB"/>
          <w14:ligatures w14:val="none"/>
        </w:rPr>
        <w:t>Pharmacists recommended stopping or changing psychotropic medicines for most residents, but implementation lagged and only around half of recommendations were enacted within three months. Staff reported that training improved their confidence in non-pharmacological management of behaviours that challenge, yet systemic barriers—such as communication delays between GPs, pharmacists and homes and reliance on monthly blister packs—limited impact.</w:t>
      </w:r>
    </w:p>
    <w:p w14:paraId="62D6BDF9" w14:textId="7777777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Taken together, these studies show that dementia in care homes is associated with:</w:t>
      </w:r>
    </w:p>
    <w:p w14:paraId="6342ECC5" w14:textId="77777777" w:rsidR="006B7663" w:rsidRPr="006B7663" w:rsidRDefault="006B7663" w:rsidP="006B7663">
      <w:pPr>
        <w:numPr>
          <w:ilvl w:val="0"/>
          <w:numId w:val="16"/>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High levels of polypharmacy and psychotropic use</w:t>
      </w:r>
    </w:p>
    <w:p w14:paraId="19823050" w14:textId="77777777" w:rsidR="006B7663" w:rsidRPr="006B7663" w:rsidRDefault="006B7663" w:rsidP="006B7663">
      <w:pPr>
        <w:numPr>
          <w:ilvl w:val="0"/>
          <w:numId w:val="16"/>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Variable adherence to guidelines on antipsychotic prescribing and regular reviews</w:t>
      </w:r>
    </w:p>
    <w:p w14:paraId="3284325F" w14:textId="77777777" w:rsidR="006B7663" w:rsidRPr="006B7663" w:rsidRDefault="006B7663" w:rsidP="006B7663">
      <w:pPr>
        <w:numPr>
          <w:ilvl w:val="0"/>
          <w:numId w:val="16"/>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Structural obstacles to medication optimisation (e.g. fragmented communication, logistical delays)</w:t>
      </w:r>
    </w:p>
    <w:p w14:paraId="148D4107" w14:textId="7777777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Optimising medication therefore requires not only clinical review but also organisational change and staff support.</w:t>
      </w:r>
    </w:p>
    <w:p w14:paraId="0A046D35" w14:textId="68CC1792" w:rsidR="006B7663" w:rsidRPr="00B14D93" w:rsidRDefault="006B7663" w:rsidP="00B14D93">
      <w:pPr>
        <w:pStyle w:val="Subtitle"/>
        <w:rPr>
          <w:rFonts w:ascii="Arial" w:eastAsia="Times New Roman" w:hAnsi="Arial" w:cs="Arial"/>
          <w:lang w:eastAsia="en-GB"/>
        </w:rPr>
      </w:pPr>
    </w:p>
    <w:p w14:paraId="66DE3E8D" w14:textId="77777777" w:rsidR="006B7663" w:rsidRPr="00B14D93" w:rsidRDefault="006B7663" w:rsidP="00B14D93">
      <w:pPr>
        <w:pStyle w:val="Subtitle"/>
        <w:rPr>
          <w:rFonts w:ascii="Arial" w:eastAsia="Times New Roman" w:hAnsi="Arial" w:cs="Arial"/>
          <w:lang w:eastAsia="en-GB"/>
        </w:rPr>
      </w:pPr>
      <w:bookmarkStart w:id="14" w:name="_Toc214121060"/>
      <w:r w:rsidRPr="00B14D93">
        <w:rPr>
          <w:rFonts w:ascii="Arial" w:eastAsia="Times New Roman" w:hAnsi="Arial" w:cs="Arial"/>
          <w:lang w:eastAsia="en-GB"/>
        </w:rPr>
        <w:t>4. Staff strategies and person-centred care</w:t>
      </w:r>
      <w:bookmarkEnd w:id="14"/>
    </w:p>
    <w:p w14:paraId="77129F2E" w14:textId="0552D2DA"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Across all domains, the central role of care home staff was apparent. The literature suggests that when staff have dementia-specific training, adequate time and supportive leadership, they can implement creative, person-centred solutions that improve residents’ experiences of hygiene, nutrition and medication (Ballard et al., 2018; Rapaport et al., 2018; Kadri et al., 2018).</w:t>
      </w:r>
      <w:r w:rsidRPr="00B14D93">
        <w:rPr>
          <w:rFonts w:ascii="Arial" w:eastAsia="Times New Roman" w:hAnsi="Arial" w:cs="Arial"/>
          <w:kern w:val="0"/>
          <w:sz w:val="22"/>
          <w:szCs w:val="22"/>
          <w:lang w:eastAsia="en-GB"/>
          <w14:ligatures w14:val="none"/>
        </w:rPr>
        <w:t xml:space="preserve"> </w:t>
      </w:r>
    </w:p>
    <w:p w14:paraId="2071A07F" w14:textId="77777777" w:rsidR="006B7663" w:rsidRPr="006B7663" w:rsidRDefault="006B7663" w:rsidP="006B766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6B7663">
        <w:rPr>
          <w:rFonts w:ascii="Arial" w:eastAsia="Times New Roman" w:hAnsi="Arial" w:cs="Arial"/>
          <w:b/>
          <w:bCs/>
          <w:kern w:val="0"/>
          <w:sz w:val="22"/>
          <w:szCs w:val="22"/>
          <w:lang w:eastAsia="en-GB"/>
          <w14:ligatures w14:val="none"/>
        </w:rPr>
        <w:t>Key cross-cutting strategies include:</w:t>
      </w:r>
    </w:p>
    <w:p w14:paraId="4226FA7C" w14:textId="77777777" w:rsidR="006B7663" w:rsidRPr="006B7663" w:rsidRDefault="006B7663" w:rsidP="006B7663">
      <w:pPr>
        <w:numPr>
          <w:ilvl w:val="0"/>
          <w:numId w:val="17"/>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lastRenderedPageBreak/>
        <w:t>Communication and relationship-building: Getting to know residents’ life histories and preferences helps staff tailor care routines and interpret behaviour as communication rather than “challenging” in itself (Rapaport et al., 2018).</w:t>
      </w:r>
    </w:p>
    <w:p w14:paraId="6C64326C" w14:textId="77777777" w:rsidR="006B7663" w:rsidRPr="006B7663" w:rsidRDefault="006B7663" w:rsidP="006B7663">
      <w:pPr>
        <w:numPr>
          <w:ilvl w:val="0"/>
          <w:numId w:val="17"/>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Flexible routines: Adjusting the timing of baths, meals or medicines to the person’s rhythms (e.g. not insisting on early morning showers for someone who has always bathed in the evening) can reduce refusals and distress.</w:t>
      </w:r>
    </w:p>
    <w:p w14:paraId="5AEF4F18" w14:textId="6B8865BA" w:rsidR="006B7663" w:rsidRPr="006B7663" w:rsidRDefault="006B7663" w:rsidP="006B7663">
      <w:pPr>
        <w:numPr>
          <w:ilvl w:val="0"/>
          <w:numId w:val="17"/>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Environmental adaptations: Clear signage to toilets, accessible dining spaces, contrast crockery and quiet spaces for medication rounds support independence and reduce anxiety (NICE, 2018; NIHR, 2022).</w:t>
      </w:r>
      <w:r w:rsidRPr="00B14D93">
        <w:rPr>
          <w:rFonts w:ascii="Arial" w:eastAsia="Times New Roman" w:hAnsi="Arial" w:cs="Arial"/>
          <w:kern w:val="0"/>
          <w:sz w:val="22"/>
          <w:szCs w:val="22"/>
          <w:lang w:eastAsia="en-GB"/>
          <w14:ligatures w14:val="none"/>
        </w:rPr>
        <w:t xml:space="preserve"> </w:t>
      </w:r>
    </w:p>
    <w:p w14:paraId="29BA4148" w14:textId="45E1EFA0" w:rsidR="006B7663" w:rsidRPr="006B7663" w:rsidRDefault="006B7663" w:rsidP="006B7663">
      <w:pPr>
        <w:numPr>
          <w:ilvl w:val="0"/>
          <w:numId w:val="17"/>
        </w:num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Interdisciplinary collaboration: Involving dietitians, speech and language therapists, pharmacists and mental health teams is associated with better management of complex issues such as dysphagia or psychotropic deprescribing (Murphy, Holmes and Brooks, 2017; Maidment et al., 2020).</w:t>
      </w:r>
      <w:r w:rsidRPr="00B14D93">
        <w:rPr>
          <w:rFonts w:ascii="Arial" w:eastAsia="Times New Roman" w:hAnsi="Arial" w:cs="Arial"/>
          <w:kern w:val="0"/>
          <w:sz w:val="22"/>
          <w:szCs w:val="22"/>
          <w:lang w:eastAsia="en-GB"/>
          <w14:ligatures w14:val="none"/>
        </w:rPr>
        <w:t xml:space="preserve"> </w:t>
      </w:r>
    </w:p>
    <w:p w14:paraId="696740C5" w14:textId="7777777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However, CQC and Alzheimer’s Society reports note that such good practice is not universal and is constrained by staffing shortages, high turnover and limited access to specialist input (CQC, 2014; Alzheimer’s Society, 2016, 2020).</w:t>
      </w:r>
    </w:p>
    <w:p w14:paraId="3E52B890" w14:textId="77777777" w:rsidR="00667D3E" w:rsidRPr="00B14D93" w:rsidRDefault="00667D3E" w:rsidP="00B14D93">
      <w:pPr>
        <w:pStyle w:val="Title"/>
        <w:rPr>
          <w:rFonts w:ascii="Arial" w:eastAsia="Times New Roman" w:hAnsi="Arial" w:cs="Arial"/>
          <w:lang w:eastAsia="en-GB"/>
        </w:rPr>
      </w:pPr>
      <w:bookmarkStart w:id="15" w:name="_Toc214121061"/>
      <w:r w:rsidRPr="00B14D93">
        <w:rPr>
          <w:rFonts w:ascii="Arial" w:eastAsia="Times New Roman" w:hAnsi="Arial" w:cs="Arial"/>
          <w:lang w:eastAsia="en-GB"/>
        </w:rPr>
        <w:t>Discussion</w:t>
      </w:r>
      <w:bookmarkEnd w:id="15"/>
    </w:p>
    <w:p w14:paraId="0950AAD9" w14:textId="7777777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This scoping review synthesised UK-based evidence on how dementia affects personal hygiene, nutrition and medication management in care homes. The included studies and reviews provide a coherent picture of high dependence, frequent refusals or difficulties, and variable implementation of person-centred care and guideline-recommended practice.</w:t>
      </w:r>
    </w:p>
    <w:p w14:paraId="76B6F8F5" w14:textId="4886A9EA"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Across domains, a consistent message is that many of the difficulties observed—such as refusals of care, malnutrition or heavy reliance on sedating medication—are </w:t>
      </w:r>
      <w:r w:rsidRPr="006B7663">
        <w:rPr>
          <w:rFonts w:ascii="Arial" w:eastAsia="Times New Roman" w:hAnsi="Arial" w:cs="Arial"/>
          <w:i/>
          <w:iCs/>
          <w:kern w:val="0"/>
          <w:sz w:val="22"/>
          <w:szCs w:val="22"/>
          <w:lang w:eastAsia="en-GB"/>
          <w14:ligatures w14:val="none"/>
        </w:rPr>
        <w:t>not inevitable consequences</w:t>
      </w:r>
      <w:r w:rsidRPr="006B7663">
        <w:rPr>
          <w:rFonts w:ascii="Arial" w:eastAsia="Times New Roman" w:hAnsi="Arial" w:cs="Arial"/>
          <w:kern w:val="0"/>
          <w:sz w:val="22"/>
          <w:szCs w:val="22"/>
          <w:lang w:eastAsia="en-GB"/>
          <w14:ligatures w14:val="none"/>
        </w:rPr>
        <w:t xml:space="preserve"> of </w:t>
      </w:r>
      <w:proofErr w:type="gramStart"/>
      <w:r w:rsidRPr="006B7663">
        <w:rPr>
          <w:rFonts w:ascii="Arial" w:eastAsia="Times New Roman" w:hAnsi="Arial" w:cs="Arial"/>
          <w:kern w:val="0"/>
          <w:sz w:val="22"/>
          <w:szCs w:val="22"/>
          <w:lang w:eastAsia="en-GB"/>
          <w14:ligatures w14:val="none"/>
        </w:rPr>
        <w:t>dementia, but</w:t>
      </w:r>
      <w:proofErr w:type="gramEnd"/>
      <w:r w:rsidRPr="006B7663">
        <w:rPr>
          <w:rFonts w:ascii="Arial" w:eastAsia="Times New Roman" w:hAnsi="Arial" w:cs="Arial"/>
          <w:kern w:val="0"/>
          <w:sz w:val="22"/>
          <w:szCs w:val="22"/>
          <w:lang w:eastAsia="en-GB"/>
          <w14:ligatures w14:val="none"/>
        </w:rPr>
        <w:t xml:space="preserve"> are influenced by how care is organised and delivered. Studies of nutritional care and medication optimisation show that when staff are trained, supported and given time to individualise care, outcomes can improve (Murphy, Holmes and Brooks, 2017; Maidment et al., 2020; Ballard et al., 2018).</w:t>
      </w:r>
      <w:r w:rsidRPr="00B14D93">
        <w:rPr>
          <w:rFonts w:ascii="Arial" w:eastAsia="Times New Roman" w:hAnsi="Arial" w:cs="Arial"/>
          <w:kern w:val="0"/>
          <w:sz w:val="22"/>
          <w:szCs w:val="22"/>
          <w:lang w:eastAsia="en-GB"/>
          <w14:ligatures w14:val="none"/>
        </w:rPr>
        <w:t xml:space="preserve"> </w:t>
      </w:r>
    </w:p>
    <w:p w14:paraId="6479BCB2" w14:textId="7777777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The findings align closely with person-centred care theory and UK dementia policy. NICE NG97 calls for interventions to be tailored to each person’s history, preferences and needs, with non-pharmacological approaches as first line for BPSD and careful review of psychotropic medicines (NICE, 2018, 2019). Evidence from MARQUE and MEDREV suggests that although antipsychotic use has reduced since earlier national audits, overall psychotropic burden remains high and deprescribing requires more robust, system-level support (La Frenais et al., 2021; Maidment et al., 2020).</w:t>
      </w:r>
    </w:p>
    <w:p w14:paraId="2D48F5DF" w14:textId="7777777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The review also highlights gaps. Quantitative data on refusals and psychotropic use are relatively strong, but intervention evidence for improving personal care interactions, continence care or mealtime experiences in UK care homes remains limited and often small-scale. Few studies include residents’ own perspectives, particularly those with mild–moderate dementia who can still express what matters to them. Economic evaluations of interventions (e.g. specialist nutrition or continence roles, regular pharmacist reviews) are scarce, despite the potential for cost savings through reduced hospital admissions and improved quality of life.</w:t>
      </w:r>
    </w:p>
    <w:p w14:paraId="630D337E" w14:textId="77777777" w:rsidR="006B7663" w:rsidRPr="00B14D9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 xml:space="preserve">Limitations of this scoping review include restriction to English-language, peer-reviewed literature and a focus on UK care homes, which may have excluded relevant international evidence. Some included studies had modest sample sizes or were feasibility trials rather </w:t>
      </w:r>
      <w:r w:rsidRPr="006B7663">
        <w:rPr>
          <w:rFonts w:ascii="Arial" w:eastAsia="Times New Roman" w:hAnsi="Arial" w:cs="Arial"/>
          <w:kern w:val="0"/>
          <w:sz w:val="22"/>
          <w:szCs w:val="22"/>
          <w:lang w:eastAsia="en-GB"/>
          <w14:ligatures w14:val="none"/>
        </w:rPr>
        <w:lastRenderedPageBreak/>
        <w:t>than definitive evaluations. Nonetheless, the convergence of findings across different methodologies strengthens the credibility of the themes identified.</w:t>
      </w:r>
    </w:p>
    <w:p w14:paraId="0DC3C31B" w14:textId="77777777" w:rsidR="006B7663" w:rsidRPr="006B7663" w:rsidRDefault="006B7663" w:rsidP="006B7663">
      <w:pPr>
        <w:spacing w:before="100" w:beforeAutospacing="1" w:after="100" w:afterAutospacing="1" w:line="240" w:lineRule="auto"/>
        <w:outlineLvl w:val="1"/>
        <w:rPr>
          <w:rFonts w:ascii="Arial" w:eastAsia="Times New Roman" w:hAnsi="Arial" w:cs="Arial"/>
          <w:kern w:val="0"/>
          <w:sz w:val="22"/>
          <w:szCs w:val="22"/>
          <w:lang w:eastAsia="en-GB"/>
          <w14:ligatures w14:val="none"/>
        </w:rPr>
      </w:pPr>
    </w:p>
    <w:p w14:paraId="57FFE9BC" w14:textId="77777777" w:rsidR="00667D3E" w:rsidRPr="00B14D93" w:rsidRDefault="00667D3E" w:rsidP="00B14D93">
      <w:pPr>
        <w:pStyle w:val="Title"/>
        <w:rPr>
          <w:rFonts w:ascii="Arial" w:eastAsia="Times New Roman" w:hAnsi="Arial" w:cs="Arial"/>
          <w:lang w:eastAsia="en-GB"/>
        </w:rPr>
      </w:pPr>
      <w:bookmarkStart w:id="16" w:name="_Toc214121062"/>
      <w:r w:rsidRPr="00B14D93">
        <w:rPr>
          <w:rFonts w:ascii="Arial" w:eastAsia="Times New Roman" w:hAnsi="Arial" w:cs="Arial"/>
          <w:lang w:eastAsia="en-GB"/>
        </w:rPr>
        <w:t>Conclusion and Recommendations</w:t>
      </w:r>
      <w:bookmarkEnd w:id="16"/>
    </w:p>
    <w:p w14:paraId="46959A68" w14:textId="77777777" w:rsidR="006B7663" w:rsidRPr="00B14D93" w:rsidRDefault="006B7663" w:rsidP="00B14D93">
      <w:pPr>
        <w:pStyle w:val="Subtitle"/>
        <w:rPr>
          <w:rFonts w:ascii="Arial" w:eastAsia="Times New Roman" w:hAnsi="Arial" w:cs="Arial"/>
          <w:lang w:eastAsia="en-GB"/>
        </w:rPr>
      </w:pPr>
      <w:bookmarkStart w:id="17" w:name="_Toc214121063"/>
      <w:r w:rsidRPr="00B14D93">
        <w:rPr>
          <w:rFonts w:ascii="Arial" w:eastAsia="Times New Roman" w:hAnsi="Arial" w:cs="Arial"/>
          <w:lang w:eastAsia="en-GB"/>
        </w:rPr>
        <w:t>Conclusion</w:t>
      </w:r>
      <w:bookmarkEnd w:id="17"/>
    </w:p>
    <w:p w14:paraId="74516357" w14:textId="77777777" w:rsidR="006B7663" w:rsidRPr="006B7663" w:rsidRDefault="006B7663" w:rsidP="006B7663">
      <w:p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Dementia profoundly shapes everyday life for older people in UK care homes. As cognition and function decline, residents become increasingly dependent on staff for personal hygiene, eating and medication management. The evidence indicates that:</w:t>
      </w:r>
    </w:p>
    <w:p w14:paraId="715CFF75" w14:textId="7CB7688B" w:rsidR="006B7663" w:rsidRPr="006B7663" w:rsidRDefault="006B7663" w:rsidP="006B7663">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Personal hygiene and continence: Refusals of intimate care are common in advanced dementia, reflecting fear, confusion or attempts to maintain control. Poorly managed, these can lead to compromised hygiene and dignity. Person-centred approaches—respecting preferences, communicating clearly and adapting routines—are essential to reduce distress and maintain dignity (Backhouse et al., 2023; Alzheimer’s Society, 2020).</w:t>
      </w:r>
      <w:r w:rsidRPr="00B14D93">
        <w:rPr>
          <w:rFonts w:ascii="Arial" w:eastAsia="Times New Roman" w:hAnsi="Arial" w:cs="Arial"/>
          <w:kern w:val="0"/>
          <w:sz w:val="22"/>
          <w:szCs w:val="22"/>
          <w:lang w:eastAsia="en-GB"/>
          <w14:ligatures w14:val="none"/>
        </w:rPr>
        <w:t xml:space="preserve"> </w:t>
      </w:r>
    </w:p>
    <w:p w14:paraId="17C11947" w14:textId="77777777" w:rsidR="006B7663" w:rsidRPr="006B7663" w:rsidRDefault="006B7663" w:rsidP="006B7663">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Eating and nutrition: Dementia-related cognitive, behavioural and physical changes put residents at high risk of malnutrition and dehydration. Multi-component, person-centred mealtime interventions that combine environmental changes, staff training and individualised support are more promising than single strategies (Murphy, Holmes and Brooks, 2017; Bunn et al., 2016).</w:t>
      </w:r>
    </w:p>
    <w:p w14:paraId="65F37050" w14:textId="77777777" w:rsidR="006B7663" w:rsidRPr="006B7663" w:rsidRDefault="006B7663" w:rsidP="006B7663">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Medication management: People with dementia in care homes often receive multiple medicines, including substantial psychotropic use. While antipsychotic prescribing has fallen, overall psychotropic burden and inconsistent review remain concerns (La Frenais et al., 2021). Pharmacist-led reviews combined with staff training show potential but require better integration into routine care (Maidment et al., 2020).</w:t>
      </w:r>
    </w:p>
    <w:p w14:paraId="47289DC1" w14:textId="77777777" w:rsidR="006B7663" w:rsidRPr="006B7663" w:rsidRDefault="006B7663" w:rsidP="006B7663">
      <w:p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Overall, the review reinforces that high-quality, person-centred care can substantially mitigate the negative impact of dementia on daily life in care homes. The challenge is to spread and sustain such practice across the sector.</w:t>
      </w:r>
    </w:p>
    <w:p w14:paraId="7C38D624" w14:textId="77777777" w:rsidR="006B7663" w:rsidRPr="00B14D93" w:rsidRDefault="006B7663" w:rsidP="00B14D93">
      <w:pPr>
        <w:pStyle w:val="Subtitle"/>
        <w:rPr>
          <w:rFonts w:ascii="Arial" w:eastAsia="Times New Roman" w:hAnsi="Arial" w:cs="Arial"/>
          <w:lang w:eastAsia="en-GB"/>
        </w:rPr>
      </w:pPr>
      <w:bookmarkStart w:id="18" w:name="_Toc214121064"/>
      <w:r w:rsidRPr="00B14D93">
        <w:rPr>
          <w:rFonts w:ascii="Arial" w:eastAsia="Times New Roman" w:hAnsi="Arial" w:cs="Arial"/>
          <w:lang w:eastAsia="en-GB"/>
        </w:rPr>
        <w:t>Recommendations for research</w:t>
      </w:r>
      <w:bookmarkEnd w:id="18"/>
    </w:p>
    <w:p w14:paraId="2B7C2BE6" w14:textId="77777777" w:rsidR="006B7663" w:rsidRPr="006B7663" w:rsidRDefault="006B7663" w:rsidP="006B7663">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Evaluate person-centred care interventions for personal hygiene and continence (e.g. enhanced bathing/toileting protocols, communication training) in robust UK trials, measuring resident outcomes (comfort, dignity, quality of life) as well as care process indicators.</w:t>
      </w:r>
    </w:p>
    <w:p w14:paraId="55ACE3F4" w14:textId="77777777" w:rsidR="006B7663" w:rsidRPr="006B7663" w:rsidRDefault="006B7663" w:rsidP="006B7663">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Conduct larger, longer-term studies of multi-component nutritional interventions in UK care homes, examining sustained effects on weight, hydration, health outcomes and resident/family satisfaction.</w:t>
      </w:r>
    </w:p>
    <w:p w14:paraId="64B1F9D4" w14:textId="77777777" w:rsidR="006B7663" w:rsidRPr="006B7663" w:rsidRDefault="006B7663" w:rsidP="006B7663">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Test scalable medication optimisation models (e.g. regular pharmacist reviews with digital support tools) using randomised or stepped-wedge designs, including cost-effectiveness analyses.</w:t>
      </w:r>
    </w:p>
    <w:p w14:paraId="1ACA3354" w14:textId="77777777" w:rsidR="006B7663" w:rsidRPr="006B7663" w:rsidRDefault="006B7663" w:rsidP="006B7663">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Include residents’ voices where possible, using qualitative and creative methods to understand what “living well” with dementia in a care home means in relation to personal care, food and medicines.</w:t>
      </w:r>
    </w:p>
    <w:p w14:paraId="5A1FD3EA" w14:textId="77777777" w:rsidR="006B7663" w:rsidRPr="006B7663" w:rsidRDefault="006B7663" w:rsidP="006B7663">
      <w:p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Recommendations for policy and practice</w:t>
      </w:r>
    </w:p>
    <w:p w14:paraId="12118CE8" w14:textId="77777777" w:rsidR="006B7663" w:rsidRPr="006B7663" w:rsidRDefault="006B7663" w:rsidP="006B7663">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lastRenderedPageBreak/>
        <w:t>Implement mandatory dementia-specific training for all care home staff, with emphasis on communication, behaviour as communication, person-centred personal care, nutrition and safe medication administration (Alzheimer’s Society, 2016; NICE, 2018).</w:t>
      </w:r>
    </w:p>
    <w:p w14:paraId="46574C0A" w14:textId="77777777" w:rsidR="006B7663" w:rsidRPr="006B7663" w:rsidRDefault="006B7663" w:rsidP="006B7663">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Strengthen staffing levels and continuity, recognising that unhurried, relationship-based care is essential for safe feeding, hygiene and medication support.</w:t>
      </w:r>
    </w:p>
    <w:p w14:paraId="1E0CF879" w14:textId="77777777" w:rsidR="006B7663" w:rsidRPr="006B7663" w:rsidRDefault="006B7663" w:rsidP="006B7663">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Embed routine multidisciplinary reviews—involving pharmacists, dietitians, speech and language therapists and mental health teams—into care home practice to address complex nutritional, swallowing and psychotropic-related issues.</w:t>
      </w:r>
    </w:p>
    <w:p w14:paraId="72A4EF74" w14:textId="77777777" w:rsidR="006B7663" w:rsidRPr="006B7663" w:rsidRDefault="006B7663" w:rsidP="006B7663">
      <w:pPr>
        <w:numPr>
          <w:ilvl w:val="0"/>
          <w:numId w:val="20"/>
        </w:num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Use quality indicators (e.g. rates of weight loss, dehydration-related admissions, antipsychotic prescribing) in CQC inspections and local commissioning to monitor and drive improvements in dementia care.</w:t>
      </w:r>
    </w:p>
    <w:p w14:paraId="3C832981" w14:textId="77777777" w:rsidR="006B7663" w:rsidRPr="006B7663" w:rsidRDefault="006B7663" w:rsidP="006B7663">
      <w:pPr>
        <w:spacing w:before="100" w:beforeAutospacing="1" w:after="100" w:afterAutospacing="1" w:line="240" w:lineRule="auto"/>
        <w:rPr>
          <w:rFonts w:ascii="Arial" w:eastAsia="Times New Roman" w:hAnsi="Arial" w:cs="Arial"/>
          <w:kern w:val="0"/>
          <w:sz w:val="22"/>
          <w:szCs w:val="22"/>
          <w:lang w:eastAsia="en-GB"/>
          <w14:ligatures w14:val="none"/>
        </w:rPr>
      </w:pPr>
      <w:r w:rsidRPr="006B7663">
        <w:rPr>
          <w:rFonts w:ascii="Arial" w:eastAsia="Times New Roman" w:hAnsi="Arial" w:cs="Arial"/>
          <w:kern w:val="0"/>
          <w:sz w:val="22"/>
          <w:szCs w:val="22"/>
          <w:lang w:eastAsia="en-GB"/>
          <w14:ligatures w14:val="none"/>
        </w:rPr>
        <w:t>By integrating these evidence-informed strategies into everyday practice, UK care homes can move closer to the aspirations of national dementia policy: enabling people with dementia to live, not just reside, in care homes with as much dignity, comfort and independence as possible.</w:t>
      </w:r>
    </w:p>
    <w:p w14:paraId="26164FD2" w14:textId="1C2EB2FF" w:rsidR="00667D3E" w:rsidRPr="00B14D93" w:rsidRDefault="00E83195" w:rsidP="00B14D93">
      <w:pPr>
        <w:pStyle w:val="Title"/>
        <w:rPr>
          <w:rFonts w:ascii="Arial" w:eastAsia="Times New Roman" w:hAnsi="Arial" w:cs="Arial"/>
          <w:kern w:val="0"/>
          <w:lang w:eastAsia="en-GB"/>
          <w14:ligatures w14:val="none"/>
        </w:rPr>
      </w:pPr>
      <w:r w:rsidRPr="00B14D93">
        <w:rPr>
          <w:rFonts w:ascii="Arial" w:eastAsia="Times New Roman" w:hAnsi="Arial" w:cs="Arial"/>
          <w:kern w:val="0"/>
          <w:lang w:eastAsia="en-GB"/>
          <w14:ligatures w14:val="none"/>
        </w:rPr>
        <w:br/>
      </w:r>
      <w:bookmarkStart w:id="19" w:name="_Toc214121065"/>
      <w:r w:rsidRPr="00B14D93">
        <w:rPr>
          <w:rFonts w:ascii="Arial" w:hAnsi="Arial" w:cs="Arial"/>
        </w:rPr>
        <w:t>Reference List</w:t>
      </w:r>
      <w:bookmarkEnd w:id="19"/>
    </w:p>
    <w:p w14:paraId="1522A8E7"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Alzheimer’s Society (2013)</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Dementia 2013: The hidden voice of loneliness</w:t>
      </w:r>
      <w:r w:rsidRPr="00B14D93">
        <w:rPr>
          <w:rFonts w:ascii="Arial" w:hAnsi="Arial" w:cs="Arial"/>
          <w:color w:val="000000"/>
          <w:sz w:val="22"/>
          <w:szCs w:val="22"/>
        </w:rPr>
        <w:t>. London: Alzheimer’s Society.</w:t>
      </w:r>
    </w:p>
    <w:p w14:paraId="6DB6587E"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Alzheimer’s Society (2016)</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Fix Dementia Care: NHS and care homes</w:t>
      </w:r>
      <w:r w:rsidRPr="00B14D93">
        <w:rPr>
          <w:rFonts w:ascii="Arial" w:hAnsi="Arial" w:cs="Arial"/>
          <w:color w:val="000000"/>
          <w:sz w:val="22"/>
          <w:szCs w:val="22"/>
        </w:rPr>
        <w:t>. London: Alzheimer’s Society.</w:t>
      </w:r>
    </w:p>
    <w:p w14:paraId="076DCAEB"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Alzheimer’s Society (2020)</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From diagnosis to end of life: The lived experiences of dementia care and support</w:t>
      </w:r>
      <w:r w:rsidRPr="00B14D93">
        <w:rPr>
          <w:rFonts w:ascii="Arial" w:hAnsi="Arial" w:cs="Arial"/>
          <w:color w:val="000000"/>
          <w:sz w:val="22"/>
          <w:szCs w:val="22"/>
        </w:rPr>
        <w:t>. London: Alzheimer’s Society.</w:t>
      </w:r>
    </w:p>
    <w:p w14:paraId="1A0E577D"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Alzheimer’s Society (2024)</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How many people have dementia in the UK?</w:t>
      </w:r>
      <w:r w:rsidRPr="00B14D93">
        <w:rPr>
          <w:rStyle w:val="apple-converted-space"/>
          <w:rFonts w:ascii="Arial" w:eastAsiaTheme="majorEastAsia" w:hAnsi="Arial" w:cs="Arial"/>
          <w:color w:val="000000"/>
          <w:sz w:val="22"/>
          <w:szCs w:val="22"/>
        </w:rPr>
        <w:t> </w:t>
      </w:r>
      <w:r w:rsidRPr="00B14D93">
        <w:rPr>
          <w:rFonts w:ascii="Arial" w:hAnsi="Arial" w:cs="Arial"/>
          <w:color w:val="000000"/>
          <w:sz w:val="22"/>
          <w:szCs w:val="22"/>
        </w:rPr>
        <w:t>[Online]. Available at:</w:t>
      </w:r>
      <w:r w:rsidRPr="00B14D93">
        <w:rPr>
          <w:rStyle w:val="apple-converted-space"/>
          <w:rFonts w:ascii="Arial" w:eastAsiaTheme="majorEastAsia" w:hAnsi="Arial" w:cs="Arial"/>
          <w:color w:val="000000"/>
          <w:sz w:val="22"/>
          <w:szCs w:val="22"/>
        </w:rPr>
        <w:t> </w:t>
      </w:r>
      <w:r w:rsidRPr="00B14D93">
        <w:rPr>
          <w:rFonts w:ascii="Arial" w:hAnsi="Arial" w:cs="Arial"/>
          <w:color w:val="000000"/>
          <w:sz w:val="22"/>
          <w:szCs w:val="22"/>
        </w:rPr>
        <w:t>https://www.alzheimers.org.uk/blog/how-many-people-have-dementia-uk</w:t>
      </w:r>
      <w:r w:rsidRPr="00B14D93">
        <w:rPr>
          <w:rStyle w:val="apple-converted-space"/>
          <w:rFonts w:ascii="Arial" w:eastAsiaTheme="majorEastAsia" w:hAnsi="Arial" w:cs="Arial"/>
          <w:color w:val="000000"/>
          <w:sz w:val="22"/>
          <w:szCs w:val="22"/>
        </w:rPr>
        <w:t> </w:t>
      </w:r>
      <w:r w:rsidRPr="00B14D93">
        <w:rPr>
          <w:rFonts w:ascii="Arial" w:hAnsi="Arial" w:cs="Arial"/>
          <w:color w:val="000000"/>
          <w:sz w:val="22"/>
          <w:szCs w:val="22"/>
        </w:rPr>
        <w:t>(Accessed 15 November 2025).</w:t>
      </w:r>
    </w:p>
    <w:p w14:paraId="333F2024"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Arksey, H. and O’Malley, L. (2005) Scoping studies: towards a methodological framework.</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International Journal of Social Research Methodology</w:t>
      </w:r>
      <w:r w:rsidRPr="00B14D93">
        <w:rPr>
          <w:rFonts w:ascii="Arial" w:hAnsi="Arial" w:cs="Arial"/>
          <w:color w:val="000000"/>
          <w:sz w:val="22"/>
          <w:szCs w:val="22"/>
        </w:rPr>
        <w:t>, 8(1), pp.19–32.</w:t>
      </w:r>
    </w:p>
    <w:p w14:paraId="17C0D4BB"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Ballard, C., Corbett, A., Orrell, M., Williams, G., Moniz-Cook, E., Romeo, R.</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et al.</w:t>
      </w:r>
      <w:r w:rsidRPr="00B14D93">
        <w:rPr>
          <w:rStyle w:val="apple-converted-space"/>
          <w:rFonts w:ascii="Arial" w:eastAsiaTheme="majorEastAsia" w:hAnsi="Arial" w:cs="Arial"/>
          <w:color w:val="000000"/>
          <w:sz w:val="22"/>
          <w:szCs w:val="22"/>
        </w:rPr>
        <w:t> </w:t>
      </w:r>
      <w:r w:rsidRPr="00B14D93">
        <w:rPr>
          <w:rFonts w:ascii="Arial" w:hAnsi="Arial" w:cs="Arial"/>
          <w:color w:val="000000"/>
          <w:sz w:val="22"/>
          <w:szCs w:val="22"/>
        </w:rPr>
        <w:t>(2018) Impact of person-centred care training and person-centred activities on quality of life, agitation, and antipsychotic use in people with dementia living in nursing homes: A cluster-randomised controlled trial.</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PLOS Medicine</w:t>
      </w:r>
      <w:r w:rsidRPr="00B14D93">
        <w:rPr>
          <w:rFonts w:ascii="Arial" w:hAnsi="Arial" w:cs="Arial"/>
          <w:color w:val="000000"/>
          <w:sz w:val="22"/>
          <w:szCs w:val="22"/>
        </w:rPr>
        <w:t>, 15(2), e1002500.</w:t>
      </w:r>
    </w:p>
    <w:p w14:paraId="5BADC0A1"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Care Quality Commission (2014)</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Cracks in the pathway: people’s experiences of dementia care as they move between care homes and hospitals</w:t>
      </w:r>
      <w:r w:rsidRPr="00B14D93">
        <w:rPr>
          <w:rFonts w:ascii="Arial" w:hAnsi="Arial" w:cs="Arial"/>
          <w:color w:val="000000"/>
          <w:sz w:val="22"/>
          <w:szCs w:val="22"/>
        </w:rPr>
        <w:t>. Newcastle upon Tyne: CQC.</w:t>
      </w:r>
    </w:p>
    <w:p w14:paraId="33C3D142"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Cooper, C., Marston, L., Barber, J., Livingston, D., Rapaport, P., Higgs, P. and Livingston, G. (2018) Do care homes deliver person-centred care? A cross-sectional survey of staff-reported abusive and positive behaviours towards residents from the MARQUE English national care home survey.</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PLOS ONE</w:t>
      </w:r>
      <w:r w:rsidRPr="00B14D93">
        <w:rPr>
          <w:rFonts w:ascii="Arial" w:hAnsi="Arial" w:cs="Arial"/>
          <w:color w:val="000000"/>
          <w:sz w:val="22"/>
          <w:szCs w:val="22"/>
        </w:rPr>
        <w:t>, 13(3), e0193399.</w:t>
      </w:r>
    </w:p>
    <w:p w14:paraId="7A3F929C"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lastRenderedPageBreak/>
        <w:t>Department of Health (2015)</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Prime Minister’s challenge on dementia 2020</w:t>
      </w:r>
      <w:r w:rsidRPr="00B14D93">
        <w:rPr>
          <w:rFonts w:ascii="Arial" w:hAnsi="Arial" w:cs="Arial"/>
          <w:color w:val="000000"/>
          <w:sz w:val="22"/>
          <w:szCs w:val="22"/>
        </w:rPr>
        <w:t>. London: Department of Health.</w:t>
      </w:r>
    </w:p>
    <w:p w14:paraId="73E86F5E"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Kadri, A., Rapaport, P., Livingston, G., Cooper, C., Robertson, S., Higgs, P. and Van Bogaert, P. (2018) Care workers, the unacknowledged persons in person-centred care: a secondary qualitative analysis of UK care home staff interviews.</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PLOS ONE</w:t>
      </w:r>
      <w:r w:rsidRPr="00B14D93">
        <w:rPr>
          <w:rFonts w:ascii="Arial" w:hAnsi="Arial" w:cs="Arial"/>
          <w:color w:val="000000"/>
          <w:sz w:val="22"/>
          <w:szCs w:val="22"/>
        </w:rPr>
        <w:t>, 13(7), e0200031.</w:t>
      </w:r>
    </w:p>
    <w:p w14:paraId="37055D5D"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Levac, D., Colquhoun, H. and O’Brien, K. K. (2010) Scoping studies: advancing the methodology.</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Implementation Science</w:t>
      </w:r>
      <w:r w:rsidRPr="00B14D93">
        <w:rPr>
          <w:rFonts w:ascii="Arial" w:hAnsi="Arial" w:cs="Arial"/>
          <w:color w:val="000000"/>
          <w:sz w:val="22"/>
          <w:szCs w:val="22"/>
        </w:rPr>
        <w:t>, 5, p.69.</w:t>
      </w:r>
    </w:p>
    <w:p w14:paraId="63DB8822"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 xml:space="preserve">Livingston, G., </w:t>
      </w:r>
      <w:proofErr w:type="spellStart"/>
      <w:r w:rsidRPr="00B14D93">
        <w:rPr>
          <w:rFonts w:ascii="Arial" w:hAnsi="Arial" w:cs="Arial"/>
          <w:color w:val="000000"/>
          <w:sz w:val="22"/>
          <w:szCs w:val="22"/>
        </w:rPr>
        <w:t>Sommerlad</w:t>
      </w:r>
      <w:proofErr w:type="spellEnd"/>
      <w:r w:rsidRPr="00B14D93">
        <w:rPr>
          <w:rFonts w:ascii="Arial" w:hAnsi="Arial" w:cs="Arial"/>
          <w:color w:val="000000"/>
          <w:sz w:val="22"/>
          <w:szCs w:val="22"/>
        </w:rPr>
        <w:t>, A., Orgeta, V., Costafreda, S. G., Huntley, J., Ames, D.</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et al.</w:t>
      </w:r>
      <w:r w:rsidRPr="00B14D93">
        <w:rPr>
          <w:rStyle w:val="apple-converted-space"/>
          <w:rFonts w:ascii="Arial" w:eastAsiaTheme="majorEastAsia" w:hAnsi="Arial" w:cs="Arial"/>
          <w:color w:val="000000"/>
          <w:sz w:val="22"/>
          <w:szCs w:val="22"/>
        </w:rPr>
        <w:t> </w:t>
      </w:r>
      <w:r w:rsidRPr="00B14D93">
        <w:rPr>
          <w:rFonts w:ascii="Arial" w:hAnsi="Arial" w:cs="Arial"/>
          <w:color w:val="000000"/>
          <w:sz w:val="22"/>
          <w:szCs w:val="22"/>
        </w:rPr>
        <w:t>(2017) Dementia prevention, intervention, and care: 2017 report of the Lancet Commission.</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The Lancet</w:t>
      </w:r>
      <w:r w:rsidRPr="00B14D93">
        <w:rPr>
          <w:rFonts w:ascii="Arial" w:hAnsi="Arial" w:cs="Arial"/>
          <w:color w:val="000000"/>
          <w:sz w:val="22"/>
          <w:szCs w:val="22"/>
        </w:rPr>
        <w:t>, 390(10113), pp.2673–2734.</w:t>
      </w:r>
    </w:p>
    <w:p w14:paraId="780267E6"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NHS England (2016)</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The Well Pathway for Dementia</w:t>
      </w:r>
      <w:r w:rsidRPr="00B14D93">
        <w:rPr>
          <w:rStyle w:val="apple-converted-space"/>
          <w:rFonts w:ascii="Arial" w:eastAsiaTheme="majorEastAsia" w:hAnsi="Arial" w:cs="Arial"/>
          <w:color w:val="000000"/>
          <w:sz w:val="22"/>
          <w:szCs w:val="22"/>
        </w:rPr>
        <w:t> </w:t>
      </w:r>
      <w:r w:rsidRPr="00B14D93">
        <w:rPr>
          <w:rFonts w:ascii="Arial" w:hAnsi="Arial" w:cs="Arial"/>
          <w:color w:val="000000"/>
          <w:sz w:val="22"/>
          <w:szCs w:val="22"/>
        </w:rPr>
        <w:t>(Transformation Framework). London: NHS England.</w:t>
      </w:r>
    </w:p>
    <w:p w14:paraId="0F58E3CF"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NHS England (2019)</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The NHS Long Term Plan</w:t>
      </w:r>
      <w:r w:rsidRPr="00B14D93">
        <w:rPr>
          <w:rFonts w:ascii="Arial" w:hAnsi="Arial" w:cs="Arial"/>
          <w:color w:val="000000"/>
          <w:sz w:val="22"/>
          <w:szCs w:val="22"/>
        </w:rPr>
        <w:t>. London: NHS England.</w:t>
      </w:r>
    </w:p>
    <w:p w14:paraId="60283C69"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National Institute for Health and Care Excellence (NICE) (2018)</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Dementia: assessment, management and support for people living with dementia and their carers (NICE Guideline NG97)</w:t>
      </w:r>
      <w:r w:rsidRPr="00B14D93">
        <w:rPr>
          <w:rFonts w:ascii="Arial" w:hAnsi="Arial" w:cs="Arial"/>
          <w:color w:val="000000"/>
          <w:sz w:val="22"/>
          <w:szCs w:val="22"/>
        </w:rPr>
        <w:t>. London: NICE.</w:t>
      </w:r>
    </w:p>
    <w:p w14:paraId="02A27B8A"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National Institute for Health and Care Excellence (NICE) (2019)</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Dementia (Quality Standard QS184)</w:t>
      </w:r>
      <w:r w:rsidRPr="00B14D93">
        <w:rPr>
          <w:rFonts w:ascii="Arial" w:hAnsi="Arial" w:cs="Arial"/>
          <w:color w:val="000000"/>
          <w:sz w:val="22"/>
          <w:szCs w:val="22"/>
        </w:rPr>
        <w:t>. London: NICE.</w:t>
      </w:r>
    </w:p>
    <w:p w14:paraId="2E6A061F"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Paddock, K., Brown Wilson, C., Walshe, C. and Todd, C. (2019) Care home life and identity: a qualitative case study.</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The Gerontologist</w:t>
      </w:r>
      <w:r w:rsidRPr="00B14D93">
        <w:rPr>
          <w:rFonts w:ascii="Arial" w:hAnsi="Arial" w:cs="Arial"/>
          <w:color w:val="000000"/>
          <w:sz w:val="22"/>
          <w:szCs w:val="22"/>
        </w:rPr>
        <w:t>, 59(4), pp.655–664.</w:t>
      </w:r>
    </w:p>
    <w:p w14:paraId="34799474"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Rapaport, P., Livingston, G., Hamilton, O., Turner, R., Stringer, A., Robertson, S.</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et al.</w:t>
      </w:r>
      <w:r w:rsidRPr="00B14D93">
        <w:rPr>
          <w:rStyle w:val="apple-converted-space"/>
          <w:rFonts w:ascii="Arial" w:eastAsiaTheme="majorEastAsia" w:hAnsi="Arial" w:cs="Arial"/>
          <w:color w:val="000000"/>
          <w:sz w:val="22"/>
          <w:szCs w:val="22"/>
        </w:rPr>
        <w:t> </w:t>
      </w:r>
      <w:r w:rsidRPr="00B14D93">
        <w:rPr>
          <w:rFonts w:ascii="Arial" w:hAnsi="Arial" w:cs="Arial"/>
          <w:color w:val="000000"/>
          <w:sz w:val="22"/>
          <w:szCs w:val="22"/>
        </w:rPr>
        <w:t>(2018) How do care home staff understand, manage and respond to agitation in people with dementia? A qualitative study.</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BMJ Open</w:t>
      </w:r>
      <w:r w:rsidRPr="00B14D93">
        <w:rPr>
          <w:rFonts w:ascii="Arial" w:hAnsi="Arial" w:cs="Arial"/>
          <w:color w:val="000000"/>
          <w:sz w:val="22"/>
          <w:szCs w:val="22"/>
        </w:rPr>
        <w:t>, 8(6), e022260.</w:t>
      </w:r>
    </w:p>
    <w:p w14:paraId="3740F1AB" w14:textId="77777777" w:rsidR="00E83195" w:rsidRPr="00B14D93" w:rsidRDefault="00E83195" w:rsidP="00E83195">
      <w:pPr>
        <w:pStyle w:val="NormalWeb"/>
        <w:rPr>
          <w:rFonts w:ascii="Arial" w:hAnsi="Arial" w:cs="Arial"/>
          <w:color w:val="000000"/>
          <w:sz w:val="22"/>
          <w:szCs w:val="22"/>
        </w:rPr>
      </w:pPr>
      <w:r w:rsidRPr="00B14D93">
        <w:rPr>
          <w:rFonts w:ascii="Arial" w:hAnsi="Arial" w:cs="Arial"/>
          <w:color w:val="000000"/>
          <w:sz w:val="22"/>
          <w:szCs w:val="22"/>
        </w:rPr>
        <w:t>Robertson, S., Cooper, C., Hoe, J., Hamilton, O., Stringer, A. and Livingston, G. (2017) Proxy rated quality of life of care home residents with dementia: a systematic review.</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International Psychogeriatrics</w:t>
      </w:r>
      <w:r w:rsidRPr="00B14D93">
        <w:rPr>
          <w:rFonts w:ascii="Arial" w:hAnsi="Arial" w:cs="Arial"/>
          <w:color w:val="000000"/>
          <w:sz w:val="22"/>
          <w:szCs w:val="22"/>
        </w:rPr>
        <w:t>, 29(4), pp.569–581.</w:t>
      </w:r>
    </w:p>
    <w:p w14:paraId="51840A8E" w14:textId="77777777" w:rsidR="00E83195" w:rsidRPr="00B14D93" w:rsidRDefault="00E83195" w:rsidP="00E83195">
      <w:pPr>
        <w:pStyle w:val="NormalWeb"/>
        <w:rPr>
          <w:rFonts w:ascii="Arial" w:hAnsi="Arial" w:cs="Arial"/>
          <w:color w:val="000000"/>
          <w:sz w:val="22"/>
          <w:szCs w:val="22"/>
        </w:rPr>
      </w:pPr>
      <w:proofErr w:type="spellStart"/>
      <w:r w:rsidRPr="00B14D93">
        <w:rPr>
          <w:rFonts w:ascii="Arial" w:hAnsi="Arial" w:cs="Arial"/>
          <w:color w:val="000000"/>
          <w:sz w:val="22"/>
          <w:szCs w:val="22"/>
        </w:rPr>
        <w:t>Tricco</w:t>
      </w:r>
      <w:proofErr w:type="spellEnd"/>
      <w:r w:rsidRPr="00B14D93">
        <w:rPr>
          <w:rFonts w:ascii="Arial" w:hAnsi="Arial" w:cs="Arial"/>
          <w:color w:val="000000"/>
          <w:sz w:val="22"/>
          <w:szCs w:val="22"/>
        </w:rPr>
        <w:t>, A. C., Lillie, E., Zarin, W., O’Brien, K. K., Colquhoun, H., Levac, D.</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et al.</w:t>
      </w:r>
      <w:r w:rsidRPr="00B14D93">
        <w:rPr>
          <w:rStyle w:val="apple-converted-space"/>
          <w:rFonts w:ascii="Arial" w:eastAsiaTheme="majorEastAsia" w:hAnsi="Arial" w:cs="Arial"/>
          <w:color w:val="000000"/>
          <w:sz w:val="22"/>
          <w:szCs w:val="22"/>
        </w:rPr>
        <w:t> </w:t>
      </w:r>
      <w:r w:rsidRPr="00B14D93">
        <w:rPr>
          <w:rFonts w:ascii="Arial" w:hAnsi="Arial" w:cs="Arial"/>
          <w:color w:val="000000"/>
          <w:sz w:val="22"/>
          <w:szCs w:val="22"/>
        </w:rPr>
        <w:t>(2018) PRISMA extension for scoping reviews (PRISMA-</w:t>
      </w:r>
      <w:proofErr w:type="spellStart"/>
      <w:r w:rsidRPr="00B14D93">
        <w:rPr>
          <w:rFonts w:ascii="Arial" w:hAnsi="Arial" w:cs="Arial"/>
          <w:color w:val="000000"/>
          <w:sz w:val="22"/>
          <w:szCs w:val="22"/>
        </w:rPr>
        <w:t>ScR</w:t>
      </w:r>
      <w:proofErr w:type="spellEnd"/>
      <w:r w:rsidRPr="00B14D93">
        <w:rPr>
          <w:rFonts w:ascii="Arial" w:hAnsi="Arial" w:cs="Arial"/>
          <w:color w:val="000000"/>
          <w:sz w:val="22"/>
          <w:szCs w:val="22"/>
        </w:rPr>
        <w:t>): checklist and explanation.</w:t>
      </w:r>
      <w:r w:rsidRPr="00B14D93">
        <w:rPr>
          <w:rStyle w:val="apple-converted-space"/>
          <w:rFonts w:ascii="Arial" w:eastAsiaTheme="majorEastAsia" w:hAnsi="Arial" w:cs="Arial"/>
          <w:color w:val="000000"/>
          <w:sz w:val="22"/>
          <w:szCs w:val="22"/>
        </w:rPr>
        <w:t> </w:t>
      </w:r>
      <w:r w:rsidRPr="00B14D93">
        <w:rPr>
          <w:rStyle w:val="Emphasis"/>
          <w:rFonts w:ascii="Arial" w:eastAsiaTheme="majorEastAsia" w:hAnsi="Arial" w:cs="Arial"/>
          <w:color w:val="000000"/>
          <w:sz w:val="22"/>
          <w:szCs w:val="22"/>
        </w:rPr>
        <w:t>Annals of Internal Medicine</w:t>
      </w:r>
      <w:r w:rsidRPr="00B14D93">
        <w:rPr>
          <w:rFonts w:ascii="Arial" w:hAnsi="Arial" w:cs="Arial"/>
          <w:color w:val="000000"/>
          <w:sz w:val="22"/>
          <w:szCs w:val="22"/>
        </w:rPr>
        <w:t>, 169(7), pp.467–473.</w:t>
      </w:r>
    </w:p>
    <w:p w14:paraId="4100E403" w14:textId="04454F7B" w:rsidR="00667D3E" w:rsidRPr="00667D3E" w:rsidRDefault="00667D3E" w:rsidP="00667D3E">
      <w:pPr>
        <w:spacing w:after="0" w:line="240" w:lineRule="auto"/>
        <w:rPr>
          <w:rFonts w:ascii="Arial" w:eastAsia="Times New Roman" w:hAnsi="Arial" w:cs="Arial"/>
          <w:kern w:val="0"/>
          <w:sz w:val="22"/>
          <w:szCs w:val="22"/>
          <w:lang w:eastAsia="en-GB"/>
          <w14:ligatures w14:val="none"/>
        </w:rPr>
      </w:pPr>
      <w:r w:rsidRPr="00667D3E">
        <w:rPr>
          <w:rFonts w:ascii="Arial" w:eastAsia="Times New Roman" w:hAnsi="Arial" w:cs="Arial"/>
          <w:kern w:val="0"/>
          <w:sz w:val="22"/>
          <w:szCs w:val="22"/>
          <w:lang w:eastAsia="en-GB"/>
          <w14:ligatures w14:val="none"/>
        </w:rPr>
        <w:fldChar w:fldCharType="begin"/>
      </w:r>
      <w:r w:rsidRPr="00667D3E">
        <w:rPr>
          <w:rFonts w:ascii="Arial" w:eastAsia="Times New Roman" w:hAnsi="Arial" w:cs="Arial"/>
          <w:kern w:val="0"/>
          <w:sz w:val="22"/>
          <w:szCs w:val="22"/>
          <w:lang w:eastAsia="en-GB"/>
          <w14:ligatures w14:val="none"/>
        </w:rPr>
        <w:instrText xml:space="preserve"> INCLUDEPICTURE "https://www.google.com/s2/favicons?domain=https://pmc.ncbi.nlm.nih.gov&amp;sz=32" \* MERGEFORMATINET </w:instrText>
      </w:r>
      <w:r w:rsidRPr="00667D3E">
        <w:rPr>
          <w:rFonts w:ascii="Arial" w:eastAsia="Times New Roman" w:hAnsi="Arial" w:cs="Arial"/>
          <w:kern w:val="0"/>
          <w:sz w:val="22"/>
          <w:szCs w:val="22"/>
          <w:lang w:eastAsia="en-GB"/>
          <w14:ligatures w14:val="none"/>
        </w:rPr>
        <w:fldChar w:fldCharType="separate"/>
      </w:r>
      <w:r w:rsidRPr="00667D3E">
        <w:rPr>
          <w:rFonts w:ascii="Arial" w:eastAsia="Times New Roman" w:hAnsi="Arial" w:cs="Arial"/>
          <w:kern w:val="0"/>
          <w:sz w:val="22"/>
          <w:szCs w:val="22"/>
          <w:lang w:eastAsia="en-GB"/>
          <w14:ligatures w14:val="none"/>
        </w:rPr>
        <w:fldChar w:fldCharType="end"/>
      </w:r>
    </w:p>
    <w:p w14:paraId="44C71376" w14:textId="77777777" w:rsidR="00667D3E" w:rsidRPr="00B14D93" w:rsidRDefault="00667D3E">
      <w:pPr>
        <w:rPr>
          <w:rFonts w:ascii="Arial" w:hAnsi="Arial" w:cs="Arial"/>
          <w:sz w:val="22"/>
          <w:szCs w:val="22"/>
        </w:rPr>
      </w:pPr>
    </w:p>
    <w:sectPr w:rsidR="00667D3E" w:rsidRPr="00B14D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9770C"/>
    <w:multiLevelType w:val="multilevel"/>
    <w:tmpl w:val="93F6E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A06B4"/>
    <w:multiLevelType w:val="multilevel"/>
    <w:tmpl w:val="C25CD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534E2"/>
    <w:multiLevelType w:val="multilevel"/>
    <w:tmpl w:val="2146E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A71B8E"/>
    <w:multiLevelType w:val="multilevel"/>
    <w:tmpl w:val="7DC8E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4902B7"/>
    <w:multiLevelType w:val="multilevel"/>
    <w:tmpl w:val="C8B68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04071A"/>
    <w:multiLevelType w:val="multilevel"/>
    <w:tmpl w:val="64B4A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B72415"/>
    <w:multiLevelType w:val="multilevel"/>
    <w:tmpl w:val="D71CE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2F4303"/>
    <w:multiLevelType w:val="multilevel"/>
    <w:tmpl w:val="384AE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B370D0"/>
    <w:multiLevelType w:val="multilevel"/>
    <w:tmpl w:val="6C42B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B35A2C"/>
    <w:multiLevelType w:val="multilevel"/>
    <w:tmpl w:val="23864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AB69A5"/>
    <w:multiLevelType w:val="multilevel"/>
    <w:tmpl w:val="3F1A3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467C2A"/>
    <w:multiLevelType w:val="multilevel"/>
    <w:tmpl w:val="4670B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87586D"/>
    <w:multiLevelType w:val="multilevel"/>
    <w:tmpl w:val="21E80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1B1433"/>
    <w:multiLevelType w:val="multilevel"/>
    <w:tmpl w:val="4FD03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817D28"/>
    <w:multiLevelType w:val="multilevel"/>
    <w:tmpl w:val="71BE2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C31459"/>
    <w:multiLevelType w:val="multilevel"/>
    <w:tmpl w:val="90E8C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B2197F"/>
    <w:multiLevelType w:val="multilevel"/>
    <w:tmpl w:val="C4CED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355733"/>
    <w:multiLevelType w:val="multilevel"/>
    <w:tmpl w:val="E9F89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E3253C"/>
    <w:multiLevelType w:val="multilevel"/>
    <w:tmpl w:val="4DF89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DA46C6E"/>
    <w:multiLevelType w:val="multilevel"/>
    <w:tmpl w:val="21B0A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4312882">
    <w:abstractNumId w:val="4"/>
  </w:num>
  <w:num w:numId="2" w16cid:durableId="1701322719">
    <w:abstractNumId w:val="16"/>
  </w:num>
  <w:num w:numId="3" w16cid:durableId="745497033">
    <w:abstractNumId w:val="19"/>
  </w:num>
  <w:num w:numId="4" w16cid:durableId="1942689459">
    <w:abstractNumId w:val="9"/>
  </w:num>
  <w:num w:numId="5" w16cid:durableId="2079742288">
    <w:abstractNumId w:val="18"/>
  </w:num>
  <w:num w:numId="6" w16cid:durableId="1124419947">
    <w:abstractNumId w:val="3"/>
  </w:num>
  <w:num w:numId="7" w16cid:durableId="987368694">
    <w:abstractNumId w:val="8"/>
  </w:num>
  <w:num w:numId="8" w16cid:durableId="919295432">
    <w:abstractNumId w:val="0"/>
  </w:num>
  <w:num w:numId="9" w16cid:durableId="851918179">
    <w:abstractNumId w:val="7"/>
  </w:num>
  <w:num w:numId="10" w16cid:durableId="1998338435">
    <w:abstractNumId w:val="11"/>
  </w:num>
  <w:num w:numId="11" w16cid:durableId="882598478">
    <w:abstractNumId w:val="1"/>
  </w:num>
  <w:num w:numId="12" w16cid:durableId="716128707">
    <w:abstractNumId w:val="6"/>
  </w:num>
  <w:num w:numId="13" w16cid:durableId="292178672">
    <w:abstractNumId w:val="5"/>
  </w:num>
  <w:num w:numId="14" w16cid:durableId="1243566896">
    <w:abstractNumId w:val="10"/>
  </w:num>
  <w:num w:numId="15" w16cid:durableId="921261186">
    <w:abstractNumId w:val="2"/>
  </w:num>
  <w:num w:numId="16" w16cid:durableId="18052142">
    <w:abstractNumId w:val="14"/>
  </w:num>
  <w:num w:numId="17" w16cid:durableId="247350242">
    <w:abstractNumId w:val="12"/>
  </w:num>
  <w:num w:numId="18" w16cid:durableId="1054083857">
    <w:abstractNumId w:val="17"/>
  </w:num>
  <w:num w:numId="19" w16cid:durableId="1015039943">
    <w:abstractNumId w:val="13"/>
  </w:num>
  <w:num w:numId="20" w16cid:durableId="46520263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D3E"/>
    <w:rsid w:val="004A61D6"/>
    <w:rsid w:val="00667D3E"/>
    <w:rsid w:val="006B7663"/>
    <w:rsid w:val="007D4876"/>
    <w:rsid w:val="008E4F1C"/>
    <w:rsid w:val="00A35E40"/>
    <w:rsid w:val="00B012FC"/>
    <w:rsid w:val="00B14D93"/>
    <w:rsid w:val="00D0592C"/>
    <w:rsid w:val="00E250FE"/>
    <w:rsid w:val="00E83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F6B9B"/>
  <w15:chartTrackingRefBased/>
  <w15:docId w15:val="{5C7CB0B1-5618-284C-B86B-D8651CB1E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D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7D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7D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7D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7D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7D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D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D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D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D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7D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7D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D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D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D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D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D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D3E"/>
    <w:rPr>
      <w:rFonts w:eastAsiaTheme="majorEastAsia" w:cstheme="majorBidi"/>
      <w:color w:val="272727" w:themeColor="text1" w:themeTint="D8"/>
    </w:rPr>
  </w:style>
  <w:style w:type="paragraph" w:styleId="Title">
    <w:name w:val="Title"/>
    <w:basedOn w:val="Normal"/>
    <w:next w:val="Normal"/>
    <w:link w:val="TitleChar"/>
    <w:uiPriority w:val="10"/>
    <w:qFormat/>
    <w:rsid w:val="00667D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D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D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D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D3E"/>
    <w:pPr>
      <w:spacing w:before="160"/>
      <w:jc w:val="center"/>
    </w:pPr>
    <w:rPr>
      <w:i/>
      <w:iCs/>
      <w:color w:val="404040" w:themeColor="text1" w:themeTint="BF"/>
    </w:rPr>
  </w:style>
  <w:style w:type="character" w:customStyle="1" w:styleId="QuoteChar">
    <w:name w:val="Quote Char"/>
    <w:basedOn w:val="DefaultParagraphFont"/>
    <w:link w:val="Quote"/>
    <w:uiPriority w:val="29"/>
    <w:rsid w:val="00667D3E"/>
    <w:rPr>
      <w:i/>
      <w:iCs/>
      <w:color w:val="404040" w:themeColor="text1" w:themeTint="BF"/>
    </w:rPr>
  </w:style>
  <w:style w:type="paragraph" w:styleId="ListParagraph">
    <w:name w:val="List Paragraph"/>
    <w:basedOn w:val="Normal"/>
    <w:uiPriority w:val="34"/>
    <w:qFormat/>
    <w:rsid w:val="00667D3E"/>
    <w:pPr>
      <w:ind w:left="720"/>
      <w:contextualSpacing/>
    </w:pPr>
  </w:style>
  <w:style w:type="character" w:styleId="IntenseEmphasis">
    <w:name w:val="Intense Emphasis"/>
    <w:basedOn w:val="DefaultParagraphFont"/>
    <w:uiPriority w:val="21"/>
    <w:qFormat/>
    <w:rsid w:val="00667D3E"/>
    <w:rPr>
      <w:i/>
      <w:iCs/>
      <w:color w:val="0F4761" w:themeColor="accent1" w:themeShade="BF"/>
    </w:rPr>
  </w:style>
  <w:style w:type="paragraph" w:styleId="IntenseQuote">
    <w:name w:val="Intense Quote"/>
    <w:basedOn w:val="Normal"/>
    <w:next w:val="Normal"/>
    <w:link w:val="IntenseQuoteChar"/>
    <w:uiPriority w:val="30"/>
    <w:qFormat/>
    <w:rsid w:val="00667D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7D3E"/>
    <w:rPr>
      <w:i/>
      <w:iCs/>
      <w:color w:val="0F4761" w:themeColor="accent1" w:themeShade="BF"/>
    </w:rPr>
  </w:style>
  <w:style w:type="character" w:styleId="IntenseReference">
    <w:name w:val="Intense Reference"/>
    <w:basedOn w:val="DefaultParagraphFont"/>
    <w:uiPriority w:val="32"/>
    <w:qFormat/>
    <w:rsid w:val="00667D3E"/>
    <w:rPr>
      <w:b/>
      <w:bCs/>
      <w:smallCaps/>
      <w:color w:val="0F4761" w:themeColor="accent1" w:themeShade="BF"/>
      <w:spacing w:val="5"/>
    </w:rPr>
  </w:style>
  <w:style w:type="paragraph" w:customStyle="1" w:styleId="msonormal0">
    <w:name w:val="msonormal"/>
    <w:basedOn w:val="Normal"/>
    <w:rsid w:val="00667D3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667D3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67D3E"/>
    <w:rPr>
      <w:b/>
      <w:bCs/>
    </w:rPr>
  </w:style>
  <w:style w:type="character" w:customStyle="1" w:styleId="apple-converted-space">
    <w:name w:val="apple-converted-space"/>
    <w:basedOn w:val="DefaultParagraphFont"/>
    <w:rsid w:val="00667D3E"/>
  </w:style>
  <w:style w:type="character" w:customStyle="1" w:styleId="ms-1">
    <w:name w:val="ms-1"/>
    <w:basedOn w:val="DefaultParagraphFont"/>
    <w:rsid w:val="00667D3E"/>
  </w:style>
  <w:style w:type="character" w:styleId="Hyperlink">
    <w:name w:val="Hyperlink"/>
    <w:basedOn w:val="DefaultParagraphFont"/>
    <w:uiPriority w:val="99"/>
    <w:unhideWhenUsed/>
    <w:rsid w:val="00667D3E"/>
    <w:rPr>
      <w:color w:val="0000FF"/>
      <w:u w:val="single"/>
    </w:rPr>
  </w:style>
  <w:style w:type="character" w:styleId="FollowedHyperlink">
    <w:name w:val="FollowedHyperlink"/>
    <w:basedOn w:val="DefaultParagraphFont"/>
    <w:uiPriority w:val="99"/>
    <w:semiHidden/>
    <w:unhideWhenUsed/>
    <w:rsid w:val="00667D3E"/>
    <w:rPr>
      <w:color w:val="800080"/>
      <w:u w:val="single"/>
    </w:rPr>
  </w:style>
  <w:style w:type="character" w:customStyle="1" w:styleId="relative">
    <w:name w:val="relative"/>
    <w:basedOn w:val="DefaultParagraphFont"/>
    <w:rsid w:val="00667D3E"/>
  </w:style>
  <w:style w:type="character" w:customStyle="1" w:styleId="flex">
    <w:name w:val="flex"/>
    <w:basedOn w:val="DefaultParagraphFont"/>
    <w:rsid w:val="00667D3E"/>
  </w:style>
  <w:style w:type="character" w:customStyle="1" w:styleId="max-w-15ch">
    <w:name w:val="max-w-[15ch]"/>
    <w:basedOn w:val="DefaultParagraphFont"/>
    <w:rsid w:val="00667D3E"/>
  </w:style>
  <w:style w:type="character" w:styleId="Emphasis">
    <w:name w:val="Emphasis"/>
    <w:basedOn w:val="DefaultParagraphFont"/>
    <w:uiPriority w:val="20"/>
    <w:qFormat/>
    <w:rsid w:val="00667D3E"/>
    <w:rPr>
      <w:i/>
      <w:iCs/>
    </w:rPr>
  </w:style>
  <w:style w:type="character" w:styleId="HTMLCode">
    <w:name w:val="HTML Code"/>
    <w:basedOn w:val="DefaultParagraphFont"/>
    <w:uiPriority w:val="99"/>
    <w:semiHidden/>
    <w:unhideWhenUsed/>
    <w:rsid w:val="00667D3E"/>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E250FE"/>
    <w:rPr>
      <w:color w:val="605E5C"/>
      <w:shd w:val="clear" w:color="auto" w:fill="E1DFDD"/>
    </w:rPr>
  </w:style>
  <w:style w:type="table" w:styleId="GridTable1Light-Accent1">
    <w:name w:val="Grid Table 1 Light Accent 1"/>
    <w:basedOn w:val="TableNormal"/>
    <w:uiPriority w:val="46"/>
    <w:rsid w:val="00E250FE"/>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B14D9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B14D9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B14D93"/>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PlainTable4">
    <w:name w:val="Plain Table 4"/>
    <w:basedOn w:val="TableNormal"/>
    <w:uiPriority w:val="44"/>
    <w:rsid w:val="00B14D9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B14D9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14D93"/>
    <w:pPr>
      <w:spacing w:before="120" w:after="120"/>
    </w:pPr>
    <w:rPr>
      <w:b/>
      <w:bCs/>
      <w:caps/>
      <w:sz w:val="20"/>
      <w:szCs w:val="20"/>
    </w:rPr>
  </w:style>
  <w:style w:type="paragraph" w:styleId="TOC2">
    <w:name w:val="toc 2"/>
    <w:basedOn w:val="Normal"/>
    <w:next w:val="Normal"/>
    <w:autoRedefine/>
    <w:uiPriority w:val="39"/>
    <w:unhideWhenUsed/>
    <w:rsid w:val="00B14D93"/>
    <w:pPr>
      <w:spacing w:after="0"/>
      <w:ind w:left="240"/>
    </w:pPr>
    <w:rPr>
      <w:smallCaps/>
      <w:sz w:val="20"/>
      <w:szCs w:val="20"/>
    </w:rPr>
  </w:style>
  <w:style w:type="paragraph" w:styleId="TOC3">
    <w:name w:val="toc 3"/>
    <w:basedOn w:val="Normal"/>
    <w:next w:val="Normal"/>
    <w:autoRedefine/>
    <w:uiPriority w:val="39"/>
    <w:unhideWhenUsed/>
    <w:rsid w:val="00B14D93"/>
    <w:pPr>
      <w:spacing w:after="0"/>
      <w:ind w:left="480"/>
    </w:pPr>
    <w:rPr>
      <w:i/>
      <w:iCs/>
      <w:sz w:val="20"/>
      <w:szCs w:val="20"/>
    </w:rPr>
  </w:style>
  <w:style w:type="paragraph" w:styleId="TOC4">
    <w:name w:val="toc 4"/>
    <w:basedOn w:val="Normal"/>
    <w:next w:val="Normal"/>
    <w:autoRedefine/>
    <w:uiPriority w:val="39"/>
    <w:unhideWhenUsed/>
    <w:rsid w:val="00B14D93"/>
    <w:pPr>
      <w:spacing w:after="0"/>
      <w:ind w:left="720"/>
    </w:pPr>
    <w:rPr>
      <w:sz w:val="18"/>
      <w:szCs w:val="18"/>
    </w:rPr>
  </w:style>
  <w:style w:type="paragraph" w:styleId="TOC5">
    <w:name w:val="toc 5"/>
    <w:basedOn w:val="Normal"/>
    <w:next w:val="Normal"/>
    <w:autoRedefine/>
    <w:uiPriority w:val="39"/>
    <w:unhideWhenUsed/>
    <w:rsid w:val="00B14D93"/>
    <w:pPr>
      <w:spacing w:after="0"/>
      <w:ind w:left="960"/>
    </w:pPr>
    <w:rPr>
      <w:sz w:val="18"/>
      <w:szCs w:val="18"/>
    </w:rPr>
  </w:style>
  <w:style w:type="paragraph" w:styleId="TOC6">
    <w:name w:val="toc 6"/>
    <w:basedOn w:val="Normal"/>
    <w:next w:val="Normal"/>
    <w:autoRedefine/>
    <w:uiPriority w:val="39"/>
    <w:unhideWhenUsed/>
    <w:rsid w:val="00B14D93"/>
    <w:pPr>
      <w:spacing w:after="0"/>
      <w:ind w:left="1200"/>
    </w:pPr>
    <w:rPr>
      <w:sz w:val="18"/>
      <w:szCs w:val="18"/>
    </w:rPr>
  </w:style>
  <w:style w:type="paragraph" w:styleId="TOC7">
    <w:name w:val="toc 7"/>
    <w:basedOn w:val="Normal"/>
    <w:next w:val="Normal"/>
    <w:autoRedefine/>
    <w:uiPriority w:val="39"/>
    <w:unhideWhenUsed/>
    <w:rsid w:val="00B14D93"/>
    <w:pPr>
      <w:spacing w:after="0"/>
      <w:ind w:left="1440"/>
    </w:pPr>
    <w:rPr>
      <w:sz w:val="18"/>
      <w:szCs w:val="18"/>
    </w:rPr>
  </w:style>
  <w:style w:type="paragraph" w:styleId="TOC8">
    <w:name w:val="toc 8"/>
    <w:basedOn w:val="Normal"/>
    <w:next w:val="Normal"/>
    <w:autoRedefine/>
    <w:uiPriority w:val="39"/>
    <w:unhideWhenUsed/>
    <w:rsid w:val="00B14D93"/>
    <w:pPr>
      <w:spacing w:after="0"/>
      <w:ind w:left="1680"/>
    </w:pPr>
    <w:rPr>
      <w:sz w:val="18"/>
      <w:szCs w:val="18"/>
    </w:rPr>
  </w:style>
  <w:style w:type="paragraph" w:styleId="TOC9">
    <w:name w:val="toc 9"/>
    <w:basedOn w:val="Normal"/>
    <w:next w:val="Normal"/>
    <w:autoRedefine/>
    <w:uiPriority w:val="39"/>
    <w:unhideWhenUsed/>
    <w:rsid w:val="00B14D93"/>
    <w:pPr>
      <w:spacing w:after="0"/>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8F25AD-95EC-374F-8D5C-A3090CCFC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4797</Words>
  <Characters>29890</Characters>
  <Application>Microsoft Office Word</Application>
  <DocSecurity>0</DocSecurity>
  <Lines>649</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Marufu, Wisdom</dc:creator>
  <cp:keywords/>
  <dc:description/>
  <cp:lastModifiedBy>Marufu, Wisdom</cp:lastModifiedBy>
  <cp:revision>2</cp:revision>
  <dcterms:created xsi:type="dcterms:W3CDTF">2025-11-16T20:31:00Z</dcterms:created>
  <dcterms:modified xsi:type="dcterms:W3CDTF">2025-11-16T20:31:00Z</dcterms:modified>
</cp:coreProperties>
</file>