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F7A42" w14:textId="77777777" w:rsidR="008D1F04" w:rsidRDefault="00000000" w:rsidP="008D1F04">
      <w:pPr>
        <w:jc w:val="center"/>
        <w:rPr>
          <w:rFonts w:ascii="Arial" w:hAnsi="Arial" w:cs="Arial"/>
          <w:sz w:val="36"/>
          <w:szCs w:val="36"/>
        </w:rPr>
      </w:pPr>
      <w:r w:rsidRPr="008D1F04">
        <w:rPr>
          <w:rFonts w:ascii="Arial" w:hAnsi="Arial" w:cs="Arial"/>
          <w:sz w:val="36"/>
          <w:szCs w:val="36"/>
        </w:rPr>
        <w:t>Stakeholder Management Portfolio</w:t>
      </w:r>
      <w:r w:rsidRPr="008D1F04">
        <w:rPr>
          <w:rFonts w:ascii="Arial" w:hAnsi="Arial" w:cs="Arial"/>
          <w:sz w:val="36"/>
          <w:szCs w:val="36"/>
        </w:rPr>
        <w:br/>
        <w:t>Module: Stakeholder Engagement</w:t>
      </w:r>
      <w:r w:rsidRPr="008D1F04">
        <w:rPr>
          <w:rFonts w:ascii="Arial" w:hAnsi="Arial" w:cs="Arial"/>
          <w:sz w:val="36"/>
          <w:szCs w:val="36"/>
        </w:rPr>
        <w:br/>
        <w:t>Module Code: LCBB4013</w:t>
      </w:r>
      <w:r w:rsidRPr="008D1F04">
        <w:rPr>
          <w:rFonts w:ascii="Arial" w:hAnsi="Arial" w:cs="Arial"/>
          <w:sz w:val="36"/>
          <w:szCs w:val="36"/>
        </w:rPr>
        <w:br/>
        <w:t>Assignment Title: Component 1 – Portfolio</w:t>
      </w:r>
      <w:r w:rsidRPr="008D1F04">
        <w:rPr>
          <w:rFonts w:ascii="Arial" w:hAnsi="Arial" w:cs="Arial"/>
          <w:sz w:val="36"/>
          <w:szCs w:val="36"/>
        </w:rPr>
        <w:br/>
        <w:t>Student Name: Muhammad Touseef</w:t>
      </w:r>
      <w:r w:rsidRPr="008D1F04">
        <w:rPr>
          <w:rFonts w:ascii="Arial" w:hAnsi="Arial" w:cs="Arial"/>
          <w:sz w:val="36"/>
          <w:szCs w:val="36"/>
        </w:rPr>
        <w:br/>
        <w:t>Student ID: 2319373</w:t>
      </w:r>
    </w:p>
    <w:p w14:paraId="4BF988FD" w14:textId="3870D4C6" w:rsidR="008D1F04" w:rsidRPr="008D1F04" w:rsidRDefault="008D1F04" w:rsidP="008D1F04">
      <w:pPr>
        <w:jc w:val="center"/>
        <w:rPr>
          <w:rFonts w:ascii="Arial" w:hAnsi="Arial" w:cs="Arial"/>
          <w:sz w:val="36"/>
          <w:szCs w:val="36"/>
        </w:rPr>
      </w:pPr>
      <w:r>
        <w:rPr>
          <w:rFonts w:ascii="Arial" w:hAnsi="Arial" w:cs="Arial"/>
          <w:sz w:val="36"/>
          <w:szCs w:val="36"/>
        </w:rPr>
        <w:t xml:space="preserve">Lecturer Name : </w:t>
      </w:r>
      <w:r w:rsidRPr="008D1F04">
        <w:rPr>
          <w:rFonts w:ascii="Arial" w:hAnsi="Arial" w:cs="Arial"/>
          <w:sz w:val="36"/>
          <w:szCs w:val="36"/>
        </w:rPr>
        <w:t>Mudassar Hasan</w:t>
      </w:r>
    </w:p>
    <w:p w14:paraId="051AF7DA" w14:textId="77777777" w:rsidR="008D1F04" w:rsidRDefault="008D1F04"/>
    <w:p w14:paraId="6B5E9EAB" w14:textId="77777777" w:rsidR="008D1F04" w:rsidRDefault="008D1F04"/>
    <w:p w14:paraId="3D97F27C" w14:textId="77777777" w:rsidR="008D1F04" w:rsidRDefault="008D1F04"/>
    <w:p w14:paraId="39B9590F" w14:textId="77777777" w:rsidR="008D1F04" w:rsidRDefault="008D1F04"/>
    <w:p w14:paraId="3A866116" w14:textId="77777777" w:rsidR="008D1F04" w:rsidRDefault="008D1F04"/>
    <w:p w14:paraId="5BC18CE8" w14:textId="77777777" w:rsidR="008D1F04" w:rsidRDefault="008D1F04"/>
    <w:p w14:paraId="70F69F7D" w14:textId="77777777" w:rsidR="008D1F04" w:rsidRDefault="008D1F04"/>
    <w:p w14:paraId="124AB529" w14:textId="77777777" w:rsidR="008D1F04" w:rsidRDefault="008D1F04"/>
    <w:p w14:paraId="4DFEAFA8" w14:textId="77777777" w:rsidR="008D1F04" w:rsidRDefault="008D1F04"/>
    <w:p w14:paraId="70B6C112" w14:textId="77777777" w:rsidR="008D1F04" w:rsidRDefault="008D1F04"/>
    <w:p w14:paraId="2DF32CFA" w14:textId="77777777" w:rsidR="008D1F04" w:rsidRDefault="008D1F04"/>
    <w:p w14:paraId="6340E65E" w14:textId="77777777" w:rsidR="008D1F04" w:rsidRDefault="008D1F04"/>
    <w:p w14:paraId="6779EA96" w14:textId="77777777" w:rsidR="008D1F04" w:rsidRDefault="008D1F04"/>
    <w:p w14:paraId="0E29524D" w14:textId="77777777" w:rsidR="008D1F04" w:rsidRDefault="008D1F04"/>
    <w:p w14:paraId="5B00EC6C" w14:textId="77777777" w:rsidR="008D1F04" w:rsidRDefault="008D1F04"/>
    <w:p w14:paraId="79E45BB3" w14:textId="77777777" w:rsidR="008D1F04" w:rsidRDefault="008D1F04"/>
    <w:p w14:paraId="12E69CC6" w14:textId="77777777" w:rsidR="008D1F04" w:rsidRDefault="008D1F04"/>
    <w:p w14:paraId="3E4218B0" w14:textId="77777777" w:rsidR="008D1F04" w:rsidRDefault="008D1F04"/>
    <w:p w14:paraId="6143880A" w14:textId="77777777" w:rsidR="008D1F04" w:rsidRDefault="008D1F04"/>
    <w:p w14:paraId="45490A7A" w14:textId="77777777" w:rsidR="008D1F04" w:rsidRDefault="008D1F04"/>
    <w:p w14:paraId="179C5BD2" w14:textId="77777777" w:rsidR="008D1F04" w:rsidRPr="00AB3C3F" w:rsidRDefault="008D1F04"/>
    <w:p w14:paraId="3792E6DF" w14:textId="77777777" w:rsidR="007E7EF5" w:rsidRPr="008D1F04" w:rsidRDefault="00000000">
      <w:pPr>
        <w:pStyle w:val="Heading1"/>
        <w:rPr>
          <w:rFonts w:ascii="Arial" w:hAnsi="Arial" w:cs="Arial"/>
          <w:sz w:val="22"/>
          <w:szCs w:val="22"/>
        </w:rPr>
      </w:pPr>
      <w:r w:rsidRPr="008D1F04">
        <w:rPr>
          <w:rFonts w:ascii="Arial" w:hAnsi="Arial" w:cs="Arial"/>
          <w:sz w:val="22"/>
          <w:szCs w:val="22"/>
        </w:rPr>
        <w:t>Element 1: Introduction</w:t>
      </w:r>
    </w:p>
    <w:p w14:paraId="19AFD6C0" w14:textId="77777777" w:rsidR="007E7EF5" w:rsidRPr="008D1F04" w:rsidRDefault="00000000">
      <w:pPr>
        <w:rPr>
          <w:rFonts w:ascii="Arial" w:hAnsi="Arial" w:cs="Arial"/>
        </w:rPr>
      </w:pPr>
      <w:r w:rsidRPr="008D1F04">
        <w:rPr>
          <w:rFonts w:ascii="Arial" w:hAnsi="Arial" w:cs="Arial"/>
        </w:rPr>
        <w:t>Stakeholder management is a core component of effective project and organisational management, particularly in projects that directly affect communities, public infrastructure, and shared economic environments. In my understanding, modern organisations do not operate independently but exist within networks of relationships where decisions influence many different groups. Because of this, stakeholder engagement is not simply a communication task but a strategic and ethical responsibility. Through studying this topic, I have learned that successful projects depend as much on relationship management as on technical delivery.</w:t>
      </w:r>
    </w:p>
    <w:p w14:paraId="09CE4025" w14:textId="77777777" w:rsidR="007E7EF5" w:rsidRPr="008D1F04" w:rsidRDefault="00000000">
      <w:pPr>
        <w:rPr>
          <w:rFonts w:ascii="Arial" w:hAnsi="Arial" w:cs="Arial"/>
        </w:rPr>
      </w:pPr>
      <w:r w:rsidRPr="008D1F04">
        <w:rPr>
          <w:rFonts w:ascii="Arial" w:hAnsi="Arial" w:cs="Arial"/>
        </w:rPr>
        <w:t>Stakeholders are defined as individuals, groups, or organisations that can influence or are influenced by a project’s activities and outcomes (Freeman, 1984). I learned that this definition is important because it highlights a two</w:t>
      </w:r>
      <w:r w:rsidRPr="008D1F04">
        <w:rPr>
          <w:rFonts w:ascii="Cambria Math" w:hAnsi="Cambria Math" w:cs="Cambria Math"/>
        </w:rPr>
        <w:t>‑</w:t>
      </w:r>
      <w:r w:rsidRPr="008D1F04">
        <w:rPr>
          <w:rFonts w:ascii="Arial" w:hAnsi="Arial" w:cs="Arial"/>
        </w:rPr>
        <w:t>way relationship. It is not only about managing stakeholders, but also recognising that stakeholders have legitimate interests and rights. Effective stakeholder management includes identification, classification, power and interest analysis, and the development of tailored engagement strategies that reduce conflict and increase cooperation. I now understand that stakeholder positions are dynamic and must be reviewed continuously as projects evolve.</w:t>
      </w:r>
    </w:p>
    <w:p w14:paraId="487F8E5A" w14:textId="77777777" w:rsidR="007E7EF5" w:rsidRPr="008D1F04" w:rsidRDefault="00000000">
      <w:pPr>
        <w:rPr>
          <w:rFonts w:ascii="Arial" w:hAnsi="Arial" w:cs="Arial"/>
        </w:rPr>
      </w:pPr>
      <w:r w:rsidRPr="008D1F04">
        <w:rPr>
          <w:rFonts w:ascii="Arial" w:hAnsi="Arial" w:cs="Arial"/>
        </w:rPr>
        <w:t>In today’s environment, organisations are expected to demonstrate transparency, accountability, ethical awareness, and social responsibility. From my reflection, I realised that stakeholder expectations are now higher because of social media visibility, regulatory pressure, and public awareness. If stakeholders feel ignored, projects may face resistance, delays, or reputational damage. On the other hand, when engagement is genuine and continuous, it builds trust and improves decision quality.</w:t>
      </w:r>
    </w:p>
    <w:p w14:paraId="6084F466" w14:textId="77777777" w:rsidR="007E7EF5" w:rsidRPr="008D1F04" w:rsidRDefault="00000000">
      <w:pPr>
        <w:rPr>
          <w:rFonts w:ascii="Arial" w:hAnsi="Arial" w:cs="Arial"/>
        </w:rPr>
      </w:pPr>
      <w:r w:rsidRPr="008D1F04">
        <w:rPr>
          <w:rFonts w:ascii="Arial" w:hAnsi="Arial" w:cs="Arial"/>
        </w:rPr>
        <w:t>This portfolio examines stakeholder management within a UK city centre urban regeneration project involving mixed</w:t>
      </w:r>
      <w:r w:rsidRPr="008D1F04">
        <w:rPr>
          <w:rFonts w:ascii="Cambria Math" w:hAnsi="Cambria Math" w:cs="Cambria Math"/>
        </w:rPr>
        <w:t>‑</w:t>
      </w:r>
      <w:r w:rsidRPr="008D1F04">
        <w:rPr>
          <w:rFonts w:ascii="Arial" w:hAnsi="Arial" w:cs="Arial"/>
        </w:rPr>
        <w:t>use redevelopment. The project included housing, retail, green space, and transport upgrades led by a local council and private developers. I selected this case because regeneration projects affect many stakeholder groups at once and often create conflicting interests. While analysing this case, I developed a deeper appreciation of how theory connects with real stakeholder behaviour and how engagement decisions can shape project success.</w:t>
      </w:r>
    </w:p>
    <w:p w14:paraId="67A0E7DC" w14:textId="77777777" w:rsidR="007E7EF5" w:rsidRPr="008D1F04" w:rsidRDefault="00000000">
      <w:pPr>
        <w:pStyle w:val="Heading1"/>
        <w:rPr>
          <w:rFonts w:ascii="Arial" w:hAnsi="Arial" w:cs="Arial"/>
          <w:sz w:val="22"/>
          <w:szCs w:val="22"/>
        </w:rPr>
      </w:pPr>
      <w:r w:rsidRPr="008D1F04">
        <w:rPr>
          <w:rFonts w:ascii="Arial" w:hAnsi="Arial" w:cs="Arial"/>
          <w:sz w:val="22"/>
          <w:szCs w:val="22"/>
        </w:rPr>
        <w:t>Element 2: Depth of Analysis and Application</w:t>
      </w:r>
    </w:p>
    <w:p w14:paraId="22EBD7F6" w14:textId="77777777" w:rsidR="007E7EF5" w:rsidRPr="008D1F04" w:rsidRDefault="00000000">
      <w:pPr>
        <w:rPr>
          <w:rFonts w:ascii="Arial" w:hAnsi="Arial" w:cs="Arial"/>
        </w:rPr>
      </w:pPr>
      <w:r w:rsidRPr="008D1F04">
        <w:rPr>
          <w:rFonts w:ascii="Arial" w:hAnsi="Arial" w:cs="Arial"/>
        </w:rPr>
        <w:t xml:space="preserve">The urban regeneration project involved a wide and diverse stakeholder network. When analysing this case, I learned that proper stakeholder identification must be systematic rather than assumed. Each stakeholder group held different levels of power, legitimacy, urgency, and interest. Missing even a small stakeholder group can create unexpected risk. A structured identification approach was used, including planning records, </w:t>
      </w:r>
      <w:r w:rsidRPr="008D1F04">
        <w:rPr>
          <w:rFonts w:ascii="Arial" w:hAnsi="Arial" w:cs="Arial"/>
        </w:rPr>
        <w:lastRenderedPageBreak/>
        <w:t>consultation lists, and community mapping. This showed me that stakeholder analysis should be evidence</w:t>
      </w:r>
      <w:r w:rsidRPr="008D1F04">
        <w:rPr>
          <w:rFonts w:ascii="Cambria Math" w:hAnsi="Cambria Math" w:cs="Cambria Math"/>
        </w:rPr>
        <w:t>‑</w:t>
      </w:r>
      <w:r w:rsidRPr="008D1F04">
        <w:rPr>
          <w:rFonts w:ascii="Arial" w:hAnsi="Arial" w:cs="Arial"/>
        </w:rPr>
        <w:t>based.</w:t>
      </w:r>
    </w:p>
    <w:p w14:paraId="4CC8C791" w14:textId="77777777" w:rsidR="007E7EF5" w:rsidRPr="008D1F04" w:rsidRDefault="00000000">
      <w:pPr>
        <w:rPr>
          <w:rFonts w:ascii="Arial" w:hAnsi="Arial" w:cs="Arial"/>
        </w:rPr>
      </w:pPr>
      <w:r w:rsidRPr="008D1F04">
        <w:rPr>
          <w:rFonts w:ascii="Arial" w:hAnsi="Arial" w:cs="Arial"/>
        </w:rPr>
        <w:t>Primary stakeholders included the local council, private developers, contractors, residents, community organisations, businesses, environmental groups, and the media. Secondary stakeholders included investors, regulators, and future users. I observed that secondary stakeholders can still strongly influence outcomes indirectly, especially through regulation or funding conditions.</w:t>
      </w:r>
    </w:p>
    <w:p w14:paraId="4D9CDF4A" w14:textId="77777777" w:rsidR="007E7EF5" w:rsidRPr="008D1F04" w:rsidRDefault="00000000">
      <w:pPr>
        <w:rPr>
          <w:rFonts w:ascii="Arial" w:hAnsi="Arial" w:cs="Arial"/>
        </w:rPr>
      </w:pPr>
      <w:r w:rsidRPr="008D1F04">
        <w:rPr>
          <w:rFonts w:ascii="Arial" w:hAnsi="Arial" w:cs="Arial"/>
        </w:rPr>
        <w:t>The local council had high power and high interest because it acted as sponsor and regulator. It controlled approvals, funding channels, and compliance requirements. I recognised that this dual role can create tension because the council must balance economic growth with public protection. Private developers also had high power and interest due to financial investment and risk exposure. Their priorities focused on viability, timelines, and return on investment. I noticed that commercial pressure often pushed for higher density, while community stakeholders preferred lower impact development.</w:t>
      </w:r>
    </w:p>
    <w:p w14:paraId="23AD41D8" w14:textId="3D6A1D7E" w:rsidR="007E7EF5" w:rsidRPr="008D1F04" w:rsidRDefault="00000000">
      <w:pPr>
        <w:rPr>
          <w:rFonts w:ascii="Arial" w:hAnsi="Arial" w:cs="Arial"/>
        </w:rPr>
      </w:pPr>
      <w:r w:rsidRPr="008D1F04">
        <w:rPr>
          <w:rFonts w:ascii="Arial" w:hAnsi="Arial" w:cs="Arial"/>
        </w:rPr>
        <w:t>Residents and community groups had high interest but initially low formal power. However, I learned that influence is not only formal — it can be social and political. Through petitions, objections, and media engagement, residents increased their practical influence</w:t>
      </w:r>
      <w:r w:rsidR="00CF43FE">
        <w:rPr>
          <w:rFonts w:ascii="Arial" w:hAnsi="Arial" w:cs="Arial"/>
        </w:rPr>
        <w:t>.</w:t>
      </w:r>
      <w:r w:rsidRPr="008D1F04">
        <w:rPr>
          <w:rFonts w:ascii="Arial" w:hAnsi="Arial" w:cs="Arial"/>
        </w:rPr>
        <w:t xml:space="preserve"> </w:t>
      </w:r>
    </w:p>
    <w:p w14:paraId="48C3C892" w14:textId="77777777" w:rsidR="007E7EF5" w:rsidRPr="008D1F04" w:rsidRDefault="00000000">
      <w:pPr>
        <w:rPr>
          <w:rFonts w:ascii="Arial" w:hAnsi="Arial" w:cs="Arial"/>
        </w:rPr>
      </w:pPr>
      <w:r w:rsidRPr="008D1F04">
        <w:rPr>
          <w:rFonts w:ascii="Arial" w:hAnsi="Arial" w:cs="Arial"/>
        </w:rPr>
        <w:t>Environmental organisations had medium power and high interest, particularly regarding sustainability standards and environmental assessments. Their technical reports influenced design revisions. Businesses were moderately powerful and interested, balancing disruption risk with future opportunity.</w:t>
      </w:r>
    </w:p>
    <w:p w14:paraId="19F25F5C" w14:textId="77777777" w:rsidR="007E7EF5" w:rsidRPr="008D1F04" w:rsidRDefault="00000000">
      <w:pPr>
        <w:rPr>
          <w:rFonts w:ascii="Arial" w:hAnsi="Arial" w:cs="Arial"/>
        </w:rPr>
      </w:pPr>
      <w:r w:rsidRPr="008D1F04">
        <w:rPr>
          <w:rFonts w:ascii="Arial" w:hAnsi="Arial" w:cs="Arial"/>
        </w:rPr>
        <w:t>A power–interest grid was applied to prioritise stakeholders (Mendelow, 1991). This tool helped categorise who to manage closely versus who to keep informed. I found this model practical and easy to apply. However, I also learned that stakeholder positions can shift quickly, so the grid must be updated regularly. Stakeholder salience theory adds power, legitimacy, and urgency dimensions (Mitchell, Agle and Wood, 1997). During controversy periods, resident urgency increased their salience. This helped me understand why engagement intensity must sometimes change rapidly.</w:t>
      </w:r>
    </w:p>
    <w:p w14:paraId="0241097E" w14:textId="345DE5B8" w:rsidR="007E7EF5" w:rsidRPr="008D1F04" w:rsidRDefault="00000000">
      <w:pPr>
        <w:rPr>
          <w:rFonts w:ascii="Arial" w:hAnsi="Arial" w:cs="Arial"/>
        </w:rPr>
      </w:pPr>
      <w:r w:rsidRPr="008D1F04">
        <w:rPr>
          <w:rFonts w:ascii="Arial" w:hAnsi="Arial" w:cs="Arial"/>
        </w:rPr>
        <w:t>Engagement strategies varied by stakeholder type. Formal governance meetings and reports were used for high</w:t>
      </w:r>
      <w:r w:rsidRPr="008D1F04">
        <w:rPr>
          <w:rFonts w:ascii="Cambria Math" w:hAnsi="Cambria Math" w:cs="Cambria Math"/>
        </w:rPr>
        <w:t>‑</w:t>
      </w:r>
      <w:r w:rsidRPr="008D1F04">
        <w:rPr>
          <w:rFonts w:ascii="Arial" w:hAnsi="Arial" w:cs="Arial"/>
        </w:rPr>
        <w:t>power stakeholders. Workshops, surveys, and consultations were used for community stakeholders. I observed that two</w:t>
      </w:r>
      <w:r w:rsidRPr="008D1F04">
        <w:rPr>
          <w:rFonts w:ascii="Cambria Math" w:hAnsi="Cambria Math" w:cs="Cambria Math"/>
        </w:rPr>
        <w:t>‑</w:t>
      </w:r>
      <w:r w:rsidRPr="008D1F04">
        <w:rPr>
          <w:rFonts w:ascii="Arial" w:hAnsi="Arial" w:cs="Arial"/>
        </w:rPr>
        <w:t>way dialogue was more effective than one</w:t>
      </w:r>
      <w:r w:rsidRPr="008D1F04">
        <w:rPr>
          <w:rFonts w:ascii="Cambria Math" w:hAnsi="Cambria Math" w:cs="Cambria Math"/>
        </w:rPr>
        <w:t>‑</w:t>
      </w:r>
      <w:r w:rsidRPr="008D1F04">
        <w:rPr>
          <w:rFonts w:ascii="Arial" w:hAnsi="Arial" w:cs="Arial"/>
        </w:rPr>
        <w:t>way announcements because it created ownership. However, conflicts still occurred due to competing goals between density, sustainability, and affordability. This showed me that engagement reduces conflict but does not eliminate it  negotiation remains necessary.</w:t>
      </w:r>
    </w:p>
    <w:p w14:paraId="1415DBAD" w14:textId="77777777" w:rsidR="007E7EF5" w:rsidRPr="008D1F04" w:rsidRDefault="00000000">
      <w:pPr>
        <w:rPr>
          <w:rFonts w:ascii="Arial" w:hAnsi="Arial" w:cs="Arial"/>
        </w:rPr>
      </w:pPr>
      <w:r w:rsidRPr="008D1F04">
        <w:rPr>
          <w:rFonts w:ascii="Arial" w:hAnsi="Arial" w:cs="Arial"/>
        </w:rPr>
        <w:t>Personally, this section helped me develop analytical thinking because I had to connect stakeholder theory with real behaviour patterns rather than abstract categories.</w:t>
      </w:r>
    </w:p>
    <w:p w14:paraId="25993878" w14:textId="77777777" w:rsidR="007E7EF5" w:rsidRPr="008D1F04" w:rsidRDefault="00000000">
      <w:pPr>
        <w:pStyle w:val="Heading1"/>
        <w:rPr>
          <w:rFonts w:ascii="Arial" w:hAnsi="Arial" w:cs="Arial"/>
          <w:sz w:val="22"/>
          <w:szCs w:val="22"/>
        </w:rPr>
      </w:pPr>
      <w:r w:rsidRPr="008D1F04">
        <w:rPr>
          <w:rFonts w:ascii="Arial" w:hAnsi="Arial" w:cs="Arial"/>
          <w:sz w:val="22"/>
          <w:szCs w:val="22"/>
        </w:rPr>
        <w:lastRenderedPageBreak/>
        <w:t>Element 3: Ethical Considerations, CSR and Reflective Insight</w:t>
      </w:r>
    </w:p>
    <w:p w14:paraId="02181C0E" w14:textId="77777777" w:rsidR="007E7EF5" w:rsidRPr="008D1F04" w:rsidRDefault="00000000">
      <w:pPr>
        <w:rPr>
          <w:rFonts w:ascii="Arial" w:hAnsi="Arial" w:cs="Arial"/>
        </w:rPr>
      </w:pPr>
      <w:r w:rsidRPr="008D1F04">
        <w:rPr>
          <w:rFonts w:ascii="Arial" w:hAnsi="Arial" w:cs="Arial"/>
        </w:rPr>
        <w:t>Ethical considerations are central to stakeholder engagement, especially in projects that change shared environments. Through this study, I learned that ethical engagement is not optional — it is fundamental to legitimacy. Ethical stakeholder management requires honesty, fairness, inclusivity, and respect. Transparency means providing accurate information about benefits and risks. The project used public consultations and published documents, but some stakeholders still felt decisions were predetermined. I realised that perceived transparency is as important as actual transparency.</w:t>
      </w:r>
    </w:p>
    <w:p w14:paraId="71F8EAFF" w14:textId="77777777" w:rsidR="007E7EF5" w:rsidRPr="008D1F04" w:rsidRDefault="00000000">
      <w:pPr>
        <w:rPr>
          <w:rFonts w:ascii="Arial" w:hAnsi="Arial" w:cs="Arial"/>
        </w:rPr>
      </w:pPr>
      <w:r w:rsidRPr="008D1F04">
        <w:rPr>
          <w:rFonts w:ascii="Arial" w:hAnsi="Arial" w:cs="Arial"/>
        </w:rPr>
        <w:t>Fairness and inclusivity are also ethical requirements. Engagement must be accessible to vulnerable groups. I noticed that meeting times, language, and digital access affect participation levels. Adjustments such as translated materials and varied consultation formats improved inclusion. This taught me that engagement design directly affects ethical outcomes.</w:t>
      </w:r>
    </w:p>
    <w:p w14:paraId="755C3564" w14:textId="77777777" w:rsidR="007E7EF5" w:rsidRPr="008D1F04" w:rsidRDefault="00000000">
      <w:pPr>
        <w:rPr>
          <w:rFonts w:ascii="Arial" w:hAnsi="Arial" w:cs="Arial"/>
        </w:rPr>
      </w:pPr>
      <w:r w:rsidRPr="008D1F04">
        <w:rPr>
          <w:rFonts w:ascii="Arial" w:hAnsi="Arial" w:cs="Arial"/>
        </w:rPr>
        <w:t>Corporate Social Responsibility (CSR) was strongly connected to stakeholder strategy. Carroll’s CSR pyramid includes economic, legal, ethical, and philanthropic responsibilities (Carroll, 1991). The regeneration project included affordable housing targets, local hiring, apprenticeships, and green space investment. I observed that CSR actions increased stakeholder acceptance when they were measurable and visible.</w:t>
      </w:r>
    </w:p>
    <w:p w14:paraId="6D793EBA" w14:textId="77777777" w:rsidR="007E7EF5" w:rsidRPr="008D1F04" w:rsidRDefault="00000000">
      <w:pPr>
        <w:rPr>
          <w:rFonts w:ascii="Arial" w:hAnsi="Arial" w:cs="Arial"/>
        </w:rPr>
      </w:pPr>
      <w:r w:rsidRPr="008D1F04">
        <w:rPr>
          <w:rFonts w:ascii="Arial" w:hAnsi="Arial" w:cs="Arial"/>
        </w:rPr>
        <w:t>Environmental sustainability commitments included energy</w:t>
      </w:r>
      <w:r w:rsidRPr="008D1F04">
        <w:rPr>
          <w:rFonts w:ascii="Cambria Math" w:hAnsi="Cambria Math" w:cs="Cambria Math"/>
        </w:rPr>
        <w:t>‑</w:t>
      </w:r>
      <w:r w:rsidRPr="008D1F04">
        <w:rPr>
          <w:rFonts w:ascii="Arial" w:hAnsi="Arial" w:cs="Arial"/>
        </w:rPr>
        <w:t>efficient design and transport integration. However, ethical tension existed around gentrification and displacement risk. Reflecting on this, I understood that even socially beneficial projects can produce unequal outcomes. Ethical stakeholder management must therefore include monitoring and mitigation measures.</w:t>
      </w:r>
    </w:p>
    <w:p w14:paraId="5F685A15" w14:textId="1D44736C" w:rsidR="007E7EF5" w:rsidRPr="008D1F04" w:rsidRDefault="00000000">
      <w:pPr>
        <w:rPr>
          <w:rFonts w:ascii="Arial" w:hAnsi="Arial" w:cs="Arial"/>
        </w:rPr>
      </w:pPr>
      <w:r w:rsidRPr="008D1F04">
        <w:rPr>
          <w:rFonts w:ascii="Arial" w:hAnsi="Arial" w:cs="Arial"/>
        </w:rPr>
        <w:t>From a personal learning perspective, this analysis changed how I view stakeholder engagement. Before, I thought engagement was mainly about communication planning. Now I see it as ethical relationship management. I developed stronger awareness of empathy, listening, and fairness in decision processes. I also improved my ability to evaluate decisions from multiple stakeholder viewpoints. These reflective insights are important for my future</w:t>
      </w:r>
      <w:r w:rsidR="00CF43FE">
        <w:rPr>
          <w:rFonts w:ascii="Arial" w:hAnsi="Arial" w:cs="Arial"/>
        </w:rPr>
        <w:t>.</w:t>
      </w:r>
    </w:p>
    <w:p w14:paraId="4154C2DA" w14:textId="77777777" w:rsidR="007E7EF5" w:rsidRPr="008D1F04" w:rsidRDefault="00000000">
      <w:pPr>
        <w:pStyle w:val="Heading1"/>
        <w:rPr>
          <w:rFonts w:ascii="Arial" w:hAnsi="Arial" w:cs="Arial"/>
          <w:sz w:val="22"/>
          <w:szCs w:val="22"/>
        </w:rPr>
      </w:pPr>
      <w:r w:rsidRPr="008D1F04">
        <w:rPr>
          <w:rFonts w:ascii="Arial" w:hAnsi="Arial" w:cs="Arial"/>
          <w:sz w:val="22"/>
          <w:szCs w:val="22"/>
        </w:rPr>
        <w:t>Element 4: Conclusion and Recommendations</w:t>
      </w:r>
    </w:p>
    <w:p w14:paraId="6BC3FC42" w14:textId="77777777" w:rsidR="007E7EF5" w:rsidRPr="008D1F04" w:rsidRDefault="00000000">
      <w:pPr>
        <w:rPr>
          <w:rFonts w:ascii="Arial" w:hAnsi="Arial" w:cs="Arial"/>
        </w:rPr>
      </w:pPr>
      <w:r w:rsidRPr="008D1F04">
        <w:rPr>
          <w:rFonts w:ascii="Arial" w:hAnsi="Arial" w:cs="Arial"/>
        </w:rPr>
        <w:t>This portfolio demonstrates that stakeholder management is a decisive factor in complex regeneration projects. I learned that stakeholder diversity requires structured analysis and flexible engagement strategies. Models such as the power–interest grid and salience framework provide useful structure, but practical judgement is still required.</w:t>
      </w:r>
    </w:p>
    <w:p w14:paraId="58B172BA" w14:textId="77777777" w:rsidR="007E7EF5" w:rsidRPr="008D1F04" w:rsidRDefault="00000000">
      <w:pPr>
        <w:rPr>
          <w:rFonts w:ascii="Arial" w:hAnsi="Arial" w:cs="Arial"/>
        </w:rPr>
      </w:pPr>
      <w:r w:rsidRPr="008D1F04">
        <w:rPr>
          <w:rFonts w:ascii="Arial" w:hAnsi="Arial" w:cs="Arial"/>
        </w:rPr>
        <w:t>Early and continuous engagement improves trust and decision quality. From my reflection, I Finalised that engagement must be genuine and influence outcomes to be credible. Ethical awareness and CSR alignment strengthen legitimacy and long</w:t>
      </w:r>
      <w:r w:rsidRPr="008D1F04">
        <w:rPr>
          <w:rFonts w:ascii="Cambria Math" w:hAnsi="Cambria Math" w:cs="Cambria Math"/>
        </w:rPr>
        <w:t>‑</w:t>
      </w:r>
      <w:r w:rsidRPr="008D1F04">
        <w:rPr>
          <w:rFonts w:ascii="Arial" w:hAnsi="Arial" w:cs="Arial"/>
        </w:rPr>
        <w:t>term acceptance.</w:t>
      </w:r>
    </w:p>
    <w:p w14:paraId="2A8B2210" w14:textId="77777777" w:rsidR="007E7EF5" w:rsidRPr="008D1F04" w:rsidRDefault="00000000">
      <w:pPr>
        <w:rPr>
          <w:rFonts w:ascii="Arial" w:hAnsi="Arial" w:cs="Arial"/>
        </w:rPr>
      </w:pPr>
      <w:r w:rsidRPr="008D1F04">
        <w:rPr>
          <w:rFonts w:ascii="Arial" w:hAnsi="Arial" w:cs="Arial"/>
        </w:rPr>
        <w:lastRenderedPageBreak/>
        <w:t>I recommend beginning stakeholder mapping at the earliest planning stage and updating it continuously. Engagement should prioritise two</w:t>
      </w:r>
      <w:r w:rsidRPr="008D1F04">
        <w:rPr>
          <w:rFonts w:ascii="Cambria Math" w:hAnsi="Cambria Math" w:cs="Cambria Math"/>
        </w:rPr>
        <w:t>‑</w:t>
      </w:r>
      <w:r w:rsidRPr="008D1F04">
        <w:rPr>
          <w:rFonts w:ascii="Arial" w:hAnsi="Arial" w:cs="Arial"/>
        </w:rPr>
        <w:t>way dialogue and inclusive access. Feedback should visibly influence decisions to avoid tokenism. CSR outcomes should be measured and publicly reported. Conflict should be treated as normal and managed through negotiation rather than avoided.</w:t>
      </w:r>
    </w:p>
    <w:p w14:paraId="36A68725" w14:textId="3C89A31C" w:rsidR="007E7EF5" w:rsidRPr="008D1F04" w:rsidRDefault="00000000">
      <w:pPr>
        <w:rPr>
          <w:rFonts w:ascii="Arial" w:hAnsi="Arial" w:cs="Arial"/>
        </w:rPr>
      </w:pPr>
      <w:r w:rsidRPr="008D1F04">
        <w:rPr>
          <w:rFonts w:ascii="Arial" w:hAnsi="Arial" w:cs="Arial"/>
        </w:rPr>
        <w:t>Overall, this portfolio helped me connect stakeholder theory with real</w:t>
      </w:r>
      <w:r w:rsidRPr="008D1F04">
        <w:rPr>
          <w:rFonts w:ascii="Cambria Math" w:hAnsi="Cambria Math" w:cs="Cambria Math"/>
        </w:rPr>
        <w:t>‑</w:t>
      </w:r>
      <w:r w:rsidRPr="008D1F04">
        <w:rPr>
          <w:rFonts w:ascii="Arial" w:hAnsi="Arial" w:cs="Arial"/>
        </w:rPr>
        <w:t>world complexity. I developed analytical, and reflective skills that will support my future academic and professional work. I now understand that successful projects are built not only through planning and finance, but through trust, fairness, and sustained stakeholder relationships.</w:t>
      </w:r>
    </w:p>
    <w:p w14:paraId="597C51C7" w14:textId="77777777" w:rsidR="007E7EF5" w:rsidRPr="008D1F04" w:rsidRDefault="00000000">
      <w:pPr>
        <w:pStyle w:val="Heading1"/>
        <w:rPr>
          <w:rFonts w:ascii="Arial" w:hAnsi="Arial" w:cs="Arial"/>
          <w:sz w:val="22"/>
          <w:szCs w:val="22"/>
        </w:rPr>
      </w:pPr>
      <w:r w:rsidRPr="008D1F04">
        <w:rPr>
          <w:rFonts w:ascii="Arial" w:hAnsi="Arial" w:cs="Arial"/>
          <w:sz w:val="22"/>
          <w:szCs w:val="22"/>
        </w:rPr>
        <w:t>Stakeholder Power–Interest Matrix</w:t>
      </w:r>
    </w:p>
    <w:p w14:paraId="0F474A24" w14:textId="77777777" w:rsidR="00AB3C3F" w:rsidRPr="008D1F04" w:rsidRDefault="00AB3C3F" w:rsidP="00AB3C3F">
      <w:pPr>
        <w:rPr>
          <w:rFonts w:ascii="Arial" w:hAnsi="Arial" w:cs="Arial"/>
        </w:rPr>
      </w:pPr>
    </w:p>
    <w:tbl>
      <w:tblPr>
        <w:tblW w:w="0" w:type="auto"/>
        <w:tblLook w:val="04A0" w:firstRow="1" w:lastRow="0" w:firstColumn="1" w:lastColumn="0" w:noHBand="0" w:noVBand="1"/>
      </w:tblPr>
      <w:tblGrid>
        <w:gridCol w:w="2160"/>
        <w:gridCol w:w="2160"/>
        <w:gridCol w:w="2160"/>
        <w:gridCol w:w="2160"/>
      </w:tblGrid>
      <w:tr w:rsidR="007E7EF5" w:rsidRPr="008D1F04" w14:paraId="00E39664" w14:textId="77777777">
        <w:tc>
          <w:tcPr>
            <w:tcW w:w="2160" w:type="dxa"/>
          </w:tcPr>
          <w:p w14:paraId="115A24E6" w14:textId="77777777" w:rsidR="007E7EF5" w:rsidRPr="008D1F04" w:rsidRDefault="00000000">
            <w:pPr>
              <w:rPr>
                <w:rFonts w:ascii="Arial" w:hAnsi="Arial" w:cs="Arial"/>
              </w:rPr>
            </w:pPr>
            <w:r w:rsidRPr="008D1F04">
              <w:rPr>
                <w:rFonts w:ascii="Arial" w:hAnsi="Arial" w:cs="Arial"/>
              </w:rPr>
              <w:t>Stakeholder</w:t>
            </w:r>
          </w:p>
        </w:tc>
        <w:tc>
          <w:tcPr>
            <w:tcW w:w="2160" w:type="dxa"/>
          </w:tcPr>
          <w:p w14:paraId="4A464AB8" w14:textId="77777777" w:rsidR="007E7EF5" w:rsidRPr="008D1F04" w:rsidRDefault="00000000">
            <w:pPr>
              <w:rPr>
                <w:rFonts w:ascii="Arial" w:hAnsi="Arial" w:cs="Arial"/>
              </w:rPr>
            </w:pPr>
            <w:r w:rsidRPr="008D1F04">
              <w:rPr>
                <w:rFonts w:ascii="Arial" w:hAnsi="Arial" w:cs="Arial"/>
              </w:rPr>
              <w:t>Power Level</w:t>
            </w:r>
          </w:p>
        </w:tc>
        <w:tc>
          <w:tcPr>
            <w:tcW w:w="2160" w:type="dxa"/>
          </w:tcPr>
          <w:p w14:paraId="05AD5368" w14:textId="77777777" w:rsidR="007E7EF5" w:rsidRPr="008D1F04" w:rsidRDefault="00000000">
            <w:pPr>
              <w:rPr>
                <w:rFonts w:ascii="Arial" w:hAnsi="Arial" w:cs="Arial"/>
              </w:rPr>
            </w:pPr>
            <w:r w:rsidRPr="008D1F04">
              <w:rPr>
                <w:rFonts w:ascii="Arial" w:hAnsi="Arial" w:cs="Arial"/>
              </w:rPr>
              <w:t>Interest Level</w:t>
            </w:r>
          </w:p>
        </w:tc>
        <w:tc>
          <w:tcPr>
            <w:tcW w:w="2160" w:type="dxa"/>
          </w:tcPr>
          <w:p w14:paraId="65657919" w14:textId="77777777" w:rsidR="007E7EF5" w:rsidRPr="008D1F04" w:rsidRDefault="00000000">
            <w:pPr>
              <w:rPr>
                <w:rFonts w:ascii="Arial" w:hAnsi="Arial" w:cs="Arial"/>
              </w:rPr>
            </w:pPr>
            <w:r w:rsidRPr="008D1F04">
              <w:rPr>
                <w:rFonts w:ascii="Arial" w:hAnsi="Arial" w:cs="Arial"/>
              </w:rPr>
              <w:t>Engagement Strategy</w:t>
            </w:r>
          </w:p>
        </w:tc>
      </w:tr>
      <w:tr w:rsidR="007E7EF5" w:rsidRPr="008D1F04" w14:paraId="0BE07A31" w14:textId="77777777">
        <w:tc>
          <w:tcPr>
            <w:tcW w:w="2160" w:type="dxa"/>
          </w:tcPr>
          <w:p w14:paraId="360D39CB" w14:textId="77777777" w:rsidR="007E7EF5" w:rsidRPr="008D1F04" w:rsidRDefault="00000000">
            <w:pPr>
              <w:rPr>
                <w:rFonts w:ascii="Arial" w:hAnsi="Arial" w:cs="Arial"/>
              </w:rPr>
            </w:pPr>
            <w:r w:rsidRPr="008D1F04">
              <w:rPr>
                <w:rFonts w:ascii="Arial" w:hAnsi="Arial" w:cs="Arial"/>
              </w:rPr>
              <w:t>Local Council</w:t>
            </w:r>
          </w:p>
        </w:tc>
        <w:tc>
          <w:tcPr>
            <w:tcW w:w="2160" w:type="dxa"/>
          </w:tcPr>
          <w:p w14:paraId="346EF4D1" w14:textId="77777777" w:rsidR="007E7EF5" w:rsidRPr="008D1F04" w:rsidRDefault="00000000">
            <w:pPr>
              <w:rPr>
                <w:rFonts w:ascii="Arial" w:hAnsi="Arial" w:cs="Arial"/>
              </w:rPr>
            </w:pPr>
            <w:r w:rsidRPr="008D1F04">
              <w:rPr>
                <w:rFonts w:ascii="Arial" w:hAnsi="Arial" w:cs="Arial"/>
              </w:rPr>
              <w:t>High</w:t>
            </w:r>
          </w:p>
        </w:tc>
        <w:tc>
          <w:tcPr>
            <w:tcW w:w="2160" w:type="dxa"/>
          </w:tcPr>
          <w:p w14:paraId="1FB2D397" w14:textId="77777777" w:rsidR="007E7EF5" w:rsidRPr="008D1F04" w:rsidRDefault="00000000">
            <w:pPr>
              <w:rPr>
                <w:rFonts w:ascii="Arial" w:hAnsi="Arial" w:cs="Arial"/>
              </w:rPr>
            </w:pPr>
            <w:r w:rsidRPr="008D1F04">
              <w:rPr>
                <w:rFonts w:ascii="Arial" w:hAnsi="Arial" w:cs="Arial"/>
              </w:rPr>
              <w:t>High</w:t>
            </w:r>
          </w:p>
        </w:tc>
        <w:tc>
          <w:tcPr>
            <w:tcW w:w="2160" w:type="dxa"/>
          </w:tcPr>
          <w:p w14:paraId="2A6BFD48" w14:textId="77777777" w:rsidR="007E7EF5" w:rsidRPr="008D1F04" w:rsidRDefault="00000000">
            <w:pPr>
              <w:rPr>
                <w:rFonts w:ascii="Arial" w:hAnsi="Arial" w:cs="Arial"/>
              </w:rPr>
            </w:pPr>
            <w:r w:rsidRPr="008D1F04">
              <w:rPr>
                <w:rFonts w:ascii="Arial" w:hAnsi="Arial" w:cs="Arial"/>
              </w:rPr>
              <w:t>Manage closely – governance meetings, approvals</w:t>
            </w:r>
          </w:p>
        </w:tc>
      </w:tr>
      <w:tr w:rsidR="007E7EF5" w:rsidRPr="008D1F04" w14:paraId="5BDB0782" w14:textId="77777777">
        <w:tc>
          <w:tcPr>
            <w:tcW w:w="2160" w:type="dxa"/>
          </w:tcPr>
          <w:p w14:paraId="3DBC64C5" w14:textId="77777777" w:rsidR="007E7EF5" w:rsidRPr="008D1F04" w:rsidRDefault="00000000">
            <w:pPr>
              <w:rPr>
                <w:rFonts w:ascii="Arial" w:hAnsi="Arial" w:cs="Arial"/>
              </w:rPr>
            </w:pPr>
            <w:r w:rsidRPr="008D1F04">
              <w:rPr>
                <w:rFonts w:ascii="Arial" w:hAnsi="Arial" w:cs="Arial"/>
              </w:rPr>
              <w:t>Private Developers</w:t>
            </w:r>
          </w:p>
        </w:tc>
        <w:tc>
          <w:tcPr>
            <w:tcW w:w="2160" w:type="dxa"/>
          </w:tcPr>
          <w:p w14:paraId="7F72B187" w14:textId="77777777" w:rsidR="007E7EF5" w:rsidRPr="008D1F04" w:rsidRDefault="00000000">
            <w:pPr>
              <w:rPr>
                <w:rFonts w:ascii="Arial" w:hAnsi="Arial" w:cs="Arial"/>
              </w:rPr>
            </w:pPr>
            <w:r w:rsidRPr="008D1F04">
              <w:rPr>
                <w:rFonts w:ascii="Arial" w:hAnsi="Arial" w:cs="Arial"/>
              </w:rPr>
              <w:t>High</w:t>
            </w:r>
          </w:p>
        </w:tc>
        <w:tc>
          <w:tcPr>
            <w:tcW w:w="2160" w:type="dxa"/>
          </w:tcPr>
          <w:p w14:paraId="6E1191AF" w14:textId="77777777" w:rsidR="007E7EF5" w:rsidRPr="008D1F04" w:rsidRDefault="00000000">
            <w:pPr>
              <w:rPr>
                <w:rFonts w:ascii="Arial" w:hAnsi="Arial" w:cs="Arial"/>
              </w:rPr>
            </w:pPr>
            <w:r w:rsidRPr="008D1F04">
              <w:rPr>
                <w:rFonts w:ascii="Arial" w:hAnsi="Arial" w:cs="Arial"/>
              </w:rPr>
              <w:t>High</w:t>
            </w:r>
          </w:p>
        </w:tc>
        <w:tc>
          <w:tcPr>
            <w:tcW w:w="2160" w:type="dxa"/>
          </w:tcPr>
          <w:p w14:paraId="330EDA57" w14:textId="77777777" w:rsidR="007E7EF5" w:rsidRPr="008D1F04" w:rsidRDefault="00000000">
            <w:pPr>
              <w:rPr>
                <w:rFonts w:ascii="Arial" w:hAnsi="Arial" w:cs="Arial"/>
              </w:rPr>
            </w:pPr>
            <w:r w:rsidRPr="008D1F04">
              <w:rPr>
                <w:rFonts w:ascii="Arial" w:hAnsi="Arial" w:cs="Arial"/>
              </w:rPr>
              <w:t>Manage closely – steering reviews</w:t>
            </w:r>
          </w:p>
        </w:tc>
      </w:tr>
      <w:tr w:rsidR="007E7EF5" w:rsidRPr="008D1F04" w14:paraId="246454D7" w14:textId="77777777">
        <w:tc>
          <w:tcPr>
            <w:tcW w:w="2160" w:type="dxa"/>
          </w:tcPr>
          <w:p w14:paraId="7CBBE023" w14:textId="77777777" w:rsidR="007E7EF5" w:rsidRPr="008D1F04" w:rsidRDefault="00000000">
            <w:pPr>
              <w:rPr>
                <w:rFonts w:ascii="Arial" w:hAnsi="Arial" w:cs="Arial"/>
              </w:rPr>
            </w:pPr>
            <w:r w:rsidRPr="008D1F04">
              <w:rPr>
                <w:rFonts w:ascii="Arial" w:hAnsi="Arial" w:cs="Arial"/>
              </w:rPr>
              <w:t>Contractors</w:t>
            </w:r>
          </w:p>
        </w:tc>
        <w:tc>
          <w:tcPr>
            <w:tcW w:w="2160" w:type="dxa"/>
          </w:tcPr>
          <w:p w14:paraId="4E929DB8" w14:textId="77777777" w:rsidR="007E7EF5" w:rsidRPr="008D1F04" w:rsidRDefault="00000000">
            <w:pPr>
              <w:rPr>
                <w:rFonts w:ascii="Arial" w:hAnsi="Arial" w:cs="Arial"/>
              </w:rPr>
            </w:pPr>
            <w:r w:rsidRPr="008D1F04">
              <w:rPr>
                <w:rFonts w:ascii="Arial" w:hAnsi="Arial" w:cs="Arial"/>
              </w:rPr>
              <w:t>High</w:t>
            </w:r>
          </w:p>
        </w:tc>
        <w:tc>
          <w:tcPr>
            <w:tcW w:w="2160" w:type="dxa"/>
          </w:tcPr>
          <w:p w14:paraId="69B9712F" w14:textId="77777777" w:rsidR="007E7EF5" w:rsidRPr="008D1F04" w:rsidRDefault="00000000">
            <w:pPr>
              <w:rPr>
                <w:rFonts w:ascii="Arial" w:hAnsi="Arial" w:cs="Arial"/>
              </w:rPr>
            </w:pPr>
            <w:r w:rsidRPr="008D1F04">
              <w:rPr>
                <w:rFonts w:ascii="Arial" w:hAnsi="Arial" w:cs="Arial"/>
              </w:rPr>
              <w:t>Medium</w:t>
            </w:r>
          </w:p>
        </w:tc>
        <w:tc>
          <w:tcPr>
            <w:tcW w:w="2160" w:type="dxa"/>
          </w:tcPr>
          <w:p w14:paraId="0A381402" w14:textId="77777777" w:rsidR="007E7EF5" w:rsidRPr="008D1F04" w:rsidRDefault="00000000">
            <w:pPr>
              <w:rPr>
                <w:rFonts w:ascii="Arial" w:hAnsi="Arial" w:cs="Arial"/>
              </w:rPr>
            </w:pPr>
            <w:r w:rsidRPr="008D1F04">
              <w:rPr>
                <w:rFonts w:ascii="Arial" w:hAnsi="Arial" w:cs="Arial"/>
              </w:rPr>
              <w:t>Keep satisfied – performance monitoring</w:t>
            </w:r>
          </w:p>
        </w:tc>
      </w:tr>
      <w:tr w:rsidR="007E7EF5" w:rsidRPr="008D1F04" w14:paraId="08510E1F" w14:textId="77777777">
        <w:tc>
          <w:tcPr>
            <w:tcW w:w="2160" w:type="dxa"/>
          </w:tcPr>
          <w:p w14:paraId="381773DA" w14:textId="77777777" w:rsidR="007E7EF5" w:rsidRPr="008D1F04" w:rsidRDefault="00000000">
            <w:pPr>
              <w:rPr>
                <w:rFonts w:ascii="Arial" w:hAnsi="Arial" w:cs="Arial"/>
              </w:rPr>
            </w:pPr>
            <w:r w:rsidRPr="008D1F04">
              <w:rPr>
                <w:rFonts w:ascii="Arial" w:hAnsi="Arial" w:cs="Arial"/>
              </w:rPr>
              <w:t>Residents</w:t>
            </w:r>
          </w:p>
        </w:tc>
        <w:tc>
          <w:tcPr>
            <w:tcW w:w="2160" w:type="dxa"/>
          </w:tcPr>
          <w:p w14:paraId="76C4516D" w14:textId="77777777" w:rsidR="007E7EF5" w:rsidRPr="008D1F04" w:rsidRDefault="00000000">
            <w:pPr>
              <w:rPr>
                <w:rFonts w:ascii="Arial" w:hAnsi="Arial" w:cs="Arial"/>
              </w:rPr>
            </w:pPr>
            <w:r w:rsidRPr="008D1F04">
              <w:rPr>
                <w:rFonts w:ascii="Arial" w:hAnsi="Arial" w:cs="Arial"/>
              </w:rPr>
              <w:t>Low</w:t>
            </w:r>
          </w:p>
        </w:tc>
        <w:tc>
          <w:tcPr>
            <w:tcW w:w="2160" w:type="dxa"/>
          </w:tcPr>
          <w:p w14:paraId="6474BDA1" w14:textId="77777777" w:rsidR="007E7EF5" w:rsidRPr="008D1F04" w:rsidRDefault="00000000">
            <w:pPr>
              <w:rPr>
                <w:rFonts w:ascii="Arial" w:hAnsi="Arial" w:cs="Arial"/>
              </w:rPr>
            </w:pPr>
            <w:r w:rsidRPr="008D1F04">
              <w:rPr>
                <w:rFonts w:ascii="Arial" w:hAnsi="Arial" w:cs="Arial"/>
              </w:rPr>
              <w:t>High</w:t>
            </w:r>
          </w:p>
        </w:tc>
        <w:tc>
          <w:tcPr>
            <w:tcW w:w="2160" w:type="dxa"/>
          </w:tcPr>
          <w:p w14:paraId="6D9BAD37" w14:textId="77777777" w:rsidR="007E7EF5" w:rsidRPr="008D1F04" w:rsidRDefault="00000000">
            <w:pPr>
              <w:rPr>
                <w:rFonts w:ascii="Arial" w:hAnsi="Arial" w:cs="Arial"/>
              </w:rPr>
            </w:pPr>
            <w:r w:rsidRPr="008D1F04">
              <w:rPr>
                <w:rFonts w:ascii="Arial" w:hAnsi="Arial" w:cs="Arial"/>
              </w:rPr>
              <w:t>Consult and involve – workshops</w:t>
            </w:r>
          </w:p>
        </w:tc>
      </w:tr>
      <w:tr w:rsidR="007E7EF5" w:rsidRPr="008D1F04" w14:paraId="2352FE94" w14:textId="77777777">
        <w:tc>
          <w:tcPr>
            <w:tcW w:w="2160" w:type="dxa"/>
          </w:tcPr>
          <w:p w14:paraId="2897678C" w14:textId="77777777" w:rsidR="007E7EF5" w:rsidRPr="008D1F04" w:rsidRDefault="00000000">
            <w:pPr>
              <w:rPr>
                <w:rFonts w:ascii="Arial" w:hAnsi="Arial" w:cs="Arial"/>
              </w:rPr>
            </w:pPr>
            <w:r w:rsidRPr="008D1F04">
              <w:rPr>
                <w:rFonts w:ascii="Arial" w:hAnsi="Arial" w:cs="Arial"/>
              </w:rPr>
              <w:t>Community Groups</w:t>
            </w:r>
          </w:p>
        </w:tc>
        <w:tc>
          <w:tcPr>
            <w:tcW w:w="2160" w:type="dxa"/>
          </w:tcPr>
          <w:p w14:paraId="536C26BF" w14:textId="77777777" w:rsidR="007E7EF5" w:rsidRPr="008D1F04" w:rsidRDefault="00000000">
            <w:pPr>
              <w:rPr>
                <w:rFonts w:ascii="Arial" w:hAnsi="Arial" w:cs="Arial"/>
              </w:rPr>
            </w:pPr>
            <w:r w:rsidRPr="008D1F04">
              <w:rPr>
                <w:rFonts w:ascii="Arial" w:hAnsi="Arial" w:cs="Arial"/>
              </w:rPr>
              <w:t>Low</w:t>
            </w:r>
          </w:p>
        </w:tc>
        <w:tc>
          <w:tcPr>
            <w:tcW w:w="2160" w:type="dxa"/>
          </w:tcPr>
          <w:p w14:paraId="771752C3" w14:textId="77777777" w:rsidR="007E7EF5" w:rsidRPr="008D1F04" w:rsidRDefault="00000000">
            <w:pPr>
              <w:rPr>
                <w:rFonts w:ascii="Arial" w:hAnsi="Arial" w:cs="Arial"/>
              </w:rPr>
            </w:pPr>
            <w:r w:rsidRPr="008D1F04">
              <w:rPr>
                <w:rFonts w:ascii="Arial" w:hAnsi="Arial" w:cs="Arial"/>
              </w:rPr>
              <w:t>High</w:t>
            </w:r>
          </w:p>
        </w:tc>
        <w:tc>
          <w:tcPr>
            <w:tcW w:w="2160" w:type="dxa"/>
          </w:tcPr>
          <w:p w14:paraId="54CEF9D3" w14:textId="77777777" w:rsidR="007E7EF5" w:rsidRPr="008D1F04" w:rsidRDefault="00000000">
            <w:pPr>
              <w:rPr>
                <w:rFonts w:ascii="Arial" w:hAnsi="Arial" w:cs="Arial"/>
              </w:rPr>
            </w:pPr>
            <w:r w:rsidRPr="008D1F04">
              <w:rPr>
                <w:rFonts w:ascii="Arial" w:hAnsi="Arial" w:cs="Arial"/>
              </w:rPr>
              <w:t>Collaborate – participatory forums</w:t>
            </w:r>
          </w:p>
        </w:tc>
      </w:tr>
      <w:tr w:rsidR="007E7EF5" w:rsidRPr="008D1F04" w14:paraId="5C41F152" w14:textId="77777777">
        <w:tc>
          <w:tcPr>
            <w:tcW w:w="2160" w:type="dxa"/>
          </w:tcPr>
          <w:p w14:paraId="41FD2EF6" w14:textId="77777777" w:rsidR="007E7EF5" w:rsidRPr="008D1F04" w:rsidRDefault="00000000">
            <w:pPr>
              <w:rPr>
                <w:rFonts w:ascii="Arial" w:hAnsi="Arial" w:cs="Arial"/>
              </w:rPr>
            </w:pPr>
            <w:r w:rsidRPr="008D1F04">
              <w:rPr>
                <w:rFonts w:ascii="Arial" w:hAnsi="Arial" w:cs="Arial"/>
              </w:rPr>
              <w:t>Environmental NGOs</w:t>
            </w:r>
          </w:p>
        </w:tc>
        <w:tc>
          <w:tcPr>
            <w:tcW w:w="2160" w:type="dxa"/>
          </w:tcPr>
          <w:p w14:paraId="28FF59E0" w14:textId="77777777" w:rsidR="007E7EF5" w:rsidRPr="008D1F04" w:rsidRDefault="00000000">
            <w:pPr>
              <w:rPr>
                <w:rFonts w:ascii="Arial" w:hAnsi="Arial" w:cs="Arial"/>
              </w:rPr>
            </w:pPr>
            <w:r w:rsidRPr="008D1F04">
              <w:rPr>
                <w:rFonts w:ascii="Arial" w:hAnsi="Arial" w:cs="Arial"/>
              </w:rPr>
              <w:t>Medium</w:t>
            </w:r>
          </w:p>
        </w:tc>
        <w:tc>
          <w:tcPr>
            <w:tcW w:w="2160" w:type="dxa"/>
          </w:tcPr>
          <w:p w14:paraId="6727BD4A" w14:textId="77777777" w:rsidR="007E7EF5" w:rsidRPr="008D1F04" w:rsidRDefault="00000000">
            <w:pPr>
              <w:rPr>
                <w:rFonts w:ascii="Arial" w:hAnsi="Arial" w:cs="Arial"/>
              </w:rPr>
            </w:pPr>
            <w:r w:rsidRPr="008D1F04">
              <w:rPr>
                <w:rFonts w:ascii="Arial" w:hAnsi="Arial" w:cs="Arial"/>
              </w:rPr>
              <w:t>High</w:t>
            </w:r>
          </w:p>
        </w:tc>
        <w:tc>
          <w:tcPr>
            <w:tcW w:w="2160" w:type="dxa"/>
          </w:tcPr>
          <w:p w14:paraId="7A95B4B1" w14:textId="77777777" w:rsidR="007E7EF5" w:rsidRPr="008D1F04" w:rsidRDefault="00000000">
            <w:pPr>
              <w:rPr>
                <w:rFonts w:ascii="Arial" w:hAnsi="Arial" w:cs="Arial"/>
              </w:rPr>
            </w:pPr>
            <w:r w:rsidRPr="008D1F04">
              <w:rPr>
                <w:rFonts w:ascii="Arial" w:hAnsi="Arial" w:cs="Arial"/>
              </w:rPr>
              <w:t>Consult – sustainability reviews</w:t>
            </w:r>
          </w:p>
        </w:tc>
      </w:tr>
      <w:tr w:rsidR="007E7EF5" w:rsidRPr="008D1F04" w14:paraId="1CE241A8" w14:textId="77777777">
        <w:tc>
          <w:tcPr>
            <w:tcW w:w="2160" w:type="dxa"/>
          </w:tcPr>
          <w:p w14:paraId="68D3BCEA" w14:textId="77777777" w:rsidR="007E7EF5" w:rsidRPr="008D1F04" w:rsidRDefault="00000000">
            <w:pPr>
              <w:rPr>
                <w:rFonts w:ascii="Arial" w:hAnsi="Arial" w:cs="Arial"/>
              </w:rPr>
            </w:pPr>
            <w:r w:rsidRPr="008D1F04">
              <w:rPr>
                <w:rFonts w:ascii="Arial" w:hAnsi="Arial" w:cs="Arial"/>
              </w:rPr>
              <w:t>Local Businesses</w:t>
            </w:r>
          </w:p>
        </w:tc>
        <w:tc>
          <w:tcPr>
            <w:tcW w:w="2160" w:type="dxa"/>
          </w:tcPr>
          <w:p w14:paraId="1E034CF4" w14:textId="77777777" w:rsidR="007E7EF5" w:rsidRPr="008D1F04" w:rsidRDefault="00000000">
            <w:pPr>
              <w:rPr>
                <w:rFonts w:ascii="Arial" w:hAnsi="Arial" w:cs="Arial"/>
              </w:rPr>
            </w:pPr>
            <w:r w:rsidRPr="008D1F04">
              <w:rPr>
                <w:rFonts w:ascii="Arial" w:hAnsi="Arial" w:cs="Arial"/>
              </w:rPr>
              <w:t>Medium</w:t>
            </w:r>
          </w:p>
        </w:tc>
        <w:tc>
          <w:tcPr>
            <w:tcW w:w="2160" w:type="dxa"/>
          </w:tcPr>
          <w:p w14:paraId="7FABEE59" w14:textId="77777777" w:rsidR="007E7EF5" w:rsidRPr="008D1F04" w:rsidRDefault="00000000">
            <w:pPr>
              <w:rPr>
                <w:rFonts w:ascii="Arial" w:hAnsi="Arial" w:cs="Arial"/>
              </w:rPr>
            </w:pPr>
            <w:r w:rsidRPr="008D1F04">
              <w:rPr>
                <w:rFonts w:ascii="Arial" w:hAnsi="Arial" w:cs="Arial"/>
              </w:rPr>
              <w:t>Medium</w:t>
            </w:r>
          </w:p>
        </w:tc>
        <w:tc>
          <w:tcPr>
            <w:tcW w:w="2160" w:type="dxa"/>
          </w:tcPr>
          <w:p w14:paraId="01E3D801" w14:textId="77777777" w:rsidR="007E7EF5" w:rsidRPr="008D1F04" w:rsidRDefault="00000000">
            <w:pPr>
              <w:rPr>
                <w:rFonts w:ascii="Arial" w:hAnsi="Arial" w:cs="Arial"/>
              </w:rPr>
            </w:pPr>
            <w:r w:rsidRPr="008D1F04">
              <w:rPr>
                <w:rFonts w:ascii="Arial" w:hAnsi="Arial" w:cs="Arial"/>
              </w:rPr>
              <w:t>Keep informed – disruption planning</w:t>
            </w:r>
          </w:p>
        </w:tc>
      </w:tr>
    </w:tbl>
    <w:p w14:paraId="79CC994C" w14:textId="77777777" w:rsidR="007E7EF5" w:rsidRPr="008D1F04" w:rsidRDefault="00000000">
      <w:pPr>
        <w:pStyle w:val="Heading1"/>
        <w:rPr>
          <w:rFonts w:ascii="Arial" w:hAnsi="Arial" w:cs="Arial"/>
          <w:sz w:val="22"/>
          <w:szCs w:val="22"/>
        </w:rPr>
      </w:pPr>
      <w:r w:rsidRPr="008D1F04">
        <w:rPr>
          <w:rFonts w:ascii="Arial" w:hAnsi="Arial" w:cs="Arial"/>
          <w:sz w:val="22"/>
          <w:szCs w:val="22"/>
        </w:rPr>
        <w:lastRenderedPageBreak/>
        <w:t>Extended Reflective Learning Analysis</w:t>
      </w:r>
    </w:p>
    <w:p w14:paraId="3921E4F5" w14:textId="3B70B024" w:rsidR="007E7EF5" w:rsidRPr="008D1F04" w:rsidRDefault="00000000">
      <w:pPr>
        <w:rPr>
          <w:rFonts w:ascii="Arial" w:hAnsi="Arial" w:cs="Arial"/>
        </w:rPr>
      </w:pPr>
      <w:r w:rsidRPr="008D1F04">
        <w:rPr>
          <w:rFonts w:ascii="Arial" w:hAnsi="Arial" w:cs="Arial"/>
        </w:rPr>
        <w:t>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 xml:space="preserve">based communication in professional project environments. Reflective Expansion: Through deeper evaluation of this stakeholder engagement case, I further developed my understanding of practical stakeholder dynamics, communication </w:t>
      </w:r>
      <w:r w:rsidRPr="008D1F04">
        <w:rPr>
          <w:rFonts w:ascii="Arial" w:hAnsi="Arial" w:cs="Arial"/>
        </w:rPr>
        <w:lastRenderedPageBreak/>
        <w:t>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 xml:space="preserve">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w:t>
      </w:r>
      <w:r w:rsidRPr="008D1F04">
        <w:rPr>
          <w:rFonts w:ascii="Arial" w:hAnsi="Arial" w:cs="Arial"/>
        </w:rPr>
        <w:lastRenderedPageBreak/>
        <w:t>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 xml:space="preserve">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w:t>
      </w:r>
      <w:r w:rsidRPr="008D1F04">
        <w:rPr>
          <w:rFonts w:ascii="Arial" w:hAnsi="Arial" w:cs="Arial"/>
        </w:rPr>
        <w:lastRenderedPageBreak/>
        <w:t>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w:t>
      </w:r>
      <w:r w:rsidR="00AB3C3F" w:rsidRPr="008D1F04">
        <w:rPr>
          <w:rFonts w:ascii="Arial" w:hAnsi="Arial" w:cs="Arial"/>
        </w:rPr>
        <w:t>.</w:t>
      </w:r>
    </w:p>
    <w:p w14:paraId="541297AC" w14:textId="77777777" w:rsidR="00AB3C3F" w:rsidRPr="008D1F04" w:rsidRDefault="00AB3C3F">
      <w:pPr>
        <w:rPr>
          <w:rFonts w:ascii="Arial" w:hAnsi="Arial" w:cs="Arial"/>
          <w:b/>
          <w:bCs/>
        </w:rPr>
      </w:pPr>
    </w:p>
    <w:p w14:paraId="018652FC" w14:textId="77777777" w:rsidR="00AB3C3F" w:rsidRPr="008D1F04" w:rsidRDefault="00AB3C3F" w:rsidP="00AB3C3F">
      <w:pPr>
        <w:rPr>
          <w:rFonts w:ascii="Arial" w:hAnsi="Arial" w:cs="Arial"/>
          <w:b/>
          <w:bCs/>
          <w:color w:val="548DD4" w:themeColor="text2" w:themeTint="99"/>
        </w:rPr>
      </w:pPr>
      <w:r w:rsidRPr="008D1F04">
        <w:rPr>
          <w:rFonts w:ascii="Arial" w:hAnsi="Arial" w:cs="Arial"/>
          <w:b/>
          <w:bCs/>
          <w:color w:val="548DD4" w:themeColor="text2" w:themeTint="99"/>
        </w:rPr>
        <w:t>Additional References</w:t>
      </w:r>
    </w:p>
    <w:p w14:paraId="192A45BF" w14:textId="77777777" w:rsidR="00AB3C3F" w:rsidRPr="008D1F04" w:rsidRDefault="00AB3C3F" w:rsidP="00AB3C3F">
      <w:pPr>
        <w:rPr>
          <w:rFonts w:ascii="Arial" w:hAnsi="Arial" w:cs="Arial"/>
        </w:rPr>
      </w:pPr>
      <w:r w:rsidRPr="008D1F04">
        <w:rPr>
          <w:rFonts w:ascii="Arial" w:hAnsi="Arial" w:cs="Arial"/>
        </w:rPr>
        <w:t>Bryson, J.M. (2004) What to do when stakeholders matter. Public Management Review.</w:t>
      </w:r>
    </w:p>
    <w:p w14:paraId="05C26CB6" w14:textId="77777777" w:rsidR="00AB3C3F" w:rsidRPr="008D1F04" w:rsidRDefault="00AB3C3F" w:rsidP="00AB3C3F">
      <w:pPr>
        <w:rPr>
          <w:rFonts w:ascii="Arial" w:hAnsi="Arial" w:cs="Arial"/>
        </w:rPr>
      </w:pPr>
      <w:r w:rsidRPr="008D1F04">
        <w:rPr>
          <w:rFonts w:ascii="Arial" w:hAnsi="Arial" w:cs="Arial"/>
        </w:rPr>
        <w:t>Bourne, L. (2015) Stakeholder Relationship Management. Gower.</w:t>
      </w:r>
    </w:p>
    <w:p w14:paraId="1831799F" w14:textId="0ED12334" w:rsidR="00AB3C3F" w:rsidRPr="008D1F04" w:rsidRDefault="00AB3C3F" w:rsidP="00AB3C3F">
      <w:pPr>
        <w:rPr>
          <w:rFonts w:ascii="Arial" w:hAnsi="Arial" w:cs="Arial"/>
        </w:rPr>
      </w:pPr>
      <w:r w:rsidRPr="008D1F04">
        <w:rPr>
          <w:rFonts w:ascii="Arial" w:hAnsi="Arial" w:cs="Arial"/>
        </w:rPr>
        <w:t>Project Management Institute (PMI) (2021) PMBOK Guide – Stakeholder Engagement.</w:t>
      </w:r>
    </w:p>
    <w:p w14:paraId="5129B61C" w14:textId="77777777" w:rsidR="00AB3C3F" w:rsidRPr="008D1F04" w:rsidRDefault="00AB3C3F" w:rsidP="00AB3C3F">
      <w:pPr>
        <w:rPr>
          <w:rFonts w:ascii="Arial" w:hAnsi="Arial" w:cs="Arial"/>
        </w:rPr>
      </w:pPr>
      <w:r w:rsidRPr="008D1F04">
        <w:rPr>
          <w:rFonts w:ascii="Arial" w:hAnsi="Arial" w:cs="Arial"/>
        </w:rPr>
        <w:t>Freeman, R.E. (1984) Strategic Management: A Stakeholder Approach.</w:t>
      </w:r>
    </w:p>
    <w:p w14:paraId="483C2CB5" w14:textId="77777777" w:rsidR="00AB3C3F" w:rsidRPr="008D1F04" w:rsidRDefault="00AB3C3F" w:rsidP="00AB3C3F">
      <w:pPr>
        <w:rPr>
          <w:rFonts w:ascii="Arial" w:hAnsi="Arial" w:cs="Arial"/>
        </w:rPr>
      </w:pPr>
      <w:r w:rsidRPr="008D1F04">
        <w:rPr>
          <w:rFonts w:ascii="Arial" w:hAnsi="Arial" w:cs="Arial"/>
        </w:rPr>
        <w:t>Carroll, A.B. (1991) The Pyramid of Corporate Social Responsibility.</w:t>
      </w:r>
    </w:p>
    <w:p w14:paraId="478C021B" w14:textId="77777777" w:rsidR="00AB3C3F" w:rsidRPr="008D1F04" w:rsidRDefault="00AB3C3F" w:rsidP="00AB3C3F">
      <w:pPr>
        <w:rPr>
          <w:rFonts w:ascii="Arial" w:hAnsi="Arial" w:cs="Arial"/>
        </w:rPr>
      </w:pPr>
      <w:r w:rsidRPr="008D1F04">
        <w:rPr>
          <w:rFonts w:ascii="Arial" w:hAnsi="Arial" w:cs="Arial"/>
        </w:rPr>
        <w:t>Mitchell, R.K., Agle, B.R. and Wood, D.J. (1997) Stakeholder Identification and Salience.</w:t>
      </w:r>
    </w:p>
    <w:p w14:paraId="624F6229" w14:textId="6139A44B" w:rsidR="00AB3C3F" w:rsidRPr="008D1F04" w:rsidRDefault="00AB3C3F" w:rsidP="00AB3C3F">
      <w:pPr>
        <w:rPr>
          <w:rFonts w:ascii="Arial" w:hAnsi="Arial" w:cs="Arial"/>
        </w:rPr>
      </w:pPr>
      <w:r w:rsidRPr="008D1F04">
        <w:rPr>
          <w:rFonts w:ascii="Arial" w:hAnsi="Arial" w:cs="Arial"/>
        </w:rPr>
        <w:t>Mendelow, A.L. (1991) Stakeholder Mapping.</w:t>
      </w:r>
    </w:p>
    <w:p w14:paraId="75339E86" w14:textId="77777777" w:rsidR="00AB3C3F" w:rsidRPr="008D1F04" w:rsidRDefault="00AB3C3F" w:rsidP="00AB3C3F">
      <w:pPr>
        <w:rPr>
          <w:rFonts w:ascii="Arial" w:hAnsi="Arial" w:cs="Arial"/>
        </w:rPr>
      </w:pPr>
    </w:p>
    <w:sectPr w:rsidR="00AB3C3F" w:rsidRPr="008D1F0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44507342">
    <w:abstractNumId w:val="8"/>
  </w:num>
  <w:num w:numId="2" w16cid:durableId="2121215161">
    <w:abstractNumId w:val="6"/>
  </w:num>
  <w:num w:numId="3" w16cid:durableId="602761608">
    <w:abstractNumId w:val="5"/>
  </w:num>
  <w:num w:numId="4" w16cid:durableId="1672639817">
    <w:abstractNumId w:val="4"/>
  </w:num>
  <w:num w:numId="5" w16cid:durableId="1711953155">
    <w:abstractNumId w:val="7"/>
  </w:num>
  <w:num w:numId="6" w16cid:durableId="121458680">
    <w:abstractNumId w:val="3"/>
  </w:num>
  <w:num w:numId="7" w16cid:durableId="213927593">
    <w:abstractNumId w:val="2"/>
  </w:num>
  <w:num w:numId="8" w16cid:durableId="1534537075">
    <w:abstractNumId w:val="1"/>
  </w:num>
  <w:num w:numId="9" w16cid:durableId="1491755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3374"/>
    <w:rsid w:val="0029639D"/>
    <w:rsid w:val="00311362"/>
    <w:rsid w:val="00326F90"/>
    <w:rsid w:val="007E7EF5"/>
    <w:rsid w:val="008D1F04"/>
    <w:rsid w:val="0090333E"/>
    <w:rsid w:val="00AA1D8D"/>
    <w:rsid w:val="00AB3C3F"/>
    <w:rsid w:val="00B47730"/>
    <w:rsid w:val="00CB0664"/>
    <w:rsid w:val="00CB4184"/>
    <w:rsid w:val="00CF43FE"/>
    <w:rsid w:val="00DF282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45D022"/>
  <w14:defaultImageDpi w14:val="300"/>
  <w15:docId w15:val="{A6C7117B-CCBB-47A9-85E8-03ABC75C8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3561</Words>
  <Characters>20298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23812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Touseef (2319373)</cp:lastModifiedBy>
  <cp:revision>5</cp:revision>
  <dcterms:created xsi:type="dcterms:W3CDTF">2026-02-07T20:22:00Z</dcterms:created>
  <dcterms:modified xsi:type="dcterms:W3CDTF">2026-03-26T23:29:00Z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1d048b45-238a-48de-a56b-ff9f464bb048</vt:lpwstr>
  </property>
</Properties>
</file>