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A0E41" w14:textId="77777777" w:rsidR="00C26578" w:rsidRDefault="00C26578" w:rsidP="00506D9E">
      <w:pPr>
        <w:spacing w:line="276" w:lineRule="auto"/>
        <w:jc w:val="both"/>
        <w:rPr>
          <w:rFonts w:ascii="Times New Roman" w:hAnsi="Times New Roman" w:cs="Times New Roman"/>
          <w:b/>
          <w:bCs/>
          <w:sz w:val="28"/>
          <w:szCs w:val="28"/>
          <w:lang w:val="en-US"/>
        </w:rPr>
      </w:pPr>
    </w:p>
    <w:p w14:paraId="4975B93C" w14:textId="77777777" w:rsidR="00BF15CE" w:rsidRDefault="00BF15CE" w:rsidP="003A318D">
      <w:pPr>
        <w:spacing w:line="276" w:lineRule="auto"/>
        <w:jc w:val="center"/>
        <w:rPr>
          <w:rFonts w:ascii="Times New Roman" w:hAnsi="Times New Roman" w:cs="Times New Roman"/>
          <w:b/>
          <w:bCs/>
          <w:sz w:val="28"/>
          <w:szCs w:val="28"/>
          <w:lang w:val="en-US"/>
        </w:rPr>
      </w:pPr>
    </w:p>
    <w:p w14:paraId="3E482811" w14:textId="795B9526" w:rsidR="00C26578" w:rsidRDefault="003A318D" w:rsidP="003A318D">
      <w:pPr>
        <w:spacing w:line="276" w:lineRule="auto"/>
        <w:jc w:val="center"/>
        <w:rPr>
          <w:rFonts w:ascii="Times New Roman" w:hAnsi="Times New Roman" w:cs="Times New Roman"/>
          <w:b/>
          <w:bCs/>
          <w:sz w:val="28"/>
          <w:szCs w:val="28"/>
          <w:lang w:val="en-US"/>
        </w:rPr>
      </w:pPr>
      <w:r w:rsidRPr="00084BA6">
        <w:rPr>
          <w:noProof/>
          <w:color w:val="000000" w:themeColor="text1"/>
        </w:rPr>
        <w:drawing>
          <wp:inline distT="0" distB="0" distL="0" distR="0" wp14:anchorId="17AF600F" wp14:editId="3E04E67B">
            <wp:extent cx="3002280" cy="1287649"/>
            <wp:effectExtent l="0" t="0" r="7620" b="8255"/>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96467" cy="1328045"/>
                    </a:xfrm>
                    <a:prstGeom prst="rect">
                      <a:avLst/>
                    </a:prstGeom>
                  </pic:spPr>
                </pic:pic>
              </a:graphicData>
            </a:graphic>
          </wp:inline>
        </w:drawing>
      </w:r>
    </w:p>
    <w:p w14:paraId="2683BB54" w14:textId="77777777" w:rsidR="00D704BD" w:rsidRDefault="00D704BD" w:rsidP="003A318D">
      <w:pPr>
        <w:spacing w:line="276" w:lineRule="auto"/>
        <w:jc w:val="center"/>
        <w:rPr>
          <w:rFonts w:ascii="Times New Roman" w:hAnsi="Times New Roman" w:cs="Times New Roman"/>
          <w:b/>
          <w:bCs/>
          <w:sz w:val="28"/>
          <w:szCs w:val="28"/>
          <w:lang w:val="en-US"/>
        </w:rPr>
      </w:pPr>
    </w:p>
    <w:p w14:paraId="3AC8D683" w14:textId="77777777" w:rsidR="00D704BD" w:rsidRDefault="00D704BD" w:rsidP="003A318D">
      <w:pPr>
        <w:spacing w:line="276" w:lineRule="auto"/>
        <w:jc w:val="center"/>
        <w:rPr>
          <w:rFonts w:ascii="Times New Roman" w:hAnsi="Times New Roman" w:cs="Times New Roman"/>
          <w:b/>
          <w:bCs/>
          <w:sz w:val="28"/>
          <w:szCs w:val="28"/>
          <w:lang w:val="en-US"/>
        </w:rPr>
      </w:pPr>
    </w:p>
    <w:p w14:paraId="228B3BD1" w14:textId="77777777" w:rsidR="00FA234F" w:rsidRDefault="00FA234F" w:rsidP="003A318D">
      <w:pPr>
        <w:spacing w:line="276" w:lineRule="auto"/>
        <w:jc w:val="center"/>
        <w:rPr>
          <w:rFonts w:ascii="Times New Roman" w:hAnsi="Times New Roman" w:cs="Times New Roman"/>
          <w:b/>
          <w:bCs/>
          <w:sz w:val="28"/>
          <w:szCs w:val="28"/>
          <w:lang w:val="en-US"/>
        </w:rPr>
      </w:pPr>
    </w:p>
    <w:p w14:paraId="744D8758" w14:textId="77777777" w:rsidR="00FA234F" w:rsidRDefault="00FA234F" w:rsidP="003A318D">
      <w:pPr>
        <w:spacing w:line="276" w:lineRule="auto"/>
        <w:jc w:val="center"/>
        <w:rPr>
          <w:rFonts w:ascii="Times New Roman" w:hAnsi="Times New Roman" w:cs="Times New Roman"/>
          <w:b/>
          <w:bCs/>
          <w:sz w:val="28"/>
          <w:szCs w:val="28"/>
          <w:lang w:val="en-US"/>
        </w:rPr>
      </w:pPr>
    </w:p>
    <w:p w14:paraId="064D4437" w14:textId="77777777" w:rsidR="00836A8C" w:rsidRDefault="00836A8C" w:rsidP="003A318D">
      <w:pPr>
        <w:spacing w:line="276" w:lineRule="auto"/>
        <w:jc w:val="center"/>
        <w:rPr>
          <w:rFonts w:ascii="Times New Roman" w:hAnsi="Times New Roman" w:cs="Times New Roman"/>
          <w:b/>
          <w:bCs/>
          <w:sz w:val="28"/>
          <w:szCs w:val="28"/>
          <w:lang w:val="en-US"/>
        </w:rPr>
      </w:pPr>
    </w:p>
    <w:p w14:paraId="46EB5059" w14:textId="77777777" w:rsidR="00836A8C" w:rsidRDefault="00836A8C" w:rsidP="003A318D">
      <w:pPr>
        <w:spacing w:line="276" w:lineRule="auto"/>
        <w:jc w:val="center"/>
        <w:rPr>
          <w:rFonts w:ascii="Times New Roman" w:hAnsi="Times New Roman" w:cs="Times New Roman"/>
          <w:b/>
          <w:bCs/>
          <w:sz w:val="28"/>
          <w:szCs w:val="28"/>
          <w:lang w:val="en-US"/>
        </w:rPr>
      </w:pPr>
    </w:p>
    <w:p w14:paraId="5D4AA01E" w14:textId="129576BD" w:rsidR="00D704BD" w:rsidRPr="00BD4034" w:rsidRDefault="00D704BD" w:rsidP="003A318D">
      <w:pPr>
        <w:spacing w:line="276" w:lineRule="auto"/>
        <w:jc w:val="center"/>
        <w:rPr>
          <w:rFonts w:ascii="Times New Roman" w:hAnsi="Times New Roman" w:cs="Times New Roman"/>
          <w:sz w:val="32"/>
          <w:szCs w:val="32"/>
          <w:lang w:val="en-US"/>
        </w:rPr>
      </w:pPr>
      <w:r w:rsidRPr="00BD4034">
        <w:rPr>
          <w:rFonts w:ascii="Times New Roman" w:hAnsi="Times New Roman" w:cs="Times New Roman"/>
          <w:sz w:val="32"/>
          <w:szCs w:val="32"/>
          <w:lang w:val="en-US"/>
        </w:rPr>
        <w:t>Banking Financial Management and Financial Markets</w:t>
      </w:r>
      <w:r w:rsidR="00DB59A9" w:rsidRPr="00BD4034">
        <w:rPr>
          <w:rFonts w:ascii="Times New Roman" w:hAnsi="Times New Roman" w:cs="Times New Roman"/>
          <w:sz w:val="32"/>
          <w:szCs w:val="32"/>
          <w:lang w:val="en-US"/>
        </w:rPr>
        <w:t xml:space="preserve"> (LCMB7012)</w:t>
      </w:r>
    </w:p>
    <w:p w14:paraId="7ABFD6D0" w14:textId="77777777" w:rsidR="00BD4034" w:rsidRPr="00BD4034" w:rsidRDefault="00BD4034" w:rsidP="00BD4034">
      <w:pPr>
        <w:jc w:val="center"/>
        <w:rPr>
          <w:rFonts w:ascii="Times New Roman" w:hAnsi="Times New Roman" w:cs="Times New Roman"/>
          <w:color w:val="000000" w:themeColor="text1"/>
          <w:sz w:val="32"/>
          <w:szCs w:val="32"/>
        </w:rPr>
      </w:pPr>
      <w:r w:rsidRPr="00BD4034">
        <w:rPr>
          <w:rFonts w:ascii="Times New Roman" w:hAnsi="Times New Roman" w:cs="Times New Roman"/>
          <w:color w:val="000000" w:themeColor="text1"/>
          <w:sz w:val="32"/>
          <w:szCs w:val="32"/>
        </w:rPr>
        <w:t>MBA – Master of Business Administration</w:t>
      </w:r>
    </w:p>
    <w:p w14:paraId="6E562B16" w14:textId="77777777" w:rsidR="00BD4034" w:rsidRDefault="00BD4034" w:rsidP="003A318D">
      <w:pPr>
        <w:spacing w:line="276" w:lineRule="auto"/>
        <w:jc w:val="center"/>
        <w:rPr>
          <w:rFonts w:ascii="Times New Roman" w:hAnsi="Times New Roman" w:cs="Times New Roman"/>
          <w:b/>
          <w:bCs/>
          <w:sz w:val="28"/>
          <w:szCs w:val="28"/>
          <w:lang w:val="en-US"/>
        </w:rPr>
      </w:pPr>
    </w:p>
    <w:p w14:paraId="1D2BB309" w14:textId="77777777" w:rsidR="00FA234F" w:rsidRDefault="00FA234F" w:rsidP="003A318D">
      <w:pPr>
        <w:spacing w:line="276" w:lineRule="auto"/>
        <w:jc w:val="center"/>
        <w:rPr>
          <w:rFonts w:ascii="Times New Roman" w:hAnsi="Times New Roman" w:cs="Times New Roman"/>
          <w:b/>
          <w:bCs/>
          <w:sz w:val="28"/>
          <w:szCs w:val="28"/>
          <w:lang w:val="en-US"/>
        </w:rPr>
      </w:pPr>
    </w:p>
    <w:p w14:paraId="3FBB52F1" w14:textId="77777777" w:rsidR="00FA234F" w:rsidRDefault="00FA234F" w:rsidP="003A318D">
      <w:pPr>
        <w:spacing w:line="276" w:lineRule="auto"/>
        <w:jc w:val="center"/>
        <w:rPr>
          <w:rFonts w:ascii="Times New Roman" w:hAnsi="Times New Roman" w:cs="Times New Roman"/>
          <w:b/>
          <w:bCs/>
          <w:sz w:val="28"/>
          <w:szCs w:val="28"/>
          <w:lang w:val="en-US"/>
        </w:rPr>
      </w:pPr>
    </w:p>
    <w:p w14:paraId="4515C086" w14:textId="77777777" w:rsidR="00FA234F" w:rsidRDefault="00FA234F" w:rsidP="003A318D">
      <w:pPr>
        <w:spacing w:line="276" w:lineRule="auto"/>
        <w:jc w:val="center"/>
        <w:rPr>
          <w:rFonts w:ascii="Times New Roman" w:hAnsi="Times New Roman" w:cs="Times New Roman"/>
          <w:b/>
          <w:bCs/>
          <w:sz w:val="28"/>
          <w:szCs w:val="28"/>
          <w:lang w:val="en-US"/>
        </w:rPr>
      </w:pPr>
    </w:p>
    <w:p w14:paraId="283EA1DE" w14:textId="77777777" w:rsidR="006C78A0" w:rsidRPr="00762D7C" w:rsidRDefault="006C78A0" w:rsidP="00FA234F">
      <w:pPr>
        <w:spacing w:line="276" w:lineRule="auto"/>
        <w:rPr>
          <w:rFonts w:ascii="Times New Roman" w:hAnsi="Times New Roman" w:cs="Times New Roman"/>
          <w:b/>
          <w:bCs/>
          <w:sz w:val="28"/>
          <w:szCs w:val="28"/>
        </w:rPr>
      </w:pPr>
    </w:p>
    <w:p w14:paraId="43BD915D" w14:textId="77777777" w:rsidR="006C78A0" w:rsidRPr="00762D7C" w:rsidRDefault="006C78A0" w:rsidP="00FA234F">
      <w:pPr>
        <w:spacing w:line="276" w:lineRule="auto"/>
        <w:rPr>
          <w:rFonts w:ascii="Times New Roman" w:hAnsi="Times New Roman" w:cs="Times New Roman"/>
          <w:b/>
          <w:bCs/>
          <w:sz w:val="28"/>
          <w:szCs w:val="28"/>
        </w:rPr>
      </w:pPr>
    </w:p>
    <w:p w14:paraId="1F867BC4" w14:textId="77777777" w:rsidR="00836A8C" w:rsidRPr="00762D7C" w:rsidRDefault="00836A8C" w:rsidP="00FA234F">
      <w:pPr>
        <w:spacing w:line="276" w:lineRule="auto"/>
        <w:rPr>
          <w:rFonts w:ascii="Times New Roman" w:hAnsi="Times New Roman" w:cs="Times New Roman"/>
          <w:b/>
          <w:bCs/>
          <w:sz w:val="28"/>
          <w:szCs w:val="28"/>
        </w:rPr>
      </w:pPr>
    </w:p>
    <w:p w14:paraId="4CC5E2BB" w14:textId="05D47C9F" w:rsidR="00FA234F" w:rsidRPr="00762D7C" w:rsidRDefault="00E233AE" w:rsidP="00FA234F">
      <w:pPr>
        <w:spacing w:line="276" w:lineRule="auto"/>
        <w:rPr>
          <w:rFonts w:ascii="Times New Roman" w:hAnsi="Times New Roman" w:cs="Times New Roman"/>
          <w:sz w:val="28"/>
          <w:szCs w:val="28"/>
        </w:rPr>
      </w:pPr>
      <w:r w:rsidRPr="00762D7C">
        <w:rPr>
          <w:rFonts w:ascii="Times New Roman" w:hAnsi="Times New Roman" w:cs="Times New Roman"/>
          <w:sz w:val="28"/>
          <w:szCs w:val="28"/>
        </w:rPr>
        <w:t xml:space="preserve">Student Name: </w:t>
      </w:r>
      <w:r w:rsidR="00224507" w:rsidRPr="00762D7C">
        <w:rPr>
          <w:rFonts w:ascii="Times New Roman" w:hAnsi="Times New Roman" w:cs="Times New Roman"/>
          <w:sz w:val="28"/>
          <w:szCs w:val="28"/>
        </w:rPr>
        <w:t>Jitendra Tulsibhai Gohel</w:t>
      </w:r>
    </w:p>
    <w:p w14:paraId="282461E0" w14:textId="01601A3B" w:rsidR="00224507" w:rsidRPr="00762D7C" w:rsidRDefault="000C66CA" w:rsidP="00FA234F">
      <w:pPr>
        <w:spacing w:line="276" w:lineRule="auto"/>
        <w:rPr>
          <w:rFonts w:ascii="Times New Roman" w:hAnsi="Times New Roman" w:cs="Times New Roman"/>
          <w:sz w:val="28"/>
          <w:szCs w:val="28"/>
        </w:rPr>
      </w:pPr>
      <w:r w:rsidRPr="00762D7C">
        <w:rPr>
          <w:rFonts w:ascii="Times New Roman" w:hAnsi="Times New Roman" w:cs="Times New Roman"/>
          <w:sz w:val="28"/>
          <w:szCs w:val="28"/>
        </w:rPr>
        <w:t>S</w:t>
      </w:r>
      <w:r w:rsidR="00D47664" w:rsidRPr="00762D7C">
        <w:rPr>
          <w:rFonts w:ascii="Times New Roman" w:hAnsi="Times New Roman" w:cs="Times New Roman"/>
          <w:sz w:val="28"/>
          <w:szCs w:val="28"/>
        </w:rPr>
        <w:t>tud</w:t>
      </w:r>
      <w:r w:rsidR="0075103E" w:rsidRPr="00762D7C">
        <w:rPr>
          <w:rFonts w:ascii="Times New Roman" w:hAnsi="Times New Roman" w:cs="Times New Roman"/>
          <w:sz w:val="28"/>
          <w:szCs w:val="28"/>
        </w:rPr>
        <w:t xml:space="preserve">ent </w:t>
      </w:r>
      <w:r w:rsidR="003C6999" w:rsidRPr="00762D7C">
        <w:rPr>
          <w:rFonts w:ascii="Times New Roman" w:hAnsi="Times New Roman" w:cs="Times New Roman"/>
          <w:sz w:val="28"/>
          <w:szCs w:val="28"/>
        </w:rPr>
        <w:t>N</w:t>
      </w:r>
      <w:r w:rsidR="00B313E1" w:rsidRPr="00762D7C">
        <w:rPr>
          <w:rFonts w:ascii="Times New Roman" w:hAnsi="Times New Roman" w:cs="Times New Roman"/>
          <w:sz w:val="28"/>
          <w:szCs w:val="28"/>
        </w:rPr>
        <w:t>um</w:t>
      </w:r>
      <w:r w:rsidR="006766C1" w:rsidRPr="00762D7C">
        <w:rPr>
          <w:rFonts w:ascii="Times New Roman" w:hAnsi="Times New Roman" w:cs="Times New Roman"/>
          <w:sz w:val="28"/>
          <w:szCs w:val="28"/>
        </w:rPr>
        <w:t>ber: 2242698</w:t>
      </w:r>
    </w:p>
    <w:p w14:paraId="13503ADF" w14:textId="0199D75F" w:rsidR="006766C1" w:rsidRPr="006C78A0" w:rsidRDefault="00BE55E4" w:rsidP="00FA234F">
      <w:pPr>
        <w:spacing w:line="276" w:lineRule="auto"/>
        <w:rPr>
          <w:rFonts w:ascii="Times New Roman" w:hAnsi="Times New Roman" w:cs="Times New Roman"/>
          <w:sz w:val="28"/>
          <w:szCs w:val="28"/>
          <w:lang w:val="en-US"/>
        </w:rPr>
      </w:pPr>
      <w:r w:rsidRPr="006C78A0">
        <w:rPr>
          <w:rFonts w:ascii="Times New Roman" w:hAnsi="Times New Roman" w:cs="Times New Roman"/>
          <w:sz w:val="28"/>
          <w:szCs w:val="28"/>
          <w:lang w:val="en-US"/>
        </w:rPr>
        <w:t xml:space="preserve">Lecturer: </w:t>
      </w:r>
      <w:r w:rsidR="00A60685" w:rsidRPr="006C78A0">
        <w:rPr>
          <w:rFonts w:ascii="Times New Roman" w:hAnsi="Times New Roman" w:cs="Times New Roman"/>
          <w:sz w:val="28"/>
          <w:szCs w:val="28"/>
          <w:lang w:val="en-US"/>
        </w:rPr>
        <w:t>David Coker</w:t>
      </w:r>
    </w:p>
    <w:p w14:paraId="4203D981" w14:textId="060BFEDC" w:rsidR="006C78A0" w:rsidRDefault="006C78A0" w:rsidP="00FA234F">
      <w:pPr>
        <w:spacing w:line="276" w:lineRule="auto"/>
        <w:rPr>
          <w:rFonts w:ascii="Times New Roman" w:hAnsi="Times New Roman" w:cs="Times New Roman"/>
          <w:b/>
          <w:bCs/>
          <w:sz w:val="28"/>
          <w:szCs w:val="28"/>
          <w:lang w:val="en-US"/>
        </w:rPr>
      </w:pPr>
    </w:p>
    <w:p w14:paraId="67E582FA" w14:textId="77777777" w:rsidR="00FA234F" w:rsidRDefault="00FA234F" w:rsidP="003A318D">
      <w:pPr>
        <w:spacing w:line="276" w:lineRule="auto"/>
        <w:jc w:val="center"/>
        <w:rPr>
          <w:rFonts w:ascii="Times New Roman" w:hAnsi="Times New Roman" w:cs="Times New Roman"/>
          <w:b/>
          <w:bCs/>
          <w:sz w:val="28"/>
          <w:szCs w:val="28"/>
          <w:lang w:val="en-US"/>
        </w:rPr>
      </w:pPr>
    </w:p>
    <w:p w14:paraId="58C799D7" w14:textId="77777777" w:rsidR="00FA234F" w:rsidRDefault="00FA234F" w:rsidP="00525705">
      <w:pPr>
        <w:spacing w:line="276" w:lineRule="auto"/>
        <w:rPr>
          <w:rFonts w:ascii="Times New Roman" w:hAnsi="Times New Roman" w:cs="Times New Roman"/>
          <w:b/>
          <w:bCs/>
          <w:sz w:val="28"/>
          <w:szCs w:val="28"/>
          <w:lang w:val="en-US"/>
        </w:rPr>
      </w:pPr>
    </w:p>
    <w:sdt>
      <w:sdtPr>
        <w:rPr>
          <w:rFonts w:asciiTheme="minorHAnsi" w:eastAsiaTheme="minorHAnsi" w:hAnsiTheme="minorHAnsi" w:cstheme="minorBidi"/>
          <w:color w:val="auto"/>
          <w:kern w:val="2"/>
          <w:sz w:val="22"/>
          <w:szCs w:val="22"/>
          <w:lang w:val="en-GB"/>
          <w14:ligatures w14:val="standardContextual"/>
        </w:rPr>
        <w:id w:val="-150983865"/>
        <w:docPartObj>
          <w:docPartGallery w:val="Table of Contents"/>
          <w:docPartUnique/>
        </w:docPartObj>
      </w:sdtPr>
      <w:sdtEndPr>
        <w:rPr>
          <w:b/>
          <w:bCs/>
          <w:noProof/>
        </w:rPr>
      </w:sdtEndPr>
      <w:sdtContent>
        <w:p w14:paraId="648B3B9F" w14:textId="23868A9F" w:rsidR="00525705" w:rsidRPr="005F10D2" w:rsidRDefault="00525705">
          <w:pPr>
            <w:pStyle w:val="TOCHeading"/>
            <w:rPr>
              <w:b/>
              <w:bCs/>
              <w:color w:val="4472C4" w:themeColor="accent1"/>
            </w:rPr>
          </w:pPr>
          <w:r w:rsidRPr="005F10D2">
            <w:rPr>
              <w:b/>
              <w:bCs/>
              <w:color w:val="4472C4" w:themeColor="accent1"/>
            </w:rPr>
            <w:t>Table of Contents</w:t>
          </w:r>
        </w:p>
        <w:p w14:paraId="52BF5BF3" w14:textId="77777777" w:rsidR="007C7A74" w:rsidRPr="007C7A74" w:rsidRDefault="007C7A74" w:rsidP="007C7A74">
          <w:pPr>
            <w:rPr>
              <w:lang w:val="en-US"/>
            </w:rPr>
          </w:pPr>
        </w:p>
        <w:p w14:paraId="6F8F0D76" w14:textId="35283409" w:rsidR="00F678B6" w:rsidRDefault="00525705">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55313183" w:history="1">
            <w:r w:rsidR="00F678B6" w:rsidRPr="00A3024F">
              <w:rPr>
                <w:rStyle w:val="Hyperlink"/>
                <w:noProof/>
              </w:rPr>
              <w:t>US Financial Reform Laws and Regulations Enacted after Global Financial Crisis 2008</w:t>
            </w:r>
            <w:r w:rsidR="00F678B6">
              <w:rPr>
                <w:noProof/>
                <w:webHidden/>
              </w:rPr>
              <w:tab/>
            </w:r>
            <w:r w:rsidR="00F678B6">
              <w:rPr>
                <w:noProof/>
                <w:webHidden/>
              </w:rPr>
              <w:fldChar w:fldCharType="begin"/>
            </w:r>
            <w:r w:rsidR="00F678B6">
              <w:rPr>
                <w:noProof/>
                <w:webHidden/>
              </w:rPr>
              <w:instrText xml:space="preserve"> PAGEREF _Toc155313183 \h </w:instrText>
            </w:r>
            <w:r w:rsidR="00F678B6">
              <w:rPr>
                <w:noProof/>
                <w:webHidden/>
              </w:rPr>
            </w:r>
            <w:r w:rsidR="00F678B6">
              <w:rPr>
                <w:noProof/>
                <w:webHidden/>
              </w:rPr>
              <w:fldChar w:fldCharType="separate"/>
            </w:r>
            <w:r w:rsidR="006F0C4F">
              <w:rPr>
                <w:noProof/>
                <w:webHidden/>
              </w:rPr>
              <w:t>4</w:t>
            </w:r>
            <w:r w:rsidR="00F678B6">
              <w:rPr>
                <w:noProof/>
                <w:webHidden/>
              </w:rPr>
              <w:fldChar w:fldCharType="end"/>
            </w:r>
          </w:hyperlink>
        </w:p>
        <w:p w14:paraId="5E044AFF" w14:textId="457B6C4A" w:rsidR="00F678B6" w:rsidRDefault="00000000">
          <w:pPr>
            <w:pStyle w:val="TOC1"/>
            <w:tabs>
              <w:tab w:val="right" w:leader="dot" w:pos="9016"/>
            </w:tabs>
            <w:rPr>
              <w:rFonts w:eastAsiaTheme="minorEastAsia"/>
              <w:noProof/>
              <w:lang w:eastAsia="zh-CN"/>
            </w:rPr>
          </w:pPr>
          <w:hyperlink w:anchor="_Toc155313184" w:history="1">
            <w:r w:rsidR="00F678B6" w:rsidRPr="00A3024F">
              <w:rPr>
                <w:rStyle w:val="Hyperlink"/>
                <w:noProof/>
              </w:rPr>
              <w:t>European Union’s (EU) Regulatory Response to Stabilise its Financial System after Global Financial Crises 2008.</w:t>
            </w:r>
            <w:r w:rsidR="00F678B6">
              <w:rPr>
                <w:noProof/>
                <w:webHidden/>
              </w:rPr>
              <w:tab/>
            </w:r>
            <w:r w:rsidR="00F678B6">
              <w:rPr>
                <w:noProof/>
                <w:webHidden/>
              </w:rPr>
              <w:fldChar w:fldCharType="begin"/>
            </w:r>
            <w:r w:rsidR="00F678B6">
              <w:rPr>
                <w:noProof/>
                <w:webHidden/>
              </w:rPr>
              <w:instrText xml:space="preserve"> PAGEREF _Toc155313184 \h </w:instrText>
            </w:r>
            <w:r w:rsidR="00F678B6">
              <w:rPr>
                <w:noProof/>
                <w:webHidden/>
              </w:rPr>
            </w:r>
            <w:r w:rsidR="00F678B6">
              <w:rPr>
                <w:noProof/>
                <w:webHidden/>
              </w:rPr>
              <w:fldChar w:fldCharType="separate"/>
            </w:r>
            <w:r w:rsidR="006F0C4F">
              <w:rPr>
                <w:noProof/>
                <w:webHidden/>
              </w:rPr>
              <w:t>8</w:t>
            </w:r>
            <w:r w:rsidR="00F678B6">
              <w:rPr>
                <w:noProof/>
                <w:webHidden/>
              </w:rPr>
              <w:fldChar w:fldCharType="end"/>
            </w:r>
          </w:hyperlink>
        </w:p>
        <w:p w14:paraId="65BDFE76" w14:textId="2AA3350F" w:rsidR="00F678B6" w:rsidRDefault="00000000">
          <w:pPr>
            <w:pStyle w:val="TOC1"/>
            <w:tabs>
              <w:tab w:val="right" w:leader="dot" w:pos="9016"/>
            </w:tabs>
            <w:rPr>
              <w:rFonts w:eastAsiaTheme="minorEastAsia"/>
              <w:noProof/>
              <w:lang w:eastAsia="zh-CN"/>
            </w:rPr>
          </w:pPr>
          <w:hyperlink w:anchor="_Toc155313185" w:history="1">
            <w:r w:rsidR="00F678B6" w:rsidRPr="00A3024F">
              <w:rPr>
                <w:rStyle w:val="Hyperlink"/>
                <w:noProof/>
              </w:rPr>
              <w:t>A critical review and the impacts of the above reforms' on the financial system and various banking institutions following the 2008 crisis.</w:t>
            </w:r>
            <w:r w:rsidR="00F678B6">
              <w:rPr>
                <w:noProof/>
                <w:webHidden/>
              </w:rPr>
              <w:tab/>
            </w:r>
            <w:r w:rsidR="00F678B6">
              <w:rPr>
                <w:noProof/>
                <w:webHidden/>
              </w:rPr>
              <w:fldChar w:fldCharType="begin"/>
            </w:r>
            <w:r w:rsidR="00F678B6">
              <w:rPr>
                <w:noProof/>
                <w:webHidden/>
              </w:rPr>
              <w:instrText xml:space="preserve"> PAGEREF _Toc155313185 \h </w:instrText>
            </w:r>
            <w:r w:rsidR="00F678B6">
              <w:rPr>
                <w:noProof/>
                <w:webHidden/>
              </w:rPr>
            </w:r>
            <w:r w:rsidR="00F678B6">
              <w:rPr>
                <w:noProof/>
                <w:webHidden/>
              </w:rPr>
              <w:fldChar w:fldCharType="separate"/>
            </w:r>
            <w:r w:rsidR="006F0C4F">
              <w:rPr>
                <w:noProof/>
                <w:webHidden/>
              </w:rPr>
              <w:t>11</w:t>
            </w:r>
            <w:r w:rsidR="00F678B6">
              <w:rPr>
                <w:noProof/>
                <w:webHidden/>
              </w:rPr>
              <w:fldChar w:fldCharType="end"/>
            </w:r>
          </w:hyperlink>
        </w:p>
        <w:p w14:paraId="44D7EF4D" w14:textId="22D260D1" w:rsidR="00F678B6" w:rsidRDefault="00000000">
          <w:pPr>
            <w:pStyle w:val="TOC1"/>
            <w:tabs>
              <w:tab w:val="right" w:leader="dot" w:pos="9016"/>
            </w:tabs>
            <w:rPr>
              <w:rFonts w:eastAsiaTheme="minorEastAsia"/>
              <w:noProof/>
              <w:lang w:eastAsia="zh-CN"/>
            </w:rPr>
          </w:pPr>
          <w:hyperlink w:anchor="_Toc155313186" w:history="1">
            <w:r w:rsidR="00F678B6" w:rsidRPr="00A3024F">
              <w:rPr>
                <w:rStyle w:val="Hyperlink"/>
                <w:noProof/>
              </w:rPr>
              <w:t>Impacts of the Post-2008 Crises Reforms on the Business Model of JPMorgan Chase &amp; Co.</w:t>
            </w:r>
            <w:r w:rsidR="00F678B6">
              <w:rPr>
                <w:noProof/>
                <w:webHidden/>
              </w:rPr>
              <w:tab/>
            </w:r>
            <w:r w:rsidR="00F678B6">
              <w:rPr>
                <w:noProof/>
                <w:webHidden/>
              </w:rPr>
              <w:fldChar w:fldCharType="begin"/>
            </w:r>
            <w:r w:rsidR="00F678B6">
              <w:rPr>
                <w:noProof/>
                <w:webHidden/>
              </w:rPr>
              <w:instrText xml:space="preserve"> PAGEREF _Toc155313186 \h </w:instrText>
            </w:r>
            <w:r w:rsidR="00F678B6">
              <w:rPr>
                <w:noProof/>
                <w:webHidden/>
              </w:rPr>
            </w:r>
            <w:r w:rsidR="00F678B6">
              <w:rPr>
                <w:noProof/>
                <w:webHidden/>
              </w:rPr>
              <w:fldChar w:fldCharType="separate"/>
            </w:r>
            <w:r w:rsidR="006F0C4F">
              <w:rPr>
                <w:noProof/>
                <w:webHidden/>
              </w:rPr>
              <w:t>15</w:t>
            </w:r>
            <w:r w:rsidR="00F678B6">
              <w:rPr>
                <w:noProof/>
                <w:webHidden/>
              </w:rPr>
              <w:fldChar w:fldCharType="end"/>
            </w:r>
          </w:hyperlink>
        </w:p>
        <w:p w14:paraId="2B042F2C" w14:textId="526728C0" w:rsidR="00F678B6" w:rsidRDefault="00000000">
          <w:pPr>
            <w:pStyle w:val="TOC1"/>
            <w:tabs>
              <w:tab w:val="right" w:leader="dot" w:pos="9016"/>
            </w:tabs>
            <w:rPr>
              <w:rFonts w:eastAsiaTheme="minorEastAsia"/>
              <w:noProof/>
              <w:lang w:eastAsia="zh-CN"/>
            </w:rPr>
          </w:pPr>
          <w:hyperlink w:anchor="_Toc155313187" w:history="1">
            <w:r w:rsidR="00F678B6" w:rsidRPr="00A3024F">
              <w:rPr>
                <w:rStyle w:val="Hyperlink"/>
                <w:noProof/>
              </w:rPr>
              <w:t>References</w:t>
            </w:r>
            <w:r w:rsidR="00F678B6">
              <w:rPr>
                <w:noProof/>
                <w:webHidden/>
              </w:rPr>
              <w:tab/>
            </w:r>
            <w:r w:rsidR="00F678B6">
              <w:rPr>
                <w:noProof/>
                <w:webHidden/>
              </w:rPr>
              <w:fldChar w:fldCharType="begin"/>
            </w:r>
            <w:r w:rsidR="00F678B6">
              <w:rPr>
                <w:noProof/>
                <w:webHidden/>
              </w:rPr>
              <w:instrText xml:space="preserve"> PAGEREF _Toc155313187 \h </w:instrText>
            </w:r>
            <w:r w:rsidR="00F678B6">
              <w:rPr>
                <w:noProof/>
                <w:webHidden/>
              </w:rPr>
            </w:r>
            <w:r w:rsidR="00F678B6">
              <w:rPr>
                <w:noProof/>
                <w:webHidden/>
              </w:rPr>
              <w:fldChar w:fldCharType="separate"/>
            </w:r>
            <w:r w:rsidR="006F0C4F">
              <w:rPr>
                <w:noProof/>
                <w:webHidden/>
              </w:rPr>
              <w:t>17</w:t>
            </w:r>
            <w:r w:rsidR="00F678B6">
              <w:rPr>
                <w:noProof/>
                <w:webHidden/>
              </w:rPr>
              <w:fldChar w:fldCharType="end"/>
            </w:r>
          </w:hyperlink>
        </w:p>
        <w:p w14:paraId="4C7B3999" w14:textId="5A92686D" w:rsidR="00525705" w:rsidRDefault="00525705">
          <w:r>
            <w:rPr>
              <w:b/>
              <w:bCs/>
              <w:noProof/>
            </w:rPr>
            <w:fldChar w:fldCharType="end"/>
          </w:r>
        </w:p>
      </w:sdtContent>
    </w:sdt>
    <w:p w14:paraId="137761B0" w14:textId="77777777" w:rsidR="00525705" w:rsidRDefault="00525705" w:rsidP="00525705">
      <w:pPr>
        <w:spacing w:line="276" w:lineRule="auto"/>
        <w:rPr>
          <w:rFonts w:ascii="Times New Roman" w:hAnsi="Times New Roman" w:cs="Times New Roman"/>
          <w:b/>
          <w:bCs/>
          <w:sz w:val="28"/>
          <w:szCs w:val="28"/>
          <w:lang w:val="en-US"/>
        </w:rPr>
      </w:pPr>
    </w:p>
    <w:p w14:paraId="656BA4EF" w14:textId="77777777" w:rsidR="00FA234F" w:rsidRDefault="00FA234F" w:rsidP="003A318D">
      <w:pPr>
        <w:spacing w:line="276" w:lineRule="auto"/>
        <w:jc w:val="center"/>
        <w:rPr>
          <w:rFonts w:ascii="Times New Roman" w:hAnsi="Times New Roman" w:cs="Times New Roman"/>
          <w:b/>
          <w:bCs/>
          <w:sz w:val="28"/>
          <w:szCs w:val="28"/>
          <w:lang w:val="en-US"/>
        </w:rPr>
      </w:pPr>
    </w:p>
    <w:p w14:paraId="2DB5AE41" w14:textId="77777777" w:rsidR="00FA234F" w:rsidRDefault="00FA234F" w:rsidP="003A318D">
      <w:pPr>
        <w:spacing w:line="276" w:lineRule="auto"/>
        <w:jc w:val="center"/>
        <w:rPr>
          <w:rFonts w:ascii="Times New Roman" w:hAnsi="Times New Roman" w:cs="Times New Roman"/>
          <w:b/>
          <w:bCs/>
          <w:sz w:val="28"/>
          <w:szCs w:val="28"/>
          <w:lang w:val="en-US"/>
        </w:rPr>
      </w:pPr>
    </w:p>
    <w:p w14:paraId="236B4071" w14:textId="77777777" w:rsidR="00D704BD" w:rsidRDefault="00D704BD" w:rsidP="003A318D">
      <w:pPr>
        <w:spacing w:line="276" w:lineRule="auto"/>
        <w:jc w:val="center"/>
        <w:rPr>
          <w:rFonts w:ascii="Times New Roman" w:hAnsi="Times New Roman" w:cs="Times New Roman"/>
          <w:b/>
          <w:bCs/>
          <w:sz w:val="28"/>
          <w:szCs w:val="28"/>
          <w:lang w:val="en-US"/>
        </w:rPr>
      </w:pPr>
    </w:p>
    <w:p w14:paraId="3DADF8FA" w14:textId="77777777" w:rsidR="00C26578" w:rsidRDefault="00C26578" w:rsidP="00506D9E">
      <w:pPr>
        <w:spacing w:line="276" w:lineRule="auto"/>
        <w:jc w:val="both"/>
        <w:rPr>
          <w:rFonts w:ascii="Times New Roman" w:hAnsi="Times New Roman" w:cs="Times New Roman"/>
          <w:b/>
          <w:bCs/>
          <w:sz w:val="28"/>
          <w:szCs w:val="28"/>
          <w:lang w:val="en-US"/>
        </w:rPr>
      </w:pPr>
    </w:p>
    <w:p w14:paraId="5B449E52" w14:textId="77777777" w:rsidR="00C26578" w:rsidRDefault="00C26578" w:rsidP="00506D9E">
      <w:pPr>
        <w:spacing w:line="276" w:lineRule="auto"/>
        <w:jc w:val="both"/>
        <w:rPr>
          <w:rFonts w:ascii="Times New Roman" w:hAnsi="Times New Roman" w:cs="Times New Roman"/>
          <w:b/>
          <w:bCs/>
          <w:sz w:val="28"/>
          <w:szCs w:val="28"/>
          <w:lang w:val="en-US"/>
        </w:rPr>
      </w:pPr>
    </w:p>
    <w:p w14:paraId="66430604" w14:textId="77777777" w:rsidR="00C26578" w:rsidRDefault="00C26578" w:rsidP="00506D9E">
      <w:pPr>
        <w:spacing w:line="276" w:lineRule="auto"/>
        <w:jc w:val="both"/>
        <w:rPr>
          <w:rFonts w:ascii="Times New Roman" w:hAnsi="Times New Roman" w:cs="Times New Roman"/>
          <w:b/>
          <w:bCs/>
          <w:sz w:val="28"/>
          <w:szCs w:val="28"/>
          <w:lang w:val="en-US"/>
        </w:rPr>
      </w:pPr>
    </w:p>
    <w:p w14:paraId="2F17808A" w14:textId="77777777" w:rsidR="00C26578" w:rsidRDefault="00C26578" w:rsidP="00506D9E">
      <w:pPr>
        <w:spacing w:line="276" w:lineRule="auto"/>
        <w:jc w:val="both"/>
        <w:rPr>
          <w:rFonts w:ascii="Times New Roman" w:hAnsi="Times New Roman" w:cs="Times New Roman"/>
          <w:b/>
          <w:bCs/>
          <w:sz w:val="28"/>
          <w:szCs w:val="28"/>
          <w:lang w:val="en-US"/>
        </w:rPr>
      </w:pPr>
    </w:p>
    <w:p w14:paraId="40B18BE9" w14:textId="77777777" w:rsidR="00C26578" w:rsidRDefault="00C26578" w:rsidP="00506D9E">
      <w:pPr>
        <w:spacing w:line="276" w:lineRule="auto"/>
        <w:jc w:val="both"/>
        <w:rPr>
          <w:rFonts w:ascii="Times New Roman" w:hAnsi="Times New Roman" w:cs="Times New Roman"/>
          <w:b/>
          <w:bCs/>
          <w:sz w:val="28"/>
          <w:szCs w:val="28"/>
          <w:lang w:val="en-US"/>
        </w:rPr>
      </w:pPr>
    </w:p>
    <w:p w14:paraId="24075B35" w14:textId="77777777" w:rsidR="00C26578" w:rsidRDefault="00C26578" w:rsidP="00506D9E">
      <w:pPr>
        <w:spacing w:line="276" w:lineRule="auto"/>
        <w:jc w:val="both"/>
        <w:rPr>
          <w:rFonts w:ascii="Times New Roman" w:hAnsi="Times New Roman" w:cs="Times New Roman"/>
          <w:b/>
          <w:bCs/>
          <w:sz w:val="28"/>
          <w:szCs w:val="28"/>
          <w:lang w:val="en-US"/>
        </w:rPr>
      </w:pPr>
    </w:p>
    <w:p w14:paraId="21BEBE89" w14:textId="77777777" w:rsidR="00C26578" w:rsidRDefault="00C26578" w:rsidP="00506D9E">
      <w:pPr>
        <w:spacing w:line="276" w:lineRule="auto"/>
        <w:jc w:val="both"/>
        <w:rPr>
          <w:rFonts w:ascii="Times New Roman" w:hAnsi="Times New Roman" w:cs="Times New Roman"/>
          <w:b/>
          <w:bCs/>
          <w:sz w:val="28"/>
          <w:szCs w:val="28"/>
          <w:lang w:val="en-US"/>
        </w:rPr>
      </w:pPr>
    </w:p>
    <w:p w14:paraId="79F38889" w14:textId="77777777" w:rsidR="00C26578" w:rsidRDefault="00C26578" w:rsidP="00506D9E">
      <w:pPr>
        <w:spacing w:line="276" w:lineRule="auto"/>
        <w:jc w:val="both"/>
        <w:rPr>
          <w:rFonts w:ascii="Times New Roman" w:hAnsi="Times New Roman" w:cs="Times New Roman"/>
          <w:b/>
          <w:bCs/>
          <w:sz w:val="28"/>
          <w:szCs w:val="28"/>
          <w:lang w:val="en-US"/>
        </w:rPr>
      </w:pPr>
    </w:p>
    <w:p w14:paraId="73447DFF" w14:textId="77777777" w:rsidR="00C26578" w:rsidRDefault="00C26578" w:rsidP="00506D9E">
      <w:pPr>
        <w:spacing w:line="276" w:lineRule="auto"/>
        <w:jc w:val="both"/>
        <w:rPr>
          <w:rFonts w:ascii="Times New Roman" w:hAnsi="Times New Roman" w:cs="Times New Roman"/>
          <w:b/>
          <w:bCs/>
          <w:sz w:val="28"/>
          <w:szCs w:val="28"/>
          <w:lang w:val="en-US"/>
        </w:rPr>
      </w:pPr>
    </w:p>
    <w:p w14:paraId="67D58FB7" w14:textId="77777777" w:rsidR="00C26578" w:rsidRDefault="00C26578" w:rsidP="00506D9E">
      <w:pPr>
        <w:spacing w:line="276" w:lineRule="auto"/>
        <w:jc w:val="both"/>
        <w:rPr>
          <w:rFonts w:ascii="Times New Roman" w:hAnsi="Times New Roman" w:cs="Times New Roman"/>
          <w:b/>
          <w:bCs/>
          <w:sz w:val="28"/>
          <w:szCs w:val="28"/>
          <w:lang w:val="en-US"/>
        </w:rPr>
      </w:pPr>
    </w:p>
    <w:p w14:paraId="56CBE009" w14:textId="77777777" w:rsidR="00C26578" w:rsidRDefault="00C26578" w:rsidP="00506D9E">
      <w:pPr>
        <w:spacing w:line="276" w:lineRule="auto"/>
        <w:jc w:val="both"/>
        <w:rPr>
          <w:rFonts w:ascii="Times New Roman" w:hAnsi="Times New Roman" w:cs="Times New Roman"/>
          <w:b/>
          <w:bCs/>
          <w:sz w:val="28"/>
          <w:szCs w:val="28"/>
          <w:lang w:val="en-US"/>
        </w:rPr>
      </w:pPr>
    </w:p>
    <w:p w14:paraId="573B33F4" w14:textId="77777777" w:rsidR="00C26578" w:rsidRDefault="00C26578" w:rsidP="00506D9E">
      <w:pPr>
        <w:spacing w:line="276" w:lineRule="auto"/>
        <w:jc w:val="both"/>
        <w:rPr>
          <w:rFonts w:ascii="Times New Roman" w:hAnsi="Times New Roman" w:cs="Times New Roman"/>
          <w:b/>
          <w:bCs/>
          <w:sz w:val="28"/>
          <w:szCs w:val="28"/>
          <w:lang w:val="en-US"/>
        </w:rPr>
      </w:pPr>
    </w:p>
    <w:p w14:paraId="10CB6F0A" w14:textId="77777777" w:rsidR="00C26578" w:rsidRDefault="00C26578" w:rsidP="00506D9E">
      <w:pPr>
        <w:spacing w:line="276" w:lineRule="auto"/>
        <w:jc w:val="both"/>
        <w:rPr>
          <w:rFonts w:ascii="Times New Roman" w:hAnsi="Times New Roman" w:cs="Times New Roman"/>
          <w:b/>
          <w:bCs/>
          <w:sz w:val="28"/>
          <w:szCs w:val="28"/>
          <w:lang w:val="en-US"/>
        </w:rPr>
      </w:pPr>
    </w:p>
    <w:p w14:paraId="3EAEF85E" w14:textId="77777777" w:rsidR="00C26578" w:rsidRDefault="00C26578" w:rsidP="00506D9E">
      <w:pPr>
        <w:spacing w:line="276" w:lineRule="auto"/>
        <w:jc w:val="both"/>
        <w:rPr>
          <w:rFonts w:ascii="Times New Roman" w:hAnsi="Times New Roman" w:cs="Times New Roman"/>
          <w:b/>
          <w:bCs/>
          <w:sz w:val="28"/>
          <w:szCs w:val="28"/>
          <w:lang w:val="en-US"/>
        </w:rPr>
      </w:pPr>
    </w:p>
    <w:p w14:paraId="184237C0" w14:textId="2904B398" w:rsidR="00704C7B" w:rsidRPr="005F10D2" w:rsidRDefault="00704C7B" w:rsidP="00506D9E">
      <w:pPr>
        <w:spacing w:line="276" w:lineRule="auto"/>
        <w:jc w:val="both"/>
        <w:rPr>
          <w:rFonts w:ascii="Times New Roman" w:hAnsi="Times New Roman" w:cs="Times New Roman"/>
          <w:b/>
          <w:bCs/>
          <w:color w:val="4472C4" w:themeColor="accent1"/>
          <w:sz w:val="28"/>
          <w:szCs w:val="28"/>
          <w:lang w:val="en-US"/>
        </w:rPr>
      </w:pPr>
      <w:r w:rsidRPr="005F10D2">
        <w:rPr>
          <w:rFonts w:ascii="Times New Roman" w:hAnsi="Times New Roman" w:cs="Times New Roman"/>
          <w:b/>
          <w:bCs/>
          <w:color w:val="4472C4" w:themeColor="accent1"/>
          <w:sz w:val="28"/>
          <w:szCs w:val="28"/>
          <w:lang w:val="en-US"/>
        </w:rPr>
        <w:lastRenderedPageBreak/>
        <w:t>List of Tables:</w:t>
      </w:r>
    </w:p>
    <w:p w14:paraId="210144F2" w14:textId="2D0D77EE" w:rsidR="00704C7B" w:rsidRPr="00B47341" w:rsidRDefault="00704C7B">
      <w:pPr>
        <w:pStyle w:val="TableofFigures"/>
        <w:tabs>
          <w:tab w:val="right" w:leader="dot" w:pos="9016"/>
        </w:tabs>
        <w:rPr>
          <w:rFonts w:ascii="Times New Roman" w:hAnsi="Times New Roman" w:cs="Times New Roman"/>
          <w:noProof/>
          <w:sz w:val="24"/>
          <w:szCs w:val="24"/>
        </w:rPr>
      </w:pPr>
      <w:r>
        <w:rPr>
          <w:rFonts w:ascii="Times New Roman" w:hAnsi="Times New Roman" w:cs="Times New Roman"/>
          <w:b/>
          <w:bCs/>
          <w:sz w:val="28"/>
          <w:szCs w:val="28"/>
          <w:lang w:val="en-US"/>
        </w:rPr>
        <w:fldChar w:fldCharType="begin"/>
      </w:r>
      <w:r>
        <w:rPr>
          <w:rFonts w:ascii="Times New Roman" w:hAnsi="Times New Roman" w:cs="Times New Roman"/>
          <w:b/>
          <w:bCs/>
          <w:sz w:val="28"/>
          <w:szCs w:val="28"/>
          <w:lang w:val="en-US"/>
        </w:rPr>
        <w:instrText xml:space="preserve"> TOC \h \z \c "Table" </w:instrText>
      </w:r>
      <w:r>
        <w:rPr>
          <w:rFonts w:ascii="Times New Roman" w:hAnsi="Times New Roman" w:cs="Times New Roman"/>
          <w:b/>
          <w:bCs/>
          <w:sz w:val="28"/>
          <w:szCs w:val="28"/>
          <w:lang w:val="en-US"/>
        </w:rPr>
        <w:fldChar w:fldCharType="separate"/>
      </w:r>
      <w:hyperlink w:anchor="_Toc155301575" w:history="1">
        <w:r w:rsidRPr="00B47341">
          <w:rPr>
            <w:rStyle w:val="Hyperlink"/>
            <w:rFonts w:ascii="Times New Roman" w:hAnsi="Times New Roman" w:cs="Times New Roman"/>
            <w:noProof/>
            <w:sz w:val="24"/>
            <w:szCs w:val="24"/>
          </w:rPr>
          <w:t>Table 1: Key reform in the Dodd-Frank Act</w:t>
        </w:r>
        <w:r w:rsidRPr="00B47341">
          <w:rPr>
            <w:rFonts w:ascii="Times New Roman" w:hAnsi="Times New Roman" w:cs="Times New Roman"/>
            <w:noProof/>
            <w:webHidden/>
            <w:sz w:val="24"/>
            <w:szCs w:val="24"/>
          </w:rPr>
          <w:tab/>
        </w:r>
        <w:r w:rsidRPr="00B47341">
          <w:rPr>
            <w:rFonts w:ascii="Times New Roman" w:hAnsi="Times New Roman" w:cs="Times New Roman"/>
            <w:noProof/>
            <w:webHidden/>
            <w:sz w:val="24"/>
            <w:szCs w:val="24"/>
          </w:rPr>
          <w:fldChar w:fldCharType="begin"/>
        </w:r>
        <w:r w:rsidRPr="00B47341">
          <w:rPr>
            <w:rFonts w:ascii="Times New Roman" w:hAnsi="Times New Roman" w:cs="Times New Roman"/>
            <w:noProof/>
            <w:webHidden/>
            <w:sz w:val="24"/>
            <w:szCs w:val="24"/>
          </w:rPr>
          <w:instrText xml:space="preserve"> PAGEREF _Toc155301575 \h </w:instrText>
        </w:r>
        <w:r w:rsidRPr="00B47341">
          <w:rPr>
            <w:rFonts w:ascii="Times New Roman" w:hAnsi="Times New Roman" w:cs="Times New Roman"/>
            <w:noProof/>
            <w:webHidden/>
            <w:sz w:val="24"/>
            <w:szCs w:val="24"/>
          </w:rPr>
        </w:r>
        <w:r w:rsidRPr="00B47341">
          <w:rPr>
            <w:rFonts w:ascii="Times New Roman" w:hAnsi="Times New Roman" w:cs="Times New Roman"/>
            <w:noProof/>
            <w:webHidden/>
            <w:sz w:val="24"/>
            <w:szCs w:val="24"/>
          </w:rPr>
          <w:fldChar w:fldCharType="separate"/>
        </w:r>
        <w:r w:rsidR="006F0C4F">
          <w:rPr>
            <w:rFonts w:ascii="Times New Roman" w:hAnsi="Times New Roman" w:cs="Times New Roman"/>
            <w:noProof/>
            <w:webHidden/>
            <w:sz w:val="24"/>
            <w:szCs w:val="24"/>
          </w:rPr>
          <w:t>5</w:t>
        </w:r>
        <w:r w:rsidRPr="00B47341">
          <w:rPr>
            <w:rFonts w:ascii="Times New Roman" w:hAnsi="Times New Roman" w:cs="Times New Roman"/>
            <w:noProof/>
            <w:webHidden/>
            <w:sz w:val="24"/>
            <w:szCs w:val="24"/>
          </w:rPr>
          <w:fldChar w:fldCharType="end"/>
        </w:r>
      </w:hyperlink>
    </w:p>
    <w:p w14:paraId="240EFE14" w14:textId="48BEBB33" w:rsidR="00704C7B" w:rsidRDefault="00704C7B" w:rsidP="00506D9E">
      <w:pPr>
        <w:spacing w:line="276" w:lineRule="auto"/>
        <w:jc w:val="both"/>
        <w:rPr>
          <w:rFonts w:ascii="Times New Roman" w:hAnsi="Times New Roman" w:cs="Times New Roman"/>
          <w:b/>
          <w:bCs/>
          <w:sz w:val="28"/>
          <w:szCs w:val="28"/>
          <w:lang w:val="en-US"/>
        </w:rPr>
      </w:pPr>
      <w:r>
        <w:rPr>
          <w:rFonts w:ascii="Times New Roman" w:hAnsi="Times New Roman" w:cs="Times New Roman"/>
          <w:b/>
          <w:bCs/>
          <w:sz w:val="28"/>
          <w:szCs w:val="28"/>
          <w:lang w:val="en-US"/>
        </w:rPr>
        <w:fldChar w:fldCharType="end"/>
      </w:r>
    </w:p>
    <w:p w14:paraId="5EEE7217" w14:textId="77777777" w:rsidR="00C26578" w:rsidRDefault="00C26578" w:rsidP="00506D9E">
      <w:pPr>
        <w:spacing w:line="276" w:lineRule="auto"/>
        <w:jc w:val="both"/>
        <w:rPr>
          <w:rFonts w:ascii="Times New Roman" w:hAnsi="Times New Roman" w:cs="Times New Roman"/>
          <w:b/>
          <w:bCs/>
          <w:sz w:val="28"/>
          <w:szCs w:val="28"/>
          <w:lang w:val="en-US"/>
        </w:rPr>
      </w:pPr>
    </w:p>
    <w:p w14:paraId="7FD1297E" w14:textId="195DEC07" w:rsidR="00C26578" w:rsidRPr="005F10D2" w:rsidRDefault="005F10D2" w:rsidP="00506D9E">
      <w:pPr>
        <w:spacing w:line="276" w:lineRule="auto"/>
        <w:jc w:val="both"/>
        <w:rPr>
          <w:rFonts w:ascii="Times New Roman" w:hAnsi="Times New Roman" w:cs="Times New Roman"/>
          <w:b/>
          <w:bCs/>
          <w:color w:val="4472C4" w:themeColor="accent1"/>
          <w:sz w:val="28"/>
          <w:szCs w:val="28"/>
          <w:lang w:val="en-US"/>
        </w:rPr>
      </w:pPr>
      <w:r w:rsidRPr="005F10D2">
        <w:rPr>
          <w:rFonts w:ascii="Times New Roman" w:hAnsi="Times New Roman" w:cs="Times New Roman"/>
          <w:b/>
          <w:bCs/>
          <w:color w:val="4472C4" w:themeColor="accent1"/>
          <w:sz w:val="28"/>
          <w:szCs w:val="28"/>
          <w:lang w:val="en-US"/>
        </w:rPr>
        <w:t>List of Figures:</w:t>
      </w:r>
    </w:p>
    <w:p w14:paraId="0794FAEC" w14:textId="53425E26" w:rsidR="005F10D2" w:rsidRPr="00B47341" w:rsidRDefault="005F10D2">
      <w:pPr>
        <w:pStyle w:val="TableofFigures"/>
        <w:tabs>
          <w:tab w:val="right" w:leader="dot" w:pos="9016"/>
        </w:tabs>
        <w:rPr>
          <w:rFonts w:ascii="Times New Roman" w:eastAsiaTheme="minorEastAsia" w:hAnsi="Times New Roman" w:cs="Times New Roman"/>
          <w:noProof/>
          <w:sz w:val="24"/>
          <w:szCs w:val="24"/>
          <w:lang w:eastAsia="zh-CN"/>
        </w:rPr>
      </w:pPr>
      <w:r w:rsidRPr="00B47341">
        <w:rPr>
          <w:rFonts w:ascii="Times New Roman" w:hAnsi="Times New Roman" w:cs="Times New Roman"/>
          <w:b/>
          <w:bCs/>
          <w:sz w:val="24"/>
          <w:szCs w:val="24"/>
          <w:lang w:val="en-US"/>
        </w:rPr>
        <w:fldChar w:fldCharType="begin"/>
      </w:r>
      <w:r w:rsidRPr="00B47341">
        <w:rPr>
          <w:rFonts w:ascii="Times New Roman" w:hAnsi="Times New Roman" w:cs="Times New Roman"/>
          <w:b/>
          <w:bCs/>
          <w:sz w:val="24"/>
          <w:szCs w:val="24"/>
          <w:lang w:val="en-US"/>
        </w:rPr>
        <w:instrText xml:space="preserve"> TOC \h \z \c "Figure" </w:instrText>
      </w:r>
      <w:r w:rsidRPr="00B47341">
        <w:rPr>
          <w:rFonts w:ascii="Times New Roman" w:hAnsi="Times New Roman" w:cs="Times New Roman"/>
          <w:b/>
          <w:bCs/>
          <w:sz w:val="24"/>
          <w:szCs w:val="24"/>
          <w:lang w:val="en-US"/>
        </w:rPr>
        <w:fldChar w:fldCharType="separate"/>
      </w:r>
      <w:hyperlink w:anchor="_Toc155301635" w:history="1">
        <w:r w:rsidRPr="00B47341">
          <w:rPr>
            <w:rStyle w:val="Hyperlink"/>
            <w:rFonts w:ascii="Times New Roman" w:hAnsi="Times New Roman" w:cs="Times New Roman"/>
            <w:noProof/>
            <w:sz w:val="24"/>
            <w:szCs w:val="24"/>
          </w:rPr>
          <w:t>Figure 1: Three Pillars of Banking Union</w:t>
        </w:r>
        <w:r w:rsidRPr="00B47341">
          <w:rPr>
            <w:rFonts w:ascii="Times New Roman" w:hAnsi="Times New Roman" w:cs="Times New Roman"/>
            <w:noProof/>
            <w:webHidden/>
            <w:sz w:val="24"/>
            <w:szCs w:val="24"/>
          </w:rPr>
          <w:tab/>
        </w:r>
        <w:r w:rsidRPr="00B47341">
          <w:rPr>
            <w:rFonts w:ascii="Times New Roman" w:hAnsi="Times New Roman" w:cs="Times New Roman"/>
            <w:noProof/>
            <w:webHidden/>
            <w:sz w:val="24"/>
            <w:szCs w:val="24"/>
          </w:rPr>
          <w:fldChar w:fldCharType="begin"/>
        </w:r>
        <w:r w:rsidRPr="00B47341">
          <w:rPr>
            <w:rFonts w:ascii="Times New Roman" w:hAnsi="Times New Roman" w:cs="Times New Roman"/>
            <w:noProof/>
            <w:webHidden/>
            <w:sz w:val="24"/>
            <w:szCs w:val="24"/>
          </w:rPr>
          <w:instrText xml:space="preserve"> PAGEREF _Toc155301635 \h </w:instrText>
        </w:r>
        <w:r w:rsidRPr="00B47341">
          <w:rPr>
            <w:rFonts w:ascii="Times New Roman" w:hAnsi="Times New Roman" w:cs="Times New Roman"/>
            <w:noProof/>
            <w:webHidden/>
            <w:sz w:val="24"/>
            <w:szCs w:val="24"/>
          </w:rPr>
        </w:r>
        <w:r w:rsidRPr="00B47341">
          <w:rPr>
            <w:rFonts w:ascii="Times New Roman" w:hAnsi="Times New Roman" w:cs="Times New Roman"/>
            <w:noProof/>
            <w:webHidden/>
            <w:sz w:val="24"/>
            <w:szCs w:val="24"/>
          </w:rPr>
          <w:fldChar w:fldCharType="separate"/>
        </w:r>
        <w:r w:rsidR="006F0C4F">
          <w:rPr>
            <w:rFonts w:ascii="Times New Roman" w:hAnsi="Times New Roman" w:cs="Times New Roman"/>
            <w:noProof/>
            <w:webHidden/>
            <w:sz w:val="24"/>
            <w:szCs w:val="24"/>
          </w:rPr>
          <w:t>8</w:t>
        </w:r>
        <w:r w:rsidRPr="00B47341">
          <w:rPr>
            <w:rFonts w:ascii="Times New Roman" w:hAnsi="Times New Roman" w:cs="Times New Roman"/>
            <w:noProof/>
            <w:webHidden/>
            <w:sz w:val="24"/>
            <w:szCs w:val="24"/>
          </w:rPr>
          <w:fldChar w:fldCharType="end"/>
        </w:r>
      </w:hyperlink>
    </w:p>
    <w:p w14:paraId="796AEF45" w14:textId="2B144C74" w:rsidR="005F10D2" w:rsidRPr="00B47341" w:rsidRDefault="00000000">
      <w:pPr>
        <w:pStyle w:val="TableofFigures"/>
        <w:tabs>
          <w:tab w:val="right" w:leader="dot" w:pos="9016"/>
        </w:tabs>
        <w:rPr>
          <w:rFonts w:ascii="Times New Roman" w:eastAsiaTheme="minorEastAsia" w:hAnsi="Times New Roman" w:cs="Times New Roman"/>
          <w:noProof/>
          <w:sz w:val="24"/>
          <w:szCs w:val="24"/>
          <w:lang w:eastAsia="zh-CN"/>
        </w:rPr>
      </w:pPr>
      <w:hyperlink w:anchor="_Toc155301636" w:history="1">
        <w:r w:rsidR="005F10D2" w:rsidRPr="00B47341">
          <w:rPr>
            <w:rStyle w:val="Hyperlink"/>
            <w:rFonts w:ascii="Times New Roman" w:hAnsi="Times New Roman" w:cs="Times New Roman"/>
            <w:noProof/>
            <w:sz w:val="24"/>
            <w:szCs w:val="24"/>
          </w:rPr>
          <w:t>Figure 2: The European System of Financial Supervision (ESFS)</w:t>
        </w:r>
        <w:r w:rsidR="005F10D2" w:rsidRPr="00B47341">
          <w:rPr>
            <w:rFonts w:ascii="Times New Roman" w:hAnsi="Times New Roman" w:cs="Times New Roman"/>
            <w:noProof/>
            <w:webHidden/>
            <w:sz w:val="24"/>
            <w:szCs w:val="24"/>
          </w:rPr>
          <w:tab/>
        </w:r>
        <w:r w:rsidR="005F10D2" w:rsidRPr="00B47341">
          <w:rPr>
            <w:rFonts w:ascii="Times New Roman" w:hAnsi="Times New Roman" w:cs="Times New Roman"/>
            <w:noProof/>
            <w:webHidden/>
            <w:sz w:val="24"/>
            <w:szCs w:val="24"/>
          </w:rPr>
          <w:fldChar w:fldCharType="begin"/>
        </w:r>
        <w:r w:rsidR="005F10D2" w:rsidRPr="00B47341">
          <w:rPr>
            <w:rFonts w:ascii="Times New Roman" w:hAnsi="Times New Roman" w:cs="Times New Roman"/>
            <w:noProof/>
            <w:webHidden/>
            <w:sz w:val="24"/>
            <w:szCs w:val="24"/>
          </w:rPr>
          <w:instrText xml:space="preserve"> PAGEREF _Toc155301636 \h </w:instrText>
        </w:r>
        <w:r w:rsidR="005F10D2" w:rsidRPr="00B47341">
          <w:rPr>
            <w:rFonts w:ascii="Times New Roman" w:hAnsi="Times New Roman" w:cs="Times New Roman"/>
            <w:noProof/>
            <w:webHidden/>
            <w:sz w:val="24"/>
            <w:szCs w:val="24"/>
          </w:rPr>
        </w:r>
        <w:r w:rsidR="005F10D2" w:rsidRPr="00B47341">
          <w:rPr>
            <w:rFonts w:ascii="Times New Roman" w:hAnsi="Times New Roman" w:cs="Times New Roman"/>
            <w:noProof/>
            <w:webHidden/>
            <w:sz w:val="24"/>
            <w:szCs w:val="24"/>
          </w:rPr>
          <w:fldChar w:fldCharType="separate"/>
        </w:r>
        <w:r w:rsidR="006F0C4F">
          <w:rPr>
            <w:rFonts w:ascii="Times New Roman" w:hAnsi="Times New Roman" w:cs="Times New Roman"/>
            <w:noProof/>
            <w:webHidden/>
            <w:sz w:val="24"/>
            <w:szCs w:val="24"/>
          </w:rPr>
          <w:t>10</w:t>
        </w:r>
        <w:r w:rsidR="005F10D2" w:rsidRPr="00B47341">
          <w:rPr>
            <w:rFonts w:ascii="Times New Roman" w:hAnsi="Times New Roman" w:cs="Times New Roman"/>
            <w:noProof/>
            <w:webHidden/>
            <w:sz w:val="24"/>
            <w:szCs w:val="24"/>
          </w:rPr>
          <w:fldChar w:fldCharType="end"/>
        </w:r>
      </w:hyperlink>
    </w:p>
    <w:p w14:paraId="0D8BC381" w14:textId="166A2B78" w:rsidR="00C26578" w:rsidRDefault="005F10D2" w:rsidP="00506D9E">
      <w:pPr>
        <w:spacing w:line="276" w:lineRule="auto"/>
        <w:jc w:val="both"/>
        <w:rPr>
          <w:rFonts w:ascii="Times New Roman" w:hAnsi="Times New Roman" w:cs="Times New Roman"/>
          <w:b/>
          <w:bCs/>
          <w:sz w:val="28"/>
          <w:szCs w:val="28"/>
          <w:lang w:val="en-US"/>
        </w:rPr>
      </w:pPr>
      <w:r w:rsidRPr="00B47341">
        <w:rPr>
          <w:rFonts w:ascii="Times New Roman" w:hAnsi="Times New Roman" w:cs="Times New Roman"/>
          <w:b/>
          <w:bCs/>
          <w:sz w:val="24"/>
          <w:szCs w:val="24"/>
          <w:lang w:val="en-US"/>
        </w:rPr>
        <w:fldChar w:fldCharType="end"/>
      </w:r>
    </w:p>
    <w:p w14:paraId="051E841A" w14:textId="77777777" w:rsidR="00C26578" w:rsidRDefault="00C26578" w:rsidP="00506D9E">
      <w:pPr>
        <w:spacing w:line="276" w:lineRule="auto"/>
        <w:jc w:val="both"/>
        <w:rPr>
          <w:rFonts w:ascii="Times New Roman" w:hAnsi="Times New Roman" w:cs="Times New Roman"/>
          <w:b/>
          <w:bCs/>
          <w:sz w:val="28"/>
          <w:szCs w:val="28"/>
          <w:lang w:val="en-US"/>
        </w:rPr>
      </w:pPr>
    </w:p>
    <w:p w14:paraId="6E2B772C" w14:textId="77777777" w:rsidR="00C26578" w:rsidRDefault="00C26578" w:rsidP="00506D9E">
      <w:pPr>
        <w:spacing w:line="276" w:lineRule="auto"/>
        <w:jc w:val="both"/>
        <w:rPr>
          <w:rFonts w:ascii="Times New Roman" w:hAnsi="Times New Roman" w:cs="Times New Roman"/>
          <w:b/>
          <w:bCs/>
          <w:sz w:val="28"/>
          <w:szCs w:val="28"/>
          <w:lang w:val="en-US"/>
        </w:rPr>
      </w:pPr>
    </w:p>
    <w:p w14:paraId="3864B9B4" w14:textId="77777777" w:rsidR="00C26578" w:rsidRDefault="00C26578" w:rsidP="00506D9E">
      <w:pPr>
        <w:spacing w:line="276" w:lineRule="auto"/>
        <w:jc w:val="both"/>
        <w:rPr>
          <w:rFonts w:ascii="Times New Roman" w:hAnsi="Times New Roman" w:cs="Times New Roman"/>
          <w:b/>
          <w:bCs/>
          <w:sz w:val="28"/>
          <w:szCs w:val="28"/>
          <w:lang w:val="en-US"/>
        </w:rPr>
      </w:pPr>
    </w:p>
    <w:p w14:paraId="0CE2AD1A" w14:textId="77777777" w:rsidR="00C26578" w:rsidRDefault="00C26578" w:rsidP="00506D9E">
      <w:pPr>
        <w:spacing w:line="276" w:lineRule="auto"/>
        <w:jc w:val="both"/>
        <w:rPr>
          <w:rFonts w:ascii="Times New Roman" w:hAnsi="Times New Roman" w:cs="Times New Roman"/>
          <w:b/>
          <w:bCs/>
          <w:sz w:val="28"/>
          <w:szCs w:val="28"/>
          <w:lang w:val="en-US"/>
        </w:rPr>
      </w:pPr>
    </w:p>
    <w:p w14:paraId="6F833309" w14:textId="77777777" w:rsidR="00C26578" w:rsidRDefault="00C26578" w:rsidP="00506D9E">
      <w:pPr>
        <w:spacing w:line="276" w:lineRule="auto"/>
        <w:jc w:val="both"/>
        <w:rPr>
          <w:rFonts w:ascii="Times New Roman" w:hAnsi="Times New Roman" w:cs="Times New Roman"/>
          <w:b/>
          <w:bCs/>
          <w:sz w:val="28"/>
          <w:szCs w:val="28"/>
          <w:lang w:val="en-US"/>
        </w:rPr>
      </w:pPr>
    </w:p>
    <w:p w14:paraId="06FEE1AD" w14:textId="77777777" w:rsidR="00C26578" w:rsidRDefault="00C26578" w:rsidP="00506D9E">
      <w:pPr>
        <w:spacing w:line="276" w:lineRule="auto"/>
        <w:jc w:val="both"/>
        <w:rPr>
          <w:rFonts w:ascii="Times New Roman" w:hAnsi="Times New Roman" w:cs="Times New Roman"/>
          <w:b/>
          <w:bCs/>
          <w:sz w:val="28"/>
          <w:szCs w:val="28"/>
          <w:lang w:val="en-US"/>
        </w:rPr>
      </w:pPr>
    </w:p>
    <w:p w14:paraId="3BCCB9F5" w14:textId="77777777" w:rsidR="00C26578" w:rsidRDefault="00C26578" w:rsidP="00506D9E">
      <w:pPr>
        <w:spacing w:line="276" w:lineRule="auto"/>
        <w:jc w:val="both"/>
        <w:rPr>
          <w:rFonts w:ascii="Times New Roman" w:hAnsi="Times New Roman" w:cs="Times New Roman"/>
          <w:b/>
          <w:bCs/>
          <w:sz w:val="28"/>
          <w:szCs w:val="28"/>
          <w:lang w:val="en-US"/>
        </w:rPr>
      </w:pPr>
    </w:p>
    <w:p w14:paraId="00890B13" w14:textId="77777777" w:rsidR="00C26578" w:rsidRDefault="00C26578" w:rsidP="00506D9E">
      <w:pPr>
        <w:spacing w:line="276" w:lineRule="auto"/>
        <w:jc w:val="both"/>
        <w:rPr>
          <w:rFonts w:ascii="Times New Roman" w:hAnsi="Times New Roman" w:cs="Times New Roman"/>
          <w:b/>
          <w:bCs/>
          <w:sz w:val="28"/>
          <w:szCs w:val="28"/>
          <w:lang w:val="en-US"/>
        </w:rPr>
      </w:pPr>
    </w:p>
    <w:p w14:paraId="09BB1703" w14:textId="77777777" w:rsidR="00C26578" w:rsidRDefault="00C26578" w:rsidP="00506D9E">
      <w:pPr>
        <w:spacing w:line="276" w:lineRule="auto"/>
        <w:jc w:val="both"/>
        <w:rPr>
          <w:rFonts w:ascii="Times New Roman" w:hAnsi="Times New Roman" w:cs="Times New Roman"/>
          <w:b/>
          <w:bCs/>
          <w:sz w:val="28"/>
          <w:szCs w:val="28"/>
          <w:lang w:val="en-US"/>
        </w:rPr>
      </w:pPr>
    </w:p>
    <w:p w14:paraId="520F7B05" w14:textId="77777777" w:rsidR="00C26578" w:rsidRDefault="00C26578" w:rsidP="00506D9E">
      <w:pPr>
        <w:spacing w:line="276" w:lineRule="auto"/>
        <w:jc w:val="both"/>
        <w:rPr>
          <w:rFonts w:ascii="Times New Roman" w:hAnsi="Times New Roman" w:cs="Times New Roman"/>
          <w:b/>
          <w:bCs/>
          <w:sz w:val="28"/>
          <w:szCs w:val="28"/>
          <w:lang w:val="en-US"/>
        </w:rPr>
      </w:pPr>
    </w:p>
    <w:p w14:paraId="167AF2EB" w14:textId="77777777" w:rsidR="00C26578" w:rsidRDefault="00C26578" w:rsidP="00506D9E">
      <w:pPr>
        <w:spacing w:line="276" w:lineRule="auto"/>
        <w:jc w:val="both"/>
        <w:rPr>
          <w:rFonts w:ascii="Times New Roman" w:hAnsi="Times New Roman" w:cs="Times New Roman"/>
          <w:b/>
          <w:bCs/>
          <w:sz w:val="28"/>
          <w:szCs w:val="28"/>
          <w:lang w:val="en-US"/>
        </w:rPr>
      </w:pPr>
    </w:p>
    <w:p w14:paraId="14B0D5E8" w14:textId="77777777" w:rsidR="00C26578" w:rsidRDefault="00C26578" w:rsidP="00506D9E">
      <w:pPr>
        <w:spacing w:line="276" w:lineRule="auto"/>
        <w:jc w:val="both"/>
        <w:rPr>
          <w:rFonts w:ascii="Times New Roman" w:hAnsi="Times New Roman" w:cs="Times New Roman"/>
          <w:b/>
          <w:bCs/>
          <w:sz w:val="28"/>
          <w:szCs w:val="28"/>
          <w:lang w:val="en-US"/>
        </w:rPr>
      </w:pPr>
    </w:p>
    <w:p w14:paraId="418B9539" w14:textId="77777777" w:rsidR="00C26578" w:rsidRDefault="00C26578" w:rsidP="00506D9E">
      <w:pPr>
        <w:spacing w:line="276" w:lineRule="auto"/>
        <w:jc w:val="both"/>
        <w:rPr>
          <w:rFonts w:ascii="Times New Roman" w:hAnsi="Times New Roman" w:cs="Times New Roman"/>
          <w:b/>
          <w:bCs/>
          <w:sz w:val="28"/>
          <w:szCs w:val="28"/>
          <w:lang w:val="en-US"/>
        </w:rPr>
      </w:pPr>
    </w:p>
    <w:p w14:paraId="4B5B546C" w14:textId="77777777" w:rsidR="00C26578" w:rsidRDefault="00C26578" w:rsidP="00506D9E">
      <w:pPr>
        <w:spacing w:line="276" w:lineRule="auto"/>
        <w:jc w:val="both"/>
        <w:rPr>
          <w:rFonts w:ascii="Times New Roman" w:hAnsi="Times New Roman" w:cs="Times New Roman"/>
          <w:b/>
          <w:bCs/>
          <w:sz w:val="28"/>
          <w:szCs w:val="28"/>
          <w:lang w:val="en-US"/>
        </w:rPr>
      </w:pPr>
    </w:p>
    <w:p w14:paraId="07ADC373" w14:textId="77777777" w:rsidR="00C26578" w:rsidRDefault="00C26578" w:rsidP="00506D9E">
      <w:pPr>
        <w:spacing w:line="276" w:lineRule="auto"/>
        <w:jc w:val="both"/>
        <w:rPr>
          <w:rFonts w:ascii="Times New Roman" w:hAnsi="Times New Roman" w:cs="Times New Roman"/>
          <w:b/>
          <w:bCs/>
          <w:sz w:val="28"/>
          <w:szCs w:val="28"/>
          <w:lang w:val="en-US"/>
        </w:rPr>
      </w:pPr>
    </w:p>
    <w:p w14:paraId="3326252D" w14:textId="77777777" w:rsidR="00C26578" w:rsidRDefault="00C26578" w:rsidP="00506D9E">
      <w:pPr>
        <w:spacing w:line="276" w:lineRule="auto"/>
        <w:jc w:val="both"/>
        <w:rPr>
          <w:rFonts w:ascii="Times New Roman" w:hAnsi="Times New Roman" w:cs="Times New Roman"/>
          <w:b/>
          <w:bCs/>
          <w:sz w:val="28"/>
          <w:szCs w:val="28"/>
          <w:lang w:val="en-US"/>
        </w:rPr>
      </w:pPr>
    </w:p>
    <w:p w14:paraId="4462C680" w14:textId="77777777" w:rsidR="00C26578" w:rsidRDefault="00C26578" w:rsidP="00506D9E">
      <w:pPr>
        <w:spacing w:line="276" w:lineRule="auto"/>
        <w:jc w:val="both"/>
        <w:rPr>
          <w:rFonts w:ascii="Times New Roman" w:hAnsi="Times New Roman" w:cs="Times New Roman"/>
          <w:b/>
          <w:bCs/>
          <w:sz w:val="28"/>
          <w:szCs w:val="28"/>
          <w:lang w:val="en-US"/>
        </w:rPr>
      </w:pPr>
    </w:p>
    <w:p w14:paraId="0FFE49E4" w14:textId="77777777" w:rsidR="00C26578" w:rsidRDefault="00C26578" w:rsidP="00506D9E">
      <w:pPr>
        <w:spacing w:line="276" w:lineRule="auto"/>
        <w:jc w:val="both"/>
        <w:rPr>
          <w:rFonts w:ascii="Times New Roman" w:hAnsi="Times New Roman" w:cs="Times New Roman"/>
          <w:b/>
          <w:bCs/>
          <w:sz w:val="28"/>
          <w:szCs w:val="28"/>
          <w:lang w:val="en-US"/>
        </w:rPr>
      </w:pPr>
    </w:p>
    <w:p w14:paraId="07A7A2C9" w14:textId="77777777" w:rsidR="00C26578" w:rsidRDefault="00C26578" w:rsidP="00506D9E">
      <w:pPr>
        <w:spacing w:line="276" w:lineRule="auto"/>
        <w:jc w:val="both"/>
        <w:rPr>
          <w:rFonts w:ascii="Times New Roman" w:hAnsi="Times New Roman" w:cs="Times New Roman"/>
          <w:b/>
          <w:bCs/>
          <w:sz w:val="28"/>
          <w:szCs w:val="28"/>
          <w:lang w:val="en-US"/>
        </w:rPr>
      </w:pPr>
    </w:p>
    <w:p w14:paraId="7FDD258B" w14:textId="77777777" w:rsidR="00C26578" w:rsidRDefault="00C26578" w:rsidP="00506D9E">
      <w:pPr>
        <w:spacing w:line="276" w:lineRule="auto"/>
        <w:jc w:val="both"/>
        <w:rPr>
          <w:rFonts w:ascii="Times New Roman" w:hAnsi="Times New Roman" w:cs="Times New Roman"/>
          <w:b/>
          <w:bCs/>
          <w:sz w:val="28"/>
          <w:szCs w:val="28"/>
          <w:lang w:val="en-US"/>
        </w:rPr>
      </w:pPr>
    </w:p>
    <w:p w14:paraId="6E2C901F" w14:textId="01246F22" w:rsidR="00910C8F" w:rsidRPr="007B3930" w:rsidRDefault="00762D7C" w:rsidP="0013494B">
      <w:pPr>
        <w:pStyle w:val="Heading1"/>
      </w:pPr>
      <w:bookmarkStart w:id="0" w:name="_Toc155313183"/>
      <w:r>
        <w:lastRenderedPageBreak/>
        <w:t>US Financial Reform Laws and Regulations Enacted after Global Financial Crisis 2008</w:t>
      </w:r>
      <w:bookmarkEnd w:id="0"/>
    </w:p>
    <w:p w14:paraId="3EA46B39" w14:textId="4AEF94ED" w:rsidR="007159C5" w:rsidRPr="007159C5" w:rsidRDefault="008D5F16" w:rsidP="00C01C5B">
      <w:pPr>
        <w:spacing w:line="360" w:lineRule="auto"/>
        <w:jc w:val="both"/>
        <w:rPr>
          <w:rFonts w:ascii="Times New Roman" w:hAnsi="Times New Roman" w:cs="Times New Roman"/>
          <w:sz w:val="24"/>
          <w:szCs w:val="24"/>
        </w:rPr>
      </w:pPr>
      <w:r>
        <w:rPr>
          <w:rFonts w:ascii="Times New Roman" w:hAnsi="Times New Roman" w:cs="Times New Roman"/>
          <w:sz w:val="24"/>
          <w:szCs w:val="24"/>
        </w:rPr>
        <w:t>Amid the economic collapse of 2008</w:t>
      </w:r>
      <w:r w:rsidR="0003208F" w:rsidRPr="0003208F">
        <w:rPr>
          <w:rFonts w:ascii="Times New Roman" w:hAnsi="Times New Roman" w:cs="Times New Roman"/>
          <w:sz w:val="24"/>
          <w:szCs w:val="24"/>
        </w:rPr>
        <w:t xml:space="preserve">, the United States saw a critical reform of regulatory requirements. These witnessed their presence in the domains of many critical legislation, regulations, and reforms that focused on addressing various sorts of risks in the area of finance </w:t>
      </w:r>
      <w:r w:rsidR="0003208F">
        <w:rPr>
          <w:rFonts w:ascii="Times New Roman" w:hAnsi="Times New Roman" w:cs="Times New Roman"/>
          <w:sz w:val="24"/>
          <w:szCs w:val="24"/>
        </w:rPr>
        <w:t xml:space="preserve">to </w:t>
      </w:r>
      <w:r w:rsidR="0003208F" w:rsidRPr="0003208F">
        <w:rPr>
          <w:rFonts w:ascii="Times New Roman" w:hAnsi="Times New Roman" w:cs="Times New Roman"/>
          <w:sz w:val="24"/>
          <w:szCs w:val="24"/>
        </w:rPr>
        <w:t xml:space="preserve">prevent future difficulties and comparable emergencies. The "Dodd-Frank Wall Street Reform" and the "Consumer Protection Act" were two </w:t>
      </w:r>
      <w:r>
        <w:rPr>
          <w:rFonts w:ascii="Times New Roman" w:hAnsi="Times New Roman" w:cs="Times New Roman"/>
          <w:sz w:val="24"/>
          <w:szCs w:val="24"/>
        </w:rPr>
        <w:t>substantial</w:t>
      </w:r>
      <w:r w:rsidR="0003208F" w:rsidRPr="0003208F">
        <w:rPr>
          <w:rFonts w:ascii="Times New Roman" w:hAnsi="Times New Roman" w:cs="Times New Roman"/>
          <w:sz w:val="24"/>
          <w:szCs w:val="24"/>
        </w:rPr>
        <w:t xml:space="preserve"> pieces of </w:t>
      </w:r>
      <w:r>
        <w:rPr>
          <w:rFonts w:ascii="Times New Roman" w:hAnsi="Times New Roman" w:cs="Times New Roman"/>
          <w:sz w:val="24"/>
          <w:szCs w:val="24"/>
        </w:rPr>
        <w:t xml:space="preserve">reform </w:t>
      </w:r>
      <w:r w:rsidR="0003208F" w:rsidRPr="0003208F">
        <w:rPr>
          <w:rFonts w:ascii="Times New Roman" w:hAnsi="Times New Roman" w:cs="Times New Roman"/>
          <w:sz w:val="24"/>
          <w:szCs w:val="24"/>
        </w:rPr>
        <w:t>legislation enacted during this period</w:t>
      </w:r>
      <w:r w:rsidR="007159C5">
        <w:rPr>
          <w:rFonts w:ascii="Times New Roman" w:hAnsi="Times New Roman" w:cs="Times New Roman"/>
          <w:sz w:val="24"/>
          <w:szCs w:val="24"/>
        </w:rPr>
        <w:t xml:space="preserve"> </w:t>
      </w:r>
      <w:sdt>
        <w:sdtPr>
          <w:rPr>
            <w:rFonts w:ascii="Times New Roman" w:hAnsi="Times New Roman" w:cs="Times New Roman"/>
            <w:sz w:val="24"/>
            <w:szCs w:val="24"/>
          </w:rPr>
          <w:id w:val="1187798294"/>
          <w:citation/>
        </w:sdtPr>
        <w:sdtContent>
          <w:r w:rsidR="007159C5">
            <w:rPr>
              <w:rFonts w:ascii="Times New Roman" w:hAnsi="Times New Roman" w:cs="Times New Roman"/>
              <w:sz w:val="24"/>
              <w:szCs w:val="24"/>
            </w:rPr>
            <w:fldChar w:fldCharType="begin"/>
          </w:r>
          <w:r w:rsidR="007159C5">
            <w:rPr>
              <w:rFonts w:ascii="Times New Roman" w:hAnsi="Times New Roman" w:cs="Times New Roman"/>
              <w:sz w:val="24"/>
              <w:szCs w:val="24"/>
              <w:lang w:val="en-US"/>
            </w:rPr>
            <w:instrText xml:space="preserve"> CITATION Sch12 \l 1033 </w:instrText>
          </w:r>
          <w:r w:rsidR="007159C5">
            <w:rPr>
              <w:rFonts w:ascii="Times New Roman" w:hAnsi="Times New Roman" w:cs="Times New Roman"/>
              <w:sz w:val="24"/>
              <w:szCs w:val="24"/>
            </w:rPr>
            <w:fldChar w:fldCharType="separate"/>
          </w:r>
          <w:r w:rsidR="00BF15CE" w:rsidRPr="00BF15CE">
            <w:rPr>
              <w:rFonts w:ascii="Times New Roman" w:hAnsi="Times New Roman" w:cs="Times New Roman"/>
              <w:noProof/>
              <w:sz w:val="24"/>
              <w:szCs w:val="24"/>
              <w:lang w:val="en-US"/>
            </w:rPr>
            <w:t>(Schapiro, 2012)</w:t>
          </w:r>
          <w:r w:rsidR="007159C5">
            <w:rPr>
              <w:rFonts w:ascii="Times New Roman" w:hAnsi="Times New Roman" w:cs="Times New Roman"/>
              <w:sz w:val="24"/>
              <w:szCs w:val="24"/>
            </w:rPr>
            <w:fldChar w:fldCharType="end"/>
          </w:r>
        </w:sdtContent>
      </w:sdt>
      <w:r w:rsidR="007159C5">
        <w:rPr>
          <w:rFonts w:ascii="Times New Roman" w:hAnsi="Times New Roman" w:cs="Times New Roman"/>
          <w:sz w:val="24"/>
          <w:szCs w:val="24"/>
        </w:rPr>
        <w:t xml:space="preserve">. </w:t>
      </w:r>
    </w:p>
    <w:p w14:paraId="40C120B9" w14:textId="0F189F50" w:rsidR="0032414D" w:rsidRPr="0032414D" w:rsidRDefault="0032414D" w:rsidP="00C01C5B">
      <w:pPr>
        <w:spacing w:line="360" w:lineRule="auto"/>
        <w:jc w:val="both"/>
        <w:rPr>
          <w:rFonts w:ascii="Times New Roman" w:hAnsi="Times New Roman" w:cs="Times New Roman"/>
          <w:b/>
          <w:bCs/>
          <w:i/>
          <w:iCs/>
          <w:sz w:val="28"/>
          <w:szCs w:val="28"/>
          <w:lang w:val="en-US"/>
        </w:rPr>
      </w:pPr>
      <w:r w:rsidRPr="0032414D">
        <w:rPr>
          <w:rFonts w:ascii="Times New Roman" w:hAnsi="Times New Roman" w:cs="Times New Roman"/>
          <w:b/>
          <w:bCs/>
          <w:i/>
          <w:iCs/>
          <w:sz w:val="24"/>
          <w:szCs w:val="24"/>
        </w:rPr>
        <w:t>The Dodd-Frank Wall Street Reform and Consumer Protection Act</w:t>
      </w:r>
    </w:p>
    <w:p w14:paraId="33CC1844" w14:textId="3678DC17" w:rsidR="00EA4136" w:rsidRDefault="006504A8" w:rsidP="00C01C5B">
      <w:pPr>
        <w:spacing w:line="360" w:lineRule="auto"/>
        <w:jc w:val="both"/>
        <w:rPr>
          <w:rFonts w:ascii="Times New Roman" w:hAnsi="Times New Roman" w:cs="Times New Roman"/>
          <w:sz w:val="24"/>
          <w:szCs w:val="24"/>
        </w:rPr>
      </w:pPr>
      <w:r w:rsidRPr="006504A8">
        <w:rPr>
          <w:rFonts w:ascii="Times New Roman" w:hAnsi="Times New Roman" w:cs="Times New Roman"/>
          <w:color w:val="000000" w:themeColor="text1"/>
          <w:sz w:val="24"/>
          <w:szCs w:val="24"/>
        </w:rPr>
        <w:t>The Wall Street Reform and Consumer Protection Act, commonly known as the Dodd-Frank Act, is a thorough financial reform law passed in 2010 in the United States. Its implementation was prompted by the 2007–2008 financial crisis, which severely impacted the American economy, resulting in the loss of trillions of dollars and millions of jobs for the American people.</w:t>
      </w:r>
      <w:r w:rsidR="008B3EFB" w:rsidRPr="00F47E43">
        <w:rPr>
          <w:rFonts w:ascii="Times New Roman" w:hAnsi="Times New Roman" w:cs="Times New Roman"/>
          <w:sz w:val="24"/>
          <w:szCs w:val="24"/>
        </w:rPr>
        <w:t xml:space="preserve"> </w:t>
      </w:r>
      <w:r w:rsidR="00F47E43" w:rsidRPr="00F47E43">
        <w:rPr>
          <w:rFonts w:ascii="Times New Roman" w:hAnsi="Times New Roman" w:cs="Times New Roman"/>
          <w:sz w:val="24"/>
          <w:szCs w:val="24"/>
        </w:rPr>
        <w:t>I</w:t>
      </w:r>
      <w:r w:rsidR="008B3EFB" w:rsidRPr="00F47E43">
        <w:rPr>
          <w:rFonts w:ascii="Times New Roman" w:hAnsi="Times New Roman" w:cs="Times New Roman"/>
          <w:sz w:val="24"/>
          <w:szCs w:val="24"/>
        </w:rPr>
        <w:t>ts primary objectives are to fortify financial stability, augment transparency and accountability within the financial apparatus, and curtail the concept of institutions deemed "too big to fail"</w:t>
      </w:r>
      <w:r w:rsidR="00F47E43" w:rsidRPr="00F47E43">
        <w:rPr>
          <w:rFonts w:ascii="Times New Roman" w:hAnsi="Times New Roman" w:cs="Times New Roman"/>
          <w:sz w:val="24"/>
          <w:szCs w:val="24"/>
        </w:rPr>
        <w:t xml:space="preserve"> </w:t>
      </w:r>
      <w:sdt>
        <w:sdtPr>
          <w:rPr>
            <w:rFonts w:ascii="Times New Roman" w:hAnsi="Times New Roman" w:cs="Times New Roman"/>
            <w:sz w:val="24"/>
            <w:szCs w:val="24"/>
          </w:rPr>
          <w:id w:val="2032762926"/>
          <w:citation/>
        </w:sdtPr>
        <w:sdtContent>
          <w:r w:rsidR="00F47E43" w:rsidRPr="00F47E43">
            <w:rPr>
              <w:rFonts w:ascii="Times New Roman" w:hAnsi="Times New Roman" w:cs="Times New Roman"/>
              <w:sz w:val="24"/>
              <w:szCs w:val="24"/>
            </w:rPr>
            <w:fldChar w:fldCharType="begin"/>
          </w:r>
          <w:r w:rsidR="00F47E43" w:rsidRPr="00F47E43">
            <w:rPr>
              <w:rFonts w:ascii="Times New Roman" w:hAnsi="Times New Roman" w:cs="Times New Roman"/>
              <w:sz w:val="24"/>
              <w:szCs w:val="24"/>
              <w:lang w:val="en-US"/>
            </w:rPr>
            <w:instrText xml:space="preserve"> CITATION Sch12 \l 1033 </w:instrText>
          </w:r>
          <w:r w:rsidR="00F47E43" w:rsidRPr="00F47E43">
            <w:rPr>
              <w:rFonts w:ascii="Times New Roman" w:hAnsi="Times New Roman" w:cs="Times New Roman"/>
              <w:sz w:val="24"/>
              <w:szCs w:val="24"/>
            </w:rPr>
            <w:fldChar w:fldCharType="separate"/>
          </w:r>
          <w:r w:rsidR="00BF15CE" w:rsidRPr="00BF15CE">
            <w:rPr>
              <w:rFonts w:ascii="Times New Roman" w:hAnsi="Times New Roman" w:cs="Times New Roman"/>
              <w:noProof/>
              <w:sz w:val="24"/>
              <w:szCs w:val="24"/>
              <w:lang w:val="en-US"/>
            </w:rPr>
            <w:t>(Schapiro, 2012)</w:t>
          </w:r>
          <w:r w:rsidR="00F47E43" w:rsidRPr="00F47E43">
            <w:rPr>
              <w:rFonts w:ascii="Times New Roman" w:hAnsi="Times New Roman" w:cs="Times New Roman"/>
              <w:sz w:val="24"/>
              <w:szCs w:val="24"/>
            </w:rPr>
            <w:fldChar w:fldCharType="end"/>
          </w:r>
        </w:sdtContent>
      </w:sdt>
      <w:r w:rsidR="00F47E43" w:rsidRPr="00F47E43">
        <w:rPr>
          <w:rFonts w:ascii="Times New Roman" w:hAnsi="Times New Roman" w:cs="Times New Roman"/>
          <w:sz w:val="24"/>
          <w:szCs w:val="24"/>
        </w:rPr>
        <w:t>.</w:t>
      </w:r>
      <w:r w:rsidR="00B13147">
        <w:rPr>
          <w:rFonts w:ascii="Times New Roman" w:hAnsi="Times New Roman" w:cs="Times New Roman"/>
          <w:sz w:val="24"/>
          <w:szCs w:val="24"/>
        </w:rPr>
        <w:t xml:space="preserve"> </w:t>
      </w:r>
      <w:r w:rsidR="00B13147" w:rsidRPr="00B13147">
        <w:rPr>
          <w:rFonts w:ascii="Times New Roman" w:hAnsi="Times New Roman" w:cs="Times New Roman"/>
          <w:sz w:val="24"/>
          <w:szCs w:val="24"/>
        </w:rPr>
        <w:t>The Dodd-Frank Act is a</w:t>
      </w:r>
      <w:r w:rsidR="008D5F16">
        <w:rPr>
          <w:rFonts w:ascii="Times New Roman" w:hAnsi="Times New Roman" w:cs="Times New Roman"/>
          <w:sz w:val="24"/>
          <w:szCs w:val="24"/>
        </w:rPr>
        <w:t>n</w:t>
      </w:r>
      <w:r w:rsidR="00B13147" w:rsidRPr="00B13147">
        <w:rPr>
          <w:rFonts w:ascii="Times New Roman" w:hAnsi="Times New Roman" w:cs="Times New Roman"/>
          <w:sz w:val="24"/>
          <w:szCs w:val="24"/>
        </w:rPr>
        <w:t xml:space="preserve"> </w:t>
      </w:r>
      <w:r w:rsidR="008D5F16">
        <w:rPr>
          <w:rFonts w:ascii="Times New Roman" w:hAnsi="Times New Roman" w:cs="Times New Roman"/>
          <w:sz w:val="24"/>
          <w:szCs w:val="24"/>
        </w:rPr>
        <w:t>aspect of</w:t>
      </w:r>
      <w:r w:rsidR="00B13147" w:rsidRPr="00B13147">
        <w:rPr>
          <w:rFonts w:ascii="Times New Roman" w:hAnsi="Times New Roman" w:cs="Times New Roman"/>
          <w:sz w:val="24"/>
          <w:szCs w:val="24"/>
        </w:rPr>
        <w:t xml:space="preserve"> </w:t>
      </w:r>
      <w:r w:rsidR="008D5F16">
        <w:rPr>
          <w:rFonts w:ascii="Times New Roman" w:hAnsi="Times New Roman" w:cs="Times New Roman"/>
          <w:sz w:val="24"/>
          <w:szCs w:val="24"/>
        </w:rPr>
        <w:t>significant</w:t>
      </w:r>
      <w:r w:rsidR="00B13147" w:rsidRPr="00B13147">
        <w:rPr>
          <w:rFonts w:ascii="Times New Roman" w:hAnsi="Times New Roman" w:cs="Times New Roman"/>
          <w:sz w:val="24"/>
          <w:szCs w:val="24"/>
        </w:rPr>
        <w:t xml:space="preserve"> legislation with numerous provisions aimed at promoting financial stability, protecting consumers, and reforming </w:t>
      </w:r>
      <w:r w:rsidR="00A03C71">
        <w:rPr>
          <w:rFonts w:ascii="Times New Roman" w:hAnsi="Times New Roman" w:cs="Times New Roman"/>
          <w:sz w:val="24"/>
          <w:szCs w:val="24"/>
        </w:rPr>
        <w:t>distinct elements of the economy</w:t>
      </w:r>
      <w:r w:rsidR="00B13147" w:rsidRPr="00B13147">
        <w:rPr>
          <w:rFonts w:ascii="Times New Roman" w:hAnsi="Times New Roman" w:cs="Times New Roman"/>
          <w:sz w:val="24"/>
          <w:szCs w:val="24"/>
        </w:rPr>
        <w:t>.</w:t>
      </w:r>
      <w:r w:rsidR="00714310">
        <w:rPr>
          <w:rFonts w:ascii="Times New Roman" w:hAnsi="Times New Roman" w:cs="Times New Roman"/>
          <w:sz w:val="24"/>
          <w:szCs w:val="24"/>
        </w:rPr>
        <w:t xml:space="preserve"> </w:t>
      </w:r>
      <w:r w:rsidR="003A035F" w:rsidRPr="003A035F">
        <w:rPr>
          <w:rFonts w:ascii="Times New Roman" w:hAnsi="Times New Roman" w:cs="Times New Roman"/>
          <w:sz w:val="24"/>
          <w:szCs w:val="24"/>
        </w:rPr>
        <w:t>The Dodd-Frank Wall Street Reform and Consumer Protection Act consists of 16 titles, each addressing specific aspects of financial regulation, consumer protection, and systemic risk.</w:t>
      </w:r>
      <w:r w:rsidR="00035118">
        <w:rPr>
          <w:rFonts w:ascii="Times New Roman" w:hAnsi="Times New Roman" w:cs="Times New Roman"/>
          <w:sz w:val="24"/>
          <w:szCs w:val="24"/>
        </w:rPr>
        <w:t xml:space="preserve"> </w:t>
      </w:r>
    </w:p>
    <w:p w14:paraId="43773B66" w14:textId="018C7660" w:rsidR="008B3EFB" w:rsidRPr="00EA4136" w:rsidRDefault="00EA4136" w:rsidP="00C01C5B">
      <w:pPr>
        <w:spacing w:line="360" w:lineRule="auto"/>
        <w:jc w:val="both"/>
        <w:rPr>
          <w:rFonts w:ascii="Times New Roman" w:hAnsi="Times New Roman" w:cs="Times New Roman"/>
          <w:color w:val="000000" w:themeColor="text1"/>
          <w:sz w:val="28"/>
          <w:szCs w:val="28"/>
        </w:rPr>
      </w:pPr>
      <w:r w:rsidRPr="00EA4136">
        <w:rPr>
          <w:rFonts w:ascii="Times New Roman" w:hAnsi="Times New Roman" w:cs="Times New Roman"/>
          <w:color w:val="000000" w:themeColor="text1"/>
          <w:sz w:val="24"/>
          <w:szCs w:val="24"/>
        </w:rPr>
        <w:t>The Dodd-Frank Act encompasses four principal domains of reform, delineating critical measures to address vulnerabilities in the financial system. Firstly, regulatory reforms are instituted with the explicit objective of enhancing the oversight and management of systemic risk. This encompasses mechanisms and protocols geared towards identifying, monitoring, and mitigating risks that could potentially undermine the stability of the financial system.</w:t>
      </w:r>
      <w:r w:rsidRPr="00EA4136">
        <w:rPr>
          <w:rFonts w:ascii="Segoe UI" w:hAnsi="Segoe UI" w:cs="Segoe UI"/>
          <w:color w:val="374151"/>
        </w:rPr>
        <w:t xml:space="preserve"> </w:t>
      </w:r>
      <w:r w:rsidRPr="00EA4136">
        <w:rPr>
          <w:rFonts w:ascii="Times New Roman" w:hAnsi="Times New Roman" w:cs="Times New Roman"/>
          <w:color w:val="000000" w:themeColor="text1"/>
          <w:sz w:val="24"/>
          <w:szCs w:val="24"/>
        </w:rPr>
        <w:t xml:space="preserve">Secondly, the legislation introduces a novel federal resolution authority, strategically designed to facilitate the orderly winding down of systemically important firms. This resolution framework seeks to mitigate the adverse effects of the failure of such entities, thereby averting systemic contagion and preserving financial stability. The third key facet of reform within the Dodd-Frank Act pertains to the establishment of a comprehensive regulatory framework targeting hitherto under-regulated segments of the financial landscape, colloquially referred to as "shadow banking" markets. This regulatory ambit extends to components such as derivatives and </w:t>
      </w:r>
      <w:r w:rsidRPr="00EA4136">
        <w:rPr>
          <w:rFonts w:ascii="Times New Roman" w:hAnsi="Times New Roman" w:cs="Times New Roman"/>
          <w:color w:val="000000" w:themeColor="text1"/>
          <w:sz w:val="24"/>
          <w:szCs w:val="24"/>
        </w:rPr>
        <w:lastRenderedPageBreak/>
        <w:t>repurchase agreements ("repos"), aiming to bring these elements within the purview of effective oversight, thereby curtailing potential sources of systemic risk. Lastly, the Dodd-Frank Act incorporates a significant reform in the form of a newly instituted consumer financial protection agency. This agency is specifically designed to safeguard the interests of consumers in the financial marketplace, ensuring transparency, fairness, and protection against predatory practices</w:t>
      </w:r>
      <w:sdt>
        <w:sdtPr>
          <w:rPr>
            <w:rFonts w:ascii="Times New Roman" w:hAnsi="Times New Roman" w:cs="Times New Roman"/>
            <w:color w:val="000000" w:themeColor="text1"/>
            <w:sz w:val="24"/>
            <w:szCs w:val="24"/>
          </w:rPr>
          <w:id w:val="-474526354"/>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Bar12 \l 2057 </w:instrText>
          </w:r>
          <w:r>
            <w:rPr>
              <w:rFonts w:ascii="Times New Roman" w:hAnsi="Times New Roman" w:cs="Times New Roman"/>
              <w:color w:val="000000" w:themeColor="text1"/>
              <w:sz w:val="24"/>
              <w:szCs w:val="24"/>
            </w:rPr>
            <w:fldChar w:fldCharType="separate"/>
          </w:r>
          <w:r w:rsidR="00BF15CE">
            <w:rPr>
              <w:rFonts w:ascii="Times New Roman" w:hAnsi="Times New Roman" w:cs="Times New Roman"/>
              <w:noProof/>
              <w:color w:val="000000" w:themeColor="text1"/>
              <w:sz w:val="24"/>
              <w:szCs w:val="24"/>
            </w:rPr>
            <w:t xml:space="preserve"> </w:t>
          </w:r>
          <w:r w:rsidR="00BF15CE" w:rsidRPr="00BF15CE">
            <w:rPr>
              <w:rFonts w:ascii="Times New Roman" w:hAnsi="Times New Roman" w:cs="Times New Roman"/>
              <w:noProof/>
              <w:color w:val="000000" w:themeColor="text1"/>
              <w:sz w:val="24"/>
              <w:szCs w:val="24"/>
            </w:rPr>
            <w:t>(Barr, 2012)</w:t>
          </w:r>
          <w:r>
            <w:rPr>
              <w:rFonts w:ascii="Times New Roman" w:hAnsi="Times New Roman" w:cs="Times New Roman"/>
              <w:color w:val="000000" w:themeColor="text1"/>
              <w:sz w:val="24"/>
              <w:szCs w:val="24"/>
            </w:rPr>
            <w:fldChar w:fldCharType="end"/>
          </w:r>
        </w:sdtContent>
      </w:sdt>
      <w:r w:rsidRPr="00EA4136">
        <w:rPr>
          <w:rFonts w:ascii="Times New Roman" w:hAnsi="Times New Roman" w:cs="Times New Roman"/>
          <w:color w:val="000000" w:themeColor="text1"/>
          <w:sz w:val="24"/>
          <w:szCs w:val="24"/>
        </w:rPr>
        <w:t>.</w:t>
      </w:r>
      <w:r>
        <w:rPr>
          <w:rFonts w:ascii="Times New Roman" w:hAnsi="Times New Roman" w:cs="Times New Roman"/>
          <w:color w:val="000000" w:themeColor="text1"/>
          <w:sz w:val="28"/>
          <w:szCs w:val="28"/>
        </w:rPr>
        <w:t xml:space="preserve"> </w:t>
      </w:r>
      <w:r w:rsidR="00035118" w:rsidRPr="00035118">
        <w:rPr>
          <w:rFonts w:ascii="Times New Roman" w:hAnsi="Times New Roman" w:cs="Times New Roman"/>
          <w:sz w:val="24"/>
          <w:szCs w:val="24"/>
        </w:rPr>
        <w:t>Key Provisions of the Dodd-Frank Act are as follows;</w:t>
      </w:r>
    </w:p>
    <w:p w14:paraId="55C0EE4D" w14:textId="38FE93EB" w:rsidR="003A035F" w:rsidRDefault="003A035F" w:rsidP="00D15493">
      <w:pPr>
        <w:spacing w:line="360" w:lineRule="auto"/>
        <w:jc w:val="center"/>
        <w:rPr>
          <w:rFonts w:ascii="Times New Roman" w:hAnsi="Times New Roman" w:cs="Times New Roman"/>
          <w:sz w:val="24"/>
          <w:szCs w:val="24"/>
        </w:rPr>
      </w:pPr>
      <w:r>
        <w:rPr>
          <w:noProof/>
        </w:rPr>
        <w:drawing>
          <wp:inline distT="0" distB="0" distL="0" distR="0" wp14:anchorId="39F61BBF" wp14:editId="46DA4C65">
            <wp:extent cx="5314950" cy="3364210"/>
            <wp:effectExtent l="0" t="0" r="0" b="8255"/>
            <wp:docPr id="1168851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4754" cy="3376745"/>
                    </a:xfrm>
                    <a:prstGeom prst="rect">
                      <a:avLst/>
                    </a:prstGeom>
                    <a:noFill/>
                    <a:ln>
                      <a:noFill/>
                    </a:ln>
                  </pic:spPr>
                </pic:pic>
              </a:graphicData>
            </a:graphic>
          </wp:inline>
        </w:drawing>
      </w:r>
    </w:p>
    <w:p w14:paraId="10F12817" w14:textId="1188884C" w:rsidR="000D4148" w:rsidRPr="000D4148" w:rsidRDefault="000D4148" w:rsidP="000D4148">
      <w:pPr>
        <w:pStyle w:val="Caption"/>
        <w:jc w:val="center"/>
        <w:rPr>
          <w:rFonts w:ascii="Times New Roman" w:hAnsi="Times New Roman" w:cs="Times New Roman"/>
          <w:sz w:val="20"/>
          <w:szCs w:val="20"/>
        </w:rPr>
      </w:pPr>
      <w:bookmarkStart w:id="1" w:name="_Toc155301575"/>
      <w:r w:rsidRPr="000D4148">
        <w:rPr>
          <w:sz w:val="20"/>
          <w:szCs w:val="20"/>
        </w:rPr>
        <w:t xml:space="preserve">Table </w:t>
      </w:r>
      <w:r w:rsidRPr="000D4148">
        <w:rPr>
          <w:sz w:val="20"/>
          <w:szCs w:val="20"/>
        </w:rPr>
        <w:fldChar w:fldCharType="begin"/>
      </w:r>
      <w:r w:rsidRPr="000D4148">
        <w:rPr>
          <w:sz w:val="20"/>
          <w:szCs w:val="20"/>
        </w:rPr>
        <w:instrText xml:space="preserve"> SEQ Table \* ARABIC </w:instrText>
      </w:r>
      <w:r w:rsidRPr="000D4148">
        <w:rPr>
          <w:sz w:val="20"/>
          <w:szCs w:val="20"/>
        </w:rPr>
        <w:fldChar w:fldCharType="separate"/>
      </w:r>
      <w:r w:rsidRPr="000D4148">
        <w:rPr>
          <w:noProof/>
          <w:sz w:val="20"/>
          <w:szCs w:val="20"/>
        </w:rPr>
        <w:t>1</w:t>
      </w:r>
      <w:r w:rsidRPr="000D4148">
        <w:rPr>
          <w:sz w:val="20"/>
          <w:szCs w:val="20"/>
        </w:rPr>
        <w:fldChar w:fldCharType="end"/>
      </w:r>
      <w:r w:rsidRPr="000D4148">
        <w:rPr>
          <w:sz w:val="20"/>
          <w:szCs w:val="20"/>
        </w:rPr>
        <w:t>: Key reform in the Dodd-Frank Act</w:t>
      </w:r>
      <w:bookmarkEnd w:id="1"/>
    </w:p>
    <w:p w14:paraId="5F8F88F5" w14:textId="19071BA4" w:rsidR="00035118" w:rsidRDefault="003A035F" w:rsidP="00D15493">
      <w:pPr>
        <w:spacing w:line="360" w:lineRule="auto"/>
        <w:jc w:val="center"/>
        <w:rPr>
          <w:rFonts w:ascii="Times New Roman" w:hAnsi="Times New Roman" w:cs="Times New Roman"/>
          <w:sz w:val="20"/>
          <w:szCs w:val="20"/>
        </w:rPr>
      </w:pPr>
      <w:r w:rsidRPr="003A035F">
        <w:rPr>
          <w:rFonts w:ascii="Times New Roman" w:hAnsi="Times New Roman" w:cs="Times New Roman"/>
          <w:sz w:val="20"/>
          <w:szCs w:val="20"/>
        </w:rPr>
        <w:t xml:space="preserve">(Source: </w:t>
      </w:r>
      <w:sdt>
        <w:sdtPr>
          <w:rPr>
            <w:rFonts w:ascii="Times New Roman" w:hAnsi="Times New Roman" w:cs="Times New Roman"/>
            <w:sz w:val="20"/>
            <w:szCs w:val="20"/>
          </w:rPr>
          <w:id w:val="245313698"/>
          <w:citation/>
        </w:sdtPr>
        <w:sdtContent>
          <w:r w:rsidRPr="003A035F">
            <w:rPr>
              <w:rFonts w:ascii="Times New Roman" w:hAnsi="Times New Roman" w:cs="Times New Roman"/>
              <w:sz w:val="20"/>
              <w:szCs w:val="20"/>
            </w:rPr>
            <w:fldChar w:fldCharType="begin"/>
          </w:r>
          <w:r w:rsidRPr="003A035F">
            <w:rPr>
              <w:rFonts w:ascii="Times New Roman" w:hAnsi="Times New Roman" w:cs="Times New Roman"/>
              <w:sz w:val="20"/>
              <w:szCs w:val="20"/>
              <w:lang w:val="en-US"/>
            </w:rPr>
            <w:instrText xml:space="preserve"> CITATION Guy10 \l 1033 </w:instrText>
          </w:r>
          <w:r w:rsidRPr="003A035F">
            <w:rPr>
              <w:rFonts w:ascii="Times New Roman" w:hAnsi="Times New Roman" w:cs="Times New Roman"/>
              <w:sz w:val="20"/>
              <w:szCs w:val="20"/>
            </w:rPr>
            <w:fldChar w:fldCharType="separate"/>
          </w:r>
          <w:r w:rsidR="00BF15CE" w:rsidRPr="00BF15CE">
            <w:rPr>
              <w:rFonts w:ascii="Times New Roman" w:hAnsi="Times New Roman" w:cs="Times New Roman"/>
              <w:noProof/>
              <w:sz w:val="20"/>
              <w:szCs w:val="20"/>
              <w:lang w:val="en-US"/>
            </w:rPr>
            <w:t>(Guynn, 2010)</w:t>
          </w:r>
          <w:r w:rsidRPr="003A035F">
            <w:rPr>
              <w:rFonts w:ascii="Times New Roman" w:hAnsi="Times New Roman" w:cs="Times New Roman"/>
              <w:sz w:val="20"/>
              <w:szCs w:val="20"/>
            </w:rPr>
            <w:fldChar w:fldCharType="end"/>
          </w:r>
        </w:sdtContent>
      </w:sdt>
      <w:r w:rsidRPr="003A035F">
        <w:rPr>
          <w:rFonts w:ascii="Times New Roman" w:hAnsi="Times New Roman" w:cs="Times New Roman"/>
          <w:sz w:val="20"/>
          <w:szCs w:val="20"/>
        </w:rPr>
        <w:t>)</w:t>
      </w:r>
    </w:p>
    <w:p w14:paraId="4F1E22D6" w14:textId="243565C8" w:rsidR="00035118" w:rsidRDefault="003D6C83" w:rsidP="00035118">
      <w:pPr>
        <w:spacing w:line="360" w:lineRule="auto"/>
        <w:rPr>
          <w:rFonts w:ascii="Times New Roman" w:hAnsi="Times New Roman" w:cs="Times New Roman"/>
          <w:b/>
          <w:bCs/>
          <w:i/>
          <w:iCs/>
          <w:sz w:val="24"/>
          <w:szCs w:val="24"/>
        </w:rPr>
      </w:pPr>
      <w:r w:rsidRPr="003D6C83">
        <w:rPr>
          <w:rFonts w:ascii="Times New Roman" w:hAnsi="Times New Roman" w:cs="Times New Roman"/>
          <w:b/>
          <w:bCs/>
          <w:i/>
          <w:iCs/>
          <w:sz w:val="24"/>
          <w:szCs w:val="24"/>
        </w:rPr>
        <w:t>Financial Stability Oversight Council (FSOC) Act</w:t>
      </w:r>
    </w:p>
    <w:p w14:paraId="03FDA706" w14:textId="57D1FC34" w:rsidR="000946C8" w:rsidRPr="00FF26EC" w:rsidRDefault="00890D7B" w:rsidP="006B5C67">
      <w:pPr>
        <w:spacing w:line="360" w:lineRule="auto"/>
        <w:jc w:val="both"/>
        <w:rPr>
          <w:rFonts w:ascii="Times New Roman" w:hAnsi="Times New Roman" w:cs="Times New Roman"/>
          <w:sz w:val="24"/>
          <w:szCs w:val="24"/>
        </w:rPr>
      </w:pPr>
      <w:r w:rsidRPr="00890D7B">
        <w:rPr>
          <w:rFonts w:ascii="Times New Roman" w:hAnsi="Times New Roman" w:cs="Times New Roman"/>
          <w:color w:val="000000" w:themeColor="text1"/>
          <w:sz w:val="24"/>
          <w:szCs w:val="24"/>
        </w:rPr>
        <w:t xml:space="preserve">Following the 2008 financial crisis, the Financial Stability Oversight Council (FSOC) was formed in 2010. Its goals include examining possible threats to financial stability in the United States, focusing on important, interconnected bank holding companies and nonbank financial organisations, supporting market discipline, and resolving developing concerns. FSOC is not a distinct regulator, but rather a council of regulatory organisations that is required by law to convene on a regular basis. Its responsibilities include detecting regulatory gaps, developing supervisory priorities, closely monitoring local and international financial regulatory initiatives, conducting in-depth research and reporting on significant topics, and supervising financial markets. It also regulates non-bank financial companies and financial enterprises, </w:t>
      </w:r>
      <w:r w:rsidRPr="00890D7B">
        <w:rPr>
          <w:rFonts w:ascii="Times New Roman" w:hAnsi="Times New Roman" w:cs="Times New Roman"/>
          <w:color w:val="000000" w:themeColor="text1"/>
          <w:sz w:val="24"/>
          <w:szCs w:val="24"/>
        </w:rPr>
        <w:lastRenderedPageBreak/>
        <w:t xml:space="preserve">identifying systemically essential financial market commodities and payment, settlement, and delivery operations. </w:t>
      </w:r>
      <w:r w:rsidR="006B5C67">
        <w:rPr>
          <w:rFonts w:ascii="Times New Roman" w:hAnsi="Times New Roman" w:cs="Times New Roman"/>
          <w:sz w:val="24"/>
          <w:szCs w:val="24"/>
        </w:rPr>
        <w:t xml:space="preserve"> </w:t>
      </w:r>
      <w:sdt>
        <w:sdtPr>
          <w:rPr>
            <w:rFonts w:ascii="Times New Roman" w:hAnsi="Times New Roman" w:cs="Times New Roman"/>
            <w:sz w:val="24"/>
            <w:szCs w:val="24"/>
          </w:rPr>
          <w:id w:val="-1371528454"/>
          <w:citation/>
        </w:sdtPr>
        <w:sdtContent>
          <w:r w:rsidR="006B5C67">
            <w:rPr>
              <w:rFonts w:ascii="Times New Roman" w:hAnsi="Times New Roman" w:cs="Times New Roman"/>
              <w:sz w:val="24"/>
              <w:szCs w:val="24"/>
            </w:rPr>
            <w:fldChar w:fldCharType="begin"/>
          </w:r>
          <w:r w:rsidR="006B5C67">
            <w:rPr>
              <w:rFonts w:ascii="Times New Roman" w:hAnsi="Times New Roman" w:cs="Times New Roman"/>
              <w:sz w:val="24"/>
              <w:szCs w:val="24"/>
              <w:lang w:val="en-US"/>
            </w:rPr>
            <w:instrText xml:space="preserve"> CITATION Pol12 \l 1033 </w:instrText>
          </w:r>
          <w:r w:rsidR="006B5C67">
            <w:rPr>
              <w:rFonts w:ascii="Times New Roman" w:hAnsi="Times New Roman" w:cs="Times New Roman"/>
              <w:sz w:val="24"/>
              <w:szCs w:val="24"/>
            </w:rPr>
            <w:fldChar w:fldCharType="separate"/>
          </w:r>
          <w:r w:rsidR="00BF15CE" w:rsidRPr="00BF15CE">
            <w:rPr>
              <w:rFonts w:ascii="Times New Roman" w:hAnsi="Times New Roman" w:cs="Times New Roman"/>
              <w:noProof/>
              <w:sz w:val="24"/>
              <w:szCs w:val="24"/>
              <w:lang w:val="en-US"/>
            </w:rPr>
            <w:t>(Polski &amp; Elbarasse, 2012)</w:t>
          </w:r>
          <w:r w:rsidR="006B5C67">
            <w:rPr>
              <w:rFonts w:ascii="Times New Roman" w:hAnsi="Times New Roman" w:cs="Times New Roman"/>
              <w:sz w:val="24"/>
              <w:szCs w:val="24"/>
            </w:rPr>
            <w:fldChar w:fldCharType="end"/>
          </w:r>
        </w:sdtContent>
      </w:sdt>
      <w:r w:rsidR="006B5C67">
        <w:rPr>
          <w:rFonts w:ascii="Segoe UI" w:hAnsi="Segoe UI" w:cs="Segoe UI"/>
          <w:color w:val="374151"/>
        </w:rPr>
        <w:t>.</w:t>
      </w:r>
    </w:p>
    <w:p w14:paraId="743CA752" w14:textId="5B4D8FD5" w:rsidR="000946C8" w:rsidRDefault="000946C8" w:rsidP="006B5C67">
      <w:pPr>
        <w:spacing w:line="360" w:lineRule="auto"/>
        <w:jc w:val="both"/>
        <w:rPr>
          <w:rFonts w:ascii="Times New Roman" w:hAnsi="Times New Roman" w:cs="Times New Roman"/>
          <w:b/>
          <w:bCs/>
          <w:i/>
          <w:iCs/>
          <w:sz w:val="24"/>
          <w:szCs w:val="24"/>
        </w:rPr>
      </w:pPr>
      <w:r w:rsidRPr="000946C8">
        <w:rPr>
          <w:rFonts w:ascii="Times New Roman" w:hAnsi="Times New Roman" w:cs="Times New Roman"/>
          <w:b/>
          <w:bCs/>
          <w:i/>
          <w:iCs/>
          <w:sz w:val="24"/>
          <w:szCs w:val="24"/>
        </w:rPr>
        <w:t>Volcker Rule</w:t>
      </w:r>
    </w:p>
    <w:p w14:paraId="39D4B118" w14:textId="14C039D6" w:rsidR="000D4148" w:rsidRDefault="00F70FC5" w:rsidP="006B5C67">
      <w:pPr>
        <w:spacing w:line="360" w:lineRule="auto"/>
        <w:jc w:val="both"/>
        <w:rPr>
          <w:rFonts w:ascii="Times New Roman" w:hAnsi="Times New Roman" w:cs="Times New Roman"/>
          <w:sz w:val="24"/>
          <w:szCs w:val="24"/>
        </w:rPr>
      </w:pPr>
      <w:r w:rsidRPr="00F70FC5">
        <w:rPr>
          <w:rFonts w:ascii="Times New Roman" w:hAnsi="Times New Roman" w:cs="Times New Roman"/>
          <w:sz w:val="24"/>
          <w:szCs w:val="24"/>
        </w:rPr>
        <w:t>The term "Volcker Rule" pertains to a particular provision within the Dodd-Frank Wall Street Reform and Consumer Protection Act, legislated in response to the 2008 financial crisis. The primary aim of this rule is to mitigate the potential for a recurring economic downturn by curbing the propensity of financial institutions to undertake undue risks. Specifically, the Volcker Rule imposes restrictions on banks, limiting their capacity to invest in or sponsor hedge funds and private equity firms, and precluding them from participating in proprietary trading activities</w:t>
      </w:r>
      <w:r w:rsidR="003E6061">
        <w:rPr>
          <w:rFonts w:ascii="Times New Roman" w:hAnsi="Times New Roman" w:cs="Times New Roman"/>
          <w:sz w:val="24"/>
          <w:szCs w:val="24"/>
        </w:rPr>
        <w:t xml:space="preserve"> </w:t>
      </w:r>
      <w:sdt>
        <w:sdtPr>
          <w:rPr>
            <w:rFonts w:ascii="Times New Roman" w:hAnsi="Times New Roman" w:cs="Times New Roman"/>
            <w:sz w:val="24"/>
            <w:szCs w:val="24"/>
          </w:rPr>
          <w:id w:val="-1175562744"/>
          <w:citation/>
        </w:sdtPr>
        <w:sdtContent>
          <w:r w:rsidR="003E6061">
            <w:rPr>
              <w:rFonts w:ascii="Times New Roman" w:hAnsi="Times New Roman" w:cs="Times New Roman"/>
              <w:sz w:val="24"/>
              <w:szCs w:val="24"/>
            </w:rPr>
            <w:fldChar w:fldCharType="begin"/>
          </w:r>
          <w:r w:rsidR="003E6061">
            <w:rPr>
              <w:rFonts w:ascii="Times New Roman" w:hAnsi="Times New Roman" w:cs="Times New Roman"/>
              <w:sz w:val="24"/>
              <w:szCs w:val="24"/>
              <w:lang w:val="en-IN"/>
            </w:rPr>
            <w:instrText xml:space="preserve"> CITATION Man13 \l 16393 </w:instrText>
          </w:r>
          <w:r w:rsidR="003E6061">
            <w:rPr>
              <w:rFonts w:ascii="Times New Roman" w:hAnsi="Times New Roman" w:cs="Times New Roman"/>
              <w:sz w:val="24"/>
              <w:szCs w:val="24"/>
            </w:rPr>
            <w:fldChar w:fldCharType="separate"/>
          </w:r>
          <w:r w:rsidR="00BF15CE" w:rsidRPr="00BF15CE">
            <w:rPr>
              <w:rFonts w:ascii="Times New Roman" w:hAnsi="Times New Roman" w:cs="Times New Roman"/>
              <w:noProof/>
              <w:sz w:val="24"/>
              <w:szCs w:val="24"/>
              <w:lang w:val="en-IN"/>
            </w:rPr>
            <w:t>(Manasfi, 2013)</w:t>
          </w:r>
          <w:r w:rsidR="003E6061">
            <w:rPr>
              <w:rFonts w:ascii="Times New Roman" w:hAnsi="Times New Roman" w:cs="Times New Roman"/>
              <w:sz w:val="24"/>
              <w:szCs w:val="24"/>
            </w:rPr>
            <w:fldChar w:fldCharType="end"/>
          </w:r>
        </w:sdtContent>
      </w:sdt>
      <w:r w:rsidR="003E6061">
        <w:rPr>
          <w:rFonts w:ascii="Times New Roman" w:hAnsi="Times New Roman" w:cs="Times New Roman"/>
          <w:sz w:val="24"/>
          <w:szCs w:val="24"/>
        </w:rPr>
        <w:t>.</w:t>
      </w:r>
    </w:p>
    <w:p w14:paraId="238007FE" w14:textId="0F96251A" w:rsidR="0006062E" w:rsidRDefault="0006062E" w:rsidP="006B5C67">
      <w:pPr>
        <w:spacing w:line="360" w:lineRule="auto"/>
        <w:jc w:val="both"/>
        <w:rPr>
          <w:rFonts w:ascii="Times New Roman" w:hAnsi="Times New Roman" w:cs="Times New Roman"/>
          <w:b/>
          <w:bCs/>
          <w:i/>
          <w:iCs/>
          <w:sz w:val="24"/>
          <w:szCs w:val="24"/>
        </w:rPr>
      </w:pPr>
      <w:r w:rsidRPr="0006062E">
        <w:rPr>
          <w:rFonts w:ascii="Times New Roman" w:hAnsi="Times New Roman" w:cs="Times New Roman"/>
          <w:b/>
          <w:bCs/>
          <w:i/>
          <w:iCs/>
          <w:sz w:val="24"/>
          <w:szCs w:val="24"/>
        </w:rPr>
        <w:t>Basel III</w:t>
      </w:r>
    </w:p>
    <w:p w14:paraId="3264C7B7" w14:textId="77777777" w:rsidR="005A6E28" w:rsidRPr="005A6E28" w:rsidRDefault="005A6E28" w:rsidP="0006062E">
      <w:pPr>
        <w:spacing w:line="360" w:lineRule="auto"/>
        <w:jc w:val="both"/>
        <w:rPr>
          <w:rFonts w:ascii="Times New Roman" w:hAnsi="Times New Roman" w:cs="Times New Roman"/>
          <w:color w:val="000000" w:themeColor="text1"/>
          <w:sz w:val="24"/>
          <w:szCs w:val="24"/>
        </w:rPr>
      </w:pPr>
      <w:r w:rsidRPr="005A6E28">
        <w:rPr>
          <w:rFonts w:ascii="Times New Roman" w:hAnsi="Times New Roman" w:cs="Times New Roman"/>
          <w:color w:val="000000" w:themeColor="text1"/>
          <w:sz w:val="24"/>
          <w:szCs w:val="24"/>
        </w:rPr>
        <w:t>In accordance with Howard (2014), Basel III, an international regulatory framework crafted by the Basel Committee on Banking Supervision, primarily endeavors to enhance the stability and resilience of the global financial system. The pivotal aim of Basel III lies in the imposition of additional constraints designed to forestall the insolvency of financial institutions amidst periods characterized by liquidity crises. Although the Basel III banking regulations were meticulously formulated by the Basel Committee on Banking Supervision as an extensive framework addressing the adequacy of bank capital on a worldwide scale, it is imperative to acknowledge their potential far-reaching implications on corporate governance.</w:t>
      </w:r>
    </w:p>
    <w:p w14:paraId="37E483D1" w14:textId="1666C7EC" w:rsidR="0006062E" w:rsidRDefault="005A6E28" w:rsidP="0006062E">
      <w:pPr>
        <w:spacing w:line="360" w:lineRule="auto"/>
        <w:jc w:val="both"/>
        <w:rPr>
          <w:rFonts w:ascii="Times New Roman" w:hAnsi="Times New Roman" w:cs="Times New Roman"/>
          <w:sz w:val="24"/>
          <w:szCs w:val="24"/>
        </w:rPr>
      </w:pPr>
      <w:r w:rsidRPr="005A6E28">
        <w:rPr>
          <w:rFonts w:ascii="Times New Roman" w:hAnsi="Times New Roman" w:cs="Times New Roman"/>
          <w:color w:val="000000" w:themeColor="text1"/>
          <w:sz w:val="24"/>
          <w:szCs w:val="24"/>
        </w:rPr>
        <w:t>Basel III fortifies the existing banking regulatory framework by employing two fundamental mechanisms. Firstly, it entails an augmentation in the quantum of common equity that a bank is obligated to retain in proportion to its risk-weighted assets (RWAs). Secondly, it mandates an elevation in Tier 1 capital ratios</w:t>
      </w:r>
      <w:r w:rsidR="0006062E" w:rsidRPr="005A6E28">
        <w:rPr>
          <w:rFonts w:ascii="Times New Roman" w:hAnsi="Times New Roman" w:cs="Times New Roman"/>
          <w:color w:val="000000" w:themeColor="text1"/>
          <w:sz w:val="28"/>
          <w:szCs w:val="28"/>
        </w:rPr>
        <w:t xml:space="preserve"> </w:t>
      </w:r>
      <w:sdt>
        <w:sdtPr>
          <w:rPr>
            <w:rFonts w:ascii="Times New Roman" w:hAnsi="Times New Roman" w:cs="Times New Roman"/>
            <w:sz w:val="24"/>
            <w:szCs w:val="24"/>
          </w:rPr>
          <w:id w:val="-1832205925"/>
          <w:citation/>
        </w:sdtPr>
        <w:sdtContent>
          <w:r w:rsidR="00843285">
            <w:rPr>
              <w:rFonts w:ascii="Times New Roman" w:hAnsi="Times New Roman" w:cs="Times New Roman"/>
              <w:sz w:val="24"/>
              <w:szCs w:val="24"/>
            </w:rPr>
            <w:fldChar w:fldCharType="begin"/>
          </w:r>
          <w:r w:rsidR="00843285">
            <w:rPr>
              <w:rFonts w:ascii="Times New Roman" w:hAnsi="Times New Roman" w:cs="Times New Roman"/>
              <w:sz w:val="24"/>
              <w:szCs w:val="24"/>
              <w:lang w:val="en-IN"/>
            </w:rPr>
            <w:instrText xml:space="preserve"> CITATION How14 \l 16393 </w:instrText>
          </w:r>
          <w:r w:rsidR="00843285">
            <w:rPr>
              <w:rFonts w:ascii="Times New Roman" w:hAnsi="Times New Roman" w:cs="Times New Roman"/>
              <w:sz w:val="24"/>
              <w:szCs w:val="24"/>
            </w:rPr>
            <w:fldChar w:fldCharType="separate"/>
          </w:r>
          <w:r w:rsidR="00BF15CE" w:rsidRPr="00BF15CE">
            <w:rPr>
              <w:rFonts w:ascii="Times New Roman" w:hAnsi="Times New Roman" w:cs="Times New Roman"/>
              <w:noProof/>
              <w:sz w:val="24"/>
              <w:szCs w:val="24"/>
              <w:lang w:val="en-IN"/>
            </w:rPr>
            <w:t>(Howard, 2014)</w:t>
          </w:r>
          <w:r w:rsidR="00843285">
            <w:rPr>
              <w:rFonts w:ascii="Times New Roman" w:hAnsi="Times New Roman" w:cs="Times New Roman"/>
              <w:sz w:val="24"/>
              <w:szCs w:val="24"/>
            </w:rPr>
            <w:fldChar w:fldCharType="end"/>
          </w:r>
        </w:sdtContent>
      </w:sdt>
      <w:r w:rsidR="00843285">
        <w:rPr>
          <w:rFonts w:ascii="Times New Roman" w:hAnsi="Times New Roman" w:cs="Times New Roman"/>
          <w:sz w:val="24"/>
          <w:szCs w:val="24"/>
        </w:rPr>
        <w:t>.</w:t>
      </w:r>
    </w:p>
    <w:p w14:paraId="2D6B30D5" w14:textId="19B65EA1" w:rsidR="00D108C9" w:rsidRDefault="00D108C9" w:rsidP="0006062E">
      <w:pPr>
        <w:spacing w:line="360" w:lineRule="auto"/>
        <w:jc w:val="both"/>
        <w:rPr>
          <w:rFonts w:ascii="Times New Roman" w:hAnsi="Times New Roman" w:cs="Times New Roman"/>
          <w:b/>
          <w:bCs/>
          <w:i/>
          <w:iCs/>
          <w:sz w:val="24"/>
          <w:szCs w:val="24"/>
        </w:rPr>
      </w:pPr>
      <w:r w:rsidRPr="00D108C9">
        <w:rPr>
          <w:rFonts w:ascii="Times New Roman" w:hAnsi="Times New Roman" w:cs="Times New Roman"/>
          <w:b/>
          <w:bCs/>
          <w:i/>
          <w:iCs/>
          <w:sz w:val="24"/>
          <w:szCs w:val="24"/>
        </w:rPr>
        <w:t>Emergency Economic Stabilization Act (EESA)</w:t>
      </w:r>
    </w:p>
    <w:p w14:paraId="5AC7B5B6" w14:textId="52E36736" w:rsidR="00D13CD7" w:rsidRPr="00D13CD7" w:rsidRDefault="00D13CD7" w:rsidP="00D108C9">
      <w:pPr>
        <w:spacing w:line="360" w:lineRule="auto"/>
        <w:jc w:val="both"/>
        <w:rPr>
          <w:rFonts w:ascii="Times New Roman" w:hAnsi="Times New Roman" w:cs="Times New Roman"/>
          <w:color w:val="000000" w:themeColor="text1"/>
          <w:sz w:val="28"/>
          <w:szCs w:val="28"/>
        </w:rPr>
      </w:pPr>
      <w:r w:rsidRPr="00D13CD7">
        <w:rPr>
          <w:rFonts w:ascii="Times New Roman" w:hAnsi="Times New Roman" w:cs="Times New Roman"/>
          <w:color w:val="000000" w:themeColor="text1"/>
          <w:sz w:val="24"/>
          <w:szCs w:val="24"/>
        </w:rPr>
        <w:t>A</w:t>
      </w:r>
      <w:r w:rsidR="00CC2225">
        <w:rPr>
          <w:rFonts w:ascii="Times New Roman" w:hAnsi="Times New Roman" w:cs="Times New Roman"/>
          <w:color w:val="000000" w:themeColor="text1"/>
          <w:sz w:val="24"/>
          <w:szCs w:val="24"/>
        </w:rPr>
        <w:t>ccording to</w:t>
      </w:r>
      <w:r w:rsidRPr="00D13CD7">
        <w:rPr>
          <w:rFonts w:ascii="Times New Roman" w:hAnsi="Times New Roman" w:cs="Times New Roman"/>
          <w:color w:val="000000" w:themeColor="text1"/>
          <w:sz w:val="24"/>
          <w:szCs w:val="24"/>
        </w:rPr>
        <w:t xml:space="preserve"> Copeland (2008), the Emergency Economic Stabilisation Act (EESA) of 2008 emerged as a pivotal legislative response by the United States Congress to the profound financial crisis of that year. Enacted on October 3, 2008, under the nomenclature of the Troubled Asset Relief Programme (TARP), this measure aims to safeguard property values, college funds, retirement funds, and life savings. Additionally, its objectives encompass the preservation of homeownership, promotion of job creation and economic growth, maximization of taxpayer returns, and assurance of public accountability.</w:t>
      </w:r>
      <w:r w:rsidRPr="00D13CD7">
        <w:rPr>
          <w:rFonts w:ascii="Times New Roman" w:hAnsi="Times New Roman" w:cs="Times New Roman"/>
          <w:color w:val="000000" w:themeColor="text1"/>
          <w:sz w:val="28"/>
          <w:szCs w:val="28"/>
        </w:rPr>
        <w:t xml:space="preserve"> </w:t>
      </w:r>
    </w:p>
    <w:p w14:paraId="0831499C" w14:textId="0D4A36EB" w:rsidR="0006062E" w:rsidRDefault="00D13CD7" w:rsidP="00D108C9">
      <w:pPr>
        <w:spacing w:line="360" w:lineRule="auto"/>
        <w:jc w:val="both"/>
        <w:rPr>
          <w:rFonts w:ascii="Times New Roman" w:hAnsi="Times New Roman" w:cs="Times New Roman"/>
          <w:sz w:val="24"/>
          <w:szCs w:val="24"/>
        </w:rPr>
      </w:pPr>
      <w:r w:rsidRPr="00D13CD7">
        <w:rPr>
          <w:rFonts w:ascii="Times New Roman" w:hAnsi="Times New Roman" w:cs="Times New Roman"/>
          <w:color w:val="000000" w:themeColor="text1"/>
          <w:sz w:val="24"/>
          <w:szCs w:val="24"/>
        </w:rPr>
        <w:lastRenderedPageBreak/>
        <w:t>The EESA established two entities, namely the Financial Stability Oversight Board and the Congressional Oversight Panel, entrusted with the comprehensive oversight of the stability program.</w:t>
      </w:r>
      <w:r w:rsidRPr="00D13CD7">
        <w:rPr>
          <w:rFonts w:ascii="Times New Roman" w:hAnsi="Times New Roman" w:cs="Times New Roman"/>
          <w:color w:val="000000" w:themeColor="text1"/>
          <w:sz w:val="28"/>
          <w:szCs w:val="28"/>
        </w:rPr>
        <w:t xml:space="preserve"> </w:t>
      </w:r>
      <w:r w:rsidRPr="00D13CD7">
        <w:rPr>
          <w:rFonts w:ascii="Times New Roman" w:hAnsi="Times New Roman" w:cs="Times New Roman"/>
          <w:color w:val="000000" w:themeColor="text1"/>
          <w:sz w:val="24"/>
          <w:szCs w:val="24"/>
        </w:rPr>
        <w:t>The Troubled Asset Relief Programme served as the primary mechanism through which the EESA was operationalized, involving capital injections to stabilize financial institutions and providing assistance to homeowners with the aim of reducing mortgage default rates</w:t>
      </w:r>
      <w:r>
        <w:rPr>
          <w:rFonts w:ascii="Segoe UI" w:hAnsi="Segoe UI" w:cs="Segoe UI"/>
          <w:color w:val="374151"/>
        </w:rPr>
        <w:t xml:space="preserve"> </w:t>
      </w:r>
      <w:sdt>
        <w:sdtPr>
          <w:rPr>
            <w:rFonts w:ascii="Times New Roman" w:hAnsi="Times New Roman" w:cs="Times New Roman"/>
            <w:sz w:val="24"/>
            <w:szCs w:val="24"/>
          </w:rPr>
          <w:id w:val="1837411115"/>
          <w:citation/>
        </w:sdtPr>
        <w:sdtContent>
          <w:r w:rsidR="00B6180C">
            <w:rPr>
              <w:rFonts w:ascii="Times New Roman" w:hAnsi="Times New Roman" w:cs="Times New Roman"/>
              <w:sz w:val="24"/>
              <w:szCs w:val="24"/>
            </w:rPr>
            <w:fldChar w:fldCharType="begin"/>
          </w:r>
          <w:r w:rsidR="00B6180C">
            <w:rPr>
              <w:rFonts w:ascii="Times New Roman" w:hAnsi="Times New Roman" w:cs="Times New Roman"/>
              <w:sz w:val="24"/>
              <w:szCs w:val="24"/>
              <w:lang w:val="en-US"/>
            </w:rPr>
            <w:instrText xml:space="preserve"> CITATION Cop08 \l 1033 </w:instrText>
          </w:r>
          <w:r w:rsidR="00B6180C">
            <w:rPr>
              <w:rFonts w:ascii="Times New Roman" w:hAnsi="Times New Roman" w:cs="Times New Roman"/>
              <w:sz w:val="24"/>
              <w:szCs w:val="24"/>
            </w:rPr>
            <w:fldChar w:fldCharType="separate"/>
          </w:r>
          <w:r w:rsidR="00BF15CE" w:rsidRPr="00BF15CE">
            <w:rPr>
              <w:rFonts w:ascii="Times New Roman" w:hAnsi="Times New Roman" w:cs="Times New Roman"/>
              <w:noProof/>
              <w:sz w:val="24"/>
              <w:szCs w:val="24"/>
              <w:lang w:val="en-US"/>
            </w:rPr>
            <w:t>(Copeland, 2008)</w:t>
          </w:r>
          <w:r w:rsidR="00B6180C">
            <w:rPr>
              <w:rFonts w:ascii="Times New Roman" w:hAnsi="Times New Roman" w:cs="Times New Roman"/>
              <w:sz w:val="24"/>
              <w:szCs w:val="24"/>
            </w:rPr>
            <w:fldChar w:fldCharType="end"/>
          </w:r>
        </w:sdtContent>
      </w:sdt>
      <w:r w:rsidR="00B6180C" w:rsidRPr="00B6180C">
        <w:rPr>
          <w:rFonts w:ascii="Times New Roman" w:hAnsi="Times New Roman" w:cs="Times New Roman"/>
          <w:sz w:val="24"/>
          <w:szCs w:val="24"/>
        </w:rPr>
        <w:t>.</w:t>
      </w:r>
      <w:r w:rsidR="00F1688F">
        <w:rPr>
          <w:rFonts w:ascii="Times New Roman" w:hAnsi="Times New Roman" w:cs="Times New Roman"/>
          <w:sz w:val="24"/>
          <w:szCs w:val="24"/>
        </w:rPr>
        <w:t xml:space="preserve"> </w:t>
      </w:r>
      <w:r w:rsidR="000E6CE0" w:rsidRPr="000E6CE0">
        <w:rPr>
          <w:rFonts w:ascii="Times New Roman" w:hAnsi="Times New Roman" w:cs="Times New Roman"/>
          <w:sz w:val="24"/>
          <w:szCs w:val="24"/>
        </w:rPr>
        <w:t>The Act includes measures to encourage problematic debt refinancing in order to avoid seizures and stabilise the housing market.</w:t>
      </w:r>
      <w:r w:rsidR="00B01E19">
        <w:rPr>
          <w:rFonts w:ascii="Segoe UI" w:hAnsi="Segoe UI" w:cs="Segoe UI"/>
          <w:color w:val="374151"/>
        </w:rPr>
        <w:t xml:space="preserve"> </w:t>
      </w:r>
      <w:r w:rsidR="00B01E19" w:rsidRPr="00B01E19">
        <w:rPr>
          <w:rFonts w:ascii="Times New Roman" w:hAnsi="Times New Roman" w:cs="Times New Roman"/>
          <w:sz w:val="24"/>
          <w:szCs w:val="24"/>
        </w:rPr>
        <w:t>However, this Act was a significant measure of the post-2008 financial meltdown</w:t>
      </w:r>
      <w:r w:rsidR="00F1688F" w:rsidRPr="00F1688F">
        <w:rPr>
          <w:rFonts w:ascii="Times New Roman" w:hAnsi="Times New Roman" w:cs="Times New Roman"/>
          <w:sz w:val="24"/>
          <w:szCs w:val="24"/>
        </w:rPr>
        <w:t>, attempting to restore financial system confidence and stability through the purchase of distressed assets and the deployment of TARP.</w:t>
      </w:r>
    </w:p>
    <w:p w14:paraId="30BB21E7" w14:textId="5263CBAF" w:rsidR="00F27EF0" w:rsidRDefault="00F27EF0" w:rsidP="00D108C9">
      <w:pPr>
        <w:spacing w:line="360" w:lineRule="auto"/>
        <w:jc w:val="both"/>
        <w:rPr>
          <w:rFonts w:ascii="Times New Roman" w:hAnsi="Times New Roman" w:cs="Times New Roman"/>
          <w:b/>
          <w:bCs/>
          <w:i/>
          <w:iCs/>
          <w:sz w:val="24"/>
          <w:szCs w:val="24"/>
        </w:rPr>
      </w:pPr>
      <w:r w:rsidRPr="00F27EF0">
        <w:rPr>
          <w:rFonts w:ascii="Times New Roman" w:hAnsi="Times New Roman" w:cs="Times New Roman"/>
          <w:b/>
          <w:bCs/>
          <w:i/>
          <w:iCs/>
          <w:sz w:val="24"/>
          <w:szCs w:val="24"/>
        </w:rPr>
        <w:t>Mortgage Market Reforms</w:t>
      </w:r>
    </w:p>
    <w:p w14:paraId="171AC107" w14:textId="28A58799" w:rsidR="00F27EF0" w:rsidRPr="004349E9" w:rsidRDefault="004349E9" w:rsidP="00D108C9">
      <w:pPr>
        <w:spacing w:line="360" w:lineRule="auto"/>
        <w:jc w:val="both"/>
        <w:rPr>
          <w:rFonts w:ascii="Times New Roman" w:hAnsi="Times New Roman" w:cs="Times New Roman"/>
          <w:color w:val="000000" w:themeColor="text1"/>
          <w:sz w:val="24"/>
          <w:szCs w:val="24"/>
          <w:shd w:val="clear" w:color="auto" w:fill="FCFCF9"/>
        </w:rPr>
      </w:pPr>
      <w:r w:rsidRPr="004349E9">
        <w:rPr>
          <w:rFonts w:ascii="Times New Roman" w:hAnsi="Times New Roman" w:cs="Times New Roman"/>
          <w:color w:val="000000" w:themeColor="text1"/>
          <w:sz w:val="24"/>
          <w:szCs w:val="24"/>
        </w:rPr>
        <w:t xml:space="preserve">The Dodd-Frank Act, enacted in response to the financial crisis of 2007-2008, encompasses provisions directed at reforming residential mortgage lending and securitization practices. The legislation introduces liability protection for lenders engaged in the origination of mortgages meeting nine specified criteria, known as Qualified Mortgages, which pertain to the </w:t>
      </w:r>
      <w:r w:rsidR="00154F6E">
        <w:rPr>
          <w:rFonts w:ascii="Times New Roman" w:hAnsi="Times New Roman" w:cs="Times New Roman"/>
          <w:color w:val="000000" w:themeColor="text1"/>
          <w:sz w:val="24"/>
          <w:szCs w:val="24"/>
        </w:rPr>
        <w:t>debtor</w:t>
      </w:r>
      <w:r w:rsidRPr="004349E9">
        <w:rPr>
          <w:rFonts w:ascii="Times New Roman" w:hAnsi="Times New Roman" w:cs="Times New Roman"/>
          <w:color w:val="000000" w:themeColor="text1"/>
          <w:sz w:val="24"/>
          <w:szCs w:val="24"/>
        </w:rPr>
        <w:t xml:space="preserve">'s </w:t>
      </w:r>
      <w:r w:rsidR="00154F6E">
        <w:rPr>
          <w:rFonts w:ascii="Times New Roman" w:hAnsi="Times New Roman" w:cs="Times New Roman"/>
          <w:color w:val="000000" w:themeColor="text1"/>
          <w:sz w:val="24"/>
          <w:szCs w:val="24"/>
        </w:rPr>
        <w:t>capacity</w:t>
      </w:r>
      <w:r w:rsidRPr="004349E9">
        <w:rPr>
          <w:rFonts w:ascii="Times New Roman" w:hAnsi="Times New Roman" w:cs="Times New Roman"/>
          <w:color w:val="000000" w:themeColor="text1"/>
          <w:sz w:val="24"/>
          <w:szCs w:val="24"/>
        </w:rPr>
        <w:t xml:space="preserve"> to </w:t>
      </w:r>
      <w:r w:rsidR="00154F6E">
        <w:rPr>
          <w:rFonts w:ascii="Times New Roman" w:hAnsi="Times New Roman" w:cs="Times New Roman"/>
          <w:color w:val="000000" w:themeColor="text1"/>
          <w:sz w:val="24"/>
          <w:szCs w:val="24"/>
        </w:rPr>
        <w:t>make payments</w:t>
      </w:r>
      <w:r w:rsidRPr="004349E9">
        <w:rPr>
          <w:rFonts w:ascii="Times New Roman" w:hAnsi="Times New Roman" w:cs="Times New Roman"/>
          <w:color w:val="000000" w:themeColor="text1"/>
          <w:sz w:val="24"/>
          <w:szCs w:val="24"/>
        </w:rPr>
        <w:t xml:space="preserve">. Furthermore, the Dodd-Frank Act mandates that securities linked to mortgages failing to meet specific criteria associated with lower default risk must retain a minimum of 5 per cent of the credit risk. However, the exact percentage may be subject to variation by federal rulemaking agencies. </w:t>
      </w:r>
      <w:r w:rsidR="00F27EF0" w:rsidRPr="004349E9">
        <w:rPr>
          <w:rFonts w:ascii="Times New Roman" w:hAnsi="Times New Roman" w:cs="Times New Roman"/>
          <w:color w:val="000000" w:themeColor="text1"/>
          <w:sz w:val="24"/>
          <w:szCs w:val="24"/>
          <w:shd w:val="clear" w:color="auto" w:fill="FCFCF9"/>
        </w:rPr>
        <w:t>Some of the key provisions related to mortgage market reform in the Dodd-Frank Act are:</w:t>
      </w:r>
    </w:p>
    <w:p w14:paraId="57939864" w14:textId="1FAD28F5" w:rsidR="00F27EF0" w:rsidRPr="00C060B0" w:rsidRDefault="00F27EF0" w:rsidP="00F27EF0">
      <w:pPr>
        <w:pStyle w:val="ListParagraph"/>
        <w:numPr>
          <w:ilvl w:val="0"/>
          <w:numId w:val="3"/>
        </w:numPr>
        <w:spacing w:line="360" w:lineRule="auto"/>
        <w:jc w:val="both"/>
        <w:rPr>
          <w:rFonts w:ascii="Times New Roman" w:hAnsi="Times New Roman" w:cs="Times New Roman"/>
          <w:color w:val="000000" w:themeColor="text1"/>
          <w:sz w:val="24"/>
          <w:szCs w:val="24"/>
          <w:shd w:val="clear" w:color="auto" w:fill="FCFCF9"/>
        </w:rPr>
      </w:pPr>
      <w:r w:rsidRPr="00D2395A">
        <w:rPr>
          <w:rFonts w:ascii="Times New Roman" w:hAnsi="Times New Roman" w:cs="Times New Roman"/>
          <w:b/>
          <w:bCs/>
          <w:i/>
          <w:iCs/>
          <w:color w:val="000000" w:themeColor="text1"/>
          <w:sz w:val="24"/>
          <w:szCs w:val="24"/>
          <w:shd w:val="clear" w:color="auto" w:fill="FCFCF9"/>
        </w:rPr>
        <w:t>Qualified Mortgage Criteria:</w:t>
      </w:r>
      <w:r w:rsidRPr="00D2395A">
        <w:rPr>
          <w:rFonts w:ascii="Times New Roman" w:hAnsi="Times New Roman" w:cs="Times New Roman"/>
          <w:color w:val="000000" w:themeColor="text1"/>
          <w:sz w:val="24"/>
          <w:szCs w:val="24"/>
          <w:shd w:val="clear" w:color="auto" w:fill="FCFCF9"/>
        </w:rPr>
        <w:t xml:space="preserve"> </w:t>
      </w:r>
      <w:r w:rsidR="004349E9" w:rsidRPr="004349E9">
        <w:rPr>
          <w:rFonts w:ascii="Times New Roman" w:hAnsi="Times New Roman" w:cs="Times New Roman"/>
          <w:color w:val="000000" w:themeColor="text1"/>
          <w:sz w:val="24"/>
          <w:szCs w:val="24"/>
        </w:rPr>
        <w:t xml:space="preserve">The Act provides debt protection for </w:t>
      </w:r>
      <w:r w:rsidR="00154F6E">
        <w:rPr>
          <w:rFonts w:ascii="Times New Roman" w:hAnsi="Times New Roman" w:cs="Times New Roman"/>
          <w:color w:val="000000" w:themeColor="text1"/>
          <w:sz w:val="24"/>
          <w:szCs w:val="24"/>
        </w:rPr>
        <w:t>debtor</w:t>
      </w:r>
      <w:r w:rsidR="004349E9" w:rsidRPr="004349E9">
        <w:rPr>
          <w:rFonts w:ascii="Times New Roman" w:hAnsi="Times New Roman" w:cs="Times New Roman"/>
          <w:color w:val="000000" w:themeColor="text1"/>
          <w:sz w:val="24"/>
          <w:szCs w:val="24"/>
        </w:rPr>
        <w:t xml:space="preserve">s in relation to mortgages that meet certain requirements related to the </w:t>
      </w:r>
      <w:r w:rsidR="00154F6E">
        <w:rPr>
          <w:rFonts w:ascii="Times New Roman" w:hAnsi="Times New Roman" w:cs="Times New Roman"/>
          <w:color w:val="000000" w:themeColor="text1"/>
          <w:sz w:val="24"/>
          <w:szCs w:val="24"/>
        </w:rPr>
        <w:t>debtor</w:t>
      </w:r>
      <w:r w:rsidR="004349E9" w:rsidRPr="004349E9">
        <w:rPr>
          <w:rFonts w:ascii="Times New Roman" w:hAnsi="Times New Roman" w:cs="Times New Roman"/>
          <w:color w:val="000000" w:themeColor="text1"/>
          <w:sz w:val="24"/>
          <w:szCs w:val="24"/>
        </w:rPr>
        <w:t xml:space="preserve">'s </w:t>
      </w:r>
      <w:r w:rsidR="00154F6E">
        <w:rPr>
          <w:rFonts w:ascii="Times New Roman" w:hAnsi="Times New Roman" w:cs="Times New Roman"/>
          <w:color w:val="000000" w:themeColor="text1"/>
          <w:sz w:val="24"/>
          <w:szCs w:val="24"/>
        </w:rPr>
        <w:t>capaci</w:t>
      </w:r>
      <w:r w:rsidR="00154F6E" w:rsidRPr="004349E9">
        <w:rPr>
          <w:rFonts w:ascii="Times New Roman" w:hAnsi="Times New Roman" w:cs="Times New Roman"/>
          <w:color w:val="000000" w:themeColor="text1"/>
          <w:sz w:val="24"/>
          <w:szCs w:val="24"/>
        </w:rPr>
        <w:t>ty</w:t>
      </w:r>
      <w:r w:rsidR="004349E9" w:rsidRPr="004349E9">
        <w:rPr>
          <w:rFonts w:ascii="Times New Roman" w:hAnsi="Times New Roman" w:cs="Times New Roman"/>
          <w:color w:val="000000" w:themeColor="text1"/>
          <w:sz w:val="24"/>
          <w:szCs w:val="24"/>
        </w:rPr>
        <w:t xml:space="preserve"> to</w:t>
      </w:r>
      <w:r w:rsidR="00154F6E">
        <w:rPr>
          <w:rFonts w:ascii="Times New Roman" w:hAnsi="Times New Roman" w:cs="Times New Roman"/>
          <w:color w:val="000000" w:themeColor="text1"/>
          <w:sz w:val="24"/>
          <w:szCs w:val="24"/>
        </w:rPr>
        <w:t xml:space="preserve"> make payments</w:t>
      </w:r>
      <w:r w:rsidR="004349E9" w:rsidRPr="004349E9">
        <w:rPr>
          <w:rFonts w:ascii="Times New Roman" w:hAnsi="Times New Roman" w:cs="Times New Roman"/>
          <w:color w:val="000000" w:themeColor="text1"/>
          <w:sz w:val="24"/>
          <w:szCs w:val="24"/>
        </w:rPr>
        <w:t xml:space="preserve">; these mortgages </w:t>
      </w:r>
      <w:r w:rsidR="00154F6E">
        <w:rPr>
          <w:rFonts w:ascii="Times New Roman" w:hAnsi="Times New Roman" w:cs="Times New Roman"/>
          <w:color w:val="000000" w:themeColor="text1"/>
          <w:sz w:val="24"/>
          <w:szCs w:val="24"/>
        </w:rPr>
        <w:t>defined</w:t>
      </w:r>
      <w:r w:rsidR="004349E9" w:rsidRPr="004349E9">
        <w:rPr>
          <w:rFonts w:ascii="Times New Roman" w:hAnsi="Times New Roman" w:cs="Times New Roman"/>
          <w:color w:val="000000" w:themeColor="text1"/>
          <w:sz w:val="24"/>
          <w:szCs w:val="24"/>
        </w:rPr>
        <w:t xml:space="preserve"> as "qualified mortgages."</w:t>
      </w:r>
    </w:p>
    <w:p w14:paraId="6010FC4C" w14:textId="4ADFD78B" w:rsidR="00C060B0" w:rsidRPr="00C060B0" w:rsidRDefault="00D2395A" w:rsidP="00657B7D">
      <w:pPr>
        <w:pStyle w:val="ListParagraph"/>
        <w:numPr>
          <w:ilvl w:val="0"/>
          <w:numId w:val="3"/>
        </w:numPr>
        <w:spacing w:line="360" w:lineRule="auto"/>
        <w:jc w:val="both"/>
        <w:rPr>
          <w:rFonts w:ascii="Times New Roman" w:hAnsi="Times New Roman" w:cs="Times New Roman"/>
          <w:b/>
          <w:bCs/>
          <w:color w:val="000000" w:themeColor="text1"/>
          <w:sz w:val="28"/>
          <w:szCs w:val="28"/>
          <w:shd w:val="clear" w:color="auto" w:fill="FCFCF9"/>
        </w:rPr>
      </w:pPr>
      <w:r w:rsidRPr="00C060B0">
        <w:rPr>
          <w:rFonts w:ascii="Times New Roman" w:hAnsi="Times New Roman" w:cs="Times New Roman"/>
          <w:b/>
          <w:bCs/>
          <w:i/>
          <w:iCs/>
          <w:color w:val="000000" w:themeColor="text1"/>
          <w:sz w:val="24"/>
          <w:szCs w:val="24"/>
          <w:shd w:val="clear" w:color="auto" w:fill="FCFCF9"/>
        </w:rPr>
        <w:t>Credit Risk Retention Requirements:</w:t>
      </w:r>
      <w:r w:rsidRPr="00C060B0">
        <w:rPr>
          <w:rFonts w:ascii="Times New Roman" w:hAnsi="Times New Roman" w:cs="Times New Roman"/>
          <w:color w:val="000000" w:themeColor="text1"/>
          <w:sz w:val="24"/>
          <w:szCs w:val="24"/>
          <w:shd w:val="clear" w:color="auto" w:fill="FCFCF9"/>
        </w:rPr>
        <w:t xml:space="preserve"> </w:t>
      </w:r>
      <w:r w:rsidR="00C060B0" w:rsidRPr="00C060B0">
        <w:rPr>
          <w:rFonts w:ascii="Times New Roman" w:hAnsi="Times New Roman" w:cs="Times New Roman"/>
          <w:color w:val="000000" w:themeColor="text1"/>
          <w:sz w:val="24"/>
          <w:szCs w:val="24"/>
        </w:rPr>
        <w:t xml:space="preserve">The Act mandates that entities engaged in the securitization of mortgages retain a portion, at least </w:t>
      </w:r>
      <w:r w:rsidR="00154F6E">
        <w:rPr>
          <w:rFonts w:ascii="Times New Roman" w:hAnsi="Times New Roman" w:cs="Times New Roman"/>
          <w:color w:val="000000" w:themeColor="text1"/>
          <w:sz w:val="24"/>
          <w:szCs w:val="24"/>
        </w:rPr>
        <w:t>five</w:t>
      </w:r>
      <w:r w:rsidR="00C060B0" w:rsidRPr="00C060B0">
        <w:rPr>
          <w:rFonts w:ascii="Times New Roman" w:hAnsi="Times New Roman" w:cs="Times New Roman"/>
          <w:color w:val="000000" w:themeColor="text1"/>
          <w:sz w:val="24"/>
          <w:szCs w:val="24"/>
        </w:rPr>
        <w:t xml:space="preserve"> per cent, of the credit risk associated with the securitized mortgages. However, the precise percentage may be subject to variation by federal rulemaking agencies.</w:t>
      </w:r>
    </w:p>
    <w:p w14:paraId="23209B3E" w14:textId="77777777" w:rsidR="00703C29" w:rsidRPr="00703C29" w:rsidRDefault="00D2395A" w:rsidP="006B75A3">
      <w:pPr>
        <w:pStyle w:val="ListParagraph"/>
        <w:numPr>
          <w:ilvl w:val="0"/>
          <w:numId w:val="3"/>
        </w:numPr>
        <w:spacing w:line="360" w:lineRule="auto"/>
        <w:jc w:val="both"/>
        <w:rPr>
          <w:rFonts w:ascii="Times New Roman" w:hAnsi="Times New Roman" w:cs="Times New Roman"/>
          <w:b/>
          <w:bCs/>
          <w:color w:val="000000" w:themeColor="text1"/>
          <w:sz w:val="32"/>
          <w:szCs w:val="32"/>
          <w:shd w:val="clear" w:color="auto" w:fill="FCFCF9"/>
        </w:rPr>
      </w:pPr>
      <w:r w:rsidRPr="00703C29">
        <w:rPr>
          <w:rFonts w:ascii="Times New Roman" w:hAnsi="Times New Roman" w:cs="Times New Roman"/>
          <w:b/>
          <w:bCs/>
          <w:i/>
          <w:iCs/>
          <w:color w:val="000000" w:themeColor="text1"/>
          <w:sz w:val="24"/>
          <w:szCs w:val="24"/>
          <w:shd w:val="clear" w:color="auto" w:fill="FCFCF9"/>
        </w:rPr>
        <w:t>Homeownership Counselling and</w:t>
      </w:r>
      <w:r w:rsidR="004349E9" w:rsidRPr="00703C29">
        <w:rPr>
          <w:rFonts w:ascii="Times New Roman" w:hAnsi="Times New Roman" w:cs="Times New Roman"/>
          <w:b/>
          <w:bCs/>
          <w:i/>
          <w:iCs/>
          <w:color w:val="000000" w:themeColor="text1"/>
          <w:sz w:val="24"/>
          <w:szCs w:val="24"/>
          <w:shd w:val="clear" w:color="auto" w:fill="FCFCF9"/>
        </w:rPr>
        <w:t xml:space="preserve"> </w:t>
      </w:r>
      <w:r w:rsidRPr="00703C29">
        <w:rPr>
          <w:rFonts w:ascii="Times New Roman" w:hAnsi="Times New Roman" w:cs="Times New Roman"/>
          <w:b/>
          <w:bCs/>
          <w:i/>
          <w:iCs/>
          <w:color w:val="000000" w:themeColor="text1"/>
          <w:sz w:val="24"/>
          <w:szCs w:val="24"/>
          <w:shd w:val="clear" w:color="auto" w:fill="FCFCF9"/>
        </w:rPr>
        <w:t>Cos</w:t>
      </w:r>
      <w:r w:rsidR="004349E9" w:rsidRPr="00703C29">
        <w:rPr>
          <w:rFonts w:ascii="Times New Roman" w:hAnsi="Times New Roman" w:cs="Times New Roman"/>
          <w:b/>
          <w:bCs/>
          <w:i/>
          <w:iCs/>
          <w:color w:val="000000" w:themeColor="text1"/>
          <w:sz w:val="24"/>
          <w:szCs w:val="24"/>
          <w:shd w:val="clear" w:color="auto" w:fill="FCFCF9"/>
        </w:rPr>
        <w:t>t-prohibitive Debt Regulations</w:t>
      </w:r>
      <w:r w:rsidRPr="00703C29">
        <w:rPr>
          <w:rFonts w:ascii="Times New Roman" w:hAnsi="Times New Roman" w:cs="Times New Roman"/>
          <w:b/>
          <w:bCs/>
          <w:i/>
          <w:iCs/>
          <w:color w:val="000000" w:themeColor="text1"/>
          <w:sz w:val="24"/>
          <w:szCs w:val="24"/>
          <w:shd w:val="clear" w:color="auto" w:fill="FCFCF9"/>
        </w:rPr>
        <w:t>:</w:t>
      </w:r>
      <w:r w:rsidRPr="00703C29">
        <w:rPr>
          <w:rFonts w:ascii="Times New Roman" w:hAnsi="Times New Roman" w:cs="Times New Roman"/>
          <w:b/>
          <w:bCs/>
          <w:color w:val="000000" w:themeColor="text1"/>
          <w:sz w:val="24"/>
          <w:szCs w:val="24"/>
          <w:shd w:val="clear" w:color="auto" w:fill="FCFCF9"/>
        </w:rPr>
        <w:t xml:space="preserve"> </w:t>
      </w:r>
      <w:r w:rsidR="00703C29" w:rsidRPr="00703C29">
        <w:rPr>
          <w:rFonts w:ascii="Times New Roman" w:hAnsi="Times New Roman" w:cs="Times New Roman"/>
          <w:color w:val="000000" w:themeColor="text1"/>
          <w:sz w:val="24"/>
          <w:szCs w:val="24"/>
        </w:rPr>
        <w:t>The Act's objectives are to strengthen consumer protection and encourage ethical lending practices. It includes provisions pertaining to both homeownership counselling and cost-prohibitive debt management.</w:t>
      </w:r>
    </w:p>
    <w:p w14:paraId="654C1C53" w14:textId="27322746" w:rsidR="00F27EF0" w:rsidRPr="00703C29" w:rsidRDefault="00C060B0" w:rsidP="00703C29">
      <w:pPr>
        <w:spacing w:line="360" w:lineRule="auto"/>
        <w:ind w:left="360"/>
        <w:jc w:val="both"/>
        <w:rPr>
          <w:rFonts w:ascii="Times New Roman" w:hAnsi="Times New Roman" w:cs="Times New Roman"/>
          <w:b/>
          <w:bCs/>
          <w:color w:val="000000" w:themeColor="text1"/>
          <w:sz w:val="32"/>
          <w:szCs w:val="32"/>
          <w:shd w:val="clear" w:color="auto" w:fill="FCFCF9"/>
        </w:rPr>
      </w:pPr>
      <w:r w:rsidRPr="00703C29">
        <w:rPr>
          <w:rFonts w:ascii="Times New Roman" w:hAnsi="Times New Roman" w:cs="Times New Roman"/>
          <w:color w:val="000000" w:themeColor="text1"/>
          <w:sz w:val="24"/>
          <w:szCs w:val="24"/>
        </w:rPr>
        <w:t>These legislative measures were designed to rectify issues that</w:t>
      </w:r>
      <w:r w:rsidR="00154F6E">
        <w:rPr>
          <w:rFonts w:ascii="Times New Roman" w:hAnsi="Times New Roman" w:cs="Times New Roman"/>
          <w:color w:val="000000" w:themeColor="text1"/>
          <w:sz w:val="24"/>
          <w:szCs w:val="24"/>
        </w:rPr>
        <w:t xml:space="preserve"> prompted</w:t>
      </w:r>
      <w:r w:rsidRPr="00703C29">
        <w:rPr>
          <w:rFonts w:ascii="Times New Roman" w:hAnsi="Times New Roman" w:cs="Times New Roman"/>
          <w:color w:val="000000" w:themeColor="text1"/>
          <w:sz w:val="24"/>
          <w:szCs w:val="24"/>
        </w:rPr>
        <w:t xml:space="preserve"> to the </w:t>
      </w:r>
      <w:r w:rsidR="00154F6E">
        <w:rPr>
          <w:rFonts w:ascii="Times New Roman" w:hAnsi="Times New Roman" w:cs="Times New Roman"/>
          <w:color w:val="000000" w:themeColor="text1"/>
          <w:sz w:val="24"/>
          <w:szCs w:val="24"/>
        </w:rPr>
        <w:t>economic downturn</w:t>
      </w:r>
      <w:r w:rsidRPr="00703C29">
        <w:rPr>
          <w:rFonts w:ascii="Times New Roman" w:hAnsi="Times New Roman" w:cs="Times New Roman"/>
          <w:color w:val="000000" w:themeColor="text1"/>
          <w:sz w:val="24"/>
          <w:szCs w:val="24"/>
        </w:rPr>
        <w:t xml:space="preserve">, including imprudent lending practices and the securitization of precarious </w:t>
      </w:r>
      <w:r w:rsidRPr="00703C29">
        <w:rPr>
          <w:rFonts w:ascii="Times New Roman" w:hAnsi="Times New Roman" w:cs="Times New Roman"/>
          <w:color w:val="000000" w:themeColor="text1"/>
          <w:sz w:val="24"/>
          <w:szCs w:val="24"/>
        </w:rPr>
        <w:lastRenderedPageBreak/>
        <w:t>mortgages. By establishing rigorous lending standards and endorsing responsible lending practices, the Dodd-Frank Act aspired to instil stability and enhance consumer protection within the mortgage market</w:t>
      </w:r>
      <w:r w:rsidR="00D2395A" w:rsidRPr="00703C29">
        <w:rPr>
          <w:rFonts w:ascii="Times New Roman" w:hAnsi="Times New Roman" w:cs="Times New Roman"/>
          <w:color w:val="000000" w:themeColor="text1"/>
          <w:sz w:val="28"/>
          <w:szCs w:val="28"/>
          <w:shd w:val="clear" w:color="auto" w:fill="FCFCF9"/>
        </w:rPr>
        <w:t xml:space="preserve"> </w:t>
      </w:r>
      <w:sdt>
        <w:sdtPr>
          <w:rPr>
            <w:shd w:val="clear" w:color="auto" w:fill="FCFCF9"/>
          </w:rPr>
          <w:id w:val="-380327946"/>
          <w:citation/>
        </w:sdtPr>
        <w:sdtContent>
          <w:r w:rsidR="00D2395A" w:rsidRPr="00703C29">
            <w:rPr>
              <w:rFonts w:ascii="Times New Roman" w:hAnsi="Times New Roman" w:cs="Times New Roman"/>
              <w:color w:val="000000" w:themeColor="text1"/>
              <w:sz w:val="24"/>
              <w:szCs w:val="24"/>
              <w:shd w:val="clear" w:color="auto" w:fill="FCFCF9"/>
            </w:rPr>
            <w:fldChar w:fldCharType="begin"/>
          </w:r>
          <w:r w:rsidR="00D2395A" w:rsidRPr="00703C29">
            <w:rPr>
              <w:rFonts w:ascii="Times New Roman" w:hAnsi="Times New Roman" w:cs="Times New Roman"/>
              <w:color w:val="000000" w:themeColor="text1"/>
              <w:sz w:val="24"/>
              <w:szCs w:val="24"/>
              <w:shd w:val="clear" w:color="auto" w:fill="FCFCF9"/>
            </w:rPr>
            <w:instrText xml:space="preserve">CITATION Uni11 \l 2057 </w:instrText>
          </w:r>
          <w:r w:rsidR="00D2395A" w:rsidRPr="00703C29">
            <w:rPr>
              <w:rFonts w:ascii="Times New Roman" w:hAnsi="Times New Roman" w:cs="Times New Roman"/>
              <w:color w:val="000000" w:themeColor="text1"/>
              <w:sz w:val="24"/>
              <w:szCs w:val="24"/>
              <w:shd w:val="clear" w:color="auto" w:fill="FCFCF9"/>
            </w:rPr>
            <w:fldChar w:fldCharType="separate"/>
          </w:r>
          <w:r w:rsidR="00BF15CE" w:rsidRPr="00703C29">
            <w:rPr>
              <w:rFonts w:ascii="Times New Roman" w:hAnsi="Times New Roman" w:cs="Times New Roman"/>
              <w:noProof/>
              <w:color w:val="000000" w:themeColor="text1"/>
              <w:sz w:val="24"/>
              <w:szCs w:val="24"/>
              <w:shd w:val="clear" w:color="auto" w:fill="FCFCF9"/>
            </w:rPr>
            <w:t>(U.S. Government Accountability Office, 2011)</w:t>
          </w:r>
          <w:r w:rsidR="00D2395A" w:rsidRPr="00703C29">
            <w:rPr>
              <w:rFonts w:ascii="Times New Roman" w:hAnsi="Times New Roman" w:cs="Times New Roman"/>
              <w:color w:val="000000" w:themeColor="text1"/>
              <w:sz w:val="24"/>
              <w:szCs w:val="24"/>
              <w:shd w:val="clear" w:color="auto" w:fill="FCFCF9"/>
            </w:rPr>
            <w:fldChar w:fldCharType="end"/>
          </w:r>
        </w:sdtContent>
      </w:sdt>
    </w:p>
    <w:p w14:paraId="08C8771E" w14:textId="6E773A0B" w:rsidR="00506D9E" w:rsidRPr="0013494B" w:rsidRDefault="00762D7C" w:rsidP="0013494B">
      <w:pPr>
        <w:pStyle w:val="Heading1"/>
      </w:pPr>
      <w:bookmarkStart w:id="2" w:name="_Toc155313184"/>
      <w:r>
        <w:t>European Union’s</w:t>
      </w:r>
      <w:r w:rsidR="00871B37">
        <w:t xml:space="preserve"> (EU)</w:t>
      </w:r>
      <w:r>
        <w:t xml:space="preserve"> Regulatory Response to Stabilise its Financial System after Global Financial Crises 2008.</w:t>
      </w:r>
      <w:bookmarkEnd w:id="2"/>
    </w:p>
    <w:p w14:paraId="362A4266" w14:textId="7FFEF167" w:rsidR="00290A69" w:rsidRPr="009821C8" w:rsidRDefault="00CC2225" w:rsidP="00D108C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Following the economic collapse of 2008</w:t>
      </w:r>
      <w:r w:rsidR="00703C29" w:rsidRPr="00703C29">
        <w:rPr>
          <w:rFonts w:ascii="Times New Roman" w:hAnsi="Times New Roman" w:cs="Times New Roman"/>
          <w:color w:val="000000" w:themeColor="text1"/>
          <w:sz w:val="24"/>
          <w:szCs w:val="24"/>
        </w:rPr>
        <w:t>, the E</w:t>
      </w:r>
      <w:r>
        <w:rPr>
          <w:rFonts w:ascii="Times New Roman" w:hAnsi="Times New Roman" w:cs="Times New Roman"/>
          <w:color w:val="000000" w:themeColor="text1"/>
          <w:sz w:val="24"/>
          <w:szCs w:val="24"/>
        </w:rPr>
        <w:t>U</w:t>
      </w:r>
      <w:r w:rsidR="00703C29" w:rsidRPr="00703C2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assumed an essential position as an international leader</w:t>
      </w:r>
      <w:r w:rsidR="00703C29" w:rsidRPr="00703C29">
        <w:rPr>
          <w:rFonts w:ascii="Times New Roman" w:hAnsi="Times New Roman" w:cs="Times New Roman"/>
          <w:color w:val="000000" w:themeColor="text1"/>
          <w:sz w:val="24"/>
          <w:szCs w:val="24"/>
        </w:rPr>
        <w:t>. To tackle the shortcomings in its financial system, the European Union (EU) put in place a wide range of legislative, regulatory, and contractual measures. The EU's comprehensive reforms played a pivotal role in bringing stability back to the banking industry in the area.</w:t>
      </w:r>
      <w:r w:rsidR="00703C29">
        <w:rPr>
          <w:rFonts w:ascii="Times New Roman" w:hAnsi="Times New Roman" w:cs="Times New Roman"/>
          <w:color w:val="000000" w:themeColor="text1"/>
          <w:sz w:val="24"/>
          <w:szCs w:val="24"/>
        </w:rPr>
        <w:t xml:space="preserve"> </w:t>
      </w:r>
      <w:r w:rsidR="00703C29" w:rsidRPr="00703C29">
        <w:rPr>
          <w:rFonts w:ascii="Times New Roman" w:hAnsi="Times New Roman" w:cs="Times New Roman"/>
          <w:color w:val="000000" w:themeColor="text1"/>
          <w:sz w:val="24"/>
          <w:szCs w:val="24"/>
        </w:rPr>
        <w:t>Furthermore, they wielded substantial influence over the global financial regulatory discourse and played a pivotal role in reshaping the international economic landscape</w:t>
      </w:r>
      <w:r w:rsidR="009821C8" w:rsidRPr="009821C8">
        <w:rPr>
          <w:rFonts w:ascii="Times New Roman" w:hAnsi="Times New Roman" w:cs="Times New Roman"/>
          <w:color w:val="000000" w:themeColor="text1"/>
          <w:sz w:val="24"/>
          <w:szCs w:val="24"/>
        </w:rPr>
        <w:t>. The principal legal and regulatory measures instituted by the EU in the aftermath of the 2008 financial crisis include:</w:t>
      </w:r>
    </w:p>
    <w:p w14:paraId="65A4B1CB" w14:textId="2642B0A5" w:rsidR="00923362" w:rsidRDefault="00923362" w:rsidP="00D108C9">
      <w:pPr>
        <w:spacing w:line="360" w:lineRule="auto"/>
        <w:jc w:val="both"/>
        <w:rPr>
          <w:rFonts w:ascii="Times New Roman" w:hAnsi="Times New Roman" w:cs="Times New Roman"/>
          <w:b/>
          <w:bCs/>
          <w:i/>
          <w:iCs/>
          <w:sz w:val="24"/>
          <w:szCs w:val="24"/>
        </w:rPr>
      </w:pPr>
      <w:r w:rsidRPr="00923362">
        <w:rPr>
          <w:rFonts w:ascii="Times New Roman" w:hAnsi="Times New Roman" w:cs="Times New Roman"/>
          <w:b/>
          <w:bCs/>
          <w:i/>
          <w:iCs/>
          <w:sz w:val="24"/>
          <w:szCs w:val="24"/>
        </w:rPr>
        <w:t>Banking Union (BU)</w:t>
      </w:r>
      <w:r w:rsidR="00C31EA0">
        <w:rPr>
          <w:rFonts w:ascii="Times New Roman" w:hAnsi="Times New Roman" w:cs="Times New Roman"/>
          <w:b/>
          <w:bCs/>
          <w:i/>
          <w:iCs/>
          <w:sz w:val="24"/>
          <w:szCs w:val="24"/>
        </w:rPr>
        <w:t>:</w:t>
      </w:r>
    </w:p>
    <w:p w14:paraId="75B60825" w14:textId="300F32B3" w:rsidR="001114FE" w:rsidRDefault="001114FE" w:rsidP="00D108C9">
      <w:pPr>
        <w:spacing w:line="360" w:lineRule="auto"/>
        <w:jc w:val="both"/>
        <w:rPr>
          <w:rFonts w:ascii="Times New Roman" w:hAnsi="Times New Roman" w:cs="Times New Roman"/>
          <w:b/>
          <w:bCs/>
          <w:i/>
          <w:iCs/>
          <w:sz w:val="24"/>
          <w:szCs w:val="24"/>
        </w:rPr>
      </w:pPr>
      <w:r>
        <w:rPr>
          <w:noProof/>
        </w:rPr>
        <w:drawing>
          <wp:inline distT="0" distB="0" distL="0" distR="0" wp14:anchorId="381A51AE" wp14:editId="3F70FF5A">
            <wp:extent cx="5731510" cy="2453640"/>
            <wp:effectExtent l="0" t="0" r="2540" b="3810"/>
            <wp:docPr id="220926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453640"/>
                    </a:xfrm>
                    <a:prstGeom prst="rect">
                      <a:avLst/>
                    </a:prstGeom>
                    <a:noFill/>
                    <a:ln>
                      <a:noFill/>
                    </a:ln>
                  </pic:spPr>
                </pic:pic>
              </a:graphicData>
            </a:graphic>
          </wp:inline>
        </w:drawing>
      </w:r>
    </w:p>
    <w:p w14:paraId="3078E6C3" w14:textId="7AA870F4" w:rsidR="000D4148" w:rsidRDefault="000D4148" w:rsidP="000D4148">
      <w:pPr>
        <w:pStyle w:val="Caption"/>
        <w:jc w:val="center"/>
        <w:rPr>
          <w:rFonts w:ascii="Times New Roman" w:hAnsi="Times New Roman" w:cs="Times New Roman"/>
          <w:sz w:val="20"/>
          <w:szCs w:val="20"/>
        </w:rPr>
      </w:pPr>
      <w:bookmarkStart w:id="3" w:name="_Toc155301635"/>
      <w:r w:rsidRPr="000D4148">
        <w:rPr>
          <w:sz w:val="20"/>
          <w:szCs w:val="20"/>
        </w:rPr>
        <w:t xml:space="preserve">Figure </w:t>
      </w:r>
      <w:r w:rsidRPr="000D4148">
        <w:rPr>
          <w:sz w:val="20"/>
          <w:szCs w:val="20"/>
        </w:rPr>
        <w:fldChar w:fldCharType="begin"/>
      </w:r>
      <w:r w:rsidRPr="000D4148">
        <w:rPr>
          <w:sz w:val="20"/>
          <w:szCs w:val="20"/>
        </w:rPr>
        <w:instrText xml:space="preserve"> SEQ Figure \* ARABIC </w:instrText>
      </w:r>
      <w:r w:rsidRPr="000D4148">
        <w:rPr>
          <w:sz w:val="20"/>
          <w:szCs w:val="20"/>
        </w:rPr>
        <w:fldChar w:fldCharType="separate"/>
      </w:r>
      <w:r>
        <w:rPr>
          <w:noProof/>
          <w:sz w:val="20"/>
          <w:szCs w:val="20"/>
        </w:rPr>
        <w:t>1</w:t>
      </w:r>
      <w:r w:rsidRPr="000D4148">
        <w:rPr>
          <w:sz w:val="20"/>
          <w:szCs w:val="20"/>
        </w:rPr>
        <w:fldChar w:fldCharType="end"/>
      </w:r>
      <w:r w:rsidRPr="000D4148">
        <w:rPr>
          <w:sz w:val="20"/>
          <w:szCs w:val="20"/>
        </w:rPr>
        <w:t>: Three Pillars of Banking Union</w:t>
      </w:r>
      <w:bookmarkEnd w:id="3"/>
    </w:p>
    <w:p w14:paraId="5B80D69A" w14:textId="561001CB" w:rsidR="001114FE" w:rsidRDefault="001114FE" w:rsidP="000D4148">
      <w:pPr>
        <w:spacing w:line="360" w:lineRule="auto"/>
        <w:ind w:left="2880" w:firstLine="720"/>
        <w:rPr>
          <w:rFonts w:ascii="Times New Roman" w:hAnsi="Times New Roman" w:cs="Times New Roman"/>
          <w:sz w:val="20"/>
          <w:szCs w:val="20"/>
        </w:rPr>
      </w:pPr>
      <w:r w:rsidRPr="001114FE">
        <w:rPr>
          <w:rFonts w:ascii="Times New Roman" w:hAnsi="Times New Roman" w:cs="Times New Roman"/>
          <w:sz w:val="20"/>
          <w:szCs w:val="20"/>
        </w:rPr>
        <w:t>Source:</w:t>
      </w:r>
      <w:sdt>
        <w:sdtPr>
          <w:rPr>
            <w:rFonts w:ascii="Times New Roman" w:hAnsi="Times New Roman" w:cs="Times New Roman"/>
            <w:sz w:val="20"/>
            <w:szCs w:val="20"/>
          </w:rPr>
          <w:id w:val="1495302913"/>
          <w:citation/>
        </w:sdtPr>
        <w:sdtContent>
          <w:r w:rsidRPr="001114FE">
            <w:rPr>
              <w:rFonts w:ascii="Times New Roman" w:hAnsi="Times New Roman" w:cs="Times New Roman"/>
              <w:sz w:val="20"/>
              <w:szCs w:val="20"/>
            </w:rPr>
            <w:fldChar w:fldCharType="begin"/>
          </w:r>
          <w:r w:rsidRPr="001114FE">
            <w:rPr>
              <w:rFonts w:ascii="Times New Roman" w:hAnsi="Times New Roman" w:cs="Times New Roman"/>
              <w:sz w:val="20"/>
              <w:szCs w:val="20"/>
              <w:lang w:val="en-US"/>
            </w:rPr>
            <w:instrText xml:space="preserve"> CITATION ECA20 \l 1033 </w:instrText>
          </w:r>
          <w:r w:rsidRPr="001114FE">
            <w:rPr>
              <w:rFonts w:ascii="Times New Roman" w:hAnsi="Times New Roman" w:cs="Times New Roman"/>
              <w:sz w:val="20"/>
              <w:szCs w:val="20"/>
            </w:rPr>
            <w:fldChar w:fldCharType="separate"/>
          </w:r>
          <w:r w:rsidR="00BF15CE">
            <w:rPr>
              <w:rFonts w:ascii="Times New Roman" w:hAnsi="Times New Roman" w:cs="Times New Roman"/>
              <w:noProof/>
              <w:sz w:val="20"/>
              <w:szCs w:val="20"/>
              <w:lang w:val="en-US"/>
            </w:rPr>
            <w:t xml:space="preserve"> </w:t>
          </w:r>
          <w:r w:rsidR="00BF15CE" w:rsidRPr="00BF15CE">
            <w:rPr>
              <w:rFonts w:ascii="Times New Roman" w:hAnsi="Times New Roman" w:cs="Times New Roman"/>
              <w:noProof/>
              <w:sz w:val="20"/>
              <w:szCs w:val="20"/>
              <w:lang w:val="en-US"/>
            </w:rPr>
            <w:t>(ECA, 2020)</w:t>
          </w:r>
          <w:r w:rsidRPr="001114FE">
            <w:rPr>
              <w:rFonts w:ascii="Times New Roman" w:hAnsi="Times New Roman" w:cs="Times New Roman"/>
              <w:sz w:val="20"/>
              <w:szCs w:val="20"/>
            </w:rPr>
            <w:fldChar w:fldCharType="end"/>
          </w:r>
        </w:sdtContent>
      </w:sdt>
    </w:p>
    <w:p w14:paraId="77C3C440" w14:textId="6DCD6774" w:rsidR="00543081" w:rsidRPr="00543081" w:rsidRDefault="00543081" w:rsidP="00D108C9">
      <w:pPr>
        <w:spacing w:line="360" w:lineRule="auto"/>
        <w:jc w:val="both"/>
        <w:rPr>
          <w:rFonts w:ascii="Times New Roman" w:hAnsi="Times New Roman" w:cs="Times New Roman"/>
          <w:color w:val="000000" w:themeColor="text1"/>
          <w:sz w:val="24"/>
          <w:szCs w:val="24"/>
        </w:rPr>
      </w:pPr>
      <w:r w:rsidRPr="00543081">
        <w:rPr>
          <w:rFonts w:ascii="Times New Roman" w:hAnsi="Times New Roman" w:cs="Times New Roman"/>
          <w:color w:val="000000" w:themeColor="text1"/>
          <w:sz w:val="24"/>
          <w:szCs w:val="24"/>
        </w:rPr>
        <w:t xml:space="preserve">As per the European Court of Auditors (ECA) in 2020, the primary objective of the Banking Union is to ascertain the resilience of banks, ensuring their ability to withstand potential future financial crises. This goal aims to prevent scenarios wherein public funds, specifically taxpayers' money, are utilized to rescue failing banks. Additionally, the BU seeks to diminish market fragmentation by harmonizing regulatory frameworks within the financial sector. The </w:t>
      </w:r>
      <w:r w:rsidRPr="00543081">
        <w:rPr>
          <w:rFonts w:ascii="Times New Roman" w:hAnsi="Times New Roman" w:cs="Times New Roman"/>
          <w:color w:val="000000" w:themeColor="text1"/>
          <w:sz w:val="24"/>
          <w:szCs w:val="24"/>
        </w:rPr>
        <w:lastRenderedPageBreak/>
        <w:t xml:space="preserve">overarching aim is to fortify financial stability not only in the eurozone but also across the entirety of the European Union. The Banking Union comprises three fundamental </w:t>
      </w:r>
      <w:r w:rsidR="0071548F">
        <w:rPr>
          <w:rFonts w:ascii="Times New Roman" w:hAnsi="Times New Roman" w:cs="Times New Roman"/>
          <w:color w:val="000000" w:themeColor="text1"/>
          <w:sz w:val="24"/>
          <w:szCs w:val="24"/>
        </w:rPr>
        <w:t>elements</w:t>
      </w:r>
      <w:r w:rsidRPr="00543081">
        <w:rPr>
          <w:rFonts w:ascii="Times New Roman" w:hAnsi="Times New Roman" w:cs="Times New Roman"/>
          <w:color w:val="000000" w:themeColor="text1"/>
          <w:sz w:val="24"/>
          <w:szCs w:val="24"/>
        </w:rPr>
        <w:t>: the Single Supervisory Mechanism, tasked with centralized banking supervision; the Single Resolution Mechanism, designed to facilitate the orderly resolution of failing banks; and the European Deposit Insurance Scheme, aimed at establishing a harmonized system for deposit insurance across the EU.</w:t>
      </w:r>
    </w:p>
    <w:p w14:paraId="5989EC84" w14:textId="1165513C" w:rsidR="006162B3" w:rsidRDefault="006162B3" w:rsidP="00D108C9">
      <w:pPr>
        <w:spacing w:line="360" w:lineRule="auto"/>
        <w:jc w:val="both"/>
        <w:rPr>
          <w:rFonts w:ascii="Times New Roman" w:hAnsi="Times New Roman" w:cs="Times New Roman"/>
          <w:sz w:val="24"/>
          <w:szCs w:val="24"/>
        </w:rPr>
      </w:pPr>
      <w:r w:rsidRPr="006162B3">
        <w:rPr>
          <w:rFonts w:ascii="Times New Roman" w:hAnsi="Times New Roman" w:cs="Times New Roman"/>
          <w:b/>
          <w:bCs/>
          <w:sz w:val="24"/>
          <w:szCs w:val="24"/>
        </w:rPr>
        <w:t>Single Supervisory Mechanism:</w:t>
      </w:r>
      <w:r>
        <w:rPr>
          <w:rFonts w:ascii="Times New Roman" w:hAnsi="Times New Roman" w:cs="Times New Roman"/>
          <w:sz w:val="24"/>
          <w:szCs w:val="24"/>
        </w:rPr>
        <w:t xml:space="preserve"> </w:t>
      </w:r>
      <w:r w:rsidR="00543081" w:rsidRPr="00543081">
        <w:rPr>
          <w:rFonts w:ascii="Times New Roman" w:hAnsi="Times New Roman" w:cs="Times New Roman"/>
          <w:sz w:val="24"/>
          <w:szCs w:val="24"/>
        </w:rPr>
        <w:t>As part of the EU's Banking Union, the Single Supervisory Mechanism is the supranational bank supervisory body with the goals of enhancing financial integration, guaranteeing uniform supervision, and ensuring the stability and security of Europe's financial sector</w:t>
      </w:r>
      <w:sdt>
        <w:sdtPr>
          <w:rPr>
            <w:rFonts w:ascii="Times New Roman" w:hAnsi="Times New Roman" w:cs="Times New Roman"/>
            <w:sz w:val="24"/>
            <w:szCs w:val="24"/>
          </w:rPr>
          <w:id w:val="358485742"/>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ECA20 \l 1033 </w:instrText>
          </w:r>
          <w:r>
            <w:rPr>
              <w:rFonts w:ascii="Times New Roman" w:hAnsi="Times New Roman" w:cs="Times New Roman"/>
              <w:sz w:val="24"/>
              <w:szCs w:val="24"/>
            </w:rPr>
            <w:fldChar w:fldCharType="separate"/>
          </w:r>
          <w:r w:rsidR="00BF15CE">
            <w:rPr>
              <w:rFonts w:ascii="Times New Roman" w:hAnsi="Times New Roman" w:cs="Times New Roman"/>
              <w:noProof/>
              <w:sz w:val="24"/>
              <w:szCs w:val="24"/>
              <w:lang w:val="en-US"/>
            </w:rPr>
            <w:t xml:space="preserve"> </w:t>
          </w:r>
          <w:r w:rsidR="00BF15CE" w:rsidRPr="00BF15CE">
            <w:rPr>
              <w:rFonts w:ascii="Times New Roman" w:hAnsi="Times New Roman" w:cs="Times New Roman"/>
              <w:noProof/>
              <w:sz w:val="24"/>
              <w:szCs w:val="24"/>
              <w:lang w:val="en-US"/>
            </w:rPr>
            <w:t>(ECA, 2020)</w:t>
          </w:r>
          <w:r>
            <w:rPr>
              <w:rFonts w:ascii="Times New Roman" w:hAnsi="Times New Roman" w:cs="Times New Roman"/>
              <w:sz w:val="24"/>
              <w:szCs w:val="24"/>
            </w:rPr>
            <w:fldChar w:fldCharType="end"/>
          </w:r>
        </w:sdtContent>
      </w:sdt>
      <w:r w:rsidRPr="006162B3">
        <w:rPr>
          <w:rFonts w:ascii="Times New Roman" w:hAnsi="Times New Roman" w:cs="Times New Roman"/>
          <w:sz w:val="24"/>
          <w:szCs w:val="24"/>
        </w:rPr>
        <w:t>.</w:t>
      </w:r>
      <w:r w:rsidR="0071548F">
        <w:rPr>
          <w:rFonts w:ascii="Times New Roman" w:hAnsi="Times New Roman" w:cs="Times New Roman"/>
          <w:sz w:val="24"/>
          <w:szCs w:val="24"/>
        </w:rPr>
        <w:t xml:space="preserve"> </w:t>
      </w:r>
      <w:r w:rsidR="0071548F" w:rsidRPr="0071548F">
        <w:rPr>
          <w:rFonts w:ascii="Times New Roman" w:hAnsi="Times New Roman" w:cs="Times New Roman"/>
          <w:sz w:val="24"/>
          <w:szCs w:val="24"/>
        </w:rPr>
        <w:t>It is an integral step towards wider economic convergence and banking managing standardisation throughout the Eurozone.</w:t>
      </w:r>
    </w:p>
    <w:p w14:paraId="5786448E" w14:textId="3C8E9C6C" w:rsidR="00D15493" w:rsidRDefault="00854DD6" w:rsidP="00D108C9">
      <w:pPr>
        <w:spacing w:line="360" w:lineRule="auto"/>
        <w:jc w:val="both"/>
        <w:rPr>
          <w:rFonts w:ascii="Times New Roman" w:hAnsi="Times New Roman" w:cs="Times New Roman"/>
          <w:sz w:val="24"/>
          <w:szCs w:val="24"/>
        </w:rPr>
      </w:pPr>
      <w:r w:rsidRPr="00854DD6">
        <w:rPr>
          <w:rFonts w:ascii="Times New Roman" w:hAnsi="Times New Roman" w:cs="Times New Roman"/>
          <w:b/>
          <w:bCs/>
          <w:sz w:val="24"/>
          <w:szCs w:val="24"/>
        </w:rPr>
        <w:t>Single Resolution Mechanism:</w:t>
      </w:r>
      <w:r>
        <w:rPr>
          <w:rFonts w:ascii="Times New Roman" w:hAnsi="Times New Roman" w:cs="Times New Roman"/>
          <w:b/>
          <w:bCs/>
          <w:sz w:val="24"/>
          <w:szCs w:val="24"/>
        </w:rPr>
        <w:t xml:space="preserve"> </w:t>
      </w:r>
      <w:r w:rsidR="00D84A72" w:rsidRPr="00D84A72">
        <w:rPr>
          <w:rFonts w:ascii="Times New Roman" w:hAnsi="Times New Roman" w:cs="Times New Roman"/>
          <w:sz w:val="24"/>
          <w:szCs w:val="24"/>
        </w:rPr>
        <w:t>A key element of the EU's Banking Union is the Single Resolution Mechanism, which aims to resolve failing banks at the lowest possible cost to the economy and taxpayers. It consists of the Single Resolution Fund, the Single Resolution Board, and national resolution agencies. The main body in charge of winding up all banks monitored by the ECB is the SRB. The SRM works to safeguard taxpayers and financial stability by anticipating and managing bank failures. Resolution costs are paid for by the banking industry-funded Single Resolution Fund. It is a significant step towards an entirely unified European Union for banking services, which went online on January 1, 2016.</w:t>
      </w:r>
      <w:sdt>
        <w:sdtPr>
          <w:rPr>
            <w:rFonts w:ascii="Times New Roman" w:hAnsi="Times New Roman" w:cs="Times New Roman"/>
            <w:sz w:val="24"/>
            <w:szCs w:val="24"/>
          </w:rPr>
          <w:id w:val="-128147989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ECA20 \l 1033 </w:instrText>
          </w:r>
          <w:r>
            <w:rPr>
              <w:rFonts w:ascii="Times New Roman" w:hAnsi="Times New Roman" w:cs="Times New Roman"/>
              <w:sz w:val="24"/>
              <w:szCs w:val="24"/>
            </w:rPr>
            <w:fldChar w:fldCharType="separate"/>
          </w:r>
          <w:r w:rsidR="00BF15CE">
            <w:rPr>
              <w:rFonts w:ascii="Times New Roman" w:hAnsi="Times New Roman" w:cs="Times New Roman"/>
              <w:noProof/>
              <w:sz w:val="24"/>
              <w:szCs w:val="24"/>
              <w:lang w:val="en-US"/>
            </w:rPr>
            <w:t xml:space="preserve"> </w:t>
          </w:r>
          <w:r w:rsidR="00BF15CE" w:rsidRPr="00BF15CE">
            <w:rPr>
              <w:rFonts w:ascii="Times New Roman" w:hAnsi="Times New Roman" w:cs="Times New Roman"/>
              <w:noProof/>
              <w:sz w:val="24"/>
              <w:szCs w:val="24"/>
              <w:lang w:val="en-US"/>
            </w:rPr>
            <w:t>(ECA, 2020)</w:t>
          </w:r>
          <w:r>
            <w:rPr>
              <w:rFonts w:ascii="Times New Roman" w:hAnsi="Times New Roman" w:cs="Times New Roman"/>
              <w:sz w:val="24"/>
              <w:szCs w:val="24"/>
            </w:rPr>
            <w:fldChar w:fldCharType="end"/>
          </w:r>
        </w:sdtContent>
      </w:sdt>
      <w:r w:rsidR="004C5B8B">
        <w:rPr>
          <w:rFonts w:ascii="Times New Roman" w:hAnsi="Times New Roman" w:cs="Times New Roman"/>
          <w:sz w:val="24"/>
          <w:szCs w:val="24"/>
        </w:rPr>
        <w:t>.</w:t>
      </w:r>
    </w:p>
    <w:p w14:paraId="4129EAFF" w14:textId="28B3E6ED" w:rsidR="004C5B8B" w:rsidRDefault="004C5B8B" w:rsidP="00D108C9">
      <w:pPr>
        <w:spacing w:line="360" w:lineRule="auto"/>
        <w:jc w:val="both"/>
        <w:rPr>
          <w:rFonts w:ascii="Times New Roman" w:hAnsi="Times New Roman" w:cs="Times New Roman"/>
          <w:b/>
          <w:bCs/>
          <w:sz w:val="24"/>
          <w:szCs w:val="24"/>
        </w:rPr>
      </w:pPr>
      <w:r w:rsidRPr="004C5B8B">
        <w:rPr>
          <w:rFonts w:ascii="Times New Roman" w:hAnsi="Times New Roman" w:cs="Times New Roman"/>
          <w:b/>
          <w:bCs/>
          <w:sz w:val="24"/>
          <w:szCs w:val="24"/>
        </w:rPr>
        <w:t>European Deposit Insurance Scheme (EDIS):</w:t>
      </w:r>
    </w:p>
    <w:p w14:paraId="783BFC96" w14:textId="732461BC" w:rsidR="00EC4BBB" w:rsidRDefault="004C5B8B" w:rsidP="00D108C9">
      <w:pPr>
        <w:spacing w:line="360" w:lineRule="auto"/>
        <w:jc w:val="both"/>
        <w:rPr>
          <w:rFonts w:ascii="Times New Roman" w:hAnsi="Times New Roman" w:cs="Times New Roman"/>
          <w:sz w:val="24"/>
          <w:szCs w:val="24"/>
        </w:rPr>
      </w:pPr>
      <w:r w:rsidRPr="004C5B8B">
        <w:rPr>
          <w:rFonts w:ascii="Times New Roman" w:hAnsi="Times New Roman" w:cs="Times New Roman"/>
          <w:sz w:val="24"/>
          <w:szCs w:val="24"/>
        </w:rPr>
        <w:t xml:space="preserve">The European Deposit Insurance programme is a programme that has been proposed to cover retail deposits in the banking union. It is the third </w:t>
      </w:r>
      <w:r w:rsidR="00D84A72">
        <w:rPr>
          <w:rFonts w:ascii="Times New Roman" w:hAnsi="Times New Roman" w:cs="Times New Roman"/>
          <w:sz w:val="24"/>
          <w:szCs w:val="24"/>
        </w:rPr>
        <w:t>element</w:t>
      </w:r>
      <w:r w:rsidRPr="004C5B8B">
        <w:rPr>
          <w:rFonts w:ascii="Times New Roman" w:hAnsi="Times New Roman" w:cs="Times New Roman"/>
          <w:sz w:val="24"/>
          <w:szCs w:val="24"/>
        </w:rPr>
        <w:t xml:space="preserve"> of banking unity and is intended to </w:t>
      </w:r>
      <w:r w:rsidR="00D84A72">
        <w:rPr>
          <w:rFonts w:ascii="Times New Roman" w:hAnsi="Times New Roman" w:cs="Times New Roman"/>
          <w:sz w:val="24"/>
          <w:szCs w:val="24"/>
        </w:rPr>
        <w:t>offer a more robust and consistent degree of insurance</w:t>
      </w:r>
      <w:r w:rsidRPr="004C5B8B">
        <w:rPr>
          <w:rFonts w:ascii="Times New Roman" w:hAnsi="Times New Roman" w:cs="Times New Roman"/>
          <w:sz w:val="24"/>
          <w:szCs w:val="24"/>
        </w:rPr>
        <w:t xml:space="preserve"> coverage within the eurozone</w:t>
      </w:r>
      <w:sdt>
        <w:sdtPr>
          <w:rPr>
            <w:rFonts w:ascii="Times New Roman" w:hAnsi="Times New Roman" w:cs="Times New Roman"/>
            <w:sz w:val="24"/>
            <w:szCs w:val="24"/>
          </w:rPr>
          <w:id w:val="101079669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ECA20 \l 1033 </w:instrText>
          </w:r>
          <w:r>
            <w:rPr>
              <w:rFonts w:ascii="Times New Roman" w:hAnsi="Times New Roman" w:cs="Times New Roman"/>
              <w:sz w:val="24"/>
              <w:szCs w:val="24"/>
            </w:rPr>
            <w:fldChar w:fldCharType="separate"/>
          </w:r>
          <w:r w:rsidR="00BF15CE">
            <w:rPr>
              <w:rFonts w:ascii="Times New Roman" w:hAnsi="Times New Roman" w:cs="Times New Roman"/>
              <w:noProof/>
              <w:sz w:val="24"/>
              <w:szCs w:val="24"/>
              <w:lang w:val="en-US"/>
            </w:rPr>
            <w:t xml:space="preserve"> </w:t>
          </w:r>
          <w:r w:rsidR="00BF15CE" w:rsidRPr="00BF15CE">
            <w:rPr>
              <w:rFonts w:ascii="Times New Roman" w:hAnsi="Times New Roman" w:cs="Times New Roman"/>
              <w:noProof/>
              <w:sz w:val="24"/>
              <w:szCs w:val="24"/>
              <w:lang w:val="en-US"/>
            </w:rPr>
            <w:t>(ECA, 2020)</w:t>
          </w:r>
          <w:r>
            <w:rPr>
              <w:rFonts w:ascii="Times New Roman" w:hAnsi="Times New Roman" w:cs="Times New Roman"/>
              <w:sz w:val="24"/>
              <w:szCs w:val="24"/>
            </w:rPr>
            <w:fldChar w:fldCharType="end"/>
          </w:r>
        </w:sdtContent>
      </w:sdt>
      <w:r w:rsidRPr="004C5B8B">
        <w:rPr>
          <w:rFonts w:ascii="Times New Roman" w:hAnsi="Times New Roman" w:cs="Times New Roman"/>
          <w:sz w:val="24"/>
          <w:szCs w:val="24"/>
        </w:rPr>
        <w:t>.</w:t>
      </w:r>
    </w:p>
    <w:p w14:paraId="1F0A5827" w14:textId="041915CF" w:rsidR="005D224C" w:rsidRPr="005D224C" w:rsidRDefault="005D224C" w:rsidP="00D108C9">
      <w:pPr>
        <w:spacing w:line="360" w:lineRule="auto"/>
        <w:jc w:val="both"/>
        <w:rPr>
          <w:rFonts w:ascii="Times New Roman" w:hAnsi="Times New Roman" w:cs="Times New Roman"/>
          <w:b/>
          <w:bCs/>
          <w:i/>
          <w:iCs/>
          <w:sz w:val="24"/>
          <w:szCs w:val="24"/>
        </w:rPr>
      </w:pPr>
      <w:r w:rsidRPr="005D224C">
        <w:rPr>
          <w:rFonts w:ascii="Times New Roman" w:hAnsi="Times New Roman" w:cs="Times New Roman"/>
          <w:b/>
          <w:bCs/>
          <w:i/>
          <w:iCs/>
          <w:sz w:val="24"/>
          <w:szCs w:val="24"/>
        </w:rPr>
        <w:t>European System of Financial Supervision (ESFS)</w:t>
      </w:r>
    </w:p>
    <w:p w14:paraId="3371BF37" w14:textId="3B38CABF" w:rsidR="00BB26A4" w:rsidRDefault="00AA5453" w:rsidP="00D10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ECA (2020), </w:t>
      </w:r>
      <w:r w:rsidR="00FE6B89" w:rsidRPr="00FE6B89">
        <w:rPr>
          <w:rFonts w:ascii="Times New Roman" w:hAnsi="Times New Roman" w:cs="Times New Roman"/>
          <w:sz w:val="24"/>
          <w:szCs w:val="24"/>
        </w:rPr>
        <w:t>The European Union developed the European System of Financial Supervision in 2010 as a revolutionary supervisory system in response to the crisis. The ESFS is a multi-tiered framework that includes both micro and macroprudential institutions, with the overriding purpose of maintaining uniform and coherent financial supervision throughout the EU.</w:t>
      </w:r>
      <w:r w:rsidR="00FE6B89">
        <w:rPr>
          <w:rFonts w:ascii="Times New Roman" w:hAnsi="Times New Roman" w:cs="Times New Roman"/>
          <w:sz w:val="24"/>
          <w:szCs w:val="24"/>
        </w:rPr>
        <w:t xml:space="preserve"> </w:t>
      </w:r>
      <w:r w:rsidR="00FE6B89" w:rsidRPr="00FE6B89">
        <w:rPr>
          <w:rFonts w:ascii="Times New Roman" w:hAnsi="Times New Roman" w:cs="Times New Roman"/>
          <w:sz w:val="24"/>
          <w:szCs w:val="24"/>
        </w:rPr>
        <w:t>Its components include the European Systemic Risk Board, the European Supervisory Authorities, national and supervisory competent entities, and the Joint Committee of the ESAs.</w:t>
      </w:r>
    </w:p>
    <w:p w14:paraId="76700631" w14:textId="77777777" w:rsidR="00FE6B89" w:rsidRDefault="00FE6B89" w:rsidP="00FE6B89">
      <w:pPr>
        <w:spacing w:line="360" w:lineRule="auto"/>
        <w:jc w:val="both"/>
        <w:rPr>
          <w:rFonts w:ascii="Times New Roman" w:hAnsi="Times New Roman" w:cs="Times New Roman"/>
          <w:sz w:val="24"/>
          <w:szCs w:val="24"/>
        </w:rPr>
      </w:pPr>
      <w:r w:rsidRPr="00FE6B89">
        <w:rPr>
          <w:rFonts w:ascii="Times New Roman" w:hAnsi="Times New Roman" w:cs="Times New Roman"/>
          <w:sz w:val="24"/>
          <w:szCs w:val="24"/>
        </w:rPr>
        <w:lastRenderedPageBreak/>
        <w:t>The ESRB is responsible for systemic risk, which refers to issues inside the financial system that have significant ramifications for the EU's economy and the operation of its internal market. The European Systemic Risk Committee is entrusted with identifying and suggesting mitigation or reduction actions for such risks. Its responsibilities include identifying and prioritising risks, issuing warnings and recommendations, tracking how governments and national authorities address these concerns, providing opinions on the appropriateness of macroprudential policy measures, and initiating and coordinating EU-wide stress tests in collaboration with the European Securities and Markets Authority.</w:t>
      </w:r>
    </w:p>
    <w:p w14:paraId="3330EE0C" w14:textId="09E961AF" w:rsidR="00FE6B89" w:rsidRDefault="00FE6B89" w:rsidP="00FE6B89">
      <w:pPr>
        <w:spacing w:line="360" w:lineRule="auto"/>
        <w:jc w:val="both"/>
        <w:rPr>
          <w:rFonts w:ascii="Times New Roman" w:hAnsi="Times New Roman" w:cs="Times New Roman"/>
          <w:sz w:val="24"/>
          <w:szCs w:val="24"/>
        </w:rPr>
      </w:pPr>
      <w:r w:rsidRPr="00FE6B89">
        <w:rPr>
          <w:rFonts w:ascii="Times New Roman" w:hAnsi="Times New Roman" w:cs="Times New Roman"/>
          <w:sz w:val="24"/>
          <w:szCs w:val="24"/>
        </w:rPr>
        <w:t>The European Banking Authority, the European Insurance and Occupational Pensions Authority, and the European Securities and Markets Authority are the three ESAs that were founded in 2011. This entity's primary duty is to guarantee that rules are consistently applied by EU national competent authorities and to assist with the European Parliament's work on supplemental legislation for securities laws.</w:t>
      </w:r>
    </w:p>
    <w:p w14:paraId="01744218" w14:textId="0950A8FF" w:rsidR="00DE0022" w:rsidRDefault="00DE0022" w:rsidP="00FE6B89">
      <w:pPr>
        <w:spacing w:line="360" w:lineRule="auto"/>
        <w:jc w:val="center"/>
        <w:rPr>
          <w:rFonts w:ascii="Times New Roman" w:hAnsi="Times New Roman" w:cs="Times New Roman"/>
          <w:sz w:val="24"/>
          <w:szCs w:val="24"/>
        </w:rPr>
      </w:pPr>
      <w:r>
        <w:rPr>
          <w:noProof/>
        </w:rPr>
        <w:drawing>
          <wp:inline distT="0" distB="0" distL="0" distR="0" wp14:anchorId="31541B32" wp14:editId="182454C7">
            <wp:extent cx="4439920" cy="2616064"/>
            <wp:effectExtent l="0" t="0" r="0" b="0"/>
            <wp:docPr id="1597071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92510" cy="2647051"/>
                    </a:xfrm>
                    <a:prstGeom prst="rect">
                      <a:avLst/>
                    </a:prstGeom>
                    <a:noFill/>
                    <a:ln>
                      <a:noFill/>
                    </a:ln>
                  </pic:spPr>
                </pic:pic>
              </a:graphicData>
            </a:graphic>
          </wp:inline>
        </w:drawing>
      </w:r>
    </w:p>
    <w:p w14:paraId="3DFE240E" w14:textId="1C0AD04E" w:rsidR="000D4148" w:rsidRPr="000D4148" w:rsidRDefault="000D4148" w:rsidP="000D4148">
      <w:pPr>
        <w:pStyle w:val="Caption"/>
        <w:jc w:val="center"/>
        <w:rPr>
          <w:rFonts w:ascii="Times New Roman" w:hAnsi="Times New Roman" w:cs="Times New Roman"/>
          <w:sz w:val="28"/>
          <w:szCs w:val="28"/>
        </w:rPr>
      </w:pPr>
      <w:bookmarkStart w:id="4" w:name="_Toc155301636"/>
      <w:r w:rsidRPr="000D4148">
        <w:rPr>
          <w:sz w:val="20"/>
          <w:szCs w:val="20"/>
        </w:rPr>
        <w:t xml:space="preserve">Figure </w:t>
      </w:r>
      <w:r w:rsidRPr="000D4148">
        <w:rPr>
          <w:sz w:val="20"/>
          <w:szCs w:val="20"/>
        </w:rPr>
        <w:fldChar w:fldCharType="begin"/>
      </w:r>
      <w:r w:rsidRPr="000D4148">
        <w:rPr>
          <w:sz w:val="20"/>
          <w:szCs w:val="20"/>
        </w:rPr>
        <w:instrText xml:space="preserve"> SEQ Figure \* ARABIC </w:instrText>
      </w:r>
      <w:r w:rsidRPr="000D4148">
        <w:rPr>
          <w:sz w:val="20"/>
          <w:szCs w:val="20"/>
        </w:rPr>
        <w:fldChar w:fldCharType="separate"/>
      </w:r>
      <w:r w:rsidRPr="000D4148">
        <w:rPr>
          <w:noProof/>
          <w:sz w:val="20"/>
          <w:szCs w:val="20"/>
        </w:rPr>
        <w:t>2</w:t>
      </w:r>
      <w:r w:rsidRPr="000D4148">
        <w:rPr>
          <w:sz w:val="20"/>
          <w:szCs w:val="20"/>
        </w:rPr>
        <w:fldChar w:fldCharType="end"/>
      </w:r>
      <w:r w:rsidRPr="000D4148">
        <w:rPr>
          <w:sz w:val="20"/>
          <w:szCs w:val="20"/>
        </w:rPr>
        <w:t>: The European System of Financial Supervision (ESFS)</w:t>
      </w:r>
      <w:bookmarkEnd w:id="4"/>
    </w:p>
    <w:p w14:paraId="03F03D1A" w14:textId="32D050EB" w:rsidR="00DE0022" w:rsidRPr="000D4148" w:rsidRDefault="00DE0022" w:rsidP="000D4148">
      <w:pPr>
        <w:spacing w:line="360" w:lineRule="auto"/>
        <w:ind w:left="2880" w:firstLine="720"/>
        <w:jc w:val="both"/>
        <w:rPr>
          <w:rFonts w:ascii="Times New Roman" w:hAnsi="Times New Roman" w:cs="Times New Roman"/>
          <w:sz w:val="20"/>
          <w:szCs w:val="20"/>
        </w:rPr>
      </w:pPr>
      <w:r w:rsidRPr="000D4148">
        <w:rPr>
          <w:rFonts w:ascii="Times New Roman" w:hAnsi="Times New Roman" w:cs="Times New Roman"/>
          <w:sz w:val="20"/>
          <w:szCs w:val="20"/>
        </w:rPr>
        <w:t xml:space="preserve">Source: </w:t>
      </w:r>
      <w:sdt>
        <w:sdtPr>
          <w:rPr>
            <w:rFonts w:ascii="Times New Roman" w:hAnsi="Times New Roman" w:cs="Times New Roman"/>
            <w:sz w:val="20"/>
            <w:szCs w:val="20"/>
          </w:rPr>
          <w:id w:val="-2048216040"/>
          <w:citation/>
        </w:sdtPr>
        <w:sdtContent>
          <w:r w:rsidRPr="000D4148">
            <w:rPr>
              <w:rFonts w:ascii="Times New Roman" w:hAnsi="Times New Roman" w:cs="Times New Roman"/>
              <w:sz w:val="20"/>
              <w:szCs w:val="20"/>
            </w:rPr>
            <w:fldChar w:fldCharType="begin"/>
          </w:r>
          <w:r w:rsidRPr="000D4148">
            <w:rPr>
              <w:rFonts w:ascii="Times New Roman" w:hAnsi="Times New Roman" w:cs="Times New Roman"/>
              <w:sz w:val="20"/>
              <w:szCs w:val="20"/>
              <w:lang w:val="en-IN"/>
            </w:rPr>
            <w:instrText xml:space="preserve"> CITATION ECA20 \l 16393 </w:instrText>
          </w:r>
          <w:r w:rsidRPr="000D4148">
            <w:rPr>
              <w:rFonts w:ascii="Times New Roman" w:hAnsi="Times New Roman" w:cs="Times New Roman"/>
              <w:sz w:val="20"/>
              <w:szCs w:val="20"/>
            </w:rPr>
            <w:fldChar w:fldCharType="separate"/>
          </w:r>
          <w:r w:rsidR="00BF15CE" w:rsidRPr="00BF15CE">
            <w:rPr>
              <w:rFonts w:ascii="Times New Roman" w:hAnsi="Times New Roman" w:cs="Times New Roman"/>
              <w:noProof/>
              <w:sz w:val="20"/>
              <w:szCs w:val="20"/>
              <w:lang w:val="en-IN"/>
            </w:rPr>
            <w:t>(ECA, 2020)</w:t>
          </w:r>
          <w:r w:rsidRPr="000D4148">
            <w:rPr>
              <w:rFonts w:ascii="Times New Roman" w:hAnsi="Times New Roman" w:cs="Times New Roman"/>
              <w:sz w:val="20"/>
              <w:szCs w:val="20"/>
            </w:rPr>
            <w:fldChar w:fldCharType="end"/>
          </w:r>
        </w:sdtContent>
      </w:sdt>
    </w:p>
    <w:p w14:paraId="0D528276" w14:textId="1CC31BC7" w:rsidR="0003200F" w:rsidRDefault="0003200F" w:rsidP="00D108C9">
      <w:pPr>
        <w:spacing w:line="360" w:lineRule="auto"/>
        <w:jc w:val="both"/>
        <w:rPr>
          <w:rFonts w:ascii="Times New Roman" w:hAnsi="Times New Roman" w:cs="Times New Roman"/>
          <w:sz w:val="24"/>
          <w:szCs w:val="24"/>
        </w:rPr>
      </w:pPr>
      <w:r w:rsidRPr="0003200F">
        <w:rPr>
          <w:rFonts w:ascii="Times New Roman" w:hAnsi="Times New Roman" w:cs="Times New Roman"/>
          <w:sz w:val="24"/>
          <w:szCs w:val="24"/>
        </w:rPr>
        <w:t xml:space="preserve">The </w:t>
      </w:r>
      <w:r w:rsidRPr="00FE6B89">
        <w:rPr>
          <w:rFonts w:ascii="Times New Roman" w:hAnsi="Times New Roman" w:cs="Times New Roman"/>
          <w:sz w:val="24"/>
          <w:szCs w:val="24"/>
        </w:rPr>
        <w:t xml:space="preserve">European Banking Authority </w:t>
      </w:r>
      <w:r w:rsidRPr="0003200F">
        <w:rPr>
          <w:rFonts w:ascii="Times New Roman" w:hAnsi="Times New Roman" w:cs="Times New Roman"/>
          <w:sz w:val="24"/>
          <w:szCs w:val="24"/>
        </w:rPr>
        <w:t xml:space="preserve">is responsible for regulating banks, ensuring consistency and integrity, and promoting supervisory convergence. It contributes to </w:t>
      </w:r>
      <w:r w:rsidR="007159C5">
        <w:rPr>
          <w:rFonts w:ascii="Times New Roman" w:hAnsi="Times New Roman" w:cs="Times New Roman"/>
          <w:sz w:val="24"/>
          <w:szCs w:val="24"/>
        </w:rPr>
        <w:t>developing</w:t>
      </w:r>
      <w:r w:rsidRPr="0003200F">
        <w:rPr>
          <w:rFonts w:ascii="Times New Roman" w:hAnsi="Times New Roman" w:cs="Times New Roman"/>
          <w:sz w:val="24"/>
          <w:szCs w:val="24"/>
        </w:rPr>
        <w:t xml:space="preserve"> the European Single Rulebook, monitors risks, and coordinates anti-money laundering supervision since 2020.</w:t>
      </w:r>
    </w:p>
    <w:p w14:paraId="0BE73165" w14:textId="36FA913B" w:rsidR="00FE6B89" w:rsidRDefault="00FE6B89" w:rsidP="00D108C9">
      <w:pPr>
        <w:spacing w:line="360" w:lineRule="auto"/>
        <w:jc w:val="both"/>
        <w:rPr>
          <w:rFonts w:ascii="Times New Roman" w:hAnsi="Times New Roman" w:cs="Times New Roman"/>
          <w:sz w:val="24"/>
          <w:szCs w:val="24"/>
        </w:rPr>
      </w:pPr>
      <w:r w:rsidRPr="00FE6B89">
        <w:rPr>
          <w:rFonts w:ascii="Times New Roman" w:hAnsi="Times New Roman" w:cs="Times New Roman"/>
          <w:sz w:val="24"/>
          <w:szCs w:val="24"/>
        </w:rPr>
        <w:t>Through efficient regulation and supervision, the European Insurance and Occupational Pensions Authority controls coverage and occupational pension providers, monitoring cross-</w:t>
      </w:r>
      <w:r w:rsidRPr="00FE6B89">
        <w:rPr>
          <w:rFonts w:ascii="Times New Roman" w:hAnsi="Times New Roman" w:cs="Times New Roman"/>
          <w:sz w:val="24"/>
          <w:szCs w:val="24"/>
        </w:rPr>
        <w:lastRenderedPageBreak/>
        <w:t>border insurance companies, safeguarding customers, and establishing confidence in the system of finance.</w:t>
      </w:r>
    </w:p>
    <w:p w14:paraId="0E376658" w14:textId="3CD18383" w:rsidR="0023598E" w:rsidRDefault="00837FF1" w:rsidP="00D108C9">
      <w:pPr>
        <w:spacing w:line="360" w:lineRule="auto"/>
        <w:jc w:val="both"/>
        <w:rPr>
          <w:rFonts w:ascii="Times New Roman" w:hAnsi="Times New Roman" w:cs="Times New Roman"/>
          <w:sz w:val="24"/>
          <w:szCs w:val="24"/>
        </w:rPr>
      </w:pPr>
      <w:r w:rsidRPr="00837FF1">
        <w:rPr>
          <w:rFonts w:ascii="Times New Roman" w:hAnsi="Times New Roman" w:cs="Times New Roman"/>
          <w:sz w:val="24"/>
          <w:szCs w:val="24"/>
        </w:rPr>
        <w:t>The European Securities and Markets Authority regulates the EU's financial markets, assuring investor protection and market stability. It supervises rating organisations, transactional repositories, and third-country central vendors, conducts risk assessments, discovers EU law violations, and improves regulatory coherence.</w:t>
      </w:r>
    </w:p>
    <w:p w14:paraId="24E60BE0" w14:textId="2AB4761A" w:rsidR="00B80E3C" w:rsidRDefault="00B80E3C" w:rsidP="00D108C9">
      <w:pPr>
        <w:spacing w:line="360" w:lineRule="auto"/>
        <w:jc w:val="both"/>
        <w:rPr>
          <w:rFonts w:ascii="Times New Roman" w:hAnsi="Times New Roman" w:cs="Times New Roman"/>
          <w:b/>
          <w:bCs/>
          <w:i/>
          <w:iCs/>
          <w:sz w:val="24"/>
          <w:szCs w:val="24"/>
        </w:rPr>
      </w:pPr>
      <w:r w:rsidRPr="00B80E3C">
        <w:rPr>
          <w:rFonts w:ascii="Times New Roman" w:hAnsi="Times New Roman" w:cs="Times New Roman"/>
          <w:b/>
          <w:bCs/>
          <w:i/>
          <w:iCs/>
          <w:sz w:val="24"/>
          <w:szCs w:val="24"/>
        </w:rPr>
        <w:t>Regulation on Credit Rating Agencies (CRAs)</w:t>
      </w:r>
    </w:p>
    <w:p w14:paraId="721A427C" w14:textId="7BA43689" w:rsidR="00B80E3C" w:rsidRDefault="00B80E3C" w:rsidP="00D108C9">
      <w:pPr>
        <w:spacing w:line="360" w:lineRule="auto"/>
        <w:jc w:val="both"/>
        <w:rPr>
          <w:rFonts w:ascii="Times New Roman" w:hAnsi="Times New Roman" w:cs="Times New Roman"/>
          <w:color w:val="000000" w:themeColor="text1"/>
          <w:sz w:val="24"/>
          <w:szCs w:val="24"/>
        </w:rPr>
      </w:pPr>
      <w:r w:rsidRPr="00B80E3C">
        <w:rPr>
          <w:rFonts w:ascii="Times New Roman" w:hAnsi="Times New Roman" w:cs="Times New Roman"/>
          <w:color w:val="000000" w:themeColor="text1"/>
          <w:sz w:val="24"/>
          <w:szCs w:val="24"/>
        </w:rPr>
        <w:t>In September 2009, the European Union enacted Regulation (EC) No 1060/2009 concerning credit rating agencies in response to the global financial crisis of 2008. This regulation was implemented with the objective of supervising and curbing potential misconduct within the operations of CRAs, thereby ensuring the autonomy and</w:t>
      </w:r>
      <w:r w:rsidR="00837FF1">
        <w:rPr>
          <w:rFonts w:ascii="Times New Roman" w:hAnsi="Times New Roman" w:cs="Times New Roman"/>
          <w:color w:val="000000" w:themeColor="text1"/>
          <w:sz w:val="24"/>
          <w:szCs w:val="24"/>
        </w:rPr>
        <w:t xml:space="preserve"> credibility of the credit evaluation system.</w:t>
      </w:r>
      <w:r w:rsidRPr="00B80E3C">
        <w:rPr>
          <w:rFonts w:ascii="Times New Roman" w:hAnsi="Times New Roman" w:cs="Times New Roman"/>
          <w:color w:val="000000" w:themeColor="text1"/>
          <w:sz w:val="24"/>
          <w:szCs w:val="24"/>
        </w:rPr>
        <w:t xml:space="preserve"> The primary aim was to safeguard the interests of </w:t>
      </w:r>
      <w:r w:rsidR="00837FF1">
        <w:rPr>
          <w:rFonts w:ascii="Times New Roman" w:hAnsi="Times New Roman" w:cs="Times New Roman"/>
          <w:color w:val="000000" w:themeColor="text1"/>
          <w:sz w:val="24"/>
          <w:szCs w:val="24"/>
        </w:rPr>
        <w:t>shareholders</w:t>
      </w:r>
      <w:r w:rsidRPr="00B80E3C">
        <w:rPr>
          <w:rFonts w:ascii="Times New Roman" w:hAnsi="Times New Roman" w:cs="Times New Roman"/>
          <w:color w:val="000000" w:themeColor="text1"/>
          <w:sz w:val="24"/>
          <w:szCs w:val="24"/>
        </w:rPr>
        <w:t xml:space="preserve"> and </w:t>
      </w:r>
      <w:r w:rsidR="00837FF1">
        <w:rPr>
          <w:rFonts w:ascii="Times New Roman" w:hAnsi="Times New Roman" w:cs="Times New Roman"/>
          <w:color w:val="000000" w:themeColor="text1"/>
          <w:sz w:val="24"/>
          <w:szCs w:val="24"/>
        </w:rPr>
        <w:t>keep stable economy</w:t>
      </w:r>
      <w:r w:rsidRPr="00B80E3C">
        <w:rPr>
          <w:rFonts w:ascii="Times New Roman" w:hAnsi="Times New Roman" w:cs="Times New Roman"/>
          <w:color w:val="000000" w:themeColor="text1"/>
          <w:sz w:val="24"/>
          <w:szCs w:val="24"/>
        </w:rPr>
        <w:t xml:space="preserve">. The regulation outlined specific guidelines governing the structure and </w:t>
      </w:r>
      <w:r w:rsidR="003A6C1C">
        <w:rPr>
          <w:rFonts w:ascii="Times New Roman" w:hAnsi="Times New Roman" w:cs="Times New Roman"/>
          <w:color w:val="000000" w:themeColor="text1"/>
          <w:sz w:val="24"/>
          <w:szCs w:val="24"/>
        </w:rPr>
        <w:t>credibility of an organisation</w:t>
      </w:r>
      <w:r w:rsidRPr="00B80E3C">
        <w:rPr>
          <w:rFonts w:ascii="Times New Roman" w:hAnsi="Times New Roman" w:cs="Times New Roman"/>
          <w:color w:val="000000" w:themeColor="text1"/>
          <w:sz w:val="24"/>
          <w:szCs w:val="24"/>
        </w:rPr>
        <w:t xml:space="preserve">, including standards for their registration and oversight. Furthermore, it delineated the conditions under which credit ratings could be issued. In addition to these provisions, the legislation imposed stringent codes of conduct on CRAs. These codes were designed to forestall conflicts of interest, ensure the delivery of high-quality ratings, and foster transparency in both the rating process and the resultant ratings </w:t>
      </w:r>
      <w:sdt>
        <w:sdtPr>
          <w:rPr>
            <w:rFonts w:ascii="Times New Roman" w:hAnsi="Times New Roman" w:cs="Times New Roman"/>
            <w:color w:val="000000" w:themeColor="text1"/>
            <w:sz w:val="24"/>
            <w:szCs w:val="24"/>
          </w:rPr>
          <w:id w:val="-804388809"/>
          <w:citation/>
        </w:sdtPr>
        <w:sdtContent>
          <w:r w:rsidRPr="00B80E3C">
            <w:rPr>
              <w:rFonts w:ascii="Times New Roman" w:hAnsi="Times New Roman" w:cs="Times New Roman"/>
              <w:color w:val="000000" w:themeColor="text1"/>
              <w:sz w:val="24"/>
              <w:szCs w:val="24"/>
            </w:rPr>
            <w:fldChar w:fldCharType="begin"/>
          </w:r>
          <w:r w:rsidRPr="00B80E3C">
            <w:rPr>
              <w:rFonts w:ascii="Times New Roman" w:hAnsi="Times New Roman" w:cs="Times New Roman"/>
              <w:color w:val="000000" w:themeColor="text1"/>
              <w:sz w:val="24"/>
              <w:szCs w:val="24"/>
            </w:rPr>
            <w:instrText xml:space="preserve"> CITATION EUR09 \l 2057 </w:instrText>
          </w:r>
          <w:r w:rsidRPr="00B80E3C">
            <w:rPr>
              <w:rFonts w:ascii="Times New Roman" w:hAnsi="Times New Roman" w:cs="Times New Roman"/>
              <w:color w:val="000000" w:themeColor="text1"/>
              <w:sz w:val="24"/>
              <w:szCs w:val="24"/>
            </w:rPr>
            <w:fldChar w:fldCharType="separate"/>
          </w:r>
          <w:r w:rsidR="00BF15CE" w:rsidRPr="00BF15CE">
            <w:rPr>
              <w:rFonts w:ascii="Times New Roman" w:hAnsi="Times New Roman" w:cs="Times New Roman"/>
              <w:noProof/>
              <w:color w:val="000000" w:themeColor="text1"/>
              <w:sz w:val="24"/>
              <w:szCs w:val="24"/>
            </w:rPr>
            <w:t>(EUR-Lex, 2009)</w:t>
          </w:r>
          <w:r w:rsidRPr="00B80E3C">
            <w:rPr>
              <w:rFonts w:ascii="Times New Roman" w:hAnsi="Times New Roman" w:cs="Times New Roman"/>
              <w:color w:val="000000" w:themeColor="text1"/>
              <w:sz w:val="24"/>
              <w:szCs w:val="24"/>
            </w:rPr>
            <w:fldChar w:fldCharType="end"/>
          </w:r>
        </w:sdtContent>
      </w:sdt>
      <w:r w:rsidRPr="00B80E3C">
        <w:rPr>
          <w:rFonts w:ascii="Times New Roman" w:hAnsi="Times New Roman" w:cs="Times New Roman"/>
          <w:color w:val="000000" w:themeColor="text1"/>
          <w:sz w:val="24"/>
          <w:szCs w:val="24"/>
        </w:rPr>
        <w:t>.</w:t>
      </w:r>
    </w:p>
    <w:p w14:paraId="46228394" w14:textId="18D09A47" w:rsidR="009821C8" w:rsidRDefault="00925A29" w:rsidP="00D108C9">
      <w:pPr>
        <w:spacing w:line="360" w:lineRule="auto"/>
        <w:jc w:val="both"/>
        <w:rPr>
          <w:rFonts w:ascii="Times New Roman" w:hAnsi="Times New Roman" w:cs="Times New Roman"/>
          <w:b/>
          <w:bCs/>
          <w:color w:val="000000" w:themeColor="text1"/>
          <w:sz w:val="24"/>
          <w:szCs w:val="24"/>
        </w:rPr>
      </w:pPr>
      <w:r w:rsidRPr="00925A29">
        <w:rPr>
          <w:rFonts w:ascii="Times New Roman" w:hAnsi="Times New Roman" w:cs="Times New Roman"/>
          <w:b/>
          <w:bCs/>
          <w:color w:val="000000" w:themeColor="text1"/>
          <w:sz w:val="24"/>
          <w:szCs w:val="24"/>
        </w:rPr>
        <w:t>The rationale</w:t>
      </w:r>
      <w:r w:rsidR="009821C8" w:rsidRPr="00925A29">
        <w:rPr>
          <w:rFonts w:ascii="Times New Roman" w:hAnsi="Times New Roman" w:cs="Times New Roman"/>
          <w:b/>
          <w:bCs/>
          <w:color w:val="000000" w:themeColor="text1"/>
          <w:sz w:val="24"/>
          <w:szCs w:val="24"/>
        </w:rPr>
        <w:t xml:space="preserve"> for </w:t>
      </w:r>
      <w:r w:rsidRPr="00925A29">
        <w:rPr>
          <w:rFonts w:ascii="Times New Roman" w:hAnsi="Times New Roman" w:cs="Times New Roman"/>
          <w:b/>
          <w:bCs/>
          <w:color w:val="000000" w:themeColor="text1"/>
          <w:sz w:val="24"/>
          <w:szCs w:val="24"/>
        </w:rPr>
        <w:t xml:space="preserve">the </w:t>
      </w:r>
      <w:r w:rsidR="009821C8" w:rsidRPr="00925A29">
        <w:rPr>
          <w:rFonts w:ascii="Times New Roman" w:hAnsi="Times New Roman" w:cs="Times New Roman"/>
          <w:b/>
          <w:bCs/>
          <w:color w:val="000000" w:themeColor="text1"/>
          <w:sz w:val="24"/>
          <w:szCs w:val="24"/>
        </w:rPr>
        <w:t xml:space="preserve">selection </w:t>
      </w:r>
      <w:r w:rsidRPr="00925A29">
        <w:rPr>
          <w:rFonts w:ascii="Times New Roman" w:hAnsi="Times New Roman" w:cs="Times New Roman"/>
          <w:b/>
          <w:bCs/>
          <w:color w:val="000000" w:themeColor="text1"/>
          <w:sz w:val="24"/>
          <w:szCs w:val="24"/>
        </w:rPr>
        <w:t>of the European Union (EU)</w:t>
      </w:r>
      <w:r>
        <w:rPr>
          <w:rFonts w:ascii="Times New Roman" w:hAnsi="Times New Roman" w:cs="Times New Roman"/>
          <w:b/>
          <w:bCs/>
          <w:color w:val="000000" w:themeColor="text1"/>
          <w:sz w:val="24"/>
          <w:szCs w:val="24"/>
        </w:rPr>
        <w:t xml:space="preserve"> nation</w:t>
      </w:r>
    </w:p>
    <w:p w14:paraId="4F8BEF3D" w14:textId="1CED780A" w:rsidR="00925A29" w:rsidRDefault="00925A29" w:rsidP="00D108C9">
      <w:pPr>
        <w:spacing w:line="360" w:lineRule="auto"/>
        <w:jc w:val="both"/>
        <w:rPr>
          <w:rFonts w:ascii="Times New Roman" w:hAnsi="Times New Roman" w:cs="Times New Roman"/>
          <w:color w:val="000000" w:themeColor="text1"/>
          <w:sz w:val="24"/>
          <w:szCs w:val="24"/>
        </w:rPr>
      </w:pPr>
      <w:r w:rsidRPr="00925A29">
        <w:rPr>
          <w:rFonts w:ascii="Times New Roman" w:hAnsi="Times New Roman" w:cs="Times New Roman"/>
          <w:color w:val="000000" w:themeColor="text1"/>
          <w:sz w:val="24"/>
          <w:szCs w:val="24"/>
        </w:rPr>
        <w:t>The examination of the European Union's reaction to the global financial crisis constitutes a crucial research focus for three primary reasons. Firstly, the EU has undertaken substantial initiatives towards the establishment of a unified European financial market. Secondly, it serves as a framework for facilitating and influencing national regulatory adjustments. Thirdly, the EU, being one of the world's largest jurisdictions, actively participates in shaping global financial regulations.</w:t>
      </w:r>
    </w:p>
    <w:p w14:paraId="54146887" w14:textId="62209143" w:rsidR="00BB4F46" w:rsidRPr="0013494B" w:rsidRDefault="00BB4F46" w:rsidP="0013494B">
      <w:pPr>
        <w:pStyle w:val="Heading1"/>
      </w:pPr>
      <w:bookmarkStart w:id="5" w:name="_Toc155313185"/>
      <w:r w:rsidRPr="0013494B">
        <w:t xml:space="preserve">A critical review </w:t>
      </w:r>
      <w:r w:rsidR="00871B37">
        <w:t xml:space="preserve">and the impacts </w:t>
      </w:r>
      <w:r w:rsidRPr="0013494B">
        <w:t xml:space="preserve">of the above reforms' </w:t>
      </w:r>
      <w:r w:rsidR="00871B37">
        <w:t xml:space="preserve">on </w:t>
      </w:r>
      <w:r w:rsidRPr="0013494B">
        <w:t xml:space="preserve">the financial system and </w:t>
      </w:r>
      <w:r w:rsidR="00871B37">
        <w:t>various</w:t>
      </w:r>
      <w:r w:rsidRPr="0013494B">
        <w:t xml:space="preserve"> banking institutions </w:t>
      </w:r>
      <w:r w:rsidR="00871B37">
        <w:t>following</w:t>
      </w:r>
      <w:r w:rsidRPr="0013494B">
        <w:t xml:space="preserve"> the 2008 crisis.</w:t>
      </w:r>
      <w:bookmarkEnd w:id="5"/>
      <w:r w:rsidRPr="0013494B">
        <w:t xml:space="preserve"> </w:t>
      </w:r>
    </w:p>
    <w:p w14:paraId="55D84DF6" w14:textId="0FAB81F7" w:rsidR="009A3B9D" w:rsidRDefault="00AD735D" w:rsidP="00D108C9">
      <w:pPr>
        <w:spacing w:line="360" w:lineRule="auto"/>
        <w:jc w:val="both"/>
        <w:rPr>
          <w:rFonts w:ascii="Times New Roman" w:hAnsi="Times New Roman" w:cs="Times New Roman"/>
          <w:sz w:val="24"/>
          <w:szCs w:val="24"/>
        </w:rPr>
      </w:pPr>
      <w:r w:rsidRPr="006979DE">
        <w:rPr>
          <w:rFonts w:ascii="Times New Roman" w:hAnsi="Times New Roman" w:cs="Times New Roman"/>
          <w:b/>
          <w:bCs/>
          <w:i/>
          <w:iCs/>
          <w:sz w:val="24"/>
          <w:szCs w:val="24"/>
        </w:rPr>
        <w:t>The Dodd-Frank Wall Street Reform and Consumer Protection Act</w:t>
      </w:r>
      <w:r w:rsidRPr="00AD735D">
        <w:rPr>
          <w:rFonts w:ascii="Times New Roman" w:hAnsi="Times New Roman" w:cs="Times New Roman"/>
          <w:sz w:val="24"/>
          <w:szCs w:val="24"/>
        </w:rPr>
        <w:t xml:space="preserve">, enacted in 2010, sought to restore stability to the financial system and fortify banking institutions </w:t>
      </w:r>
      <w:r w:rsidR="00E32DD1">
        <w:rPr>
          <w:rFonts w:ascii="Times New Roman" w:hAnsi="Times New Roman" w:cs="Times New Roman"/>
          <w:sz w:val="24"/>
          <w:szCs w:val="24"/>
        </w:rPr>
        <w:t>Post-</w:t>
      </w:r>
      <w:r w:rsidRPr="00AD735D">
        <w:rPr>
          <w:rFonts w:ascii="Times New Roman" w:hAnsi="Times New Roman" w:cs="Times New Roman"/>
          <w:sz w:val="24"/>
          <w:szCs w:val="24"/>
        </w:rPr>
        <w:t xml:space="preserve">2008 crisis by enacting several pivotal provisions. Specifically targeting sectors implicated in the crisis, such as banks, insurance entities, and investment firms, the legislation ushered in the establishment </w:t>
      </w:r>
      <w:r w:rsidRPr="00AD735D">
        <w:rPr>
          <w:rFonts w:ascii="Times New Roman" w:hAnsi="Times New Roman" w:cs="Times New Roman"/>
          <w:sz w:val="24"/>
          <w:szCs w:val="24"/>
        </w:rPr>
        <w:lastRenderedPageBreak/>
        <w:t xml:space="preserve">of novel government agencies tasked with overseeing diverse facets of the financial system. Concurrently, it introduced measures geared towards enhancing the safety of the U.S. financial system for both </w:t>
      </w:r>
      <w:r w:rsidR="00E32DD1">
        <w:rPr>
          <w:rFonts w:ascii="Times New Roman" w:hAnsi="Times New Roman" w:cs="Times New Roman"/>
          <w:sz w:val="24"/>
          <w:szCs w:val="24"/>
        </w:rPr>
        <w:t>individuals</w:t>
      </w:r>
      <w:r w:rsidRPr="00AD735D">
        <w:rPr>
          <w:rFonts w:ascii="Times New Roman" w:hAnsi="Times New Roman" w:cs="Times New Roman"/>
          <w:sz w:val="24"/>
          <w:szCs w:val="24"/>
        </w:rPr>
        <w:t xml:space="preserve"> and payers</w:t>
      </w:r>
      <w:r w:rsidR="00E32DD1">
        <w:rPr>
          <w:rFonts w:ascii="Times New Roman" w:hAnsi="Times New Roman" w:cs="Times New Roman"/>
          <w:sz w:val="24"/>
          <w:szCs w:val="24"/>
        </w:rPr>
        <w:t xml:space="preserve"> of tax</w:t>
      </w:r>
      <w:r w:rsidRPr="00AD735D">
        <w:rPr>
          <w:rFonts w:ascii="Times New Roman" w:hAnsi="Times New Roman" w:cs="Times New Roman"/>
          <w:sz w:val="24"/>
          <w:szCs w:val="24"/>
        </w:rPr>
        <w:t xml:space="preserve">. Addressing the precipitating factors of the crisis, notably precarious lending practices and the necessity for public bailouts of financial institutions, the Dodd-Frank Act ushered in a comprehensive suite of regulations and regulatory bodies. This multifaceted approach aimed to </w:t>
      </w:r>
      <w:r>
        <w:rPr>
          <w:rFonts w:ascii="Times New Roman" w:hAnsi="Times New Roman" w:cs="Times New Roman"/>
          <w:sz w:val="24"/>
          <w:szCs w:val="24"/>
        </w:rPr>
        <w:t>instil</w:t>
      </w:r>
      <w:r w:rsidRPr="00AD735D">
        <w:rPr>
          <w:rFonts w:ascii="Times New Roman" w:hAnsi="Times New Roman" w:cs="Times New Roman"/>
          <w:sz w:val="24"/>
          <w:szCs w:val="24"/>
        </w:rPr>
        <w:t xml:space="preserve"> heightened vigilance over both consumer affairs and financial markets, thereby mitigating the likelihood of a recurrence of market tumult in the future. The overarching objective was to institute a robust framework that would preclude the need for extensive government interventions and bailouts, fostering resilience within the financial sector and safeguarding the interests of consumers and taxpayers alike</w:t>
      </w:r>
      <w:r w:rsidR="006979DE">
        <w:rPr>
          <w:rFonts w:ascii="Times New Roman" w:hAnsi="Times New Roman" w:cs="Times New Roman"/>
          <w:sz w:val="24"/>
          <w:szCs w:val="24"/>
        </w:rPr>
        <w:t xml:space="preserve"> </w:t>
      </w:r>
      <w:sdt>
        <w:sdtPr>
          <w:rPr>
            <w:rFonts w:ascii="Times New Roman" w:hAnsi="Times New Roman" w:cs="Times New Roman"/>
            <w:sz w:val="24"/>
            <w:szCs w:val="24"/>
            <w:shd w:val="clear" w:color="auto" w:fill="FCFCF9"/>
          </w:rPr>
          <w:id w:val="1978881478"/>
          <w:citation/>
        </w:sdtPr>
        <w:sdtContent>
          <w:r w:rsidRPr="00AD735D">
            <w:rPr>
              <w:rFonts w:ascii="Times New Roman" w:hAnsi="Times New Roman" w:cs="Times New Roman"/>
              <w:sz w:val="24"/>
              <w:szCs w:val="24"/>
              <w:shd w:val="clear" w:color="auto" w:fill="FCFCF9"/>
            </w:rPr>
            <w:fldChar w:fldCharType="begin"/>
          </w:r>
          <w:r w:rsidRPr="00AD735D">
            <w:rPr>
              <w:rFonts w:ascii="Times New Roman" w:hAnsi="Times New Roman" w:cs="Times New Roman"/>
              <w:sz w:val="24"/>
              <w:szCs w:val="24"/>
              <w:shd w:val="clear" w:color="auto" w:fill="FCFCF9"/>
            </w:rPr>
            <w:instrText xml:space="preserve"> CITATION Con17 \l 2057 </w:instrText>
          </w:r>
          <w:r w:rsidRPr="00AD735D">
            <w:rPr>
              <w:rFonts w:ascii="Times New Roman" w:hAnsi="Times New Roman" w:cs="Times New Roman"/>
              <w:sz w:val="24"/>
              <w:szCs w:val="24"/>
              <w:shd w:val="clear" w:color="auto" w:fill="FCFCF9"/>
            </w:rPr>
            <w:fldChar w:fldCharType="separate"/>
          </w:r>
          <w:r w:rsidR="00BF15CE" w:rsidRPr="00BF15CE">
            <w:rPr>
              <w:rFonts w:ascii="Times New Roman" w:hAnsi="Times New Roman" w:cs="Times New Roman"/>
              <w:noProof/>
              <w:sz w:val="24"/>
              <w:szCs w:val="24"/>
              <w:shd w:val="clear" w:color="auto" w:fill="FCFCF9"/>
            </w:rPr>
            <w:t>(Congressional Research Service, 2017)</w:t>
          </w:r>
          <w:r w:rsidRPr="00AD735D">
            <w:rPr>
              <w:rFonts w:ascii="Times New Roman" w:hAnsi="Times New Roman" w:cs="Times New Roman"/>
              <w:sz w:val="24"/>
              <w:szCs w:val="24"/>
              <w:shd w:val="clear" w:color="auto" w:fill="FCFCF9"/>
            </w:rPr>
            <w:fldChar w:fldCharType="end"/>
          </w:r>
        </w:sdtContent>
      </w:sdt>
      <w:r w:rsidRPr="00AD735D">
        <w:rPr>
          <w:rFonts w:ascii="Times New Roman" w:hAnsi="Times New Roman" w:cs="Times New Roman"/>
          <w:sz w:val="24"/>
          <w:szCs w:val="24"/>
          <w:shd w:val="clear" w:color="auto" w:fill="FCFCF9"/>
        </w:rPr>
        <w:t>.</w:t>
      </w:r>
      <w:r w:rsidR="00E362AA">
        <w:rPr>
          <w:rFonts w:ascii="Times New Roman" w:hAnsi="Times New Roman" w:cs="Times New Roman"/>
          <w:sz w:val="24"/>
          <w:szCs w:val="24"/>
          <w:shd w:val="clear" w:color="auto" w:fill="FCFCF9"/>
        </w:rPr>
        <w:t xml:space="preserve"> </w:t>
      </w:r>
      <w:r w:rsidR="00D235D1" w:rsidRPr="00D235D1">
        <w:rPr>
          <w:rFonts w:ascii="Times New Roman" w:hAnsi="Times New Roman" w:cs="Times New Roman"/>
          <w:sz w:val="24"/>
          <w:szCs w:val="24"/>
        </w:rPr>
        <w:t>Notwithstanding its intended objectives, th</w:t>
      </w:r>
      <w:r w:rsidR="009C5923">
        <w:rPr>
          <w:rFonts w:ascii="Times New Roman" w:hAnsi="Times New Roman" w:cs="Times New Roman"/>
          <w:sz w:val="24"/>
          <w:szCs w:val="24"/>
        </w:rPr>
        <w:t xml:space="preserve">is </w:t>
      </w:r>
      <w:r w:rsidR="00D235D1" w:rsidRPr="00D235D1">
        <w:rPr>
          <w:rFonts w:ascii="Times New Roman" w:hAnsi="Times New Roman" w:cs="Times New Roman"/>
          <w:sz w:val="24"/>
          <w:szCs w:val="24"/>
        </w:rPr>
        <w:t xml:space="preserve">Act has been subject to criticism across various dimensions. Detractors have articulated concerns, particularly focusing on the perceived regulatory burden emanating from the legislation. This critique contends that the Act may render U.S. firms less competitive on the global stage </w:t>
      </w:r>
      <w:r w:rsidR="00B93A89">
        <w:rPr>
          <w:rFonts w:ascii="Times New Roman" w:hAnsi="Times New Roman" w:cs="Times New Roman"/>
          <w:sz w:val="24"/>
          <w:szCs w:val="24"/>
        </w:rPr>
        <w:t>as opposed to their international rivals</w:t>
      </w:r>
      <w:r w:rsidR="00D235D1" w:rsidRPr="00D235D1">
        <w:rPr>
          <w:rFonts w:ascii="Times New Roman" w:hAnsi="Times New Roman" w:cs="Times New Roman"/>
          <w:sz w:val="24"/>
          <w:szCs w:val="24"/>
        </w:rPr>
        <w:t>, thereby influencing the overall competitiveness of domestic financial entities</w:t>
      </w:r>
      <w:sdt>
        <w:sdtPr>
          <w:rPr>
            <w:rFonts w:ascii="Times New Roman" w:hAnsi="Times New Roman" w:cs="Times New Roman"/>
            <w:sz w:val="24"/>
            <w:szCs w:val="24"/>
          </w:rPr>
          <w:id w:val="192192182"/>
          <w:citation/>
        </w:sdtPr>
        <w:sdtContent>
          <w:r w:rsidR="00D235D1">
            <w:rPr>
              <w:rFonts w:ascii="Times New Roman" w:hAnsi="Times New Roman" w:cs="Times New Roman"/>
              <w:sz w:val="24"/>
              <w:szCs w:val="24"/>
            </w:rPr>
            <w:fldChar w:fldCharType="begin"/>
          </w:r>
          <w:r w:rsidR="00D235D1">
            <w:rPr>
              <w:rFonts w:ascii="Times New Roman" w:hAnsi="Times New Roman" w:cs="Times New Roman"/>
              <w:sz w:val="24"/>
              <w:szCs w:val="24"/>
            </w:rPr>
            <w:instrText xml:space="preserve"> CITATION Inv23 \l 2057 </w:instrText>
          </w:r>
          <w:r w:rsidR="00D235D1">
            <w:rPr>
              <w:rFonts w:ascii="Times New Roman" w:hAnsi="Times New Roman" w:cs="Times New Roman"/>
              <w:sz w:val="24"/>
              <w:szCs w:val="24"/>
            </w:rPr>
            <w:fldChar w:fldCharType="separate"/>
          </w:r>
          <w:r w:rsidR="00BF15CE">
            <w:rPr>
              <w:rFonts w:ascii="Times New Roman" w:hAnsi="Times New Roman" w:cs="Times New Roman"/>
              <w:noProof/>
              <w:sz w:val="24"/>
              <w:szCs w:val="24"/>
            </w:rPr>
            <w:t xml:space="preserve"> </w:t>
          </w:r>
          <w:r w:rsidR="00BF15CE" w:rsidRPr="00BF15CE">
            <w:rPr>
              <w:rFonts w:ascii="Times New Roman" w:hAnsi="Times New Roman" w:cs="Times New Roman"/>
              <w:noProof/>
              <w:sz w:val="24"/>
              <w:szCs w:val="24"/>
            </w:rPr>
            <w:t>(Investopedia, 2023)</w:t>
          </w:r>
          <w:r w:rsidR="00D235D1">
            <w:rPr>
              <w:rFonts w:ascii="Times New Roman" w:hAnsi="Times New Roman" w:cs="Times New Roman"/>
              <w:sz w:val="24"/>
              <w:szCs w:val="24"/>
            </w:rPr>
            <w:fldChar w:fldCharType="end"/>
          </w:r>
        </w:sdtContent>
      </w:sdt>
      <w:r w:rsidR="00D235D1" w:rsidRPr="00D235D1">
        <w:rPr>
          <w:rFonts w:ascii="Times New Roman" w:hAnsi="Times New Roman" w:cs="Times New Roman"/>
          <w:sz w:val="24"/>
          <w:szCs w:val="24"/>
        </w:rPr>
        <w:t>.</w:t>
      </w:r>
      <w:r w:rsidR="006360C1">
        <w:rPr>
          <w:rFonts w:ascii="Times New Roman" w:hAnsi="Times New Roman" w:cs="Times New Roman"/>
          <w:sz w:val="24"/>
          <w:szCs w:val="24"/>
        </w:rPr>
        <w:t xml:space="preserve"> </w:t>
      </w:r>
      <w:r w:rsidR="006360C1" w:rsidRPr="006360C1">
        <w:rPr>
          <w:rFonts w:ascii="Times New Roman" w:hAnsi="Times New Roman" w:cs="Times New Roman"/>
          <w:sz w:val="24"/>
          <w:szCs w:val="24"/>
        </w:rPr>
        <w:t>Another area of scrutiny pertains to the impact on smaller banks, as critics express reservations regarding the potential disproportionate effect of compliance with the Act's requirements on these financial institutions. There are apprehensions that the regulatory framework may place a heavier burden on smaller entities within the financial sector, potentially impeding their operational flexibility and competitiveness. Furthermore, the Act has become a focal point of debate regarding its potential economic repercussions. Assertions have been made that the legislation contributed to heightened bank fees and, in turn, reduced consumer access to specific financial services. This aspect of the criticism underscores concerns about unintended consequences and adverse effects on consumers, raising questions about the balance between regulatory measures and maintaining accessibility and affordability of financial services for the public</w:t>
      </w:r>
      <w:sdt>
        <w:sdtPr>
          <w:rPr>
            <w:rFonts w:ascii="Times New Roman" w:hAnsi="Times New Roman" w:cs="Times New Roman"/>
            <w:sz w:val="24"/>
            <w:szCs w:val="24"/>
          </w:rPr>
          <w:id w:val="-1337759301"/>
          <w:citation/>
        </w:sdtPr>
        <w:sdtContent>
          <w:r w:rsidR="006360C1">
            <w:rPr>
              <w:rFonts w:ascii="Times New Roman" w:hAnsi="Times New Roman" w:cs="Times New Roman"/>
              <w:sz w:val="24"/>
              <w:szCs w:val="24"/>
            </w:rPr>
            <w:fldChar w:fldCharType="begin"/>
          </w:r>
          <w:r w:rsidR="006360C1">
            <w:rPr>
              <w:rFonts w:ascii="Times New Roman" w:hAnsi="Times New Roman" w:cs="Times New Roman"/>
              <w:sz w:val="24"/>
              <w:szCs w:val="24"/>
            </w:rPr>
            <w:instrText xml:space="preserve"> CITATION Fin \l 2057 </w:instrText>
          </w:r>
          <w:r w:rsidR="006360C1">
            <w:rPr>
              <w:rFonts w:ascii="Times New Roman" w:hAnsi="Times New Roman" w:cs="Times New Roman"/>
              <w:sz w:val="24"/>
              <w:szCs w:val="24"/>
            </w:rPr>
            <w:fldChar w:fldCharType="separate"/>
          </w:r>
          <w:r w:rsidR="00BF15CE">
            <w:rPr>
              <w:rFonts w:ascii="Times New Roman" w:hAnsi="Times New Roman" w:cs="Times New Roman"/>
              <w:noProof/>
              <w:sz w:val="24"/>
              <w:szCs w:val="24"/>
            </w:rPr>
            <w:t xml:space="preserve"> </w:t>
          </w:r>
          <w:r w:rsidR="00BF15CE" w:rsidRPr="00BF15CE">
            <w:rPr>
              <w:rFonts w:ascii="Times New Roman" w:hAnsi="Times New Roman" w:cs="Times New Roman"/>
              <w:noProof/>
              <w:sz w:val="24"/>
              <w:szCs w:val="24"/>
            </w:rPr>
            <w:t>(Financial Service Committee, n.d.)</w:t>
          </w:r>
          <w:r w:rsidR="006360C1">
            <w:rPr>
              <w:rFonts w:ascii="Times New Roman" w:hAnsi="Times New Roman" w:cs="Times New Roman"/>
              <w:sz w:val="24"/>
              <w:szCs w:val="24"/>
            </w:rPr>
            <w:fldChar w:fldCharType="end"/>
          </w:r>
        </w:sdtContent>
      </w:sdt>
      <w:r w:rsidR="006360C1" w:rsidRPr="006360C1">
        <w:rPr>
          <w:rFonts w:ascii="Times New Roman" w:hAnsi="Times New Roman" w:cs="Times New Roman"/>
          <w:sz w:val="24"/>
          <w:szCs w:val="24"/>
        </w:rPr>
        <w:t>.</w:t>
      </w:r>
    </w:p>
    <w:p w14:paraId="4512B5F6" w14:textId="5701EBE6" w:rsidR="00FE18FC" w:rsidRDefault="00E37973" w:rsidP="00D108C9">
      <w:pPr>
        <w:spacing w:line="360" w:lineRule="auto"/>
        <w:jc w:val="both"/>
        <w:rPr>
          <w:rFonts w:ascii="Times New Roman" w:hAnsi="Times New Roman" w:cs="Times New Roman"/>
          <w:sz w:val="24"/>
          <w:szCs w:val="24"/>
        </w:rPr>
      </w:pPr>
      <w:r w:rsidRPr="00157EB4">
        <w:rPr>
          <w:rFonts w:ascii="Times New Roman" w:hAnsi="Times New Roman" w:cs="Times New Roman"/>
          <w:b/>
          <w:bCs/>
          <w:i/>
          <w:iCs/>
          <w:color w:val="000000" w:themeColor="text1"/>
          <w:sz w:val="24"/>
          <w:szCs w:val="24"/>
        </w:rPr>
        <w:t>The Volcker Rule</w:t>
      </w:r>
      <w:r w:rsidRPr="00E37973">
        <w:rPr>
          <w:rFonts w:ascii="Times New Roman" w:hAnsi="Times New Roman" w:cs="Times New Roman"/>
          <w:color w:val="000000" w:themeColor="text1"/>
          <w:sz w:val="24"/>
          <w:szCs w:val="24"/>
        </w:rPr>
        <w:t xml:space="preserve">, a component of the Dodd-Frank Act, played a pivotal </w:t>
      </w:r>
      <w:r w:rsidR="00DA3151">
        <w:rPr>
          <w:rFonts w:ascii="Times New Roman" w:hAnsi="Times New Roman" w:cs="Times New Roman"/>
          <w:color w:val="000000" w:themeColor="text1"/>
          <w:sz w:val="24"/>
          <w:szCs w:val="24"/>
        </w:rPr>
        <w:t>part</w:t>
      </w:r>
      <w:r w:rsidRPr="00E37973">
        <w:rPr>
          <w:rFonts w:ascii="Times New Roman" w:hAnsi="Times New Roman" w:cs="Times New Roman"/>
          <w:color w:val="000000" w:themeColor="text1"/>
          <w:sz w:val="24"/>
          <w:szCs w:val="24"/>
        </w:rPr>
        <w:t xml:space="preserve"> in fostering stability within the financial system and banking institutions during the 2008 crisis. By segregating risk activities from lending practices, restricting speculative investments, and augmenting systemic resilience, the rule undertook critical measures to fortify the sector. A primary strength of the Volcker Rule lies in its strategic separation of investment banking, private equity activities, and proprietary trading from the core function of lending. This segregation mitigates the potential perils associated with high-risk speculation, providing a </w:t>
      </w:r>
      <w:r w:rsidRPr="00E37973">
        <w:rPr>
          <w:rFonts w:ascii="Times New Roman" w:hAnsi="Times New Roman" w:cs="Times New Roman"/>
          <w:color w:val="000000" w:themeColor="text1"/>
          <w:sz w:val="24"/>
          <w:szCs w:val="24"/>
        </w:rPr>
        <w:lastRenderedPageBreak/>
        <w:t xml:space="preserve">buffer against the destabilizing consequences of excessive risk-taking within financial institutions. The rule, furthermore, instituted a </w:t>
      </w:r>
      <w:r w:rsidR="00DA3151">
        <w:rPr>
          <w:rFonts w:ascii="Times New Roman" w:hAnsi="Times New Roman" w:cs="Times New Roman"/>
          <w:color w:val="000000" w:themeColor="text1"/>
          <w:sz w:val="24"/>
          <w:szCs w:val="24"/>
        </w:rPr>
        <w:t>restricted</w:t>
      </w:r>
      <w:r w:rsidRPr="00E37973">
        <w:rPr>
          <w:rFonts w:ascii="Times New Roman" w:hAnsi="Times New Roman" w:cs="Times New Roman"/>
          <w:color w:val="000000" w:themeColor="text1"/>
          <w:sz w:val="24"/>
          <w:szCs w:val="24"/>
        </w:rPr>
        <w:t xml:space="preserve"> on pr</w:t>
      </w:r>
      <w:r w:rsidR="00DA3151">
        <w:rPr>
          <w:rFonts w:ascii="Times New Roman" w:hAnsi="Times New Roman" w:cs="Times New Roman"/>
          <w:color w:val="000000" w:themeColor="text1"/>
          <w:sz w:val="24"/>
          <w:szCs w:val="24"/>
        </w:rPr>
        <w:t>ivate</w:t>
      </w:r>
      <w:r w:rsidRPr="00E37973">
        <w:rPr>
          <w:rFonts w:ascii="Times New Roman" w:hAnsi="Times New Roman" w:cs="Times New Roman"/>
          <w:color w:val="000000" w:themeColor="text1"/>
          <w:sz w:val="24"/>
          <w:szCs w:val="24"/>
        </w:rPr>
        <w:t xml:space="preserve"> trading by deposit</w:t>
      </w:r>
      <w:r w:rsidR="00DA3151">
        <w:rPr>
          <w:rFonts w:ascii="Times New Roman" w:hAnsi="Times New Roman" w:cs="Times New Roman"/>
          <w:color w:val="000000" w:themeColor="text1"/>
          <w:sz w:val="24"/>
          <w:szCs w:val="24"/>
        </w:rPr>
        <w:t>ory organisations</w:t>
      </w:r>
      <w:r w:rsidRPr="00E37973">
        <w:rPr>
          <w:rFonts w:ascii="Times New Roman" w:hAnsi="Times New Roman" w:cs="Times New Roman"/>
          <w:color w:val="000000" w:themeColor="text1"/>
          <w:sz w:val="24"/>
          <w:szCs w:val="24"/>
        </w:rPr>
        <w:t xml:space="preserve"> and curtailed the t</w:t>
      </w:r>
      <w:r w:rsidR="00106D81">
        <w:rPr>
          <w:rFonts w:ascii="Times New Roman" w:hAnsi="Times New Roman" w:cs="Times New Roman"/>
          <w:color w:val="000000" w:themeColor="text1"/>
          <w:sz w:val="24"/>
          <w:szCs w:val="24"/>
        </w:rPr>
        <w:t>ransaction</w:t>
      </w:r>
      <w:r w:rsidRPr="00E37973">
        <w:rPr>
          <w:rFonts w:ascii="Times New Roman" w:hAnsi="Times New Roman" w:cs="Times New Roman"/>
          <w:color w:val="000000" w:themeColor="text1"/>
          <w:sz w:val="24"/>
          <w:szCs w:val="24"/>
        </w:rPr>
        <w:t xml:space="preserve"> rights of p</w:t>
      </w:r>
      <w:r w:rsidR="00106D81">
        <w:rPr>
          <w:rFonts w:ascii="Times New Roman" w:hAnsi="Times New Roman" w:cs="Times New Roman"/>
          <w:color w:val="000000" w:themeColor="text1"/>
          <w:sz w:val="24"/>
          <w:szCs w:val="24"/>
        </w:rPr>
        <w:t>rivate</w:t>
      </w:r>
      <w:r w:rsidRPr="00E37973">
        <w:rPr>
          <w:rFonts w:ascii="Times New Roman" w:hAnsi="Times New Roman" w:cs="Times New Roman"/>
          <w:color w:val="000000" w:themeColor="text1"/>
          <w:sz w:val="24"/>
          <w:szCs w:val="24"/>
        </w:rPr>
        <w:t xml:space="preserve"> traders at other large financial entities, effectively mitigating the likelihood of high-risk financial speculation. These measures collectively contributed to rendering the financial system safer and more stable, thereby diminishing the prospect of a recurrence of a crisis akin to the one witnessed in 2008. The rule, by addressing the interconnectedness of risky activities with core banking functions, fortified the sector against systemic risks. However, the Volcker Rule has not been immune to criticism. Detractors point to concerns regarding its impact on market liquidity, asserting that restrictions on proprietary trading may hinder the ability of banks to provide essential liquidity in financial markets. Additionally, the rule has been criticized for its perceived complexity, leading to substantial compliance costs for financial institutions. The intricate nature of the rule raises challenges in implementation and monitoring, particularly for larger banks with multifaceted operations.</w:t>
      </w:r>
      <w:sdt>
        <w:sdtPr>
          <w:rPr>
            <w:rFonts w:ascii="Times New Roman" w:hAnsi="Times New Roman" w:cs="Times New Roman"/>
            <w:color w:val="000000" w:themeColor="text1"/>
            <w:sz w:val="24"/>
            <w:szCs w:val="24"/>
          </w:rPr>
          <w:id w:val="-1135786094"/>
          <w:citation/>
        </w:sdtPr>
        <w:sdtEndPr>
          <w:rPr>
            <w:color w:val="auto"/>
          </w:rPr>
        </w:sdtEndPr>
        <w:sdtContent>
          <w:r w:rsidR="00B01945" w:rsidRPr="00E37973">
            <w:rPr>
              <w:rFonts w:ascii="Times New Roman" w:hAnsi="Times New Roman" w:cs="Times New Roman"/>
              <w:color w:val="000000" w:themeColor="text1"/>
              <w:sz w:val="24"/>
              <w:szCs w:val="24"/>
            </w:rPr>
            <w:fldChar w:fldCharType="begin"/>
          </w:r>
          <w:r w:rsidR="00B01945" w:rsidRPr="00E37973">
            <w:rPr>
              <w:rFonts w:ascii="Times New Roman" w:hAnsi="Times New Roman" w:cs="Times New Roman"/>
              <w:color w:val="000000" w:themeColor="text1"/>
              <w:sz w:val="24"/>
              <w:szCs w:val="24"/>
            </w:rPr>
            <w:instrText xml:space="preserve"> CITATION Cad10 \l 2057 </w:instrText>
          </w:r>
          <w:r w:rsidR="00B01945" w:rsidRPr="00E37973">
            <w:rPr>
              <w:rFonts w:ascii="Times New Roman" w:hAnsi="Times New Roman" w:cs="Times New Roman"/>
              <w:color w:val="000000" w:themeColor="text1"/>
              <w:sz w:val="24"/>
              <w:szCs w:val="24"/>
            </w:rPr>
            <w:fldChar w:fldCharType="separate"/>
          </w:r>
          <w:r w:rsidR="00BF15CE">
            <w:rPr>
              <w:rFonts w:ascii="Times New Roman" w:hAnsi="Times New Roman" w:cs="Times New Roman"/>
              <w:noProof/>
              <w:color w:val="000000" w:themeColor="text1"/>
              <w:sz w:val="24"/>
              <w:szCs w:val="24"/>
            </w:rPr>
            <w:t xml:space="preserve"> </w:t>
          </w:r>
          <w:r w:rsidR="00BF15CE" w:rsidRPr="00BF15CE">
            <w:rPr>
              <w:rFonts w:ascii="Times New Roman" w:hAnsi="Times New Roman" w:cs="Times New Roman"/>
              <w:noProof/>
              <w:color w:val="000000" w:themeColor="text1"/>
              <w:sz w:val="24"/>
              <w:szCs w:val="24"/>
            </w:rPr>
            <w:t>(Cadwalader, 2010)</w:t>
          </w:r>
          <w:r w:rsidR="00B01945" w:rsidRPr="00E37973">
            <w:rPr>
              <w:rFonts w:ascii="Times New Roman" w:hAnsi="Times New Roman" w:cs="Times New Roman"/>
              <w:color w:val="000000" w:themeColor="text1"/>
              <w:sz w:val="24"/>
              <w:szCs w:val="24"/>
            </w:rPr>
            <w:fldChar w:fldCharType="end"/>
          </w:r>
        </w:sdtContent>
      </w:sdt>
      <w:r w:rsidR="00016BA5" w:rsidRPr="00016BA5">
        <w:rPr>
          <w:rFonts w:ascii="Times New Roman" w:hAnsi="Times New Roman" w:cs="Times New Roman"/>
          <w:sz w:val="24"/>
          <w:szCs w:val="24"/>
        </w:rPr>
        <w:t>.</w:t>
      </w:r>
    </w:p>
    <w:p w14:paraId="299C6A72" w14:textId="5AAEE77C" w:rsidR="00702834" w:rsidRPr="00CD1DEA" w:rsidRDefault="00FE62F7" w:rsidP="00D108C9">
      <w:pPr>
        <w:spacing w:line="360" w:lineRule="auto"/>
        <w:jc w:val="both"/>
        <w:rPr>
          <w:rFonts w:ascii="Segoe UI" w:hAnsi="Segoe UI" w:cs="Segoe UI"/>
        </w:rPr>
      </w:pPr>
      <w:r w:rsidRPr="00CD1DEA">
        <w:rPr>
          <w:rFonts w:ascii="Times New Roman" w:hAnsi="Times New Roman" w:cs="Times New Roman"/>
          <w:b/>
          <w:bCs/>
          <w:i/>
          <w:iCs/>
          <w:sz w:val="24"/>
          <w:szCs w:val="24"/>
        </w:rPr>
        <w:t>The Basel III</w:t>
      </w:r>
      <w:r w:rsidRPr="00CD1DEA">
        <w:rPr>
          <w:rFonts w:ascii="Times New Roman" w:hAnsi="Times New Roman" w:cs="Times New Roman"/>
          <w:sz w:val="24"/>
          <w:szCs w:val="24"/>
        </w:rPr>
        <w:t xml:space="preserve"> reforms have played a substantial role in stabilizing the financial system and various banking institutions in the aftermath of the 2008 crisis. These reforms were designed to fortify the </w:t>
      </w:r>
      <w:r w:rsidR="00CB0954">
        <w:rPr>
          <w:rFonts w:ascii="Times New Roman" w:hAnsi="Times New Roman" w:cs="Times New Roman"/>
          <w:sz w:val="24"/>
          <w:szCs w:val="24"/>
        </w:rPr>
        <w:t>governance</w:t>
      </w:r>
      <w:r w:rsidRPr="00CD1DEA">
        <w:rPr>
          <w:rFonts w:ascii="Times New Roman" w:hAnsi="Times New Roman" w:cs="Times New Roman"/>
          <w:sz w:val="24"/>
          <w:szCs w:val="24"/>
        </w:rPr>
        <w:t xml:space="preserve">, </w:t>
      </w:r>
      <w:r w:rsidR="00CB0954">
        <w:rPr>
          <w:rFonts w:ascii="Times New Roman" w:hAnsi="Times New Roman" w:cs="Times New Roman"/>
          <w:sz w:val="24"/>
          <w:szCs w:val="24"/>
        </w:rPr>
        <w:t>leadership</w:t>
      </w:r>
      <w:r w:rsidRPr="00CD1DEA">
        <w:rPr>
          <w:rFonts w:ascii="Times New Roman" w:hAnsi="Times New Roman" w:cs="Times New Roman"/>
          <w:sz w:val="24"/>
          <w:szCs w:val="24"/>
        </w:rPr>
        <w:t xml:space="preserve">, and risk </w:t>
      </w:r>
      <w:r w:rsidR="00CB0954">
        <w:rPr>
          <w:rFonts w:ascii="Times New Roman" w:hAnsi="Times New Roman" w:cs="Times New Roman"/>
          <w:sz w:val="24"/>
          <w:szCs w:val="24"/>
        </w:rPr>
        <w:t>mitigation technique</w:t>
      </w:r>
      <w:r w:rsidRPr="00CD1DEA">
        <w:rPr>
          <w:rFonts w:ascii="Times New Roman" w:hAnsi="Times New Roman" w:cs="Times New Roman"/>
          <w:sz w:val="24"/>
          <w:szCs w:val="24"/>
        </w:rPr>
        <w:t xml:space="preserve"> practices within the banking sector, ultimately enhancing its resilience and capacity to withstand shocks originating from financial and economic stresses. Addressing the inadequacies of the pre-crisis regulatory framework, Basel III laid the groundwork for a more robust banking system, thereby diminishing the risk of adverse spillovers from the financial </w:t>
      </w:r>
      <w:r w:rsidR="00CB0954">
        <w:rPr>
          <w:rFonts w:ascii="Times New Roman" w:hAnsi="Times New Roman" w:cs="Times New Roman"/>
          <w:sz w:val="24"/>
          <w:szCs w:val="24"/>
        </w:rPr>
        <w:t>industry</w:t>
      </w:r>
      <w:r w:rsidRPr="00CD1DEA">
        <w:rPr>
          <w:rFonts w:ascii="Times New Roman" w:hAnsi="Times New Roman" w:cs="Times New Roman"/>
          <w:sz w:val="24"/>
          <w:szCs w:val="24"/>
        </w:rPr>
        <w:t xml:space="preserve"> into the </w:t>
      </w:r>
      <w:r w:rsidR="00CB0954">
        <w:rPr>
          <w:rFonts w:ascii="Times New Roman" w:hAnsi="Times New Roman" w:cs="Times New Roman"/>
          <w:sz w:val="24"/>
          <w:szCs w:val="24"/>
        </w:rPr>
        <w:t>overall</w:t>
      </w:r>
      <w:r w:rsidRPr="00CD1DEA">
        <w:rPr>
          <w:rFonts w:ascii="Times New Roman" w:hAnsi="Times New Roman" w:cs="Times New Roman"/>
          <w:sz w:val="24"/>
          <w:szCs w:val="24"/>
        </w:rPr>
        <w:t xml:space="preserve"> economy</w:t>
      </w:r>
      <w:r w:rsidR="00684C2B" w:rsidRPr="00CD1DEA">
        <w:rPr>
          <w:rFonts w:ascii="Times New Roman" w:hAnsi="Times New Roman" w:cs="Times New Roman"/>
          <w:sz w:val="28"/>
          <w:szCs w:val="28"/>
          <w:shd w:val="clear" w:color="auto" w:fill="FCFCF9"/>
        </w:rPr>
        <w:t xml:space="preserve"> </w:t>
      </w:r>
      <w:sdt>
        <w:sdtPr>
          <w:rPr>
            <w:rFonts w:ascii="Times New Roman" w:hAnsi="Times New Roman" w:cs="Times New Roman"/>
            <w:sz w:val="24"/>
            <w:szCs w:val="24"/>
            <w:shd w:val="clear" w:color="auto" w:fill="FCFCF9"/>
          </w:rPr>
          <w:id w:val="1824467749"/>
          <w:citation/>
        </w:sdtPr>
        <w:sdtContent>
          <w:r w:rsidR="00684C2B" w:rsidRPr="00CD1DEA">
            <w:rPr>
              <w:rFonts w:ascii="Times New Roman" w:hAnsi="Times New Roman" w:cs="Times New Roman"/>
              <w:sz w:val="24"/>
              <w:szCs w:val="24"/>
              <w:shd w:val="clear" w:color="auto" w:fill="FCFCF9"/>
            </w:rPr>
            <w:fldChar w:fldCharType="begin"/>
          </w:r>
          <w:r w:rsidR="00684C2B" w:rsidRPr="00CD1DEA">
            <w:rPr>
              <w:rFonts w:ascii="Times New Roman" w:hAnsi="Times New Roman" w:cs="Times New Roman"/>
              <w:sz w:val="24"/>
              <w:szCs w:val="24"/>
              <w:shd w:val="clear" w:color="auto" w:fill="FCFCF9"/>
            </w:rPr>
            <w:instrText xml:space="preserve"> CITATION BIS23 \l 2057 </w:instrText>
          </w:r>
          <w:r w:rsidR="00684C2B" w:rsidRPr="00CD1DEA">
            <w:rPr>
              <w:rFonts w:ascii="Times New Roman" w:hAnsi="Times New Roman" w:cs="Times New Roman"/>
              <w:sz w:val="24"/>
              <w:szCs w:val="24"/>
              <w:shd w:val="clear" w:color="auto" w:fill="FCFCF9"/>
            </w:rPr>
            <w:fldChar w:fldCharType="separate"/>
          </w:r>
          <w:r w:rsidR="00BF15CE" w:rsidRPr="00BF15CE">
            <w:rPr>
              <w:rFonts w:ascii="Times New Roman" w:hAnsi="Times New Roman" w:cs="Times New Roman"/>
              <w:noProof/>
              <w:sz w:val="24"/>
              <w:szCs w:val="24"/>
              <w:shd w:val="clear" w:color="auto" w:fill="FCFCF9"/>
            </w:rPr>
            <w:t>(BIS, 2023)</w:t>
          </w:r>
          <w:r w:rsidR="00684C2B" w:rsidRPr="00CD1DEA">
            <w:rPr>
              <w:rFonts w:ascii="Times New Roman" w:hAnsi="Times New Roman" w:cs="Times New Roman"/>
              <w:sz w:val="24"/>
              <w:szCs w:val="24"/>
              <w:shd w:val="clear" w:color="auto" w:fill="FCFCF9"/>
            </w:rPr>
            <w:fldChar w:fldCharType="end"/>
          </w:r>
        </w:sdtContent>
      </w:sdt>
      <w:r w:rsidR="0093797E" w:rsidRPr="00CD1DEA">
        <w:rPr>
          <w:rFonts w:ascii="Times New Roman" w:hAnsi="Times New Roman" w:cs="Times New Roman"/>
          <w:sz w:val="24"/>
          <w:szCs w:val="24"/>
          <w:shd w:val="clear" w:color="auto" w:fill="FCFCF9"/>
        </w:rPr>
        <w:t>.</w:t>
      </w:r>
      <w:r w:rsidR="000B3F79" w:rsidRPr="00CD1DEA">
        <w:rPr>
          <w:rFonts w:ascii="Segoe UI" w:hAnsi="Segoe UI" w:cs="Segoe UI"/>
        </w:rPr>
        <w:t xml:space="preserve"> </w:t>
      </w:r>
    </w:p>
    <w:p w14:paraId="75D2C193" w14:textId="2D707C6E" w:rsidR="00FE18FC" w:rsidRDefault="00702834" w:rsidP="00D108C9">
      <w:pPr>
        <w:spacing w:line="360" w:lineRule="auto"/>
        <w:jc w:val="both"/>
        <w:rPr>
          <w:rFonts w:ascii="Times New Roman" w:hAnsi="Times New Roman" w:cs="Times New Roman"/>
          <w:sz w:val="24"/>
          <w:szCs w:val="24"/>
        </w:rPr>
      </w:pPr>
      <w:r w:rsidRPr="00CD1DEA">
        <w:rPr>
          <w:rFonts w:ascii="Times New Roman" w:hAnsi="Times New Roman" w:cs="Times New Roman"/>
          <w:sz w:val="24"/>
          <w:szCs w:val="24"/>
        </w:rPr>
        <w:t>A key aspect of Basel III was the introduction of new liquidity standards to tackle liquidity risk. The Liquidity Coverage Ratio (LCR) mandates that banks maintain an adequate reserve of high-quality liquid assets to meet short-term liquidity needs. Concurrently, the Net Stable Funding Ratio (NSFR) focuses on ensuring the stability of a bank's funding sources over a more extended period. These measures serve to mitigate the risk of bank runs and contribute to an overall improvement in liquidity management practices. Furthermore, Basel III elevated the standards pertaining to the quality and quantity of capital that banks are obligated to retain. The emphasis on common equity as the primary form of capital, coupled with the imposition of higher capital buffers, has augmented the overall resilience of banks, fortifying their ability to withstand the impact of financial shocks</w:t>
      </w:r>
      <w:r w:rsidR="006B4CB0" w:rsidRPr="00CD1DEA">
        <w:rPr>
          <w:rFonts w:ascii="Times New Roman" w:hAnsi="Times New Roman" w:cs="Times New Roman"/>
          <w:sz w:val="24"/>
          <w:szCs w:val="24"/>
        </w:rPr>
        <w:t xml:space="preserve"> </w:t>
      </w:r>
      <w:sdt>
        <w:sdtPr>
          <w:rPr>
            <w:rFonts w:ascii="Times New Roman" w:hAnsi="Times New Roman" w:cs="Times New Roman"/>
            <w:sz w:val="24"/>
            <w:szCs w:val="24"/>
          </w:rPr>
          <w:id w:val="1565979769"/>
          <w:citation/>
        </w:sdtPr>
        <w:sdtContent>
          <w:r w:rsidR="006B4CB0" w:rsidRPr="00CD1DEA">
            <w:rPr>
              <w:rFonts w:ascii="Times New Roman" w:hAnsi="Times New Roman" w:cs="Times New Roman"/>
              <w:sz w:val="24"/>
              <w:szCs w:val="24"/>
            </w:rPr>
            <w:fldChar w:fldCharType="begin"/>
          </w:r>
          <w:r w:rsidR="006B4CB0" w:rsidRPr="00CD1DEA">
            <w:rPr>
              <w:rFonts w:ascii="Times New Roman" w:hAnsi="Times New Roman" w:cs="Times New Roman"/>
              <w:sz w:val="24"/>
              <w:szCs w:val="24"/>
            </w:rPr>
            <w:instrText xml:space="preserve"> CITATION The15 \l 2057 </w:instrText>
          </w:r>
          <w:r w:rsidR="006B4CB0" w:rsidRPr="00CD1DEA">
            <w:rPr>
              <w:rFonts w:ascii="Times New Roman" w:hAnsi="Times New Roman" w:cs="Times New Roman"/>
              <w:sz w:val="24"/>
              <w:szCs w:val="24"/>
            </w:rPr>
            <w:fldChar w:fldCharType="separate"/>
          </w:r>
          <w:r w:rsidR="00BF15CE" w:rsidRPr="00BF15CE">
            <w:rPr>
              <w:rFonts w:ascii="Times New Roman" w:hAnsi="Times New Roman" w:cs="Times New Roman"/>
              <w:noProof/>
              <w:sz w:val="24"/>
              <w:szCs w:val="24"/>
            </w:rPr>
            <w:t>(The Global Treasurer, 2015)</w:t>
          </w:r>
          <w:r w:rsidR="006B4CB0" w:rsidRPr="00CD1DEA">
            <w:rPr>
              <w:rFonts w:ascii="Times New Roman" w:hAnsi="Times New Roman" w:cs="Times New Roman"/>
              <w:sz w:val="24"/>
              <w:szCs w:val="24"/>
            </w:rPr>
            <w:fldChar w:fldCharType="end"/>
          </w:r>
        </w:sdtContent>
      </w:sdt>
      <w:r w:rsidR="00F154A7" w:rsidRPr="00CD1DEA">
        <w:rPr>
          <w:rFonts w:ascii="Times New Roman" w:hAnsi="Times New Roman" w:cs="Times New Roman"/>
          <w:sz w:val="24"/>
          <w:szCs w:val="24"/>
        </w:rPr>
        <w:t>.</w:t>
      </w:r>
      <w:r w:rsidR="006938B2" w:rsidRPr="00CD1DEA">
        <w:rPr>
          <w:rFonts w:ascii="Times New Roman" w:hAnsi="Times New Roman" w:cs="Times New Roman"/>
          <w:sz w:val="24"/>
          <w:szCs w:val="24"/>
        </w:rPr>
        <w:t xml:space="preserve"> However, the Basel III reforms represent a pivotal response to the vulnerabilities exposed by the 2008 crisis. </w:t>
      </w:r>
      <w:r w:rsidR="006938B2" w:rsidRPr="00CD1DEA">
        <w:rPr>
          <w:rFonts w:ascii="Times New Roman" w:hAnsi="Times New Roman" w:cs="Times New Roman"/>
          <w:sz w:val="24"/>
          <w:szCs w:val="24"/>
        </w:rPr>
        <w:lastRenderedPageBreak/>
        <w:t>Through enhanced regulatory measures targeting liquidity risk, capital adequacy, and overall risk management, Basel III has significantly bolstered the stability of the financial system and the adaptive capacity of banking institutions in the face of economic uncertainties. The emphasis on fortifying foundational aspects of banking operations underscores the commitment to creating a more resilient and secure financial environment.</w:t>
      </w:r>
    </w:p>
    <w:p w14:paraId="67F8C64E" w14:textId="0149AF58" w:rsidR="00830058" w:rsidRDefault="000A677C" w:rsidP="00D108C9">
      <w:pPr>
        <w:spacing w:line="360" w:lineRule="auto"/>
        <w:jc w:val="both"/>
        <w:rPr>
          <w:rFonts w:ascii="Times New Roman" w:hAnsi="Times New Roman" w:cs="Times New Roman"/>
          <w:color w:val="000000" w:themeColor="text1"/>
          <w:sz w:val="24"/>
          <w:szCs w:val="24"/>
        </w:rPr>
      </w:pPr>
      <w:r>
        <w:rPr>
          <w:rFonts w:ascii="Times New Roman" w:hAnsi="Times New Roman" w:cs="Times New Roman"/>
          <w:b/>
          <w:bCs/>
          <w:i/>
          <w:iCs/>
          <w:sz w:val="24"/>
          <w:szCs w:val="24"/>
        </w:rPr>
        <w:t>Bankin</w:t>
      </w:r>
      <w:r w:rsidR="003C3E2E">
        <w:rPr>
          <w:rFonts w:ascii="Times New Roman" w:hAnsi="Times New Roman" w:cs="Times New Roman"/>
          <w:b/>
          <w:bCs/>
          <w:i/>
          <w:iCs/>
          <w:sz w:val="24"/>
          <w:szCs w:val="24"/>
        </w:rPr>
        <w:t>g Union (BU)</w:t>
      </w:r>
      <w:r w:rsidR="006F4E90">
        <w:rPr>
          <w:rFonts w:ascii="Times New Roman" w:hAnsi="Times New Roman" w:cs="Times New Roman"/>
          <w:b/>
          <w:bCs/>
          <w:i/>
          <w:iCs/>
          <w:sz w:val="24"/>
          <w:szCs w:val="24"/>
        </w:rPr>
        <w:t xml:space="preserve">: </w:t>
      </w:r>
      <w:r w:rsidR="00F332EA" w:rsidRPr="00DF3580">
        <w:rPr>
          <w:rFonts w:ascii="Times New Roman" w:hAnsi="Times New Roman" w:cs="Times New Roman"/>
          <w:color w:val="000000" w:themeColor="text1"/>
          <w:sz w:val="24"/>
          <w:szCs w:val="24"/>
        </w:rPr>
        <w:t>The Banking Union (BU) represents a significant reform initiative encompassing key provisions geared towards enhancing the resilience of banks operating within the European Union (EU) and fortifying the supervision of banks alongside their risk management practices. At its core, the BU aims to mitigate the bank-sovereign vicious circle, thereby augmenting the</w:t>
      </w:r>
      <w:r w:rsidR="00E55522">
        <w:rPr>
          <w:rFonts w:ascii="Times New Roman" w:hAnsi="Times New Roman" w:cs="Times New Roman"/>
          <w:color w:val="000000" w:themeColor="text1"/>
          <w:sz w:val="24"/>
          <w:szCs w:val="24"/>
        </w:rPr>
        <w:t xml:space="preserve"> overall security</w:t>
      </w:r>
      <w:r w:rsidR="00F332EA" w:rsidRPr="00DF3580">
        <w:rPr>
          <w:rFonts w:ascii="Times New Roman" w:hAnsi="Times New Roman" w:cs="Times New Roman"/>
          <w:color w:val="000000" w:themeColor="text1"/>
          <w:sz w:val="24"/>
          <w:szCs w:val="24"/>
        </w:rPr>
        <w:t xml:space="preserve"> and s</w:t>
      </w:r>
      <w:r w:rsidR="00E55522">
        <w:rPr>
          <w:rFonts w:ascii="Times New Roman" w:hAnsi="Times New Roman" w:cs="Times New Roman"/>
          <w:color w:val="000000" w:themeColor="text1"/>
          <w:sz w:val="24"/>
          <w:szCs w:val="24"/>
        </w:rPr>
        <w:t>tability</w:t>
      </w:r>
      <w:r w:rsidR="00F332EA" w:rsidRPr="00DF3580">
        <w:rPr>
          <w:rFonts w:ascii="Times New Roman" w:hAnsi="Times New Roman" w:cs="Times New Roman"/>
          <w:color w:val="000000" w:themeColor="text1"/>
          <w:sz w:val="24"/>
          <w:szCs w:val="24"/>
        </w:rPr>
        <w:t xml:space="preserve"> of the European </w:t>
      </w:r>
      <w:r w:rsidR="00E55522">
        <w:rPr>
          <w:rFonts w:ascii="Times New Roman" w:hAnsi="Times New Roman" w:cs="Times New Roman"/>
          <w:color w:val="000000" w:themeColor="text1"/>
          <w:sz w:val="24"/>
          <w:szCs w:val="24"/>
        </w:rPr>
        <w:t>financial</w:t>
      </w:r>
      <w:r w:rsidR="00F332EA" w:rsidRPr="00DF3580">
        <w:rPr>
          <w:rFonts w:ascii="Times New Roman" w:hAnsi="Times New Roman" w:cs="Times New Roman"/>
          <w:color w:val="000000" w:themeColor="text1"/>
          <w:sz w:val="24"/>
          <w:szCs w:val="24"/>
        </w:rPr>
        <w:t xml:space="preserve"> s</w:t>
      </w:r>
      <w:r w:rsidR="00E55522">
        <w:rPr>
          <w:rFonts w:ascii="Times New Roman" w:hAnsi="Times New Roman" w:cs="Times New Roman"/>
          <w:color w:val="000000" w:themeColor="text1"/>
          <w:sz w:val="24"/>
          <w:szCs w:val="24"/>
        </w:rPr>
        <w:t>ector</w:t>
      </w:r>
      <w:r w:rsidR="00F332EA" w:rsidRPr="00DF3580">
        <w:rPr>
          <w:rFonts w:ascii="Times New Roman" w:hAnsi="Times New Roman" w:cs="Times New Roman"/>
          <w:color w:val="000000" w:themeColor="text1"/>
          <w:sz w:val="24"/>
          <w:szCs w:val="24"/>
        </w:rPr>
        <w:t>. Two integral components comprise the BU: the Single Supervisory Mechanism and the Single Resolution Mechanism. The SSM entails the direct supervision of the largest banks operating in the Eurozone by the European Central Bank. This mechanism seeks to establish a uniform and rigorous oversight framework, contributing to the robust supervision of significant banks. Concurrently, the SRM was instituted with the primary objective of facilitating the orderly resolution of failing banks, thereby addressing the persistent challenge of the "too-big-to-fail" problem.</w:t>
      </w:r>
      <w:r w:rsidR="007249AA" w:rsidRPr="00DF3580">
        <w:rPr>
          <w:rFonts w:ascii="Times New Roman" w:hAnsi="Times New Roman" w:cs="Times New Roman"/>
          <w:color w:val="000000" w:themeColor="text1"/>
          <w:sz w:val="24"/>
          <w:szCs w:val="24"/>
        </w:rPr>
        <w:t xml:space="preserve"> Furthermore, the overarching goals of the BU extend to the reinstatement of private liability within the banking sector. This strategic objective aims to reintroduce accountability and responsibility within the industry, aligning with broader efforts to cultivate a more transparent and responsible financial environment. Additionally, the BU aspires to propel the European banking sector towards a state of greater integration, fostering a harmonized and cohesive European single market in banking services</w:t>
      </w:r>
      <w:sdt>
        <w:sdtPr>
          <w:rPr>
            <w:rFonts w:ascii="Times New Roman" w:hAnsi="Times New Roman" w:cs="Times New Roman"/>
            <w:color w:val="000000" w:themeColor="text1"/>
            <w:sz w:val="24"/>
            <w:szCs w:val="24"/>
          </w:rPr>
          <w:id w:val="1767584367"/>
          <w:citation/>
        </w:sdtPr>
        <w:sdtContent>
          <w:r w:rsidR="00756927">
            <w:rPr>
              <w:rFonts w:ascii="Times New Roman" w:hAnsi="Times New Roman" w:cs="Times New Roman"/>
              <w:color w:val="000000" w:themeColor="text1"/>
              <w:sz w:val="24"/>
              <w:szCs w:val="24"/>
            </w:rPr>
            <w:fldChar w:fldCharType="begin"/>
          </w:r>
          <w:r w:rsidR="00756927">
            <w:rPr>
              <w:rFonts w:ascii="Times New Roman" w:hAnsi="Times New Roman" w:cs="Times New Roman"/>
              <w:color w:val="000000" w:themeColor="text1"/>
              <w:sz w:val="24"/>
              <w:szCs w:val="24"/>
            </w:rPr>
            <w:instrText xml:space="preserve"> CITATION Eur23 \l 2057 </w:instrText>
          </w:r>
          <w:r w:rsidR="00756927">
            <w:rPr>
              <w:rFonts w:ascii="Times New Roman" w:hAnsi="Times New Roman" w:cs="Times New Roman"/>
              <w:color w:val="000000" w:themeColor="text1"/>
              <w:sz w:val="24"/>
              <w:szCs w:val="24"/>
            </w:rPr>
            <w:fldChar w:fldCharType="separate"/>
          </w:r>
          <w:r w:rsidR="00BF15CE">
            <w:rPr>
              <w:rFonts w:ascii="Times New Roman" w:hAnsi="Times New Roman" w:cs="Times New Roman"/>
              <w:noProof/>
              <w:color w:val="000000" w:themeColor="text1"/>
              <w:sz w:val="24"/>
              <w:szCs w:val="24"/>
            </w:rPr>
            <w:t xml:space="preserve"> </w:t>
          </w:r>
          <w:r w:rsidR="00BF15CE" w:rsidRPr="00BF15CE">
            <w:rPr>
              <w:rFonts w:ascii="Times New Roman" w:hAnsi="Times New Roman" w:cs="Times New Roman"/>
              <w:noProof/>
              <w:color w:val="000000" w:themeColor="text1"/>
              <w:sz w:val="24"/>
              <w:szCs w:val="24"/>
            </w:rPr>
            <w:t>(European Council, 2023)</w:t>
          </w:r>
          <w:r w:rsidR="00756927">
            <w:rPr>
              <w:rFonts w:ascii="Times New Roman" w:hAnsi="Times New Roman" w:cs="Times New Roman"/>
              <w:color w:val="000000" w:themeColor="text1"/>
              <w:sz w:val="24"/>
              <w:szCs w:val="24"/>
            </w:rPr>
            <w:fldChar w:fldCharType="end"/>
          </w:r>
        </w:sdtContent>
      </w:sdt>
      <w:r w:rsidR="007249AA" w:rsidRPr="00DF3580">
        <w:rPr>
          <w:rFonts w:ascii="Times New Roman" w:hAnsi="Times New Roman" w:cs="Times New Roman"/>
          <w:color w:val="000000" w:themeColor="text1"/>
          <w:sz w:val="24"/>
          <w:szCs w:val="24"/>
        </w:rPr>
        <w:t>.</w:t>
      </w:r>
      <w:r w:rsidR="00311BFB">
        <w:rPr>
          <w:rFonts w:ascii="Times New Roman" w:hAnsi="Times New Roman" w:cs="Times New Roman"/>
          <w:color w:val="000000" w:themeColor="text1"/>
          <w:sz w:val="24"/>
          <w:szCs w:val="24"/>
        </w:rPr>
        <w:t xml:space="preserve"> T</w:t>
      </w:r>
      <w:r w:rsidR="00311BFB" w:rsidRPr="00311BFB">
        <w:rPr>
          <w:rFonts w:ascii="Times New Roman" w:hAnsi="Times New Roman" w:cs="Times New Roman"/>
          <w:color w:val="000000" w:themeColor="text1"/>
          <w:sz w:val="24"/>
          <w:szCs w:val="24"/>
        </w:rPr>
        <w:t>he Banking Union stands as a comprehensive reform initiative designed to fortify the resilience of EU banks, enhance supervisory frameworks, and tackle systemic issues within the European banking system. The incorporation of the SSM and SRM reflects a commitment to robust oversight and crisis management, while the broader objectives align with the principles of accountability, integration, and the creation of a unified banking market in Europe.</w:t>
      </w:r>
    </w:p>
    <w:p w14:paraId="7789DFF7" w14:textId="4143EBA7" w:rsidR="002C4E00" w:rsidRDefault="002C4E00" w:rsidP="002C4E00">
      <w:pPr>
        <w:spacing w:line="360" w:lineRule="auto"/>
        <w:jc w:val="both"/>
        <w:rPr>
          <w:rFonts w:ascii="Times New Roman" w:hAnsi="Times New Roman" w:cs="Times New Roman"/>
          <w:sz w:val="24"/>
          <w:szCs w:val="24"/>
        </w:rPr>
      </w:pPr>
      <w:r w:rsidRPr="005D224C">
        <w:rPr>
          <w:rFonts w:ascii="Times New Roman" w:hAnsi="Times New Roman" w:cs="Times New Roman"/>
          <w:b/>
          <w:bCs/>
          <w:i/>
          <w:iCs/>
          <w:sz w:val="24"/>
          <w:szCs w:val="24"/>
        </w:rPr>
        <w:t>European System of Financial Supervision (ESFS)</w:t>
      </w:r>
      <w:r w:rsidR="00870E7A">
        <w:rPr>
          <w:rFonts w:ascii="Times New Roman" w:hAnsi="Times New Roman" w:cs="Times New Roman"/>
          <w:b/>
          <w:bCs/>
          <w:i/>
          <w:iCs/>
          <w:sz w:val="24"/>
          <w:szCs w:val="24"/>
        </w:rPr>
        <w:t>:</w:t>
      </w:r>
      <w:r w:rsidR="00870E7A" w:rsidRPr="00870E7A">
        <w:t xml:space="preserve"> </w:t>
      </w:r>
      <w:r w:rsidR="00FB08CA" w:rsidRPr="00FB08CA">
        <w:rPr>
          <w:rFonts w:ascii="Times New Roman" w:hAnsi="Times New Roman" w:cs="Times New Roman"/>
          <w:sz w:val="24"/>
          <w:szCs w:val="24"/>
        </w:rPr>
        <w:t xml:space="preserve">Following the 2008 financial crisis, the European System of Financial Supervision worked to stabilise the banking industry and the financial system by establishing the Single Supervisory Mechanism and the Single Resolution Mechanism. The SSM, which is focused on the European Central Bank, acts as the regulatory framework for the prudential supervision of banks in the eurozone. Its purpose is to strengthen bank supervision and regulation, which will increase the European banking industry's stability </w:t>
      </w:r>
      <w:r w:rsidR="00FB08CA" w:rsidRPr="00FB08CA">
        <w:rPr>
          <w:rFonts w:ascii="Times New Roman" w:hAnsi="Times New Roman" w:cs="Times New Roman"/>
          <w:sz w:val="24"/>
          <w:szCs w:val="24"/>
        </w:rPr>
        <w:lastRenderedPageBreak/>
        <w:t>and resilience. The SRM, on the other hand, aims to end the "too-big-to-fail" problem by assuring the orderly resolution of failing banks.</w:t>
      </w:r>
      <w:r w:rsidR="00FB08CA">
        <w:rPr>
          <w:rFonts w:ascii="Times New Roman" w:hAnsi="Times New Roman" w:cs="Times New Roman"/>
          <w:sz w:val="24"/>
          <w:szCs w:val="24"/>
        </w:rPr>
        <w:t xml:space="preserve"> </w:t>
      </w:r>
      <w:r w:rsidR="00C80E72" w:rsidRPr="00C80E72">
        <w:rPr>
          <w:rFonts w:ascii="Times New Roman" w:hAnsi="Times New Roman" w:cs="Times New Roman"/>
          <w:sz w:val="24"/>
          <w:szCs w:val="24"/>
        </w:rPr>
        <w:t>By establishing in place these rules, the ESFS has enhanced bank supervision and resolution, lowering the likelihood of further financial crises and boosting system stability</w:t>
      </w:r>
      <w:sdt>
        <w:sdtPr>
          <w:rPr>
            <w:rFonts w:ascii="Times New Roman" w:hAnsi="Times New Roman" w:cs="Times New Roman"/>
            <w:sz w:val="24"/>
            <w:szCs w:val="24"/>
          </w:rPr>
          <w:id w:val="1403724086"/>
          <w:citation/>
        </w:sdtPr>
        <w:sdtContent>
          <w:r w:rsidR="00C0200E">
            <w:rPr>
              <w:rFonts w:ascii="Times New Roman" w:hAnsi="Times New Roman" w:cs="Times New Roman"/>
              <w:sz w:val="24"/>
              <w:szCs w:val="24"/>
            </w:rPr>
            <w:fldChar w:fldCharType="begin"/>
          </w:r>
          <w:r w:rsidR="00C0200E">
            <w:rPr>
              <w:rFonts w:ascii="Times New Roman" w:hAnsi="Times New Roman" w:cs="Times New Roman"/>
              <w:sz w:val="24"/>
              <w:szCs w:val="24"/>
            </w:rPr>
            <w:instrText xml:space="preserve"> CITATION Hob23 \l 2057 </w:instrText>
          </w:r>
          <w:r w:rsidR="00C0200E">
            <w:rPr>
              <w:rFonts w:ascii="Times New Roman" w:hAnsi="Times New Roman" w:cs="Times New Roman"/>
              <w:sz w:val="24"/>
              <w:szCs w:val="24"/>
            </w:rPr>
            <w:fldChar w:fldCharType="separate"/>
          </w:r>
          <w:r w:rsidR="00BF15CE">
            <w:rPr>
              <w:rFonts w:ascii="Times New Roman" w:hAnsi="Times New Roman" w:cs="Times New Roman"/>
              <w:noProof/>
              <w:sz w:val="24"/>
              <w:szCs w:val="24"/>
            </w:rPr>
            <w:t xml:space="preserve"> </w:t>
          </w:r>
          <w:r w:rsidR="00BF15CE" w:rsidRPr="00BF15CE">
            <w:rPr>
              <w:rFonts w:ascii="Times New Roman" w:hAnsi="Times New Roman" w:cs="Times New Roman"/>
              <w:noProof/>
              <w:sz w:val="24"/>
              <w:szCs w:val="24"/>
            </w:rPr>
            <w:t>(Hobelsberger, Kok, &amp; Mongelli, 2023)</w:t>
          </w:r>
          <w:r w:rsidR="00C0200E">
            <w:rPr>
              <w:rFonts w:ascii="Times New Roman" w:hAnsi="Times New Roman" w:cs="Times New Roman"/>
              <w:sz w:val="24"/>
              <w:szCs w:val="24"/>
            </w:rPr>
            <w:fldChar w:fldCharType="end"/>
          </w:r>
        </w:sdtContent>
      </w:sdt>
      <w:r w:rsidR="00D05F85">
        <w:rPr>
          <w:rFonts w:ascii="Times New Roman" w:hAnsi="Times New Roman" w:cs="Times New Roman"/>
          <w:sz w:val="24"/>
          <w:szCs w:val="24"/>
        </w:rPr>
        <w:t>.</w:t>
      </w:r>
    </w:p>
    <w:p w14:paraId="3E57B3A2" w14:textId="2A76E108" w:rsidR="007C7707" w:rsidRPr="0013494B" w:rsidRDefault="000162B0" w:rsidP="0013494B">
      <w:pPr>
        <w:pStyle w:val="Heading1"/>
      </w:pPr>
      <w:bookmarkStart w:id="6" w:name="_Toc155313186"/>
      <w:r w:rsidRPr="0013494B">
        <w:t xml:space="preserve">Impacts of </w:t>
      </w:r>
      <w:r w:rsidR="009A0E6F" w:rsidRPr="0013494B">
        <w:t xml:space="preserve">the </w:t>
      </w:r>
      <w:r w:rsidR="003D56F0" w:rsidRPr="0013494B">
        <w:t>Post-2008 Cris</w:t>
      </w:r>
      <w:r w:rsidR="00E351C6" w:rsidRPr="0013494B">
        <w:t>e</w:t>
      </w:r>
      <w:r w:rsidR="003D56F0" w:rsidRPr="0013494B">
        <w:t xml:space="preserve">s </w:t>
      </w:r>
      <w:r w:rsidR="007C7A74">
        <w:t>R</w:t>
      </w:r>
      <w:r w:rsidR="00644714" w:rsidRPr="0013494B">
        <w:t xml:space="preserve">eforms </w:t>
      </w:r>
      <w:r w:rsidR="009A0E6F" w:rsidRPr="0013494B">
        <w:t xml:space="preserve">on the Business </w:t>
      </w:r>
      <w:r w:rsidR="001D61F1" w:rsidRPr="0013494B">
        <w:t>Model</w:t>
      </w:r>
      <w:r w:rsidR="009A0E6F" w:rsidRPr="0013494B">
        <w:t xml:space="preserve"> of JPMorgan</w:t>
      </w:r>
      <w:r w:rsidR="003E5C6B" w:rsidRPr="0013494B">
        <w:t xml:space="preserve"> Chase &amp; Co.</w:t>
      </w:r>
      <w:bookmarkEnd w:id="6"/>
    </w:p>
    <w:p w14:paraId="14D574B5" w14:textId="62AB797B" w:rsidR="00FF5081" w:rsidRDefault="001709F0" w:rsidP="002C4E00">
      <w:pPr>
        <w:spacing w:line="360" w:lineRule="auto"/>
        <w:jc w:val="both"/>
        <w:rPr>
          <w:rFonts w:ascii="Times New Roman" w:hAnsi="Times New Roman" w:cs="Times New Roman"/>
          <w:color w:val="000000" w:themeColor="text1"/>
          <w:sz w:val="24"/>
          <w:szCs w:val="24"/>
        </w:rPr>
      </w:pPr>
      <w:r w:rsidRPr="001572F1">
        <w:rPr>
          <w:rFonts w:ascii="Times New Roman" w:hAnsi="Times New Roman" w:cs="Times New Roman"/>
          <w:color w:val="000000" w:themeColor="text1"/>
          <w:sz w:val="24"/>
          <w:szCs w:val="24"/>
        </w:rPr>
        <w:t>The Dodd-Frank Act has exerted a substantial influence on the business paradigms of JPMorgan, particularly within the realms of financial restructuring and safeguarding consumer interests. Enacted as a comprehensive response to the tumultuous events of the 2008 financial crisis, this legislation introduced sweeping and transformative reforms within the financial industry. One specific facet of the Dodd-Frank Act that has left an indelible mark on JPMorgan's operations is the Volcker Rule, designed to eradicate "proprietary trading"</w:t>
      </w:r>
      <w:r w:rsidR="00962CEB">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619131032"/>
          <w:citation/>
        </w:sdtPr>
        <w:sdtContent>
          <w:r w:rsidR="00962CEB">
            <w:rPr>
              <w:rFonts w:ascii="Times New Roman" w:hAnsi="Times New Roman" w:cs="Times New Roman"/>
              <w:color w:val="000000" w:themeColor="text1"/>
              <w:sz w:val="24"/>
              <w:szCs w:val="24"/>
            </w:rPr>
            <w:fldChar w:fldCharType="begin"/>
          </w:r>
          <w:r w:rsidR="00BF15CE">
            <w:rPr>
              <w:rFonts w:ascii="Times New Roman" w:hAnsi="Times New Roman" w:cs="Times New Roman"/>
              <w:color w:val="000000" w:themeColor="text1"/>
              <w:sz w:val="24"/>
              <w:szCs w:val="24"/>
            </w:rPr>
            <w:instrText xml:space="preserve">CITATION All17 \l 2057 </w:instrText>
          </w:r>
          <w:r w:rsidR="00962CEB">
            <w:rPr>
              <w:rFonts w:ascii="Times New Roman" w:hAnsi="Times New Roman" w:cs="Times New Roman"/>
              <w:color w:val="000000" w:themeColor="text1"/>
              <w:sz w:val="24"/>
              <w:szCs w:val="24"/>
            </w:rPr>
            <w:fldChar w:fldCharType="separate"/>
          </w:r>
          <w:r w:rsidR="00BF15CE" w:rsidRPr="00BF15CE">
            <w:rPr>
              <w:rFonts w:ascii="Times New Roman" w:hAnsi="Times New Roman" w:cs="Times New Roman"/>
              <w:noProof/>
              <w:color w:val="000000" w:themeColor="text1"/>
              <w:sz w:val="24"/>
              <w:szCs w:val="24"/>
            </w:rPr>
            <w:t>(Allayannis &amp; Risell, 2017)</w:t>
          </w:r>
          <w:r w:rsidR="00962CEB">
            <w:rPr>
              <w:rFonts w:ascii="Times New Roman" w:hAnsi="Times New Roman" w:cs="Times New Roman"/>
              <w:color w:val="000000" w:themeColor="text1"/>
              <w:sz w:val="24"/>
              <w:szCs w:val="24"/>
            </w:rPr>
            <w:fldChar w:fldCharType="end"/>
          </w:r>
        </w:sdtContent>
      </w:sdt>
      <w:r w:rsidR="00FF372A">
        <w:rPr>
          <w:rFonts w:ascii="Times New Roman" w:hAnsi="Times New Roman" w:cs="Times New Roman"/>
          <w:color w:val="000000" w:themeColor="text1"/>
          <w:sz w:val="24"/>
          <w:szCs w:val="24"/>
        </w:rPr>
        <w:t xml:space="preserve">. </w:t>
      </w:r>
      <w:r w:rsidR="00FF372A" w:rsidRPr="00FF372A">
        <w:rPr>
          <w:rFonts w:ascii="Times New Roman" w:hAnsi="Times New Roman" w:cs="Times New Roman"/>
          <w:color w:val="000000" w:themeColor="text1"/>
          <w:sz w:val="24"/>
          <w:szCs w:val="24"/>
        </w:rPr>
        <w:t>The announcement of a $2 billion trading loss by JPMorgan highlights the difficulties involved in implementing regulatory changes of this nature and provides an immediate example of the consequences of the Volcker Rule</w:t>
      </w:r>
      <w:r w:rsidR="003D636B">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66713922"/>
          <w:citation/>
        </w:sdtPr>
        <w:sdtContent>
          <w:r w:rsidR="003D636B">
            <w:rPr>
              <w:rFonts w:ascii="Times New Roman" w:hAnsi="Times New Roman" w:cs="Times New Roman"/>
              <w:color w:val="000000" w:themeColor="text1"/>
              <w:sz w:val="24"/>
              <w:szCs w:val="24"/>
            </w:rPr>
            <w:fldChar w:fldCharType="begin"/>
          </w:r>
          <w:r w:rsidR="003D636B">
            <w:rPr>
              <w:rFonts w:ascii="Times New Roman" w:hAnsi="Times New Roman" w:cs="Times New Roman"/>
              <w:color w:val="000000" w:themeColor="text1"/>
              <w:sz w:val="24"/>
              <w:szCs w:val="24"/>
            </w:rPr>
            <w:instrText xml:space="preserve"> CITATION Ell12 \l 2057 </w:instrText>
          </w:r>
          <w:r w:rsidR="003D636B">
            <w:rPr>
              <w:rFonts w:ascii="Times New Roman" w:hAnsi="Times New Roman" w:cs="Times New Roman"/>
              <w:color w:val="000000" w:themeColor="text1"/>
              <w:sz w:val="24"/>
              <w:szCs w:val="24"/>
            </w:rPr>
            <w:fldChar w:fldCharType="separate"/>
          </w:r>
          <w:r w:rsidR="00BF15CE" w:rsidRPr="00BF15CE">
            <w:rPr>
              <w:rFonts w:ascii="Times New Roman" w:hAnsi="Times New Roman" w:cs="Times New Roman"/>
              <w:noProof/>
              <w:color w:val="000000" w:themeColor="text1"/>
              <w:sz w:val="24"/>
              <w:szCs w:val="24"/>
            </w:rPr>
            <w:t>(Elliott, 2012)</w:t>
          </w:r>
          <w:r w:rsidR="003D636B">
            <w:rPr>
              <w:rFonts w:ascii="Times New Roman" w:hAnsi="Times New Roman" w:cs="Times New Roman"/>
              <w:color w:val="000000" w:themeColor="text1"/>
              <w:sz w:val="24"/>
              <w:szCs w:val="24"/>
            </w:rPr>
            <w:fldChar w:fldCharType="end"/>
          </w:r>
        </w:sdtContent>
      </w:sdt>
      <w:r w:rsidR="00FF372A" w:rsidRPr="00FF372A">
        <w:rPr>
          <w:rFonts w:ascii="Times New Roman" w:hAnsi="Times New Roman" w:cs="Times New Roman"/>
          <w:color w:val="000000" w:themeColor="text1"/>
          <w:sz w:val="24"/>
          <w:szCs w:val="24"/>
        </w:rPr>
        <w:t>.</w:t>
      </w:r>
      <w:r w:rsidR="0034057F">
        <w:rPr>
          <w:rFonts w:ascii="Times New Roman" w:hAnsi="Times New Roman" w:cs="Times New Roman"/>
          <w:color w:val="000000" w:themeColor="text1"/>
          <w:sz w:val="24"/>
          <w:szCs w:val="24"/>
        </w:rPr>
        <w:t xml:space="preserve"> </w:t>
      </w:r>
      <w:r w:rsidR="00FF5081" w:rsidRPr="00D04731">
        <w:rPr>
          <w:rFonts w:ascii="Times New Roman" w:hAnsi="Times New Roman" w:cs="Times New Roman"/>
          <w:color w:val="000000" w:themeColor="text1"/>
          <w:sz w:val="24"/>
          <w:szCs w:val="24"/>
        </w:rPr>
        <w:t>Moreover, JPMorgan is obligated to undertake annual stress tests in adherence to the provisions delineated in the Dodd-Frank Act. The disclosure of the 2023 Annual Dodd-Frank Act Stress Test Results encapsulates the outcomes derived from the said stress test, a mandatory undertaking for JPMorgan Chase &amp; Co. as stipulated by the regulatory framework established by the Board of Governors of the Federal Reserve</w:t>
      </w:r>
      <w:sdt>
        <w:sdtPr>
          <w:rPr>
            <w:rFonts w:ascii="Times New Roman" w:hAnsi="Times New Roman" w:cs="Times New Roman"/>
            <w:color w:val="000000" w:themeColor="text1"/>
            <w:sz w:val="24"/>
            <w:szCs w:val="24"/>
          </w:rPr>
          <w:id w:val="722716227"/>
          <w:citation/>
        </w:sdtPr>
        <w:sdtContent>
          <w:r w:rsidR="00FF5081" w:rsidRPr="00D04731">
            <w:rPr>
              <w:rFonts w:ascii="Times New Roman" w:hAnsi="Times New Roman" w:cs="Times New Roman"/>
              <w:color w:val="000000" w:themeColor="text1"/>
              <w:sz w:val="24"/>
              <w:szCs w:val="24"/>
            </w:rPr>
            <w:fldChar w:fldCharType="begin"/>
          </w:r>
          <w:r w:rsidR="00D04731" w:rsidRPr="00D04731">
            <w:rPr>
              <w:rFonts w:ascii="Times New Roman" w:hAnsi="Times New Roman" w:cs="Times New Roman"/>
              <w:color w:val="000000" w:themeColor="text1"/>
              <w:sz w:val="24"/>
              <w:szCs w:val="24"/>
            </w:rPr>
            <w:instrText xml:space="preserve">CITATION JPM23 \l 2057 </w:instrText>
          </w:r>
          <w:r w:rsidR="00FF5081" w:rsidRPr="00D04731">
            <w:rPr>
              <w:rFonts w:ascii="Times New Roman" w:hAnsi="Times New Roman" w:cs="Times New Roman"/>
              <w:color w:val="000000" w:themeColor="text1"/>
              <w:sz w:val="24"/>
              <w:szCs w:val="24"/>
            </w:rPr>
            <w:fldChar w:fldCharType="separate"/>
          </w:r>
          <w:r w:rsidR="00BF15CE">
            <w:rPr>
              <w:rFonts w:ascii="Times New Roman" w:hAnsi="Times New Roman" w:cs="Times New Roman"/>
              <w:noProof/>
              <w:color w:val="000000" w:themeColor="text1"/>
              <w:sz w:val="24"/>
              <w:szCs w:val="24"/>
            </w:rPr>
            <w:t xml:space="preserve"> </w:t>
          </w:r>
          <w:r w:rsidR="00BF15CE" w:rsidRPr="00BF15CE">
            <w:rPr>
              <w:rFonts w:ascii="Times New Roman" w:hAnsi="Times New Roman" w:cs="Times New Roman"/>
              <w:noProof/>
              <w:color w:val="000000" w:themeColor="text1"/>
              <w:sz w:val="24"/>
              <w:szCs w:val="24"/>
            </w:rPr>
            <w:t>(JPMorgan Chase &amp; Co., 2023)</w:t>
          </w:r>
          <w:r w:rsidR="00FF5081" w:rsidRPr="00D04731">
            <w:rPr>
              <w:rFonts w:ascii="Times New Roman" w:hAnsi="Times New Roman" w:cs="Times New Roman"/>
              <w:color w:val="000000" w:themeColor="text1"/>
              <w:sz w:val="24"/>
              <w:szCs w:val="24"/>
            </w:rPr>
            <w:fldChar w:fldCharType="end"/>
          </w:r>
        </w:sdtContent>
      </w:sdt>
      <w:r w:rsidR="00FF5081" w:rsidRPr="00D04731">
        <w:rPr>
          <w:rFonts w:ascii="Times New Roman" w:hAnsi="Times New Roman" w:cs="Times New Roman"/>
          <w:color w:val="000000" w:themeColor="text1"/>
          <w:sz w:val="24"/>
          <w:szCs w:val="24"/>
        </w:rPr>
        <w:t>.</w:t>
      </w:r>
    </w:p>
    <w:p w14:paraId="66535750" w14:textId="03D84B16" w:rsidR="002D403C" w:rsidRDefault="002D403C" w:rsidP="002C4E00">
      <w:pPr>
        <w:spacing w:line="360" w:lineRule="auto"/>
        <w:jc w:val="both"/>
        <w:rPr>
          <w:rFonts w:ascii="Times New Roman" w:hAnsi="Times New Roman" w:cs="Times New Roman"/>
          <w:color w:val="000000" w:themeColor="text1"/>
          <w:sz w:val="24"/>
          <w:szCs w:val="24"/>
        </w:rPr>
      </w:pPr>
      <w:r w:rsidRPr="002D403C">
        <w:rPr>
          <w:rFonts w:ascii="Times New Roman" w:hAnsi="Times New Roman" w:cs="Times New Roman"/>
          <w:color w:val="000000" w:themeColor="text1"/>
          <w:sz w:val="24"/>
          <w:szCs w:val="24"/>
        </w:rPr>
        <w:t xml:space="preserve">In essence, the Dodd-Frank Act has </w:t>
      </w:r>
      <w:r w:rsidR="00B377F9">
        <w:rPr>
          <w:rFonts w:ascii="Times New Roman" w:hAnsi="Times New Roman" w:cs="Times New Roman"/>
          <w:color w:val="000000" w:themeColor="text1"/>
          <w:sz w:val="24"/>
          <w:szCs w:val="24"/>
        </w:rPr>
        <w:t>staged</w:t>
      </w:r>
      <w:r w:rsidRPr="002D403C">
        <w:rPr>
          <w:rFonts w:ascii="Times New Roman" w:hAnsi="Times New Roman" w:cs="Times New Roman"/>
          <w:color w:val="000000" w:themeColor="text1"/>
          <w:sz w:val="24"/>
          <w:szCs w:val="24"/>
        </w:rPr>
        <w:t xml:space="preserve"> a transformative impact on </w:t>
      </w:r>
      <w:r w:rsidR="007224C7">
        <w:rPr>
          <w:rFonts w:ascii="Times New Roman" w:hAnsi="Times New Roman" w:cs="Times New Roman"/>
          <w:color w:val="000000" w:themeColor="text1"/>
          <w:sz w:val="24"/>
          <w:szCs w:val="24"/>
        </w:rPr>
        <w:t xml:space="preserve">JPMorgan’s operating model </w:t>
      </w:r>
      <w:r w:rsidRPr="002D403C">
        <w:rPr>
          <w:rFonts w:ascii="Times New Roman" w:hAnsi="Times New Roman" w:cs="Times New Roman"/>
          <w:color w:val="000000" w:themeColor="text1"/>
          <w:sz w:val="24"/>
          <w:szCs w:val="24"/>
        </w:rPr>
        <w:t>through various regulatory measures, notably the Volcker Rule and the mandated annual stress tests. These regulatory imperatives have been strategically designed to fortify the stability and oversight mechanisms governing the financial landscape in the United States.</w:t>
      </w:r>
    </w:p>
    <w:p w14:paraId="4E3735DE" w14:textId="23A93710" w:rsidR="001B2EB7" w:rsidRDefault="000E0FFF" w:rsidP="002C4E00">
      <w:pPr>
        <w:spacing w:line="360" w:lineRule="auto"/>
        <w:jc w:val="both"/>
        <w:rPr>
          <w:rFonts w:ascii="Times New Roman" w:hAnsi="Times New Roman" w:cs="Times New Roman"/>
          <w:b/>
          <w:bCs/>
          <w:i/>
          <w:iCs/>
          <w:color w:val="000000" w:themeColor="text1"/>
          <w:sz w:val="24"/>
          <w:szCs w:val="24"/>
        </w:rPr>
      </w:pPr>
      <w:r w:rsidRPr="00BC524D">
        <w:rPr>
          <w:rFonts w:ascii="Times New Roman" w:hAnsi="Times New Roman" w:cs="Times New Roman"/>
          <w:b/>
          <w:bCs/>
          <w:i/>
          <w:iCs/>
          <w:color w:val="000000" w:themeColor="text1"/>
          <w:sz w:val="24"/>
          <w:szCs w:val="24"/>
        </w:rPr>
        <w:t>Pr</w:t>
      </w:r>
      <w:r w:rsidR="00BC524D" w:rsidRPr="00BC524D">
        <w:rPr>
          <w:rFonts w:ascii="Times New Roman" w:hAnsi="Times New Roman" w:cs="Times New Roman"/>
          <w:b/>
          <w:bCs/>
          <w:i/>
          <w:iCs/>
          <w:color w:val="000000" w:themeColor="text1"/>
          <w:sz w:val="24"/>
          <w:szCs w:val="24"/>
        </w:rPr>
        <w:t>e-Global Financial Crises of JP Morgan Chase &amp; Co.</w:t>
      </w:r>
    </w:p>
    <w:p w14:paraId="7441BE48" w14:textId="6E97CD07" w:rsidR="00AB5C6D" w:rsidRDefault="004E03F5" w:rsidP="0020526A">
      <w:pPr>
        <w:spacing w:line="360" w:lineRule="auto"/>
        <w:jc w:val="both"/>
        <w:rPr>
          <w:rFonts w:ascii="Times New Roman" w:hAnsi="Times New Roman" w:cs="Times New Roman"/>
          <w:color w:val="000000" w:themeColor="text1"/>
          <w:sz w:val="24"/>
          <w:szCs w:val="24"/>
        </w:rPr>
      </w:pPr>
      <w:r w:rsidRPr="004E03F5">
        <w:rPr>
          <w:rFonts w:ascii="Times New Roman" w:hAnsi="Times New Roman" w:cs="Times New Roman"/>
          <w:color w:val="000000" w:themeColor="text1"/>
          <w:sz w:val="24"/>
          <w:szCs w:val="24"/>
        </w:rPr>
        <w:t>JPMorgan Chase &amp; Co., a financial institution with its headquarters situated in New York City, assumed a pivotal role in the period preceding the financial crisis of 2008. This epoch was characteri</w:t>
      </w:r>
      <w:r w:rsidR="00970B0C">
        <w:rPr>
          <w:rFonts w:ascii="Times New Roman" w:hAnsi="Times New Roman" w:cs="Times New Roman"/>
          <w:color w:val="000000" w:themeColor="text1"/>
          <w:sz w:val="24"/>
          <w:szCs w:val="24"/>
        </w:rPr>
        <w:t>s</w:t>
      </w:r>
      <w:r w:rsidRPr="004E03F5">
        <w:rPr>
          <w:rFonts w:ascii="Times New Roman" w:hAnsi="Times New Roman" w:cs="Times New Roman"/>
          <w:color w:val="000000" w:themeColor="text1"/>
          <w:sz w:val="24"/>
          <w:szCs w:val="24"/>
        </w:rPr>
        <w:t>ed by the emergence of challenges that affected JPMorgan, akin to the experiences encountered by numerous other banks during the same turbulent period. The institution grappled with the multifaceted implications and consequences of the crises that unfolded in the financial landscape.</w:t>
      </w:r>
    </w:p>
    <w:p w14:paraId="40C3A4CE" w14:textId="31737851" w:rsidR="001210CB" w:rsidRPr="001210CB" w:rsidRDefault="001210CB" w:rsidP="0020526A">
      <w:pPr>
        <w:spacing w:line="360" w:lineRule="auto"/>
        <w:jc w:val="both"/>
        <w:rPr>
          <w:rFonts w:ascii="Times New Roman" w:hAnsi="Times New Roman" w:cs="Times New Roman"/>
          <w:sz w:val="24"/>
          <w:szCs w:val="24"/>
        </w:rPr>
      </w:pPr>
      <w:r w:rsidRPr="001210CB">
        <w:rPr>
          <w:rFonts w:ascii="Times New Roman" w:hAnsi="Times New Roman" w:cs="Times New Roman"/>
          <w:sz w:val="24"/>
          <w:szCs w:val="24"/>
        </w:rPr>
        <w:lastRenderedPageBreak/>
        <w:t>In 2000, J.P. Morgan &amp; Co. merged with Chase Manhattan Corporation to form JPMorgan Chase &amp; Co.</w:t>
      </w:r>
      <w:r>
        <w:rPr>
          <w:rFonts w:ascii="Times New Roman" w:hAnsi="Times New Roman" w:cs="Times New Roman"/>
          <w:sz w:val="24"/>
          <w:szCs w:val="24"/>
        </w:rPr>
        <w:t xml:space="preserve"> and in 2004, JPMorgan chase &amp; Co. merged with Bank one </w:t>
      </w:r>
      <w:sdt>
        <w:sdtPr>
          <w:rPr>
            <w:rFonts w:ascii="Times New Roman" w:hAnsi="Times New Roman" w:cs="Times New Roman"/>
            <w:sz w:val="24"/>
            <w:szCs w:val="24"/>
          </w:rPr>
          <w:id w:val="83472341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JPM231 \l 2057 </w:instrText>
          </w:r>
          <w:r>
            <w:rPr>
              <w:rFonts w:ascii="Times New Roman" w:hAnsi="Times New Roman" w:cs="Times New Roman"/>
              <w:sz w:val="24"/>
              <w:szCs w:val="24"/>
            </w:rPr>
            <w:fldChar w:fldCharType="separate"/>
          </w:r>
          <w:r w:rsidRPr="001210CB">
            <w:rPr>
              <w:rFonts w:ascii="Times New Roman" w:hAnsi="Times New Roman" w:cs="Times New Roman"/>
              <w:noProof/>
              <w:sz w:val="24"/>
              <w:szCs w:val="24"/>
            </w:rPr>
            <w:t>(JPMorgan Chase &amp; Co.,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A5CEFF2" w14:textId="1B9F21AC" w:rsidR="006A7DF2" w:rsidRDefault="007223FE" w:rsidP="002C4E00">
      <w:pPr>
        <w:spacing w:line="360" w:lineRule="auto"/>
        <w:jc w:val="both"/>
        <w:rPr>
          <w:rFonts w:ascii="Times New Roman" w:hAnsi="Times New Roman" w:cs="Times New Roman"/>
          <w:color w:val="000000" w:themeColor="text1"/>
          <w:sz w:val="24"/>
          <w:szCs w:val="24"/>
        </w:rPr>
      </w:pPr>
      <w:r w:rsidRPr="007223FE">
        <w:rPr>
          <w:rFonts w:ascii="Times New Roman" w:hAnsi="Times New Roman" w:cs="Times New Roman"/>
          <w:color w:val="000000" w:themeColor="text1"/>
          <w:sz w:val="24"/>
          <w:szCs w:val="24"/>
        </w:rPr>
        <w:t>In the years preceding the financial crisis, JPMorgan, alongside other major financial institutions, participated in precarious lending practices and the bundling of mortgage-backed securities. These practices played a contributory role in the inflation of the housing bubble and the subsequent destabilization of the subprime mortgage market.</w:t>
      </w:r>
    </w:p>
    <w:p w14:paraId="4C11BB64" w14:textId="13383E52" w:rsidR="00290A69" w:rsidRDefault="0040692C" w:rsidP="002C4E00">
      <w:pPr>
        <w:spacing w:line="360" w:lineRule="auto"/>
        <w:jc w:val="both"/>
        <w:rPr>
          <w:rFonts w:ascii="Times New Roman" w:hAnsi="Times New Roman" w:cs="Times New Roman"/>
          <w:color w:val="000000" w:themeColor="text1"/>
          <w:sz w:val="24"/>
          <w:szCs w:val="24"/>
        </w:rPr>
      </w:pPr>
      <w:r w:rsidRPr="0040692C">
        <w:rPr>
          <w:rFonts w:ascii="Times New Roman" w:hAnsi="Times New Roman" w:cs="Times New Roman"/>
          <w:color w:val="000000" w:themeColor="text1"/>
          <w:sz w:val="24"/>
          <w:szCs w:val="24"/>
        </w:rPr>
        <w:t>A paramount occurrence involving JPMorgan prior to the financial crisis was its acquisition of Bear Stearns</w:t>
      </w:r>
      <w:r w:rsidR="00E55522">
        <w:rPr>
          <w:rFonts w:ascii="Times New Roman" w:hAnsi="Times New Roman" w:cs="Times New Roman"/>
          <w:color w:val="000000" w:themeColor="text1"/>
          <w:sz w:val="24"/>
          <w:szCs w:val="24"/>
        </w:rPr>
        <w:t xml:space="preserve"> </w:t>
      </w:r>
      <w:r w:rsidR="00617780">
        <w:rPr>
          <w:rFonts w:ascii="Times New Roman" w:hAnsi="Times New Roman" w:cs="Times New Roman"/>
          <w:color w:val="000000" w:themeColor="text1"/>
          <w:sz w:val="24"/>
          <w:szCs w:val="24"/>
        </w:rPr>
        <w:t>and</w:t>
      </w:r>
      <w:r w:rsidR="00677EA6">
        <w:rPr>
          <w:rFonts w:ascii="Times New Roman" w:hAnsi="Times New Roman" w:cs="Times New Roman"/>
          <w:color w:val="000000" w:themeColor="text1"/>
          <w:sz w:val="24"/>
          <w:szCs w:val="24"/>
        </w:rPr>
        <w:t xml:space="preserve"> </w:t>
      </w:r>
      <w:r w:rsidR="008728D9">
        <w:rPr>
          <w:rFonts w:ascii="Times New Roman" w:hAnsi="Times New Roman" w:cs="Times New Roman"/>
          <w:color w:val="000000" w:themeColor="text1"/>
          <w:sz w:val="24"/>
          <w:szCs w:val="24"/>
        </w:rPr>
        <w:t xml:space="preserve">Washington </w:t>
      </w:r>
      <w:r w:rsidR="006C4B3D">
        <w:rPr>
          <w:rFonts w:ascii="Times New Roman" w:hAnsi="Times New Roman" w:cs="Times New Roman"/>
          <w:color w:val="000000" w:themeColor="text1"/>
          <w:sz w:val="24"/>
          <w:szCs w:val="24"/>
        </w:rPr>
        <w:t>Mutual</w:t>
      </w:r>
      <w:r w:rsidR="00617780">
        <w:rPr>
          <w:rFonts w:ascii="Times New Roman" w:hAnsi="Times New Roman" w:cs="Times New Roman"/>
          <w:color w:val="000000" w:themeColor="text1"/>
          <w:sz w:val="24"/>
          <w:szCs w:val="24"/>
        </w:rPr>
        <w:t xml:space="preserve"> </w:t>
      </w:r>
      <w:r w:rsidRPr="0040692C">
        <w:rPr>
          <w:rFonts w:ascii="Times New Roman" w:hAnsi="Times New Roman" w:cs="Times New Roman"/>
          <w:color w:val="000000" w:themeColor="text1"/>
          <w:sz w:val="24"/>
          <w:szCs w:val="24"/>
        </w:rPr>
        <w:t xml:space="preserve"> in 2008. During this period, Bear Stearns encountered acute liquidity challenges attributed to its substantial exposure to subprime mortgages. JPMorgan intervened by entering into an agreement to acquire Bear Stearns, a transaction facilitated with backing from the Federal Reserve Bank</w:t>
      </w:r>
      <w:r w:rsidR="00672FBD">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70920289"/>
          <w:citation/>
        </w:sdtPr>
        <w:sdtContent>
          <w:r w:rsidR="00672FBD">
            <w:rPr>
              <w:rFonts w:ascii="Times New Roman" w:hAnsi="Times New Roman" w:cs="Times New Roman"/>
              <w:color w:val="000000" w:themeColor="text1"/>
              <w:sz w:val="24"/>
              <w:szCs w:val="24"/>
            </w:rPr>
            <w:fldChar w:fldCharType="begin"/>
          </w:r>
          <w:r w:rsidR="00672FBD">
            <w:rPr>
              <w:rFonts w:ascii="Times New Roman" w:hAnsi="Times New Roman" w:cs="Times New Roman"/>
              <w:color w:val="000000" w:themeColor="text1"/>
              <w:sz w:val="24"/>
              <w:szCs w:val="24"/>
            </w:rPr>
            <w:instrText xml:space="preserve"> CITATION JPM231 \l 2057 </w:instrText>
          </w:r>
          <w:r w:rsidR="00672FBD">
            <w:rPr>
              <w:rFonts w:ascii="Times New Roman" w:hAnsi="Times New Roman" w:cs="Times New Roman"/>
              <w:color w:val="000000" w:themeColor="text1"/>
              <w:sz w:val="24"/>
              <w:szCs w:val="24"/>
            </w:rPr>
            <w:fldChar w:fldCharType="separate"/>
          </w:r>
          <w:r w:rsidR="00BF15CE" w:rsidRPr="00BF15CE">
            <w:rPr>
              <w:rFonts w:ascii="Times New Roman" w:hAnsi="Times New Roman" w:cs="Times New Roman"/>
              <w:noProof/>
              <w:color w:val="000000" w:themeColor="text1"/>
              <w:sz w:val="24"/>
              <w:szCs w:val="24"/>
            </w:rPr>
            <w:t>(JPMorgan Chase &amp; Co., 2023)</w:t>
          </w:r>
          <w:r w:rsidR="00672FBD">
            <w:rPr>
              <w:rFonts w:ascii="Times New Roman" w:hAnsi="Times New Roman" w:cs="Times New Roman"/>
              <w:color w:val="000000" w:themeColor="text1"/>
              <w:sz w:val="24"/>
              <w:szCs w:val="24"/>
            </w:rPr>
            <w:fldChar w:fldCharType="end"/>
          </w:r>
        </w:sdtContent>
      </w:sdt>
      <w:r w:rsidRPr="0040692C">
        <w:rPr>
          <w:rFonts w:ascii="Times New Roman" w:hAnsi="Times New Roman" w:cs="Times New Roman"/>
          <w:color w:val="000000" w:themeColor="text1"/>
          <w:sz w:val="24"/>
          <w:szCs w:val="24"/>
        </w:rPr>
        <w:t>.</w:t>
      </w:r>
    </w:p>
    <w:p w14:paraId="0E1580CF" w14:textId="4C598F54" w:rsidR="0033324F" w:rsidRDefault="009C6EE3" w:rsidP="002C4E00">
      <w:pPr>
        <w:spacing w:line="360" w:lineRule="auto"/>
        <w:jc w:val="both"/>
        <w:rPr>
          <w:rFonts w:ascii="Times New Roman" w:hAnsi="Times New Roman" w:cs="Times New Roman"/>
          <w:b/>
          <w:bCs/>
          <w:i/>
          <w:iCs/>
          <w:color w:val="000000" w:themeColor="text1"/>
          <w:sz w:val="24"/>
          <w:szCs w:val="24"/>
        </w:rPr>
      </w:pPr>
      <w:r w:rsidRPr="009C6EE3">
        <w:rPr>
          <w:rFonts w:ascii="Times New Roman" w:hAnsi="Times New Roman" w:cs="Times New Roman"/>
          <w:b/>
          <w:bCs/>
          <w:i/>
          <w:iCs/>
          <w:color w:val="000000" w:themeColor="text1"/>
          <w:sz w:val="24"/>
          <w:szCs w:val="24"/>
        </w:rPr>
        <w:t>Post</w:t>
      </w:r>
      <w:r>
        <w:rPr>
          <w:rFonts w:ascii="Times New Roman" w:hAnsi="Times New Roman" w:cs="Times New Roman"/>
          <w:b/>
          <w:bCs/>
          <w:i/>
          <w:iCs/>
          <w:color w:val="000000" w:themeColor="text1"/>
          <w:sz w:val="24"/>
          <w:szCs w:val="24"/>
        </w:rPr>
        <w:t>-</w:t>
      </w:r>
      <w:r w:rsidRPr="009C6EE3">
        <w:rPr>
          <w:rFonts w:ascii="Times New Roman" w:hAnsi="Times New Roman" w:cs="Times New Roman"/>
          <w:b/>
          <w:bCs/>
          <w:i/>
          <w:iCs/>
          <w:color w:val="000000" w:themeColor="text1"/>
          <w:sz w:val="24"/>
          <w:szCs w:val="24"/>
        </w:rPr>
        <w:t>Global Financial Crises of JP Morgan Chase &amp; Co.</w:t>
      </w:r>
    </w:p>
    <w:p w14:paraId="2ADAC763" w14:textId="28EFE13E" w:rsidR="003C5EE8" w:rsidRPr="00175629" w:rsidRDefault="003C5EE8" w:rsidP="002C4E00">
      <w:pPr>
        <w:spacing w:line="360" w:lineRule="auto"/>
        <w:jc w:val="both"/>
        <w:rPr>
          <w:rFonts w:ascii="Times New Roman" w:hAnsi="Times New Roman" w:cs="Times New Roman"/>
          <w:color w:val="000000" w:themeColor="text1"/>
          <w:sz w:val="24"/>
          <w:szCs w:val="24"/>
        </w:rPr>
      </w:pPr>
      <w:r w:rsidRPr="00175629">
        <w:rPr>
          <w:rFonts w:ascii="Times New Roman" w:hAnsi="Times New Roman" w:cs="Times New Roman"/>
          <w:color w:val="000000" w:themeColor="text1"/>
          <w:sz w:val="24"/>
          <w:szCs w:val="24"/>
        </w:rPr>
        <w:t>Following the Global Financial Crisis of 2008, JPMorgan Chase underwent a transformative period marked by both challenges and strategic adaptations. The aftermath of the crisis saw significant shifts in regulatory frameworks, market dynamics, and public perception, all of which influenced JPMorgan's trajectory.</w:t>
      </w:r>
      <w:r w:rsidR="007A2233" w:rsidRPr="00175629">
        <w:rPr>
          <w:rFonts w:ascii="Times New Roman" w:hAnsi="Times New Roman" w:cs="Times New Roman"/>
          <w:color w:val="000000" w:themeColor="text1"/>
          <w:sz w:val="24"/>
          <w:szCs w:val="24"/>
        </w:rPr>
        <w:t xml:space="preserve"> </w:t>
      </w:r>
      <w:r w:rsidR="00223401" w:rsidRPr="00223401">
        <w:rPr>
          <w:rFonts w:ascii="Times New Roman" w:hAnsi="Times New Roman" w:cs="Times New Roman"/>
          <w:color w:val="000000" w:themeColor="text1"/>
          <w:sz w:val="24"/>
          <w:szCs w:val="24"/>
        </w:rPr>
        <w:t>The implementation of the Dodd-Frank Act resulted in significant modifications to the regulatory landscape.</w:t>
      </w:r>
      <w:r w:rsidR="007A2233" w:rsidRPr="00175629">
        <w:rPr>
          <w:rFonts w:ascii="Times New Roman" w:hAnsi="Times New Roman" w:cs="Times New Roman"/>
          <w:color w:val="000000" w:themeColor="text1"/>
          <w:sz w:val="24"/>
          <w:szCs w:val="24"/>
        </w:rPr>
        <w:t xml:space="preserve"> JPMorgan, being a systemically important financial institution, became subject to rigorous stress testing and heightened regulatory scrutiny. Compliance with regulatory frameworks became a focal point, and the bank undertook measures to enhance risk management, transparency, and adherence to evolving regulatory standards.</w:t>
      </w:r>
    </w:p>
    <w:p w14:paraId="4F7DE09A" w14:textId="493BC398" w:rsidR="009E50B7" w:rsidRPr="00E959C3" w:rsidRDefault="00175629" w:rsidP="00D108C9">
      <w:pPr>
        <w:spacing w:line="360" w:lineRule="auto"/>
        <w:jc w:val="both"/>
        <w:rPr>
          <w:rFonts w:ascii="Times New Roman" w:hAnsi="Times New Roman" w:cs="Times New Roman"/>
          <w:b/>
          <w:bCs/>
          <w:i/>
          <w:iCs/>
          <w:color w:val="000000" w:themeColor="text1"/>
          <w:sz w:val="32"/>
          <w:szCs w:val="32"/>
        </w:rPr>
      </w:pPr>
      <w:r w:rsidRPr="00175629">
        <w:rPr>
          <w:rFonts w:ascii="Times New Roman" w:hAnsi="Times New Roman" w:cs="Times New Roman"/>
          <w:color w:val="000000" w:themeColor="text1"/>
          <w:sz w:val="24"/>
          <w:szCs w:val="24"/>
        </w:rPr>
        <w:t xml:space="preserve">The implementation of the Volcker Rule, a key provision of the Dodd-Frank Act, impacted JPMorgan's proprietary trading activities. </w:t>
      </w:r>
      <w:r w:rsidR="00A34359" w:rsidRPr="00A34359">
        <w:rPr>
          <w:rFonts w:ascii="Times New Roman" w:hAnsi="Times New Roman" w:cs="Times New Roman"/>
          <w:color w:val="000000" w:themeColor="text1"/>
          <w:sz w:val="24"/>
          <w:szCs w:val="24"/>
        </w:rPr>
        <w:t xml:space="preserve">The bank modified its business strategies to comply with the rule's requirements, which were designed to prevent huge banking groups from absorbing excessive hazards. </w:t>
      </w:r>
      <w:sdt>
        <w:sdtPr>
          <w:rPr>
            <w:rFonts w:ascii="Times New Roman" w:hAnsi="Times New Roman" w:cs="Times New Roman"/>
            <w:color w:val="000000" w:themeColor="text1"/>
            <w:sz w:val="24"/>
            <w:szCs w:val="24"/>
          </w:rPr>
          <w:id w:val="-852878036"/>
          <w:citation/>
        </w:sdtPr>
        <w:sdtContent>
          <w:r w:rsidR="00B51EDF">
            <w:rPr>
              <w:rFonts w:ascii="Times New Roman" w:hAnsi="Times New Roman" w:cs="Times New Roman"/>
              <w:color w:val="000000" w:themeColor="text1"/>
              <w:sz w:val="24"/>
              <w:szCs w:val="24"/>
            </w:rPr>
            <w:fldChar w:fldCharType="begin"/>
          </w:r>
          <w:r w:rsidR="00BF15CE">
            <w:rPr>
              <w:rFonts w:ascii="Times New Roman" w:hAnsi="Times New Roman" w:cs="Times New Roman"/>
              <w:color w:val="000000" w:themeColor="text1"/>
              <w:sz w:val="24"/>
              <w:szCs w:val="24"/>
            </w:rPr>
            <w:instrText xml:space="preserve">CITATION All17 \l 2057 </w:instrText>
          </w:r>
          <w:r w:rsidR="00B51EDF">
            <w:rPr>
              <w:rFonts w:ascii="Times New Roman" w:hAnsi="Times New Roman" w:cs="Times New Roman"/>
              <w:color w:val="000000" w:themeColor="text1"/>
              <w:sz w:val="24"/>
              <w:szCs w:val="24"/>
            </w:rPr>
            <w:fldChar w:fldCharType="separate"/>
          </w:r>
          <w:r w:rsidR="00BF15CE">
            <w:rPr>
              <w:rFonts w:ascii="Times New Roman" w:hAnsi="Times New Roman" w:cs="Times New Roman"/>
              <w:noProof/>
              <w:color w:val="000000" w:themeColor="text1"/>
              <w:sz w:val="24"/>
              <w:szCs w:val="24"/>
            </w:rPr>
            <w:t xml:space="preserve"> </w:t>
          </w:r>
          <w:r w:rsidR="00BF15CE" w:rsidRPr="00BF15CE">
            <w:rPr>
              <w:rFonts w:ascii="Times New Roman" w:hAnsi="Times New Roman" w:cs="Times New Roman"/>
              <w:noProof/>
              <w:color w:val="000000" w:themeColor="text1"/>
              <w:sz w:val="24"/>
              <w:szCs w:val="24"/>
            </w:rPr>
            <w:t>(Allayannis &amp; Risell, 2017)</w:t>
          </w:r>
          <w:r w:rsidR="00B51EDF">
            <w:rPr>
              <w:rFonts w:ascii="Times New Roman" w:hAnsi="Times New Roman" w:cs="Times New Roman"/>
              <w:color w:val="000000" w:themeColor="text1"/>
              <w:sz w:val="24"/>
              <w:szCs w:val="24"/>
            </w:rPr>
            <w:fldChar w:fldCharType="end"/>
          </w:r>
        </w:sdtContent>
      </w:sdt>
      <w:r w:rsidRPr="00175629">
        <w:rPr>
          <w:rFonts w:ascii="Times New Roman" w:hAnsi="Times New Roman" w:cs="Times New Roman"/>
          <w:color w:val="000000" w:themeColor="text1"/>
          <w:sz w:val="24"/>
          <w:szCs w:val="24"/>
        </w:rPr>
        <w:t>.</w:t>
      </w:r>
      <w:r w:rsidR="00A54AF0">
        <w:rPr>
          <w:rFonts w:ascii="Times New Roman" w:hAnsi="Times New Roman" w:cs="Times New Roman"/>
          <w:color w:val="000000" w:themeColor="text1"/>
          <w:sz w:val="24"/>
          <w:szCs w:val="24"/>
        </w:rPr>
        <w:t xml:space="preserve"> </w:t>
      </w:r>
      <w:r w:rsidR="00A34359" w:rsidRPr="00A34359">
        <w:rPr>
          <w:rFonts w:ascii="Times New Roman" w:hAnsi="Times New Roman" w:cs="Times New Roman"/>
          <w:color w:val="000000" w:themeColor="text1"/>
          <w:sz w:val="24"/>
          <w:szCs w:val="24"/>
        </w:rPr>
        <w:t>JPMorgan was required by regulators to perform frequent stress tests to determine its ability to rebound in circumstances of negative economic conditions.</w:t>
      </w:r>
      <w:r w:rsidR="00A54AF0" w:rsidRPr="00A54AF0">
        <w:rPr>
          <w:rFonts w:ascii="Times New Roman" w:hAnsi="Times New Roman" w:cs="Times New Roman"/>
          <w:color w:val="000000" w:themeColor="text1"/>
          <w:sz w:val="24"/>
          <w:szCs w:val="24"/>
        </w:rPr>
        <w:t xml:space="preserve"> The bank bolstered its risk management practices, incorporating more robust stress-testing methodologies to ensure preparedness for potential economic downturns and financial uncertainties.</w:t>
      </w:r>
    </w:p>
    <w:bookmarkStart w:id="7" w:name="_Toc155313187" w:displacedByCustomXml="next"/>
    <w:sdt>
      <w:sdtPr>
        <w:rPr>
          <w:rFonts w:asciiTheme="minorHAnsi" w:hAnsiTheme="minorHAnsi" w:cstheme="minorBidi"/>
          <w:b w:val="0"/>
          <w:bCs w:val="0"/>
          <w:sz w:val="22"/>
          <w:szCs w:val="22"/>
        </w:rPr>
        <w:id w:val="1998920679"/>
        <w:docPartObj>
          <w:docPartGallery w:val="Bibliographies"/>
          <w:docPartUnique/>
        </w:docPartObj>
      </w:sdtPr>
      <w:sdtContent>
        <w:p w14:paraId="016A851B" w14:textId="49682652" w:rsidR="00B51EDF" w:rsidRDefault="00B51EDF">
          <w:pPr>
            <w:pStyle w:val="Heading1"/>
          </w:pPr>
          <w:r>
            <w:t>References</w:t>
          </w:r>
          <w:bookmarkEnd w:id="7"/>
        </w:p>
        <w:sdt>
          <w:sdtPr>
            <w:id w:val="-573587230"/>
            <w:bibliography/>
          </w:sdtPr>
          <w:sdtContent>
            <w:p w14:paraId="0262D4CA" w14:textId="77777777" w:rsidR="00BF15CE" w:rsidRDefault="00B51EDF" w:rsidP="00BF15CE">
              <w:pPr>
                <w:pStyle w:val="Bibliography"/>
                <w:ind w:left="720" w:hanging="720"/>
                <w:rPr>
                  <w:noProof/>
                  <w:kern w:val="0"/>
                  <w:sz w:val="24"/>
                  <w:szCs w:val="24"/>
                  <w14:ligatures w14:val="none"/>
                </w:rPr>
              </w:pPr>
              <w:r>
                <w:fldChar w:fldCharType="begin"/>
              </w:r>
              <w:r>
                <w:instrText xml:space="preserve"> BIBLIOGRAPHY </w:instrText>
              </w:r>
              <w:r>
                <w:fldChar w:fldCharType="separate"/>
              </w:r>
              <w:r w:rsidR="00BF15CE">
                <w:rPr>
                  <w:noProof/>
                </w:rPr>
                <w:t xml:space="preserve">Allayannis, G., &amp; Risell, A. (2017). JPMorgan and the Dodd-Frank Act. </w:t>
              </w:r>
              <w:r w:rsidR="00BF15CE">
                <w:rPr>
                  <w:i/>
                  <w:iCs/>
                  <w:noProof/>
                </w:rPr>
                <w:t>Darden Business Publishing cases</w:t>
              </w:r>
              <w:r w:rsidR="00BF15CE">
                <w:rPr>
                  <w:noProof/>
                </w:rPr>
                <w:t>.</w:t>
              </w:r>
            </w:p>
            <w:p w14:paraId="2489F990" w14:textId="77777777" w:rsidR="00BF15CE" w:rsidRDefault="00BF15CE" w:rsidP="00BF15CE">
              <w:pPr>
                <w:pStyle w:val="Bibliography"/>
                <w:ind w:left="720" w:hanging="720"/>
                <w:rPr>
                  <w:noProof/>
                </w:rPr>
              </w:pPr>
              <w:r>
                <w:rPr>
                  <w:noProof/>
                </w:rPr>
                <w:t xml:space="preserve">Barr, M. S. (2012). The Financial Crisis and the Path of Reform. </w:t>
              </w:r>
              <w:r>
                <w:rPr>
                  <w:i/>
                  <w:iCs/>
                  <w:noProof/>
                </w:rPr>
                <w:t>Yale Journal on Regulation; New Haven Vol. 29, Iss. 1, (Winter 2012): 91-119, Scholarly Journal</w:t>
              </w:r>
              <w:r>
                <w:rPr>
                  <w:noProof/>
                </w:rPr>
                <w:t>.</w:t>
              </w:r>
            </w:p>
            <w:p w14:paraId="5C37DB49" w14:textId="77777777" w:rsidR="00BF15CE" w:rsidRDefault="00BF15CE" w:rsidP="00BF15CE">
              <w:pPr>
                <w:pStyle w:val="Bibliography"/>
                <w:ind w:left="720" w:hanging="720"/>
                <w:rPr>
                  <w:noProof/>
                </w:rPr>
              </w:pPr>
              <w:r>
                <w:rPr>
                  <w:noProof/>
                </w:rPr>
                <w:t xml:space="preserve">BIS. (2023). </w:t>
              </w:r>
              <w:r>
                <w:rPr>
                  <w:i/>
                  <w:iCs/>
                  <w:noProof/>
                </w:rPr>
                <w:t>Basel III: international regulatory framework for banks</w:t>
              </w:r>
              <w:r>
                <w:rPr>
                  <w:noProof/>
                </w:rPr>
                <w:t>. Retrieved from https://www.bis.org/: https://www.bis.org/bcbs/basel3.htm</w:t>
              </w:r>
            </w:p>
            <w:p w14:paraId="65E4656C" w14:textId="77777777" w:rsidR="00BF15CE" w:rsidRDefault="00BF15CE" w:rsidP="00BF15CE">
              <w:pPr>
                <w:pStyle w:val="Bibliography"/>
                <w:ind w:left="720" w:hanging="720"/>
                <w:rPr>
                  <w:noProof/>
                </w:rPr>
              </w:pPr>
              <w:r>
                <w:rPr>
                  <w:noProof/>
                </w:rPr>
                <w:t xml:space="preserve">Cadwalader. (2010, October 15). </w:t>
              </w:r>
              <w:r>
                <w:rPr>
                  <w:i/>
                  <w:iCs/>
                  <w:noProof/>
                </w:rPr>
                <w:t>An Analysis of the Dodd-Frank Act's Volcker Rule</w:t>
              </w:r>
              <w:r>
                <w:rPr>
                  <w:noProof/>
                </w:rPr>
                <w:t>. Retrieved from https://www.cadwalader.com/: https://www.cadwalader.com/resources/clients-friends-memos/an-analysis-of-the-dodd-frank-acts-volcker-rule</w:t>
              </w:r>
            </w:p>
            <w:p w14:paraId="0613BB47" w14:textId="77777777" w:rsidR="00BF15CE" w:rsidRDefault="00BF15CE" w:rsidP="00BF15CE">
              <w:pPr>
                <w:pStyle w:val="Bibliography"/>
                <w:ind w:left="720" w:hanging="720"/>
                <w:rPr>
                  <w:noProof/>
                </w:rPr>
              </w:pPr>
              <w:r>
                <w:rPr>
                  <w:noProof/>
                </w:rPr>
                <w:t xml:space="preserve">Congressional Research Service. (2017). </w:t>
              </w:r>
              <w:r>
                <w:rPr>
                  <w:i/>
                  <w:iCs/>
                  <w:noProof/>
                </w:rPr>
                <w:t>The Dodd-Frank Wall Street Reform and Consumer Protection Act: Background and Summary.</w:t>
              </w:r>
              <w:r>
                <w:rPr>
                  <w:noProof/>
                </w:rPr>
                <w:t xml:space="preserve"> </w:t>
              </w:r>
            </w:p>
            <w:p w14:paraId="3E043A81" w14:textId="77777777" w:rsidR="00BF15CE" w:rsidRDefault="00BF15CE" w:rsidP="00BF15CE">
              <w:pPr>
                <w:pStyle w:val="Bibliography"/>
                <w:ind w:left="720" w:hanging="720"/>
                <w:rPr>
                  <w:noProof/>
                </w:rPr>
              </w:pPr>
              <w:r>
                <w:rPr>
                  <w:noProof/>
                </w:rPr>
                <w:t xml:space="preserve">Copeland, C. W. (2008). Emergency Economic Stabilization Act: Preliminary Analysis of Oversight Provisions. </w:t>
              </w:r>
              <w:r>
                <w:rPr>
                  <w:i/>
                  <w:iCs/>
                  <w:noProof/>
                </w:rPr>
                <w:t>CSR Report for Congress, Order Code RL34713</w:t>
              </w:r>
              <w:r>
                <w:rPr>
                  <w:noProof/>
                </w:rPr>
                <w:t>.</w:t>
              </w:r>
            </w:p>
            <w:p w14:paraId="43454B0B" w14:textId="77777777" w:rsidR="00BF15CE" w:rsidRDefault="00BF15CE" w:rsidP="00BF15CE">
              <w:pPr>
                <w:pStyle w:val="Bibliography"/>
                <w:ind w:left="720" w:hanging="720"/>
                <w:rPr>
                  <w:noProof/>
                </w:rPr>
              </w:pPr>
              <w:r>
                <w:rPr>
                  <w:noProof/>
                </w:rPr>
                <w:t xml:space="preserve">ECA. (2020). How the EU took account of lessons learned from the 2008-2012 financial and sovereign debt crises. </w:t>
              </w:r>
              <w:r>
                <w:rPr>
                  <w:i/>
                  <w:iCs/>
                  <w:noProof/>
                </w:rPr>
                <w:t>European Court of Auditors (Curia Rationum)</w:t>
              </w:r>
              <w:r>
                <w:rPr>
                  <w:noProof/>
                </w:rPr>
                <w:t>.</w:t>
              </w:r>
            </w:p>
            <w:p w14:paraId="545CB937" w14:textId="77777777" w:rsidR="00BF15CE" w:rsidRDefault="00BF15CE" w:rsidP="00BF15CE">
              <w:pPr>
                <w:pStyle w:val="Bibliography"/>
                <w:ind w:left="720" w:hanging="720"/>
                <w:rPr>
                  <w:noProof/>
                </w:rPr>
              </w:pPr>
              <w:r>
                <w:rPr>
                  <w:noProof/>
                </w:rPr>
                <w:t xml:space="preserve">Elliott, D. J. (2012, May 14). </w:t>
              </w:r>
              <w:r>
                <w:rPr>
                  <w:i/>
                  <w:iCs/>
                  <w:noProof/>
                </w:rPr>
                <w:t>RESEARCH $2 Billion Later: Policy Implications of JP Morgan Chase’s Trading Loss</w:t>
              </w:r>
              <w:r>
                <w:rPr>
                  <w:noProof/>
                </w:rPr>
                <w:t>. Retrieved from https://www.brookings.edu/: https://www.brookings.edu/articles/2-billion-later-policy-implications-of-jp-morgan-chases-trading-loss/</w:t>
              </w:r>
            </w:p>
            <w:p w14:paraId="043A531E" w14:textId="77777777" w:rsidR="00BF15CE" w:rsidRDefault="00BF15CE" w:rsidP="00BF15CE">
              <w:pPr>
                <w:pStyle w:val="Bibliography"/>
                <w:ind w:left="720" w:hanging="720"/>
                <w:rPr>
                  <w:noProof/>
                </w:rPr>
              </w:pPr>
              <w:r>
                <w:rPr>
                  <w:noProof/>
                </w:rPr>
                <w:t xml:space="preserve">EUR-Lex. (2009, 11 17). </w:t>
              </w:r>
              <w:r>
                <w:rPr>
                  <w:i/>
                  <w:iCs/>
                  <w:noProof/>
                </w:rPr>
                <w:t>Regulation (EC) No 1060/2009 of the European Parliament and of the Council of 16 September 2009 on credit rating agencies (Text with EEA relevance)</w:t>
              </w:r>
              <w:r>
                <w:rPr>
                  <w:noProof/>
                </w:rPr>
                <w:t>. Retrieved from https://eur-lex.europa.eu/: https://eur-lex.europa.eu/legal-content/EN/TXT/?uri=celex%3A32009R1060</w:t>
              </w:r>
            </w:p>
            <w:p w14:paraId="4C935B19" w14:textId="77777777" w:rsidR="00BF15CE" w:rsidRDefault="00BF15CE" w:rsidP="00BF15CE">
              <w:pPr>
                <w:pStyle w:val="Bibliography"/>
                <w:ind w:left="720" w:hanging="720"/>
                <w:rPr>
                  <w:noProof/>
                </w:rPr>
              </w:pPr>
              <w:r>
                <w:rPr>
                  <w:noProof/>
                </w:rPr>
                <w:t xml:space="preserve">European Council. (2023, December 18). </w:t>
              </w:r>
              <w:r>
                <w:rPr>
                  <w:i/>
                  <w:iCs/>
                  <w:noProof/>
                </w:rPr>
                <w:t>Banking union</w:t>
              </w:r>
              <w:r>
                <w:rPr>
                  <w:noProof/>
                </w:rPr>
                <w:t>. Retrieved from https://www.consilium.europa.eu/: https://www.consilium.europa.eu/en/policies/banking-union/</w:t>
              </w:r>
            </w:p>
            <w:p w14:paraId="4C1AA692" w14:textId="77777777" w:rsidR="00BF15CE" w:rsidRDefault="00BF15CE" w:rsidP="00BF15CE">
              <w:pPr>
                <w:pStyle w:val="Bibliography"/>
                <w:ind w:left="720" w:hanging="720"/>
                <w:rPr>
                  <w:noProof/>
                </w:rPr>
              </w:pPr>
              <w:r>
                <w:rPr>
                  <w:noProof/>
                </w:rPr>
                <w:t xml:space="preserve">Financial Service Committee. (n.d.). </w:t>
              </w:r>
              <w:r>
                <w:rPr>
                  <w:i/>
                  <w:iCs/>
                  <w:noProof/>
                </w:rPr>
                <w:t>The Failures of Dodd-Frank</w:t>
              </w:r>
              <w:r>
                <w:rPr>
                  <w:noProof/>
                </w:rPr>
                <w:t>. Retrieved from https://financialservices.house.gov/: https://financialservices.house.gov/issueshome/issue/default.aspx?IssueID=57976</w:t>
              </w:r>
            </w:p>
            <w:p w14:paraId="35751CBC" w14:textId="77777777" w:rsidR="00BF15CE" w:rsidRDefault="00BF15CE" w:rsidP="00BF15CE">
              <w:pPr>
                <w:pStyle w:val="Bibliography"/>
                <w:ind w:left="720" w:hanging="720"/>
                <w:rPr>
                  <w:noProof/>
                </w:rPr>
              </w:pPr>
              <w:r>
                <w:rPr>
                  <w:noProof/>
                </w:rPr>
                <w:t xml:space="preserve">Guynn, R. D. (2010). The Financial Panic of 2008 and Financial Regulatory Reform. </w:t>
              </w:r>
              <w:r>
                <w:rPr>
                  <w:i/>
                  <w:iCs/>
                  <w:noProof/>
                </w:rPr>
                <w:t>Harvard Law School Forum on Corporate Governance</w:t>
              </w:r>
              <w:r>
                <w:rPr>
                  <w:noProof/>
                </w:rPr>
                <w:t>.</w:t>
              </w:r>
            </w:p>
            <w:p w14:paraId="68DC2F23" w14:textId="77777777" w:rsidR="00BF15CE" w:rsidRDefault="00BF15CE" w:rsidP="00BF15CE">
              <w:pPr>
                <w:pStyle w:val="Bibliography"/>
                <w:ind w:left="720" w:hanging="720"/>
                <w:rPr>
                  <w:noProof/>
                </w:rPr>
              </w:pPr>
              <w:r>
                <w:rPr>
                  <w:noProof/>
                </w:rPr>
                <w:t xml:space="preserve">Hobelsberger, K., Kok, C., &amp; Mongelli, F. P. (2023). </w:t>
              </w:r>
              <w:r>
                <w:rPr>
                  <w:i/>
                  <w:iCs/>
                  <w:noProof/>
                </w:rPr>
                <w:t>Occasional Paper Series, A tale of three crises: synergies between ECB tasks, No 305 / September 2022.</w:t>
              </w:r>
              <w:r>
                <w:rPr>
                  <w:noProof/>
                </w:rPr>
                <w:t xml:space="preserve"> ECB.</w:t>
              </w:r>
            </w:p>
            <w:p w14:paraId="62093F8F" w14:textId="77777777" w:rsidR="00BF15CE" w:rsidRDefault="00BF15CE" w:rsidP="00BF15CE">
              <w:pPr>
                <w:pStyle w:val="Bibliography"/>
                <w:ind w:left="720" w:hanging="720"/>
                <w:rPr>
                  <w:noProof/>
                </w:rPr>
              </w:pPr>
              <w:r>
                <w:rPr>
                  <w:noProof/>
                </w:rPr>
                <w:t xml:space="preserve">Howard, C. (2014). Basel III's Corporate Governance Impact: How Increased Banking Regulations Pose Simultaneously Furthering Stakeholder Objectives. </w:t>
              </w:r>
              <w:r>
                <w:rPr>
                  <w:i/>
                  <w:iCs/>
                  <w:noProof/>
                </w:rPr>
                <w:t>Journal of Law and Governance</w:t>
              </w:r>
              <w:r>
                <w:rPr>
                  <w:noProof/>
                </w:rPr>
                <w:t>.</w:t>
              </w:r>
            </w:p>
            <w:p w14:paraId="17D835BB" w14:textId="77777777" w:rsidR="00BF15CE" w:rsidRDefault="00BF15CE" w:rsidP="00BF15CE">
              <w:pPr>
                <w:pStyle w:val="Bibliography"/>
                <w:ind w:left="720" w:hanging="720"/>
                <w:rPr>
                  <w:noProof/>
                </w:rPr>
              </w:pPr>
              <w:r>
                <w:rPr>
                  <w:noProof/>
                </w:rPr>
                <w:t xml:space="preserve">Investopedia. (2023, August 02). </w:t>
              </w:r>
              <w:r>
                <w:rPr>
                  <w:i/>
                  <w:iCs/>
                  <w:noProof/>
                </w:rPr>
                <w:t>Dodd-Frank Act: What It Does, Major Components, and Criticisms</w:t>
              </w:r>
              <w:r>
                <w:rPr>
                  <w:noProof/>
                </w:rPr>
                <w:t>. Retrieved from https://www.investopedia.com/: https://www.investopedia.com/terms/d/dodd-frank-financial-regulatory-reform-bill.asp</w:t>
              </w:r>
            </w:p>
            <w:p w14:paraId="5C92062C" w14:textId="77777777" w:rsidR="00BF15CE" w:rsidRDefault="00BF15CE" w:rsidP="00BF15CE">
              <w:pPr>
                <w:pStyle w:val="Bibliography"/>
                <w:ind w:left="720" w:hanging="720"/>
                <w:rPr>
                  <w:noProof/>
                </w:rPr>
              </w:pPr>
              <w:r>
                <w:rPr>
                  <w:noProof/>
                </w:rPr>
                <w:t xml:space="preserve">JPMorgan Chase &amp; Co. (2023). </w:t>
              </w:r>
              <w:r>
                <w:rPr>
                  <w:i/>
                  <w:iCs/>
                  <w:noProof/>
                </w:rPr>
                <w:t>2023 Annual Dodd-Frank Act Stress Test Results Disclosure.</w:t>
              </w:r>
              <w:r>
                <w:rPr>
                  <w:noProof/>
                </w:rPr>
                <w:t xml:space="preserve"> </w:t>
              </w:r>
            </w:p>
            <w:p w14:paraId="6903AB83" w14:textId="77777777" w:rsidR="00BF15CE" w:rsidRDefault="00BF15CE" w:rsidP="00BF15CE">
              <w:pPr>
                <w:pStyle w:val="Bibliography"/>
                <w:ind w:left="720" w:hanging="720"/>
                <w:rPr>
                  <w:noProof/>
                </w:rPr>
              </w:pPr>
              <w:r>
                <w:rPr>
                  <w:noProof/>
                </w:rPr>
                <w:lastRenderedPageBreak/>
                <w:t xml:space="preserve">JPMorgan Chase &amp; Co. (2023, 12). </w:t>
              </w:r>
              <w:r>
                <w:rPr>
                  <w:i/>
                  <w:iCs/>
                  <w:noProof/>
                </w:rPr>
                <w:t>History of Our Firm</w:t>
              </w:r>
              <w:r>
                <w:rPr>
                  <w:noProof/>
                </w:rPr>
                <w:t>. Retrieved from https://www.jpmorganchase.com/: https://www.jpmorganchase.com/about/our-history</w:t>
              </w:r>
            </w:p>
            <w:p w14:paraId="4CD79F26" w14:textId="77777777" w:rsidR="00BF15CE" w:rsidRDefault="00BF15CE" w:rsidP="00BF15CE">
              <w:pPr>
                <w:pStyle w:val="Bibliography"/>
                <w:ind w:left="720" w:hanging="720"/>
                <w:rPr>
                  <w:noProof/>
                </w:rPr>
              </w:pPr>
              <w:r>
                <w:rPr>
                  <w:noProof/>
                </w:rPr>
                <w:t xml:space="preserve">Manasfi, J. A. (2013). Systemic Risk and Dodd-Frank's Volcker Rule. </w:t>
              </w:r>
              <w:r>
                <w:rPr>
                  <w:i/>
                  <w:iCs/>
                  <w:noProof/>
                </w:rPr>
                <w:t>William &amp; Mary Business Law Review, Volume 4 (2013), Issue 1, Article 6</w:t>
              </w:r>
              <w:r>
                <w:rPr>
                  <w:noProof/>
                </w:rPr>
                <w:t>.</w:t>
              </w:r>
            </w:p>
            <w:p w14:paraId="0701577D" w14:textId="77777777" w:rsidR="00BF15CE" w:rsidRDefault="00BF15CE" w:rsidP="00BF15CE">
              <w:pPr>
                <w:pStyle w:val="Bibliography"/>
                <w:ind w:left="720" w:hanging="720"/>
                <w:rPr>
                  <w:noProof/>
                </w:rPr>
              </w:pPr>
              <w:r>
                <w:rPr>
                  <w:noProof/>
                </w:rPr>
                <w:t xml:space="preserve">Polski, M. M., &amp; Elbarasse, M. (2012). The U.S. Financial Stability Oversight Council: Understanding Polycentric Governance. </w:t>
              </w:r>
              <w:r>
                <w:rPr>
                  <w:i/>
                  <w:iCs/>
                  <w:noProof/>
                </w:rPr>
                <w:t>Annual Conference of the International Society for New Institutional Economics at the University of Southern California Gould School of Law</w:t>
              </w:r>
              <w:r>
                <w:rPr>
                  <w:noProof/>
                </w:rPr>
                <w:t>.</w:t>
              </w:r>
            </w:p>
            <w:p w14:paraId="5986125A" w14:textId="77777777" w:rsidR="00BF15CE" w:rsidRDefault="00BF15CE" w:rsidP="00BF15CE">
              <w:pPr>
                <w:pStyle w:val="Bibliography"/>
                <w:ind w:left="720" w:hanging="720"/>
                <w:rPr>
                  <w:noProof/>
                </w:rPr>
              </w:pPr>
              <w:r>
                <w:rPr>
                  <w:noProof/>
                </w:rPr>
                <w:t xml:space="preserve">Schapiro, M. (2012). Dodd-Frank Principles and Provisions. </w:t>
              </w:r>
              <w:r>
                <w:rPr>
                  <w:i/>
                  <w:iCs/>
                  <w:noProof/>
                </w:rPr>
                <w:t>Harvard Law School Forum on Corporate Governance &amp; Financial Regulation</w:t>
              </w:r>
              <w:r>
                <w:rPr>
                  <w:noProof/>
                </w:rPr>
                <w:t>.</w:t>
              </w:r>
            </w:p>
            <w:p w14:paraId="077AEC87" w14:textId="77777777" w:rsidR="00BF15CE" w:rsidRDefault="00BF15CE" w:rsidP="00BF15CE">
              <w:pPr>
                <w:pStyle w:val="Bibliography"/>
                <w:ind w:left="720" w:hanging="720"/>
                <w:rPr>
                  <w:noProof/>
                </w:rPr>
              </w:pPr>
              <w:r>
                <w:rPr>
                  <w:noProof/>
                </w:rPr>
                <w:t xml:space="preserve">The Global Treasurer. (2015, April 13). </w:t>
              </w:r>
              <w:r>
                <w:rPr>
                  <w:i/>
                  <w:iCs/>
                  <w:noProof/>
                </w:rPr>
                <w:t>Benefits of Basel III regulation shown by recent adoption rates</w:t>
              </w:r>
              <w:r>
                <w:rPr>
                  <w:noProof/>
                </w:rPr>
                <w:t>. Retrieved from https://www.theglobaltreasurer.com/: https://www.theglobaltreasurer.com/2015/04/13/benefits-of-basel-iii-regulation-shown-by-recent-adoption-rates/</w:t>
              </w:r>
            </w:p>
            <w:p w14:paraId="11D0A4C1" w14:textId="77777777" w:rsidR="00BF15CE" w:rsidRDefault="00BF15CE" w:rsidP="00BF15CE">
              <w:pPr>
                <w:pStyle w:val="Bibliography"/>
                <w:ind w:left="720" w:hanging="720"/>
                <w:rPr>
                  <w:noProof/>
                </w:rPr>
              </w:pPr>
              <w:r>
                <w:rPr>
                  <w:noProof/>
                </w:rPr>
                <w:t xml:space="preserve">U.S. Government Accountability Office. (2011). </w:t>
              </w:r>
              <w:r>
                <w:rPr>
                  <w:i/>
                  <w:iCs/>
                  <w:noProof/>
                </w:rPr>
                <w:t>MORTGAGE REFORM: Potential Impacts of Provisions in the Dodd-Frank Act on Homebuyers and the Mortgage Market.</w:t>
              </w:r>
              <w:r>
                <w:rPr>
                  <w:noProof/>
                </w:rPr>
                <w:t xml:space="preserve"> </w:t>
              </w:r>
            </w:p>
            <w:p w14:paraId="6E80FEE6" w14:textId="7E602493" w:rsidR="00B51EDF" w:rsidRDefault="00B51EDF" w:rsidP="00BF15CE">
              <w:r>
                <w:rPr>
                  <w:b/>
                  <w:bCs/>
                  <w:noProof/>
                </w:rPr>
                <w:fldChar w:fldCharType="end"/>
              </w:r>
            </w:p>
          </w:sdtContent>
        </w:sdt>
      </w:sdtContent>
    </w:sdt>
    <w:p w14:paraId="71B2E256" w14:textId="77777777" w:rsidR="0013494B" w:rsidRPr="00311BFB" w:rsidRDefault="0013494B" w:rsidP="00D108C9">
      <w:pPr>
        <w:spacing w:line="360" w:lineRule="auto"/>
        <w:jc w:val="both"/>
        <w:rPr>
          <w:rFonts w:ascii="Times New Roman" w:hAnsi="Times New Roman" w:cs="Times New Roman"/>
          <w:b/>
          <w:bCs/>
          <w:color w:val="000000" w:themeColor="text1"/>
          <w:sz w:val="32"/>
          <w:szCs w:val="32"/>
        </w:rPr>
      </w:pPr>
    </w:p>
    <w:sectPr w:rsidR="0013494B" w:rsidRPr="00311BFB" w:rsidSect="00D236D6">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FD0CE" w14:textId="77777777" w:rsidR="007D2D2D" w:rsidRDefault="007D2D2D" w:rsidP="00BF15CE">
      <w:pPr>
        <w:spacing w:after="0" w:line="240" w:lineRule="auto"/>
      </w:pPr>
      <w:r>
        <w:separator/>
      </w:r>
    </w:p>
  </w:endnote>
  <w:endnote w:type="continuationSeparator" w:id="0">
    <w:p w14:paraId="0D1482EB" w14:textId="77777777" w:rsidR="007D2D2D" w:rsidRDefault="007D2D2D" w:rsidP="00BF1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8013225"/>
      <w:docPartObj>
        <w:docPartGallery w:val="Page Numbers (Bottom of Page)"/>
        <w:docPartUnique/>
      </w:docPartObj>
    </w:sdtPr>
    <w:sdtEndPr>
      <w:rPr>
        <w:noProof/>
      </w:rPr>
    </w:sdtEndPr>
    <w:sdtContent>
      <w:p w14:paraId="5560D3F8" w14:textId="0082E4D3" w:rsidR="00BF15CE" w:rsidRDefault="00BF15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D533AB" w14:textId="77777777" w:rsidR="00BF15CE" w:rsidRDefault="00BF15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09E73" w14:textId="77777777" w:rsidR="007D2D2D" w:rsidRDefault="007D2D2D" w:rsidP="00BF15CE">
      <w:pPr>
        <w:spacing w:after="0" w:line="240" w:lineRule="auto"/>
      </w:pPr>
      <w:r>
        <w:separator/>
      </w:r>
    </w:p>
  </w:footnote>
  <w:footnote w:type="continuationSeparator" w:id="0">
    <w:p w14:paraId="597A1B64" w14:textId="77777777" w:rsidR="007D2D2D" w:rsidRDefault="007D2D2D" w:rsidP="00BF15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577F4A"/>
    <w:multiLevelType w:val="hybridMultilevel"/>
    <w:tmpl w:val="15B2CB8C"/>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394F41D2"/>
    <w:multiLevelType w:val="hybridMultilevel"/>
    <w:tmpl w:val="A8DA5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793AB8"/>
    <w:multiLevelType w:val="hybridMultilevel"/>
    <w:tmpl w:val="FD1CB53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590267">
    <w:abstractNumId w:val="2"/>
  </w:num>
  <w:num w:numId="2" w16cid:durableId="195780298">
    <w:abstractNumId w:val="0"/>
  </w:num>
  <w:num w:numId="3" w16cid:durableId="734548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6AA"/>
    <w:rsid w:val="00011613"/>
    <w:rsid w:val="000162B0"/>
    <w:rsid w:val="00016BA5"/>
    <w:rsid w:val="0003200F"/>
    <w:rsid w:val="0003208F"/>
    <w:rsid w:val="000335CE"/>
    <w:rsid w:val="00035118"/>
    <w:rsid w:val="00056831"/>
    <w:rsid w:val="00060501"/>
    <w:rsid w:val="0006062E"/>
    <w:rsid w:val="000946C8"/>
    <w:rsid w:val="000A677C"/>
    <w:rsid w:val="000B3F79"/>
    <w:rsid w:val="000C66CA"/>
    <w:rsid w:val="000D4148"/>
    <w:rsid w:val="000E0FFF"/>
    <w:rsid w:val="000E3912"/>
    <w:rsid w:val="000E6CE0"/>
    <w:rsid w:val="00106D81"/>
    <w:rsid w:val="001114FE"/>
    <w:rsid w:val="001210CB"/>
    <w:rsid w:val="00122E08"/>
    <w:rsid w:val="0013494B"/>
    <w:rsid w:val="00142501"/>
    <w:rsid w:val="00154F6E"/>
    <w:rsid w:val="001572F1"/>
    <w:rsid w:val="00157EB4"/>
    <w:rsid w:val="001709F0"/>
    <w:rsid w:val="00175629"/>
    <w:rsid w:val="001805B0"/>
    <w:rsid w:val="001B2EB7"/>
    <w:rsid w:val="001D61F1"/>
    <w:rsid w:val="0020526A"/>
    <w:rsid w:val="00223401"/>
    <w:rsid w:val="00224507"/>
    <w:rsid w:val="00227637"/>
    <w:rsid w:val="00234CEA"/>
    <w:rsid w:val="0023598E"/>
    <w:rsid w:val="00240265"/>
    <w:rsid w:val="00245AC4"/>
    <w:rsid w:val="00255B7D"/>
    <w:rsid w:val="00290A69"/>
    <w:rsid w:val="002C4E00"/>
    <w:rsid w:val="002C5498"/>
    <w:rsid w:val="002D403C"/>
    <w:rsid w:val="00311BFB"/>
    <w:rsid w:val="003127D9"/>
    <w:rsid w:val="00320D33"/>
    <w:rsid w:val="0032414D"/>
    <w:rsid w:val="0033324F"/>
    <w:rsid w:val="0034057F"/>
    <w:rsid w:val="0035264D"/>
    <w:rsid w:val="00356410"/>
    <w:rsid w:val="00360A73"/>
    <w:rsid w:val="00395194"/>
    <w:rsid w:val="003A035F"/>
    <w:rsid w:val="003A318D"/>
    <w:rsid w:val="003A6C1C"/>
    <w:rsid w:val="003C3E2E"/>
    <w:rsid w:val="003C5D1A"/>
    <w:rsid w:val="003C5EE8"/>
    <w:rsid w:val="003C6999"/>
    <w:rsid w:val="003D2256"/>
    <w:rsid w:val="003D56F0"/>
    <w:rsid w:val="003D636B"/>
    <w:rsid w:val="003D6C83"/>
    <w:rsid w:val="003E5C6B"/>
    <w:rsid w:val="003E6061"/>
    <w:rsid w:val="003E7936"/>
    <w:rsid w:val="003F33D0"/>
    <w:rsid w:val="0040692C"/>
    <w:rsid w:val="004349E9"/>
    <w:rsid w:val="00440DB9"/>
    <w:rsid w:val="004856A9"/>
    <w:rsid w:val="0049437A"/>
    <w:rsid w:val="00495300"/>
    <w:rsid w:val="004B5681"/>
    <w:rsid w:val="004C5B8B"/>
    <w:rsid w:val="004E03F5"/>
    <w:rsid w:val="00506D9E"/>
    <w:rsid w:val="00525705"/>
    <w:rsid w:val="00543081"/>
    <w:rsid w:val="005A6E28"/>
    <w:rsid w:val="005D224C"/>
    <w:rsid w:val="005F10D2"/>
    <w:rsid w:val="005F4D1E"/>
    <w:rsid w:val="00602447"/>
    <w:rsid w:val="00613F2D"/>
    <w:rsid w:val="006162B3"/>
    <w:rsid w:val="00617780"/>
    <w:rsid w:val="006360C1"/>
    <w:rsid w:val="00644714"/>
    <w:rsid w:val="006504A8"/>
    <w:rsid w:val="00655D76"/>
    <w:rsid w:val="0067188A"/>
    <w:rsid w:val="00672FBD"/>
    <w:rsid w:val="006766C1"/>
    <w:rsid w:val="00677EA6"/>
    <w:rsid w:val="00684C2B"/>
    <w:rsid w:val="006938B2"/>
    <w:rsid w:val="006979DE"/>
    <w:rsid w:val="006A54F8"/>
    <w:rsid w:val="006A7DF2"/>
    <w:rsid w:val="006B097A"/>
    <w:rsid w:val="006B4CB0"/>
    <w:rsid w:val="006B5C67"/>
    <w:rsid w:val="006C4B3D"/>
    <w:rsid w:val="006C78A0"/>
    <w:rsid w:val="006F0C4F"/>
    <w:rsid w:val="006F4E90"/>
    <w:rsid w:val="00702834"/>
    <w:rsid w:val="00703C29"/>
    <w:rsid w:val="00704C7B"/>
    <w:rsid w:val="00714310"/>
    <w:rsid w:val="0071548F"/>
    <w:rsid w:val="007159C5"/>
    <w:rsid w:val="007223FE"/>
    <w:rsid w:val="007224C7"/>
    <w:rsid w:val="007249AA"/>
    <w:rsid w:val="00743145"/>
    <w:rsid w:val="0075103E"/>
    <w:rsid w:val="00756927"/>
    <w:rsid w:val="00762D7C"/>
    <w:rsid w:val="00765380"/>
    <w:rsid w:val="007A2233"/>
    <w:rsid w:val="007B3930"/>
    <w:rsid w:val="007B48B4"/>
    <w:rsid w:val="007C39D8"/>
    <w:rsid w:val="007C7707"/>
    <w:rsid w:val="007C7A74"/>
    <w:rsid w:val="007D0BDC"/>
    <w:rsid w:val="007D2D2D"/>
    <w:rsid w:val="007F59C5"/>
    <w:rsid w:val="00830058"/>
    <w:rsid w:val="008369FD"/>
    <w:rsid w:val="00836A8C"/>
    <w:rsid w:val="00837FF1"/>
    <w:rsid w:val="00843285"/>
    <w:rsid w:val="00854DD6"/>
    <w:rsid w:val="00870E7A"/>
    <w:rsid w:val="00871B37"/>
    <w:rsid w:val="008728D9"/>
    <w:rsid w:val="00890D7B"/>
    <w:rsid w:val="008A6CBC"/>
    <w:rsid w:val="008B3EFB"/>
    <w:rsid w:val="008D5F16"/>
    <w:rsid w:val="008F3452"/>
    <w:rsid w:val="00910C8F"/>
    <w:rsid w:val="00910F57"/>
    <w:rsid w:val="00923362"/>
    <w:rsid w:val="00925A29"/>
    <w:rsid w:val="009347AB"/>
    <w:rsid w:val="0093797E"/>
    <w:rsid w:val="00962CEB"/>
    <w:rsid w:val="00963EA2"/>
    <w:rsid w:val="00970B0C"/>
    <w:rsid w:val="009821C8"/>
    <w:rsid w:val="009829D9"/>
    <w:rsid w:val="009868B8"/>
    <w:rsid w:val="009A0E6F"/>
    <w:rsid w:val="009A3B9D"/>
    <w:rsid w:val="009C5923"/>
    <w:rsid w:val="009C6EE3"/>
    <w:rsid w:val="009E50B7"/>
    <w:rsid w:val="00A03C71"/>
    <w:rsid w:val="00A040C2"/>
    <w:rsid w:val="00A06B0F"/>
    <w:rsid w:val="00A166AA"/>
    <w:rsid w:val="00A22F2D"/>
    <w:rsid w:val="00A245DA"/>
    <w:rsid w:val="00A34359"/>
    <w:rsid w:val="00A54AF0"/>
    <w:rsid w:val="00A60685"/>
    <w:rsid w:val="00A63C4C"/>
    <w:rsid w:val="00AA2ACE"/>
    <w:rsid w:val="00AA5453"/>
    <w:rsid w:val="00AB5C6D"/>
    <w:rsid w:val="00AC7D5E"/>
    <w:rsid w:val="00AD735D"/>
    <w:rsid w:val="00B01945"/>
    <w:rsid w:val="00B01E19"/>
    <w:rsid w:val="00B13147"/>
    <w:rsid w:val="00B313E1"/>
    <w:rsid w:val="00B377F9"/>
    <w:rsid w:val="00B449C8"/>
    <w:rsid w:val="00B47341"/>
    <w:rsid w:val="00B50C25"/>
    <w:rsid w:val="00B51EDF"/>
    <w:rsid w:val="00B52732"/>
    <w:rsid w:val="00B6180C"/>
    <w:rsid w:val="00B80E3C"/>
    <w:rsid w:val="00B81DF3"/>
    <w:rsid w:val="00B93A89"/>
    <w:rsid w:val="00BB26A4"/>
    <w:rsid w:val="00BB4F46"/>
    <w:rsid w:val="00BB6C00"/>
    <w:rsid w:val="00BC108D"/>
    <w:rsid w:val="00BC524D"/>
    <w:rsid w:val="00BD4034"/>
    <w:rsid w:val="00BE55E4"/>
    <w:rsid w:val="00BF15CE"/>
    <w:rsid w:val="00C01C5B"/>
    <w:rsid w:val="00C0200E"/>
    <w:rsid w:val="00C060B0"/>
    <w:rsid w:val="00C26578"/>
    <w:rsid w:val="00C31EA0"/>
    <w:rsid w:val="00C330A5"/>
    <w:rsid w:val="00C80E72"/>
    <w:rsid w:val="00C86693"/>
    <w:rsid w:val="00CB0954"/>
    <w:rsid w:val="00CC2225"/>
    <w:rsid w:val="00CD1DEA"/>
    <w:rsid w:val="00D02EAA"/>
    <w:rsid w:val="00D04731"/>
    <w:rsid w:val="00D05F85"/>
    <w:rsid w:val="00D07C1E"/>
    <w:rsid w:val="00D108C9"/>
    <w:rsid w:val="00D13CD7"/>
    <w:rsid w:val="00D15493"/>
    <w:rsid w:val="00D235D1"/>
    <w:rsid w:val="00D236D6"/>
    <w:rsid w:val="00D2395A"/>
    <w:rsid w:val="00D30525"/>
    <w:rsid w:val="00D45A58"/>
    <w:rsid w:val="00D47664"/>
    <w:rsid w:val="00D704BD"/>
    <w:rsid w:val="00D81347"/>
    <w:rsid w:val="00D84A72"/>
    <w:rsid w:val="00DA3151"/>
    <w:rsid w:val="00DB4D1C"/>
    <w:rsid w:val="00DB59A9"/>
    <w:rsid w:val="00DE0022"/>
    <w:rsid w:val="00DF3580"/>
    <w:rsid w:val="00DF47AD"/>
    <w:rsid w:val="00E10A28"/>
    <w:rsid w:val="00E20DC8"/>
    <w:rsid w:val="00E233AE"/>
    <w:rsid w:val="00E32DD1"/>
    <w:rsid w:val="00E351C6"/>
    <w:rsid w:val="00E362AA"/>
    <w:rsid w:val="00E37973"/>
    <w:rsid w:val="00E42ABC"/>
    <w:rsid w:val="00E55522"/>
    <w:rsid w:val="00E678F2"/>
    <w:rsid w:val="00E67C8B"/>
    <w:rsid w:val="00E959C3"/>
    <w:rsid w:val="00EA4136"/>
    <w:rsid w:val="00EA77FD"/>
    <w:rsid w:val="00EB60EA"/>
    <w:rsid w:val="00EC4BBB"/>
    <w:rsid w:val="00ED6404"/>
    <w:rsid w:val="00F154A7"/>
    <w:rsid w:val="00F1688F"/>
    <w:rsid w:val="00F27EF0"/>
    <w:rsid w:val="00F332EA"/>
    <w:rsid w:val="00F47E43"/>
    <w:rsid w:val="00F678B6"/>
    <w:rsid w:val="00F70FC5"/>
    <w:rsid w:val="00F924AA"/>
    <w:rsid w:val="00FA234F"/>
    <w:rsid w:val="00FB08CA"/>
    <w:rsid w:val="00FD19B3"/>
    <w:rsid w:val="00FE18FC"/>
    <w:rsid w:val="00FE1BFA"/>
    <w:rsid w:val="00FE62F7"/>
    <w:rsid w:val="00FE6B89"/>
    <w:rsid w:val="00FF26EC"/>
    <w:rsid w:val="00FF372A"/>
    <w:rsid w:val="00FF3AFF"/>
    <w:rsid w:val="00FF508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24A5D9"/>
  <w15:chartTrackingRefBased/>
  <w15:docId w15:val="{2B776F75-3A30-40E4-8917-2E4F37B2C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3494B"/>
    <w:pPr>
      <w:spacing w:line="360" w:lineRule="auto"/>
      <w:jc w:val="both"/>
      <w:outlineLvl w:val="0"/>
    </w:pPr>
    <w:rPr>
      <w:rFonts w:ascii="Times New Roman" w:hAnsi="Times New Roman" w:cs="Times New Roman"/>
      <w:b/>
      <w:bCs/>
      <w:sz w:val="28"/>
      <w:szCs w:val="28"/>
    </w:rPr>
  </w:style>
  <w:style w:type="paragraph" w:styleId="Heading4">
    <w:name w:val="heading 4"/>
    <w:basedOn w:val="Normal"/>
    <w:next w:val="Normal"/>
    <w:link w:val="Heading4Char"/>
    <w:uiPriority w:val="9"/>
    <w:semiHidden/>
    <w:unhideWhenUsed/>
    <w:qFormat/>
    <w:rsid w:val="001210C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3EFB"/>
    <w:pPr>
      <w:ind w:left="720"/>
      <w:contextualSpacing/>
    </w:pPr>
  </w:style>
  <w:style w:type="paragraph" w:styleId="Caption">
    <w:name w:val="caption"/>
    <w:basedOn w:val="Normal"/>
    <w:next w:val="Normal"/>
    <w:uiPriority w:val="35"/>
    <w:unhideWhenUsed/>
    <w:qFormat/>
    <w:rsid w:val="000D414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13494B"/>
    <w:rPr>
      <w:rFonts w:ascii="Times New Roman" w:hAnsi="Times New Roman" w:cs="Times New Roman"/>
      <w:b/>
      <w:bCs/>
      <w:sz w:val="28"/>
      <w:szCs w:val="28"/>
      <w:lang w:val="en-GB"/>
    </w:rPr>
  </w:style>
  <w:style w:type="paragraph" w:styleId="Bibliography">
    <w:name w:val="Bibliography"/>
    <w:basedOn w:val="Normal"/>
    <w:next w:val="Normal"/>
    <w:uiPriority w:val="37"/>
    <w:unhideWhenUsed/>
    <w:rsid w:val="0013494B"/>
  </w:style>
  <w:style w:type="paragraph" w:styleId="TOCHeading">
    <w:name w:val="TOC Heading"/>
    <w:basedOn w:val="Heading1"/>
    <w:next w:val="Normal"/>
    <w:uiPriority w:val="39"/>
    <w:unhideWhenUsed/>
    <w:qFormat/>
    <w:rsid w:val="00525705"/>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25705"/>
    <w:pPr>
      <w:spacing w:after="100"/>
    </w:pPr>
  </w:style>
  <w:style w:type="character" w:styleId="Hyperlink">
    <w:name w:val="Hyperlink"/>
    <w:basedOn w:val="DefaultParagraphFont"/>
    <w:uiPriority w:val="99"/>
    <w:unhideWhenUsed/>
    <w:rsid w:val="00525705"/>
    <w:rPr>
      <w:color w:val="0563C1" w:themeColor="hyperlink"/>
      <w:u w:val="single"/>
    </w:rPr>
  </w:style>
  <w:style w:type="paragraph" w:styleId="TableofFigures">
    <w:name w:val="table of figures"/>
    <w:basedOn w:val="Normal"/>
    <w:next w:val="Normal"/>
    <w:uiPriority w:val="99"/>
    <w:unhideWhenUsed/>
    <w:rsid w:val="00704C7B"/>
    <w:pPr>
      <w:spacing w:after="0"/>
    </w:pPr>
  </w:style>
  <w:style w:type="paragraph" w:styleId="Header">
    <w:name w:val="header"/>
    <w:basedOn w:val="Normal"/>
    <w:link w:val="HeaderChar"/>
    <w:uiPriority w:val="99"/>
    <w:unhideWhenUsed/>
    <w:rsid w:val="00BF15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5CE"/>
    <w:rPr>
      <w:lang w:val="en-GB"/>
    </w:rPr>
  </w:style>
  <w:style w:type="paragraph" w:styleId="Footer">
    <w:name w:val="footer"/>
    <w:basedOn w:val="Normal"/>
    <w:link w:val="FooterChar"/>
    <w:uiPriority w:val="99"/>
    <w:unhideWhenUsed/>
    <w:rsid w:val="00BF15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5CE"/>
    <w:rPr>
      <w:lang w:val="en-GB"/>
    </w:rPr>
  </w:style>
  <w:style w:type="character" w:customStyle="1" w:styleId="Heading4Char">
    <w:name w:val="Heading 4 Char"/>
    <w:basedOn w:val="DefaultParagraphFont"/>
    <w:link w:val="Heading4"/>
    <w:uiPriority w:val="9"/>
    <w:semiHidden/>
    <w:rsid w:val="001210CB"/>
    <w:rPr>
      <w:rFonts w:asciiTheme="majorHAnsi" w:eastAsiaTheme="majorEastAsia" w:hAnsiTheme="majorHAnsi" w:cstheme="majorBidi"/>
      <w:i/>
      <w:iCs/>
      <w:color w:val="2F5496"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9170">
      <w:bodyDiv w:val="1"/>
      <w:marLeft w:val="0"/>
      <w:marRight w:val="0"/>
      <w:marTop w:val="0"/>
      <w:marBottom w:val="0"/>
      <w:divBdr>
        <w:top w:val="none" w:sz="0" w:space="0" w:color="auto"/>
        <w:left w:val="none" w:sz="0" w:space="0" w:color="auto"/>
        <w:bottom w:val="none" w:sz="0" w:space="0" w:color="auto"/>
        <w:right w:val="none" w:sz="0" w:space="0" w:color="auto"/>
      </w:divBdr>
    </w:div>
    <w:div w:id="61294839">
      <w:bodyDiv w:val="1"/>
      <w:marLeft w:val="0"/>
      <w:marRight w:val="0"/>
      <w:marTop w:val="0"/>
      <w:marBottom w:val="0"/>
      <w:divBdr>
        <w:top w:val="none" w:sz="0" w:space="0" w:color="auto"/>
        <w:left w:val="none" w:sz="0" w:space="0" w:color="auto"/>
        <w:bottom w:val="none" w:sz="0" w:space="0" w:color="auto"/>
        <w:right w:val="none" w:sz="0" w:space="0" w:color="auto"/>
      </w:divBdr>
    </w:div>
    <w:div w:id="85733915">
      <w:bodyDiv w:val="1"/>
      <w:marLeft w:val="0"/>
      <w:marRight w:val="0"/>
      <w:marTop w:val="0"/>
      <w:marBottom w:val="0"/>
      <w:divBdr>
        <w:top w:val="none" w:sz="0" w:space="0" w:color="auto"/>
        <w:left w:val="none" w:sz="0" w:space="0" w:color="auto"/>
        <w:bottom w:val="none" w:sz="0" w:space="0" w:color="auto"/>
        <w:right w:val="none" w:sz="0" w:space="0" w:color="auto"/>
      </w:divBdr>
    </w:div>
    <w:div w:id="90052401">
      <w:bodyDiv w:val="1"/>
      <w:marLeft w:val="0"/>
      <w:marRight w:val="0"/>
      <w:marTop w:val="0"/>
      <w:marBottom w:val="0"/>
      <w:divBdr>
        <w:top w:val="none" w:sz="0" w:space="0" w:color="auto"/>
        <w:left w:val="none" w:sz="0" w:space="0" w:color="auto"/>
        <w:bottom w:val="none" w:sz="0" w:space="0" w:color="auto"/>
        <w:right w:val="none" w:sz="0" w:space="0" w:color="auto"/>
      </w:divBdr>
    </w:div>
    <w:div w:id="96798017">
      <w:bodyDiv w:val="1"/>
      <w:marLeft w:val="0"/>
      <w:marRight w:val="0"/>
      <w:marTop w:val="0"/>
      <w:marBottom w:val="0"/>
      <w:divBdr>
        <w:top w:val="none" w:sz="0" w:space="0" w:color="auto"/>
        <w:left w:val="none" w:sz="0" w:space="0" w:color="auto"/>
        <w:bottom w:val="none" w:sz="0" w:space="0" w:color="auto"/>
        <w:right w:val="none" w:sz="0" w:space="0" w:color="auto"/>
      </w:divBdr>
    </w:div>
    <w:div w:id="98137260">
      <w:bodyDiv w:val="1"/>
      <w:marLeft w:val="0"/>
      <w:marRight w:val="0"/>
      <w:marTop w:val="0"/>
      <w:marBottom w:val="0"/>
      <w:divBdr>
        <w:top w:val="none" w:sz="0" w:space="0" w:color="auto"/>
        <w:left w:val="none" w:sz="0" w:space="0" w:color="auto"/>
        <w:bottom w:val="none" w:sz="0" w:space="0" w:color="auto"/>
        <w:right w:val="none" w:sz="0" w:space="0" w:color="auto"/>
      </w:divBdr>
    </w:div>
    <w:div w:id="114296905">
      <w:bodyDiv w:val="1"/>
      <w:marLeft w:val="0"/>
      <w:marRight w:val="0"/>
      <w:marTop w:val="0"/>
      <w:marBottom w:val="0"/>
      <w:divBdr>
        <w:top w:val="none" w:sz="0" w:space="0" w:color="auto"/>
        <w:left w:val="none" w:sz="0" w:space="0" w:color="auto"/>
        <w:bottom w:val="none" w:sz="0" w:space="0" w:color="auto"/>
        <w:right w:val="none" w:sz="0" w:space="0" w:color="auto"/>
      </w:divBdr>
    </w:div>
    <w:div w:id="123819994">
      <w:bodyDiv w:val="1"/>
      <w:marLeft w:val="0"/>
      <w:marRight w:val="0"/>
      <w:marTop w:val="0"/>
      <w:marBottom w:val="0"/>
      <w:divBdr>
        <w:top w:val="none" w:sz="0" w:space="0" w:color="auto"/>
        <w:left w:val="none" w:sz="0" w:space="0" w:color="auto"/>
        <w:bottom w:val="none" w:sz="0" w:space="0" w:color="auto"/>
        <w:right w:val="none" w:sz="0" w:space="0" w:color="auto"/>
      </w:divBdr>
    </w:div>
    <w:div w:id="131102925">
      <w:bodyDiv w:val="1"/>
      <w:marLeft w:val="0"/>
      <w:marRight w:val="0"/>
      <w:marTop w:val="0"/>
      <w:marBottom w:val="0"/>
      <w:divBdr>
        <w:top w:val="none" w:sz="0" w:space="0" w:color="auto"/>
        <w:left w:val="none" w:sz="0" w:space="0" w:color="auto"/>
        <w:bottom w:val="none" w:sz="0" w:space="0" w:color="auto"/>
        <w:right w:val="none" w:sz="0" w:space="0" w:color="auto"/>
      </w:divBdr>
    </w:div>
    <w:div w:id="134876197">
      <w:bodyDiv w:val="1"/>
      <w:marLeft w:val="0"/>
      <w:marRight w:val="0"/>
      <w:marTop w:val="0"/>
      <w:marBottom w:val="0"/>
      <w:divBdr>
        <w:top w:val="none" w:sz="0" w:space="0" w:color="auto"/>
        <w:left w:val="none" w:sz="0" w:space="0" w:color="auto"/>
        <w:bottom w:val="none" w:sz="0" w:space="0" w:color="auto"/>
        <w:right w:val="none" w:sz="0" w:space="0" w:color="auto"/>
      </w:divBdr>
    </w:div>
    <w:div w:id="153490996">
      <w:bodyDiv w:val="1"/>
      <w:marLeft w:val="0"/>
      <w:marRight w:val="0"/>
      <w:marTop w:val="0"/>
      <w:marBottom w:val="0"/>
      <w:divBdr>
        <w:top w:val="none" w:sz="0" w:space="0" w:color="auto"/>
        <w:left w:val="none" w:sz="0" w:space="0" w:color="auto"/>
        <w:bottom w:val="none" w:sz="0" w:space="0" w:color="auto"/>
        <w:right w:val="none" w:sz="0" w:space="0" w:color="auto"/>
      </w:divBdr>
    </w:div>
    <w:div w:id="165679363">
      <w:bodyDiv w:val="1"/>
      <w:marLeft w:val="0"/>
      <w:marRight w:val="0"/>
      <w:marTop w:val="0"/>
      <w:marBottom w:val="0"/>
      <w:divBdr>
        <w:top w:val="none" w:sz="0" w:space="0" w:color="auto"/>
        <w:left w:val="none" w:sz="0" w:space="0" w:color="auto"/>
        <w:bottom w:val="none" w:sz="0" w:space="0" w:color="auto"/>
        <w:right w:val="none" w:sz="0" w:space="0" w:color="auto"/>
      </w:divBdr>
    </w:div>
    <w:div w:id="202254940">
      <w:bodyDiv w:val="1"/>
      <w:marLeft w:val="0"/>
      <w:marRight w:val="0"/>
      <w:marTop w:val="0"/>
      <w:marBottom w:val="0"/>
      <w:divBdr>
        <w:top w:val="none" w:sz="0" w:space="0" w:color="auto"/>
        <w:left w:val="none" w:sz="0" w:space="0" w:color="auto"/>
        <w:bottom w:val="none" w:sz="0" w:space="0" w:color="auto"/>
        <w:right w:val="none" w:sz="0" w:space="0" w:color="auto"/>
      </w:divBdr>
      <w:divsChild>
        <w:div w:id="1720395970">
          <w:marLeft w:val="0"/>
          <w:marRight w:val="0"/>
          <w:marTop w:val="0"/>
          <w:marBottom w:val="0"/>
          <w:divBdr>
            <w:top w:val="single" w:sz="2" w:space="0" w:color="D9D9E3"/>
            <w:left w:val="single" w:sz="2" w:space="0" w:color="D9D9E3"/>
            <w:bottom w:val="single" w:sz="2" w:space="0" w:color="D9D9E3"/>
            <w:right w:val="single" w:sz="2" w:space="0" w:color="D9D9E3"/>
          </w:divBdr>
          <w:divsChild>
            <w:div w:id="1371298388">
              <w:marLeft w:val="0"/>
              <w:marRight w:val="0"/>
              <w:marTop w:val="0"/>
              <w:marBottom w:val="0"/>
              <w:divBdr>
                <w:top w:val="single" w:sz="2" w:space="0" w:color="D9D9E3"/>
                <w:left w:val="single" w:sz="2" w:space="0" w:color="D9D9E3"/>
                <w:bottom w:val="single" w:sz="2" w:space="0" w:color="D9D9E3"/>
                <w:right w:val="single" w:sz="2" w:space="0" w:color="D9D9E3"/>
              </w:divBdr>
              <w:divsChild>
                <w:div w:id="780302970">
                  <w:marLeft w:val="0"/>
                  <w:marRight w:val="0"/>
                  <w:marTop w:val="0"/>
                  <w:marBottom w:val="0"/>
                  <w:divBdr>
                    <w:top w:val="single" w:sz="2" w:space="0" w:color="D9D9E3"/>
                    <w:left w:val="single" w:sz="2" w:space="0" w:color="D9D9E3"/>
                    <w:bottom w:val="single" w:sz="2" w:space="0" w:color="D9D9E3"/>
                    <w:right w:val="single" w:sz="2" w:space="0" w:color="D9D9E3"/>
                  </w:divBdr>
                  <w:divsChild>
                    <w:div w:id="1325427153">
                      <w:marLeft w:val="0"/>
                      <w:marRight w:val="0"/>
                      <w:marTop w:val="0"/>
                      <w:marBottom w:val="0"/>
                      <w:divBdr>
                        <w:top w:val="single" w:sz="2" w:space="0" w:color="D9D9E3"/>
                        <w:left w:val="single" w:sz="2" w:space="0" w:color="D9D9E3"/>
                        <w:bottom w:val="single" w:sz="2" w:space="0" w:color="D9D9E3"/>
                        <w:right w:val="single" w:sz="2" w:space="0" w:color="D9D9E3"/>
                      </w:divBdr>
                      <w:divsChild>
                        <w:div w:id="1415861790">
                          <w:marLeft w:val="0"/>
                          <w:marRight w:val="0"/>
                          <w:marTop w:val="0"/>
                          <w:marBottom w:val="0"/>
                          <w:divBdr>
                            <w:top w:val="single" w:sz="2" w:space="0" w:color="D9D9E3"/>
                            <w:left w:val="single" w:sz="2" w:space="0" w:color="D9D9E3"/>
                            <w:bottom w:val="single" w:sz="2" w:space="0" w:color="D9D9E3"/>
                            <w:right w:val="single" w:sz="2" w:space="0" w:color="D9D9E3"/>
                          </w:divBdr>
                          <w:divsChild>
                            <w:div w:id="56973280">
                              <w:marLeft w:val="0"/>
                              <w:marRight w:val="0"/>
                              <w:marTop w:val="100"/>
                              <w:marBottom w:val="100"/>
                              <w:divBdr>
                                <w:top w:val="single" w:sz="2" w:space="0" w:color="D9D9E3"/>
                                <w:left w:val="single" w:sz="2" w:space="0" w:color="D9D9E3"/>
                                <w:bottom w:val="single" w:sz="2" w:space="0" w:color="D9D9E3"/>
                                <w:right w:val="single" w:sz="2" w:space="0" w:color="D9D9E3"/>
                              </w:divBdr>
                              <w:divsChild>
                                <w:div w:id="538862035">
                                  <w:marLeft w:val="0"/>
                                  <w:marRight w:val="0"/>
                                  <w:marTop w:val="0"/>
                                  <w:marBottom w:val="0"/>
                                  <w:divBdr>
                                    <w:top w:val="single" w:sz="2" w:space="0" w:color="D9D9E3"/>
                                    <w:left w:val="single" w:sz="2" w:space="0" w:color="D9D9E3"/>
                                    <w:bottom w:val="single" w:sz="2" w:space="0" w:color="D9D9E3"/>
                                    <w:right w:val="single" w:sz="2" w:space="0" w:color="D9D9E3"/>
                                  </w:divBdr>
                                  <w:divsChild>
                                    <w:div w:id="1501239115">
                                      <w:marLeft w:val="0"/>
                                      <w:marRight w:val="0"/>
                                      <w:marTop w:val="0"/>
                                      <w:marBottom w:val="0"/>
                                      <w:divBdr>
                                        <w:top w:val="single" w:sz="2" w:space="0" w:color="D9D9E3"/>
                                        <w:left w:val="single" w:sz="2" w:space="0" w:color="D9D9E3"/>
                                        <w:bottom w:val="single" w:sz="2" w:space="0" w:color="D9D9E3"/>
                                        <w:right w:val="single" w:sz="2" w:space="0" w:color="D9D9E3"/>
                                      </w:divBdr>
                                      <w:divsChild>
                                        <w:div w:id="1758862807">
                                          <w:marLeft w:val="0"/>
                                          <w:marRight w:val="0"/>
                                          <w:marTop w:val="0"/>
                                          <w:marBottom w:val="0"/>
                                          <w:divBdr>
                                            <w:top w:val="single" w:sz="2" w:space="0" w:color="D9D9E3"/>
                                            <w:left w:val="single" w:sz="2" w:space="0" w:color="D9D9E3"/>
                                            <w:bottom w:val="single" w:sz="2" w:space="0" w:color="D9D9E3"/>
                                            <w:right w:val="single" w:sz="2" w:space="0" w:color="D9D9E3"/>
                                          </w:divBdr>
                                          <w:divsChild>
                                            <w:div w:id="1267035453">
                                              <w:marLeft w:val="0"/>
                                              <w:marRight w:val="0"/>
                                              <w:marTop w:val="0"/>
                                              <w:marBottom w:val="0"/>
                                              <w:divBdr>
                                                <w:top w:val="single" w:sz="2" w:space="0" w:color="D9D9E3"/>
                                                <w:left w:val="single" w:sz="2" w:space="0" w:color="D9D9E3"/>
                                                <w:bottom w:val="single" w:sz="2" w:space="0" w:color="D9D9E3"/>
                                                <w:right w:val="single" w:sz="2" w:space="0" w:color="D9D9E3"/>
                                              </w:divBdr>
                                              <w:divsChild>
                                                <w:div w:id="380903465">
                                                  <w:marLeft w:val="0"/>
                                                  <w:marRight w:val="0"/>
                                                  <w:marTop w:val="0"/>
                                                  <w:marBottom w:val="0"/>
                                                  <w:divBdr>
                                                    <w:top w:val="single" w:sz="2" w:space="0" w:color="D9D9E3"/>
                                                    <w:left w:val="single" w:sz="2" w:space="0" w:color="D9D9E3"/>
                                                    <w:bottom w:val="single" w:sz="2" w:space="0" w:color="D9D9E3"/>
                                                    <w:right w:val="single" w:sz="2" w:space="0" w:color="D9D9E3"/>
                                                  </w:divBdr>
                                                  <w:divsChild>
                                                    <w:div w:id="6992801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82076733">
          <w:marLeft w:val="0"/>
          <w:marRight w:val="0"/>
          <w:marTop w:val="0"/>
          <w:marBottom w:val="0"/>
          <w:divBdr>
            <w:top w:val="none" w:sz="0" w:space="0" w:color="auto"/>
            <w:left w:val="none" w:sz="0" w:space="0" w:color="auto"/>
            <w:bottom w:val="none" w:sz="0" w:space="0" w:color="auto"/>
            <w:right w:val="none" w:sz="0" w:space="0" w:color="auto"/>
          </w:divBdr>
        </w:div>
      </w:divsChild>
    </w:div>
    <w:div w:id="203255651">
      <w:bodyDiv w:val="1"/>
      <w:marLeft w:val="0"/>
      <w:marRight w:val="0"/>
      <w:marTop w:val="0"/>
      <w:marBottom w:val="0"/>
      <w:divBdr>
        <w:top w:val="none" w:sz="0" w:space="0" w:color="auto"/>
        <w:left w:val="none" w:sz="0" w:space="0" w:color="auto"/>
        <w:bottom w:val="none" w:sz="0" w:space="0" w:color="auto"/>
        <w:right w:val="none" w:sz="0" w:space="0" w:color="auto"/>
      </w:divBdr>
    </w:div>
    <w:div w:id="216820109">
      <w:bodyDiv w:val="1"/>
      <w:marLeft w:val="0"/>
      <w:marRight w:val="0"/>
      <w:marTop w:val="0"/>
      <w:marBottom w:val="0"/>
      <w:divBdr>
        <w:top w:val="none" w:sz="0" w:space="0" w:color="auto"/>
        <w:left w:val="none" w:sz="0" w:space="0" w:color="auto"/>
        <w:bottom w:val="none" w:sz="0" w:space="0" w:color="auto"/>
        <w:right w:val="none" w:sz="0" w:space="0" w:color="auto"/>
      </w:divBdr>
    </w:div>
    <w:div w:id="240214102">
      <w:bodyDiv w:val="1"/>
      <w:marLeft w:val="0"/>
      <w:marRight w:val="0"/>
      <w:marTop w:val="0"/>
      <w:marBottom w:val="0"/>
      <w:divBdr>
        <w:top w:val="none" w:sz="0" w:space="0" w:color="auto"/>
        <w:left w:val="none" w:sz="0" w:space="0" w:color="auto"/>
        <w:bottom w:val="none" w:sz="0" w:space="0" w:color="auto"/>
        <w:right w:val="none" w:sz="0" w:space="0" w:color="auto"/>
      </w:divBdr>
    </w:div>
    <w:div w:id="241961672">
      <w:bodyDiv w:val="1"/>
      <w:marLeft w:val="0"/>
      <w:marRight w:val="0"/>
      <w:marTop w:val="0"/>
      <w:marBottom w:val="0"/>
      <w:divBdr>
        <w:top w:val="none" w:sz="0" w:space="0" w:color="auto"/>
        <w:left w:val="none" w:sz="0" w:space="0" w:color="auto"/>
        <w:bottom w:val="none" w:sz="0" w:space="0" w:color="auto"/>
        <w:right w:val="none" w:sz="0" w:space="0" w:color="auto"/>
      </w:divBdr>
    </w:div>
    <w:div w:id="284121232">
      <w:bodyDiv w:val="1"/>
      <w:marLeft w:val="0"/>
      <w:marRight w:val="0"/>
      <w:marTop w:val="0"/>
      <w:marBottom w:val="0"/>
      <w:divBdr>
        <w:top w:val="none" w:sz="0" w:space="0" w:color="auto"/>
        <w:left w:val="none" w:sz="0" w:space="0" w:color="auto"/>
        <w:bottom w:val="none" w:sz="0" w:space="0" w:color="auto"/>
        <w:right w:val="none" w:sz="0" w:space="0" w:color="auto"/>
      </w:divBdr>
    </w:div>
    <w:div w:id="292254706">
      <w:bodyDiv w:val="1"/>
      <w:marLeft w:val="0"/>
      <w:marRight w:val="0"/>
      <w:marTop w:val="0"/>
      <w:marBottom w:val="0"/>
      <w:divBdr>
        <w:top w:val="none" w:sz="0" w:space="0" w:color="auto"/>
        <w:left w:val="none" w:sz="0" w:space="0" w:color="auto"/>
        <w:bottom w:val="none" w:sz="0" w:space="0" w:color="auto"/>
        <w:right w:val="none" w:sz="0" w:space="0" w:color="auto"/>
      </w:divBdr>
    </w:div>
    <w:div w:id="296957593">
      <w:bodyDiv w:val="1"/>
      <w:marLeft w:val="0"/>
      <w:marRight w:val="0"/>
      <w:marTop w:val="0"/>
      <w:marBottom w:val="0"/>
      <w:divBdr>
        <w:top w:val="none" w:sz="0" w:space="0" w:color="auto"/>
        <w:left w:val="none" w:sz="0" w:space="0" w:color="auto"/>
        <w:bottom w:val="none" w:sz="0" w:space="0" w:color="auto"/>
        <w:right w:val="none" w:sz="0" w:space="0" w:color="auto"/>
      </w:divBdr>
    </w:div>
    <w:div w:id="315765375">
      <w:bodyDiv w:val="1"/>
      <w:marLeft w:val="0"/>
      <w:marRight w:val="0"/>
      <w:marTop w:val="0"/>
      <w:marBottom w:val="0"/>
      <w:divBdr>
        <w:top w:val="none" w:sz="0" w:space="0" w:color="auto"/>
        <w:left w:val="none" w:sz="0" w:space="0" w:color="auto"/>
        <w:bottom w:val="none" w:sz="0" w:space="0" w:color="auto"/>
        <w:right w:val="none" w:sz="0" w:space="0" w:color="auto"/>
      </w:divBdr>
    </w:div>
    <w:div w:id="318383586">
      <w:bodyDiv w:val="1"/>
      <w:marLeft w:val="0"/>
      <w:marRight w:val="0"/>
      <w:marTop w:val="0"/>
      <w:marBottom w:val="0"/>
      <w:divBdr>
        <w:top w:val="none" w:sz="0" w:space="0" w:color="auto"/>
        <w:left w:val="none" w:sz="0" w:space="0" w:color="auto"/>
        <w:bottom w:val="none" w:sz="0" w:space="0" w:color="auto"/>
        <w:right w:val="none" w:sz="0" w:space="0" w:color="auto"/>
      </w:divBdr>
    </w:div>
    <w:div w:id="336621596">
      <w:bodyDiv w:val="1"/>
      <w:marLeft w:val="0"/>
      <w:marRight w:val="0"/>
      <w:marTop w:val="0"/>
      <w:marBottom w:val="0"/>
      <w:divBdr>
        <w:top w:val="none" w:sz="0" w:space="0" w:color="auto"/>
        <w:left w:val="none" w:sz="0" w:space="0" w:color="auto"/>
        <w:bottom w:val="none" w:sz="0" w:space="0" w:color="auto"/>
        <w:right w:val="none" w:sz="0" w:space="0" w:color="auto"/>
      </w:divBdr>
    </w:div>
    <w:div w:id="344523802">
      <w:bodyDiv w:val="1"/>
      <w:marLeft w:val="0"/>
      <w:marRight w:val="0"/>
      <w:marTop w:val="0"/>
      <w:marBottom w:val="0"/>
      <w:divBdr>
        <w:top w:val="none" w:sz="0" w:space="0" w:color="auto"/>
        <w:left w:val="none" w:sz="0" w:space="0" w:color="auto"/>
        <w:bottom w:val="none" w:sz="0" w:space="0" w:color="auto"/>
        <w:right w:val="none" w:sz="0" w:space="0" w:color="auto"/>
      </w:divBdr>
    </w:div>
    <w:div w:id="419643596">
      <w:bodyDiv w:val="1"/>
      <w:marLeft w:val="0"/>
      <w:marRight w:val="0"/>
      <w:marTop w:val="0"/>
      <w:marBottom w:val="0"/>
      <w:divBdr>
        <w:top w:val="none" w:sz="0" w:space="0" w:color="auto"/>
        <w:left w:val="none" w:sz="0" w:space="0" w:color="auto"/>
        <w:bottom w:val="none" w:sz="0" w:space="0" w:color="auto"/>
        <w:right w:val="none" w:sz="0" w:space="0" w:color="auto"/>
      </w:divBdr>
    </w:div>
    <w:div w:id="441648834">
      <w:bodyDiv w:val="1"/>
      <w:marLeft w:val="0"/>
      <w:marRight w:val="0"/>
      <w:marTop w:val="0"/>
      <w:marBottom w:val="0"/>
      <w:divBdr>
        <w:top w:val="none" w:sz="0" w:space="0" w:color="auto"/>
        <w:left w:val="none" w:sz="0" w:space="0" w:color="auto"/>
        <w:bottom w:val="none" w:sz="0" w:space="0" w:color="auto"/>
        <w:right w:val="none" w:sz="0" w:space="0" w:color="auto"/>
      </w:divBdr>
    </w:div>
    <w:div w:id="459032995">
      <w:bodyDiv w:val="1"/>
      <w:marLeft w:val="0"/>
      <w:marRight w:val="0"/>
      <w:marTop w:val="0"/>
      <w:marBottom w:val="0"/>
      <w:divBdr>
        <w:top w:val="none" w:sz="0" w:space="0" w:color="auto"/>
        <w:left w:val="none" w:sz="0" w:space="0" w:color="auto"/>
        <w:bottom w:val="none" w:sz="0" w:space="0" w:color="auto"/>
        <w:right w:val="none" w:sz="0" w:space="0" w:color="auto"/>
      </w:divBdr>
    </w:div>
    <w:div w:id="532034599">
      <w:bodyDiv w:val="1"/>
      <w:marLeft w:val="0"/>
      <w:marRight w:val="0"/>
      <w:marTop w:val="0"/>
      <w:marBottom w:val="0"/>
      <w:divBdr>
        <w:top w:val="none" w:sz="0" w:space="0" w:color="auto"/>
        <w:left w:val="none" w:sz="0" w:space="0" w:color="auto"/>
        <w:bottom w:val="none" w:sz="0" w:space="0" w:color="auto"/>
        <w:right w:val="none" w:sz="0" w:space="0" w:color="auto"/>
      </w:divBdr>
    </w:div>
    <w:div w:id="608052758">
      <w:bodyDiv w:val="1"/>
      <w:marLeft w:val="0"/>
      <w:marRight w:val="0"/>
      <w:marTop w:val="0"/>
      <w:marBottom w:val="0"/>
      <w:divBdr>
        <w:top w:val="none" w:sz="0" w:space="0" w:color="auto"/>
        <w:left w:val="none" w:sz="0" w:space="0" w:color="auto"/>
        <w:bottom w:val="none" w:sz="0" w:space="0" w:color="auto"/>
        <w:right w:val="none" w:sz="0" w:space="0" w:color="auto"/>
      </w:divBdr>
    </w:div>
    <w:div w:id="620916900">
      <w:bodyDiv w:val="1"/>
      <w:marLeft w:val="0"/>
      <w:marRight w:val="0"/>
      <w:marTop w:val="0"/>
      <w:marBottom w:val="0"/>
      <w:divBdr>
        <w:top w:val="none" w:sz="0" w:space="0" w:color="auto"/>
        <w:left w:val="none" w:sz="0" w:space="0" w:color="auto"/>
        <w:bottom w:val="none" w:sz="0" w:space="0" w:color="auto"/>
        <w:right w:val="none" w:sz="0" w:space="0" w:color="auto"/>
      </w:divBdr>
    </w:div>
    <w:div w:id="625161842">
      <w:bodyDiv w:val="1"/>
      <w:marLeft w:val="0"/>
      <w:marRight w:val="0"/>
      <w:marTop w:val="0"/>
      <w:marBottom w:val="0"/>
      <w:divBdr>
        <w:top w:val="none" w:sz="0" w:space="0" w:color="auto"/>
        <w:left w:val="none" w:sz="0" w:space="0" w:color="auto"/>
        <w:bottom w:val="none" w:sz="0" w:space="0" w:color="auto"/>
        <w:right w:val="none" w:sz="0" w:space="0" w:color="auto"/>
      </w:divBdr>
    </w:div>
    <w:div w:id="625697615">
      <w:bodyDiv w:val="1"/>
      <w:marLeft w:val="0"/>
      <w:marRight w:val="0"/>
      <w:marTop w:val="0"/>
      <w:marBottom w:val="0"/>
      <w:divBdr>
        <w:top w:val="none" w:sz="0" w:space="0" w:color="auto"/>
        <w:left w:val="none" w:sz="0" w:space="0" w:color="auto"/>
        <w:bottom w:val="none" w:sz="0" w:space="0" w:color="auto"/>
        <w:right w:val="none" w:sz="0" w:space="0" w:color="auto"/>
      </w:divBdr>
    </w:div>
    <w:div w:id="627704590">
      <w:bodyDiv w:val="1"/>
      <w:marLeft w:val="0"/>
      <w:marRight w:val="0"/>
      <w:marTop w:val="0"/>
      <w:marBottom w:val="0"/>
      <w:divBdr>
        <w:top w:val="none" w:sz="0" w:space="0" w:color="auto"/>
        <w:left w:val="none" w:sz="0" w:space="0" w:color="auto"/>
        <w:bottom w:val="none" w:sz="0" w:space="0" w:color="auto"/>
        <w:right w:val="none" w:sz="0" w:space="0" w:color="auto"/>
      </w:divBdr>
    </w:div>
    <w:div w:id="640160037">
      <w:bodyDiv w:val="1"/>
      <w:marLeft w:val="0"/>
      <w:marRight w:val="0"/>
      <w:marTop w:val="0"/>
      <w:marBottom w:val="0"/>
      <w:divBdr>
        <w:top w:val="none" w:sz="0" w:space="0" w:color="auto"/>
        <w:left w:val="none" w:sz="0" w:space="0" w:color="auto"/>
        <w:bottom w:val="none" w:sz="0" w:space="0" w:color="auto"/>
        <w:right w:val="none" w:sz="0" w:space="0" w:color="auto"/>
      </w:divBdr>
    </w:div>
    <w:div w:id="647561607">
      <w:bodyDiv w:val="1"/>
      <w:marLeft w:val="0"/>
      <w:marRight w:val="0"/>
      <w:marTop w:val="0"/>
      <w:marBottom w:val="0"/>
      <w:divBdr>
        <w:top w:val="none" w:sz="0" w:space="0" w:color="auto"/>
        <w:left w:val="none" w:sz="0" w:space="0" w:color="auto"/>
        <w:bottom w:val="none" w:sz="0" w:space="0" w:color="auto"/>
        <w:right w:val="none" w:sz="0" w:space="0" w:color="auto"/>
      </w:divBdr>
    </w:div>
    <w:div w:id="661546768">
      <w:bodyDiv w:val="1"/>
      <w:marLeft w:val="0"/>
      <w:marRight w:val="0"/>
      <w:marTop w:val="0"/>
      <w:marBottom w:val="0"/>
      <w:divBdr>
        <w:top w:val="none" w:sz="0" w:space="0" w:color="auto"/>
        <w:left w:val="none" w:sz="0" w:space="0" w:color="auto"/>
        <w:bottom w:val="none" w:sz="0" w:space="0" w:color="auto"/>
        <w:right w:val="none" w:sz="0" w:space="0" w:color="auto"/>
      </w:divBdr>
    </w:div>
    <w:div w:id="662707042">
      <w:bodyDiv w:val="1"/>
      <w:marLeft w:val="0"/>
      <w:marRight w:val="0"/>
      <w:marTop w:val="0"/>
      <w:marBottom w:val="0"/>
      <w:divBdr>
        <w:top w:val="none" w:sz="0" w:space="0" w:color="auto"/>
        <w:left w:val="none" w:sz="0" w:space="0" w:color="auto"/>
        <w:bottom w:val="none" w:sz="0" w:space="0" w:color="auto"/>
        <w:right w:val="none" w:sz="0" w:space="0" w:color="auto"/>
      </w:divBdr>
    </w:div>
    <w:div w:id="663893077">
      <w:bodyDiv w:val="1"/>
      <w:marLeft w:val="0"/>
      <w:marRight w:val="0"/>
      <w:marTop w:val="0"/>
      <w:marBottom w:val="0"/>
      <w:divBdr>
        <w:top w:val="none" w:sz="0" w:space="0" w:color="auto"/>
        <w:left w:val="none" w:sz="0" w:space="0" w:color="auto"/>
        <w:bottom w:val="none" w:sz="0" w:space="0" w:color="auto"/>
        <w:right w:val="none" w:sz="0" w:space="0" w:color="auto"/>
      </w:divBdr>
    </w:div>
    <w:div w:id="669067597">
      <w:bodyDiv w:val="1"/>
      <w:marLeft w:val="0"/>
      <w:marRight w:val="0"/>
      <w:marTop w:val="0"/>
      <w:marBottom w:val="0"/>
      <w:divBdr>
        <w:top w:val="none" w:sz="0" w:space="0" w:color="auto"/>
        <w:left w:val="none" w:sz="0" w:space="0" w:color="auto"/>
        <w:bottom w:val="none" w:sz="0" w:space="0" w:color="auto"/>
        <w:right w:val="none" w:sz="0" w:space="0" w:color="auto"/>
      </w:divBdr>
    </w:div>
    <w:div w:id="677583894">
      <w:bodyDiv w:val="1"/>
      <w:marLeft w:val="0"/>
      <w:marRight w:val="0"/>
      <w:marTop w:val="0"/>
      <w:marBottom w:val="0"/>
      <w:divBdr>
        <w:top w:val="none" w:sz="0" w:space="0" w:color="auto"/>
        <w:left w:val="none" w:sz="0" w:space="0" w:color="auto"/>
        <w:bottom w:val="none" w:sz="0" w:space="0" w:color="auto"/>
        <w:right w:val="none" w:sz="0" w:space="0" w:color="auto"/>
      </w:divBdr>
    </w:div>
    <w:div w:id="677735952">
      <w:bodyDiv w:val="1"/>
      <w:marLeft w:val="0"/>
      <w:marRight w:val="0"/>
      <w:marTop w:val="0"/>
      <w:marBottom w:val="0"/>
      <w:divBdr>
        <w:top w:val="none" w:sz="0" w:space="0" w:color="auto"/>
        <w:left w:val="none" w:sz="0" w:space="0" w:color="auto"/>
        <w:bottom w:val="none" w:sz="0" w:space="0" w:color="auto"/>
        <w:right w:val="none" w:sz="0" w:space="0" w:color="auto"/>
      </w:divBdr>
    </w:div>
    <w:div w:id="684939434">
      <w:bodyDiv w:val="1"/>
      <w:marLeft w:val="0"/>
      <w:marRight w:val="0"/>
      <w:marTop w:val="0"/>
      <w:marBottom w:val="0"/>
      <w:divBdr>
        <w:top w:val="none" w:sz="0" w:space="0" w:color="auto"/>
        <w:left w:val="none" w:sz="0" w:space="0" w:color="auto"/>
        <w:bottom w:val="none" w:sz="0" w:space="0" w:color="auto"/>
        <w:right w:val="none" w:sz="0" w:space="0" w:color="auto"/>
      </w:divBdr>
    </w:div>
    <w:div w:id="722367998">
      <w:bodyDiv w:val="1"/>
      <w:marLeft w:val="0"/>
      <w:marRight w:val="0"/>
      <w:marTop w:val="0"/>
      <w:marBottom w:val="0"/>
      <w:divBdr>
        <w:top w:val="none" w:sz="0" w:space="0" w:color="auto"/>
        <w:left w:val="none" w:sz="0" w:space="0" w:color="auto"/>
        <w:bottom w:val="none" w:sz="0" w:space="0" w:color="auto"/>
        <w:right w:val="none" w:sz="0" w:space="0" w:color="auto"/>
      </w:divBdr>
    </w:div>
    <w:div w:id="729034114">
      <w:bodyDiv w:val="1"/>
      <w:marLeft w:val="0"/>
      <w:marRight w:val="0"/>
      <w:marTop w:val="0"/>
      <w:marBottom w:val="0"/>
      <w:divBdr>
        <w:top w:val="none" w:sz="0" w:space="0" w:color="auto"/>
        <w:left w:val="none" w:sz="0" w:space="0" w:color="auto"/>
        <w:bottom w:val="none" w:sz="0" w:space="0" w:color="auto"/>
        <w:right w:val="none" w:sz="0" w:space="0" w:color="auto"/>
      </w:divBdr>
    </w:div>
    <w:div w:id="736442467">
      <w:bodyDiv w:val="1"/>
      <w:marLeft w:val="0"/>
      <w:marRight w:val="0"/>
      <w:marTop w:val="0"/>
      <w:marBottom w:val="0"/>
      <w:divBdr>
        <w:top w:val="none" w:sz="0" w:space="0" w:color="auto"/>
        <w:left w:val="none" w:sz="0" w:space="0" w:color="auto"/>
        <w:bottom w:val="none" w:sz="0" w:space="0" w:color="auto"/>
        <w:right w:val="none" w:sz="0" w:space="0" w:color="auto"/>
      </w:divBdr>
    </w:div>
    <w:div w:id="737359621">
      <w:bodyDiv w:val="1"/>
      <w:marLeft w:val="0"/>
      <w:marRight w:val="0"/>
      <w:marTop w:val="0"/>
      <w:marBottom w:val="0"/>
      <w:divBdr>
        <w:top w:val="none" w:sz="0" w:space="0" w:color="auto"/>
        <w:left w:val="none" w:sz="0" w:space="0" w:color="auto"/>
        <w:bottom w:val="none" w:sz="0" w:space="0" w:color="auto"/>
        <w:right w:val="none" w:sz="0" w:space="0" w:color="auto"/>
      </w:divBdr>
    </w:div>
    <w:div w:id="741105636">
      <w:bodyDiv w:val="1"/>
      <w:marLeft w:val="0"/>
      <w:marRight w:val="0"/>
      <w:marTop w:val="0"/>
      <w:marBottom w:val="0"/>
      <w:divBdr>
        <w:top w:val="none" w:sz="0" w:space="0" w:color="auto"/>
        <w:left w:val="none" w:sz="0" w:space="0" w:color="auto"/>
        <w:bottom w:val="none" w:sz="0" w:space="0" w:color="auto"/>
        <w:right w:val="none" w:sz="0" w:space="0" w:color="auto"/>
      </w:divBdr>
    </w:div>
    <w:div w:id="760300520">
      <w:bodyDiv w:val="1"/>
      <w:marLeft w:val="0"/>
      <w:marRight w:val="0"/>
      <w:marTop w:val="0"/>
      <w:marBottom w:val="0"/>
      <w:divBdr>
        <w:top w:val="none" w:sz="0" w:space="0" w:color="auto"/>
        <w:left w:val="none" w:sz="0" w:space="0" w:color="auto"/>
        <w:bottom w:val="none" w:sz="0" w:space="0" w:color="auto"/>
        <w:right w:val="none" w:sz="0" w:space="0" w:color="auto"/>
      </w:divBdr>
    </w:div>
    <w:div w:id="764879859">
      <w:bodyDiv w:val="1"/>
      <w:marLeft w:val="0"/>
      <w:marRight w:val="0"/>
      <w:marTop w:val="0"/>
      <w:marBottom w:val="0"/>
      <w:divBdr>
        <w:top w:val="none" w:sz="0" w:space="0" w:color="auto"/>
        <w:left w:val="none" w:sz="0" w:space="0" w:color="auto"/>
        <w:bottom w:val="none" w:sz="0" w:space="0" w:color="auto"/>
        <w:right w:val="none" w:sz="0" w:space="0" w:color="auto"/>
      </w:divBdr>
    </w:div>
    <w:div w:id="820656497">
      <w:bodyDiv w:val="1"/>
      <w:marLeft w:val="0"/>
      <w:marRight w:val="0"/>
      <w:marTop w:val="0"/>
      <w:marBottom w:val="0"/>
      <w:divBdr>
        <w:top w:val="none" w:sz="0" w:space="0" w:color="auto"/>
        <w:left w:val="none" w:sz="0" w:space="0" w:color="auto"/>
        <w:bottom w:val="none" w:sz="0" w:space="0" w:color="auto"/>
        <w:right w:val="none" w:sz="0" w:space="0" w:color="auto"/>
      </w:divBdr>
    </w:div>
    <w:div w:id="881089182">
      <w:bodyDiv w:val="1"/>
      <w:marLeft w:val="0"/>
      <w:marRight w:val="0"/>
      <w:marTop w:val="0"/>
      <w:marBottom w:val="0"/>
      <w:divBdr>
        <w:top w:val="none" w:sz="0" w:space="0" w:color="auto"/>
        <w:left w:val="none" w:sz="0" w:space="0" w:color="auto"/>
        <w:bottom w:val="none" w:sz="0" w:space="0" w:color="auto"/>
        <w:right w:val="none" w:sz="0" w:space="0" w:color="auto"/>
      </w:divBdr>
    </w:div>
    <w:div w:id="881675117">
      <w:bodyDiv w:val="1"/>
      <w:marLeft w:val="0"/>
      <w:marRight w:val="0"/>
      <w:marTop w:val="0"/>
      <w:marBottom w:val="0"/>
      <w:divBdr>
        <w:top w:val="none" w:sz="0" w:space="0" w:color="auto"/>
        <w:left w:val="none" w:sz="0" w:space="0" w:color="auto"/>
        <w:bottom w:val="none" w:sz="0" w:space="0" w:color="auto"/>
        <w:right w:val="none" w:sz="0" w:space="0" w:color="auto"/>
      </w:divBdr>
    </w:div>
    <w:div w:id="914507874">
      <w:bodyDiv w:val="1"/>
      <w:marLeft w:val="0"/>
      <w:marRight w:val="0"/>
      <w:marTop w:val="0"/>
      <w:marBottom w:val="0"/>
      <w:divBdr>
        <w:top w:val="none" w:sz="0" w:space="0" w:color="auto"/>
        <w:left w:val="none" w:sz="0" w:space="0" w:color="auto"/>
        <w:bottom w:val="none" w:sz="0" w:space="0" w:color="auto"/>
        <w:right w:val="none" w:sz="0" w:space="0" w:color="auto"/>
      </w:divBdr>
    </w:div>
    <w:div w:id="917638821">
      <w:bodyDiv w:val="1"/>
      <w:marLeft w:val="0"/>
      <w:marRight w:val="0"/>
      <w:marTop w:val="0"/>
      <w:marBottom w:val="0"/>
      <w:divBdr>
        <w:top w:val="none" w:sz="0" w:space="0" w:color="auto"/>
        <w:left w:val="none" w:sz="0" w:space="0" w:color="auto"/>
        <w:bottom w:val="none" w:sz="0" w:space="0" w:color="auto"/>
        <w:right w:val="none" w:sz="0" w:space="0" w:color="auto"/>
      </w:divBdr>
    </w:div>
    <w:div w:id="919411592">
      <w:bodyDiv w:val="1"/>
      <w:marLeft w:val="0"/>
      <w:marRight w:val="0"/>
      <w:marTop w:val="0"/>
      <w:marBottom w:val="0"/>
      <w:divBdr>
        <w:top w:val="none" w:sz="0" w:space="0" w:color="auto"/>
        <w:left w:val="none" w:sz="0" w:space="0" w:color="auto"/>
        <w:bottom w:val="none" w:sz="0" w:space="0" w:color="auto"/>
        <w:right w:val="none" w:sz="0" w:space="0" w:color="auto"/>
      </w:divBdr>
    </w:div>
    <w:div w:id="938217122">
      <w:bodyDiv w:val="1"/>
      <w:marLeft w:val="0"/>
      <w:marRight w:val="0"/>
      <w:marTop w:val="0"/>
      <w:marBottom w:val="0"/>
      <w:divBdr>
        <w:top w:val="none" w:sz="0" w:space="0" w:color="auto"/>
        <w:left w:val="none" w:sz="0" w:space="0" w:color="auto"/>
        <w:bottom w:val="none" w:sz="0" w:space="0" w:color="auto"/>
        <w:right w:val="none" w:sz="0" w:space="0" w:color="auto"/>
      </w:divBdr>
    </w:div>
    <w:div w:id="962466117">
      <w:bodyDiv w:val="1"/>
      <w:marLeft w:val="0"/>
      <w:marRight w:val="0"/>
      <w:marTop w:val="0"/>
      <w:marBottom w:val="0"/>
      <w:divBdr>
        <w:top w:val="none" w:sz="0" w:space="0" w:color="auto"/>
        <w:left w:val="none" w:sz="0" w:space="0" w:color="auto"/>
        <w:bottom w:val="none" w:sz="0" w:space="0" w:color="auto"/>
        <w:right w:val="none" w:sz="0" w:space="0" w:color="auto"/>
      </w:divBdr>
    </w:div>
    <w:div w:id="1009678954">
      <w:bodyDiv w:val="1"/>
      <w:marLeft w:val="0"/>
      <w:marRight w:val="0"/>
      <w:marTop w:val="0"/>
      <w:marBottom w:val="0"/>
      <w:divBdr>
        <w:top w:val="none" w:sz="0" w:space="0" w:color="auto"/>
        <w:left w:val="none" w:sz="0" w:space="0" w:color="auto"/>
        <w:bottom w:val="none" w:sz="0" w:space="0" w:color="auto"/>
        <w:right w:val="none" w:sz="0" w:space="0" w:color="auto"/>
      </w:divBdr>
    </w:div>
    <w:div w:id="1020931051">
      <w:bodyDiv w:val="1"/>
      <w:marLeft w:val="0"/>
      <w:marRight w:val="0"/>
      <w:marTop w:val="0"/>
      <w:marBottom w:val="0"/>
      <w:divBdr>
        <w:top w:val="none" w:sz="0" w:space="0" w:color="auto"/>
        <w:left w:val="none" w:sz="0" w:space="0" w:color="auto"/>
        <w:bottom w:val="none" w:sz="0" w:space="0" w:color="auto"/>
        <w:right w:val="none" w:sz="0" w:space="0" w:color="auto"/>
      </w:divBdr>
    </w:div>
    <w:div w:id="1088192255">
      <w:bodyDiv w:val="1"/>
      <w:marLeft w:val="0"/>
      <w:marRight w:val="0"/>
      <w:marTop w:val="0"/>
      <w:marBottom w:val="0"/>
      <w:divBdr>
        <w:top w:val="none" w:sz="0" w:space="0" w:color="auto"/>
        <w:left w:val="none" w:sz="0" w:space="0" w:color="auto"/>
        <w:bottom w:val="none" w:sz="0" w:space="0" w:color="auto"/>
        <w:right w:val="none" w:sz="0" w:space="0" w:color="auto"/>
      </w:divBdr>
    </w:div>
    <w:div w:id="1103721333">
      <w:bodyDiv w:val="1"/>
      <w:marLeft w:val="0"/>
      <w:marRight w:val="0"/>
      <w:marTop w:val="0"/>
      <w:marBottom w:val="0"/>
      <w:divBdr>
        <w:top w:val="none" w:sz="0" w:space="0" w:color="auto"/>
        <w:left w:val="none" w:sz="0" w:space="0" w:color="auto"/>
        <w:bottom w:val="none" w:sz="0" w:space="0" w:color="auto"/>
        <w:right w:val="none" w:sz="0" w:space="0" w:color="auto"/>
      </w:divBdr>
    </w:div>
    <w:div w:id="1131745441">
      <w:bodyDiv w:val="1"/>
      <w:marLeft w:val="0"/>
      <w:marRight w:val="0"/>
      <w:marTop w:val="0"/>
      <w:marBottom w:val="0"/>
      <w:divBdr>
        <w:top w:val="none" w:sz="0" w:space="0" w:color="auto"/>
        <w:left w:val="none" w:sz="0" w:space="0" w:color="auto"/>
        <w:bottom w:val="none" w:sz="0" w:space="0" w:color="auto"/>
        <w:right w:val="none" w:sz="0" w:space="0" w:color="auto"/>
      </w:divBdr>
    </w:div>
    <w:div w:id="1139106538">
      <w:bodyDiv w:val="1"/>
      <w:marLeft w:val="0"/>
      <w:marRight w:val="0"/>
      <w:marTop w:val="0"/>
      <w:marBottom w:val="0"/>
      <w:divBdr>
        <w:top w:val="none" w:sz="0" w:space="0" w:color="auto"/>
        <w:left w:val="none" w:sz="0" w:space="0" w:color="auto"/>
        <w:bottom w:val="none" w:sz="0" w:space="0" w:color="auto"/>
        <w:right w:val="none" w:sz="0" w:space="0" w:color="auto"/>
      </w:divBdr>
    </w:div>
    <w:div w:id="1142504683">
      <w:bodyDiv w:val="1"/>
      <w:marLeft w:val="0"/>
      <w:marRight w:val="0"/>
      <w:marTop w:val="0"/>
      <w:marBottom w:val="0"/>
      <w:divBdr>
        <w:top w:val="none" w:sz="0" w:space="0" w:color="auto"/>
        <w:left w:val="none" w:sz="0" w:space="0" w:color="auto"/>
        <w:bottom w:val="none" w:sz="0" w:space="0" w:color="auto"/>
        <w:right w:val="none" w:sz="0" w:space="0" w:color="auto"/>
      </w:divBdr>
    </w:div>
    <w:div w:id="1171218204">
      <w:bodyDiv w:val="1"/>
      <w:marLeft w:val="0"/>
      <w:marRight w:val="0"/>
      <w:marTop w:val="0"/>
      <w:marBottom w:val="0"/>
      <w:divBdr>
        <w:top w:val="none" w:sz="0" w:space="0" w:color="auto"/>
        <w:left w:val="none" w:sz="0" w:space="0" w:color="auto"/>
        <w:bottom w:val="none" w:sz="0" w:space="0" w:color="auto"/>
        <w:right w:val="none" w:sz="0" w:space="0" w:color="auto"/>
      </w:divBdr>
    </w:div>
    <w:div w:id="1190072815">
      <w:bodyDiv w:val="1"/>
      <w:marLeft w:val="0"/>
      <w:marRight w:val="0"/>
      <w:marTop w:val="0"/>
      <w:marBottom w:val="0"/>
      <w:divBdr>
        <w:top w:val="none" w:sz="0" w:space="0" w:color="auto"/>
        <w:left w:val="none" w:sz="0" w:space="0" w:color="auto"/>
        <w:bottom w:val="none" w:sz="0" w:space="0" w:color="auto"/>
        <w:right w:val="none" w:sz="0" w:space="0" w:color="auto"/>
      </w:divBdr>
    </w:div>
    <w:div w:id="1192108828">
      <w:bodyDiv w:val="1"/>
      <w:marLeft w:val="0"/>
      <w:marRight w:val="0"/>
      <w:marTop w:val="0"/>
      <w:marBottom w:val="0"/>
      <w:divBdr>
        <w:top w:val="none" w:sz="0" w:space="0" w:color="auto"/>
        <w:left w:val="none" w:sz="0" w:space="0" w:color="auto"/>
        <w:bottom w:val="none" w:sz="0" w:space="0" w:color="auto"/>
        <w:right w:val="none" w:sz="0" w:space="0" w:color="auto"/>
      </w:divBdr>
    </w:div>
    <w:div w:id="1206717675">
      <w:bodyDiv w:val="1"/>
      <w:marLeft w:val="0"/>
      <w:marRight w:val="0"/>
      <w:marTop w:val="0"/>
      <w:marBottom w:val="0"/>
      <w:divBdr>
        <w:top w:val="none" w:sz="0" w:space="0" w:color="auto"/>
        <w:left w:val="none" w:sz="0" w:space="0" w:color="auto"/>
        <w:bottom w:val="none" w:sz="0" w:space="0" w:color="auto"/>
        <w:right w:val="none" w:sz="0" w:space="0" w:color="auto"/>
      </w:divBdr>
    </w:div>
    <w:div w:id="1210997667">
      <w:bodyDiv w:val="1"/>
      <w:marLeft w:val="0"/>
      <w:marRight w:val="0"/>
      <w:marTop w:val="0"/>
      <w:marBottom w:val="0"/>
      <w:divBdr>
        <w:top w:val="none" w:sz="0" w:space="0" w:color="auto"/>
        <w:left w:val="none" w:sz="0" w:space="0" w:color="auto"/>
        <w:bottom w:val="none" w:sz="0" w:space="0" w:color="auto"/>
        <w:right w:val="none" w:sz="0" w:space="0" w:color="auto"/>
      </w:divBdr>
    </w:div>
    <w:div w:id="1212033784">
      <w:bodyDiv w:val="1"/>
      <w:marLeft w:val="0"/>
      <w:marRight w:val="0"/>
      <w:marTop w:val="0"/>
      <w:marBottom w:val="0"/>
      <w:divBdr>
        <w:top w:val="none" w:sz="0" w:space="0" w:color="auto"/>
        <w:left w:val="none" w:sz="0" w:space="0" w:color="auto"/>
        <w:bottom w:val="none" w:sz="0" w:space="0" w:color="auto"/>
        <w:right w:val="none" w:sz="0" w:space="0" w:color="auto"/>
      </w:divBdr>
    </w:div>
    <w:div w:id="1240407274">
      <w:bodyDiv w:val="1"/>
      <w:marLeft w:val="0"/>
      <w:marRight w:val="0"/>
      <w:marTop w:val="0"/>
      <w:marBottom w:val="0"/>
      <w:divBdr>
        <w:top w:val="none" w:sz="0" w:space="0" w:color="auto"/>
        <w:left w:val="none" w:sz="0" w:space="0" w:color="auto"/>
        <w:bottom w:val="none" w:sz="0" w:space="0" w:color="auto"/>
        <w:right w:val="none" w:sz="0" w:space="0" w:color="auto"/>
      </w:divBdr>
    </w:div>
    <w:div w:id="1254124285">
      <w:bodyDiv w:val="1"/>
      <w:marLeft w:val="0"/>
      <w:marRight w:val="0"/>
      <w:marTop w:val="0"/>
      <w:marBottom w:val="0"/>
      <w:divBdr>
        <w:top w:val="none" w:sz="0" w:space="0" w:color="auto"/>
        <w:left w:val="none" w:sz="0" w:space="0" w:color="auto"/>
        <w:bottom w:val="none" w:sz="0" w:space="0" w:color="auto"/>
        <w:right w:val="none" w:sz="0" w:space="0" w:color="auto"/>
      </w:divBdr>
    </w:div>
    <w:div w:id="1261451821">
      <w:bodyDiv w:val="1"/>
      <w:marLeft w:val="0"/>
      <w:marRight w:val="0"/>
      <w:marTop w:val="0"/>
      <w:marBottom w:val="0"/>
      <w:divBdr>
        <w:top w:val="none" w:sz="0" w:space="0" w:color="auto"/>
        <w:left w:val="none" w:sz="0" w:space="0" w:color="auto"/>
        <w:bottom w:val="none" w:sz="0" w:space="0" w:color="auto"/>
        <w:right w:val="none" w:sz="0" w:space="0" w:color="auto"/>
      </w:divBdr>
    </w:div>
    <w:div w:id="1269695924">
      <w:bodyDiv w:val="1"/>
      <w:marLeft w:val="0"/>
      <w:marRight w:val="0"/>
      <w:marTop w:val="0"/>
      <w:marBottom w:val="0"/>
      <w:divBdr>
        <w:top w:val="none" w:sz="0" w:space="0" w:color="auto"/>
        <w:left w:val="none" w:sz="0" w:space="0" w:color="auto"/>
        <w:bottom w:val="none" w:sz="0" w:space="0" w:color="auto"/>
        <w:right w:val="none" w:sz="0" w:space="0" w:color="auto"/>
      </w:divBdr>
    </w:div>
    <w:div w:id="1278098234">
      <w:bodyDiv w:val="1"/>
      <w:marLeft w:val="0"/>
      <w:marRight w:val="0"/>
      <w:marTop w:val="0"/>
      <w:marBottom w:val="0"/>
      <w:divBdr>
        <w:top w:val="none" w:sz="0" w:space="0" w:color="auto"/>
        <w:left w:val="none" w:sz="0" w:space="0" w:color="auto"/>
        <w:bottom w:val="none" w:sz="0" w:space="0" w:color="auto"/>
        <w:right w:val="none" w:sz="0" w:space="0" w:color="auto"/>
      </w:divBdr>
    </w:div>
    <w:div w:id="1303658984">
      <w:bodyDiv w:val="1"/>
      <w:marLeft w:val="0"/>
      <w:marRight w:val="0"/>
      <w:marTop w:val="0"/>
      <w:marBottom w:val="0"/>
      <w:divBdr>
        <w:top w:val="none" w:sz="0" w:space="0" w:color="auto"/>
        <w:left w:val="none" w:sz="0" w:space="0" w:color="auto"/>
        <w:bottom w:val="none" w:sz="0" w:space="0" w:color="auto"/>
        <w:right w:val="none" w:sz="0" w:space="0" w:color="auto"/>
      </w:divBdr>
    </w:div>
    <w:div w:id="1352141685">
      <w:bodyDiv w:val="1"/>
      <w:marLeft w:val="0"/>
      <w:marRight w:val="0"/>
      <w:marTop w:val="0"/>
      <w:marBottom w:val="0"/>
      <w:divBdr>
        <w:top w:val="none" w:sz="0" w:space="0" w:color="auto"/>
        <w:left w:val="none" w:sz="0" w:space="0" w:color="auto"/>
        <w:bottom w:val="none" w:sz="0" w:space="0" w:color="auto"/>
        <w:right w:val="none" w:sz="0" w:space="0" w:color="auto"/>
      </w:divBdr>
    </w:div>
    <w:div w:id="1352419673">
      <w:bodyDiv w:val="1"/>
      <w:marLeft w:val="0"/>
      <w:marRight w:val="0"/>
      <w:marTop w:val="0"/>
      <w:marBottom w:val="0"/>
      <w:divBdr>
        <w:top w:val="none" w:sz="0" w:space="0" w:color="auto"/>
        <w:left w:val="none" w:sz="0" w:space="0" w:color="auto"/>
        <w:bottom w:val="none" w:sz="0" w:space="0" w:color="auto"/>
        <w:right w:val="none" w:sz="0" w:space="0" w:color="auto"/>
      </w:divBdr>
    </w:div>
    <w:div w:id="1370644319">
      <w:bodyDiv w:val="1"/>
      <w:marLeft w:val="0"/>
      <w:marRight w:val="0"/>
      <w:marTop w:val="0"/>
      <w:marBottom w:val="0"/>
      <w:divBdr>
        <w:top w:val="none" w:sz="0" w:space="0" w:color="auto"/>
        <w:left w:val="none" w:sz="0" w:space="0" w:color="auto"/>
        <w:bottom w:val="none" w:sz="0" w:space="0" w:color="auto"/>
        <w:right w:val="none" w:sz="0" w:space="0" w:color="auto"/>
      </w:divBdr>
    </w:div>
    <w:div w:id="1393848972">
      <w:bodyDiv w:val="1"/>
      <w:marLeft w:val="0"/>
      <w:marRight w:val="0"/>
      <w:marTop w:val="0"/>
      <w:marBottom w:val="0"/>
      <w:divBdr>
        <w:top w:val="none" w:sz="0" w:space="0" w:color="auto"/>
        <w:left w:val="none" w:sz="0" w:space="0" w:color="auto"/>
        <w:bottom w:val="none" w:sz="0" w:space="0" w:color="auto"/>
        <w:right w:val="none" w:sz="0" w:space="0" w:color="auto"/>
      </w:divBdr>
    </w:div>
    <w:div w:id="1397974789">
      <w:bodyDiv w:val="1"/>
      <w:marLeft w:val="0"/>
      <w:marRight w:val="0"/>
      <w:marTop w:val="0"/>
      <w:marBottom w:val="0"/>
      <w:divBdr>
        <w:top w:val="none" w:sz="0" w:space="0" w:color="auto"/>
        <w:left w:val="none" w:sz="0" w:space="0" w:color="auto"/>
        <w:bottom w:val="none" w:sz="0" w:space="0" w:color="auto"/>
        <w:right w:val="none" w:sz="0" w:space="0" w:color="auto"/>
      </w:divBdr>
    </w:div>
    <w:div w:id="1405757361">
      <w:bodyDiv w:val="1"/>
      <w:marLeft w:val="0"/>
      <w:marRight w:val="0"/>
      <w:marTop w:val="0"/>
      <w:marBottom w:val="0"/>
      <w:divBdr>
        <w:top w:val="none" w:sz="0" w:space="0" w:color="auto"/>
        <w:left w:val="none" w:sz="0" w:space="0" w:color="auto"/>
        <w:bottom w:val="none" w:sz="0" w:space="0" w:color="auto"/>
        <w:right w:val="none" w:sz="0" w:space="0" w:color="auto"/>
      </w:divBdr>
    </w:div>
    <w:div w:id="1408918890">
      <w:bodyDiv w:val="1"/>
      <w:marLeft w:val="0"/>
      <w:marRight w:val="0"/>
      <w:marTop w:val="0"/>
      <w:marBottom w:val="0"/>
      <w:divBdr>
        <w:top w:val="none" w:sz="0" w:space="0" w:color="auto"/>
        <w:left w:val="none" w:sz="0" w:space="0" w:color="auto"/>
        <w:bottom w:val="none" w:sz="0" w:space="0" w:color="auto"/>
        <w:right w:val="none" w:sz="0" w:space="0" w:color="auto"/>
      </w:divBdr>
    </w:div>
    <w:div w:id="1455440544">
      <w:bodyDiv w:val="1"/>
      <w:marLeft w:val="0"/>
      <w:marRight w:val="0"/>
      <w:marTop w:val="0"/>
      <w:marBottom w:val="0"/>
      <w:divBdr>
        <w:top w:val="none" w:sz="0" w:space="0" w:color="auto"/>
        <w:left w:val="none" w:sz="0" w:space="0" w:color="auto"/>
        <w:bottom w:val="none" w:sz="0" w:space="0" w:color="auto"/>
        <w:right w:val="none" w:sz="0" w:space="0" w:color="auto"/>
      </w:divBdr>
    </w:div>
    <w:div w:id="1460804725">
      <w:bodyDiv w:val="1"/>
      <w:marLeft w:val="0"/>
      <w:marRight w:val="0"/>
      <w:marTop w:val="0"/>
      <w:marBottom w:val="0"/>
      <w:divBdr>
        <w:top w:val="none" w:sz="0" w:space="0" w:color="auto"/>
        <w:left w:val="none" w:sz="0" w:space="0" w:color="auto"/>
        <w:bottom w:val="none" w:sz="0" w:space="0" w:color="auto"/>
        <w:right w:val="none" w:sz="0" w:space="0" w:color="auto"/>
      </w:divBdr>
    </w:div>
    <w:div w:id="1463186475">
      <w:bodyDiv w:val="1"/>
      <w:marLeft w:val="0"/>
      <w:marRight w:val="0"/>
      <w:marTop w:val="0"/>
      <w:marBottom w:val="0"/>
      <w:divBdr>
        <w:top w:val="none" w:sz="0" w:space="0" w:color="auto"/>
        <w:left w:val="none" w:sz="0" w:space="0" w:color="auto"/>
        <w:bottom w:val="none" w:sz="0" w:space="0" w:color="auto"/>
        <w:right w:val="none" w:sz="0" w:space="0" w:color="auto"/>
      </w:divBdr>
    </w:div>
    <w:div w:id="1475444501">
      <w:bodyDiv w:val="1"/>
      <w:marLeft w:val="0"/>
      <w:marRight w:val="0"/>
      <w:marTop w:val="0"/>
      <w:marBottom w:val="0"/>
      <w:divBdr>
        <w:top w:val="none" w:sz="0" w:space="0" w:color="auto"/>
        <w:left w:val="none" w:sz="0" w:space="0" w:color="auto"/>
        <w:bottom w:val="none" w:sz="0" w:space="0" w:color="auto"/>
        <w:right w:val="none" w:sz="0" w:space="0" w:color="auto"/>
      </w:divBdr>
    </w:div>
    <w:div w:id="1492524834">
      <w:bodyDiv w:val="1"/>
      <w:marLeft w:val="0"/>
      <w:marRight w:val="0"/>
      <w:marTop w:val="0"/>
      <w:marBottom w:val="0"/>
      <w:divBdr>
        <w:top w:val="none" w:sz="0" w:space="0" w:color="auto"/>
        <w:left w:val="none" w:sz="0" w:space="0" w:color="auto"/>
        <w:bottom w:val="none" w:sz="0" w:space="0" w:color="auto"/>
        <w:right w:val="none" w:sz="0" w:space="0" w:color="auto"/>
      </w:divBdr>
    </w:div>
    <w:div w:id="1517305517">
      <w:bodyDiv w:val="1"/>
      <w:marLeft w:val="0"/>
      <w:marRight w:val="0"/>
      <w:marTop w:val="0"/>
      <w:marBottom w:val="0"/>
      <w:divBdr>
        <w:top w:val="none" w:sz="0" w:space="0" w:color="auto"/>
        <w:left w:val="none" w:sz="0" w:space="0" w:color="auto"/>
        <w:bottom w:val="none" w:sz="0" w:space="0" w:color="auto"/>
        <w:right w:val="none" w:sz="0" w:space="0" w:color="auto"/>
      </w:divBdr>
    </w:div>
    <w:div w:id="1537742328">
      <w:bodyDiv w:val="1"/>
      <w:marLeft w:val="0"/>
      <w:marRight w:val="0"/>
      <w:marTop w:val="0"/>
      <w:marBottom w:val="0"/>
      <w:divBdr>
        <w:top w:val="none" w:sz="0" w:space="0" w:color="auto"/>
        <w:left w:val="none" w:sz="0" w:space="0" w:color="auto"/>
        <w:bottom w:val="none" w:sz="0" w:space="0" w:color="auto"/>
        <w:right w:val="none" w:sz="0" w:space="0" w:color="auto"/>
      </w:divBdr>
    </w:div>
    <w:div w:id="1578204702">
      <w:bodyDiv w:val="1"/>
      <w:marLeft w:val="0"/>
      <w:marRight w:val="0"/>
      <w:marTop w:val="0"/>
      <w:marBottom w:val="0"/>
      <w:divBdr>
        <w:top w:val="none" w:sz="0" w:space="0" w:color="auto"/>
        <w:left w:val="none" w:sz="0" w:space="0" w:color="auto"/>
        <w:bottom w:val="none" w:sz="0" w:space="0" w:color="auto"/>
        <w:right w:val="none" w:sz="0" w:space="0" w:color="auto"/>
      </w:divBdr>
    </w:div>
    <w:div w:id="1600873046">
      <w:bodyDiv w:val="1"/>
      <w:marLeft w:val="0"/>
      <w:marRight w:val="0"/>
      <w:marTop w:val="0"/>
      <w:marBottom w:val="0"/>
      <w:divBdr>
        <w:top w:val="none" w:sz="0" w:space="0" w:color="auto"/>
        <w:left w:val="none" w:sz="0" w:space="0" w:color="auto"/>
        <w:bottom w:val="none" w:sz="0" w:space="0" w:color="auto"/>
        <w:right w:val="none" w:sz="0" w:space="0" w:color="auto"/>
      </w:divBdr>
    </w:div>
    <w:div w:id="1621716857">
      <w:bodyDiv w:val="1"/>
      <w:marLeft w:val="0"/>
      <w:marRight w:val="0"/>
      <w:marTop w:val="0"/>
      <w:marBottom w:val="0"/>
      <w:divBdr>
        <w:top w:val="none" w:sz="0" w:space="0" w:color="auto"/>
        <w:left w:val="none" w:sz="0" w:space="0" w:color="auto"/>
        <w:bottom w:val="none" w:sz="0" w:space="0" w:color="auto"/>
        <w:right w:val="none" w:sz="0" w:space="0" w:color="auto"/>
      </w:divBdr>
    </w:div>
    <w:div w:id="1640186541">
      <w:bodyDiv w:val="1"/>
      <w:marLeft w:val="0"/>
      <w:marRight w:val="0"/>
      <w:marTop w:val="0"/>
      <w:marBottom w:val="0"/>
      <w:divBdr>
        <w:top w:val="none" w:sz="0" w:space="0" w:color="auto"/>
        <w:left w:val="none" w:sz="0" w:space="0" w:color="auto"/>
        <w:bottom w:val="none" w:sz="0" w:space="0" w:color="auto"/>
        <w:right w:val="none" w:sz="0" w:space="0" w:color="auto"/>
      </w:divBdr>
    </w:div>
    <w:div w:id="1670525010">
      <w:bodyDiv w:val="1"/>
      <w:marLeft w:val="0"/>
      <w:marRight w:val="0"/>
      <w:marTop w:val="0"/>
      <w:marBottom w:val="0"/>
      <w:divBdr>
        <w:top w:val="none" w:sz="0" w:space="0" w:color="auto"/>
        <w:left w:val="none" w:sz="0" w:space="0" w:color="auto"/>
        <w:bottom w:val="none" w:sz="0" w:space="0" w:color="auto"/>
        <w:right w:val="none" w:sz="0" w:space="0" w:color="auto"/>
      </w:divBdr>
    </w:div>
    <w:div w:id="1685748528">
      <w:bodyDiv w:val="1"/>
      <w:marLeft w:val="0"/>
      <w:marRight w:val="0"/>
      <w:marTop w:val="0"/>
      <w:marBottom w:val="0"/>
      <w:divBdr>
        <w:top w:val="none" w:sz="0" w:space="0" w:color="auto"/>
        <w:left w:val="none" w:sz="0" w:space="0" w:color="auto"/>
        <w:bottom w:val="none" w:sz="0" w:space="0" w:color="auto"/>
        <w:right w:val="none" w:sz="0" w:space="0" w:color="auto"/>
      </w:divBdr>
    </w:div>
    <w:div w:id="1728727052">
      <w:bodyDiv w:val="1"/>
      <w:marLeft w:val="0"/>
      <w:marRight w:val="0"/>
      <w:marTop w:val="0"/>
      <w:marBottom w:val="0"/>
      <w:divBdr>
        <w:top w:val="none" w:sz="0" w:space="0" w:color="auto"/>
        <w:left w:val="none" w:sz="0" w:space="0" w:color="auto"/>
        <w:bottom w:val="none" w:sz="0" w:space="0" w:color="auto"/>
        <w:right w:val="none" w:sz="0" w:space="0" w:color="auto"/>
      </w:divBdr>
    </w:div>
    <w:div w:id="1734231538">
      <w:bodyDiv w:val="1"/>
      <w:marLeft w:val="0"/>
      <w:marRight w:val="0"/>
      <w:marTop w:val="0"/>
      <w:marBottom w:val="0"/>
      <w:divBdr>
        <w:top w:val="none" w:sz="0" w:space="0" w:color="auto"/>
        <w:left w:val="none" w:sz="0" w:space="0" w:color="auto"/>
        <w:bottom w:val="none" w:sz="0" w:space="0" w:color="auto"/>
        <w:right w:val="none" w:sz="0" w:space="0" w:color="auto"/>
      </w:divBdr>
    </w:div>
    <w:div w:id="1752119133">
      <w:bodyDiv w:val="1"/>
      <w:marLeft w:val="0"/>
      <w:marRight w:val="0"/>
      <w:marTop w:val="0"/>
      <w:marBottom w:val="0"/>
      <w:divBdr>
        <w:top w:val="none" w:sz="0" w:space="0" w:color="auto"/>
        <w:left w:val="none" w:sz="0" w:space="0" w:color="auto"/>
        <w:bottom w:val="none" w:sz="0" w:space="0" w:color="auto"/>
        <w:right w:val="none" w:sz="0" w:space="0" w:color="auto"/>
      </w:divBdr>
      <w:divsChild>
        <w:div w:id="2011061347">
          <w:marLeft w:val="0"/>
          <w:marRight w:val="0"/>
          <w:marTop w:val="0"/>
          <w:marBottom w:val="0"/>
          <w:divBdr>
            <w:top w:val="single" w:sz="2" w:space="0" w:color="D9D9E3"/>
            <w:left w:val="single" w:sz="2" w:space="0" w:color="D9D9E3"/>
            <w:bottom w:val="single" w:sz="2" w:space="0" w:color="D9D9E3"/>
            <w:right w:val="single" w:sz="2" w:space="0" w:color="D9D9E3"/>
          </w:divBdr>
          <w:divsChild>
            <w:div w:id="1468552554">
              <w:marLeft w:val="0"/>
              <w:marRight w:val="0"/>
              <w:marTop w:val="0"/>
              <w:marBottom w:val="0"/>
              <w:divBdr>
                <w:top w:val="single" w:sz="2" w:space="0" w:color="D9D9E3"/>
                <w:left w:val="single" w:sz="2" w:space="0" w:color="D9D9E3"/>
                <w:bottom w:val="single" w:sz="2" w:space="0" w:color="D9D9E3"/>
                <w:right w:val="single" w:sz="2" w:space="0" w:color="D9D9E3"/>
              </w:divBdr>
              <w:divsChild>
                <w:div w:id="1341006252">
                  <w:marLeft w:val="0"/>
                  <w:marRight w:val="0"/>
                  <w:marTop w:val="0"/>
                  <w:marBottom w:val="0"/>
                  <w:divBdr>
                    <w:top w:val="single" w:sz="2" w:space="0" w:color="D9D9E3"/>
                    <w:left w:val="single" w:sz="2" w:space="0" w:color="D9D9E3"/>
                    <w:bottom w:val="single" w:sz="2" w:space="0" w:color="D9D9E3"/>
                    <w:right w:val="single" w:sz="2" w:space="0" w:color="D9D9E3"/>
                  </w:divBdr>
                  <w:divsChild>
                    <w:div w:id="974876075">
                      <w:marLeft w:val="0"/>
                      <w:marRight w:val="0"/>
                      <w:marTop w:val="0"/>
                      <w:marBottom w:val="0"/>
                      <w:divBdr>
                        <w:top w:val="single" w:sz="2" w:space="0" w:color="D9D9E3"/>
                        <w:left w:val="single" w:sz="2" w:space="0" w:color="D9D9E3"/>
                        <w:bottom w:val="single" w:sz="2" w:space="0" w:color="D9D9E3"/>
                        <w:right w:val="single" w:sz="2" w:space="0" w:color="D9D9E3"/>
                      </w:divBdr>
                      <w:divsChild>
                        <w:div w:id="1695422057">
                          <w:marLeft w:val="0"/>
                          <w:marRight w:val="0"/>
                          <w:marTop w:val="0"/>
                          <w:marBottom w:val="0"/>
                          <w:divBdr>
                            <w:top w:val="single" w:sz="2" w:space="0" w:color="D9D9E3"/>
                            <w:left w:val="single" w:sz="2" w:space="0" w:color="D9D9E3"/>
                            <w:bottom w:val="single" w:sz="2" w:space="0" w:color="D9D9E3"/>
                            <w:right w:val="single" w:sz="2" w:space="0" w:color="D9D9E3"/>
                          </w:divBdr>
                          <w:divsChild>
                            <w:div w:id="1023942244">
                              <w:marLeft w:val="0"/>
                              <w:marRight w:val="0"/>
                              <w:marTop w:val="100"/>
                              <w:marBottom w:val="100"/>
                              <w:divBdr>
                                <w:top w:val="single" w:sz="2" w:space="0" w:color="D9D9E3"/>
                                <w:left w:val="single" w:sz="2" w:space="0" w:color="D9D9E3"/>
                                <w:bottom w:val="single" w:sz="2" w:space="0" w:color="D9D9E3"/>
                                <w:right w:val="single" w:sz="2" w:space="0" w:color="D9D9E3"/>
                              </w:divBdr>
                              <w:divsChild>
                                <w:div w:id="573055337">
                                  <w:marLeft w:val="0"/>
                                  <w:marRight w:val="0"/>
                                  <w:marTop w:val="0"/>
                                  <w:marBottom w:val="0"/>
                                  <w:divBdr>
                                    <w:top w:val="single" w:sz="2" w:space="0" w:color="D9D9E3"/>
                                    <w:left w:val="single" w:sz="2" w:space="0" w:color="D9D9E3"/>
                                    <w:bottom w:val="single" w:sz="2" w:space="0" w:color="D9D9E3"/>
                                    <w:right w:val="single" w:sz="2" w:space="0" w:color="D9D9E3"/>
                                  </w:divBdr>
                                  <w:divsChild>
                                    <w:div w:id="1874489446">
                                      <w:marLeft w:val="0"/>
                                      <w:marRight w:val="0"/>
                                      <w:marTop w:val="0"/>
                                      <w:marBottom w:val="0"/>
                                      <w:divBdr>
                                        <w:top w:val="single" w:sz="2" w:space="0" w:color="D9D9E3"/>
                                        <w:left w:val="single" w:sz="2" w:space="0" w:color="D9D9E3"/>
                                        <w:bottom w:val="single" w:sz="2" w:space="0" w:color="D9D9E3"/>
                                        <w:right w:val="single" w:sz="2" w:space="0" w:color="D9D9E3"/>
                                      </w:divBdr>
                                      <w:divsChild>
                                        <w:div w:id="947933963">
                                          <w:marLeft w:val="0"/>
                                          <w:marRight w:val="0"/>
                                          <w:marTop w:val="0"/>
                                          <w:marBottom w:val="0"/>
                                          <w:divBdr>
                                            <w:top w:val="single" w:sz="2" w:space="0" w:color="D9D9E3"/>
                                            <w:left w:val="single" w:sz="2" w:space="0" w:color="D9D9E3"/>
                                            <w:bottom w:val="single" w:sz="2" w:space="0" w:color="D9D9E3"/>
                                            <w:right w:val="single" w:sz="2" w:space="0" w:color="D9D9E3"/>
                                          </w:divBdr>
                                          <w:divsChild>
                                            <w:div w:id="231047118">
                                              <w:marLeft w:val="0"/>
                                              <w:marRight w:val="0"/>
                                              <w:marTop w:val="0"/>
                                              <w:marBottom w:val="0"/>
                                              <w:divBdr>
                                                <w:top w:val="single" w:sz="2" w:space="0" w:color="D9D9E3"/>
                                                <w:left w:val="single" w:sz="2" w:space="0" w:color="D9D9E3"/>
                                                <w:bottom w:val="single" w:sz="2" w:space="0" w:color="D9D9E3"/>
                                                <w:right w:val="single" w:sz="2" w:space="0" w:color="D9D9E3"/>
                                              </w:divBdr>
                                              <w:divsChild>
                                                <w:div w:id="1654866605">
                                                  <w:marLeft w:val="0"/>
                                                  <w:marRight w:val="0"/>
                                                  <w:marTop w:val="0"/>
                                                  <w:marBottom w:val="0"/>
                                                  <w:divBdr>
                                                    <w:top w:val="single" w:sz="2" w:space="0" w:color="D9D9E3"/>
                                                    <w:left w:val="single" w:sz="2" w:space="0" w:color="D9D9E3"/>
                                                    <w:bottom w:val="single" w:sz="2" w:space="0" w:color="D9D9E3"/>
                                                    <w:right w:val="single" w:sz="2" w:space="0" w:color="D9D9E3"/>
                                                  </w:divBdr>
                                                  <w:divsChild>
                                                    <w:div w:id="3744763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9453522">
          <w:marLeft w:val="0"/>
          <w:marRight w:val="0"/>
          <w:marTop w:val="0"/>
          <w:marBottom w:val="0"/>
          <w:divBdr>
            <w:top w:val="none" w:sz="0" w:space="0" w:color="auto"/>
            <w:left w:val="none" w:sz="0" w:space="0" w:color="auto"/>
            <w:bottom w:val="none" w:sz="0" w:space="0" w:color="auto"/>
            <w:right w:val="none" w:sz="0" w:space="0" w:color="auto"/>
          </w:divBdr>
        </w:div>
      </w:divsChild>
    </w:div>
    <w:div w:id="1764492747">
      <w:bodyDiv w:val="1"/>
      <w:marLeft w:val="0"/>
      <w:marRight w:val="0"/>
      <w:marTop w:val="0"/>
      <w:marBottom w:val="0"/>
      <w:divBdr>
        <w:top w:val="none" w:sz="0" w:space="0" w:color="auto"/>
        <w:left w:val="none" w:sz="0" w:space="0" w:color="auto"/>
        <w:bottom w:val="none" w:sz="0" w:space="0" w:color="auto"/>
        <w:right w:val="none" w:sz="0" w:space="0" w:color="auto"/>
      </w:divBdr>
    </w:div>
    <w:div w:id="1775859171">
      <w:bodyDiv w:val="1"/>
      <w:marLeft w:val="0"/>
      <w:marRight w:val="0"/>
      <w:marTop w:val="0"/>
      <w:marBottom w:val="0"/>
      <w:divBdr>
        <w:top w:val="none" w:sz="0" w:space="0" w:color="auto"/>
        <w:left w:val="none" w:sz="0" w:space="0" w:color="auto"/>
        <w:bottom w:val="none" w:sz="0" w:space="0" w:color="auto"/>
        <w:right w:val="none" w:sz="0" w:space="0" w:color="auto"/>
      </w:divBdr>
    </w:div>
    <w:div w:id="1813132975">
      <w:bodyDiv w:val="1"/>
      <w:marLeft w:val="0"/>
      <w:marRight w:val="0"/>
      <w:marTop w:val="0"/>
      <w:marBottom w:val="0"/>
      <w:divBdr>
        <w:top w:val="none" w:sz="0" w:space="0" w:color="auto"/>
        <w:left w:val="none" w:sz="0" w:space="0" w:color="auto"/>
        <w:bottom w:val="none" w:sz="0" w:space="0" w:color="auto"/>
        <w:right w:val="none" w:sz="0" w:space="0" w:color="auto"/>
      </w:divBdr>
    </w:div>
    <w:div w:id="1841385642">
      <w:bodyDiv w:val="1"/>
      <w:marLeft w:val="0"/>
      <w:marRight w:val="0"/>
      <w:marTop w:val="0"/>
      <w:marBottom w:val="0"/>
      <w:divBdr>
        <w:top w:val="none" w:sz="0" w:space="0" w:color="auto"/>
        <w:left w:val="none" w:sz="0" w:space="0" w:color="auto"/>
        <w:bottom w:val="none" w:sz="0" w:space="0" w:color="auto"/>
        <w:right w:val="none" w:sz="0" w:space="0" w:color="auto"/>
      </w:divBdr>
    </w:div>
    <w:div w:id="1856186787">
      <w:bodyDiv w:val="1"/>
      <w:marLeft w:val="0"/>
      <w:marRight w:val="0"/>
      <w:marTop w:val="0"/>
      <w:marBottom w:val="0"/>
      <w:divBdr>
        <w:top w:val="none" w:sz="0" w:space="0" w:color="auto"/>
        <w:left w:val="none" w:sz="0" w:space="0" w:color="auto"/>
        <w:bottom w:val="none" w:sz="0" w:space="0" w:color="auto"/>
        <w:right w:val="none" w:sz="0" w:space="0" w:color="auto"/>
      </w:divBdr>
    </w:div>
    <w:div w:id="1859349094">
      <w:bodyDiv w:val="1"/>
      <w:marLeft w:val="0"/>
      <w:marRight w:val="0"/>
      <w:marTop w:val="0"/>
      <w:marBottom w:val="0"/>
      <w:divBdr>
        <w:top w:val="none" w:sz="0" w:space="0" w:color="auto"/>
        <w:left w:val="none" w:sz="0" w:space="0" w:color="auto"/>
        <w:bottom w:val="none" w:sz="0" w:space="0" w:color="auto"/>
        <w:right w:val="none" w:sz="0" w:space="0" w:color="auto"/>
      </w:divBdr>
    </w:div>
    <w:div w:id="1878736823">
      <w:bodyDiv w:val="1"/>
      <w:marLeft w:val="0"/>
      <w:marRight w:val="0"/>
      <w:marTop w:val="0"/>
      <w:marBottom w:val="0"/>
      <w:divBdr>
        <w:top w:val="none" w:sz="0" w:space="0" w:color="auto"/>
        <w:left w:val="none" w:sz="0" w:space="0" w:color="auto"/>
        <w:bottom w:val="none" w:sz="0" w:space="0" w:color="auto"/>
        <w:right w:val="none" w:sz="0" w:space="0" w:color="auto"/>
      </w:divBdr>
    </w:div>
    <w:div w:id="1894729833">
      <w:bodyDiv w:val="1"/>
      <w:marLeft w:val="0"/>
      <w:marRight w:val="0"/>
      <w:marTop w:val="0"/>
      <w:marBottom w:val="0"/>
      <w:divBdr>
        <w:top w:val="none" w:sz="0" w:space="0" w:color="auto"/>
        <w:left w:val="none" w:sz="0" w:space="0" w:color="auto"/>
        <w:bottom w:val="none" w:sz="0" w:space="0" w:color="auto"/>
        <w:right w:val="none" w:sz="0" w:space="0" w:color="auto"/>
      </w:divBdr>
      <w:divsChild>
        <w:div w:id="107359769">
          <w:marLeft w:val="0"/>
          <w:marRight w:val="0"/>
          <w:marTop w:val="0"/>
          <w:marBottom w:val="0"/>
          <w:divBdr>
            <w:top w:val="single" w:sz="2" w:space="0" w:color="D9D9E3"/>
            <w:left w:val="single" w:sz="2" w:space="0" w:color="D9D9E3"/>
            <w:bottom w:val="single" w:sz="2" w:space="0" w:color="D9D9E3"/>
            <w:right w:val="single" w:sz="2" w:space="0" w:color="D9D9E3"/>
          </w:divBdr>
          <w:divsChild>
            <w:div w:id="1903325662">
              <w:marLeft w:val="0"/>
              <w:marRight w:val="0"/>
              <w:marTop w:val="100"/>
              <w:marBottom w:val="100"/>
              <w:divBdr>
                <w:top w:val="single" w:sz="2" w:space="0" w:color="D9D9E3"/>
                <w:left w:val="single" w:sz="2" w:space="0" w:color="D9D9E3"/>
                <w:bottom w:val="single" w:sz="2" w:space="0" w:color="D9D9E3"/>
                <w:right w:val="single" w:sz="2" w:space="0" w:color="D9D9E3"/>
              </w:divBdr>
              <w:divsChild>
                <w:div w:id="733428343">
                  <w:marLeft w:val="0"/>
                  <w:marRight w:val="0"/>
                  <w:marTop w:val="0"/>
                  <w:marBottom w:val="0"/>
                  <w:divBdr>
                    <w:top w:val="single" w:sz="2" w:space="0" w:color="D9D9E3"/>
                    <w:left w:val="single" w:sz="2" w:space="0" w:color="D9D9E3"/>
                    <w:bottom w:val="single" w:sz="2" w:space="0" w:color="D9D9E3"/>
                    <w:right w:val="single" w:sz="2" w:space="0" w:color="D9D9E3"/>
                  </w:divBdr>
                  <w:divsChild>
                    <w:div w:id="1744330369">
                      <w:marLeft w:val="0"/>
                      <w:marRight w:val="0"/>
                      <w:marTop w:val="0"/>
                      <w:marBottom w:val="0"/>
                      <w:divBdr>
                        <w:top w:val="single" w:sz="2" w:space="0" w:color="D9D9E3"/>
                        <w:left w:val="single" w:sz="2" w:space="0" w:color="D9D9E3"/>
                        <w:bottom w:val="single" w:sz="2" w:space="0" w:color="D9D9E3"/>
                        <w:right w:val="single" w:sz="2" w:space="0" w:color="D9D9E3"/>
                      </w:divBdr>
                      <w:divsChild>
                        <w:div w:id="902987114">
                          <w:marLeft w:val="0"/>
                          <w:marRight w:val="0"/>
                          <w:marTop w:val="0"/>
                          <w:marBottom w:val="0"/>
                          <w:divBdr>
                            <w:top w:val="single" w:sz="2" w:space="0" w:color="D9D9E3"/>
                            <w:left w:val="single" w:sz="2" w:space="0" w:color="D9D9E3"/>
                            <w:bottom w:val="single" w:sz="2" w:space="0" w:color="D9D9E3"/>
                            <w:right w:val="single" w:sz="2" w:space="0" w:color="D9D9E3"/>
                          </w:divBdr>
                          <w:divsChild>
                            <w:div w:id="955603822">
                              <w:marLeft w:val="0"/>
                              <w:marRight w:val="0"/>
                              <w:marTop w:val="0"/>
                              <w:marBottom w:val="0"/>
                              <w:divBdr>
                                <w:top w:val="single" w:sz="2" w:space="0" w:color="D9D9E3"/>
                                <w:left w:val="single" w:sz="2" w:space="0" w:color="D9D9E3"/>
                                <w:bottom w:val="single" w:sz="2" w:space="0" w:color="D9D9E3"/>
                                <w:right w:val="single" w:sz="2" w:space="0" w:color="D9D9E3"/>
                              </w:divBdr>
                              <w:divsChild>
                                <w:div w:id="930702561">
                                  <w:marLeft w:val="0"/>
                                  <w:marRight w:val="0"/>
                                  <w:marTop w:val="0"/>
                                  <w:marBottom w:val="0"/>
                                  <w:divBdr>
                                    <w:top w:val="single" w:sz="2" w:space="0" w:color="D9D9E3"/>
                                    <w:left w:val="single" w:sz="2" w:space="0" w:color="D9D9E3"/>
                                    <w:bottom w:val="single" w:sz="2" w:space="0" w:color="D9D9E3"/>
                                    <w:right w:val="single" w:sz="2" w:space="0" w:color="D9D9E3"/>
                                  </w:divBdr>
                                  <w:divsChild>
                                    <w:div w:id="18335943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03590808">
      <w:bodyDiv w:val="1"/>
      <w:marLeft w:val="0"/>
      <w:marRight w:val="0"/>
      <w:marTop w:val="0"/>
      <w:marBottom w:val="0"/>
      <w:divBdr>
        <w:top w:val="none" w:sz="0" w:space="0" w:color="auto"/>
        <w:left w:val="none" w:sz="0" w:space="0" w:color="auto"/>
        <w:bottom w:val="none" w:sz="0" w:space="0" w:color="auto"/>
        <w:right w:val="none" w:sz="0" w:space="0" w:color="auto"/>
      </w:divBdr>
    </w:div>
    <w:div w:id="1923182091">
      <w:bodyDiv w:val="1"/>
      <w:marLeft w:val="0"/>
      <w:marRight w:val="0"/>
      <w:marTop w:val="0"/>
      <w:marBottom w:val="0"/>
      <w:divBdr>
        <w:top w:val="none" w:sz="0" w:space="0" w:color="auto"/>
        <w:left w:val="none" w:sz="0" w:space="0" w:color="auto"/>
        <w:bottom w:val="none" w:sz="0" w:space="0" w:color="auto"/>
        <w:right w:val="none" w:sz="0" w:space="0" w:color="auto"/>
      </w:divBdr>
    </w:div>
    <w:div w:id="1930191987">
      <w:bodyDiv w:val="1"/>
      <w:marLeft w:val="0"/>
      <w:marRight w:val="0"/>
      <w:marTop w:val="0"/>
      <w:marBottom w:val="0"/>
      <w:divBdr>
        <w:top w:val="none" w:sz="0" w:space="0" w:color="auto"/>
        <w:left w:val="none" w:sz="0" w:space="0" w:color="auto"/>
        <w:bottom w:val="none" w:sz="0" w:space="0" w:color="auto"/>
        <w:right w:val="none" w:sz="0" w:space="0" w:color="auto"/>
      </w:divBdr>
    </w:div>
    <w:div w:id="1945993092">
      <w:bodyDiv w:val="1"/>
      <w:marLeft w:val="0"/>
      <w:marRight w:val="0"/>
      <w:marTop w:val="0"/>
      <w:marBottom w:val="0"/>
      <w:divBdr>
        <w:top w:val="none" w:sz="0" w:space="0" w:color="auto"/>
        <w:left w:val="none" w:sz="0" w:space="0" w:color="auto"/>
        <w:bottom w:val="none" w:sz="0" w:space="0" w:color="auto"/>
        <w:right w:val="none" w:sz="0" w:space="0" w:color="auto"/>
      </w:divBdr>
    </w:div>
    <w:div w:id="2007201078">
      <w:bodyDiv w:val="1"/>
      <w:marLeft w:val="0"/>
      <w:marRight w:val="0"/>
      <w:marTop w:val="0"/>
      <w:marBottom w:val="0"/>
      <w:divBdr>
        <w:top w:val="none" w:sz="0" w:space="0" w:color="auto"/>
        <w:left w:val="none" w:sz="0" w:space="0" w:color="auto"/>
        <w:bottom w:val="none" w:sz="0" w:space="0" w:color="auto"/>
        <w:right w:val="none" w:sz="0" w:space="0" w:color="auto"/>
      </w:divBdr>
    </w:div>
    <w:div w:id="2022659254">
      <w:bodyDiv w:val="1"/>
      <w:marLeft w:val="0"/>
      <w:marRight w:val="0"/>
      <w:marTop w:val="0"/>
      <w:marBottom w:val="0"/>
      <w:divBdr>
        <w:top w:val="none" w:sz="0" w:space="0" w:color="auto"/>
        <w:left w:val="none" w:sz="0" w:space="0" w:color="auto"/>
        <w:bottom w:val="none" w:sz="0" w:space="0" w:color="auto"/>
        <w:right w:val="none" w:sz="0" w:space="0" w:color="auto"/>
      </w:divBdr>
    </w:div>
    <w:div w:id="2050641663">
      <w:bodyDiv w:val="1"/>
      <w:marLeft w:val="0"/>
      <w:marRight w:val="0"/>
      <w:marTop w:val="0"/>
      <w:marBottom w:val="0"/>
      <w:divBdr>
        <w:top w:val="none" w:sz="0" w:space="0" w:color="auto"/>
        <w:left w:val="none" w:sz="0" w:space="0" w:color="auto"/>
        <w:bottom w:val="none" w:sz="0" w:space="0" w:color="auto"/>
        <w:right w:val="none" w:sz="0" w:space="0" w:color="auto"/>
      </w:divBdr>
    </w:div>
    <w:div w:id="2060090323">
      <w:bodyDiv w:val="1"/>
      <w:marLeft w:val="0"/>
      <w:marRight w:val="0"/>
      <w:marTop w:val="0"/>
      <w:marBottom w:val="0"/>
      <w:divBdr>
        <w:top w:val="none" w:sz="0" w:space="0" w:color="auto"/>
        <w:left w:val="none" w:sz="0" w:space="0" w:color="auto"/>
        <w:bottom w:val="none" w:sz="0" w:space="0" w:color="auto"/>
        <w:right w:val="none" w:sz="0" w:space="0" w:color="auto"/>
      </w:divBdr>
    </w:div>
    <w:div w:id="2067147251">
      <w:bodyDiv w:val="1"/>
      <w:marLeft w:val="0"/>
      <w:marRight w:val="0"/>
      <w:marTop w:val="0"/>
      <w:marBottom w:val="0"/>
      <w:divBdr>
        <w:top w:val="none" w:sz="0" w:space="0" w:color="auto"/>
        <w:left w:val="none" w:sz="0" w:space="0" w:color="auto"/>
        <w:bottom w:val="none" w:sz="0" w:space="0" w:color="auto"/>
        <w:right w:val="none" w:sz="0" w:space="0" w:color="auto"/>
      </w:divBdr>
    </w:div>
    <w:div w:id="2114933835">
      <w:bodyDiv w:val="1"/>
      <w:marLeft w:val="0"/>
      <w:marRight w:val="0"/>
      <w:marTop w:val="0"/>
      <w:marBottom w:val="0"/>
      <w:divBdr>
        <w:top w:val="none" w:sz="0" w:space="0" w:color="auto"/>
        <w:left w:val="none" w:sz="0" w:space="0" w:color="auto"/>
        <w:bottom w:val="none" w:sz="0" w:space="0" w:color="auto"/>
        <w:right w:val="none" w:sz="0" w:space="0" w:color="auto"/>
      </w:divBdr>
    </w:div>
    <w:div w:id="2125147082">
      <w:bodyDiv w:val="1"/>
      <w:marLeft w:val="0"/>
      <w:marRight w:val="0"/>
      <w:marTop w:val="0"/>
      <w:marBottom w:val="0"/>
      <w:divBdr>
        <w:top w:val="none" w:sz="0" w:space="0" w:color="auto"/>
        <w:left w:val="none" w:sz="0" w:space="0" w:color="auto"/>
        <w:bottom w:val="none" w:sz="0" w:space="0" w:color="auto"/>
        <w:right w:val="none" w:sz="0" w:space="0" w:color="auto"/>
      </w:divBdr>
    </w:div>
    <w:div w:id="2130051911">
      <w:bodyDiv w:val="1"/>
      <w:marLeft w:val="0"/>
      <w:marRight w:val="0"/>
      <w:marTop w:val="0"/>
      <w:marBottom w:val="0"/>
      <w:divBdr>
        <w:top w:val="none" w:sz="0" w:space="0" w:color="auto"/>
        <w:left w:val="none" w:sz="0" w:space="0" w:color="auto"/>
        <w:bottom w:val="none" w:sz="0" w:space="0" w:color="auto"/>
        <w:right w:val="none" w:sz="0" w:space="0" w:color="auto"/>
      </w:divBdr>
    </w:div>
    <w:div w:id="2138987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Sch12</b:Tag>
    <b:SourceType>JournalArticle</b:SourceType>
    <b:Guid>{5E9150F1-1020-4FB0-B681-42CCA5FDF4B4}</b:Guid>
    <b:Title>Dodd-Frank Principles and Provisions</b:Title>
    <b:Year>2012</b:Year>
    <b:Author>
      <b:Author>
        <b:NameList>
          <b:Person>
            <b:Last>Schapiro</b:Last>
            <b:First>Mary</b:First>
          </b:Person>
        </b:NameList>
      </b:Author>
    </b:Author>
    <b:JournalName>Harvard Law School Forum on Corporate Governance &amp; Financial Regulation</b:JournalName>
    <b:RefOrder>1</b:RefOrder>
  </b:Source>
  <b:Source>
    <b:Tag>Guy10</b:Tag>
    <b:SourceType>JournalArticle</b:SourceType>
    <b:Guid>{70E17B47-481B-4828-B425-D84FA0F17A3D}</b:Guid>
    <b:Author>
      <b:Author>
        <b:NameList>
          <b:Person>
            <b:Last>Guynn</b:Last>
            <b:First>Randall</b:First>
            <b:Middle>D.</b:Middle>
          </b:Person>
        </b:NameList>
      </b:Author>
    </b:Author>
    <b:Title>The Financial Panic of 2008 and Financial Regulatory Reform</b:Title>
    <b:JournalName>Harvard Law School Forum on Corporate Governance</b:JournalName>
    <b:Year>2010</b:Year>
    <b:RefOrder>3</b:RefOrder>
  </b:Source>
  <b:Source>
    <b:Tag>Pol12</b:Tag>
    <b:SourceType>JournalArticle</b:SourceType>
    <b:Guid>{ADD68A2A-F64A-4066-856B-5AB574BA4F28}</b:Guid>
    <b:Author>
      <b:Author>
        <b:NameList>
          <b:Person>
            <b:Last>Polski</b:Last>
            <b:First>Margaret</b:First>
            <b:Middle>M.</b:Middle>
          </b:Person>
          <b:Person>
            <b:Last>Elbarasse</b:Last>
            <b:First>Mohamad</b:First>
          </b:Person>
        </b:NameList>
      </b:Author>
    </b:Author>
    <b:Title>The U.S. Financial Stability Oversight Council: Understanding Polycentric Governance</b:Title>
    <b:JournalName>Annual Conference of the International Society for New Institutional Economics at the University of Southern California Gould School of Law</b:JournalName>
    <b:Year>2012</b:Year>
    <b:RefOrder>4</b:RefOrder>
  </b:Source>
  <b:Source>
    <b:Tag>Man13</b:Tag>
    <b:SourceType>JournalArticle</b:SourceType>
    <b:Guid>{70AFA25B-B09B-4A19-89CA-C5F1F84F1724}</b:Guid>
    <b:Author>
      <b:Author>
        <b:NameList>
          <b:Person>
            <b:Last>Manasfi</b:Last>
            <b:First>Julie</b:First>
            <b:Middle>A.D.</b:Middle>
          </b:Person>
        </b:NameList>
      </b:Author>
    </b:Author>
    <b:Title>Systemic Risk and Dodd-Frank's Volcker Rule</b:Title>
    <b:JournalName>William &amp; Mary Business Law Review, Volume 4 (2013), Issue 1, Article 6</b:JournalName>
    <b:Year>2013</b:Year>
    <b:RefOrder>5</b:RefOrder>
  </b:Source>
  <b:Source>
    <b:Tag>How14</b:Tag>
    <b:SourceType>JournalArticle</b:SourceType>
    <b:Guid>{E6F4CEE3-F746-4548-8ADF-E8FFE6AFDED4}</b:Guid>
    <b:Author>
      <b:Author>
        <b:NameList>
          <b:Person>
            <b:Last>Howard</b:Last>
            <b:First>Cory</b:First>
          </b:Person>
        </b:NameList>
      </b:Author>
    </b:Author>
    <b:Title>Basel III's Corporate Governance Impact: How Increased Banking Regulations Pose Simultaneously Furthering Stakeholder Objectives</b:Title>
    <b:JournalName>Journal of Law and Governance</b:JournalName>
    <b:Year>2014</b:Year>
    <b:RefOrder>6</b:RefOrder>
  </b:Source>
  <b:Source>
    <b:Tag>Cop08</b:Tag>
    <b:SourceType>JournalArticle</b:SourceType>
    <b:Guid>{5B604305-757A-4F76-85E8-6037B89802D2}</b:Guid>
    <b:Author>
      <b:Author>
        <b:NameList>
          <b:Person>
            <b:Last>Copeland</b:Last>
            <b:First>Curtis</b:First>
            <b:Middle>W.</b:Middle>
          </b:Person>
        </b:NameList>
      </b:Author>
    </b:Author>
    <b:Title>Emergency Economic Stabilization Act: Preliminary Analysis of Oversight Provisions</b:Title>
    <b:JournalName>CSR Report for Congress, Order Code RL34713</b:JournalName>
    <b:Year>2008</b:Year>
    <b:RefOrder>7</b:RefOrder>
  </b:Source>
  <b:Source>
    <b:Tag>ECA20</b:Tag>
    <b:SourceType>JournalArticle</b:SourceType>
    <b:Guid>{E4CC9E52-82F2-44AA-BB1B-D60E88616546}</b:Guid>
    <b:Title>How the EU took account of lessons learned from the 2008-2012 financial and sovereign debt crises</b:Title>
    <b:JournalName>European Court of Auditors (Curia Rationum)</b:JournalName>
    <b:Year>2020</b:Year>
    <b:Author>
      <b:Author>
        <b:NameList>
          <b:Person>
            <b:Last>ECA</b:Last>
          </b:Person>
        </b:NameList>
      </b:Author>
    </b:Author>
    <b:RefOrder>9</b:RefOrder>
  </b:Source>
  <b:Source>
    <b:Tag>EUR09</b:Tag>
    <b:SourceType>InternetSite</b:SourceType>
    <b:Guid>{931EDA90-88A6-4DE8-9239-A1388B83DF14}</b:Guid>
    <b:Title>Regulation (EC) No 1060/2009 of the European Parliament and of the Council of 16 September 2009 on credit rating agencies (Text with EEA relevance)</b:Title>
    <b:Year>2009</b:Year>
    <b:Author>
      <b:Author>
        <b:NameList>
          <b:Person>
            <b:Last>EUR-Lex</b:Last>
          </b:Person>
        </b:NameList>
      </b:Author>
    </b:Author>
    <b:InternetSiteTitle>https://eur-lex.europa.eu/</b:InternetSiteTitle>
    <b:Month>11</b:Month>
    <b:Day>17</b:Day>
    <b:URL>https://eur-lex.europa.eu/legal-content/EN/TXT/?uri=celex%3A32009R1060</b:URL>
    <b:RefOrder>10</b:RefOrder>
  </b:Source>
  <b:Source>
    <b:Tag>Uni11</b:Tag>
    <b:SourceType>Report</b:SourceType>
    <b:Guid>{AFB3BA07-F765-499F-8959-40306B303FB7}</b:Guid>
    <b:Title>MORTGAGE REFORM: Potential Impacts of Provisions in the Dodd-Frank Act on Homebuyers and the Mortgage Market</b:Title>
    <b:Year>2011</b:Year>
    <b:Author>
      <b:Author>
        <b:Corporate>U.S. Government Accountability Office</b:Corporate>
      </b:Author>
    </b:Author>
    <b:RefOrder>8</b:RefOrder>
  </b:Source>
  <b:Source>
    <b:Tag>Bar12</b:Tag>
    <b:SourceType>JournalArticle</b:SourceType>
    <b:Guid>{ACB4B034-7407-49BC-BCE3-3B4EB0A4592B}</b:Guid>
    <b:Title>The Financial Crisis and the Path of Reform</b:Title>
    <b:Year>2012</b:Year>
    <b:Author>
      <b:Author>
        <b:NameList>
          <b:Person>
            <b:Last>Barr</b:Last>
            <b:First>Michael</b:First>
            <b:Middle>S.</b:Middle>
          </b:Person>
        </b:NameList>
      </b:Author>
    </b:Author>
    <b:JournalName>Yale Journal on Regulation; New Haven Vol. 29, Iss. 1,  (Winter 2012): 91-119, Scholarly Journal</b:JournalName>
    <b:RefOrder>2</b:RefOrder>
  </b:Source>
  <b:Source>
    <b:Tag>Con17</b:Tag>
    <b:SourceType>Report</b:SourceType>
    <b:Guid>{EAD5936F-3266-45CC-82E7-0F8C8E6F7314}</b:Guid>
    <b:Title>The Dodd-Frank Wall Street Reform and Consumer Protection Act: Background and Summary</b:Title>
    <b:Year>2017</b:Year>
    <b:Author>
      <b:Author>
        <b:Corporate>Congressional Research Service</b:Corporate>
      </b:Author>
    </b:Author>
    <b:RefOrder>11</b:RefOrder>
  </b:Source>
  <b:Source>
    <b:Tag>Inv23</b:Tag>
    <b:SourceType>InternetSite</b:SourceType>
    <b:Guid>{DD5D44F9-3A56-40B8-A30C-AC5EC2850080}</b:Guid>
    <b:Title>Dodd-Frank Act: What It Does, Major Components, and Criticisms</b:Title>
    <b:Year>2023</b:Year>
    <b:Author>
      <b:Author>
        <b:NameList>
          <b:Person>
            <b:Last>Investopedia</b:Last>
          </b:Person>
        </b:NameList>
      </b:Author>
    </b:Author>
    <b:InternetSiteTitle>https://www.investopedia.com/</b:InternetSiteTitle>
    <b:Month>August</b:Month>
    <b:Day>02</b:Day>
    <b:URL>https://www.investopedia.com/terms/d/dodd-frank-financial-regulatory-reform-bill.asp</b:URL>
    <b:RefOrder>12</b:RefOrder>
  </b:Source>
  <b:Source>
    <b:Tag>Fin</b:Tag>
    <b:SourceType>InternetSite</b:SourceType>
    <b:Guid>{D10073F0-C81E-4AEC-937C-E4A1C3611DF7}</b:Guid>
    <b:Author>
      <b:Author>
        <b:Corporate>Financial Service Committee</b:Corporate>
      </b:Author>
    </b:Author>
    <b:Title>The Failures of Dodd-Frank</b:Title>
    <b:InternetSiteTitle>https://financialservices.house.gov/</b:InternetSiteTitle>
    <b:URL>https://financialservices.house.gov/issueshome/issue/default.aspx?IssueID=57976</b:URL>
    <b:RefOrder>13</b:RefOrder>
  </b:Source>
  <b:Source>
    <b:Tag>Cad10</b:Tag>
    <b:SourceType>InternetSite</b:SourceType>
    <b:Guid>{BCDCB998-7D82-4466-B6A8-3241A1F2924A}</b:Guid>
    <b:Author>
      <b:Author>
        <b:NameList>
          <b:Person>
            <b:Last>Cadwalader</b:Last>
          </b:Person>
        </b:NameList>
      </b:Author>
    </b:Author>
    <b:Title>An Analysis of the Dodd-Frank Act's Volcker Rule</b:Title>
    <b:InternetSiteTitle>https://www.cadwalader.com/</b:InternetSiteTitle>
    <b:Year>2010</b:Year>
    <b:Month>October</b:Month>
    <b:Day>15</b:Day>
    <b:URL>https://www.cadwalader.com/resources/clients-friends-memos/an-analysis-of-the-dodd-frank-acts-volcker-rule</b:URL>
    <b:RefOrder>14</b:RefOrder>
  </b:Source>
  <b:Source>
    <b:Tag>BIS23</b:Tag>
    <b:SourceType>InternetSite</b:SourceType>
    <b:Guid>{F76C1715-24EF-4382-A28D-870C96F09A10}</b:Guid>
    <b:Author>
      <b:Author>
        <b:Corporate>BIS</b:Corporate>
      </b:Author>
    </b:Author>
    <b:Title>Basel III: international regulatory framework for banks</b:Title>
    <b:InternetSiteTitle>https://www.bis.org/</b:InternetSiteTitle>
    <b:Year>2023</b:Year>
    <b:URL>https://www.bis.org/bcbs/basel3.htm</b:URL>
    <b:RefOrder>15</b:RefOrder>
  </b:Source>
  <b:Source>
    <b:Tag>The15</b:Tag>
    <b:SourceType>InternetSite</b:SourceType>
    <b:Guid>{148AF931-6EDA-43F8-BC51-91DAB3BE4C68}</b:Guid>
    <b:Author>
      <b:Author>
        <b:Corporate>The Global Treasurer</b:Corporate>
      </b:Author>
    </b:Author>
    <b:Title>Benefits of Basel III regulation shown by recent adoption rates</b:Title>
    <b:InternetSiteTitle>https://www.theglobaltreasurer.com/</b:InternetSiteTitle>
    <b:Year>2015</b:Year>
    <b:Month>April</b:Month>
    <b:Day>13</b:Day>
    <b:URL>https://www.theglobaltreasurer.com/2015/04/13/benefits-of-basel-iii-regulation-shown-by-recent-adoption-rates/</b:URL>
    <b:RefOrder>16</b:RefOrder>
  </b:Source>
  <b:Source>
    <b:Tag>Eur23</b:Tag>
    <b:SourceType>InternetSite</b:SourceType>
    <b:Guid>{DF7A7D40-470F-4E3B-B071-37D504D72465}</b:Guid>
    <b:Author>
      <b:Author>
        <b:Corporate>European Council</b:Corporate>
      </b:Author>
    </b:Author>
    <b:Title>Banking union</b:Title>
    <b:InternetSiteTitle>https://www.consilium.europa.eu/</b:InternetSiteTitle>
    <b:Year>2023</b:Year>
    <b:Month>December</b:Month>
    <b:Day>18</b:Day>
    <b:URL>https://www.consilium.europa.eu/en/policies/banking-union/</b:URL>
    <b:RefOrder>17</b:RefOrder>
  </b:Source>
  <b:Source>
    <b:Tag>Hob23</b:Tag>
    <b:SourceType>Report</b:SourceType>
    <b:Guid>{F390416A-CD38-4ED7-9295-4D17F60E189C}</b:Guid>
    <b:Title>Occasional Paper Series, A tale of three crises: synergies between ECB tasks, No 305 / September 2022</b:Title>
    <b:Year>2023</b:Year>
    <b:Author>
      <b:Author>
        <b:NameList>
          <b:Person>
            <b:Last>Hobelsberger</b:Last>
            <b:First>Karin</b:First>
          </b:Person>
          <b:Person>
            <b:Last>Kok</b:Last>
            <b:First>Christoffer</b:First>
          </b:Person>
          <b:Person>
            <b:Last>Mongelli</b:Last>
            <b:First>Francesco</b:First>
            <b:Middle>Paolo</b:Middle>
          </b:Person>
        </b:NameList>
      </b:Author>
    </b:Author>
    <b:Publisher>ECB</b:Publisher>
    <b:RefOrder>18</b:RefOrder>
  </b:Source>
  <b:Source>
    <b:Tag>Ell12</b:Tag>
    <b:SourceType>InternetSite</b:SourceType>
    <b:Guid>{E1E32900-73BC-47F4-8EB7-3F3880AD537F}</b:Guid>
    <b:Title>RESEARCH $2 Billion Later: Policy Implications of JP Morgan Chase’s Trading Loss</b:Title>
    <b:Year>2012</b:Year>
    <b:Author>
      <b:Author>
        <b:NameList>
          <b:Person>
            <b:Last>Elliott</b:Last>
            <b:First>Douglas</b:First>
            <b:Middle>J. E</b:Middle>
          </b:Person>
        </b:NameList>
      </b:Author>
    </b:Author>
    <b:InternetSiteTitle>https://www.brookings.edu/</b:InternetSiteTitle>
    <b:Month>May</b:Month>
    <b:Day>14</b:Day>
    <b:URL>https://www.brookings.edu/articles/2-billion-later-policy-implications-of-jp-morgan-chases-trading-loss/</b:URL>
    <b:RefOrder>20</b:RefOrder>
  </b:Source>
  <b:Source>
    <b:Tag>JPM23</b:Tag>
    <b:SourceType>Report</b:SourceType>
    <b:Guid>{45EA0CFE-81FF-40A4-9C63-E3528EBC2A00}</b:Guid>
    <b:Title>2023 Annual Dodd-Frank Act Stress Test Results Disclosure</b:Title>
    <b:Year>2023</b:Year>
    <b:Author>
      <b:Author>
        <b:Corporate>JPMorgan Chase &amp; Co.</b:Corporate>
      </b:Author>
    </b:Author>
    <b:RefOrder>21</b:RefOrder>
  </b:Source>
  <b:Source>
    <b:Tag>JPM231</b:Tag>
    <b:SourceType>InternetSite</b:SourceType>
    <b:Guid>{D6E0BBCF-52CC-4C9E-A90B-60B20571F1BB}</b:Guid>
    <b:Title>History of Our Firm</b:Title>
    <b:Year>2023</b:Year>
    <b:Author>
      <b:Author>
        <b:Corporate>JPMorgan Chase &amp; Co.</b:Corporate>
      </b:Author>
    </b:Author>
    <b:InternetSiteTitle>https://www.jpmorganchase.com/</b:InternetSiteTitle>
    <b:Month>12</b:Month>
    <b:URL>https://www.jpmorganchase.com/about/our-history</b:URL>
    <b:RefOrder>22</b:RefOrder>
  </b:Source>
  <b:Source>
    <b:Tag>All17</b:Tag>
    <b:SourceType>JournalArticle</b:SourceType>
    <b:Guid>{CDAF15D6-0A2D-4F20-8124-310D80CB2D76}</b:Guid>
    <b:Title>JPMorgan and the Dodd-Frank Act</b:Title>
    <b:Year>2017</b:Year>
    <b:Author>
      <b:Author>
        <b:NameList>
          <b:Person>
            <b:Last>Allayannis</b:Last>
            <b:First>George</b:First>
          </b:Person>
          <b:Person>
            <b:Last>Risell</b:Last>
            <b:First>Adam</b:First>
          </b:Person>
        </b:NameList>
      </b:Author>
    </b:Author>
    <b:JournalName>Darden Business Publishing cases</b:JournalName>
    <b:RefOrder>19</b:RefOrder>
  </b:Source>
</b:Sources>
</file>

<file path=customXml/itemProps1.xml><?xml version="1.0" encoding="utf-8"?>
<ds:datastoreItem xmlns:ds="http://schemas.openxmlformats.org/officeDocument/2006/customXml" ds:itemID="{290F18F0-2D46-42F0-AEB8-C780DEFF4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4998</Words>
  <Characters>31377</Characters>
  <Application>Microsoft Office Word</Application>
  <DocSecurity>0</DocSecurity>
  <Lines>516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Vijay Rathoad</dc:creator>
  <cp:keywords/>
  <dc:description/>
  <cp:lastModifiedBy>Jitendra Gohel (2242698)</cp:lastModifiedBy>
  <cp:revision>195</cp:revision>
  <dcterms:created xsi:type="dcterms:W3CDTF">2024-01-04T04:46:00Z</dcterms:created>
  <dcterms:modified xsi:type="dcterms:W3CDTF">2024-01-05T04:58:00Z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5447e87c7de9be242ed1020a6f8984f7cab0718fbcdd02a3c263aabaaad54827</vt:lpwstr>
  </property>
</Properties>
</file>