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14EC4"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201E1484"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22709AE8"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1E968AD1"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2222DE20"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38C54E83"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360E4D42"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4271258D"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4EF5FD50"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01C60882"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4AD1E2EE"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005F1CDD"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2E44F27B"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601FF133"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5AD454B7"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318DC0D3"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61E119EE"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5F9EAF5A"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27C28422"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680F0A5A"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248444F5"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600FE407"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436A9B1E"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4A587E76" w14:textId="7777777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2E1C27BA" w14:textId="4ECF20BE" w:rsidR="00213E33" w:rsidRDefault="008D053B" w:rsidP="00213E33">
      <w:pPr>
        <w:pStyle w:val="paragraph"/>
        <w:spacing w:before="0" w:beforeAutospacing="0" w:after="0" w:afterAutospacing="0"/>
        <w:jc w:val="center"/>
        <w:textAlignment w:val="baseline"/>
        <w:rPr>
          <w:rStyle w:val="normaltextrun"/>
          <w:rFonts w:ascii="Arial" w:hAnsi="Arial" w:cs="Arial"/>
        </w:rPr>
      </w:pPr>
      <w:r>
        <w:rPr>
          <w:rStyle w:val="normaltextrun"/>
          <w:rFonts w:ascii="Arial" w:hAnsi="Arial" w:cs="Arial"/>
        </w:rPr>
        <w:t>A critical</w:t>
      </w:r>
      <w:r w:rsidR="00213E33" w:rsidRPr="00213E33">
        <w:rPr>
          <w:rStyle w:val="normaltextrun"/>
          <w:rFonts w:ascii="Arial" w:hAnsi="Arial" w:cs="Arial"/>
        </w:rPr>
        <w:t xml:space="preserve"> evaluat</w:t>
      </w:r>
      <w:r>
        <w:rPr>
          <w:rStyle w:val="normaltextrun"/>
          <w:rFonts w:ascii="Arial" w:hAnsi="Arial" w:cs="Arial"/>
        </w:rPr>
        <w:t>ion of</w:t>
      </w:r>
      <w:r w:rsidR="00213E33" w:rsidRPr="00213E33">
        <w:rPr>
          <w:rStyle w:val="normaltextrun"/>
          <w:rFonts w:ascii="Arial" w:hAnsi="Arial" w:cs="Arial"/>
        </w:rPr>
        <w:t xml:space="preserve"> the nature of offending and if the impact of early intervention can help to curve offending.</w:t>
      </w:r>
    </w:p>
    <w:p w14:paraId="37266270" w14:textId="569B46B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1DF4C721" w14:textId="5287FF00"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464E7DD0" w14:textId="5F5C399A"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6C9BAD42" w14:textId="4614C84F" w:rsidR="00213E33" w:rsidRPr="00213E33" w:rsidRDefault="00213E33" w:rsidP="00213E33">
      <w:pPr>
        <w:jc w:val="center"/>
        <w:rPr>
          <w:rStyle w:val="normaltextrun"/>
          <w:rFonts w:ascii="Arial" w:eastAsia="Times New Roman" w:hAnsi="Arial" w:cs="Arial"/>
          <w:sz w:val="24"/>
          <w:szCs w:val="24"/>
          <w:lang w:eastAsia="en-GB"/>
        </w:rPr>
      </w:pPr>
      <w:r>
        <w:rPr>
          <w:rStyle w:val="normaltextrun"/>
          <w:rFonts w:ascii="Arial" w:hAnsi="Arial" w:cs="Arial"/>
        </w:rPr>
        <w:t>Student ID: 1905889 | Word Count:</w:t>
      </w:r>
      <w:r w:rsidR="004D2FC6">
        <w:rPr>
          <w:rStyle w:val="normaltextrun"/>
          <w:rFonts w:ascii="Arial" w:hAnsi="Arial" w:cs="Arial"/>
        </w:rPr>
        <w:t xml:space="preserve"> 2806</w:t>
      </w:r>
    </w:p>
    <w:p w14:paraId="1F2DAB19" w14:textId="3609B1B4"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2CF31524" w14:textId="047EDC40"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11D43262" w14:textId="149D96BF"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7CACD940" w14:textId="0E17717A"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3469074C" w14:textId="3C49CE5E"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767ECB3B" w14:textId="79478387"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478DBDDD" w14:textId="23B9AFD0"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259A80F3" w14:textId="3351C192"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627BC8F7" w14:textId="41D99E25"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5494D94B" w14:textId="6D60E2A4"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38E3A9F6" w14:textId="10FC09ED"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30158E7C" w14:textId="4607E62A"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3815BF29" w14:textId="355362EF"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5B0738E6" w14:textId="3F1EB3BC" w:rsidR="00213E33" w:rsidRDefault="00213E33" w:rsidP="00213E33">
      <w:pPr>
        <w:pStyle w:val="paragraph"/>
        <w:spacing w:before="0" w:beforeAutospacing="0" w:after="0" w:afterAutospacing="0"/>
        <w:jc w:val="center"/>
        <w:textAlignment w:val="baseline"/>
        <w:rPr>
          <w:rStyle w:val="normaltextrun"/>
          <w:rFonts w:ascii="Arial" w:hAnsi="Arial" w:cs="Arial"/>
        </w:rPr>
      </w:pPr>
    </w:p>
    <w:p w14:paraId="17E20785" w14:textId="1083D3A5" w:rsidR="00213E33" w:rsidRDefault="00213E33" w:rsidP="00213E33">
      <w:pPr>
        <w:pStyle w:val="paragraph"/>
        <w:spacing w:before="0" w:beforeAutospacing="0" w:after="0" w:afterAutospacing="0"/>
        <w:jc w:val="center"/>
        <w:textAlignment w:val="baseline"/>
        <w:rPr>
          <w:rStyle w:val="normaltextrun"/>
          <w:rFonts w:ascii="Arial" w:hAnsi="Arial" w:cs="Arial"/>
        </w:rPr>
      </w:pPr>
      <w:r>
        <w:rPr>
          <w:noProof/>
        </w:rPr>
        <w:drawing>
          <wp:inline distT="0" distB="0" distL="0" distR="0" wp14:anchorId="2C5B0F19" wp14:editId="0D362C13">
            <wp:extent cx="1709057" cy="566458"/>
            <wp:effectExtent l="0" t="0" r="5715" b="5080"/>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2402" cy="577510"/>
                    </a:xfrm>
                    <a:prstGeom prst="rect">
                      <a:avLst/>
                    </a:prstGeom>
                    <a:noFill/>
                    <a:ln>
                      <a:noFill/>
                    </a:ln>
                  </pic:spPr>
                </pic:pic>
              </a:graphicData>
            </a:graphic>
          </wp:inline>
        </w:drawing>
      </w:r>
    </w:p>
    <w:p w14:paraId="277FAE8E" w14:textId="53357034" w:rsidR="00213E33" w:rsidRPr="00213E33" w:rsidRDefault="00213E33" w:rsidP="00213E33">
      <w:pPr>
        <w:pStyle w:val="paragraph"/>
        <w:spacing w:before="0" w:beforeAutospacing="0" w:after="0" w:afterAutospacing="0"/>
        <w:jc w:val="center"/>
        <w:textAlignment w:val="baseline"/>
        <w:rPr>
          <w:rFonts w:ascii="Arial" w:hAnsi="Arial" w:cs="Arial"/>
        </w:rPr>
      </w:pPr>
    </w:p>
    <w:p w14:paraId="0983D95C" w14:textId="2892096B" w:rsidR="008D053B" w:rsidRPr="00D90293" w:rsidRDefault="00F86989" w:rsidP="00D90293">
      <w:pPr>
        <w:spacing w:line="480" w:lineRule="auto"/>
        <w:jc w:val="both"/>
        <w:rPr>
          <w:rFonts w:ascii="Arial" w:hAnsi="Arial" w:cs="Arial"/>
          <w:sz w:val="24"/>
          <w:szCs w:val="24"/>
        </w:rPr>
      </w:pPr>
      <w:r w:rsidRPr="00D90293">
        <w:rPr>
          <w:rFonts w:ascii="Arial" w:hAnsi="Arial" w:cs="Arial"/>
          <w:sz w:val="24"/>
          <w:szCs w:val="24"/>
        </w:rPr>
        <w:lastRenderedPageBreak/>
        <w:t xml:space="preserve">Nature versus nurture – the argument which, for decades, has attempted to </w:t>
      </w:r>
      <w:r w:rsidR="00320148" w:rsidRPr="00D90293">
        <w:rPr>
          <w:rFonts w:ascii="Arial" w:hAnsi="Arial" w:cs="Arial"/>
          <w:sz w:val="24"/>
          <w:szCs w:val="24"/>
        </w:rPr>
        <w:t xml:space="preserve">understand and </w:t>
      </w:r>
      <w:r w:rsidR="00280452" w:rsidRPr="00D90293">
        <w:rPr>
          <w:rFonts w:ascii="Arial" w:hAnsi="Arial" w:cs="Arial"/>
          <w:sz w:val="24"/>
          <w:szCs w:val="24"/>
        </w:rPr>
        <w:t>solve</w:t>
      </w:r>
      <w:r w:rsidRPr="00D90293">
        <w:rPr>
          <w:rFonts w:ascii="Arial" w:hAnsi="Arial" w:cs="Arial"/>
          <w:sz w:val="24"/>
          <w:szCs w:val="24"/>
        </w:rPr>
        <w:t xml:space="preserve"> whether people have a psychological and biological predisposition to criminality or whether crime occurs </w:t>
      </w:r>
      <w:r w:rsidR="003E0BBA" w:rsidRPr="00D90293">
        <w:rPr>
          <w:rFonts w:ascii="Arial" w:hAnsi="Arial" w:cs="Arial"/>
          <w:sz w:val="24"/>
          <w:szCs w:val="24"/>
        </w:rPr>
        <w:t>because of</w:t>
      </w:r>
      <w:r w:rsidRPr="00D90293">
        <w:rPr>
          <w:rFonts w:ascii="Arial" w:hAnsi="Arial" w:cs="Arial"/>
          <w:sz w:val="24"/>
          <w:szCs w:val="24"/>
        </w:rPr>
        <w:t xml:space="preserve"> social factors </w:t>
      </w:r>
      <w:r w:rsidR="00320148" w:rsidRPr="00D90293">
        <w:rPr>
          <w:rFonts w:ascii="Arial" w:hAnsi="Arial" w:cs="Arial"/>
          <w:sz w:val="24"/>
          <w:szCs w:val="24"/>
        </w:rPr>
        <w:t>such as</w:t>
      </w:r>
      <w:r w:rsidRPr="00D90293">
        <w:rPr>
          <w:rFonts w:ascii="Arial" w:hAnsi="Arial" w:cs="Arial"/>
          <w:sz w:val="24"/>
          <w:szCs w:val="24"/>
        </w:rPr>
        <w:t xml:space="preserve"> </w:t>
      </w:r>
      <w:r w:rsidR="00320148" w:rsidRPr="00D90293">
        <w:rPr>
          <w:rFonts w:ascii="Arial" w:hAnsi="Arial" w:cs="Arial"/>
          <w:sz w:val="24"/>
          <w:szCs w:val="24"/>
        </w:rPr>
        <w:t xml:space="preserve">poverty and </w:t>
      </w:r>
      <w:r w:rsidRPr="00D90293">
        <w:rPr>
          <w:rFonts w:ascii="Arial" w:hAnsi="Arial" w:cs="Arial"/>
          <w:sz w:val="24"/>
          <w:szCs w:val="24"/>
        </w:rPr>
        <w:t xml:space="preserve">Adverse Childhood Experiences (Webster, 2018). </w:t>
      </w:r>
      <w:r w:rsidR="00E60D10" w:rsidRPr="00D90293">
        <w:rPr>
          <w:rFonts w:ascii="Arial" w:hAnsi="Arial" w:cs="Arial"/>
          <w:sz w:val="24"/>
          <w:szCs w:val="24"/>
        </w:rPr>
        <w:t xml:space="preserve">Nurture arguments arise proposing that crime could be the result of sociological factors which see </w:t>
      </w:r>
      <w:r w:rsidR="00BC22EF" w:rsidRPr="00D90293">
        <w:rPr>
          <w:rFonts w:ascii="Arial" w:hAnsi="Arial" w:cs="Arial"/>
          <w:sz w:val="24"/>
          <w:szCs w:val="24"/>
        </w:rPr>
        <w:t>individuals</w:t>
      </w:r>
      <w:r w:rsidR="00E60D10" w:rsidRPr="00D90293">
        <w:rPr>
          <w:rFonts w:ascii="Arial" w:hAnsi="Arial" w:cs="Arial"/>
          <w:sz w:val="24"/>
          <w:szCs w:val="24"/>
        </w:rPr>
        <w:t xml:space="preserve"> living in poverty with limited access to opportunities and therefore </w:t>
      </w:r>
      <w:r w:rsidR="00BC22EF" w:rsidRPr="00D90293">
        <w:rPr>
          <w:rFonts w:ascii="Arial" w:hAnsi="Arial" w:cs="Arial"/>
          <w:sz w:val="24"/>
          <w:szCs w:val="24"/>
        </w:rPr>
        <w:t>experiencing</w:t>
      </w:r>
      <w:r w:rsidR="00E60D10" w:rsidRPr="00D90293">
        <w:rPr>
          <w:rFonts w:ascii="Arial" w:hAnsi="Arial" w:cs="Arial"/>
          <w:sz w:val="24"/>
          <w:szCs w:val="24"/>
        </w:rPr>
        <w:t xml:space="preserve"> a form of status frustration, as represented by Albert Cohen’s Subcultural Theory </w:t>
      </w:r>
      <w:r w:rsidR="00965A73" w:rsidRPr="00D90293">
        <w:rPr>
          <w:rFonts w:ascii="Arial" w:hAnsi="Arial" w:cs="Arial"/>
          <w:sz w:val="24"/>
          <w:szCs w:val="24"/>
        </w:rPr>
        <w:t xml:space="preserve">and Robert Merton’s Strain Theory </w:t>
      </w:r>
      <w:r w:rsidR="00E60D10" w:rsidRPr="00D90293">
        <w:rPr>
          <w:rFonts w:ascii="Arial" w:hAnsi="Arial" w:cs="Arial"/>
          <w:sz w:val="24"/>
          <w:szCs w:val="24"/>
        </w:rPr>
        <w:t xml:space="preserve">(Thompson, 2016). </w:t>
      </w:r>
      <w:r w:rsidR="00BC22EF" w:rsidRPr="00D90293">
        <w:rPr>
          <w:rFonts w:ascii="Arial" w:hAnsi="Arial" w:cs="Arial"/>
          <w:sz w:val="24"/>
          <w:szCs w:val="24"/>
        </w:rPr>
        <w:t>Whereas</w:t>
      </w:r>
      <w:r w:rsidR="00F6419A" w:rsidRPr="00D90293">
        <w:rPr>
          <w:rFonts w:ascii="Arial" w:hAnsi="Arial" w:cs="Arial"/>
          <w:sz w:val="24"/>
          <w:szCs w:val="24"/>
        </w:rPr>
        <w:t xml:space="preserve"> the nature argument was initially led by</w:t>
      </w:r>
      <w:r w:rsidR="00965A73" w:rsidRPr="00D90293">
        <w:rPr>
          <w:rFonts w:ascii="Arial" w:hAnsi="Arial" w:cs="Arial"/>
          <w:sz w:val="24"/>
          <w:szCs w:val="24"/>
        </w:rPr>
        <w:t xml:space="preserve"> Cesare Lombroso</w:t>
      </w:r>
      <w:r w:rsidR="00F6419A" w:rsidRPr="00D90293">
        <w:rPr>
          <w:rFonts w:ascii="Arial" w:hAnsi="Arial" w:cs="Arial"/>
          <w:sz w:val="24"/>
          <w:szCs w:val="24"/>
        </w:rPr>
        <w:t>, who</w:t>
      </w:r>
      <w:r w:rsidR="00965A73" w:rsidRPr="00D90293">
        <w:rPr>
          <w:rFonts w:ascii="Arial" w:hAnsi="Arial" w:cs="Arial"/>
          <w:sz w:val="24"/>
          <w:szCs w:val="24"/>
        </w:rPr>
        <w:t xml:space="preserve"> drew upon the ideas of Charles Darwin by proposing that criminals are in-fact ‘evolutionary throwbacks’ as his studies identified that criminals held similar characteristic attributes and therefore, suggested that criminals were products of biological qualities</w:t>
      </w:r>
      <w:r w:rsidR="00BC22EF" w:rsidRPr="00D90293">
        <w:rPr>
          <w:rFonts w:ascii="Arial" w:hAnsi="Arial" w:cs="Arial"/>
          <w:sz w:val="24"/>
          <w:szCs w:val="24"/>
        </w:rPr>
        <w:t xml:space="preserve"> (Cullen and Wilcox, 2010)</w:t>
      </w:r>
      <w:r w:rsidR="00965A73" w:rsidRPr="00D90293">
        <w:rPr>
          <w:rFonts w:ascii="Arial" w:hAnsi="Arial" w:cs="Arial"/>
          <w:sz w:val="24"/>
          <w:szCs w:val="24"/>
        </w:rPr>
        <w:t xml:space="preserve">.  </w:t>
      </w:r>
      <w:r w:rsidR="00BC22EF" w:rsidRPr="00D90293">
        <w:rPr>
          <w:rFonts w:ascii="Arial" w:hAnsi="Arial" w:cs="Arial"/>
          <w:sz w:val="24"/>
          <w:szCs w:val="24"/>
        </w:rPr>
        <w:t xml:space="preserve">Since these initial theories were proposed, further research has taken place </w:t>
      </w:r>
      <w:r w:rsidR="001D63A3" w:rsidRPr="00D90293">
        <w:rPr>
          <w:rFonts w:ascii="Arial" w:hAnsi="Arial" w:cs="Arial"/>
          <w:sz w:val="24"/>
          <w:szCs w:val="24"/>
        </w:rPr>
        <w:t>– which</w:t>
      </w:r>
      <w:r w:rsidR="00BC22EF" w:rsidRPr="00D90293">
        <w:rPr>
          <w:rFonts w:ascii="Arial" w:hAnsi="Arial" w:cs="Arial"/>
          <w:sz w:val="24"/>
          <w:szCs w:val="24"/>
        </w:rPr>
        <w:t xml:space="preserve"> is critically reviewed in this essay in attempt to develop an understanding of the nature of offending. </w:t>
      </w:r>
      <w:r w:rsidR="007A3204" w:rsidRPr="00D90293">
        <w:rPr>
          <w:rFonts w:ascii="Arial" w:hAnsi="Arial" w:cs="Arial"/>
          <w:sz w:val="24"/>
          <w:szCs w:val="24"/>
        </w:rPr>
        <w:t xml:space="preserve">Naturally, the topic then leads to another complex question – can early intervention reduce the extent of, or even prevent offending behaviour? </w:t>
      </w:r>
      <w:r w:rsidR="006E329A">
        <w:rPr>
          <w:rFonts w:ascii="Arial" w:hAnsi="Arial" w:cs="Arial"/>
          <w:sz w:val="24"/>
          <w:szCs w:val="24"/>
        </w:rPr>
        <w:t xml:space="preserve">This essay compromises of two parts. The first part explores criminological theories in attempt to understand the nature of offending. Due to the complexity involved and ongoing debated relating to what causes offending behaviour, the nature versus nurture argument is explored. Subsequently, the second element of the essay analyses crime prevention strategies and the effectiveness of early intervention on </w:t>
      </w:r>
      <w:r w:rsidR="007A60CD">
        <w:rPr>
          <w:rFonts w:ascii="Arial" w:hAnsi="Arial" w:cs="Arial"/>
          <w:sz w:val="24"/>
          <w:szCs w:val="24"/>
        </w:rPr>
        <w:t xml:space="preserve">youth </w:t>
      </w:r>
      <w:r w:rsidR="006E329A">
        <w:rPr>
          <w:rFonts w:ascii="Arial" w:hAnsi="Arial" w:cs="Arial"/>
          <w:sz w:val="24"/>
          <w:szCs w:val="24"/>
        </w:rPr>
        <w:t xml:space="preserve">offending behaviour. </w:t>
      </w:r>
    </w:p>
    <w:p w14:paraId="1F02B23D" w14:textId="0BEFDEBF" w:rsidR="002560B4" w:rsidRPr="00D90293" w:rsidRDefault="00D72D46" w:rsidP="00D90293">
      <w:pPr>
        <w:spacing w:line="480" w:lineRule="auto"/>
        <w:jc w:val="both"/>
        <w:rPr>
          <w:rFonts w:ascii="Arial" w:hAnsi="Arial" w:cs="Arial"/>
          <w:sz w:val="24"/>
          <w:szCs w:val="24"/>
        </w:rPr>
      </w:pPr>
      <w:r w:rsidRPr="00D90293">
        <w:rPr>
          <w:rFonts w:ascii="Arial" w:hAnsi="Arial" w:cs="Arial"/>
          <w:sz w:val="24"/>
          <w:szCs w:val="24"/>
          <w:shd w:val="clear" w:color="auto" w:fill="FFFFFF"/>
        </w:rPr>
        <w:t>Franz Joseph Gall, a neuroanatomist, hypothesised that certain areas of the brain were linked to different forms of criminal behaviour (Wijdicks, 2020).</w:t>
      </w:r>
      <w:r w:rsidR="0030318E" w:rsidRPr="00D90293">
        <w:rPr>
          <w:rFonts w:ascii="Arial" w:hAnsi="Arial" w:cs="Arial"/>
          <w:sz w:val="24"/>
          <w:szCs w:val="24"/>
        </w:rPr>
        <w:t xml:space="preserve"> </w:t>
      </w:r>
      <w:r w:rsidR="0030318E" w:rsidRPr="00D90293">
        <w:rPr>
          <w:rFonts w:ascii="Arial" w:hAnsi="Arial" w:cs="Arial"/>
          <w:sz w:val="24"/>
          <w:szCs w:val="24"/>
          <w:shd w:val="clear" w:color="auto" w:fill="FFFFFF"/>
        </w:rPr>
        <w:t xml:space="preserve">Gall, who subsequently invented the cranioscopy, believed the brain was made up of several </w:t>
      </w:r>
      <w:r w:rsidR="0030318E" w:rsidRPr="00D90293">
        <w:rPr>
          <w:rFonts w:ascii="Arial" w:hAnsi="Arial" w:cs="Arial"/>
          <w:sz w:val="24"/>
          <w:szCs w:val="24"/>
          <w:shd w:val="clear" w:color="auto" w:fill="FFFFFF"/>
        </w:rPr>
        <w:lastRenderedPageBreak/>
        <w:t>units, each of which corresponded to distinct forms of behaviour (</w:t>
      </w:r>
      <w:r w:rsidR="006D0AFC" w:rsidRPr="00D90293">
        <w:rPr>
          <w:rFonts w:ascii="Arial" w:hAnsi="Arial" w:cs="Arial"/>
          <w:sz w:val="24"/>
          <w:szCs w:val="24"/>
          <w:shd w:val="clear" w:color="auto" w:fill="FFFFFF"/>
        </w:rPr>
        <w:t>Eiling and Finger</w:t>
      </w:r>
      <w:r w:rsidR="0030318E" w:rsidRPr="00D90293">
        <w:rPr>
          <w:rFonts w:ascii="Arial" w:hAnsi="Arial" w:cs="Arial"/>
          <w:sz w:val="24"/>
          <w:szCs w:val="24"/>
          <w:shd w:val="clear" w:color="auto" w:fill="FFFFFF"/>
        </w:rPr>
        <w:t>, 2020).</w:t>
      </w:r>
      <w:r w:rsidR="00C939F2" w:rsidRPr="00D90293">
        <w:rPr>
          <w:rFonts w:ascii="Arial" w:hAnsi="Arial" w:cs="Arial"/>
          <w:sz w:val="24"/>
          <w:szCs w:val="24"/>
          <w:shd w:val="clear" w:color="auto" w:fill="FFFFFF"/>
        </w:rPr>
        <w:t xml:space="preserve"> Additionally, Gall also believed t</w:t>
      </w:r>
      <w:r w:rsidR="0030318E" w:rsidRPr="00D90293">
        <w:rPr>
          <w:rFonts w:ascii="Arial" w:hAnsi="Arial" w:cs="Arial"/>
          <w:sz w:val="24"/>
          <w:szCs w:val="24"/>
          <w:shd w:val="clear" w:color="auto" w:fill="FFFFFF"/>
        </w:rPr>
        <w:t xml:space="preserve">hat pressure beneath the human skull generated visible bumps and unevenness on the human skull, which would explain a person's character – including whether they were prone to criminality or not – </w:t>
      </w:r>
      <w:r w:rsidR="00F32AFC" w:rsidRPr="00D90293">
        <w:rPr>
          <w:rFonts w:ascii="Arial" w:hAnsi="Arial" w:cs="Arial"/>
          <w:sz w:val="24"/>
          <w:szCs w:val="24"/>
          <w:shd w:val="clear" w:color="auto" w:fill="FFFFFF"/>
        </w:rPr>
        <w:t>because of</w:t>
      </w:r>
      <w:r w:rsidR="0030318E" w:rsidRPr="00D90293">
        <w:rPr>
          <w:rFonts w:ascii="Arial" w:hAnsi="Arial" w:cs="Arial"/>
          <w:sz w:val="24"/>
          <w:szCs w:val="24"/>
          <w:shd w:val="clear" w:color="auto" w:fill="FFFFFF"/>
        </w:rPr>
        <w:t xml:space="preserve"> biology (Wijdicks, 2020).</w:t>
      </w:r>
      <w:r w:rsidR="007903B8" w:rsidRPr="00D90293">
        <w:rPr>
          <w:rFonts w:ascii="Arial" w:hAnsi="Arial" w:cs="Arial"/>
          <w:sz w:val="24"/>
          <w:szCs w:val="24"/>
          <w:shd w:val="clear" w:color="auto" w:fill="FFFFFF"/>
        </w:rPr>
        <w:t xml:space="preserve"> As mentioned in the introduction, individual qualities, according to Cesare Lombroso, would make people vulnerable to criminality because criminals, according to his views, were biologically under-evolved (Gibson and Raffer, 2006).</w:t>
      </w:r>
      <w:r w:rsidR="002560B4" w:rsidRPr="00D90293">
        <w:rPr>
          <w:rFonts w:ascii="Arial" w:hAnsi="Arial" w:cs="Arial"/>
          <w:sz w:val="24"/>
          <w:szCs w:val="24"/>
          <w:shd w:val="clear" w:color="auto" w:fill="FFFFFF"/>
        </w:rPr>
        <w:t xml:space="preserve"> </w:t>
      </w:r>
      <w:r w:rsidR="002560B4" w:rsidRPr="00D90293">
        <w:rPr>
          <w:rFonts w:ascii="Arial" w:hAnsi="Arial" w:cs="Arial"/>
          <w:sz w:val="24"/>
          <w:szCs w:val="24"/>
        </w:rPr>
        <w:t>Recently, Chinese scientists published a study that demonstrated that, as Lombroso suggested in the 19th century, it is potentially possible to determine whether someone is a criminal based on their physical traits (Wu and Zhang, 2017). Characteristics like the curvature of one's lip and the space between their eyes, according to Wu and Zhang (2017), can help determine whether someone is a criminal or is susceptible to criminality. The findings go on to explain that offenders appear to have a higher incidence of variance in face traits than the general population (Wu and Zhang, 2017).</w:t>
      </w:r>
    </w:p>
    <w:p w14:paraId="1DD73B6E" w14:textId="77443F90" w:rsidR="009639E3" w:rsidRDefault="008C55F7" w:rsidP="00D90293">
      <w:pPr>
        <w:spacing w:after="0" w:line="480" w:lineRule="auto"/>
        <w:jc w:val="both"/>
        <w:textAlignment w:val="baseline"/>
        <w:rPr>
          <w:rFonts w:ascii="Arial" w:hAnsi="Arial" w:cs="Arial"/>
          <w:sz w:val="24"/>
          <w:szCs w:val="24"/>
        </w:rPr>
      </w:pPr>
      <w:r w:rsidRPr="008C55F7">
        <w:rPr>
          <w:rFonts w:ascii="Arial" w:hAnsi="Arial" w:cs="Arial"/>
          <w:sz w:val="24"/>
          <w:szCs w:val="24"/>
        </w:rPr>
        <w:t xml:space="preserve">In 1995, Stephen Mobley was convicted for murder following a motiveless attack (Mobley v State, 1995). Mobley's legal counsel contended that his criminality had been the result of a genetic disposition bequeathed from his predecessors (Denno, 2006). A research study conducted in Scandinavia reviewed the familial history of one family and discovered a genic mutation that caused a chemical imbalance in the brains of some of the male members, explaining why the same men were prone to unprovoked violent outbreaks (Metsel, 1993) – comparable to what was discovered in Mobley's family history and used as a defence in his case. Additionally, since offending is commonly encountered in groups such as families, there is considerable evidence that inherited genetic variations play a role in criminal behaviour (Morley and Hall, 2003). </w:t>
      </w:r>
      <w:r w:rsidRPr="008C55F7">
        <w:rPr>
          <w:rFonts w:ascii="Arial" w:hAnsi="Arial" w:cs="Arial"/>
          <w:sz w:val="24"/>
          <w:szCs w:val="24"/>
        </w:rPr>
        <w:lastRenderedPageBreak/>
        <w:t>Further research has indicated that two genes discovered in a cohort of European convicts are linked to extremely violent behaviour (Tiihonen et al. 2014).</w:t>
      </w:r>
    </w:p>
    <w:p w14:paraId="10476935" w14:textId="77777777" w:rsidR="008C55F7" w:rsidRPr="00D90293" w:rsidRDefault="008C55F7" w:rsidP="00D90293">
      <w:pPr>
        <w:spacing w:after="0" w:line="480" w:lineRule="auto"/>
        <w:jc w:val="both"/>
        <w:textAlignment w:val="baseline"/>
        <w:rPr>
          <w:rFonts w:ascii="Arial" w:eastAsia="Times New Roman" w:hAnsi="Arial" w:cs="Arial"/>
          <w:color w:val="0E101A"/>
          <w:sz w:val="24"/>
          <w:szCs w:val="24"/>
          <w:lang w:eastAsia="en-GB"/>
        </w:rPr>
      </w:pPr>
    </w:p>
    <w:p w14:paraId="37F77301" w14:textId="7E893C9B" w:rsidR="00573F62" w:rsidRDefault="00B64701" w:rsidP="00F35106">
      <w:pPr>
        <w:spacing w:after="0" w:line="480" w:lineRule="auto"/>
        <w:jc w:val="both"/>
        <w:textAlignment w:val="baseline"/>
        <w:rPr>
          <w:rFonts w:ascii="Arial" w:eastAsia="Times New Roman" w:hAnsi="Arial" w:cs="Arial"/>
          <w:color w:val="0E101A"/>
          <w:sz w:val="24"/>
          <w:szCs w:val="24"/>
          <w:lang w:eastAsia="en-GB"/>
        </w:rPr>
      </w:pPr>
      <w:r w:rsidRPr="00B64701">
        <w:rPr>
          <w:rFonts w:ascii="Arial" w:eastAsia="Times New Roman" w:hAnsi="Arial" w:cs="Arial"/>
          <w:color w:val="0E101A"/>
          <w:sz w:val="24"/>
          <w:szCs w:val="24"/>
          <w:lang w:eastAsia="en-GB"/>
        </w:rPr>
        <w:t>Furthermore, Rhee and Waldman (2002) analysed trends in criminal behaviour among twins and adoptees in a review of research. However, they discovered that, while there is a substantial correlation to genetic predispositions, environmental factors also play a role. Such findings show that even if a person has a 'criminal chromosome,' they are aware that they will not engage in criminal behaviour if they are not exposed to the essential elements and instances of behaviour (Rhee and Waldman, 2002). Enrico Ferri, a former pupil of Lombroso, provide backing to the theories, by agreeing that the environment has an impact on whether someone commits a crime (Ferri, 1896) – which leads to the opposing argument that contends crime is a biological product and instead, offers that criminality is a result of sociological factors which one is exposed to overtime.</w:t>
      </w:r>
    </w:p>
    <w:p w14:paraId="71E705D6" w14:textId="77777777" w:rsidR="00B64701" w:rsidRDefault="00B64701" w:rsidP="00F35106">
      <w:pPr>
        <w:spacing w:after="0" w:line="480" w:lineRule="auto"/>
        <w:jc w:val="both"/>
        <w:textAlignment w:val="baseline"/>
        <w:rPr>
          <w:rFonts w:ascii="Arial" w:eastAsia="Times New Roman" w:hAnsi="Arial" w:cs="Arial"/>
          <w:color w:val="0E101A"/>
          <w:sz w:val="24"/>
          <w:szCs w:val="24"/>
          <w:lang w:eastAsia="en-GB"/>
        </w:rPr>
      </w:pPr>
    </w:p>
    <w:p w14:paraId="4BA5C4B8" w14:textId="1C23E949" w:rsidR="00D43623" w:rsidRDefault="004614AA" w:rsidP="00F35106">
      <w:pPr>
        <w:spacing w:after="0" w:line="480" w:lineRule="auto"/>
        <w:jc w:val="both"/>
        <w:textAlignment w:val="baseline"/>
        <w:rPr>
          <w:rFonts w:ascii="Arial" w:eastAsia="Times New Roman" w:hAnsi="Arial" w:cs="Arial"/>
          <w:color w:val="0E101A"/>
          <w:sz w:val="24"/>
          <w:szCs w:val="24"/>
          <w:lang w:eastAsia="en-GB"/>
        </w:rPr>
      </w:pPr>
      <w:r w:rsidRPr="004614AA">
        <w:rPr>
          <w:rFonts w:ascii="Arial" w:eastAsia="Times New Roman" w:hAnsi="Arial" w:cs="Arial"/>
          <w:color w:val="0E101A"/>
          <w:sz w:val="24"/>
          <w:szCs w:val="24"/>
          <w:lang w:eastAsia="en-GB"/>
        </w:rPr>
        <w:t xml:space="preserve">The Rational Choice Theory refers to the idea that offenders make fundamental judgments regarding the variables of carrying out illicit acts – in simple terms, people choose to offend because of choices made (Clarke and Newman, 2016). Criminals would not choose to attack people who were armed and able to defend themselves, according to Wright and Rosi (1983). Instead, they would attack people who were vulnerable and defenceless (Wright and Rosi, 1983). Siegel and McCormick (2006) have argued that, while acts of violence appear to be irrational, they do contain some prior risk and benefit assessment and therefore, support the argument that the nature of offending is due to sociological factors and calculated decisions. However, Goldfield and Gilbert (1995) argue that the whole element of rationality has been overstretched, </w:t>
      </w:r>
      <w:r w:rsidRPr="004614AA">
        <w:rPr>
          <w:rFonts w:ascii="Arial" w:eastAsia="Times New Roman" w:hAnsi="Arial" w:cs="Arial"/>
          <w:color w:val="0E101A"/>
          <w:sz w:val="24"/>
          <w:szCs w:val="24"/>
          <w:lang w:eastAsia="en-GB"/>
        </w:rPr>
        <w:lastRenderedPageBreak/>
        <w:t xml:space="preserve">and as a result, there have been discrepancies on how the theory might apply in situations where individuals were unable to act rationally due to both environmental and psychological reasoning factors. As a result, the Neoclassical movement grew in popularity. Taylor et al. (1973) stated that a criminal will still be held accountable for his crimes within Neoclassicism. However, decisions about their involvement will be made based on considerations that may obstruct said reason (Taylor et al.,1973). Inequalities such as gender, social status, and poverty have been suggested to impact reasoning capacity and increase crime (Pitts-Taylor, 2019). The Broken Glass Theory, a Neoclassical notion, posits that there is an inextricable link between crime and disorder in urban impoverished areas (Wilson and Kelling, 1998). Wilson and Kelling (1998) proved that if a window in a building was damaged and left that way, all other windows in the building would soon be broken as well because the initial damage would have established a standard of behaviour in the community. Because wants are unsatisfied and criminality is easily accessible, Braithwaite (1991) supports the idea that poverty and poor social conditions increase the likelihood of criminality. As a result, criminality becomes increasingly appealing and easier to observe, allowing it to be duplicated — as the theory of differential association suggests (Pitts-Taylor, 2019). Articles relating to the notoriously well-known council estate in Swansea, Townhill, supports that the nature of offending is linked with sociological factors as it is often described to be ‘plagued’ with crime due to unemployment and poverty (Griffiths and Bullen, 2017). Damm and Dustmann (2017) provide support that offending behaviour in high-crime areas stems from observation and association – one may learn to commit crime from their peer, who then teaches another peer and so forth and thus, leading to an increase in crime rates. Maliza (2018) further adds that deviancy occurs in, usually, low-economic areas because people living in such communities tend to be </w:t>
      </w:r>
      <w:r w:rsidRPr="004614AA">
        <w:rPr>
          <w:rFonts w:ascii="Arial" w:eastAsia="Times New Roman" w:hAnsi="Arial" w:cs="Arial"/>
          <w:color w:val="0E101A"/>
          <w:sz w:val="24"/>
          <w:szCs w:val="24"/>
          <w:lang w:eastAsia="en-GB"/>
        </w:rPr>
        <w:lastRenderedPageBreak/>
        <w:t>unemployed, facing boredom and encountering a sense of status frustration which leads to criminal behaviour occurring.</w:t>
      </w:r>
    </w:p>
    <w:p w14:paraId="28B949F9" w14:textId="77777777" w:rsidR="004614AA" w:rsidRDefault="004614AA" w:rsidP="00F35106">
      <w:pPr>
        <w:spacing w:after="0" w:line="480" w:lineRule="auto"/>
        <w:jc w:val="both"/>
        <w:textAlignment w:val="baseline"/>
        <w:rPr>
          <w:rFonts w:ascii="Arial" w:eastAsia="Times New Roman" w:hAnsi="Arial" w:cs="Arial"/>
          <w:color w:val="0E101A"/>
          <w:sz w:val="24"/>
          <w:szCs w:val="24"/>
          <w:lang w:eastAsia="en-GB"/>
        </w:rPr>
      </w:pPr>
    </w:p>
    <w:p w14:paraId="7AC1F65D" w14:textId="31CC1CA6" w:rsidR="00D43623" w:rsidRDefault="00E17ABB" w:rsidP="00F35106">
      <w:pPr>
        <w:spacing w:after="0" w:line="480" w:lineRule="auto"/>
        <w:jc w:val="both"/>
        <w:textAlignment w:val="baseline"/>
        <w:rPr>
          <w:rFonts w:ascii="Arial" w:eastAsia="Times New Roman" w:hAnsi="Arial" w:cs="Arial"/>
          <w:color w:val="0E101A"/>
          <w:sz w:val="24"/>
          <w:szCs w:val="24"/>
          <w:lang w:eastAsia="en-GB"/>
        </w:rPr>
      </w:pPr>
      <w:r>
        <w:rPr>
          <w:rFonts w:ascii="Arial" w:eastAsia="Times New Roman" w:hAnsi="Arial" w:cs="Arial"/>
          <w:color w:val="0E101A"/>
          <w:sz w:val="24"/>
          <w:szCs w:val="24"/>
          <w:lang w:eastAsia="en-GB"/>
        </w:rPr>
        <w:t xml:space="preserve">The National Youth Agency (2021) provides that </w:t>
      </w:r>
      <w:r w:rsidR="00F32AFC">
        <w:rPr>
          <w:rFonts w:ascii="Arial" w:eastAsia="Times New Roman" w:hAnsi="Arial" w:cs="Arial"/>
          <w:color w:val="0E101A"/>
          <w:sz w:val="24"/>
          <w:szCs w:val="24"/>
          <w:lang w:eastAsia="en-GB"/>
        </w:rPr>
        <w:t>to</w:t>
      </w:r>
      <w:r w:rsidR="00AF63B8">
        <w:rPr>
          <w:rFonts w:ascii="Arial" w:eastAsia="Times New Roman" w:hAnsi="Arial" w:cs="Arial"/>
          <w:color w:val="0E101A"/>
          <w:sz w:val="24"/>
          <w:szCs w:val="24"/>
          <w:lang w:eastAsia="en-GB"/>
        </w:rPr>
        <w:t xml:space="preserve"> reduce crime, </w:t>
      </w:r>
      <w:r w:rsidR="00C83720">
        <w:rPr>
          <w:rFonts w:ascii="Arial" w:eastAsia="Times New Roman" w:hAnsi="Arial" w:cs="Arial"/>
          <w:color w:val="0E101A"/>
          <w:sz w:val="24"/>
          <w:szCs w:val="24"/>
          <w:lang w:eastAsia="en-GB"/>
        </w:rPr>
        <w:t>specific</w:t>
      </w:r>
      <w:r w:rsidR="00AF63B8">
        <w:rPr>
          <w:rFonts w:ascii="Arial" w:eastAsia="Times New Roman" w:hAnsi="Arial" w:cs="Arial"/>
          <w:color w:val="0E101A"/>
          <w:sz w:val="24"/>
          <w:szCs w:val="24"/>
          <w:lang w:eastAsia="en-GB"/>
        </w:rPr>
        <w:t xml:space="preserve"> and comprehensive early intervention mechanisms need to be enforced </w:t>
      </w:r>
      <w:r w:rsidR="000544A4">
        <w:rPr>
          <w:rFonts w:ascii="Arial" w:eastAsia="Times New Roman" w:hAnsi="Arial" w:cs="Arial"/>
          <w:color w:val="0E101A"/>
          <w:sz w:val="24"/>
          <w:szCs w:val="24"/>
          <w:lang w:eastAsia="en-GB"/>
        </w:rPr>
        <w:t>with young people who are at risk of or</w:t>
      </w:r>
      <w:r w:rsidR="00C83720">
        <w:rPr>
          <w:rFonts w:ascii="Arial" w:eastAsia="Times New Roman" w:hAnsi="Arial" w:cs="Arial"/>
          <w:color w:val="0E101A"/>
          <w:sz w:val="24"/>
          <w:szCs w:val="24"/>
          <w:lang w:eastAsia="en-GB"/>
        </w:rPr>
        <w:t>,</w:t>
      </w:r>
      <w:r w:rsidR="000544A4">
        <w:rPr>
          <w:rFonts w:ascii="Arial" w:eastAsia="Times New Roman" w:hAnsi="Arial" w:cs="Arial"/>
          <w:color w:val="0E101A"/>
          <w:sz w:val="24"/>
          <w:szCs w:val="24"/>
          <w:lang w:eastAsia="en-GB"/>
        </w:rPr>
        <w:t xml:space="preserve"> are already engaging</w:t>
      </w:r>
      <w:r w:rsidR="00C83720">
        <w:rPr>
          <w:rFonts w:ascii="Arial" w:eastAsia="Times New Roman" w:hAnsi="Arial" w:cs="Arial"/>
          <w:color w:val="0E101A"/>
          <w:sz w:val="24"/>
          <w:szCs w:val="24"/>
          <w:lang w:eastAsia="en-GB"/>
        </w:rPr>
        <w:t>,</w:t>
      </w:r>
      <w:r w:rsidR="000544A4">
        <w:rPr>
          <w:rFonts w:ascii="Arial" w:eastAsia="Times New Roman" w:hAnsi="Arial" w:cs="Arial"/>
          <w:color w:val="0E101A"/>
          <w:sz w:val="24"/>
          <w:szCs w:val="24"/>
          <w:lang w:eastAsia="en-GB"/>
        </w:rPr>
        <w:t xml:space="preserve"> in delinquency </w:t>
      </w:r>
      <w:r w:rsidR="0028548D">
        <w:rPr>
          <w:rFonts w:ascii="Arial" w:eastAsia="Times New Roman" w:hAnsi="Arial" w:cs="Arial"/>
          <w:color w:val="0E101A"/>
          <w:sz w:val="24"/>
          <w:szCs w:val="24"/>
          <w:lang w:eastAsia="en-GB"/>
        </w:rPr>
        <w:t>and therefore,</w:t>
      </w:r>
      <w:r w:rsidR="00C83720">
        <w:rPr>
          <w:rFonts w:ascii="Arial" w:eastAsia="Times New Roman" w:hAnsi="Arial" w:cs="Arial"/>
          <w:color w:val="0E101A"/>
          <w:sz w:val="24"/>
          <w:szCs w:val="24"/>
          <w:lang w:eastAsia="en-GB"/>
        </w:rPr>
        <w:t xml:space="preserve"> are</w:t>
      </w:r>
      <w:r w:rsidR="0028548D">
        <w:rPr>
          <w:rFonts w:ascii="Arial" w:eastAsia="Times New Roman" w:hAnsi="Arial" w:cs="Arial"/>
          <w:color w:val="0E101A"/>
          <w:sz w:val="24"/>
          <w:szCs w:val="24"/>
          <w:lang w:eastAsia="en-GB"/>
        </w:rPr>
        <w:t xml:space="preserve"> </w:t>
      </w:r>
      <w:r w:rsidR="003B4B2B">
        <w:rPr>
          <w:rFonts w:ascii="Arial" w:eastAsia="Times New Roman" w:hAnsi="Arial" w:cs="Arial"/>
          <w:color w:val="0E101A"/>
          <w:sz w:val="24"/>
          <w:szCs w:val="24"/>
          <w:lang w:eastAsia="en-GB"/>
        </w:rPr>
        <w:t>susceptible</w:t>
      </w:r>
      <w:r w:rsidR="0028548D">
        <w:rPr>
          <w:rFonts w:ascii="Arial" w:eastAsia="Times New Roman" w:hAnsi="Arial" w:cs="Arial"/>
          <w:color w:val="0E101A"/>
          <w:sz w:val="24"/>
          <w:szCs w:val="24"/>
          <w:lang w:eastAsia="en-GB"/>
        </w:rPr>
        <w:t xml:space="preserve"> to adult offending. </w:t>
      </w:r>
      <w:r w:rsidR="009A1FE5" w:rsidRPr="009A1FE5">
        <w:rPr>
          <w:rFonts w:ascii="Arial" w:eastAsia="Times New Roman" w:hAnsi="Arial" w:cs="Arial"/>
          <w:color w:val="0E101A"/>
          <w:sz w:val="24"/>
          <w:szCs w:val="24"/>
          <w:lang w:eastAsia="en-GB"/>
        </w:rPr>
        <w:t>The Home Office introduced its Serious Violence Strategy in April 2018</w:t>
      </w:r>
      <w:r w:rsidR="00D430F7">
        <w:rPr>
          <w:rFonts w:ascii="Arial" w:eastAsia="Times New Roman" w:hAnsi="Arial" w:cs="Arial"/>
          <w:color w:val="0E101A"/>
          <w:sz w:val="24"/>
          <w:szCs w:val="24"/>
          <w:lang w:eastAsia="en-GB"/>
        </w:rPr>
        <w:t xml:space="preserve"> (HM Government, 2018)</w:t>
      </w:r>
      <w:r w:rsidR="009A1FE5" w:rsidRPr="009A1FE5">
        <w:rPr>
          <w:rFonts w:ascii="Arial" w:eastAsia="Times New Roman" w:hAnsi="Arial" w:cs="Arial"/>
          <w:color w:val="0E101A"/>
          <w:sz w:val="24"/>
          <w:szCs w:val="24"/>
          <w:lang w:eastAsia="en-GB"/>
        </w:rPr>
        <w:t xml:space="preserve">. The goal of the strategy is to combine law enforcement, youth services, welfare services, and other agencies to identify and address potential causes for violent crime </w:t>
      </w:r>
      <w:r w:rsidR="00D430F7">
        <w:rPr>
          <w:rFonts w:ascii="Arial" w:eastAsia="Times New Roman" w:hAnsi="Arial" w:cs="Arial"/>
          <w:color w:val="0E101A"/>
          <w:sz w:val="24"/>
          <w:szCs w:val="24"/>
          <w:lang w:eastAsia="en-GB"/>
        </w:rPr>
        <w:t xml:space="preserve">- </w:t>
      </w:r>
      <w:r w:rsidR="009A1FE5" w:rsidRPr="009A1FE5">
        <w:rPr>
          <w:rFonts w:ascii="Arial" w:eastAsia="Times New Roman" w:hAnsi="Arial" w:cs="Arial"/>
          <w:color w:val="0E101A"/>
          <w:sz w:val="24"/>
          <w:szCs w:val="24"/>
          <w:lang w:eastAsia="en-GB"/>
        </w:rPr>
        <w:t>experiences or traits that raise the possibility of a negative outcome</w:t>
      </w:r>
      <w:r w:rsidR="00D430F7">
        <w:rPr>
          <w:rFonts w:ascii="Arial" w:eastAsia="Times New Roman" w:hAnsi="Arial" w:cs="Arial"/>
          <w:color w:val="0E101A"/>
          <w:sz w:val="24"/>
          <w:szCs w:val="24"/>
          <w:lang w:eastAsia="en-GB"/>
        </w:rPr>
        <w:t xml:space="preserve"> (HM Government, 2018</w:t>
      </w:r>
      <w:r w:rsidR="00150FE6">
        <w:rPr>
          <w:rFonts w:ascii="Arial" w:eastAsia="Times New Roman" w:hAnsi="Arial" w:cs="Arial"/>
          <w:color w:val="0E101A"/>
          <w:sz w:val="24"/>
          <w:szCs w:val="24"/>
          <w:lang w:eastAsia="en-GB"/>
        </w:rPr>
        <w:t>)</w:t>
      </w:r>
      <w:r w:rsidR="00150FE6" w:rsidRPr="009A1FE5">
        <w:rPr>
          <w:rFonts w:ascii="Arial" w:eastAsia="Times New Roman" w:hAnsi="Arial" w:cs="Arial"/>
          <w:color w:val="0E101A"/>
          <w:sz w:val="24"/>
          <w:szCs w:val="24"/>
          <w:lang w:eastAsia="en-GB"/>
        </w:rPr>
        <w:t>.</w:t>
      </w:r>
    </w:p>
    <w:p w14:paraId="306D21D7" w14:textId="77777777" w:rsidR="00F27225" w:rsidRPr="00A635DE" w:rsidRDefault="00F27225" w:rsidP="00F35106">
      <w:pPr>
        <w:spacing w:after="0" w:line="480" w:lineRule="auto"/>
        <w:jc w:val="both"/>
        <w:textAlignment w:val="baseline"/>
        <w:rPr>
          <w:rFonts w:ascii="Arial" w:eastAsia="Times New Roman" w:hAnsi="Arial" w:cs="Arial"/>
          <w:color w:val="0E101A"/>
          <w:sz w:val="24"/>
          <w:szCs w:val="24"/>
          <w:lang w:eastAsia="en-GB"/>
        </w:rPr>
      </w:pPr>
    </w:p>
    <w:p w14:paraId="4530A185" w14:textId="77777777" w:rsidR="000211C2" w:rsidRDefault="000211C2" w:rsidP="00F35106">
      <w:pPr>
        <w:spacing w:after="0" w:line="480" w:lineRule="auto"/>
        <w:jc w:val="both"/>
        <w:textAlignment w:val="baseline"/>
        <w:rPr>
          <w:rFonts w:ascii="Arial" w:hAnsi="Arial" w:cs="Arial"/>
          <w:sz w:val="24"/>
          <w:szCs w:val="24"/>
        </w:rPr>
      </w:pPr>
      <w:r w:rsidRPr="000211C2">
        <w:rPr>
          <w:rFonts w:ascii="Arial" w:hAnsi="Arial" w:cs="Arial"/>
          <w:sz w:val="24"/>
          <w:szCs w:val="24"/>
        </w:rPr>
        <w:t xml:space="preserve">Early interventions have been proposed to prevent violent crime since data from other policy areas, such as education, suggests that they can reduce risk factors for future criminal involvement. Preventing early criminal involvement lowers the risk of later committing a significant crime; beyond the age of 17, people are far less likely to engage in illegal behaviour (Early Intervention Foundation, 2018). Many Agencies and charities provide one-on-one support services to young people. Youth Inclusion and Support Panels were created to identify and support young individuals at high risk of committing crimes and antisocial behaviour (Walker et al. 2007). Over 30 years ago, before the establishment of the Panels in 2002, the United Nations (1990) formally acknowledged the essentiality of early intervention with youths as part of overall crime prevention plans. However, Walker et al. (2007) add that the staff on the Panels felt as if they were being used when all else had failed and that offending outcomes were inevitable – rather than being involved as soon as the youth as identified in need of </w:t>
      </w:r>
      <w:r w:rsidRPr="000211C2">
        <w:rPr>
          <w:rFonts w:ascii="Arial" w:hAnsi="Arial" w:cs="Arial"/>
          <w:sz w:val="24"/>
          <w:szCs w:val="24"/>
        </w:rPr>
        <w:lastRenderedPageBreak/>
        <w:t>support when there was still a chance for early intervention and pre-emptive action to take place. Since the introduction of the Youth Inclusion and Support Panels, innovative approaches have later been developed.</w:t>
      </w:r>
    </w:p>
    <w:p w14:paraId="178360CC" w14:textId="096A1191" w:rsidR="00250C69" w:rsidRDefault="00635041" w:rsidP="00F35106">
      <w:pPr>
        <w:spacing w:after="0" w:line="480" w:lineRule="auto"/>
        <w:jc w:val="both"/>
        <w:textAlignment w:val="baseline"/>
        <w:rPr>
          <w:rFonts w:ascii="Arial" w:eastAsia="Times New Roman" w:hAnsi="Arial" w:cs="Arial"/>
          <w:color w:val="0E101A"/>
          <w:sz w:val="24"/>
          <w:szCs w:val="24"/>
          <w:lang w:eastAsia="en-GB"/>
        </w:rPr>
      </w:pPr>
      <w:r>
        <w:rPr>
          <w:rFonts w:ascii="Arial" w:eastAsia="Times New Roman" w:hAnsi="Arial" w:cs="Arial"/>
          <w:color w:val="0E101A"/>
          <w:sz w:val="24"/>
          <w:szCs w:val="24"/>
          <w:lang w:eastAsia="en-GB"/>
        </w:rPr>
        <w:t xml:space="preserve"> </w:t>
      </w:r>
    </w:p>
    <w:p w14:paraId="3151CCB1" w14:textId="1449D520" w:rsidR="008D1D0A" w:rsidRDefault="004E7F66" w:rsidP="00F35106">
      <w:pPr>
        <w:spacing w:after="0" w:line="480" w:lineRule="auto"/>
        <w:jc w:val="both"/>
        <w:textAlignment w:val="baseline"/>
        <w:rPr>
          <w:rFonts w:ascii="Arial" w:eastAsia="Times New Roman" w:hAnsi="Arial" w:cs="Arial"/>
          <w:color w:val="0E101A"/>
          <w:sz w:val="24"/>
          <w:szCs w:val="24"/>
          <w:lang w:eastAsia="en-GB"/>
        </w:rPr>
      </w:pPr>
      <w:r w:rsidRPr="004E7F66">
        <w:rPr>
          <w:rFonts w:ascii="Arial" w:eastAsia="Times New Roman" w:hAnsi="Arial" w:cs="Arial"/>
          <w:color w:val="0E101A"/>
          <w:sz w:val="24"/>
          <w:szCs w:val="24"/>
          <w:lang w:eastAsia="en-GB"/>
        </w:rPr>
        <w:t>Detached Youth Teams have been set up across the United Kingdom to work with young people in ‘their’ space to build trusting relationships and attain effective results (Young Brent Foundation, 2021).  Education Wales (2019) supports this approach by explaining that as Detached Youth Workers are out in the field, entering youth’s environments and formulating relationships with them that disregard traditional stances of power (institution versus delinquents), many barriers are subsequently overcome, and engagement levels significantly increase in comparison to the Youth Inclusion and Support Panels. The support delivered is non-traditional – rather than lecturing about the dangers of criminality, drugs and anti-social behaviour, interactions instead include hosting activities, getting involved in community development and regeneration to provide youths with inspiring tasks to keep them busy rather than engage in wrongdoing (United Nations Office on Drugs and Crime, 2010). A key focus is the underlying causes of youth crime rather than the symptoms.</w:t>
      </w:r>
    </w:p>
    <w:p w14:paraId="6F81F933" w14:textId="77777777" w:rsidR="004E7F66" w:rsidRDefault="004E7F66" w:rsidP="00F35106">
      <w:pPr>
        <w:spacing w:after="0" w:line="480" w:lineRule="auto"/>
        <w:jc w:val="both"/>
        <w:textAlignment w:val="baseline"/>
        <w:rPr>
          <w:rFonts w:ascii="Arial" w:eastAsia="Times New Roman" w:hAnsi="Arial" w:cs="Arial"/>
          <w:color w:val="0E101A"/>
          <w:sz w:val="24"/>
          <w:szCs w:val="24"/>
          <w:lang w:eastAsia="en-GB"/>
        </w:rPr>
      </w:pPr>
    </w:p>
    <w:p w14:paraId="021B03D2" w14:textId="6B96603E" w:rsidR="00F47109" w:rsidRDefault="004E7F66" w:rsidP="00370FE2">
      <w:pPr>
        <w:spacing w:after="0" w:line="480" w:lineRule="auto"/>
        <w:jc w:val="both"/>
        <w:textAlignment w:val="baseline"/>
        <w:rPr>
          <w:rFonts w:ascii="Arial" w:eastAsia="Times New Roman" w:hAnsi="Arial" w:cs="Arial"/>
          <w:color w:val="0E101A"/>
          <w:sz w:val="24"/>
          <w:szCs w:val="24"/>
          <w:lang w:eastAsia="en-GB"/>
        </w:rPr>
      </w:pPr>
      <w:r w:rsidRPr="004E7F66">
        <w:rPr>
          <w:rFonts w:ascii="Arial" w:eastAsia="Times New Roman" w:hAnsi="Arial" w:cs="Arial"/>
          <w:color w:val="0E101A"/>
          <w:sz w:val="24"/>
          <w:szCs w:val="24"/>
          <w:lang w:eastAsia="en-GB"/>
        </w:rPr>
        <w:t xml:space="preserve">According to Liddle and Gelsthorpe (1994), persons who have been involved in or are close to crimes have a good awareness of the causes and what must be done to eradicate the contributing variables. As mentioned previously, there is significant evidence that supports the notion that crime occurs due to social factors (Maliza, 2018). Community Crime Prevention theories believe that early intervention need not be in the form of rebuking youths when they display wrongful behaviour but can also be achieved by changing the social conditions that influence offending in residential </w:t>
      </w:r>
      <w:r w:rsidRPr="004E7F66">
        <w:rPr>
          <w:rFonts w:ascii="Arial" w:eastAsia="Times New Roman" w:hAnsi="Arial" w:cs="Arial"/>
          <w:color w:val="0E101A"/>
          <w:sz w:val="24"/>
          <w:szCs w:val="24"/>
          <w:lang w:eastAsia="en-GB"/>
        </w:rPr>
        <w:lastRenderedPageBreak/>
        <w:t>communities (Hope, 1995). Cannavino (2016) advances the notion by adding that if public spaces and facilities are better invested in and offer more, then it ought to allow for youths to utilise the facilities accessible to them – such as youth clubs, skate parks, sports pitches – rather than getting involved in crime due to boredom and lack of stimulation. L'aoustet and Griffet (2001) add that well-designed and managed skate facilities have been seen to become a hub for community life and as a catalyst for a reduction in youth crime. L'aoustet and Griffet’s (2001) findings are supported by the fact that an urban sports park was built in Anglesey in 2018 and has since been credited with helping to reduce antisocial behaviour by providing a diversionary activity (BBC, 2018).</w:t>
      </w:r>
    </w:p>
    <w:p w14:paraId="02F70B8F" w14:textId="77777777" w:rsidR="004E7F66" w:rsidRDefault="004E7F66" w:rsidP="00370FE2">
      <w:pPr>
        <w:spacing w:after="0" w:line="480" w:lineRule="auto"/>
        <w:jc w:val="both"/>
        <w:textAlignment w:val="baseline"/>
        <w:rPr>
          <w:rFonts w:ascii="Arial" w:hAnsi="Arial" w:cs="Arial"/>
          <w:sz w:val="24"/>
          <w:szCs w:val="24"/>
        </w:rPr>
      </w:pPr>
    </w:p>
    <w:p w14:paraId="731BA6D4" w14:textId="76AC70F7" w:rsidR="0028548D" w:rsidRDefault="00E06E83" w:rsidP="00F35106">
      <w:pPr>
        <w:spacing w:after="0" w:line="480" w:lineRule="auto"/>
        <w:jc w:val="both"/>
        <w:textAlignment w:val="baseline"/>
        <w:rPr>
          <w:rFonts w:ascii="Arial" w:hAnsi="Arial" w:cs="Arial"/>
          <w:sz w:val="24"/>
          <w:szCs w:val="24"/>
        </w:rPr>
      </w:pPr>
      <w:r w:rsidRPr="00E06E83">
        <w:rPr>
          <w:rFonts w:ascii="Arial" w:hAnsi="Arial" w:cs="Arial"/>
          <w:sz w:val="24"/>
          <w:szCs w:val="24"/>
        </w:rPr>
        <w:t>Despite the successes heard, Whitley and Price (2005) state that there is inadequate data to support that community crime prevention programmes can alter the behaviour of those who do not believe crime is wrong. Recreational programmes, guided intervention, social casework, and detached job programmes for juvenile offenders have all been abandoned as unproductive. The observed results are quite variable, so even if more behavioural and skill-oriented programmes were implemented, it would need to be done region by area (Whitley, 2005).</w:t>
      </w:r>
    </w:p>
    <w:p w14:paraId="5076B282" w14:textId="77777777" w:rsidR="00E06E83" w:rsidRPr="00370FE2" w:rsidRDefault="00E06E83" w:rsidP="00F35106">
      <w:pPr>
        <w:spacing w:after="0" w:line="480" w:lineRule="auto"/>
        <w:jc w:val="both"/>
        <w:textAlignment w:val="baseline"/>
      </w:pPr>
    </w:p>
    <w:p w14:paraId="2B66EC26" w14:textId="456405EC" w:rsidR="00B82457" w:rsidRDefault="00E06E83" w:rsidP="00F35106">
      <w:pPr>
        <w:spacing w:after="0" w:line="480" w:lineRule="auto"/>
        <w:jc w:val="both"/>
        <w:textAlignment w:val="baseline"/>
        <w:rPr>
          <w:rFonts w:ascii="Arial" w:eastAsia="Times New Roman" w:hAnsi="Arial" w:cs="Arial"/>
          <w:color w:val="0E101A"/>
          <w:sz w:val="24"/>
          <w:szCs w:val="24"/>
          <w:lang w:eastAsia="en-GB"/>
        </w:rPr>
      </w:pPr>
      <w:r w:rsidRPr="00E06E83">
        <w:rPr>
          <w:rFonts w:ascii="Arial" w:eastAsia="Times New Roman" w:hAnsi="Arial" w:cs="Arial"/>
          <w:color w:val="0E101A"/>
          <w:sz w:val="24"/>
          <w:szCs w:val="24"/>
          <w:lang w:eastAsia="en-GB"/>
        </w:rPr>
        <w:t xml:space="preserve">Social Crime Prevention strategies, as mentioned above, oppose Situational Crime Prevention strategies – which are focused on reducing opportunities for crime to occur by increasing associated risks and reducing opportunities (Clarke, 1995). The </w:t>
      </w:r>
      <w:proofErr w:type="spellStart"/>
      <w:r w:rsidRPr="00E06E83">
        <w:rPr>
          <w:rFonts w:ascii="Arial" w:eastAsia="Times New Roman" w:hAnsi="Arial" w:cs="Arial"/>
          <w:color w:val="0E101A"/>
          <w:sz w:val="24"/>
          <w:szCs w:val="24"/>
          <w:lang w:eastAsia="en-GB"/>
        </w:rPr>
        <w:t>contrast</w:t>
      </w:r>
      <w:proofErr w:type="spellEnd"/>
      <w:r w:rsidRPr="00E06E83">
        <w:rPr>
          <w:rFonts w:ascii="Arial" w:eastAsia="Times New Roman" w:hAnsi="Arial" w:cs="Arial"/>
          <w:color w:val="0E101A"/>
          <w:sz w:val="24"/>
          <w:szCs w:val="24"/>
          <w:lang w:eastAsia="en-GB"/>
        </w:rPr>
        <w:t xml:space="preserve"> is seen when one identifies that Social Crime Prevention focuses on addressing root causations – as explored in this essay, boredom and under-stimulation is large factor for youths – whereas Situational Crime Prevention makes it harder for crime to occur </w:t>
      </w:r>
      <w:r w:rsidRPr="00E06E83">
        <w:rPr>
          <w:rFonts w:ascii="Arial" w:eastAsia="Times New Roman" w:hAnsi="Arial" w:cs="Arial"/>
          <w:color w:val="0E101A"/>
          <w:sz w:val="24"/>
          <w:szCs w:val="24"/>
          <w:lang w:eastAsia="en-GB"/>
        </w:rPr>
        <w:lastRenderedPageBreak/>
        <w:t xml:space="preserve">in an area (Clarke, 1995). Brooks (2020) says that Situational approaches focus on how, rather than why, crime occurs, and that crime can be deterred by enforcing strategic changes to an environment – such as CCTV, security, Neighbourhood Watch groups, frequent police present and well-lit streets. As further provided by Brooks (2020), Situational Crime prevention can act as an early intervention – a youth </w:t>
      </w:r>
      <w:proofErr w:type="gramStart"/>
      <w:r w:rsidRPr="00E06E83">
        <w:rPr>
          <w:rFonts w:ascii="Arial" w:eastAsia="Times New Roman" w:hAnsi="Arial" w:cs="Arial"/>
          <w:color w:val="0E101A"/>
          <w:sz w:val="24"/>
          <w:szCs w:val="24"/>
          <w:lang w:eastAsia="en-GB"/>
        </w:rPr>
        <w:t>decides</w:t>
      </w:r>
      <w:proofErr w:type="gramEnd"/>
      <w:r w:rsidRPr="00E06E83">
        <w:rPr>
          <w:rFonts w:ascii="Arial" w:eastAsia="Times New Roman" w:hAnsi="Arial" w:cs="Arial"/>
          <w:color w:val="0E101A"/>
          <w:sz w:val="24"/>
          <w:szCs w:val="24"/>
          <w:lang w:eastAsia="en-GB"/>
        </w:rPr>
        <w:t xml:space="preserve"> to commit a crime, there is CCTV present, as a result, the youth is unable to commit a crime and is prevented from doing so. This, as a result, may deter the youth completely from criminality as they have time to reflect on the behaviour, they almost pursued (Brooks, 2020). Tangey, Stuewig and Hafez (2011) add that moral emotions often surface when one reflects on their actions or near-misses in the form of shame and guilt. Therefore, Situational Crime Prevention not only reduces the chances of crime occurring but also potentially could act as a catalyst to ending youths’ involvement in crime (Tangey, Stuewig and Hafez, 2011).</w:t>
      </w:r>
    </w:p>
    <w:p w14:paraId="29440EB8" w14:textId="77777777" w:rsidR="00E06E83" w:rsidRDefault="00E06E83" w:rsidP="00F35106">
      <w:pPr>
        <w:spacing w:after="0" w:line="480" w:lineRule="auto"/>
        <w:jc w:val="both"/>
        <w:textAlignment w:val="baseline"/>
        <w:rPr>
          <w:rFonts w:ascii="Arial" w:eastAsia="Times New Roman" w:hAnsi="Arial" w:cs="Arial"/>
          <w:color w:val="0E101A"/>
          <w:sz w:val="24"/>
          <w:szCs w:val="24"/>
          <w:lang w:eastAsia="en-GB"/>
        </w:rPr>
      </w:pPr>
    </w:p>
    <w:p w14:paraId="17636355" w14:textId="415AEBAB" w:rsidR="00BB1A99" w:rsidRDefault="004E7F72" w:rsidP="00F35106">
      <w:pPr>
        <w:spacing w:after="0" w:line="480" w:lineRule="auto"/>
        <w:jc w:val="both"/>
        <w:textAlignment w:val="baseline"/>
        <w:rPr>
          <w:rFonts w:ascii="Arial" w:eastAsia="Times New Roman" w:hAnsi="Arial" w:cs="Arial"/>
          <w:color w:val="0E101A"/>
          <w:sz w:val="24"/>
          <w:szCs w:val="24"/>
          <w:lang w:eastAsia="en-GB"/>
        </w:rPr>
      </w:pPr>
      <w:r w:rsidRPr="004E7F72">
        <w:rPr>
          <w:rFonts w:ascii="Arial" w:eastAsia="Times New Roman" w:hAnsi="Arial" w:cs="Arial"/>
          <w:color w:val="0E101A"/>
          <w:sz w:val="24"/>
          <w:szCs w:val="24"/>
          <w:lang w:eastAsia="en-GB"/>
        </w:rPr>
        <w:t>Controversy arises in relation to Situational Crime Prevention since the strategy does not intend to address the causations or predispositions of crime but instead, just prevents crime from occurring where the strategy has been enforced (Wortley, 2010). Therefore, allowing for the crime to move and occur in an environment where there isn’t CCTV, per se (Wortley, 2010). Consequently, failing to act as a full prevention mechanism but rather as a delay does not contribute to reducing offending rates.</w:t>
      </w:r>
    </w:p>
    <w:p w14:paraId="398BFB3F" w14:textId="77777777" w:rsidR="004E7F72" w:rsidRPr="004E7F72" w:rsidRDefault="004E7F72" w:rsidP="004E7F72">
      <w:pPr>
        <w:spacing w:after="0" w:line="480" w:lineRule="auto"/>
        <w:jc w:val="both"/>
        <w:textAlignment w:val="baseline"/>
        <w:rPr>
          <w:rFonts w:ascii="Arial" w:eastAsia="Times New Roman" w:hAnsi="Arial" w:cs="Arial"/>
          <w:color w:val="0E101A"/>
          <w:sz w:val="24"/>
          <w:szCs w:val="24"/>
          <w:lang w:eastAsia="en-GB"/>
        </w:rPr>
      </w:pPr>
    </w:p>
    <w:p w14:paraId="1FD7B1F7" w14:textId="0A8947DF" w:rsidR="000D268A" w:rsidRDefault="004E7F72" w:rsidP="004E7F72">
      <w:pPr>
        <w:spacing w:after="0" w:line="480" w:lineRule="auto"/>
        <w:jc w:val="both"/>
        <w:textAlignment w:val="baseline"/>
        <w:rPr>
          <w:rFonts w:ascii="Arial" w:eastAsia="Times New Roman" w:hAnsi="Arial" w:cs="Arial"/>
          <w:color w:val="0E101A"/>
          <w:sz w:val="24"/>
          <w:szCs w:val="24"/>
          <w:lang w:eastAsia="en-GB"/>
        </w:rPr>
      </w:pPr>
      <w:r w:rsidRPr="004E7F72">
        <w:rPr>
          <w:rFonts w:ascii="Arial" w:eastAsia="Times New Roman" w:hAnsi="Arial" w:cs="Arial"/>
          <w:color w:val="0E101A"/>
          <w:sz w:val="24"/>
          <w:szCs w:val="24"/>
          <w:lang w:eastAsia="en-GB"/>
        </w:rPr>
        <w:t xml:space="preserve">Although a wide range of policies and schemes have been introduced to pre-emptively address youth offending and advanced involvement in crime, Goldson (2016) raises concerns that early intervention governs the future through actuarial modes of social control that undermines justice and exposes youths to greater levels of criminalisation, </w:t>
      </w:r>
      <w:r w:rsidRPr="004E7F72">
        <w:rPr>
          <w:rFonts w:ascii="Arial" w:eastAsia="Times New Roman" w:hAnsi="Arial" w:cs="Arial"/>
          <w:color w:val="0E101A"/>
          <w:sz w:val="24"/>
          <w:szCs w:val="24"/>
          <w:lang w:eastAsia="en-GB"/>
        </w:rPr>
        <w:lastRenderedPageBreak/>
        <w:t>observation, regulation, and – controversially – kinds of oppression. Youth.Gov (2020), directly contests Goldson’s claim by saying that evidence shows that the costs involved with leading prevention strategies are outweighed by the success encountered in the form of prevention of later adult offending behaviour. Additionally, Weisburd et al. (2016) found that all forms of community-based interventions (Social Crime Prevention strategies) achieved a median of 5% reduction in offending behaviours – although a small percentage, a promising one when the reoffending rates for youths in 2019/20 were found to be over 38% (Youth Justice Board, 2021).</w:t>
      </w:r>
    </w:p>
    <w:p w14:paraId="4F96E657" w14:textId="77777777" w:rsidR="004E7F72" w:rsidRDefault="004E7F72" w:rsidP="004E7F72">
      <w:pPr>
        <w:spacing w:after="0" w:line="480" w:lineRule="auto"/>
        <w:jc w:val="both"/>
        <w:textAlignment w:val="baseline"/>
        <w:rPr>
          <w:rFonts w:ascii="Arial" w:eastAsia="Times New Roman" w:hAnsi="Arial" w:cs="Arial"/>
          <w:color w:val="0E101A"/>
          <w:sz w:val="24"/>
          <w:szCs w:val="24"/>
          <w:lang w:eastAsia="en-GB"/>
        </w:rPr>
      </w:pPr>
    </w:p>
    <w:p w14:paraId="4DA7B828" w14:textId="701FD5C2" w:rsidR="00D50292" w:rsidRDefault="00FE4B1A" w:rsidP="00F35106">
      <w:pPr>
        <w:spacing w:after="0" w:line="480" w:lineRule="auto"/>
        <w:jc w:val="both"/>
        <w:textAlignment w:val="baseline"/>
        <w:rPr>
          <w:rFonts w:ascii="Arial" w:eastAsia="Times New Roman" w:hAnsi="Arial" w:cs="Arial"/>
          <w:color w:val="0E101A"/>
          <w:sz w:val="24"/>
          <w:szCs w:val="24"/>
          <w:lang w:eastAsia="en-GB"/>
        </w:rPr>
      </w:pPr>
      <w:r w:rsidRPr="00FE4B1A">
        <w:rPr>
          <w:rFonts w:ascii="Arial" w:eastAsia="Times New Roman" w:hAnsi="Arial" w:cs="Arial"/>
          <w:color w:val="0E101A"/>
          <w:sz w:val="24"/>
          <w:szCs w:val="24"/>
          <w:lang w:eastAsia="en-GB"/>
        </w:rPr>
        <w:t xml:space="preserve">Though, many people still advocate the penalty of criminals regardless of their age. There are a variety of community and custodial penalties available if a young person is guilty of an offence. An order can also include an Intensive Supervision and Surveillance Program for young people – which combines extensive community-based surveillance with a thorough and long-term focus on addressing the variables that contribute to a young person's criminal behaviour (Whitley and Price, 2005). The initiative is designed to target the most active repeat offenders as well as those who commit the most serious offences – but, as mentioned, it doesn’t act as an intervention as at this point, offending trajectories may already be aligned to worsen and the risk of being institutionalised only further negates using punishment as a deterrence Many people disregard the penalty of criminals once they have committed an offence, regardless of their age. There are a variety of community and custodial penalties available if a young person is guilty of an offence. An order can also include an Intensive Supervision and Surveillance Program for young people. It combines extensive community-based surveillance with a thorough and long-term focus on addressing the variables that contribute to a young person's criminal behaviour. The </w:t>
      </w:r>
      <w:r w:rsidRPr="00FE4B1A">
        <w:rPr>
          <w:rFonts w:ascii="Arial" w:eastAsia="Times New Roman" w:hAnsi="Arial" w:cs="Arial"/>
          <w:color w:val="0E101A"/>
          <w:sz w:val="24"/>
          <w:szCs w:val="24"/>
          <w:lang w:eastAsia="en-GB"/>
        </w:rPr>
        <w:lastRenderedPageBreak/>
        <w:t>initiative is designed to target the most active repeat offenders as well as those who commit the most serious offences. Punishment has deterrent effects, but how much depends on the harshness of the punishment.</w:t>
      </w:r>
    </w:p>
    <w:p w14:paraId="10587841" w14:textId="77777777" w:rsidR="00FE4B1A" w:rsidRDefault="00FE4B1A" w:rsidP="00F35106">
      <w:pPr>
        <w:spacing w:after="0" w:line="480" w:lineRule="auto"/>
        <w:jc w:val="both"/>
        <w:textAlignment w:val="baseline"/>
        <w:rPr>
          <w:rFonts w:ascii="Arial" w:eastAsia="Times New Roman" w:hAnsi="Arial" w:cs="Arial"/>
          <w:color w:val="0E101A"/>
          <w:sz w:val="24"/>
          <w:szCs w:val="24"/>
          <w:lang w:eastAsia="en-GB"/>
        </w:rPr>
      </w:pPr>
    </w:p>
    <w:p w14:paraId="3B17AA8B" w14:textId="4722AC24" w:rsidR="007B718B" w:rsidRDefault="00D72611" w:rsidP="00F5149B">
      <w:pPr>
        <w:spacing w:line="480" w:lineRule="auto"/>
        <w:jc w:val="both"/>
        <w:rPr>
          <w:rFonts w:ascii="Arial" w:eastAsia="Times New Roman" w:hAnsi="Arial" w:cs="Arial"/>
          <w:color w:val="0E101A"/>
          <w:sz w:val="24"/>
          <w:szCs w:val="24"/>
          <w:lang w:eastAsia="en-GB"/>
        </w:rPr>
      </w:pPr>
      <w:r w:rsidRPr="00D72611">
        <w:rPr>
          <w:rFonts w:ascii="Arial" w:hAnsi="Arial" w:cs="Arial"/>
          <w:sz w:val="24"/>
          <w:szCs w:val="24"/>
        </w:rPr>
        <w:t>In conclusion, as shown by Webster (2018) and Thompson (2016), the nature of offending behaviour is extremely difficult to pinpoint in general terms, although potentially easier on a case-by-case basis where factors can be reviewed to generate a theory as to why one offends. There is significant consensus that crime occurs because of sociological factors and influences, though, in cases such as Stephen Mobley’s – that consensus is questioned (Mobley v State, 1995). However, there is significantly more certainty relating to the effectiveness of early intervention and social crime prevention strategies which are utilised by Detached Youth teams and local councils (Hope, 1995). In a criminological sense, the idea of early restorative prevention by addressing social issues is quite new and therefore, data is still to be accrued to identify whether youths who encountered interventions later offended in their adult lives (Brooks, 2020).</w:t>
      </w:r>
    </w:p>
    <w:p w14:paraId="29CD6A17" w14:textId="486BB2C5" w:rsidR="007B718B" w:rsidRDefault="007B718B" w:rsidP="00F5149B">
      <w:pPr>
        <w:spacing w:line="480" w:lineRule="auto"/>
        <w:jc w:val="both"/>
        <w:rPr>
          <w:rFonts w:ascii="Arial" w:eastAsia="Times New Roman" w:hAnsi="Arial" w:cs="Arial"/>
          <w:color w:val="0E101A"/>
          <w:sz w:val="24"/>
          <w:szCs w:val="24"/>
          <w:lang w:eastAsia="en-GB"/>
        </w:rPr>
      </w:pPr>
    </w:p>
    <w:p w14:paraId="66B6152B" w14:textId="7256F825" w:rsidR="007B718B" w:rsidRDefault="007B718B" w:rsidP="00F5149B">
      <w:pPr>
        <w:spacing w:line="480" w:lineRule="auto"/>
        <w:jc w:val="both"/>
        <w:rPr>
          <w:rFonts w:ascii="Arial" w:eastAsia="Times New Roman" w:hAnsi="Arial" w:cs="Arial"/>
          <w:color w:val="0E101A"/>
          <w:sz w:val="24"/>
          <w:szCs w:val="24"/>
          <w:lang w:eastAsia="en-GB"/>
        </w:rPr>
      </w:pPr>
    </w:p>
    <w:p w14:paraId="0D7AA85E" w14:textId="3599DA9E" w:rsidR="007B718B" w:rsidRDefault="007B718B" w:rsidP="00F5149B">
      <w:pPr>
        <w:spacing w:line="480" w:lineRule="auto"/>
        <w:jc w:val="both"/>
        <w:rPr>
          <w:rFonts w:ascii="Arial" w:eastAsia="Times New Roman" w:hAnsi="Arial" w:cs="Arial"/>
          <w:color w:val="0E101A"/>
          <w:sz w:val="24"/>
          <w:szCs w:val="24"/>
          <w:lang w:eastAsia="en-GB"/>
        </w:rPr>
      </w:pPr>
    </w:p>
    <w:p w14:paraId="6A64A947" w14:textId="1832ABB6" w:rsidR="007B718B" w:rsidRDefault="007B718B" w:rsidP="00F5149B">
      <w:pPr>
        <w:spacing w:line="480" w:lineRule="auto"/>
        <w:jc w:val="both"/>
        <w:rPr>
          <w:rFonts w:ascii="Arial" w:eastAsia="Times New Roman" w:hAnsi="Arial" w:cs="Arial"/>
          <w:color w:val="0E101A"/>
          <w:sz w:val="24"/>
          <w:szCs w:val="24"/>
          <w:lang w:eastAsia="en-GB"/>
        </w:rPr>
      </w:pPr>
    </w:p>
    <w:p w14:paraId="6AF2154B" w14:textId="77777777" w:rsidR="00D72611" w:rsidRDefault="00D72611" w:rsidP="00F5149B">
      <w:pPr>
        <w:spacing w:line="480" w:lineRule="auto"/>
        <w:jc w:val="both"/>
        <w:rPr>
          <w:rFonts w:ascii="Arial" w:eastAsia="Times New Roman" w:hAnsi="Arial" w:cs="Arial"/>
          <w:color w:val="0E101A"/>
          <w:sz w:val="24"/>
          <w:szCs w:val="24"/>
          <w:lang w:eastAsia="en-GB"/>
        </w:rPr>
      </w:pPr>
    </w:p>
    <w:p w14:paraId="6098EC0E" w14:textId="65A4C69A" w:rsidR="007B718B" w:rsidRDefault="007B718B" w:rsidP="00F5149B">
      <w:pPr>
        <w:spacing w:line="480" w:lineRule="auto"/>
        <w:jc w:val="both"/>
        <w:rPr>
          <w:rFonts w:ascii="Arial" w:eastAsia="Times New Roman" w:hAnsi="Arial" w:cs="Arial"/>
          <w:color w:val="0E101A"/>
          <w:sz w:val="24"/>
          <w:szCs w:val="24"/>
          <w:lang w:eastAsia="en-GB"/>
        </w:rPr>
      </w:pPr>
    </w:p>
    <w:p w14:paraId="7D63E2E6" w14:textId="7C049367" w:rsidR="007B718B" w:rsidRDefault="007B718B" w:rsidP="00F5149B">
      <w:pPr>
        <w:spacing w:line="480" w:lineRule="auto"/>
        <w:jc w:val="both"/>
        <w:rPr>
          <w:rFonts w:ascii="Arial" w:eastAsia="Times New Roman" w:hAnsi="Arial" w:cs="Arial"/>
          <w:color w:val="0E101A"/>
          <w:sz w:val="24"/>
          <w:szCs w:val="24"/>
          <w:lang w:eastAsia="en-GB"/>
        </w:rPr>
      </w:pPr>
    </w:p>
    <w:p w14:paraId="2EBAB615" w14:textId="37E79981" w:rsidR="006856F7" w:rsidRPr="006856F7" w:rsidRDefault="006856F7" w:rsidP="006856F7">
      <w:pPr>
        <w:rPr>
          <w:rFonts w:ascii="Arial" w:hAnsi="Arial" w:cs="Arial"/>
          <w:b/>
          <w:bCs/>
          <w:color w:val="000000" w:themeColor="text1"/>
          <w:spacing w:val="-2"/>
          <w:sz w:val="24"/>
          <w:szCs w:val="24"/>
        </w:rPr>
      </w:pPr>
      <w:r w:rsidRPr="006856F7">
        <w:rPr>
          <w:rFonts w:ascii="Arial" w:hAnsi="Arial" w:cs="Arial"/>
          <w:b/>
          <w:bCs/>
          <w:color w:val="000000" w:themeColor="text1"/>
          <w:spacing w:val="-2"/>
          <w:sz w:val="24"/>
          <w:szCs w:val="24"/>
        </w:rPr>
        <w:lastRenderedPageBreak/>
        <w:t>Reference List</w:t>
      </w:r>
    </w:p>
    <w:p w14:paraId="4BE8117B"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BBC (2018). Anglesey sports park “vital” against anti-social behaviour. </w:t>
      </w:r>
      <w:r w:rsidRPr="00EF2CF6">
        <w:rPr>
          <w:rFonts w:ascii="Arial" w:hAnsi="Arial" w:cs="Arial"/>
          <w:i/>
          <w:iCs/>
          <w:color w:val="000000" w:themeColor="text1"/>
          <w:sz w:val="24"/>
          <w:szCs w:val="24"/>
        </w:rPr>
        <w:t>BBC News</w:t>
      </w:r>
      <w:r w:rsidRPr="00EF2CF6">
        <w:rPr>
          <w:rFonts w:ascii="Arial" w:hAnsi="Arial" w:cs="Arial"/>
          <w:color w:val="000000" w:themeColor="text1"/>
          <w:sz w:val="24"/>
          <w:szCs w:val="24"/>
        </w:rPr>
        <w:t>. [online] 21 Aug. Available at: https://www.bbc.co.uk/news/uk-wales-45259811 (Accessed: 2.12.2021).</w:t>
      </w:r>
    </w:p>
    <w:p w14:paraId="20F36AF6"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Braithwaite, J. (1991) Poverty, Power and White-Collar Crime and the Paradoxes of Criminological Theory. Available at: http://johnbraithwaite.com/wp-content/uploads/2016/03/Poverty%20Power%20White%20Collar%20Crime%20and%20the%20Paradoxes%20of%20Criminological%20Theory.pdf (Accessed: 1.12.2021).</w:t>
      </w:r>
    </w:p>
    <w:p w14:paraId="355B1996"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Brooks, A. (2020). </w:t>
      </w:r>
      <w:r w:rsidRPr="00EF2CF6">
        <w:rPr>
          <w:rFonts w:ascii="Arial" w:hAnsi="Arial" w:cs="Arial"/>
          <w:i/>
          <w:iCs/>
          <w:color w:val="000000" w:themeColor="text1"/>
          <w:sz w:val="24"/>
          <w:szCs w:val="24"/>
        </w:rPr>
        <w:t>What Is Situational Crime Prevention? Investigating This Crime Reduction Strategy</w:t>
      </w:r>
      <w:r w:rsidRPr="00EF2CF6">
        <w:rPr>
          <w:rFonts w:ascii="Arial" w:hAnsi="Arial" w:cs="Arial"/>
          <w:color w:val="000000" w:themeColor="text1"/>
          <w:sz w:val="24"/>
          <w:szCs w:val="24"/>
        </w:rPr>
        <w:t xml:space="preserve">. Available at: </w:t>
      </w:r>
      <w:hyperlink r:id="rId9" w:history="1">
        <w:r w:rsidRPr="00EF2CF6">
          <w:rPr>
            <w:rStyle w:val="Hyperlink"/>
            <w:rFonts w:ascii="Arial" w:hAnsi="Arial" w:cs="Arial"/>
            <w:color w:val="000000" w:themeColor="text1"/>
            <w:sz w:val="24"/>
            <w:szCs w:val="24"/>
          </w:rPr>
          <w:t>https://www.rasmussen.edu/degrees/justice-studies/blog/situational-crime-prevention/</w:t>
        </w:r>
      </w:hyperlink>
      <w:r w:rsidRPr="00EF2CF6">
        <w:rPr>
          <w:rFonts w:ascii="Arial" w:hAnsi="Arial" w:cs="Arial"/>
          <w:color w:val="000000" w:themeColor="text1"/>
          <w:sz w:val="24"/>
          <w:szCs w:val="24"/>
        </w:rPr>
        <w:t xml:space="preserve"> (Accessed: 2.12.2021).</w:t>
      </w:r>
    </w:p>
    <w:p w14:paraId="02F16E81"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Cannavino, M. (2016) Using Design to Reduce Crime. Available at: </w:t>
      </w:r>
      <w:hyperlink r:id="rId10" w:history="1">
        <w:r w:rsidRPr="00EF2CF6">
          <w:rPr>
            <w:rStyle w:val="Hyperlink"/>
            <w:rFonts w:ascii="Arial" w:hAnsi="Arial" w:cs="Arial"/>
            <w:color w:val="000000" w:themeColor="text1"/>
            <w:sz w:val="24"/>
            <w:szCs w:val="24"/>
          </w:rPr>
          <w:t>https://www.nrpa.org/parks-recreation-magazine/2016/march/using-design-to-reduce-crime/</w:t>
        </w:r>
      </w:hyperlink>
      <w:r w:rsidRPr="00EF2CF6">
        <w:rPr>
          <w:rFonts w:ascii="Arial" w:hAnsi="Arial" w:cs="Arial"/>
          <w:color w:val="000000" w:themeColor="text1"/>
          <w:sz w:val="24"/>
          <w:szCs w:val="24"/>
        </w:rPr>
        <w:t xml:space="preserve"> (Accessed: 2.12.2021).</w:t>
      </w:r>
    </w:p>
    <w:p w14:paraId="03290AA2"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Clarke, G. and Newman, R. (2016) Rational Choice and Situational Crime Prevention. Abingdon: Routledge.</w:t>
      </w:r>
    </w:p>
    <w:p w14:paraId="58898C12"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Clarke, R.V. (1995). Situational Crime Prevention. </w:t>
      </w:r>
      <w:r w:rsidRPr="00EF2CF6">
        <w:rPr>
          <w:rFonts w:ascii="Arial" w:hAnsi="Arial" w:cs="Arial"/>
          <w:i/>
          <w:iCs/>
          <w:color w:val="000000" w:themeColor="text1"/>
          <w:sz w:val="24"/>
          <w:szCs w:val="24"/>
        </w:rPr>
        <w:t>Crime and Justice</w:t>
      </w:r>
      <w:r w:rsidRPr="00EF2CF6">
        <w:rPr>
          <w:rFonts w:ascii="Arial" w:hAnsi="Arial" w:cs="Arial"/>
          <w:color w:val="000000" w:themeColor="text1"/>
          <w:sz w:val="24"/>
          <w:szCs w:val="24"/>
        </w:rPr>
        <w:t>, 19, pp.91–150. Available at: https://www.jstor.org/stable/1147596 (Accessed: 2.12.2021).</w:t>
      </w:r>
    </w:p>
    <w:p w14:paraId="2FCF6740"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Style w:val="CommentReference"/>
          <w:rFonts w:ascii="Arial" w:hAnsi="Arial" w:cs="Arial"/>
          <w:color w:val="000000" w:themeColor="text1"/>
          <w:sz w:val="24"/>
          <w:szCs w:val="24"/>
        </w:rPr>
        <w:t xml:space="preserve">Cullen, F. and Wilcox, P. (2010) ‘Lombroso, Cesare: The Criminal Man’, </w:t>
      </w:r>
      <w:r w:rsidRPr="00EF2CF6">
        <w:rPr>
          <w:rStyle w:val="CommentReference"/>
          <w:rFonts w:ascii="Arial" w:hAnsi="Arial" w:cs="Arial"/>
          <w:i/>
          <w:iCs/>
          <w:color w:val="000000" w:themeColor="text1"/>
          <w:sz w:val="24"/>
          <w:szCs w:val="24"/>
        </w:rPr>
        <w:t xml:space="preserve">Encyclopaedia of Criminological Theory, </w:t>
      </w:r>
      <w:r w:rsidRPr="00EF2CF6">
        <w:rPr>
          <w:rStyle w:val="CommentReference"/>
          <w:rFonts w:ascii="Arial" w:hAnsi="Arial" w:cs="Arial"/>
          <w:color w:val="000000" w:themeColor="text1"/>
          <w:sz w:val="24"/>
          <w:szCs w:val="24"/>
        </w:rPr>
        <w:t xml:space="preserve">pp.651-566. Available at: </w:t>
      </w:r>
      <w:hyperlink r:id="rId11" w:history="1">
        <w:r w:rsidRPr="00EF2CF6">
          <w:rPr>
            <w:rStyle w:val="Hyperlink"/>
            <w:rFonts w:ascii="Arial" w:hAnsi="Arial" w:cs="Arial"/>
            <w:color w:val="000000" w:themeColor="text1"/>
            <w:sz w:val="24"/>
            <w:szCs w:val="24"/>
          </w:rPr>
          <w:t>https://studysites.sagepub.com/schram/study/materials/reference/90851_04.1r.pdf</w:t>
        </w:r>
      </w:hyperlink>
      <w:r w:rsidRPr="00EF2CF6">
        <w:rPr>
          <w:rStyle w:val="CommentReference"/>
          <w:rFonts w:ascii="Arial" w:hAnsi="Arial" w:cs="Arial"/>
          <w:color w:val="000000" w:themeColor="text1"/>
          <w:sz w:val="24"/>
          <w:szCs w:val="24"/>
        </w:rPr>
        <w:t xml:space="preserve"> (Accessed: 30.11.21). </w:t>
      </w:r>
    </w:p>
    <w:p w14:paraId="42B8D6D8"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Damm, A. and Dustmann, C. (2017) Does Growing Up in a High Crime </w:t>
      </w:r>
      <w:proofErr w:type="spellStart"/>
      <w:r w:rsidRPr="00EF2CF6">
        <w:rPr>
          <w:rFonts w:ascii="Arial" w:hAnsi="Arial" w:cs="Arial"/>
          <w:color w:val="000000" w:themeColor="text1"/>
          <w:sz w:val="24"/>
          <w:szCs w:val="24"/>
        </w:rPr>
        <w:t>Neighborhood</w:t>
      </w:r>
      <w:proofErr w:type="spellEnd"/>
      <w:r w:rsidRPr="00EF2CF6">
        <w:rPr>
          <w:rFonts w:ascii="Arial" w:hAnsi="Arial" w:cs="Arial"/>
          <w:color w:val="000000" w:themeColor="text1"/>
          <w:sz w:val="24"/>
          <w:szCs w:val="24"/>
        </w:rPr>
        <w:t xml:space="preserve"> Affect Youth Criminal </w:t>
      </w:r>
      <w:proofErr w:type="spellStart"/>
      <w:r w:rsidRPr="00EF2CF6">
        <w:rPr>
          <w:rFonts w:ascii="Arial" w:hAnsi="Arial" w:cs="Arial"/>
          <w:color w:val="000000" w:themeColor="text1"/>
          <w:sz w:val="24"/>
          <w:szCs w:val="24"/>
        </w:rPr>
        <w:t>Behavior</w:t>
      </w:r>
      <w:proofErr w:type="spellEnd"/>
      <w:r w:rsidRPr="00EF2CF6">
        <w:rPr>
          <w:rFonts w:ascii="Arial" w:hAnsi="Arial" w:cs="Arial"/>
          <w:color w:val="000000" w:themeColor="text1"/>
          <w:sz w:val="24"/>
          <w:szCs w:val="24"/>
        </w:rPr>
        <w:t xml:space="preserve">? Available at: </w:t>
      </w:r>
      <w:hyperlink r:id="rId12" w:history="1">
        <w:r w:rsidRPr="00EF2CF6">
          <w:rPr>
            <w:rStyle w:val="Hyperlink"/>
            <w:rFonts w:ascii="Arial" w:hAnsi="Arial" w:cs="Arial"/>
            <w:color w:val="000000" w:themeColor="text1"/>
            <w:sz w:val="24"/>
            <w:szCs w:val="24"/>
          </w:rPr>
          <w:t>https://www.ucl.ac.uk/~uctpb21/Cpapers/Crime_2012_August_AER.PDF</w:t>
        </w:r>
      </w:hyperlink>
      <w:r w:rsidRPr="00EF2CF6">
        <w:rPr>
          <w:rFonts w:ascii="Arial" w:hAnsi="Arial" w:cs="Arial"/>
          <w:color w:val="000000" w:themeColor="text1"/>
          <w:sz w:val="24"/>
          <w:szCs w:val="24"/>
        </w:rPr>
        <w:t xml:space="preserve"> (Accessed: 1.12.2021). </w:t>
      </w:r>
    </w:p>
    <w:p w14:paraId="4816F914"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Denno, D. (2006) Revisiting the Legal Link Between Genetics and Crime. Available at: https://scholarship.law.duke.edu/cgi/viewcontent.cgi?article=1380&amp;context=lcp (Accessed: 30.11.2021).</w:t>
      </w:r>
    </w:p>
    <w:p w14:paraId="345E6196"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Early Intervention Foundation</w:t>
      </w: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 (2018). </w:t>
      </w:r>
      <w:r w:rsidRPr="00EF2CF6">
        <w:rPr>
          <w:rFonts w:ascii="Arial" w:hAnsi="Arial" w:cs="Arial"/>
          <w:i/>
          <w:iCs/>
          <w:color w:val="000000" w:themeColor="text1"/>
          <w:sz w:val="24"/>
          <w:szCs w:val="24"/>
        </w:rPr>
        <w:t>Realising the potential of early intervention</w:t>
      </w:r>
      <w:r w:rsidRPr="00EF2CF6">
        <w:rPr>
          <w:rFonts w:ascii="Arial" w:hAnsi="Arial" w:cs="Arial"/>
          <w:color w:val="000000" w:themeColor="text1"/>
          <w:sz w:val="24"/>
          <w:szCs w:val="24"/>
        </w:rPr>
        <w:t xml:space="preserve">. Early Intervention Foundation. Available at: </w:t>
      </w:r>
      <w:hyperlink r:id="rId13" w:history="1">
        <w:r w:rsidRPr="00EF2CF6">
          <w:rPr>
            <w:rStyle w:val="Hyperlink"/>
            <w:rFonts w:ascii="Arial" w:hAnsi="Arial" w:cs="Arial"/>
            <w:color w:val="000000" w:themeColor="text1"/>
            <w:sz w:val="24"/>
            <w:szCs w:val="24"/>
          </w:rPr>
          <w:t>https://www.eif.org.uk/report/realising-the-potential-of-early-intervention</w:t>
        </w:r>
      </w:hyperlink>
      <w:r w:rsidRPr="00EF2CF6">
        <w:rPr>
          <w:rFonts w:ascii="Arial" w:hAnsi="Arial" w:cs="Arial"/>
          <w:color w:val="000000" w:themeColor="text1"/>
          <w:sz w:val="24"/>
          <w:szCs w:val="24"/>
        </w:rPr>
        <w:t xml:space="preserve"> (Accessed: 2.12.2021).</w:t>
      </w:r>
    </w:p>
    <w:p w14:paraId="23D291DC"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Education Wales (2019) Youth Work Strategy for Wales. Available at: </w:t>
      </w:r>
      <w:hyperlink r:id="rId14" w:history="1">
        <w:r w:rsidRPr="00EF2CF6">
          <w:rPr>
            <w:rStyle w:val="Hyperlink"/>
            <w:rFonts w:ascii="Arial" w:hAnsi="Arial" w:cs="Arial"/>
            <w:color w:val="000000" w:themeColor="text1"/>
            <w:sz w:val="24"/>
            <w:szCs w:val="24"/>
          </w:rPr>
          <w:t>https://gov.wales/sites/default/files/publications/2019-06/youth-work-strategy-for-wales.pdf</w:t>
        </w:r>
      </w:hyperlink>
      <w:r w:rsidRPr="00EF2CF6">
        <w:rPr>
          <w:rFonts w:ascii="Arial" w:hAnsi="Arial" w:cs="Arial"/>
          <w:color w:val="000000" w:themeColor="text1"/>
          <w:sz w:val="24"/>
          <w:szCs w:val="24"/>
        </w:rPr>
        <w:t xml:space="preserve"> (Accessed: 2.12.2021).</w:t>
      </w:r>
    </w:p>
    <w:p w14:paraId="60325AA5"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Eiling, P. and Finger, S. (2020) ‘Franz Joseph Gall on hemispheric symmetries’, </w:t>
      </w:r>
      <w:r w:rsidRPr="00EF2CF6">
        <w:rPr>
          <w:rFonts w:ascii="Arial" w:hAnsi="Arial" w:cs="Arial"/>
          <w:i/>
          <w:iCs/>
          <w:color w:val="000000" w:themeColor="text1"/>
          <w:sz w:val="24"/>
          <w:szCs w:val="24"/>
        </w:rPr>
        <w:t>Journal of the History of the Neurosciences</w:t>
      </w:r>
      <w:r w:rsidRPr="00EF2CF6">
        <w:rPr>
          <w:rFonts w:ascii="Arial" w:hAnsi="Arial" w:cs="Arial"/>
          <w:color w:val="000000" w:themeColor="text1"/>
          <w:sz w:val="24"/>
          <w:szCs w:val="24"/>
        </w:rPr>
        <w:t>, 29:3, 325-338, DOI: 10.1080/0964704X.2020.1732779</w:t>
      </w:r>
    </w:p>
    <w:p w14:paraId="06CC4EDA"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Style w:val="normaltextrun"/>
          <w:rFonts w:ascii="Arial" w:hAnsi="Arial" w:cs="Arial"/>
          <w:color w:val="000000" w:themeColor="text1"/>
          <w:sz w:val="24"/>
          <w:szCs w:val="24"/>
        </w:rPr>
        <w:t>Ferri, E. (1896) </w:t>
      </w:r>
      <w:r w:rsidRPr="00EF2CF6">
        <w:rPr>
          <w:rStyle w:val="normaltextrun"/>
          <w:rFonts w:ascii="Arial" w:hAnsi="Arial" w:cs="Arial"/>
          <w:i/>
          <w:iCs/>
          <w:color w:val="000000" w:themeColor="text1"/>
          <w:sz w:val="24"/>
          <w:szCs w:val="24"/>
        </w:rPr>
        <w:t>Criminal Sociology. </w:t>
      </w:r>
      <w:r w:rsidRPr="00EF2CF6">
        <w:rPr>
          <w:rStyle w:val="normaltextrun"/>
          <w:rFonts w:ascii="Arial" w:hAnsi="Arial" w:cs="Arial"/>
          <w:color w:val="000000" w:themeColor="text1"/>
          <w:sz w:val="24"/>
          <w:szCs w:val="24"/>
        </w:rPr>
        <w:t>New York: D. Appleton &amp; Co.</w:t>
      </w:r>
      <w:r w:rsidRPr="00EF2CF6">
        <w:rPr>
          <w:rStyle w:val="eop"/>
          <w:rFonts w:ascii="Arial" w:hAnsi="Arial" w:cs="Arial"/>
          <w:color w:val="000000" w:themeColor="text1"/>
          <w:sz w:val="24"/>
          <w:szCs w:val="24"/>
          <w:shd w:val="clear" w:color="auto" w:fill="FFFFFF"/>
        </w:rPr>
        <w:t> </w:t>
      </w:r>
    </w:p>
    <w:p w14:paraId="66F9ABAD"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lastRenderedPageBreak/>
        <w:t/>
      </w:r>
      <w:r w:rsidRPr="00EF2CF6">
        <w:rPr>
          <w:rStyle w:val="normaltextrun"/>
          <w:rFonts w:ascii="Arial" w:hAnsi="Arial" w:cs="Arial"/>
          <w:color w:val="000000" w:themeColor="text1"/>
          <w:sz w:val="24"/>
          <w:szCs w:val="24"/>
        </w:rPr>
        <w:t>Gibson, M., and Raffer, N. (2006) </w:t>
      </w:r>
      <w:r w:rsidRPr="00EF2CF6">
        <w:rPr>
          <w:rStyle w:val="normaltextrun"/>
          <w:rFonts w:ascii="Arial" w:hAnsi="Arial" w:cs="Arial"/>
          <w:i/>
          <w:iCs/>
          <w:color w:val="000000" w:themeColor="text1"/>
          <w:sz w:val="24"/>
          <w:szCs w:val="24"/>
        </w:rPr>
        <w:t>Cesare Lombroso</w:t>
      </w:r>
      <w:r w:rsidRPr="00EF2CF6">
        <w:rPr>
          <w:rStyle w:val="normaltextrun"/>
          <w:rFonts w:ascii="Arial" w:hAnsi="Arial" w:cs="Arial"/>
          <w:color w:val="000000" w:themeColor="text1"/>
          <w:sz w:val="24"/>
          <w:szCs w:val="24"/>
        </w:rPr>
        <w:t>. Durham: Duke University Press.</w:t>
      </w:r>
      <w:r w:rsidRPr="00EF2CF6">
        <w:rPr>
          <w:rStyle w:val="eop"/>
          <w:rFonts w:ascii="Arial" w:hAnsi="Arial" w:cs="Arial"/>
          <w:color w:val="000000" w:themeColor="text1"/>
          <w:sz w:val="24"/>
          <w:szCs w:val="24"/>
          <w:shd w:val="clear" w:color="auto" w:fill="FFFFFF"/>
        </w:rPr>
        <w:t> </w:t>
      </w:r>
    </w:p>
    <w:p w14:paraId="133C0BAE"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Goldfield M. and Gilbert A. (1995) ‘The Limits of Rational Choice Theory’, Rational Choice Marxism, pp. 275-300. London: Palgrave Macmillan. Available at: https://link.springer.com/chapter/10.1007/978-1-349-24183-5_11 (Accessed: 01.12.2021).</w:t>
      </w:r>
    </w:p>
    <w:p w14:paraId="0198C10C"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Goldson, B. (2016) Child criminalisation and the mistake of early intervention. Available at: </w:t>
      </w:r>
      <w:hyperlink r:id="rId15" w:history="1">
        <w:r w:rsidRPr="00EF2CF6">
          <w:rPr>
            <w:rStyle w:val="Hyperlink"/>
            <w:rFonts w:ascii="Arial" w:hAnsi="Arial" w:cs="Arial"/>
            <w:color w:val="000000" w:themeColor="text1"/>
            <w:sz w:val="24"/>
            <w:szCs w:val="24"/>
          </w:rPr>
          <w:t>https://www.crimeandjustice.org.uk/publications/cjm/article/child-criminalisation-and-mistake-early-intervention</w:t>
        </w:r>
      </w:hyperlink>
      <w:r w:rsidRPr="00EF2CF6">
        <w:rPr>
          <w:rFonts w:ascii="Arial" w:hAnsi="Arial" w:cs="Arial"/>
          <w:color w:val="000000" w:themeColor="text1"/>
          <w:sz w:val="24"/>
          <w:szCs w:val="24"/>
        </w:rPr>
        <w:t xml:space="preserve"> (Accessed: 3.12.2021).</w:t>
      </w:r>
    </w:p>
    <w:p w14:paraId="5C328AA0" w14:textId="77777777" w:rsidR="006856F7" w:rsidRPr="00EF2CF6" w:rsidRDefault="006856F7" w:rsidP="006856F7">
      <w:pPr>
        <w:pStyle w:val="ListParagraph"/>
        <w:numPr>
          <w:ilvl w:val="0"/>
          <w:numId w:val="6"/>
        </w:numPr>
        <w:rPr>
          <w:rFonts w:ascii="Arial" w:hAnsi="Arial" w:cs="Arial"/>
          <w:color w:val="000000" w:themeColor="text1"/>
          <w:spacing w:val="-2"/>
          <w:sz w:val="24"/>
          <w:szCs w:val="24"/>
        </w:rPr>
      </w:pPr>
      <w:r w:rsidRPr="00EF2CF6">
        <w:rPr>
          <w:rFonts w:ascii="Arial" w:hAnsi="Arial" w:cs="Arial"/>
          <w:color w:val="000000" w:themeColor="text1"/>
          <w:spacing w:val="-2"/>
          <w:sz w:val="24"/>
          <w:szCs w:val="24"/>
        </w:rPr>
        <w:t xml:space="preserve">Griffiths, M. and Bullen, J. (2017) Revealed: What life is really like on notorious estate that even Google suggests is 'rough area'. Available at: </w:t>
      </w:r>
      <w:hyperlink r:id="rId16" w:history="1">
        <w:r w:rsidRPr="00EF2CF6">
          <w:rPr>
            <w:rStyle w:val="Hyperlink"/>
            <w:rFonts w:ascii="Arial" w:hAnsi="Arial" w:cs="Arial"/>
            <w:color w:val="000000" w:themeColor="text1"/>
            <w:spacing w:val="-2"/>
            <w:sz w:val="24"/>
            <w:szCs w:val="24"/>
          </w:rPr>
          <w:t>https://www.mirror.co.uk/news/uk-news/revealed-what-life-like-estate-10026319</w:t>
        </w:r>
      </w:hyperlink>
      <w:r w:rsidRPr="00EF2CF6">
        <w:rPr>
          <w:rFonts w:ascii="Arial" w:hAnsi="Arial" w:cs="Arial"/>
          <w:color w:val="000000" w:themeColor="text1"/>
          <w:spacing w:val="-2"/>
          <w:sz w:val="24"/>
          <w:szCs w:val="24"/>
        </w:rPr>
        <w:t xml:space="preserve"> (Accessed: 1.12.2021)</w:t>
      </w:r>
    </w:p>
    <w:p w14:paraId="19FD0ED8"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HM Government (2021). </w:t>
      </w:r>
      <w:r w:rsidRPr="00EF2CF6">
        <w:rPr>
          <w:rFonts w:ascii="Arial" w:hAnsi="Arial" w:cs="Arial"/>
          <w:i/>
          <w:iCs/>
          <w:color w:val="000000" w:themeColor="text1"/>
          <w:sz w:val="24"/>
          <w:szCs w:val="24"/>
        </w:rPr>
        <w:t>Serious Violence Strategy</w:t>
      </w:r>
      <w:r w:rsidRPr="00EF2CF6">
        <w:rPr>
          <w:rFonts w:ascii="Arial" w:hAnsi="Arial" w:cs="Arial"/>
          <w:color w:val="000000" w:themeColor="text1"/>
          <w:sz w:val="24"/>
          <w:szCs w:val="24"/>
        </w:rPr>
        <w:t xml:space="preserve">. Available at: </w:t>
      </w:r>
      <w:hyperlink r:id="rId17" w:history="1">
        <w:r w:rsidRPr="00EF2CF6">
          <w:rPr>
            <w:rStyle w:val="Hyperlink"/>
            <w:rFonts w:ascii="Arial" w:hAnsi="Arial" w:cs="Arial"/>
            <w:color w:val="000000" w:themeColor="text1"/>
            <w:sz w:val="24"/>
            <w:szCs w:val="24"/>
          </w:rPr>
          <w:t>https://assets.publishing.service.gov.uk/government/uploads/system/uploads/attachment_data/file/698009/serious-violence-strategy.pdf</w:t>
        </w:r>
      </w:hyperlink>
      <w:r w:rsidRPr="00EF2CF6">
        <w:rPr>
          <w:rFonts w:ascii="Arial" w:hAnsi="Arial" w:cs="Arial"/>
          <w:color w:val="000000" w:themeColor="text1"/>
          <w:sz w:val="24"/>
          <w:szCs w:val="24"/>
        </w:rPr>
        <w:t xml:space="preserve"> (Accessed: 2.12.2021)</w:t>
      </w:r>
    </w:p>
    <w:p w14:paraId="1C2F36EF"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Hope, T. (1995). ‘Community Crime Prevention’, </w:t>
      </w:r>
      <w:r w:rsidRPr="00EF2CF6">
        <w:rPr>
          <w:rFonts w:ascii="Arial" w:hAnsi="Arial" w:cs="Arial"/>
          <w:i/>
          <w:iCs/>
          <w:color w:val="000000" w:themeColor="text1"/>
          <w:sz w:val="24"/>
          <w:szCs w:val="24"/>
        </w:rPr>
        <w:t>Crime and Justice</w:t>
      </w:r>
      <w:r w:rsidRPr="00EF2CF6">
        <w:rPr>
          <w:rFonts w:ascii="Arial" w:hAnsi="Arial" w:cs="Arial"/>
          <w:color w:val="000000" w:themeColor="text1"/>
          <w:sz w:val="24"/>
          <w:szCs w:val="24"/>
        </w:rPr>
        <w:t xml:space="preserve">, 19, pp.21–89. Available at: </w:t>
      </w:r>
      <w:hyperlink r:id="rId18" w:history="1">
        <w:r w:rsidRPr="00EF2CF6">
          <w:rPr>
            <w:rStyle w:val="Hyperlink"/>
            <w:rFonts w:ascii="Arial" w:hAnsi="Arial" w:cs="Arial"/>
            <w:color w:val="000000" w:themeColor="text1"/>
            <w:sz w:val="24"/>
            <w:szCs w:val="24"/>
          </w:rPr>
          <w:t>https://www.jstor.org/stable/1147595?refreqid=excelsior%3Ad90e19592cfdd9194883dc0f8f9d8466</w:t>
        </w:r>
      </w:hyperlink>
      <w:r w:rsidRPr="00EF2CF6">
        <w:rPr>
          <w:rFonts w:ascii="Arial" w:hAnsi="Arial" w:cs="Arial"/>
          <w:color w:val="000000" w:themeColor="text1"/>
          <w:sz w:val="24"/>
          <w:szCs w:val="24"/>
        </w:rPr>
        <w:t xml:space="preserve"> (Accessed: 02.12.2021).</w:t>
      </w:r>
    </w:p>
    <w:p w14:paraId="5A5B26B8"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L'aoustet, O. and Griffet, J. (2001). The Experience of Teenagers at Marseilles’ Skate Park Emergence and Evaluation of an Urban Sports Site. </w:t>
      </w:r>
      <w:r w:rsidRPr="00EF2CF6">
        <w:rPr>
          <w:rFonts w:ascii="Arial" w:hAnsi="Arial" w:cs="Arial"/>
          <w:i/>
          <w:iCs/>
          <w:color w:val="000000" w:themeColor="text1"/>
          <w:sz w:val="24"/>
          <w:szCs w:val="24"/>
        </w:rPr>
        <w:t>Cities</w:t>
      </w:r>
      <w:r w:rsidRPr="00EF2CF6">
        <w:rPr>
          <w:rFonts w:ascii="Arial" w:hAnsi="Arial" w:cs="Arial"/>
          <w:color w:val="000000" w:themeColor="text1"/>
          <w:sz w:val="24"/>
          <w:szCs w:val="24"/>
        </w:rPr>
        <w:t xml:space="preserve">, [online] 18(6), pp.413–418. Available at: </w:t>
      </w:r>
      <w:hyperlink r:id="rId19" w:history="1">
        <w:r w:rsidRPr="00EF2CF6">
          <w:rPr>
            <w:rStyle w:val="Hyperlink"/>
            <w:rFonts w:ascii="Arial" w:hAnsi="Arial" w:cs="Arial"/>
            <w:color w:val="000000" w:themeColor="text1"/>
            <w:sz w:val="24"/>
            <w:szCs w:val="24"/>
          </w:rPr>
          <w:t>https://s3.ap-southeast-2.amazonaws.com/hdp.au.prod.app.pp-haveyoursay.files/3115/4709/1710/L_Aoustet__Griffet_journal_article.pdf</w:t>
        </w:r>
      </w:hyperlink>
      <w:r w:rsidRPr="00EF2CF6">
        <w:rPr>
          <w:rFonts w:ascii="Arial" w:hAnsi="Arial" w:cs="Arial"/>
          <w:color w:val="000000" w:themeColor="text1"/>
          <w:sz w:val="24"/>
          <w:szCs w:val="24"/>
        </w:rPr>
        <w:t xml:space="preserve">  (Accessed: 2.12.2021).</w:t>
      </w:r>
    </w:p>
    <w:p w14:paraId="75E94E03"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Liddle, A.M. and Gelsthorpe, L.R. (1994), Inter-Agency Crime Prevention: Further Issues Police. Available at: </w:t>
      </w:r>
      <w:hyperlink r:id="rId20" w:history="1">
        <w:r w:rsidRPr="00EF2CF6">
          <w:rPr>
            <w:rStyle w:val="Hyperlink"/>
            <w:rFonts w:ascii="Arial" w:hAnsi="Arial" w:cs="Arial"/>
            <w:color w:val="000000" w:themeColor="text1"/>
            <w:sz w:val="24"/>
            <w:szCs w:val="24"/>
          </w:rPr>
          <w:t>http://citeseerx.ist.psu.edu/viewdoc/download;jsessionid=8B56C0A1FACFC76841544C95F9C6327F?doi=10.1.1.622.2538&amp;rep=rep1&amp;type=pdf</w:t>
        </w:r>
      </w:hyperlink>
      <w:r w:rsidRPr="00EF2CF6">
        <w:rPr>
          <w:rFonts w:ascii="Arial" w:hAnsi="Arial" w:cs="Arial"/>
          <w:color w:val="000000" w:themeColor="text1"/>
          <w:sz w:val="24"/>
          <w:szCs w:val="24"/>
        </w:rPr>
        <w:t xml:space="preserve"> (Accessed: 2.12.2021).</w:t>
      </w:r>
    </w:p>
    <w:p w14:paraId="1262BBE2"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proofErr w:type="spellStart"/>
      <w:r w:rsidRPr="00EF2CF6">
        <w:rPr>
          <w:rFonts w:ascii="Arial" w:hAnsi="Arial" w:cs="Arial"/>
          <w:color w:val="000000" w:themeColor="text1"/>
          <w:sz w:val="24"/>
          <w:szCs w:val="24"/>
        </w:rPr>
        <w:t>Malizia</w:t>
      </w:r>
      <w:proofErr w:type="spellEnd"/>
      <w:r w:rsidRPr="00EF2CF6">
        <w:rPr>
          <w:rFonts w:ascii="Arial" w:hAnsi="Arial" w:cs="Arial"/>
          <w:color w:val="000000" w:themeColor="text1"/>
          <w:sz w:val="24"/>
          <w:szCs w:val="24"/>
        </w:rPr>
        <w:t xml:space="preserve">, N. (2018) Boredom and Social Deviant </w:t>
      </w:r>
      <w:proofErr w:type="spellStart"/>
      <w:r w:rsidRPr="00EF2CF6">
        <w:rPr>
          <w:rFonts w:ascii="Arial" w:hAnsi="Arial" w:cs="Arial"/>
          <w:color w:val="000000" w:themeColor="text1"/>
          <w:sz w:val="24"/>
          <w:szCs w:val="24"/>
        </w:rPr>
        <w:t>Behavior</w:t>
      </w:r>
      <w:proofErr w:type="spellEnd"/>
      <w:r w:rsidRPr="00EF2CF6">
        <w:rPr>
          <w:rFonts w:ascii="Arial" w:hAnsi="Arial" w:cs="Arial"/>
          <w:color w:val="000000" w:themeColor="text1"/>
          <w:sz w:val="24"/>
          <w:szCs w:val="24"/>
        </w:rPr>
        <w:t>: An Empirical Study. </w:t>
      </w:r>
      <w:r w:rsidRPr="00EF2CF6">
        <w:rPr>
          <w:rFonts w:ascii="Arial" w:hAnsi="Arial" w:cs="Arial"/>
          <w:i/>
          <w:iCs/>
          <w:color w:val="000000" w:themeColor="text1"/>
          <w:sz w:val="24"/>
          <w:szCs w:val="24"/>
        </w:rPr>
        <w:t>Advances in Applied Sociology</w:t>
      </w:r>
      <w:r w:rsidRPr="00EF2CF6">
        <w:rPr>
          <w:rFonts w:ascii="Arial" w:hAnsi="Arial" w:cs="Arial"/>
          <w:color w:val="000000" w:themeColor="text1"/>
          <w:sz w:val="24"/>
          <w:szCs w:val="24"/>
        </w:rPr>
        <w:t>, 8, 174-187. doi: </w:t>
      </w:r>
      <w:hyperlink r:id="rId21" w:tgtFrame="_blank" w:history="1">
        <w:r w:rsidRPr="00EF2CF6">
          <w:rPr>
            <w:rStyle w:val="Hyperlink"/>
            <w:rFonts w:ascii="Arial" w:hAnsi="Arial" w:cs="Arial"/>
            <w:color w:val="000000" w:themeColor="text1"/>
            <w:sz w:val="24"/>
            <w:szCs w:val="24"/>
          </w:rPr>
          <w:t>10.4236/aasoci.2018.82010</w:t>
        </w:r>
      </w:hyperlink>
      <w:r w:rsidRPr="00EF2CF6">
        <w:rPr>
          <w:rFonts w:ascii="Arial" w:hAnsi="Arial" w:cs="Arial"/>
          <w:color w:val="000000" w:themeColor="text1"/>
          <w:sz w:val="24"/>
          <w:szCs w:val="24"/>
        </w:rPr>
        <w:t>.</w:t>
      </w:r>
    </w:p>
    <w:p w14:paraId="70CE8B11"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Metsel, R. (1993) Does the ‘Aggressive Gene’ Lurk in a Dutch Family? Available at: https://www.newscientist.com/article/mg14018970-600-does-the-aggressive-gene-lurk-in-a-dutch-family/ (Accessed: 30.11.2021).</w:t>
      </w:r>
    </w:p>
    <w:p w14:paraId="3EB9ED55"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Mobley v. State, 455 S.E.2d 61 (Ga. 1995). Available at: </w:t>
      </w:r>
      <w:hyperlink r:id="rId22" w:history="1">
        <w:r w:rsidRPr="00EF2CF6">
          <w:rPr>
            <w:rStyle w:val="Hyperlink"/>
            <w:rFonts w:ascii="Arial" w:hAnsi="Arial" w:cs="Arial"/>
            <w:color w:val="000000" w:themeColor="text1"/>
            <w:sz w:val="24"/>
            <w:szCs w:val="24"/>
          </w:rPr>
          <w:t>https://www.leagle.com/decision/1995516455se2d611512</w:t>
        </w:r>
      </w:hyperlink>
      <w:r w:rsidRPr="00EF2CF6">
        <w:rPr>
          <w:rFonts w:ascii="Arial" w:hAnsi="Arial" w:cs="Arial"/>
          <w:color w:val="000000" w:themeColor="text1"/>
          <w:sz w:val="24"/>
          <w:szCs w:val="24"/>
        </w:rPr>
        <w:t xml:space="preserve"> (Accessed: 30.11.2021).</w:t>
      </w:r>
    </w:p>
    <w:p w14:paraId="7DD2ADEB"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Morley K &amp; Hall W (2003) ‘Is there a genetic susceptibility to engage in criminal acts?’, Trends &amp; issues in crime and criminal justice no. 263. Canberra: Australian Institute of Criminology. Available at: https://www.aic.gov.au/publications/tandi/tandi263 (Accessed: 30.11.2021).</w:t>
      </w:r>
    </w:p>
    <w:p w14:paraId="1666FA9F"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lastRenderedPageBreak/>
        <w:t/>
      </w:r>
      <w:r w:rsidRPr="00EF2CF6">
        <w:rPr>
          <w:rFonts w:ascii="Arial" w:hAnsi="Arial" w:cs="Arial"/>
          <w:color w:val="000000" w:themeColor="text1"/>
          <w:sz w:val="24"/>
          <w:szCs w:val="24"/>
        </w:rPr>
        <w:t xml:space="preserve">National Youth Agency (2021). To Reduce Crime Requires More Than a Policing or Criminal Justice Response. Available at: </w:t>
      </w:r>
      <w:hyperlink r:id="rId23" w:history="1">
        <w:r w:rsidRPr="00EF2CF6">
          <w:rPr>
            <w:rStyle w:val="Hyperlink"/>
            <w:rFonts w:ascii="Arial" w:hAnsi="Arial" w:cs="Arial"/>
            <w:color w:val="000000" w:themeColor="text1"/>
            <w:sz w:val="24"/>
            <w:szCs w:val="24"/>
          </w:rPr>
          <w:t>https://nya.org.uk/to-reduce-crime-requires-more-than-a-policing-or-criminal-justice-response/</w:t>
        </w:r>
      </w:hyperlink>
      <w:r w:rsidRPr="00EF2CF6">
        <w:rPr>
          <w:rFonts w:ascii="Arial" w:hAnsi="Arial" w:cs="Arial"/>
          <w:color w:val="000000" w:themeColor="text1"/>
          <w:sz w:val="24"/>
          <w:szCs w:val="24"/>
        </w:rPr>
        <w:t xml:space="preserve"> (Accessed: 02.12.2021).</w:t>
      </w:r>
    </w:p>
    <w:p w14:paraId="07A96F1F"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Pitts-Taylor, V. (2019) ‘Neurobiologically Poor? Brain Phenotypes, Inequality, and Biosocial Determinism’, Science, Technology, &amp; Human Values, 44(4), pp. 660–685. doi: 10.1177/0162243919841695.</w:t>
      </w:r>
    </w:p>
    <w:p w14:paraId="0A18A513"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Style w:val="normaltextrun"/>
          <w:rFonts w:ascii="Arial" w:hAnsi="Arial" w:cs="Arial"/>
          <w:color w:val="000000" w:themeColor="text1"/>
          <w:sz w:val="24"/>
          <w:szCs w:val="24"/>
        </w:rPr>
        <w:t>Rhee, H., and Waldman, I. (2002) ‘Genetic and environmental influences on antisocial </w:t>
      </w:r>
      <w:proofErr w:type="spellStart"/>
      <w:r w:rsidRPr="00EF2CF6">
        <w:rPr>
          <w:rStyle w:val="normaltextrun"/>
          <w:rFonts w:ascii="Arial" w:hAnsi="Arial" w:cs="Arial"/>
          <w:color w:val="000000" w:themeColor="text1"/>
          <w:sz w:val="24"/>
          <w:szCs w:val="24"/>
        </w:rPr>
        <w:t>behavior</w:t>
      </w:r>
      <w:proofErr w:type="spellEnd"/>
      <w:r w:rsidRPr="00EF2CF6">
        <w:rPr>
          <w:rStyle w:val="normaltextrun"/>
          <w:rFonts w:ascii="Arial" w:hAnsi="Arial" w:cs="Arial"/>
          <w:color w:val="000000" w:themeColor="text1"/>
          <w:sz w:val="24"/>
          <w:szCs w:val="24"/>
        </w:rPr>
        <w:t>: a meta-analysis of twin and adoption studies’, </w:t>
      </w:r>
      <w:r w:rsidRPr="00EF2CF6">
        <w:rPr>
          <w:rStyle w:val="normaltextrun"/>
          <w:rFonts w:ascii="Arial" w:hAnsi="Arial" w:cs="Arial"/>
          <w:i/>
          <w:iCs/>
          <w:color w:val="000000" w:themeColor="text1"/>
          <w:sz w:val="24"/>
          <w:szCs w:val="24"/>
        </w:rPr>
        <w:t>Psychological Bulletin</w:t>
      </w:r>
      <w:r w:rsidRPr="00EF2CF6">
        <w:rPr>
          <w:rStyle w:val="normaltextrun"/>
          <w:rFonts w:ascii="Arial" w:hAnsi="Arial" w:cs="Arial"/>
          <w:color w:val="000000" w:themeColor="text1"/>
          <w:sz w:val="24"/>
          <w:szCs w:val="24"/>
        </w:rPr>
        <w:t>, 128(3) pp. 490-529.</w:t>
      </w:r>
      <w:r w:rsidRPr="00EF2CF6">
        <w:rPr>
          <w:rStyle w:val="eop"/>
          <w:rFonts w:ascii="Arial" w:hAnsi="Arial" w:cs="Arial"/>
          <w:color w:val="000000" w:themeColor="text1"/>
          <w:sz w:val="24"/>
          <w:szCs w:val="24"/>
          <w:shd w:val="clear" w:color="auto" w:fill="FFFFFF"/>
        </w:rPr>
        <w:t> </w:t>
      </w:r>
    </w:p>
    <w:p w14:paraId="6E816ED7"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shd w:val="clear" w:color="auto" w:fill="FFFFFF"/>
        </w:rPr>
        <w:t>Tangney, J. P., Stuewig, J., &amp; Hafez, L. (2011). ‘Shame, Guilt and Remorse: Implications for Offender Populations’, </w:t>
      </w:r>
      <w:r w:rsidRPr="00EF2CF6">
        <w:rPr>
          <w:rFonts w:ascii="Arial" w:hAnsi="Arial" w:cs="Arial"/>
          <w:i/>
          <w:iCs/>
          <w:color w:val="000000" w:themeColor="text1"/>
          <w:sz w:val="24"/>
          <w:szCs w:val="24"/>
          <w:shd w:val="clear" w:color="auto" w:fill="FFFFFF"/>
        </w:rPr>
        <w:t>The journal of forensic psychiatry &amp; psychology</w:t>
      </w:r>
      <w:r w:rsidRPr="00EF2CF6">
        <w:rPr>
          <w:rFonts w:ascii="Arial" w:hAnsi="Arial" w:cs="Arial"/>
          <w:color w:val="000000" w:themeColor="text1"/>
          <w:sz w:val="24"/>
          <w:szCs w:val="24"/>
          <w:shd w:val="clear" w:color="auto" w:fill="FFFFFF"/>
        </w:rPr>
        <w:t>, </w:t>
      </w:r>
      <w:r w:rsidRPr="00EF2CF6">
        <w:rPr>
          <w:rFonts w:ascii="Arial" w:hAnsi="Arial" w:cs="Arial"/>
          <w:i/>
          <w:iCs/>
          <w:color w:val="000000" w:themeColor="text1"/>
          <w:sz w:val="24"/>
          <w:szCs w:val="24"/>
          <w:shd w:val="clear" w:color="auto" w:fill="FFFFFF"/>
        </w:rPr>
        <w:t>22</w:t>
      </w:r>
      <w:r w:rsidRPr="00EF2CF6">
        <w:rPr>
          <w:rFonts w:ascii="Arial" w:hAnsi="Arial" w:cs="Arial"/>
          <w:color w:val="000000" w:themeColor="text1"/>
          <w:sz w:val="24"/>
          <w:szCs w:val="24"/>
          <w:shd w:val="clear" w:color="auto" w:fill="FFFFFF"/>
        </w:rPr>
        <w:t xml:space="preserve">(5), 706–723. Available at: </w:t>
      </w:r>
      <w:hyperlink r:id="rId24" w:history="1">
        <w:r w:rsidRPr="00EF2CF6">
          <w:rPr>
            <w:rStyle w:val="Hyperlink"/>
            <w:rFonts w:ascii="Arial" w:hAnsi="Arial" w:cs="Arial"/>
            <w:color w:val="000000" w:themeColor="text1"/>
            <w:sz w:val="24"/>
            <w:szCs w:val="24"/>
            <w:shd w:val="clear" w:color="auto" w:fill="FFFFFF"/>
          </w:rPr>
          <w:t>https://www.ncbi.nlm.nih.gov/pmc/articles/PMC3328863/</w:t>
        </w:r>
      </w:hyperlink>
      <w:r w:rsidRPr="00EF2CF6">
        <w:rPr>
          <w:rFonts w:ascii="Arial" w:hAnsi="Arial" w:cs="Arial"/>
          <w:color w:val="000000" w:themeColor="text1"/>
          <w:sz w:val="24"/>
          <w:szCs w:val="24"/>
          <w:shd w:val="clear" w:color="auto" w:fill="FFFFFF"/>
        </w:rPr>
        <w:t xml:space="preserve"> (Accessed: 02.12.2021).</w:t>
      </w:r>
    </w:p>
    <w:p w14:paraId="76861CFF"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Taylor, I., Walton, P., and Young, J. (1973) The New Criminology: For a Social Theory of Deviance. London: Routledge.</w:t>
      </w:r>
    </w:p>
    <w:p w14:paraId="12135C40"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Thompson, K. (2016) Subcultural Theories of Deviance. Available at: </w:t>
      </w:r>
      <w:hyperlink r:id="rId25" w:history="1">
        <w:r w:rsidRPr="00EF2CF6">
          <w:rPr>
            <w:rStyle w:val="Hyperlink"/>
            <w:rFonts w:ascii="Arial" w:hAnsi="Arial" w:cs="Arial"/>
            <w:color w:val="000000" w:themeColor="text1"/>
            <w:sz w:val="24"/>
            <w:szCs w:val="24"/>
          </w:rPr>
          <w:t>https://revisesociology.com/2016/05/31/subcultural-theories-crime-deviance/</w:t>
        </w:r>
      </w:hyperlink>
      <w:r w:rsidRPr="00EF2CF6">
        <w:rPr>
          <w:rFonts w:ascii="Arial" w:hAnsi="Arial" w:cs="Arial"/>
          <w:color w:val="000000" w:themeColor="text1"/>
          <w:sz w:val="24"/>
          <w:szCs w:val="24"/>
        </w:rPr>
        <w:t xml:space="preserve"> (Accessed: 30.11.21). </w:t>
      </w:r>
    </w:p>
    <w:p w14:paraId="0BC6AF3D"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Tiihonen, J. et al. (2014) ‘Genetic Background of Extreme Violent Behaviour’, Molecular Psychiatry, 20, pp. 786-792. Available at: https://www.nature.com/articles/mp2014130#citeas (Accessed: 30.11.2021)</w:t>
      </w:r>
    </w:p>
    <w:p w14:paraId="603D5C2C"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United Nations (1990) </w:t>
      </w:r>
      <w:r w:rsidRPr="00EF2CF6">
        <w:rPr>
          <w:rFonts w:ascii="Arial" w:hAnsi="Arial" w:cs="Arial"/>
          <w:color w:val="000000" w:themeColor="text1"/>
          <w:sz w:val="24"/>
          <w:szCs w:val="24"/>
          <w:shd w:val="clear" w:color="auto" w:fill="FFFFFF"/>
        </w:rPr>
        <w:t xml:space="preserve">United Nations Guidelines for the Prevention of Juvenile Delinquency (The Riyadh Guidelines). Available at: </w:t>
      </w:r>
      <w:hyperlink r:id="rId26" w:history="1">
        <w:r w:rsidRPr="00EF2CF6">
          <w:rPr>
            <w:rStyle w:val="Hyperlink"/>
            <w:rFonts w:ascii="Arial" w:hAnsi="Arial" w:cs="Arial"/>
            <w:color w:val="000000" w:themeColor="text1"/>
            <w:sz w:val="24"/>
            <w:szCs w:val="24"/>
            <w:shd w:val="clear" w:color="auto" w:fill="FFFFFF"/>
          </w:rPr>
          <w:t>https://www.ohchr.org/EN/ProfessionalInterest/Pages/PreventionOfJuvenileDelinquency.aspx</w:t>
        </w:r>
      </w:hyperlink>
      <w:r w:rsidRPr="00EF2CF6">
        <w:rPr>
          <w:rFonts w:ascii="Arial" w:hAnsi="Arial" w:cs="Arial"/>
          <w:color w:val="000000" w:themeColor="text1"/>
          <w:sz w:val="24"/>
          <w:szCs w:val="24"/>
          <w:shd w:val="clear" w:color="auto" w:fill="FFFFFF"/>
        </w:rPr>
        <w:t xml:space="preserve"> (Accessed: 2.12.2021).</w:t>
      </w:r>
    </w:p>
    <w:p w14:paraId="2D05F9D9"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 </w:t>
      </w:r>
      <w:r w:rsidRPr="00EF2CF6">
        <w:rPr>
          <w:rFonts w:ascii="Arial" w:eastAsia="Times New Roman" w:hAnsi="Arial" w:cs="Arial"/>
          <w:color w:val="000000" w:themeColor="text1"/>
          <w:sz w:val="24"/>
          <w:szCs w:val="24"/>
          <w:lang w:eastAsia="en-GB"/>
        </w:rPr>
        <w:t>United Nations Office on Drugs and Crime</w:t>
      </w:r>
      <w:r w:rsidRPr="00EF2CF6">
        <w:rPr>
          <w:rFonts w:ascii="Arial" w:hAnsi="Arial" w:cs="Arial"/>
          <w:color w:val="000000" w:themeColor="text1"/>
          <w:sz w:val="24"/>
          <w:szCs w:val="24"/>
        </w:rPr>
        <w:t xml:space="preserve"> (2010) United Nations on the Crime Prevention Guidelines: Making Them Work. Available at: </w:t>
      </w:r>
      <w:hyperlink r:id="rId27" w:history="1">
        <w:r w:rsidRPr="00EF2CF6">
          <w:rPr>
            <w:rStyle w:val="Hyperlink"/>
            <w:rFonts w:ascii="Arial" w:hAnsi="Arial" w:cs="Arial"/>
            <w:color w:val="000000" w:themeColor="text1"/>
            <w:sz w:val="24"/>
            <w:szCs w:val="24"/>
          </w:rPr>
          <w:t>https://www.unodc.org/pdf/criminal_justice/Handbook_on_Crime_Prevention_Guidelines_-_Making_them_work.pdf</w:t>
        </w:r>
      </w:hyperlink>
      <w:r w:rsidRPr="00EF2CF6">
        <w:rPr>
          <w:rFonts w:ascii="Arial" w:hAnsi="Arial" w:cs="Arial"/>
          <w:color w:val="000000" w:themeColor="text1"/>
          <w:sz w:val="24"/>
          <w:szCs w:val="24"/>
        </w:rPr>
        <w:t xml:space="preserve"> (Accessed: 2.12.2021)/</w:t>
      </w:r>
    </w:p>
    <w:p w14:paraId="594EC8F5" w14:textId="77777777" w:rsidR="006856F7" w:rsidRPr="00EF2CF6" w:rsidRDefault="006856F7" w:rsidP="006856F7">
      <w:pPr>
        <w:pStyle w:val="ListParagraph"/>
        <w:numPr>
          <w:ilvl w:val="0"/>
          <w:numId w:val="6"/>
        </w:numPr>
        <w:rPr>
          <w:rFonts w:ascii="Arial" w:hAnsi="Arial" w:cs="Arial"/>
          <w:color w:val="000000" w:themeColor="text1"/>
          <w:sz w:val="24"/>
          <w:szCs w:val="24"/>
        </w:rPr>
      </w:pPr>
      <w:r w:rsidRPr="00EF2CF6">
        <w:rPr>
          <w:rStyle w:val="CommentReference"/>
          <w:rFonts w:ascii="Arial" w:hAnsi="Arial" w:cs="Arial"/>
          <w:color w:val="000000" w:themeColor="text1"/>
          <w:sz w:val="24"/>
          <w:szCs w:val="24"/>
        </w:rPr>
        <w:t/>
      </w:r>
      <w:r w:rsidRPr="00EF2CF6">
        <w:rPr>
          <w:rFonts w:ascii="Arial" w:hAnsi="Arial" w:cs="Arial"/>
          <w:color w:val="000000" w:themeColor="text1"/>
          <w:sz w:val="24"/>
          <w:szCs w:val="24"/>
        </w:rPr>
        <w:t xml:space="preserve">Walker, J., Thompson, C., Laing, K., Raybould, S., Coombes, M., Procter, S., and Wren, C. (2007) Youth Inclusion and Support Panels: Preventing Crime and Antisocial Behaviour. Available at: </w:t>
      </w:r>
      <w:hyperlink r:id="rId28" w:history="1">
        <w:r w:rsidRPr="00EF2CF6">
          <w:rPr>
            <w:rStyle w:val="Hyperlink"/>
            <w:rFonts w:ascii="Arial" w:hAnsi="Arial" w:cs="Arial"/>
            <w:color w:val="000000" w:themeColor="text1"/>
            <w:sz w:val="24"/>
            <w:szCs w:val="24"/>
          </w:rPr>
          <w:t>https://dera.ioe.ac.uk/6644/1/DCSF-RW018.pdf</w:t>
        </w:r>
      </w:hyperlink>
      <w:r w:rsidRPr="00EF2CF6">
        <w:rPr>
          <w:rFonts w:ascii="Arial" w:hAnsi="Arial" w:cs="Arial"/>
          <w:color w:val="000000" w:themeColor="text1"/>
          <w:sz w:val="24"/>
          <w:szCs w:val="24"/>
        </w:rPr>
        <w:t xml:space="preserve"> (Accessed: 2.12.2021).</w:t>
      </w:r>
    </w:p>
    <w:p w14:paraId="64D6CCD9" w14:textId="77777777" w:rsidR="007B718B" w:rsidRPr="00CB7B0A" w:rsidRDefault="007B718B" w:rsidP="00F5149B">
      <w:pPr>
        <w:spacing w:line="480" w:lineRule="auto"/>
        <w:jc w:val="both"/>
        <w:rPr>
          <w:rFonts w:ascii="Arial" w:hAnsi="Arial" w:cs="Arial"/>
          <w:sz w:val="24"/>
          <w:szCs w:val="24"/>
        </w:rPr>
      </w:pPr>
    </w:p>
    <w:sectPr w:rsidR="007B718B" w:rsidRPr="00CB7B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C55F1"/>
    <w:multiLevelType w:val="hybridMultilevel"/>
    <w:tmpl w:val="274CEA90"/>
    <w:lvl w:ilvl="0" w:tplc="08090015">
      <w:start w:val="1"/>
      <w:numFmt w:val="upp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78C60EF"/>
    <w:multiLevelType w:val="hybridMultilevel"/>
    <w:tmpl w:val="DDCEC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B4AAD"/>
    <w:multiLevelType w:val="multilevel"/>
    <w:tmpl w:val="1A465FA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B014B5C"/>
    <w:multiLevelType w:val="hybridMultilevel"/>
    <w:tmpl w:val="392822E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1330C9"/>
    <w:multiLevelType w:val="hybridMultilevel"/>
    <w:tmpl w:val="91D28914"/>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26916C9"/>
    <w:multiLevelType w:val="hybridMultilevel"/>
    <w:tmpl w:val="C3A4E2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E33"/>
    <w:rsid w:val="000038AE"/>
    <w:rsid w:val="0000548F"/>
    <w:rsid w:val="0001330E"/>
    <w:rsid w:val="000211C2"/>
    <w:rsid w:val="00052729"/>
    <w:rsid w:val="000544A4"/>
    <w:rsid w:val="00077958"/>
    <w:rsid w:val="000936BE"/>
    <w:rsid w:val="00095E11"/>
    <w:rsid w:val="000A2FA2"/>
    <w:rsid w:val="000A4BC4"/>
    <w:rsid w:val="000A55E8"/>
    <w:rsid w:val="000C39E7"/>
    <w:rsid w:val="000D268A"/>
    <w:rsid w:val="000E7020"/>
    <w:rsid w:val="000F33B4"/>
    <w:rsid w:val="000F781F"/>
    <w:rsid w:val="0012423B"/>
    <w:rsid w:val="00140649"/>
    <w:rsid w:val="00150FE6"/>
    <w:rsid w:val="00182BD9"/>
    <w:rsid w:val="00190F7F"/>
    <w:rsid w:val="00192946"/>
    <w:rsid w:val="00193F83"/>
    <w:rsid w:val="001C33E6"/>
    <w:rsid w:val="001D3883"/>
    <w:rsid w:val="001D63A3"/>
    <w:rsid w:val="001F796E"/>
    <w:rsid w:val="00213E33"/>
    <w:rsid w:val="002141E6"/>
    <w:rsid w:val="0022122A"/>
    <w:rsid w:val="002330E1"/>
    <w:rsid w:val="0023758D"/>
    <w:rsid w:val="00250C69"/>
    <w:rsid w:val="0025602B"/>
    <w:rsid w:val="002560B4"/>
    <w:rsid w:val="00261A87"/>
    <w:rsid w:val="00261E18"/>
    <w:rsid w:val="00264041"/>
    <w:rsid w:val="002674BD"/>
    <w:rsid w:val="0027213B"/>
    <w:rsid w:val="00272596"/>
    <w:rsid w:val="00274A4F"/>
    <w:rsid w:val="00280452"/>
    <w:rsid w:val="002826F9"/>
    <w:rsid w:val="0028423E"/>
    <w:rsid w:val="0028548D"/>
    <w:rsid w:val="0029645A"/>
    <w:rsid w:val="002A75A6"/>
    <w:rsid w:val="002D319B"/>
    <w:rsid w:val="002E5D81"/>
    <w:rsid w:val="0030318E"/>
    <w:rsid w:val="00306256"/>
    <w:rsid w:val="00320148"/>
    <w:rsid w:val="00323C0B"/>
    <w:rsid w:val="0034217D"/>
    <w:rsid w:val="003469A5"/>
    <w:rsid w:val="0035426E"/>
    <w:rsid w:val="00361905"/>
    <w:rsid w:val="00370FE2"/>
    <w:rsid w:val="00376B0A"/>
    <w:rsid w:val="0038424F"/>
    <w:rsid w:val="00394378"/>
    <w:rsid w:val="003A16DA"/>
    <w:rsid w:val="003A4DF7"/>
    <w:rsid w:val="003B4B2B"/>
    <w:rsid w:val="003B7CC2"/>
    <w:rsid w:val="003D330D"/>
    <w:rsid w:val="003D7894"/>
    <w:rsid w:val="003E0BBA"/>
    <w:rsid w:val="00406B52"/>
    <w:rsid w:val="00407B3E"/>
    <w:rsid w:val="00431855"/>
    <w:rsid w:val="00442290"/>
    <w:rsid w:val="004430F7"/>
    <w:rsid w:val="0045198D"/>
    <w:rsid w:val="0045508D"/>
    <w:rsid w:val="0045540F"/>
    <w:rsid w:val="004614AA"/>
    <w:rsid w:val="00471B02"/>
    <w:rsid w:val="004908E6"/>
    <w:rsid w:val="00493A7F"/>
    <w:rsid w:val="004A14BE"/>
    <w:rsid w:val="004A2C06"/>
    <w:rsid w:val="004A611B"/>
    <w:rsid w:val="004B2A61"/>
    <w:rsid w:val="004C02D3"/>
    <w:rsid w:val="004C43AE"/>
    <w:rsid w:val="004D2FC6"/>
    <w:rsid w:val="004D38C6"/>
    <w:rsid w:val="004E49B9"/>
    <w:rsid w:val="004E7F66"/>
    <w:rsid w:val="004E7F72"/>
    <w:rsid w:val="004F56BE"/>
    <w:rsid w:val="00511B24"/>
    <w:rsid w:val="005346AF"/>
    <w:rsid w:val="00573F62"/>
    <w:rsid w:val="0058190F"/>
    <w:rsid w:val="005A22B6"/>
    <w:rsid w:val="005A3D71"/>
    <w:rsid w:val="005B5DC6"/>
    <w:rsid w:val="005C1857"/>
    <w:rsid w:val="005C6EE5"/>
    <w:rsid w:val="005D6A49"/>
    <w:rsid w:val="005F0C25"/>
    <w:rsid w:val="005F5CA2"/>
    <w:rsid w:val="006030C2"/>
    <w:rsid w:val="00610A33"/>
    <w:rsid w:val="006127B1"/>
    <w:rsid w:val="006212BD"/>
    <w:rsid w:val="00632BF2"/>
    <w:rsid w:val="00635041"/>
    <w:rsid w:val="00654786"/>
    <w:rsid w:val="00662678"/>
    <w:rsid w:val="006656D6"/>
    <w:rsid w:val="00667247"/>
    <w:rsid w:val="006856F7"/>
    <w:rsid w:val="00694EEB"/>
    <w:rsid w:val="006B3BD7"/>
    <w:rsid w:val="006B6A8E"/>
    <w:rsid w:val="006B7233"/>
    <w:rsid w:val="006C27C6"/>
    <w:rsid w:val="006C4AB9"/>
    <w:rsid w:val="006C7691"/>
    <w:rsid w:val="006D06A0"/>
    <w:rsid w:val="006D0AFC"/>
    <w:rsid w:val="006E0E28"/>
    <w:rsid w:val="006E329A"/>
    <w:rsid w:val="00712A04"/>
    <w:rsid w:val="00714820"/>
    <w:rsid w:val="0072127A"/>
    <w:rsid w:val="0073290D"/>
    <w:rsid w:val="00763A75"/>
    <w:rsid w:val="00765150"/>
    <w:rsid w:val="00766289"/>
    <w:rsid w:val="0077264E"/>
    <w:rsid w:val="007903B8"/>
    <w:rsid w:val="00792880"/>
    <w:rsid w:val="007A3204"/>
    <w:rsid w:val="007A4B86"/>
    <w:rsid w:val="007A6047"/>
    <w:rsid w:val="007A60CD"/>
    <w:rsid w:val="007B718B"/>
    <w:rsid w:val="007D7774"/>
    <w:rsid w:val="007E7DA7"/>
    <w:rsid w:val="0080347A"/>
    <w:rsid w:val="00821287"/>
    <w:rsid w:val="008226C0"/>
    <w:rsid w:val="00836864"/>
    <w:rsid w:val="00841179"/>
    <w:rsid w:val="008629DF"/>
    <w:rsid w:val="00886339"/>
    <w:rsid w:val="00892132"/>
    <w:rsid w:val="008A01CA"/>
    <w:rsid w:val="008B495E"/>
    <w:rsid w:val="008C55F7"/>
    <w:rsid w:val="008C7B89"/>
    <w:rsid w:val="008D053B"/>
    <w:rsid w:val="008D1D0A"/>
    <w:rsid w:val="008D3936"/>
    <w:rsid w:val="008D7E03"/>
    <w:rsid w:val="008F01B3"/>
    <w:rsid w:val="00906028"/>
    <w:rsid w:val="00923D78"/>
    <w:rsid w:val="009261A7"/>
    <w:rsid w:val="00944BC1"/>
    <w:rsid w:val="00946AE9"/>
    <w:rsid w:val="009513C7"/>
    <w:rsid w:val="009614A0"/>
    <w:rsid w:val="009639E3"/>
    <w:rsid w:val="00965A73"/>
    <w:rsid w:val="009663FB"/>
    <w:rsid w:val="00970CBD"/>
    <w:rsid w:val="0099043B"/>
    <w:rsid w:val="009A1FE5"/>
    <w:rsid w:val="009D3D10"/>
    <w:rsid w:val="009D4D07"/>
    <w:rsid w:val="009F76A9"/>
    <w:rsid w:val="00A004B6"/>
    <w:rsid w:val="00A018B9"/>
    <w:rsid w:val="00A17D21"/>
    <w:rsid w:val="00A20678"/>
    <w:rsid w:val="00A30C79"/>
    <w:rsid w:val="00A34356"/>
    <w:rsid w:val="00A36A69"/>
    <w:rsid w:val="00A44D26"/>
    <w:rsid w:val="00A55275"/>
    <w:rsid w:val="00A622D5"/>
    <w:rsid w:val="00A63182"/>
    <w:rsid w:val="00A635DE"/>
    <w:rsid w:val="00A65968"/>
    <w:rsid w:val="00A779A8"/>
    <w:rsid w:val="00A85BB1"/>
    <w:rsid w:val="00A920E8"/>
    <w:rsid w:val="00AA7B39"/>
    <w:rsid w:val="00AB1FA3"/>
    <w:rsid w:val="00AB6946"/>
    <w:rsid w:val="00AD3DA3"/>
    <w:rsid w:val="00AD649E"/>
    <w:rsid w:val="00AE1297"/>
    <w:rsid w:val="00AE58F4"/>
    <w:rsid w:val="00AF63B8"/>
    <w:rsid w:val="00B223EC"/>
    <w:rsid w:val="00B36B6E"/>
    <w:rsid w:val="00B455B5"/>
    <w:rsid w:val="00B52AB4"/>
    <w:rsid w:val="00B64701"/>
    <w:rsid w:val="00B70873"/>
    <w:rsid w:val="00B70C8A"/>
    <w:rsid w:val="00B82457"/>
    <w:rsid w:val="00B828A4"/>
    <w:rsid w:val="00B82C69"/>
    <w:rsid w:val="00B852CF"/>
    <w:rsid w:val="00BA49DD"/>
    <w:rsid w:val="00BB1A99"/>
    <w:rsid w:val="00BB228B"/>
    <w:rsid w:val="00BB4B98"/>
    <w:rsid w:val="00BC1183"/>
    <w:rsid w:val="00BC22EF"/>
    <w:rsid w:val="00BC23EA"/>
    <w:rsid w:val="00BC5D1C"/>
    <w:rsid w:val="00BF1F2F"/>
    <w:rsid w:val="00C050EF"/>
    <w:rsid w:val="00C1293B"/>
    <w:rsid w:val="00C14B93"/>
    <w:rsid w:val="00C27AEC"/>
    <w:rsid w:val="00C44645"/>
    <w:rsid w:val="00C563AD"/>
    <w:rsid w:val="00C77FDE"/>
    <w:rsid w:val="00C80C32"/>
    <w:rsid w:val="00C83720"/>
    <w:rsid w:val="00C83761"/>
    <w:rsid w:val="00C939F2"/>
    <w:rsid w:val="00C94CC4"/>
    <w:rsid w:val="00CB473B"/>
    <w:rsid w:val="00CB7B0A"/>
    <w:rsid w:val="00CC7397"/>
    <w:rsid w:val="00CD4DC4"/>
    <w:rsid w:val="00D055AD"/>
    <w:rsid w:val="00D33051"/>
    <w:rsid w:val="00D37BA1"/>
    <w:rsid w:val="00D37FC6"/>
    <w:rsid w:val="00D4101D"/>
    <w:rsid w:val="00D430F7"/>
    <w:rsid w:val="00D43623"/>
    <w:rsid w:val="00D50292"/>
    <w:rsid w:val="00D51E1A"/>
    <w:rsid w:val="00D72611"/>
    <w:rsid w:val="00D72D46"/>
    <w:rsid w:val="00D86F4D"/>
    <w:rsid w:val="00D90293"/>
    <w:rsid w:val="00D94077"/>
    <w:rsid w:val="00DA7AE2"/>
    <w:rsid w:val="00DB170F"/>
    <w:rsid w:val="00DC76D7"/>
    <w:rsid w:val="00DD043B"/>
    <w:rsid w:val="00DD04C6"/>
    <w:rsid w:val="00DD3AA6"/>
    <w:rsid w:val="00DE2F52"/>
    <w:rsid w:val="00E00232"/>
    <w:rsid w:val="00E06E83"/>
    <w:rsid w:val="00E17ABB"/>
    <w:rsid w:val="00E5481B"/>
    <w:rsid w:val="00E60D10"/>
    <w:rsid w:val="00E710FE"/>
    <w:rsid w:val="00E7349F"/>
    <w:rsid w:val="00E86F5A"/>
    <w:rsid w:val="00E9070A"/>
    <w:rsid w:val="00E95D17"/>
    <w:rsid w:val="00E96069"/>
    <w:rsid w:val="00EA0991"/>
    <w:rsid w:val="00EB67BF"/>
    <w:rsid w:val="00EB724D"/>
    <w:rsid w:val="00EE3AF7"/>
    <w:rsid w:val="00F04AD3"/>
    <w:rsid w:val="00F04EDA"/>
    <w:rsid w:val="00F151F4"/>
    <w:rsid w:val="00F17A7D"/>
    <w:rsid w:val="00F27225"/>
    <w:rsid w:val="00F32897"/>
    <w:rsid w:val="00F32AFC"/>
    <w:rsid w:val="00F35106"/>
    <w:rsid w:val="00F370FA"/>
    <w:rsid w:val="00F37F79"/>
    <w:rsid w:val="00F47109"/>
    <w:rsid w:val="00F5149B"/>
    <w:rsid w:val="00F60F58"/>
    <w:rsid w:val="00F6419A"/>
    <w:rsid w:val="00F646A0"/>
    <w:rsid w:val="00F86989"/>
    <w:rsid w:val="00F87539"/>
    <w:rsid w:val="00FA67C5"/>
    <w:rsid w:val="00FB36FF"/>
    <w:rsid w:val="00FE4B1A"/>
    <w:rsid w:val="00FF5AE4"/>
    <w:rsid w:val="00FF7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67177"/>
  <w15:chartTrackingRefBased/>
  <w15:docId w15:val="{3AAC290A-8E7A-4AE5-910B-E8170CC6D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725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13E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13E33"/>
  </w:style>
  <w:style w:type="character" w:customStyle="1" w:styleId="eop">
    <w:name w:val="eop"/>
    <w:basedOn w:val="DefaultParagraphFont"/>
    <w:rsid w:val="00213E33"/>
  </w:style>
  <w:style w:type="paragraph" w:styleId="ListParagraph">
    <w:name w:val="List Paragraph"/>
    <w:basedOn w:val="Normal"/>
    <w:uiPriority w:val="34"/>
    <w:qFormat/>
    <w:rsid w:val="00A55275"/>
    <w:pPr>
      <w:ind w:left="720"/>
      <w:contextualSpacing/>
    </w:pPr>
  </w:style>
  <w:style w:type="character" w:customStyle="1" w:styleId="hgkelc">
    <w:name w:val="hgkelc"/>
    <w:basedOn w:val="DefaultParagraphFont"/>
    <w:rsid w:val="00F86989"/>
  </w:style>
  <w:style w:type="character" w:customStyle="1" w:styleId="kx21rb">
    <w:name w:val="kx21rb"/>
    <w:basedOn w:val="DefaultParagraphFont"/>
    <w:rsid w:val="00F86989"/>
  </w:style>
  <w:style w:type="character" w:styleId="CommentReference">
    <w:name w:val="annotation reference"/>
    <w:basedOn w:val="DefaultParagraphFont"/>
    <w:uiPriority w:val="99"/>
    <w:semiHidden/>
    <w:unhideWhenUsed/>
    <w:rsid w:val="00F86989"/>
    <w:rPr>
      <w:sz w:val="16"/>
      <w:szCs w:val="16"/>
    </w:rPr>
  </w:style>
  <w:style w:type="paragraph" w:styleId="CommentText">
    <w:name w:val="annotation text"/>
    <w:basedOn w:val="Normal"/>
    <w:link w:val="CommentTextChar"/>
    <w:uiPriority w:val="99"/>
    <w:semiHidden/>
    <w:unhideWhenUsed/>
    <w:rsid w:val="00F86989"/>
    <w:pPr>
      <w:spacing w:line="240" w:lineRule="auto"/>
    </w:pPr>
    <w:rPr>
      <w:sz w:val="20"/>
      <w:szCs w:val="20"/>
    </w:rPr>
  </w:style>
  <w:style w:type="character" w:customStyle="1" w:styleId="CommentTextChar">
    <w:name w:val="Comment Text Char"/>
    <w:basedOn w:val="DefaultParagraphFont"/>
    <w:link w:val="CommentText"/>
    <w:uiPriority w:val="99"/>
    <w:semiHidden/>
    <w:rsid w:val="00F86989"/>
    <w:rPr>
      <w:sz w:val="20"/>
      <w:szCs w:val="20"/>
    </w:rPr>
  </w:style>
  <w:style w:type="paragraph" w:styleId="CommentSubject">
    <w:name w:val="annotation subject"/>
    <w:basedOn w:val="CommentText"/>
    <w:next w:val="CommentText"/>
    <w:link w:val="CommentSubjectChar"/>
    <w:uiPriority w:val="99"/>
    <w:semiHidden/>
    <w:unhideWhenUsed/>
    <w:rsid w:val="00F86989"/>
    <w:rPr>
      <w:b/>
      <w:bCs/>
    </w:rPr>
  </w:style>
  <w:style w:type="character" w:customStyle="1" w:styleId="CommentSubjectChar">
    <w:name w:val="Comment Subject Char"/>
    <w:basedOn w:val="CommentTextChar"/>
    <w:link w:val="CommentSubject"/>
    <w:uiPriority w:val="99"/>
    <w:semiHidden/>
    <w:rsid w:val="00F86989"/>
    <w:rPr>
      <w:b/>
      <w:bCs/>
      <w:sz w:val="20"/>
      <w:szCs w:val="20"/>
    </w:rPr>
  </w:style>
  <w:style w:type="character" w:styleId="Hyperlink">
    <w:name w:val="Hyperlink"/>
    <w:basedOn w:val="DefaultParagraphFont"/>
    <w:uiPriority w:val="99"/>
    <w:unhideWhenUsed/>
    <w:rsid w:val="00F86989"/>
    <w:rPr>
      <w:color w:val="0563C1" w:themeColor="hyperlink"/>
      <w:u w:val="single"/>
    </w:rPr>
  </w:style>
  <w:style w:type="character" w:styleId="UnresolvedMention">
    <w:name w:val="Unresolved Mention"/>
    <w:basedOn w:val="DefaultParagraphFont"/>
    <w:uiPriority w:val="99"/>
    <w:semiHidden/>
    <w:unhideWhenUsed/>
    <w:rsid w:val="00F86989"/>
    <w:rPr>
      <w:color w:val="605E5C"/>
      <w:shd w:val="clear" w:color="auto" w:fill="E1DFDD"/>
    </w:rPr>
  </w:style>
  <w:style w:type="character" w:customStyle="1" w:styleId="Heading1Char">
    <w:name w:val="Heading 1 Char"/>
    <w:basedOn w:val="DefaultParagraphFont"/>
    <w:link w:val="Heading1"/>
    <w:uiPriority w:val="9"/>
    <w:rsid w:val="0027259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83686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0001">
      <w:bodyDiv w:val="1"/>
      <w:marLeft w:val="0"/>
      <w:marRight w:val="0"/>
      <w:marTop w:val="0"/>
      <w:marBottom w:val="0"/>
      <w:divBdr>
        <w:top w:val="none" w:sz="0" w:space="0" w:color="auto"/>
        <w:left w:val="none" w:sz="0" w:space="0" w:color="auto"/>
        <w:bottom w:val="none" w:sz="0" w:space="0" w:color="auto"/>
        <w:right w:val="none" w:sz="0" w:space="0" w:color="auto"/>
      </w:divBdr>
      <w:divsChild>
        <w:div w:id="1039822142">
          <w:marLeft w:val="0"/>
          <w:marRight w:val="0"/>
          <w:marTop w:val="0"/>
          <w:marBottom w:val="0"/>
          <w:divBdr>
            <w:top w:val="none" w:sz="0" w:space="0" w:color="auto"/>
            <w:left w:val="none" w:sz="0" w:space="0" w:color="auto"/>
            <w:bottom w:val="none" w:sz="0" w:space="0" w:color="auto"/>
            <w:right w:val="none" w:sz="0" w:space="0" w:color="auto"/>
          </w:divBdr>
        </w:div>
      </w:divsChild>
    </w:div>
    <w:div w:id="237326070">
      <w:bodyDiv w:val="1"/>
      <w:marLeft w:val="0"/>
      <w:marRight w:val="0"/>
      <w:marTop w:val="0"/>
      <w:marBottom w:val="0"/>
      <w:divBdr>
        <w:top w:val="none" w:sz="0" w:space="0" w:color="auto"/>
        <w:left w:val="none" w:sz="0" w:space="0" w:color="auto"/>
        <w:bottom w:val="none" w:sz="0" w:space="0" w:color="auto"/>
        <w:right w:val="none" w:sz="0" w:space="0" w:color="auto"/>
      </w:divBdr>
      <w:divsChild>
        <w:div w:id="1069304981">
          <w:marLeft w:val="0"/>
          <w:marRight w:val="0"/>
          <w:marTop w:val="0"/>
          <w:marBottom w:val="0"/>
          <w:divBdr>
            <w:top w:val="none" w:sz="0" w:space="0" w:color="auto"/>
            <w:left w:val="none" w:sz="0" w:space="0" w:color="auto"/>
            <w:bottom w:val="none" w:sz="0" w:space="0" w:color="auto"/>
            <w:right w:val="none" w:sz="0" w:space="0" w:color="auto"/>
          </w:divBdr>
        </w:div>
      </w:divsChild>
    </w:div>
    <w:div w:id="540438723">
      <w:bodyDiv w:val="1"/>
      <w:marLeft w:val="0"/>
      <w:marRight w:val="0"/>
      <w:marTop w:val="0"/>
      <w:marBottom w:val="0"/>
      <w:divBdr>
        <w:top w:val="none" w:sz="0" w:space="0" w:color="auto"/>
        <w:left w:val="none" w:sz="0" w:space="0" w:color="auto"/>
        <w:bottom w:val="none" w:sz="0" w:space="0" w:color="auto"/>
        <w:right w:val="none" w:sz="0" w:space="0" w:color="auto"/>
      </w:divBdr>
      <w:divsChild>
        <w:div w:id="86509823">
          <w:marLeft w:val="0"/>
          <w:marRight w:val="0"/>
          <w:marTop w:val="0"/>
          <w:marBottom w:val="0"/>
          <w:divBdr>
            <w:top w:val="none" w:sz="0" w:space="0" w:color="auto"/>
            <w:left w:val="none" w:sz="0" w:space="0" w:color="auto"/>
            <w:bottom w:val="none" w:sz="0" w:space="0" w:color="auto"/>
            <w:right w:val="none" w:sz="0" w:space="0" w:color="auto"/>
          </w:divBdr>
        </w:div>
      </w:divsChild>
    </w:div>
    <w:div w:id="604314414">
      <w:bodyDiv w:val="1"/>
      <w:marLeft w:val="0"/>
      <w:marRight w:val="0"/>
      <w:marTop w:val="0"/>
      <w:marBottom w:val="0"/>
      <w:divBdr>
        <w:top w:val="none" w:sz="0" w:space="0" w:color="auto"/>
        <w:left w:val="none" w:sz="0" w:space="0" w:color="auto"/>
        <w:bottom w:val="none" w:sz="0" w:space="0" w:color="auto"/>
        <w:right w:val="none" w:sz="0" w:space="0" w:color="auto"/>
      </w:divBdr>
      <w:divsChild>
        <w:div w:id="1026831794">
          <w:marLeft w:val="0"/>
          <w:marRight w:val="0"/>
          <w:marTop w:val="0"/>
          <w:marBottom w:val="0"/>
          <w:divBdr>
            <w:top w:val="none" w:sz="0" w:space="0" w:color="auto"/>
            <w:left w:val="none" w:sz="0" w:space="0" w:color="auto"/>
            <w:bottom w:val="none" w:sz="0" w:space="0" w:color="auto"/>
            <w:right w:val="none" w:sz="0" w:space="0" w:color="auto"/>
          </w:divBdr>
        </w:div>
        <w:div w:id="2009668707">
          <w:marLeft w:val="0"/>
          <w:marRight w:val="0"/>
          <w:marTop w:val="0"/>
          <w:marBottom w:val="0"/>
          <w:divBdr>
            <w:top w:val="none" w:sz="0" w:space="0" w:color="auto"/>
            <w:left w:val="none" w:sz="0" w:space="0" w:color="auto"/>
            <w:bottom w:val="none" w:sz="0" w:space="0" w:color="auto"/>
            <w:right w:val="none" w:sz="0" w:space="0" w:color="auto"/>
          </w:divBdr>
        </w:div>
      </w:divsChild>
    </w:div>
    <w:div w:id="732855220">
      <w:bodyDiv w:val="1"/>
      <w:marLeft w:val="0"/>
      <w:marRight w:val="0"/>
      <w:marTop w:val="0"/>
      <w:marBottom w:val="0"/>
      <w:divBdr>
        <w:top w:val="none" w:sz="0" w:space="0" w:color="auto"/>
        <w:left w:val="none" w:sz="0" w:space="0" w:color="auto"/>
        <w:bottom w:val="none" w:sz="0" w:space="0" w:color="auto"/>
        <w:right w:val="none" w:sz="0" w:space="0" w:color="auto"/>
      </w:divBdr>
    </w:div>
    <w:div w:id="816995282">
      <w:bodyDiv w:val="1"/>
      <w:marLeft w:val="0"/>
      <w:marRight w:val="0"/>
      <w:marTop w:val="0"/>
      <w:marBottom w:val="0"/>
      <w:divBdr>
        <w:top w:val="none" w:sz="0" w:space="0" w:color="auto"/>
        <w:left w:val="none" w:sz="0" w:space="0" w:color="auto"/>
        <w:bottom w:val="none" w:sz="0" w:space="0" w:color="auto"/>
        <w:right w:val="none" w:sz="0" w:space="0" w:color="auto"/>
      </w:divBdr>
      <w:divsChild>
        <w:div w:id="1824659806">
          <w:marLeft w:val="0"/>
          <w:marRight w:val="0"/>
          <w:marTop w:val="0"/>
          <w:marBottom w:val="0"/>
          <w:divBdr>
            <w:top w:val="none" w:sz="0" w:space="0" w:color="auto"/>
            <w:left w:val="none" w:sz="0" w:space="0" w:color="auto"/>
            <w:bottom w:val="none" w:sz="0" w:space="0" w:color="auto"/>
            <w:right w:val="none" w:sz="0" w:space="0" w:color="auto"/>
          </w:divBdr>
        </w:div>
      </w:divsChild>
    </w:div>
    <w:div w:id="1016998133">
      <w:bodyDiv w:val="1"/>
      <w:marLeft w:val="0"/>
      <w:marRight w:val="0"/>
      <w:marTop w:val="0"/>
      <w:marBottom w:val="0"/>
      <w:divBdr>
        <w:top w:val="none" w:sz="0" w:space="0" w:color="auto"/>
        <w:left w:val="none" w:sz="0" w:space="0" w:color="auto"/>
        <w:bottom w:val="none" w:sz="0" w:space="0" w:color="auto"/>
        <w:right w:val="none" w:sz="0" w:space="0" w:color="auto"/>
      </w:divBdr>
      <w:divsChild>
        <w:div w:id="507645935">
          <w:marLeft w:val="0"/>
          <w:marRight w:val="0"/>
          <w:marTop w:val="0"/>
          <w:marBottom w:val="0"/>
          <w:divBdr>
            <w:top w:val="none" w:sz="0" w:space="0" w:color="auto"/>
            <w:left w:val="none" w:sz="0" w:space="0" w:color="auto"/>
            <w:bottom w:val="none" w:sz="0" w:space="0" w:color="auto"/>
            <w:right w:val="none" w:sz="0" w:space="0" w:color="auto"/>
          </w:divBdr>
        </w:div>
        <w:div w:id="1650359059">
          <w:marLeft w:val="0"/>
          <w:marRight w:val="0"/>
          <w:marTop w:val="0"/>
          <w:marBottom w:val="0"/>
          <w:divBdr>
            <w:top w:val="none" w:sz="0" w:space="0" w:color="auto"/>
            <w:left w:val="none" w:sz="0" w:space="0" w:color="auto"/>
            <w:bottom w:val="none" w:sz="0" w:space="0" w:color="auto"/>
            <w:right w:val="none" w:sz="0" w:space="0" w:color="auto"/>
          </w:divBdr>
        </w:div>
      </w:divsChild>
    </w:div>
    <w:div w:id="1046224492">
      <w:bodyDiv w:val="1"/>
      <w:marLeft w:val="0"/>
      <w:marRight w:val="0"/>
      <w:marTop w:val="0"/>
      <w:marBottom w:val="0"/>
      <w:divBdr>
        <w:top w:val="none" w:sz="0" w:space="0" w:color="auto"/>
        <w:left w:val="none" w:sz="0" w:space="0" w:color="auto"/>
        <w:bottom w:val="none" w:sz="0" w:space="0" w:color="auto"/>
        <w:right w:val="none" w:sz="0" w:space="0" w:color="auto"/>
      </w:divBdr>
      <w:divsChild>
        <w:div w:id="1319576884">
          <w:marLeft w:val="0"/>
          <w:marRight w:val="0"/>
          <w:marTop w:val="0"/>
          <w:marBottom w:val="0"/>
          <w:divBdr>
            <w:top w:val="none" w:sz="0" w:space="0" w:color="auto"/>
            <w:left w:val="none" w:sz="0" w:space="0" w:color="auto"/>
            <w:bottom w:val="none" w:sz="0" w:space="0" w:color="auto"/>
            <w:right w:val="none" w:sz="0" w:space="0" w:color="auto"/>
          </w:divBdr>
        </w:div>
      </w:divsChild>
    </w:div>
    <w:div w:id="1302225014">
      <w:bodyDiv w:val="1"/>
      <w:marLeft w:val="0"/>
      <w:marRight w:val="0"/>
      <w:marTop w:val="0"/>
      <w:marBottom w:val="0"/>
      <w:divBdr>
        <w:top w:val="none" w:sz="0" w:space="0" w:color="auto"/>
        <w:left w:val="none" w:sz="0" w:space="0" w:color="auto"/>
        <w:bottom w:val="none" w:sz="0" w:space="0" w:color="auto"/>
        <w:right w:val="none" w:sz="0" w:space="0" w:color="auto"/>
      </w:divBdr>
      <w:divsChild>
        <w:div w:id="1657301544">
          <w:marLeft w:val="0"/>
          <w:marRight w:val="0"/>
          <w:marTop w:val="0"/>
          <w:marBottom w:val="0"/>
          <w:divBdr>
            <w:top w:val="none" w:sz="0" w:space="0" w:color="auto"/>
            <w:left w:val="none" w:sz="0" w:space="0" w:color="auto"/>
            <w:bottom w:val="none" w:sz="0" w:space="0" w:color="auto"/>
            <w:right w:val="none" w:sz="0" w:space="0" w:color="auto"/>
          </w:divBdr>
        </w:div>
        <w:div w:id="664549070">
          <w:marLeft w:val="0"/>
          <w:marRight w:val="0"/>
          <w:marTop w:val="0"/>
          <w:marBottom w:val="0"/>
          <w:divBdr>
            <w:top w:val="none" w:sz="0" w:space="0" w:color="auto"/>
            <w:left w:val="none" w:sz="0" w:space="0" w:color="auto"/>
            <w:bottom w:val="none" w:sz="0" w:space="0" w:color="auto"/>
            <w:right w:val="none" w:sz="0" w:space="0" w:color="auto"/>
          </w:divBdr>
        </w:div>
        <w:div w:id="271866081">
          <w:marLeft w:val="0"/>
          <w:marRight w:val="0"/>
          <w:marTop w:val="0"/>
          <w:marBottom w:val="0"/>
          <w:divBdr>
            <w:top w:val="none" w:sz="0" w:space="0" w:color="auto"/>
            <w:left w:val="none" w:sz="0" w:space="0" w:color="auto"/>
            <w:bottom w:val="none" w:sz="0" w:space="0" w:color="auto"/>
            <w:right w:val="none" w:sz="0" w:space="0" w:color="auto"/>
          </w:divBdr>
        </w:div>
      </w:divsChild>
    </w:div>
    <w:div w:id="1438940201">
      <w:bodyDiv w:val="1"/>
      <w:marLeft w:val="0"/>
      <w:marRight w:val="0"/>
      <w:marTop w:val="0"/>
      <w:marBottom w:val="0"/>
      <w:divBdr>
        <w:top w:val="none" w:sz="0" w:space="0" w:color="auto"/>
        <w:left w:val="none" w:sz="0" w:space="0" w:color="auto"/>
        <w:bottom w:val="none" w:sz="0" w:space="0" w:color="auto"/>
        <w:right w:val="none" w:sz="0" w:space="0" w:color="auto"/>
      </w:divBdr>
      <w:divsChild>
        <w:div w:id="1703939132">
          <w:marLeft w:val="0"/>
          <w:marRight w:val="0"/>
          <w:marTop w:val="0"/>
          <w:marBottom w:val="0"/>
          <w:divBdr>
            <w:top w:val="none" w:sz="0" w:space="0" w:color="auto"/>
            <w:left w:val="none" w:sz="0" w:space="0" w:color="auto"/>
            <w:bottom w:val="none" w:sz="0" w:space="0" w:color="auto"/>
            <w:right w:val="none" w:sz="0" w:space="0" w:color="auto"/>
          </w:divBdr>
        </w:div>
      </w:divsChild>
    </w:div>
    <w:div w:id="1467239032">
      <w:bodyDiv w:val="1"/>
      <w:marLeft w:val="0"/>
      <w:marRight w:val="0"/>
      <w:marTop w:val="0"/>
      <w:marBottom w:val="0"/>
      <w:divBdr>
        <w:top w:val="none" w:sz="0" w:space="0" w:color="auto"/>
        <w:left w:val="none" w:sz="0" w:space="0" w:color="auto"/>
        <w:bottom w:val="none" w:sz="0" w:space="0" w:color="auto"/>
        <w:right w:val="none" w:sz="0" w:space="0" w:color="auto"/>
      </w:divBdr>
      <w:divsChild>
        <w:div w:id="879324093">
          <w:marLeft w:val="0"/>
          <w:marRight w:val="0"/>
          <w:marTop w:val="0"/>
          <w:marBottom w:val="0"/>
          <w:divBdr>
            <w:top w:val="none" w:sz="0" w:space="0" w:color="auto"/>
            <w:left w:val="none" w:sz="0" w:space="0" w:color="auto"/>
            <w:bottom w:val="none" w:sz="0" w:space="0" w:color="auto"/>
            <w:right w:val="none" w:sz="0" w:space="0" w:color="auto"/>
          </w:divBdr>
        </w:div>
      </w:divsChild>
    </w:div>
    <w:div w:id="1704090940">
      <w:bodyDiv w:val="1"/>
      <w:marLeft w:val="0"/>
      <w:marRight w:val="0"/>
      <w:marTop w:val="0"/>
      <w:marBottom w:val="0"/>
      <w:divBdr>
        <w:top w:val="none" w:sz="0" w:space="0" w:color="auto"/>
        <w:left w:val="none" w:sz="0" w:space="0" w:color="auto"/>
        <w:bottom w:val="none" w:sz="0" w:space="0" w:color="auto"/>
        <w:right w:val="none" w:sz="0" w:space="0" w:color="auto"/>
      </w:divBdr>
      <w:divsChild>
        <w:div w:id="1162771954">
          <w:marLeft w:val="0"/>
          <w:marRight w:val="0"/>
          <w:marTop w:val="0"/>
          <w:marBottom w:val="0"/>
          <w:divBdr>
            <w:top w:val="none" w:sz="0" w:space="0" w:color="auto"/>
            <w:left w:val="none" w:sz="0" w:space="0" w:color="auto"/>
            <w:bottom w:val="none" w:sz="0" w:space="0" w:color="auto"/>
            <w:right w:val="none" w:sz="0" w:space="0" w:color="auto"/>
          </w:divBdr>
        </w:div>
      </w:divsChild>
    </w:div>
    <w:div w:id="1816338367">
      <w:bodyDiv w:val="1"/>
      <w:marLeft w:val="0"/>
      <w:marRight w:val="0"/>
      <w:marTop w:val="0"/>
      <w:marBottom w:val="0"/>
      <w:divBdr>
        <w:top w:val="none" w:sz="0" w:space="0" w:color="auto"/>
        <w:left w:val="none" w:sz="0" w:space="0" w:color="auto"/>
        <w:bottom w:val="none" w:sz="0" w:space="0" w:color="auto"/>
        <w:right w:val="none" w:sz="0" w:space="0" w:color="auto"/>
      </w:divBdr>
      <w:divsChild>
        <w:div w:id="1463041848">
          <w:marLeft w:val="0"/>
          <w:marRight w:val="0"/>
          <w:marTop w:val="0"/>
          <w:marBottom w:val="0"/>
          <w:divBdr>
            <w:top w:val="none" w:sz="0" w:space="0" w:color="auto"/>
            <w:left w:val="none" w:sz="0" w:space="0" w:color="auto"/>
            <w:bottom w:val="none" w:sz="0" w:space="0" w:color="auto"/>
            <w:right w:val="none" w:sz="0" w:space="0" w:color="auto"/>
          </w:divBdr>
        </w:div>
      </w:divsChild>
    </w:div>
    <w:div w:id="1883252088">
      <w:bodyDiv w:val="1"/>
      <w:marLeft w:val="0"/>
      <w:marRight w:val="0"/>
      <w:marTop w:val="0"/>
      <w:marBottom w:val="0"/>
      <w:divBdr>
        <w:top w:val="none" w:sz="0" w:space="0" w:color="auto"/>
        <w:left w:val="none" w:sz="0" w:space="0" w:color="auto"/>
        <w:bottom w:val="none" w:sz="0" w:space="0" w:color="auto"/>
        <w:right w:val="none" w:sz="0" w:space="0" w:color="auto"/>
      </w:divBdr>
      <w:divsChild>
        <w:div w:id="1589969005">
          <w:marLeft w:val="0"/>
          <w:marRight w:val="0"/>
          <w:marTop w:val="0"/>
          <w:marBottom w:val="0"/>
          <w:divBdr>
            <w:top w:val="none" w:sz="0" w:space="0" w:color="auto"/>
            <w:left w:val="none" w:sz="0" w:space="0" w:color="auto"/>
            <w:bottom w:val="none" w:sz="0" w:space="0" w:color="auto"/>
            <w:right w:val="none" w:sz="0" w:space="0" w:color="auto"/>
          </w:divBdr>
        </w:div>
      </w:divsChild>
    </w:div>
    <w:div w:id="1890873827">
      <w:bodyDiv w:val="1"/>
      <w:marLeft w:val="0"/>
      <w:marRight w:val="0"/>
      <w:marTop w:val="0"/>
      <w:marBottom w:val="0"/>
      <w:divBdr>
        <w:top w:val="none" w:sz="0" w:space="0" w:color="auto"/>
        <w:left w:val="none" w:sz="0" w:space="0" w:color="auto"/>
        <w:bottom w:val="none" w:sz="0" w:space="0" w:color="auto"/>
        <w:right w:val="none" w:sz="0" w:space="0" w:color="auto"/>
      </w:divBdr>
      <w:divsChild>
        <w:div w:id="238055587">
          <w:marLeft w:val="0"/>
          <w:marRight w:val="0"/>
          <w:marTop w:val="0"/>
          <w:marBottom w:val="150"/>
          <w:divBdr>
            <w:top w:val="none" w:sz="0" w:space="0" w:color="auto"/>
            <w:left w:val="none" w:sz="0" w:space="0" w:color="auto"/>
            <w:bottom w:val="none" w:sz="0" w:space="0" w:color="auto"/>
            <w:right w:val="none" w:sz="0" w:space="0" w:color="auto"/>
          </w:divBdr>
          <w:divsChild>
            <w:div w:id="186135443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956865872">
      <w:bodyDiv w:val="1"/>
      <w:marLeft w:val="0"/>
      <w:marRight w:val="0"/>
      <w:marTop w:val="0"/>
      <w:marBottom w:val="0"/>
      <w:divBdr>
        <w:top w:val="none" w:sz="0" w:space="0" w:color="auto"/>
        <w:left w:val="none" w:sz="0" w:space="0" w:color="auto"/>
        <w:bottom w:val="none" w:sz="0" w:space="0" w:color="auto"/>
        <w:right w:val="none" w:sz="0" w:space="0" w:color="auto"/>
      </w:divBdr>
      <w:divsChild>
        <w:div w:id="1565214931">
          <w:marLeft w:val="0"/>
          <w:marRight w:val="0"/>
          <w:marTop w:val="0"/>
          <w:marBottom w:val="0"/>
          <w:divBdr>
            <w:top w:val="none" w:sz="0" w:space="0" w:color="auto"/>
            <w:left w:val="none" w:sz="0" w:space="0" w:color="auto"/>
            <w:bottom w:val="none" w:sz="0" w:space="0" w:color="auto"/>
            <w:right w:val="none" w:sz="0" w:space="0" w:color="auto"/>
          </w:divBdr>
        </w:div>
      </w:divsChild>
    </w:div>
    <w:div w:id="2143882994">
      <w:bodyDiv w:val="1"/>
      <w:marLeft w:val="0"/>
      <w:marRight w:val="0"/>
      <w:marTop w:val="0"/>
      <w:marBottom w:val="0"/>
      <w:divBdr>
        <w:top w:val="none" w:sz="0" w:space="0" w:color="auto"/>
        <w:left w:val="none" w:sz="0" w:space="0" w:color="auto"/>
        <w:bottom w:val="none" w:sz="0" w:space="0" w:color="auto"/>
        <w:right w:val="none" w:sz="0" w:space="0" w:color="auto"/>
      </w:divBdr>
      <w:divsChild>
        <w:div w:id="8437123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f.org.uk/report/realising-the-potential-of-early-intervention" TargetMode="External"/><Relationship Id="rId18" Type="http://schemas.openxmlformats.org/officeDocument/2006/relationships/hyperlink" Target="https://www.jstor.org/stable/1147595?refreqid=excelsior%3Ad90e19592cfdd9194883dc0f8f9d8466" TargetMode="External"/><Relationship Id="rId26" Type="http://schemas.openxmlformats.org/officeDocument/2006/relationships/hyperlink" Target="https://www.ohchr.org/EN/ProfessionalInterest/Pages/PreventionOfJuvenileDelinquency.aspx" TargetMode="External"/><Relationship Id="rId3" Type="http://schemas.openxmlformats.org/officeDocument/2006/relationships/customXml" Target="../customXml/item3.xml"/><Relationship Id="rId21" Type="http://schemas.openxmlformats.org/officeDocument/2006/relationships/hyperlink" Target="https://doi.org/10.4236/aasoci.2018.82010" TargetMode="External"/><Relationship Id="rId7" Type="http://schemas.openxmlformats.org/officeDocument/2006/relationships/webSettings" Target="webSettings.xml"/><Relationship Id="rId12" Type="http://schemas.openxmlformats.org/officeDocument/2006/relationships/hyperlink" Target="https://www.ucl.ac.uk/~uctpb21/Cpapers/Crime_2012_August_AER.PDF" TargetMode="External"/><Relationship Id="rId17" Type="http://schemas.openxmlformats.org/officeDocument/2006/relationships/hyperlink" Target="https://assets.publishing.service.gov.uk/government/uploads/system/uploads/attachment_data/file/698009/serious-violence-strategy.pdf" TargetMode="External"/><Relationship Id="rId25" Type="http://schemas.openxmlformats.org/officeDocument/2006/relationships/hyperlink" Target="https://revisesociology.com/2016/05/31/subcultural-theories-crime-deviance/" TargetMode="External"/><Relationship Id="rId2" Type="http://schemas.openxmlformats.org/officeDocument/2006/relationships/customXml" Target="../customXml/item2.xml"/><Relationship Id="rId16" Type="http://schemas.openxmlformats.org/officeDocument/2006/relationships/hyperlink" Target="https://www.mirror.co.uk/news/uk-news/revealed-what-life-like-estate-10026319" TargetMode="External"/><Relationship Id="rId20" Type="http://schemas.openxmlformats.org/officeDocument/2006/relationships/hyperlink" Target="http://citeseerx.ist.psu.edu/viewdoc/download;jsessionid=8B56C0A1FACFC76841544C95F9C6327F?doi=10.1.1.622.2538&amp;rep=rep1&amp;type=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tudysites.sagepub.com/schram/study/materials/reference/90851_04.1r.pdf" TargetMode="External"/><Relationship Id="rId24" Type="http://schemas.openxmlformats.org/officeDocument/2006/relationships/hyperlink" Target="https://www.ncbi.nlm.nih.gov/pmc/articles/PMC3328863/" TargetMode="External"/><Relationship Id="rId5" Type="http://schemas.openxmlformats.org/officeDocument/2006/relationships/styles" Target="styles.xml"/><Relationship Id="rId15" Type="http://schemas.openxmlformats.org/officeDocument/2006/relationships/hyperlink" Target="https://www.crimeandjustice.org.uk/publications/cjm/article/child-criminalisation-and-mistake-early-intervention" TargetMode="External"/><Relationship Id="rId23" Type="http://schemas.openxmlformats.org/officeDocument/2006/relationships/hyperlink" Target="https://nya.org.uk/to-reduce-crime-requires-more-than-a-policing-or-criminal-justice-response/" TargetMode="External"/><Relationship Id="rId28" Type="http://schemas.openxmlformats.org/officeDocument/2006/relationships/hyperlink" Target="https://dera.ioe.ac.uk/6644/1/DCSF-RW018.pdf" TargetMode="External"/><Relationship Id="rId10" Type="http://schemas.openxmlformats.org/officeDocument/2006/relationships/hyperlink" Target="https://www.nrpa.org/parks-recreation-magazine/2016/march/using-design-to-reduce-crime/" TargetMode="External"/><Relationship Id="rId19" Type="http://schemas.openxmlformats.org/officeDocument/2006/relationships/hyperlink" Target="https://s3.ap-southeast-2.amazonaws.com/hdp.au.prod.app.pp-haveyoursay.files/3115/4709/1710/L_Aoustet__Griffet_journal_article.pdf" TargetMode="External"/><Relationship Id="rId4" Type="http://schemas.openxmlformats.org/officeDocument/2006/relationships/numbering" Target="numbering.xml"/><Relationship Id="rId9" Type="http://schemas.openxmlformats.org/officeDocument/2006/relationships/hyperlink" Target="https://www.rasmussen.edu/degrees/justice-studies/blog/situational-crime-prevention/" TargetMode="External"/><Relationship Id="rId14" Type="http://schemas.openxmlformats.org/officeDocument/2006/relationships/hyperlink" Target="https://gov.wales/sites/default/files/publications/2019-06/youth-work-strategy-for-wales.pdf" TargetMode="External"/><Relationship Id="rId22" Type="http://schemas.openxmlformats.org/officeDocument/2006/relationships/hyperlink" Target="https://www.leagle.com/decision/1995516455se2d611512" TargetMode="External"/><Relationship Id="rId27" Type="http://schemas.openxmlformats.org/officeDocument/2006/relationships/hyperlink" Target="https://www.unodc.org/pdf/criminal_justice/Handbook_on_Crime_Prevention_Guidelines_-_Making_them_work.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EF4B77EF81D45B71814545CB8529D" ma:contentTypeVersion="13" ma:contentTypeDescription="Create a new document." ma:contentTypeScope="" ma:versionID="3eb6deb74d3674202e066c8a6c288c85">
  <xsd:schema xmlns:xsd="http://www.w3.org/2001/XMLSchema" xmlns:xs="http://www.w3.org/2001/XMLSchema" xmlns:p="http://schemas.microsoft.com/office/2006/metadata/properties" xmlns:ns3="a0264722-a675-4f2c-b17a-6615139afdbf" xmlns:ns4="d2d1ea6a-aeed-4a26-9802-c5b86f0ef2b2" targetNamespace="http://schemas.microsoft.com/office/2006/metadata/properties" ma:root="true" ma:fieldsID="1970afa4aa5103829a1095553b066176" ns3:_="" ns4:_="">
    <xsd:import namespace="a0264722-a675-4f2c-b17a-6615139afdbf"/>
    <xsd:import namespace="d2d1ea6a-aeed-4a26-9802-c5b86f0ef2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264722-a675-4f2c-b17a-6615139afd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d1ea6a-aeed-4a26-9802-c5b86f0ef2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7D56EC-DE32-430C-B970-217F16DD51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264722-a675-4f2c-b17a-6615139afdbf"/>
    <ds:schemaRef ds:uri="d2d1ea6a-aeed-4a26-9802-c5b86f0ef2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0DE4A3-24EB-4A96-B587-6A8005332150}">
  <ds:schemaRefs>
    <ds:schemaRef ds:uri="a0264722-a675-4f2c-b17a-6615139afdbf"/>
    <ds:schemaRef ds:uri="http://purl.org/dc/dcmitype/"/>
    <ds:schemaRef ds:uri="http://purl.org/dc/elements/1.1/"/>
    <ds:schemaRef ds:uri="http://schemas.microsoft.com/office/infopath/2007/PartnerControls"/>
    <ds:schemaRef ds:uri="http://schemas.microsoft.com/office/2006/metadata/properties"/>
    <ds:schemaRef ds:uri="http://www.w3.org/XML/1998/namespace"/>
    <ds:schemaRef ds:uri="http://purl.org/dc/terms/"/>
    <ds:schemaRef ds:uri="http://schemas.microsoft.com/office/2006/documentManagement/types"/>
    <ds:schemaRef ds:uri="d2d1ea6a-aeed-4a26-9802-c5b86f0ef2b2"/>
    <ds:schemaRef ds:uri="http://schemas.openxmlformats.org/package/2006/metadata/core-properties"/>
  </ds:schemaRefs>
</ds:datastoreItem>
</file>

<file path=customXml/itemProps3.xml><?xml version="1.0" encoding="utf-8"?>
<ds:datastoreItem xmlns:ds="http://schemas.openxmlformats.org/officeDocument/2006/customXml" ds:itemID="{DB49D39D-65C0-47EB-9C47-922DD46371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4189</Words>
  <Characters>23882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Warwick Koekemoer</dc:creator>
  <cp:keywords/>
  <dc:description/>
  <cp:lastModifiedBy>Warwick Koekemoer</cp:lastModifiedBy>
  <cp:revision>2</cp:revision>
  <dcterms:created xsi:type="dcterms:W3CDTF">2021-12-03T14:28:00Z</dcterms:created>
  <dcterms:modified xsi:type="dcterms:W3CDTF">2021-12-03T14:28:00Z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0x01010022BEF4B77EF81D45B71814545CB8529D</vt:lpwstr>
  </property>
</Properties>
</file>