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0F920A64" w14:textId="77777777" w:rsidR="00422828" w:rsidRDefault="00023D77" w:rsidP="004B01E0">
      <w:pPr>
        <w:pStyle w:val="Title"/>
        <w:jc w:val="center"/>
        <w:rPr>
          <w:b/>
          <w:bCs/>
        </w:rPr>
      </w:pPr>
      <w:bookmarkStart w:id="0" w:name="_heading=h.i6pwarxtkd32" w:colFirst="0" w:colLast="0"/>
      <w:bookmarkEnd w:id="0"/>
      <w:r>
        <w:rPr>
          <w:b/>
          <w:bCs/>
          <w:noProof/>
        </w:rPr>
        <w:drawing>
          <wp:inline distT="114300" distB="114300" distL="114300" distR="114300" wp14:anchorId="652DF6E7" wp14:editId="2F65D635">
            <wp:extent cx="2557463" cy="1174272"/>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557463" cy="1174272"/>
                    </a:xfrm>
                    <a:prstGeom prst="rect">
                      <a:avLst/>
                    </a:prstGeom>
                    <a:ln/>
                  </pic:spPr>
                </pic:pic>
              </a:graphicData>
            </a:graphic>
          </wp:inline>
        </w:drawing>
      </w:r>
    </w:p>
    <w:p w14:paraId="70A56116" w14:textId="77777777" w:rsidR="00422828" w:rsidRDefault="00422828">
      <w:pPr>
        <w:pStyle w:val="Title"/>
        <w:jc w:val="left"/>
        <w:rPr>
          <w:b/>
          <w:bCs/>
        </w:rPr>
      </w:pPr>
      <w:bookmarkStart w:id="1" w:name="_heading=h.xu1l24dqlwev" w:colFirst="0" w:colLast="0"/>
      <w:bookmarkEnd w:id="1"/>
    </w:p>
    <w:p w14:paraId="138A8321" w14:textId="77777777" w:rsidR="00422828" w:rsidRDefault="00023D77">
      <w:pPr>
        <w:pStyle w:val="Title"/>
        <w:jc w:val="center"/>
        <w:rPr>
          <w:b/>
          <w:bCs/>
        </w:rPr>
      </w:pPr>
      <w:bookmarkStart w:id="2" w:name="_heading=h.k8spzymqu8ct" w:colFirst="0" w:colLast="0"/>
      <w:bookmarkEnd w:id="2"/>
      <w:r>
        <w:rPr>
          <w:b/>
          <w:bCs/>
        </w:rPr>
        <w:t xml:space="preserve">LCHS4003 </w:t>
      </w:r>
    </w:p>
    <w:p w14:paraId="43D53F76" w14:textId="77777777" w:rsidR="00422828" w:rsidRDefault="00023D77">
      <w:pPr>
        <w:pStyle w:val="Title"/>
        <w:jc w:val="center"/>
        <w:rPr>
          <w:b/>
          <w:bCs/>
        </w:rPr>
      </w:pPr>
      <w:bookmarkStart w:id="3" w:name="_heading=h.jiewns4cmyxl" w:colFirst="0" w:colLast="0"/>
      <w:bookmarkEnd w:id="3"/>
      <w:r>
        <w:rPr>
          <w:b/>
          <w:bCs/>
        </w:rPr>
        <w:t>Introduction to Health and Social Care (UWT)</w:t>
      </w:r>
    </w:p>
    <w:p w14:paraId="66F06DBA" w14:textId="77777777" w:rsidR="00422828" w:rsidRDefault="00023D77">
      <w:pPr>
        <w:jc w:val="center"/>
        <w:rPr>
          <w:sz w:val="28"/>
          <w:szCs w:val="28"/>
        </w:rPr>
      </w:pPr>
      <w:r>
        <w:rPr>
          <w:sz w:val="28"/>
          <w:szCs w:val="28"/>
        </w:rPr>
        <w:t>Assignment: Portfolio – Two Tasks</w:t>
      </w:r>
    </w:p>
    <w:p w14:paraId="555A8F38" w14:textId="77777777" w:rsidR="00B4291F" w:rsidRDefault="00B4291F"/>
    <w:p w14:paraId="2BD770CA" w14:textId="77777777" w:rsidR="00B4291F" w:rsidRDefault="00B4291F"/>
    <w:p w14:paraId="65E960A6" w14:textId="77777777" w:rsidR="00B4291F" w:rsidRDefault="00B4291F"/>
    <w:p w14:paraId="06C38977" w14:textId="77777777" w:rsidR="00B4291F" w:rsidRDefault="00B4291F"/>
    <w:p w14:paraId="167D5BF2" w14:textId="77777777" w:rsidR="00B4291F" w:rsidRDefault="00B4291F" w:rsidP="00B4291F"/>
    <w:p w14:paraId="623D11DA" w14:textId="77777777" w:rsidR="00B4291F" w:rsidRDefault="00B4291F" w:rsidP="00B4291F">
      <w:pPr>
        <w:rPr>
          <w:rFonts w:asciiTheme="minorBidi" w:hAnsiTheme="minorBidi"/>
          <w:sz w:val="28"/>
          <w:szCs w:val="28"/>
        </w:rPr>
      </w:pPr>
      <w:r>
        <w:rPr>
          <w:rFonts w:asciiTheme="minorBidi" w:hAnsiTheme="minorBidi"/>
          <w:sz w:val="28"/>
          <w:szCs w:val="28"/>
        </w:rPr>
        <w:t xml:space="preserve">Name: Danielle Lewis </w:t>
      </w:r>
    </w:p>
    <w:p w14:paraId="5BE2C836" w14:textId="77777777" w:rsidR="00B4291F" w:rsidRDefault="00B4291F" w:rsidP="00B4291F">
      <w:pPr>
        <w:rPr>
          <w:rFonts w:asciiTheme="minorBidi" w:hAnsiTheme="minorBidi"/>
          <w:sz w:val="28"/>
          <w:szCs w:val="28"/>
        </w:rPr>
      </w:pPr>
      <w:r>
        <w:rPr>
          <w:rFonts w:asciiTheme="minorBidi" w:hAnsiTheme="minorBidi"/>
          <w:sz w:val="28"/>
          <w:szCs w:val="28"/>
        </w:rPr>
        <w:t>Student ID: 2516158</w:t>
      </w:r>
    </w:p>
    <w:p w14:paraId="2627AEAA" w14:textId="77777777" w:rsidR="00B4291F" w:rsidRDefault="00B4291F" w:rsidP="00B4291F">
      <w:pPr>
        <w:rPr>
          <w:rFonts w:asciiTheme="minorBidi" w:hAnsiTheme="minorBidi"/>
          <w:sz w:val="28"/>
          <w:szCs w:val="28"/>
        </w:rPr>
      </w:pPr>
      <w:r>
        <w:rPr>
          <w:rFonts w:asciiTheme="minorBidi" w:hAnsiTheme="minorBidi"/>
          <w:sz w:val="28"/>
          <w:szCs w:val="28"/>
        </w:rPr>
        <w:t>Module Code: LCHS4003</w:t>
      </w:r>
    </w:p>
    <w:p w14:paraId="5B646A93" w14:textId="77777777" w:rsidR="00B4291F" w:rsidRDefault="00B4291F" w:rsidP="00B4291F">
      <w:pPr>
        <w:rPr>
          <w:rFonts w:asciiTheme="minorBidi" w:hAnsiTheme="minorBidi"/>
          <w:sz w:val="28"/>
          <w:szCs w:val="28"/>
        </w:rPr>
      </w:pPr>
      <w:r>
        <w:rPr>
          <w:rFonts w:asciiTheme="minorBidi" w:hAnsiTheme="minorBidi"/>
          <w:sz w:val="28"/>
          <w:szCs w:val="28"/>
        </w:rPr>
        <w:t>Module: Introduction to Health and Social Care</w:t>
      </w:r>
    </w:p>
    <w:p w14:paraId="365979CC" w14:textId="77777777" w:rsidR="00B4291F" w:rsidRDefault="00B4291F" w:rsidP="00B4291F">
      <w:pPr>
        <w:rPr>
          <w:rFonts w:asciiTheme="minorBidi" w:hAnsiTheme="minorBidi"/>
          <w:sz w:val="28"/>
          <w:szCs w:val="28"/>
        </w:rPr>
      </w:pPr>
      <w:r>
        <w:rPr>
          <w:rFonts w:asciiTheme="minorBidi" w:hAnsiTheme="minorBidi"/>
          <w:sz w:val="28"/>
          <w:szCs w:val="28"/>
        </w:rPr>
        <w:t>Lecturer: Muhammad Aliyu</w:t>
      </w:r>
    </w:p>
    <w:p w14:paraId="30AE6CEF" w14:textId="452DBD4A" w:rsidR="00422828" w:rsidRDefault="00023D77">
      <w:r>
        <w:br w:type="page"/>
      </w:r>
    </w:p>
    <w:p w14:paraId="2E95EA09" w14:textId="77777777" w:rsidR="00422828" w:rsidRDefault="00023D77">
      <w:r>
        <w:lastRenderedPageBreak/>
        <w:t>Table of Contents</w:t>
      </w:r>
    </w:p>
    <w:sdt>
      <w:sdtPr>
        <w:id w:val="723807693"/>
        <w:docPartObj>
          <w:docPartGallery w:val="Table of Contents"/>
          <w:docPartUnique/>
        </w:docPartObj>
      </w:sdtPr>
      <w:sdtContent>
        <w:p w14:paraId="4840339C" w14:textId="77777777" w:rsidR="00422828" w:rsidRDefault="00023D77">
          <w:pPr>
            <w:widowControl w:val="0"/>
            <w:tabs>
              <w:tab w:val="right" w:pos="12000"/>
            </w:tabs>
            <w:spacing w:before="60" w:line="240" w:lineRule="auto"/>
            <w:jc w:val="left"/>
            <w:rPr>
              <w:rFonts w:ascii="Arial" w:eastAsia="Arial" w:hAnsi="Arial" w:cs="Arial"/>
              <w:b/>
              <w:bCs/>
              <w:color w:val="000000"/>
              <w:sz w:val="22"/>
              <w:szCs w:val="22"/>
            </w:rPr>
          </w:pPr>
          <w:r>
            <w:fldChar w:fldCharType="begin"/>
          </w:r>
          <w:r>
            <w:instrText xml:space="preserve"> TOC \h \u \z \t "Heading 1,1,Heading 2,2,Heading 3,3,Heading 4,4,Heading 5,5,Heading 6,6,"</w:instrText>
          </w:r>
          <w:r>
            <w:fldChar w:fldCharType="separate"/>
          </w:r>
          <w:hyperlink w:anchor="_heading=h.tf2gn2gmht95">
            <w:r>
              <w:rPr>
                <w:b/>
                <w:bCs/>
                <w:color w:val="000000"/>
              </w:rPr>
              <w:t>Task 1: Poster</w:t>
            </w:r>
            <w:r>
              <w:rPr>
                <w:b/>
                <w:bCs/>
                <w:color w:val="000000"/>
              </w:rPr>
              <w:tab/>
              <w:t>2</w:t>
            </w:r>
          </w:hyperlink>
        </w:p>
        <w:p w14:paraId="6208C76E" w14:textId="77777777" w:rsidR="00422828" w:rsidRDefault="00023D77">
          <w:pPr>
            <w:widowControl w:val="0"/>
            <w:tabs>
              <w:tab w:val="right" w:pos="12000"/>
            </w:tabs>
            <w:spacing w:before="60" w:line="240" w:lineRule="auto"/>
            <w:ind w:left="360"/>
            <w:jc w:val="left"/>
            <w:rPr>
              <w:rFonts w:ascii="Arial" w:eastAsia="Arial" w:hAnsi="Arial" w:cs="Arial"/>
              <w:color w:val="000000"/>
              <w:sz w:val="22"/>
              <w:szCs w:val="22"/>
            </w:rPr>
          </w:pPr>
          <w:hyperlink w:anchor="_heading=h.b8isjdxq207p">
            <w:r>
              <w:rPr>
                <w:color w:val="000000"/>
              </w:rPr>
              <w:t>Introduction to Domiciliary Care</w:t>
            </w:r>
            <w:r>
              <w:rPr>
                <w:color w:val="000000"/>
              </w:rPr>
              <w:tab/>
              <w:t>2</w:t>
            </w:r>
          </w:hyperlink>
        </w:p>
        <w:p w14:paraId="05D7A60C" w14:textId="77777777" w:rsidR="00422828" w:rsidRDefault="00023D77">
          <w:pPr>
            <w:widowControl w:val="0"/>
            <w:tabs>
              <w:tab w:val="right" w:pos="12000"/>
            </w:tabs>
            <w:spacing w:before="60" w:line="240" w:lineRule="auto"/>
            <w:ind w:left="360"/>
            <w:jc w:val="left"/>
            <w:rPr>
              <w:rFonts w:ascii="Arial" w:eastAsia="Arial" w:hAnsi="Arial" w:cs="Arial"/>
              <w:color w:val="000000"/>
              <w:sz w:val="22"/>
              <w:szCs w:val="22"/>
            </w:rPr>
          </w:pPr>
          <w:hyperlink w:anchor="_heading=h.x30w4meam1aa">
            <w:r>
              <w:rPr>
                <w:color w:val="000000"/>
              </w:rPr>
              <w:t>A History of the Service in Brief</w:t>
            </w:r>
            <w:r>
              <w:rPr>
                <w:color w:val="000000"/>
              </w:rPr>
              <w:tab/>
              <w:t>2</w:t>
            </w:r>
          </w:hyperlink>
        </w:p>
        <w:p w14:paraId="3D09E118" w14:textId="77777777" w:rsidR="00422828" w:rsidRDefault="00023D77">
          <w:pPr>
            <w:widowControl w:val="0"/>
            <w:tabs>
              <w:tab w:val="right" w:pos="12000"/>
            </w:tabs>
            <w:spacing w:before="60" w:line="240" w:lineRule="auto"/>
            <w:ind w:left="360"/>
            <w:jc w:val="left"/>
            <w:rPr>
              <w:rFonts w:ascii="Arial" w:eastAsia="Arial" w:hAnsi="Arial" w:cs="Arial"/>
              <w:color w:val="000000"/>
              <w:sz w:val="22"/>
              <w:szCs w:val="22"/>
            </w:rPr>
          </w:pPr>
          <w:hyperlink w:anchor="_heading=h.p0shn4iuc447">
            <w:r>
              <w:rPr>
                <w:color w:val="000000"/>
              </w:rPr>
              <w:t>Current Functions of the Service (As of 2026 Context)</w:t>
            </w:r>
            <w:r>
              <w:rPr>
                <w:color w:val="000000"/>
              </w:rPr>
              <w:tab/>
              <w:t>3</w:t>
            </w:r>
          </w:hyperlink>
        </w:p>
        <w:p w14:paraId="3F0D1B2D" w14:textId="77777777" w:rsidR="00422828" w:rsidRDefault="00023D77">
          <w:pPr>
            <w:widowControl w:val="0"/>
            <w:tabs>
              <w:tab w:val="right" w:pos="12000"/>
            </w:tabs>
            <w:spacing w:before="60" w:line="240" w:lineRule="auto"/>
            <w:ind w:left="360"/>
            <w:jc w:val="left"/>
            <w:rPr>
              <w:rFonts w:ascii="Arial" w:eastAsia="Arial" w:hAnsi="Arial" w:cs="Arial"/>
              <w:color w:val="000000"/>
              <w:sz w:val="22"/>
              <w:szCs w:val="22"/>
            </w:rPr>
          </w:pPr>
          <w:hyperlink w:anchor="_heading=h.3ouzn3i31it9">
            <w:r>
              <w:rPr>
                <w:color w:val="000000"/>
              </w:rPr>
              <w:t>Challenges Faced by the Service</w:t>
            </w:r>
            <w:r>
              <w:rPr>
                <w:color w:val="000000"/>
              </w:rPr>
              <w:tab/>
              <w:t>4</w:t>
            </w:r>
          </w:hyperlink>
        </w:p>
        <w:p w14:paraId="74D875CB" w14:textId="77777777" w:rsidR="00422828" w:rsidRDefault="00023D77">
          <w:pPr>
            <w:widowControl w:val="0"/>
            <w:tabs>
              <w:tab w:val="right" w:pos="12000"/>
            </w:tabs>
            <w:spacing w:before="60" w:line="240" w:lineRule="auto"/>
            <w:ind w:left="360"/>
            <w:jc w:val="left"/>
            <w:rPr>
              <w:rFonts w:ascii="Arial" w:eastAsia="Arial" w:hAnsi="Arial" w:cs="Arial"/>
              <w:color w:val="000000"/>
              <w:sz w:val="22"/>
              <w:szCs w:val="22"/>
            </w:rPr>
          </w:pPr>
          <w:hyperlink w:anchor="_heading=h.rbln2vow06in">
            <w:r>
              <w:rPr>
                <w:color w:val="000000"/>
              </w:rPr>
              <w:t>Conclusion</w:t>
            </w:r>
            <w:r>
              <w:rPr>
                <w:color w:val="000000"/>
              </w:rPr>
              <w:tab/>
              <w:t>4</w:t>
            </w:r>
          </w:hyperlink>
        </w:p>
        <w:p w14:paraId="2F2BF4E4" w14:textId="77777777" w:rsidR="00422828" w:rsidRDefault="00023D77">
          <w:pPr>
            <w:widowControl w:val="0"/>
            <w:tabs>
              <w:tab w:val="right" w:pos="12000"/>
            </w:tabs>
            <w:spacing w:before="60" w:line="240" w:lineRule="auto"/>
            <w:jc w:val="left"/>
            <w:rPr>
              <w:rFonts w:ascii="Arial" w:eastAsia="Arial" w:hAnsi="Arial" w:cs="Arial"/>
              <w:b/>
              <w:bCs/>
              <w:color w:val="000000"/>
              <w:sz w:val="22"/>
              <w:szCs w:val="22"/>
            </w:rPr>
          </w:pPr>
          <w:hyperlink w:anchor="_heading=h.xi7oaumf0vhm">
            <w:r>
              <w:rPr>
                <w:b/>
                <w:bCs/>
                <w:color w:val="000000"/>
              </w:rPr>
              <w:t>Task 2-Essay</w:t>
            </w:r>
            <w:r>
              <w:rPr>
                <w:b/>
                <w:bCs/>
                <w:color w:val="000000"/>
              </w:rPr>
              <w:tab/>
              <w:t>6</w:t>
            </w:r>
          </w:hyperlink>
          <w:r>
            <w:fldChar w:fldCharType="end"/>
          </w:r>
        </w:p>
      </w:sdtContent>
    </w:sdt>
    <w:p w14:paraId="445EAA51" w14:textId="77777777" w:rsidR="00422828" w:rsidRDefault="00422828"/>
    <w:p w14:paraId="7EB8B6F2" w14:textId="77777777" w:rsidR="00422828" w:rsidRDefault="00023D77">
      <w:r>
        <w:br w:type="page"/>
      </w:r>
    </w:p>
    <w:p w14:paraId="0F4F53BC" w14:textId="77777777" w:rsidR="00422828" w:rsidRDefault="00023D77">
      <w:pPr>
        <w:pStyle w:val="Heading1"/>
      </w:pPr>
      <w:bookmarkStart w:id="4" w:name="_heading=h.tf2gn2gmht95" w:colFirst="0" w:colLast="0"/>
      <w:bookmarkEnd w:id="4"/>
      <w:r>
        <w:lastRenderedPageBreak/>
        <w:t>Task 1: Poster</w:t>
      </w:r>
    </w:p>
    <w:p w14:paraId="714C0379" w14:textId="77777777" w:rsidR="00422828" w:rsidRDefault="00023D77">
      <w:pPr>
        <w:jc w:val="center"/>
        <w:rPr>
          <w:b/>
          <w:bCs/>
        </w:rPr>
      </w:pPr>
      <w:r>
        <w:rPr>
          <w:b/>
          <w:bCs/>
        </w:rPr>
        <w:t>Social Care Service: Domiciliary care services within the community</w:t>
      </w:r>
    </w:p>
    <w:p w14:paraId="0C2E314C" w14:textId="59AE4391" w:rsidR="00422828" w:rsidRDefault="004B01E0">
      <w:pPr>
        <w:jc w:val="center"/>
        <w:rPr>
          <w:b/>
          <w:bCs/>
        </w:rPr>
      </w:pPr>
      <w:r>
        <w:rPr>
          <w:noProof/>
        </w:rPr>
        <w:drawing>
          <wp:inline distT="0" distB="0" distL="0" distR="0" wp14:anchorId="0D62E6CC" wp14:editId="1B4FFE68">
            <wp:extent cx="5731510" cy="4053205"/>
            <wp:effectExtent l="0" t="0" r="2540" b="4445"/>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4053205"/>
                    </a:xfrm>
                    <a:prstGeom prst="rect">
                      <a:avLst/>
                    </a:prstGeom>
                  </pic:spPr>
                </pic:pic>
              </a:graphicData>
            </a:graphic>
          </wp:inline>
        </w:drawing>
      </w:r>
    </w:p>
    <w:p w14:paraId="6325D94B" w14:textId="77777777" w:rsidR="00422828" w:rsidRDefault="00023D77">
      <w:pPr>
        <w:pStyle w:val="Heading2"/>
      </w:pPr>
      <w:bookmarkStart w:id="5" w:name="_heading=h.b8isjdxq207p" w:colFirst="0" w:colLast="0"/>
      <w:bookmarkEnd w:id="5"/>
      <w:r>
        <w:t>Introduction to Domiciliary Care</w:t>
      </w:r>
    </w:p>
    <w:p w14:paraId="3E0E044A" w14:textId="77777777" w:rsidR="00422828" w:rsidRDefault="00023D77">
      <w:r>
        <w:t>Home care, also known as domiciliary care, is a social care service that aims at offering help and support to individuals in the comfort of their homes. The main goal is to give freedom and safety as well as well-being. Older adults, those with physical disabilities, learning difficulties or individuals who have been recovering after acute illnesses are usually allowed to access this service.</w:t>
      </w:r>
    </w:p>
    <w:p w14:paraId="0B50C2D6" w14:textId="1B4C62CE" w:rsidR="00422828" w:rsidRDefault="00023D77">
      <w:r>
        <w:t xml:space="preserve">The extent of domiciliary care is enormous and dependent on individual needs. It varies between the low-level support (assistance with companionship and minor domestic tasks (cleaning, laundry, and shopping)) and the high-level clinical assistance. The latter involves personal care, including bathing, dressing, and continence care, more </w:t>
      </w:r>
      <w:proofErr w:type="spellStart"/>
      <w:r>
        <w:t>specialised</w:t>
      </w:r>
      <w:proofErr w:type="spellEnd"/>
      <w:r>
        <w:t xml:space="preserve"> activities, including medication administration, catheter care, and PEG feeding. As compared to residential care, domiciliary care is flexible; a caregiver may visit the service user as little as 30 minutes a day or maybe even 24/7, providing live-in assistance where the caregiver lives with the service user (CQC, 2024).</w:t>
      </w:r>
    </w:p>
    <w:p w14:paraId="344F3986" w14:textId="77777777" w:rsidR="00422828" w:rsidRDefault="00023D77">
      <w:pPr>
        <w:pStyle w:val="Heading2"/>
      </w:pPr>
      <w:bookmarkStart w:id="6" w:name="_heading=h.x30w4meam1aa" w:colFirst="0" w:colLast="0"/>
      <w:bookmarkEnd w:id="6"/>
      <w:r>
        <w:lastRenderedPageBreak/>
        <w:t>A History of the Service in Brief</w:t>
      </w:r>
    </w:p>
    <w:p w14:paraId="5E5EA2D8" w14:textId="77777777" w:rsidR="00422828" w:rsidRDefault="00023D77">
      <w:r>
        <w:t xml:space="preserve">The origin of domiciliary care in the United Kingdom may be traced to the post-war period, namely the formation of social welfare in the form of the National Assistance Act 1948. However, at an early stage, the home support was mainly due to the agencies' so-called "Home Helps" -workers who </w:t>
      </w:r>
      <w:proofErr w:type="spellStart"/>
      <w:r>
        <w:t>specialised</w:t>
      </w:r>
      <w:proofErr w:type="spellEnd"/>
      <w:r>
        <w:t xml:space="preserve"> in household activities such as cleaning and cooking for the elderly (DHSC, 2025).</w:t>
      </w:r>
    </w:p>
    <w:p w14:paraId="059D684A" w14:textId="7D963684" w:rsidR="00422828" w:rsidRDefault="00023D77">
      <w:r>
        <w:t>In the 1960s and 70s, there was a major paradigm shift in philosophy. A scandal about how individuals were treated in massive and impersonal Victorian institutions resulted in a trend called Care in the Community. This change was codified in the landmark 1983 Griffiths Report and the following NHS and Community Care Act 1990 (CQC, 2024). The act was intended to transfer care to the home and not to institutional facilities. This formed a sort of quasi-market that made local authorities a facilitator and a buyer of care and not just a care provider, which gave way to the emergence of thousands of private and voluntary sector domiciliary care agencies.</w:t>
      </w:r>
    </w:p>
    <w:p w14:paraId="02B68361" w14:textId="77777777" w:rsidR="00422828" w:rsidRDefault="00023D77">
      <w:pPr>
        <w:pStyle w:val="Heading2"/>
      </w:pPr>
      <w:bookmarkStart w:id="7" w:name="_heading=h.p0shn4iuc447" w:colFirst="0" w:colLast="0"/>
      <w:bookmarkEnd w:id="7"/>
      <w:r>
        <w:t>Current Functions of the Service (As of 2026 Context)</w:t>
      </w:r>
    </w:p>
    <w:p w14:paraId="2EDABEF6" w14:textId="77777777" w:rsidR="00422828" w:rsidRDefault="00023D77">
      <w:r>
        <w:t>Domiciliary care has gained preference as the model of care for the majority of the UK population in 2026. By the year 2025-2026, close to 15,000 of the domiciliary care providers had been regulated in England alone, with a population of about half a million served each day.</w:t>
      </w:r>
    </w:p>
    <w:p w14:paraId="18DCA8FB" w14:textId="77777777" w:rsidR="00422828" w:rsidRDefault="00023D77">
      <w:pPr>
        <w:rPr>
          <w:b/>
          <w:bCs/>
        </w:rPr>
      </w:pPr>
      <w:r>
        <w:rPr>
          <w:b/>
          <w:bCs/>
        </w:rPr>
        <w:t>Regulatory Oversight</w:t>
      </w:r>
    </w:p>
    <w:p w14:paraId="644B65D8" w14:textId="77777777" w:rsidR="00422828" w:rsidRDefault="00023D77">
      <w:r>
        <w:t>Care Quality Commission (CQC) is a strictly operational service. The providers are checked and rated on five main areas, which include safety, effectiveness, caring, responsiveness, and leadership. The contemporary operation is dependent on digital integration. The majority of agencies have implemented electronic call monitoring (ECM), where carers can view care plans on mobile devices, record the time of arrival/departure through GPS, and note real-time clinical notes, which are available immediately to both managers and families.</w:t>
      </w:r>
    </w:p>
    <w:p w14:paraId="3B8F064E" w14:textId="77777777" w:rsidR="00422828" w:rsidRDefault="00023D77">
      <w:pPr>
        <w:rPr>
          <w:b/>
          <w:bCs/>
        </w:rPr>
      </w:pPr>
      <w:r>
        <w:rPr>
          <w:b/>
          <w:bCs/>
        </w:rPr>
        <w:t>Service Delivery Models</w:t>
      </w:r>
    </w:p>
    <w:p w14:paraId="78F1BB52" w14:textId="713EC34F" w:rsidR="00422828" w:rsidRDefault="00023D77">
      <w:r>
        <w:t xml:space="preserve">Local Authority Funded: It is commissioned and funded by the local authorities </w:t>
      </w:r>
      <w:r w:rsidR="001D5F96">
        <w:t>for</w:t>
      </w:r>
      <w:r>
        <w:t xml:space="preserve"> individuals who are above a particular level of financial and physical need.</w:t>
      </w:r>
    </w:p>
    <w:p w14:paraId="6CAC2296" w14:textId="77777777" w:rsidR="00422828" w:rsidRDefault="00023D77">
      <w:r>
        <w:t>Private Payers: A person who is not entitled to state funding will own their own care directly through agencies (Health Foundation, 2023).</w:t>
      </w:r>
    </w:p>
    <w:p w14:paraId="7E652511" w14:textId="06B650F4" w:rsidR="00422828" w:rsidRDefault="00023D77">
      <w:r>
        <w:t>Direct Payments: This form of payment involves the government issuing the individual with a personal budget in which the individual has the freedom to employ their own carers or agencies.</w:t>
      </w:r>
    </w:p>
    <w:p w14:paraId="094BFBCF" w14:textId="77777777" w:rsidR="00422828" w:rsidRDefault="00023D77">
      <w:pPr>
        <w:pStyle w:val="Heading2"/>
      </w:pPr>
      <w:bookmarkStart w:id="8" w:name="_heading=h.3ouzn3i31it9" w:colFirst="0" w:colLast="0"/>
      <w:bookmarkEnd w:id="8"/>
      <w:r>
        <w:lastRenderedPageBreak/>
        <w:t>Challenges Faced by the Service</w:t>
      </w:r>
    </w:p>
    <w:p w14:paraId="4307E6C7" w14:textId="77777777" w:rsidR="00422828" w:rsidRDefault="00023D77">
      <w:r>
        <w:t xml:space="preserve">Although the domiciliary care sector is important, major challenges that </w:t>
      </w:r>
      <w:proofErr w:type="spellStart"/>
      <w:r>
        <w:t>jeopardise</w:t>
      </w:r>
      <w:proofErr w:type="spellEnd"/>
      <w:r>
        <w:t xml:space="preserve"> its sustainability have been encountered.</w:t>
      </w:r>
    </w:p>
    <w:p w14:paraId="212D2B13" w14:textId="77777777" w:rsidR="00422828" w:rsidRDefault="00023D77">
      <w:r>
        <w:t xml:space="preserve">The most significant problem is a long-term lack of skilled </w:t>
      </w:r>
      <w:proofErr w:type="spellStart"/>
      <w:r>
        <w:t>labour</w:t>
      </w:r>
      <w:proofErr w:type="spellEnd"/>
      <w:r>
        <w:t>. The high rates have been caused by low wages (which have been largely pegged to the National Living Wage), the physical exertions in the job, and the perceived negativity of social care. Most employees take up jobs in the retail sector or the hospitality industry that are more stress-free and pay higher incomes as well. Moreover, the use of international hiring has become complicated as visa policies and salary limits have changed (Skills for Care, 2024).</w:t>
      </w:r>
    </w:p>
    <w:p w14:paraId="5CDA3604" w14:textId="77777777" w:rsidR="00422828" w:rsidRDefault="00023D77">
      <w:pPr>
        <w:rPr>
          <w:b/>
          <w:bCs/>
        </w:rPr>
      </w:pPr>
      <w:r>
        <w:rPr>
          <w:b/>
          <w:bCs/>
        </w:rPr>
        <w:t>Funding Gaps and Financial Sustainability</w:t>
      </w:r>
    </w:p>
    <w:p w14:paraId="3C94F582" w14:textId="5AE42617" w:rsidR="00422828" w:rsidRDefault="00023D77">
      <w:r>
        <w:t>A growing disparity is increasing between the price of delivering quality care and fee charges by local governments. Even as the operational costs, including travel fuel expense, insurance, and the contribution towards National Insurance, have soared sharply, the local authority budgets have been kept tight. This leads to a sustainability crisis in which providers can repudiate contracts which are no longer financially sustainable, and vulnerable individuals are left without assistance due to this (Glassby et al., 2023).</w:t>
      </w:r>
    </w:p>
    <w:p w14:paraId="399B594A" w14:textId="77777777" w:rsidR="00422828" w:rsidRDefault="00023D77">
      <w:pPr>
        <w:pStyle w:val="Heading2"/>
      </w:pPr>
      <w:bookmarkStart w:id="9" w:name="_heading=h.rbln2vow06in" w:colFirst="0" w:colLast="0"/>
      <w:bookmarkEnd w:id="9"/>
      <w:r>
        <w:t>Conclusion</w:t>
      </w:r>
    </w:p>
    <w:p w14:paraId="17BD364A" w14:textId="77777777" w:rsidR="00422828" w:rsidRDefault="00023D77">
      <w:r>
        <w:t xml:space="preserve">To conclude, domiciliary care is one of the foundations of the contemporary social care system, and it is an essential option to the </w:t>
      </w:r>
      <w:proofErr w:type="spellStart"/>
      <w:r>
        <w:t>institutionalised</w:t>
      </w:r>
      <w:proofErr w:type="spellEnd"/>
      <w:r>
        <w:t xml:space="preserve"> way of living. The service also meets the personal choices of the largest segment of the service users because of the principles of independence and ageing in place. Nonetheless, the future of the sector is now hanging in the balance. Going beyond the fundamental national health-stability requirement, it is no longer a choice to solve the systemic workforce crisis and the funding gap between local authority budgets and operating expenses. Even deeper into the future (post-2026), integration of digital monitoring and fair pay </w:t>
      </w:r>
      <w:proofErr w:type="spellStart"/>
      <w:r>
        <w:t>reorganisation</w:t>
      </w:r>
      <w:proofErr w:type="spellEnd"/>
      <w:r>
        <w:t xml:space="preserve"> will likely become the difference between whether domiciliary care can continue to be a viable, high-quality solution to an ageing population.</w:t>
      </w:r>
    </w:p>
    <w:p w14:paraId="50D87685" w14:textId="77777777" w:rsidR="00422828" w:rsidRDefault="00422828"/>
    <w:p w14:paraId="1B47AAA7" w14:textId="77777777" w:rsidR="00422828" w:rsidRDefault="00422828"/>
    <w:p w14:paraId="276A9672" w14:textId="77777777" w:rsidR="00422828" w:rsidRDefault="00422828"/>
    <w:p w14:paraId="3F1A5BB8" w14:textId="77777777" w:rsidR="00422828" w:rsidRDefault="00422828"/>
    <w:p w14:paraId="713D868B" w14:textId="77777777" w:rsidR="00422828" w:rsidRDefault="00023D77">
      <w:r>
        <w:br w:type="page"/>
      </w:r>
    </w:p>
    <w:p w14:paraId="605F877E" w14:textId="77777777" w:rsidR="00422828" w:rsidRDefault="00023D77">
      <w:pPr>
        <w:rPr>
          <w:b/>
          <w:bCs/>
          <w:sz w:val="28"/>
          <w:szCs w:val="28"/>
        </w:rPr>
      </w:pPr>
      <w:r>
        <w:rPr>
          <w:b/>
          <w:bCs/>
          <w:sz w:val="28"/>
          <w:szCs w:val="28"/>
        </w:rPr>
        <w:lastRenderedPageBreak/>
        <w:t>References</w:t>
      </w:r>
    </w:p>
    <w:p w14:paraId="4BDDD67F" w14:textId="77777777" w:rsidR="00422828" w:rsidRDefault="00023D77">
      <w:r>
        <w:t xml:space="preserve">Care Quality Commission (CQC) (2024). </w:t>
      </w:r>
      <w:r>
        <w:rPr>
          <w:i/>
          <w:iCs/>
        </w:rPr>
        <w:t>The state of health care and adult social care in England 2023/24.</w:t>
      </w:r>
      <w:r>
        <w:t xml:space="preserve"> London: HMSB.</w:t>
      </w:r>
    </w:p>
    <w:p w14:paraId="187AAB4B" w14:textId="77777777" w:rsidR="00422828" w:rsidRDefault="00023D77">
      <w:r>
        <w:t xml:space="preserve">Department of Health and Social Care (DHSC) (2025). </w:t>
      </w:r>
      <w:r>
        <w:rPr>
          <w:i/>
          <w:iCs/>
        </w:rPr>
        <w:t>Adult social care in England, monthly statistics: December 2025.</w:t>
      </w:r>
      <w:r>
        <w:t xml:space="preserve"> </w:t>
      </w:r>
    </w:p>
    <w:p w14:paraId="350A17F7" w14:textId="77777777" w:rsidR="00422828" w:rsidRDefault="00023D77">
      <w:r>
        <w:t xml:space="preserve">Glasby, J., Murnane, C., and Daly, M. (2023). </w:t>
      </w:r>
      <w:r>
        <w:rPr>
          <w:i/>
          <w:iCs/>
        </w:rPr>
        <w:t>Long-term care challenges in the 2020s.</w:t>
      </w:r>
      <w:r>
        <w:t xml:space="preserve"> Oxford: Green Templeton College, University of Oxford. Available at:</w:t>
      </w:r>
      <w:hyperlink r:id="rId10">
        <w:r>
          <w:t xml:space="preserve"> </w:t>
        </w:r>
      </w:hyperlink>
      <w:hyperlink r:id="rId11">
        <w:r>
          <w:rPr>
            <w:color w:val="1155CC"/>
            <w:u w:val="single"/>
          </w:rPr>
          <w:t>https://www.gtc.ox.ac.uk/academic/health-care/care-initiative/care-initiative-research/long-term-care-challenges-in-the-2020s/</w:t>
        </w:r>
      </w:hyperlink>
    </w:p>
    <w:p w14:paraId="5F462FA7" w14:textId="77777777" w:rsidR="00422828" w:rsidRDefault="00023D77">
      <w:r>
        <w:t xml:space="preserve">Health Foundation (2023). </w:t>
      </w:r>
      <w:r>
        <w:rPr>
          <w:i/>
          <w:iCs/>
        </w:rPr>
        <w:t>Nine major challenges facing health and care in England.</w:t>
      </w:r>
      <w:r>
        <w:t xml:space="preserve"> </w:t>
      </w:r>
    </w:p>
    <w:p w14:paraId="229EFA1A" w14:textId="77777777" w:rsidR="00422828" w:rsidRDefault="00023D77">
      <w:r>
        <w:t xml:space="preserve">Skills for Care (2024). </w:t>
      </w:r>
      <w:r>
        <w:rPr>
          <w:i/>
          <w:iCs/>
        </w:rPr>
        <w:t>The state of the adult social care sector and workforce in England.</w:t>
      </w:r>
      <w:r>
        <w:t xml:space="preserve"> </w:t>
      </w:r>
    </w:p>
    <w:p w14:paraId="47ED8884" w14:textId="77777777" w:rsidR="00422828" w:rsidRDefault="00023D77">
      <w:r>
        <w:br w:type="page"/>
      </w:r>
    </w:p>
    <w:p w14:paraId="7E9B1E52" w14:textId="77777777" w:rsidR="00422828" w:rsidRDefault="00023D77">
      <w:pPr>
        <w:pStyle w:val="Heading1"/>
      </w:pPr>
      <w:bookmarkStart w:id="10" w:name="_heading=h.xi7oaumf0vhm" w:colFirst="0" w:colLast="0"/>
      <w:bookmarkEnd w:id="10"/>
      <w:r>
        <w:lastRenderedPageBreak/>
        <w:t>Task 2-Essay</w:t>
      </w:r>
    </w:p>
    <w:p w14:paraId="1FE71EFC" w14:textId="77777777" w:rsidR="00422828" w:rsidRDefault="00023D77">
      <w:r>
        <w:t>Service: Community Pharmacy</w:t>
      </w:r>
    </w:p>
    <w:p w14:paraId="009C724E" w14:textId="77777777" w:rsidR="00422828" w:rsidRDefault="00023D77">
      <w:pPr>
        <w:rPr>
          <w:b/>
          <w:bCs/>
          <w:sz w:val="28"/>
          <w:szCs w:val="28"/>
        </w:rPr>
      </w:pPr>
      <w:r>
        <w:rPr>
          <w:b/>
          <w:bCs/>
          <w:sz w:val="28"/>
          <w:szCs w:val="28"/>
        </w:rPr>
        <w:t>Introduction</w:t>
      </w:r>
    </w:p>
    <w:p w14:paraId="1CDE7D89" w14:textId="343B2EA8" w:rsidR="00422828" w:rsidRDefault="00023D77">
      <w:r>
        <w:t xml:space="preserve">The community pharmacy is the crucial clinical environment that fills in the gaps between the local communities and the wider healthcare network. Historically shaped by the development of the old-fashioned dispensary into a new-fashioned clinical </w:t>
      </w:r>
      <w:proofErr w:type="spellStart"/>
      <w:r>
        <w:t>centre</w:t>
      </w:r>
      <w:proofErr w:type="spellEnd"/>
      <w:r>
        <w:t>, the pharmacy services are special because of their availability without appointments (GPhC, 2023). To this day, their role is quite a complex one: they handle the complexities of medication regimes, offer prophylaxis of health services to the population and offer critically needed diagnostic services. This essay dwells upon the journey of a pharmacist as not a raw materials dealer but a frontline clinical decision-maker with a critical assessment of how the revolution has made huge strides in the independence and general quality of life of various groups of patients.</w:t>
      </w:r>
    </w:p>
    <w:p w14:paraId="1E82C1CF" w14:textId="77777777" w:rsidR="00422828" w:rsidRDefault="00023D77">
      <w:pPr>
        <w:rPr>
          <w:b/>
          <w:bCs/>
          <w:sz w:val="28"/>
          <w:szCs w:val="28"/>
        </w:rPr>
      </w:pPr>
      <w:r>
        <w:rPr>
          <w:b/>
          <w:bCs/>
          <w:sz w:val="28"/>
          <w:szCs w:val="28"/>
        </w:rPr>
        <w:t>Historical Development and Change of Pharmacy</w:t>
      </w:r>
    </w:p>
    <w:p w14:paraId="1951D38B" w14:textId="77777777" w:rsidR="00422828" w:rsidRDefault="00023D77">
      <w:r>
        <w:t xml:space="preserve">The history of pharmacy services dates back to the time when a clear distinction was drawn between medical diagnosis and the making of remedies. Yet, the contemporary structure of the service became refined during the mid-19th century. The United Kingdom Pharmacy Act 1868 was a pioneer move, as it was the first Act to </w:t>
      </w:r>
      <w:proofErr w:type="spellStart"/>
      <w:r>
        <w:t>recognise</w:t>
      </w:r>
      <w:proofErr w:type="spellEnd"/>
      <w:r>
        <w:t xml:space="preserve"> that a person dispensing poisons and medicines must be qualified and registered. This change transformed the apothecary from a general merchant to a professional who was under regulation (RPS, 2023).</w:t>
      </w:r>
    </w:p>
    <w:p w14:paraId="281240D3" w14:textId="417803EB" w:rsidR="00422828" w:rsidRDefault="00023D77">
      <w:r>
        <w:t>The traditional approach to the service was product-oriented, where it was almost entirely devoted to proper compounding and dispensing of physical medications. With the addition of the National Health Service (NHS) in 1948, pharmacies were still further brought into the community healthcare system, as the community pharmacist became the most accessible provider of health care. In the late 20th century, with the end of manual compounding and the emergence of mass-manufacturing of drugs, a pivot shift towards being strategic, such as counting pills, gave way to offering clinical advice and holistic care of the patient (NHS England, 2025).</w:t>
      </w:r>
    </w:p>
    <w:p w14:paraId="5F4DA250" w14:textId="77777777" w:rsidR="00422828" w:rsidRDefault="00023D77">
      <w:pPr>
        <w:rPr>
          <w:b/>
          <w:bCs/>
          <w:sz w:val="28"/>
          <w:szCs w:val="28"/>
        </w:rPr>
      </w:pPr>
      <w:r>
        <w:rPr>
          <w:b/>
          <w:bCs/>
          <w:sz w:val="28"/>
          <w:szCs w:val="28"/>
        </w:rPr>
        <w:t>Critical Evaluation of Modern Functioning</w:t>
      </w:r>
    </w:p>
    <w:p w14:paraId="4058B1BA" w14:textId="77777777" w:rsidR="00422828" w:rsidRDefault="00023D77">
      <w:r>
        <w:t xml:space="preserve">The pharmacy services play a vital role today as a clinical outpost in the community. The current paradigm is defined by a clinical-first model, with the pharmacists playing the role of primary care providers. There are now several sophisticated services available in modern pharmacies, such as the New Medicine Services (NMS), blood pressure monitoring, minor </w:t>
      </w:r>
      <w:r>
        <w:lastRenderedPageBreak/>
        <w:t>ailment clinics, and this helps decrease the diagnostic workload of the General Practitioners (GPs) (Watson</w:t>
      </w:r>
      <w:r>
        <w:rPr>
          <w:i/>
          <w:iCs/>
        </w:rPr>
        <w:t xml:space="preserve"> et al.,</w:t>
      </w:r>
      <w:r>
        <w:t xml:space="preserve"> 2021).</w:t>
      </w:r>
    </w:p>
    <w:p w14:paraId="12718A0C" w14:textId="5D79A62A" w:rsidR="00422828" w:rsidRDefault="00023D77">
      <w:r>
        <w:t xml:space="preserve">Nonetheless, there is no systemic strain in the present operation. A major conflict exists between the retail needs of a </w:t>
      </w:r>
      <w:proofErr w:type="spellStart"/>
      <w:r>
        <w:t>commercialised</w:t>
      </w:r>
      <w:proofErr w:type="spellEnd"/>
      <w:r>
        <w:t xml:space="preserve"> pharmacy and the clinical needs of healthcare delivery. The majority of community pharmacies are small private enterprises hired by the state; a mixed identity may cause a conflict of resources. Moreover, patient safety has been enhanced through the integration of digital health records, giving pharmacists access to patient histories, but universal read-write accessibility to every primary care platform has been a hindrance towards the truly seamless integrated care (PSNC, 2022).</w:t>
      </w:r>
    </w:p>
    <w:p w14:paraId="28C99A58" w14:textId="77777777" w:rsidR="00422828" w:rsidRDefault="00023D77">
      <w:pPr>
        <w:rPr>
          <w:b/>
          <w:bCs/>
          <w:sz w:val="28"/>
          <w:szCs w:val="28"/>
        </w:rPr>
      </w:pPr>
      <w:r>
        <w:rPr>
          <w:b/>
          <w:bCs/>
          <w:sz w:val="28"/>
          <w:szCs w:val="28"/>
        </w:rPr>
        <w:t>Significance in Enhancing Quality of Life</w:t>
      </w:r>
    </w:p>
    <w:p w14:paraId="5932ED58" w14:textId="5E9D2CFA" w:rsidR="00422828" w:rsidRDefault="00023D77">
      <w:r>
        <w:t xml:space="preserve">The role of pharmacy services in improving the quality of life (QoL) of service users cannot be </w:t>
      </w:r>
      <w:proofErr w:type="spellStart"/>
      <w:r>
        <w:t>overemphasised</w:t>
      </w:r>
      <w:proofErr w:type="spellEnd"/>
      <w:r>
        <w:t xml:space="preserve">. As compared to the other branches of healthcare, pharmacies do not need an appointment, and that is why they are supposed to serve as the first point of contact </w:t>
      </w:r>
      <w:r w:rsidR="001D5F96">
        <w:t>for</w:t>
      </w:r>
      <w:r>
        <w:t xml:space="preserve"> people belonging to the </w:t>
      </w:r>
      <w:proofErr w:type="spellStart"/>
      <w:r>
        <w:t>marginalised</w:t>
      </w:r>
      <w:proofErr w:type="spellEnd"/>
      <w:r>
        <w:t xml:space="preserve"> group or having limited mobility (RPS, 2023).</w:t>
      </w:r>
    </w:p>
    <w:p w14:paraId="11C83ED6" w14:textId="77777777" w:rsidR="00422828" w:rsidRDefault="00023D77">
      <w:r>
        <w:t>Medication Adherence and Safety: Pharmacists have an important role to play in the prevention of Adverse Drug Reactions (ADRs). Through conducting Medication Use Reviews, they are making sure that chronically ill patients, e.g. diabetes, blood pressure, etc., are aware of their medical regimens, which directly will decrease hospital readmission and enhance functional health daily.</w:t>
      </w:r>
    </w:p>
    <w:p w14:paraId="4A1F4081" w14:textId="77777777" w:rsidR="00422828" w:rsidRDefault="00023D77">
      <w:r>
        <w:t xml:space="preserve">Preventative Health and Wellness: Pharmacy by way of smoking cessation </w:t>
      </w:r>
      <w:proofErr w:type="spellStart"/>
      <w:r>
        <w:t>programmes</w:t>
      </w:r>
      <w:proofErr w:type="spellEnd"/>
      <w:r>
        <w:t xml:space="preserve">, weight management counselling and vaccination </w:t>
      </w:r>
      <w:proofErr w:type="spellStart"/>
      <w:r>
        <w:t>programmes</w:t>
      </w:r>
      <w:proofErr w:type="spellEnd"/>
      <w:r>
        <w:t xml:space="preserve"> changes the healthcare paradigm to focus not on reactionary care but proactive prevention. This gives service users the ability to ensure self-sufficiency and sustainability (Bhattacharya, 2024).</w:t>
      </w:r>
    </w:p>
    <w:p w14:paraId="4061CD7A" w14:textId="08690F2E" w:rsidR="00422828" w:rsidRDefault="00023D77">
      <w:r>
        <w:t>Psychosocial Support: To some isolated or very old service users, the community pharmacist is their regular source of human contact, and they offer reassurance and mental health signposting, which is not strictly limited to clinical provision.</w:t>
      </w:r>
    </w:p>
    <w:p w14:paraId="0314A6B4" w14:textId="77777777" w:rsidR="00422828" w:rsidRDefault="00023D77">
      <w:pPr>
        <w:rPr>
          <w:b/>
          <w:bCs/>
          <w:sz w:val="28"/>
          <w:szCs w:val="28"/>
        </w:rPr>
      </w:pPr>
      <w:r>
        <w:rPr>
          <w:b/>
          <w:bCs/>
          <w:sz w:val="28"/>
          <w:szCs w:val="28"/>
        </w:rPr>
        <w:t>Conclusion</w:t>
      </w:r>
    </w:p>
    <w:p w14:paraId="5E82583A" w14:textId="1EE88FDF" w:rsidR="00422828" w:rsidRDefault="00023D77">
      <w:r>
        <w:t>To sum up, the redesigned pharmacy services, which shifted to patient-</w:t>
      </w:r>
      <w:proofErr w:type="spellStart"/>
      <w:r>
        <w:t>centred</w:t>
      </w:r>
      <w:proofErr w:type="spellEnd"/>
      <w:r>
        <w:t xml:space="preserve"> rather than product-</w:t>
      </w:r>
      <w:proofErr w:type="spellStart"/>
      <w:r>
        <w:t>centred</w:t>
      </w:r>
      <w:proofErr w:type="spellEnd"/>
      <w:r>
        <w:t xml:space="preserve"> services, have solidified their position as invaluable healthcare resources. With commercial and digital challenges, they are very easy to access, and due to their clinical experience, they enhance the outcomes among patients extensively. Finally, pharmacists should be empowered as primary care providers for the future of sustainable, proactive, and patient-</w:t>
      </w:r>
      <w:proofErr w:type="spellStart"/>
      <w:r>
        <w:t>centred</w:t>
      </w:r>
      <w:proofErr w:type="spellEnd"/>
      <w:r>
        <w:t xml:space="preserve"> healthcare.</w:t>
      </w:r>
      <w:r>
        <w:br w:type="page"/>
      </w:r>
    </w:p>
    <w:p w14:paraId="497FA1A1" w14:textId="77777777" w:rsidR="00422828" w:rsidRDefault="00023D77">
      <w:pPr>
        <w:rPr>
          <w:b/>
          <w:bCs/>
          <w:sz w:val="28"/>
          <w:szCs w:val="28"/>
        </w:rPr>
      </w:pPr>
      <w:r>
        <w:rPr>
          <w:b/>
          <w:bCs/>
          <w:sz w:val="28"/>
          <w:szCs w:val="28"/>
        </w:rPr>
        <w:lastRenderedPageBreak/>
        <w:t>Reference</w:t>
      </w:r>
    </w:p>
    <w:p w14:paraId="4068814B" w14:textId="77777777" w:rsidR="00422828" w:rsidRDefault="00023D77">
      <w:r>
        <w:t xml:space="preserve">Bhattacharya, S. (2024). </w:t>
      </w:r>
      <w:r>
        <w:rPr>
          <w:i/>
          <w:iCs/>
        </w:rPr>
        <w:t>Digital Transformation in Community Pharmacy: Opportunities and Barriers.</w:t>
      </w:r>
      <w:r>
        <w:t xml:space="preserve"> Journal of Pharmaceutical Policy and Practice, 17(1), pp. 45–58. (Discusses the impact of electronic health records on patient safety).</w:t>
      </w:r>
    </w:p>
    <w:p w14:paraId="0434F1FE" w14:textId="77777777" w:rsidR="00422828" w:rsidRDefault="00023D77">
      <w:r>
        <w:t xml:space="preserve">General Pharmaceutical Council (GPhC) (2023). </w:t>
      </w:r>
      <w:r>
        <w:rPr>
          <w:i/>
          <w:iCs/>
        </w:rPr>
        <w:t>Standards for Registered Pharmacies: Annual Report on Quality and Safety.</w:t>
      </w:r>
      <w:r>
        <w:t xml:space="preserve"> London: GPhC. (Evaluates the current regulatory landscape and clinical standards).</w:t>
      </w:r>
    </w:p>
    <w:p w14:paraId="7E344548" w14:textId="77777777" w:rsidR="00422828" w:rsidRDefault="00023D77">
      <w:r>
        <w:t xml:space="preserve">NHS England (2025). </w:t>
      </w:r>
      <w:r>
        <w:rPr>
          <w:i/>
          <w:iCs/>
        </w:rPr>
        <w:t>The Pharmacy First Service: National Progress Report.</w:t>
      </w:r>
      <w:r>
        <w:t xml:space="preserve"> (A critical review of how community pharmacies are now managing minor ailments to reduce GP workload).</w:t>
      </w:r>
    </w:p>
    <w:p w14:paraId="3652DB36" w14:textId="77777777" w:rsidR="00422828" w:rsidRDefault="00023D77">
      <w:r>
        <w:t xml:space="preserve">Pharmaceutical Services Negotiating Committee (PSNC) (2022). </w:t>
      </w:r>
      <w:r>
        <w:rPr>
          <w:i/>
          <w:iCs/>
        </w:rPr>
        <w:t>The Value of Community Pharmacy: A Briefing for Integrated Care Systems.</w:t>
      </w:r>
      <w:r>
        <w:t xml:space="preserve"> (Analysis of the economic and social value pharmacists add to the community).</w:t>
      </w:r>
    </w:p>
    <w:p w14:paraId="23B06A6E" w14:textId="77777777" w:rsidR="00422828" w:rsidRDefault="00023D77">
      <w:r>
        <w:t xml:space="preserve">Royal Pharmaceutical Society (RPS) (2023). </w:t>
      </w:r>
      <w:r>
        <w:rPr>
          <w:i/>
          <w:iCs/>
        </w:rPr>
        <w:t>Pharmacy 2030: A Vision for Community Pharmacy in England.</w:t>
      </w:r>
      <w:r>
        <w:t xml:space="preserve"> (Explores the shift towards prescribing rights for community pharmacists).</w:t>
      </w:r>
    </w:p>
    <w:p w14:paraId="41EFC033" w14:textId="77777777" w:rsidR="00422828" w:rsidRDefault="00023D77">
      <w:r>
        <w:t xml:space="preserve">Watson, M. C., Ferguson, J., Barton, G. R., Maskrey, V., Blyth, A., Paudyal, V., Bond, C. M., Holland, R., Porteous, T., Sach, T. H., Wright, D., &amp; Myint, P. K. (2019). A cohort study of the </w:t>
      </w:r>
      <w:proofErr w:type="spellStart"/>
      <w:r>
        <w:t>specialised</w:t>
      </w:r>
      <w:proofErr w:type="spellEnd"/>
      <w:r>
        <w:t xml:space="preserve"> contribution of community pharmacy to health and well-being. </w:t>
      </w:r>
      <w:r>
        <w:rPr>
          <w:i/>
          <w:iCs/>
        </w:rPr>
        <w:t>Health Services and Delivery Research</w:t>
      </w:r>
      <w:r>
        <w:t xml:space="preserve">, </w:t>
      </w:r>
      <w:r>
        <w:rPr>
          <w:i/>
          <w:iCs/>
        </w:rPr>
        <w:t>7</w:t>
      </w:r>
      <w:r>
        <w:t>(10).</w:t>
      </w:r>
      <w:hyperlink r:id="rId12">
        <w:r>
          <w:t xml:space="preserve"> </w:t>
        </w:r>
      </w:hyperlink>
      <w:hyperlink r:id="rId13">
        <w:r>
          <w:rPr>
            <w:color w:val="1155CC"/>
            <w:u w:val="single"/>
          </w:rPr>
          <w:t>https://doi.org/10.3310/hsdr07100</w:t>
        </w:r>
      </w:hyperlink>
    </w:p>
    <w:p w14:paraId="25AD2DE2" w14:textId="77777777" w:rsidR="00422828" w:rsidRDefault="00422828"/>
    <w:p w14:paraId="7FC60A45" w14:textId="77777777" w:rsidR="00422828" w:rsidRDefault="00422828"/>
    <w:p w14:paraId="6B84EABB" w14:textId="77777777" w:rsidR="00422828" w:rsidRDefault="00422828"/>
    <w:sectPr w:rsidR="00422828">
      <w:footerReference w:type="default" r:id="rId14"/>
      <w:footerReference w:type="first" r:id="rId15"/>
      <w:pgSz w:w="11906" w:h="16838"/>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4142DC" w14:textId="77777777" w:rsidR="00950400" w:rsidRDefault="00950400">
      <w:pPr>
        <w:spacing w:line="240" w:lineRule="auto"/>
      </w:pPr>
      <w:r>
        <w:separator/>
      </w:r>
    </w:p>
  </w:endnote>
  <w:endnote w:type="continuationSeparator" w:id="0">
    <w:p w14:paraId="48CF576C" w14:textId="77777777" w:rsidR="00950400" w:rsidRDefault="0095040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33FF3D11-4977-4788-A219-D3BA0FAA2B30}"/>
  </w:font>
  <w:font w:name="Cambria">
    <w:panose1 w:val="02040503050406030204"/>
    <w:charset w:val="00"/>
    <w:family w:val="roman"/>
    <w:pitch w:val="variable"/>
    <w:sig w:usb0="E00006FF" w:usb1="420024FF" w:usb2="02000000" w:usb3="00000000" w:csb0="0000019F" w:csb1="00000000"/>
    <w:embedRegular r:id="rId2" w:fontKey="{16BA8E01-824C-4B88-A765-BDA7A61191DB}"/>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264C17" w14:textId="77777777" w:rsidR="00422828" w:rsidRDefault="00023D77">
    <w:pPr>
      <w:jc w:val="right"/>
    </w:pPr>
    <w:r>
      <w:fldChar w:fldCharType="begin"/>
    </w:r>
    <w:r>
      <w:instrText>PAGE</w:instrText>
    </w:r>
    <w:r>
      <w:fldChar w:fldCharType="separate"/>
    </w:r>
    <w:r w:rsidR="004B01E0">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6CA134" w14:textId="77777777" w:rsidR="00422828" w:rsidRDefault="00422828"/>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D27A02" w14:textId="77777777" w:rsidR="00950400" w:rsidRDefault="00950400">
      <w:pPr>
        <w:spacing w:line="240" w:lineRule="auto"/>
      </w:pPr>
      <w:r>
        <w:separator/>
      </w:r>
    </w:p>
  </w:footnote>
  <w:footnote w:type="continuationSeparator" w:id="0">
    <w:p w14:paraId="79CDDECD" w14:textId="77777777" w:rsidR="00950400" w:rsidRDefault="0095040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828"/>
    <w:rsid w:val="00023D77"/>
    <w:rsid w:val="001D5F96"/>
    <w:rsid w:val="00422828"/>
    <w:rsid w:val="004B01E0"/>
    <w:rsid w:val="005C61E2"/>
    <w:rsid w:val="007430BE"/>
    <w:rsid w:val="00950400"/>
    <w:rsid w:val="00B4291F"/>
    <w:rsid w:val="00C46C0C"/>
    <w:rsid w:val="00CD499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DDA931"/>
  <w15:docId w15:val="{4862E66A-7B7A-4E6F-B8C3-013CCF1727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color w:val="0B5394"/>
      <w:sz w:val="32"/>
      <w:szCs w:val="32"/>
    </w:rPr>
  </w:style>
  <w:style w:type="paragraph" w:styleId="Heading2">
    <w:name w:val="heading 2"/>
    <w:basedOn w:val="Normal"/>
    <w:next w:val="Normal"/>
    <w:uiPriority w:val="9"/>
    <w:unhideWhenUsed/>
    <w:qFormat/>
    <w:pPr>
      <w:keepNext/>
      <w:keepLines/>
      <w:outlineLvl w:val="1"/>
    </w:pPr>
    <w:rPr>
      <w:b/>
      <w:bCs/>
      <w:sz w:val="28"/>
      <w:szCs w:val="28"/>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1"/>
    <w:tblPr>
      <w:tblCellMar>
        <w:top w:w="100" w:type="dxa"/>
        <w:left w:w="100" w:type="dxa"/>
        <w:bottom w:w="100" w:type="dxa"/>
        <w:right w:w="100" w:type="dxa"/>
      </w:tblCellMar>
    </w:tbl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google.com/search?q=https://doi.org/10.3310/hsdr0710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google.com/search?q=https://doi.org/10.3310/hsdr07100"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gtc.ox.ac.uk/academic/health-care/care-initiative/care-initiative-research/long-term-care-challenges-in-the-2020s/"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hyperlink" Target="https://www.gtc.ox.ac.uk/academic/health-care/care-initiative/care-initiative-research/long-term-care-challenges-in-the-2020s/" TargetMode="External"/><Relationship Id="rId4" Type="http://schemas.openxmlformats.org/officeDocument/2006/relationships/webSettings" Target="webSettings.xml"/><Relationship Id="rId9" Type="http://schemas.openxmlformats.org/officeDocument/2006/relationships/image" Target="media/image3.svg"/><Relationship Id="rId14" Type="http://schemas.openxmlformats.org/officeDocument/2006/relationships/footer" Target="foot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yGmloL4zrVVDnZLog6kUSz5YzKQ==">CgMxLjAyDmguaTZwd2FyeHRrZDMyMg5oLnh1MWwyNGRxbHdldjIOaC5rOHNwenltcXU4Y3QyDmguamlld25zNGNteXhsMg5oLnRmMmduMmdtaHQ5NTIOaC5iOGlzamR4cTIwN3AyDmgueDMwdzRtZWFtMWFhMg5oLnAwc2huNGl1YzQ0NzIOaC4zb3V6bjNpMzFpdDkyDmgucmJsbjJ2b3cwNmluMg5oLnhpN29hdW1mMHZobTgAciExQUhVWTU5RnZQekoySGFMd2lBU000RmgwaGd3S3lEMVc=</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2133</Words>
  <Characters>12163</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Lewis</dc:creator>
  <cp:keywords/>
  <dc:description/>
  <cp:lastModifiedBy>Danielle Lewis</cp:lastModifiedBy>
  <cp:revision>2</cp:revision>
  <dcterms:created xsi:type="dcterms:W3CDTF">2026-03-21T12:01:00Z</dcterms:created>
  <dcterms:modified xsi:type="dcterms:W3CDTF">2026-03-21T12:01:00Z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4329a9b5-0869-4e66-a5d5-35adede0f997</vt:lpwstr>
  </property>
</Properties>
</file>