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Spacing"/>
        <w:rPr/>
      </w:pPr>
      <w:r>
        <w:rPr/>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sz w:val="24"/>
          <w:szCs w:val="24"/>
          <w:lang w:val="en-US"/>
        </w:rPr>
      </w:pPr>
      <w:bookmarkStart w:id="0" w:name="_Int_rXrDct9B"/>
      <w:r>
        <w:rPr>
          <w:rFonts w:eastAsia="Calibri Light" w:cs="Calibri Light" w:ascii="Calibri Light" w:hAnsi="Calibri Light" w:asciiTheme="majorAscii" w:cstheme="majorAscii" w:eastAsiaTheme="majorAscii" w:hAnsiTheme="majorAscii"/>
          <w:b w:val="false"/>
          <w:bCs w:val="false"/>
          <w:sz w:val="24"/>
          <w:szCs w:val="24"/>
          <w:lang w:val="en-US"/>
        </w:rPr>
        <w:t xml:space="preserve">Adrianne Roberts. </w:t>
      </w:r>
      <w:bookmarkEnd w:id="0"/>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sz w:val="24"/>
          <w:szCs w:val="24"/>
          <w:lang w:val="en-GB"/>
        </w:rPr>
      </w:pPr>
      <w:r>
        <w:rPr>
          <w:rFonts w:eastAsia="Calibri Light" w:cs="Calibri Light" w:ascii="Calibri Light" w:hAnsi="Calibri Light" w:asciiTheme="majorAscii" w:cstheme="majorAscii" w:eastAsiaTheme="majorAscii" w:hAnsiTheme="majorAscii"/>
          <w:b w:val="false"/>
          <w:bCs w:val="false"/>
          <w:sz w:val="24"/>
          <w:szCs w:val="24"/>
          <w:lang w:val="en-US"/>
        </w:rPr>
        <w:t xml:space="preserve">Global perspectives on education. </w:t>
      </w:r>
      <w:r>
        <w:rPr>
          <w:rFonts w:eastAsia="Calibri Light" w:cs="Calibri Light" w:ascii="Calibri Light" w:hAnsi="Calibri Light" w:asciiTheme="majorAscii" w:cstheme="majorAscii" w:eastAsiaTheme="majorAscii" w:hAnsiTheme="majorAscii"/>
          <w:b w:val="false"/>
          <w:bCs w:val="false"/>
          <w:sz w:val="24"/>
          <w:szCs w:val="24"/>
          <w:lang w:val="en-GB"/>
        </w:rPr>
        <w:t>ECIE 6004.</w:t>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333333"/>
          <w:sz w:val="24"/>
          <w:szCs w:val="24"/>
          <w:lang w:val="en-US"/>
        </w:rPr>
      </w:pPr>
      <w:r>
        <w:rPr>
          <w:rFonts w:eastAsia="Calibri Light" w:cs="Calibri Light" w:cstheme="majorAscii" w:eastAsiaTheme="majorAscii" w:ascii="Calibri Light" w:hAnsi="Calibri Light"/>
          <w:b w:val="false"/>
          <w:bCs w:val="false"/>
          <w:i w:val="false"/>
          <w:iCs w:val="false"/>
          <w:caps w:val="false"/>
          <w:smallCaps w:val="false"/>
          <w:color w:val="333333"/>
          <w:sz w:val="24"/>
          <w:szCs w:val="24"/>
          <w:lang w:val="en-US"/>
        </w:rPr>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US"/>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US"/>
        </w:rPr>
        <w:t>The heart of global education is to enable young people to participate in shaping a better, shared future for the world. Teaching pupils about global affairs in an authentic way can broaden their knowledge on acceptance and understanding of diverse cultures and others around them. It can teach them empathy as they learn more about the diverse types of living styles. It can open their eyes to see that their lifestyle is not how someone else may choose to live.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HonorsGradU, 2022). </w:t>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US"/>
        </w:rPr>
        <w:t xml:space="preserve">Global education emphasises the unity and interdependence of society, by developing a sense of appreciation of cultural diversity, affirmation of social justice and human rights. As well as building peace and actions for a sustainable future at separate times and places.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424142"/>
          <w:sz w:val="24"/>
          <w:szCs w:val="24"/>
          <w:lang w:val="en-US"/>
        </w:rPr>
        <w:t>Globalisation also has cultural, ecological, economic, and psychological dimensions that are not immune to power politics. It is also about the making and use of resources, about the finding and affir</w:t>
        <w:softHyphen/>
        <w:t>mation of identity, about the construction and communication of meaning, and humanity shaping and being shaped by nature. (</w:t>
      </w:r>
      <w:r>
        <w:rPr>
          <w:rFonts w:eastAsia="Open Sans" w:cs="Open Sans" w:ascii="Open Sans" w:hAnsi="Open Sans"/>
          <w:b w:val="false"/>
          <w:bCs w:val="false"/>
          <w:i w:val="false"/>
          <w:iCs w:val="false"/>
          <w:caps w:val="false"/>
          <w:smallCaps w:val="false"/>
          <w:color w:val="000000" w:themeColor="text1" w:themeShade="ff" w:themeTint="ff"/>
          <w:sz w:val="19"/>
          <w:szCs w:val="19"/>
          <w:lang w:val="en-US"/>
        </w:rPr>
        <w:t xml:space="preserve">Political Science Notes, 2022).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US"/>
        </w:rPr>
        <w:t>Global education promotes positive values and assists students with the tools to take responsibility for their actions and to see themselves as global citizens who can contribute to a more peaceful and sustainable world.</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(Global education, 2022)</w:t>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US"/>
        </w:rPr>
      </w:pPr>
      <w:r>
        <w:rPr>
          <w:rFonts w:eastAsia="Calibri Light" w:cs="Calibri Light" w:ascii="Calibri Light" w:hAnsi="Calibri Light" w:asciiTheme="majorAscii" w:cstheme="majorAscii" w:eastAsiaTheme="majorAscii" w:hAnsiTheme="majorAscii"/>
          <w:b w:val="false"/>
          <w:bCs w:val="false"/>
          <w:sz w:val="24"/>
          <w:szCs w:val="24"/>
          <w:lang w:val="en-GB"/>
        </w:rPr>
        <w:t>This essay aims to analyse and present empirical data on experiences teachers encounter working with children and young people across different settings in Kenya. Research on inclusive education has been scarce in previous years, this paper will explore good practice, neurodiversity, and social models of disability with empathy of aspects of the global challenges facing an inclusive education in Kenya.</w:t>
      </w:r>
      <w:r>
        <w:rPr/>
        <w:br/>
      </w:r>
      <w:r>
        <w:rPr>
          <w:rFonts w:eastAsia="Calibri Light" w:cs="Calibri Light" w:ascii="Calibri Light" w:hAnsi="Calibri Light" w:asciiTheme="majorAscii" w:cstheme="majorAscii" w:eastAsiaTheme="majorAscii" w:hAnsiTheme="majorAscii"/>
          <w:b w:val="false"/>
          <w:bCs w:val="false"/>
          <w:i w:val="false"/>
          <w:iCs w:val="false"/>
          <w:color w:val="333333"/>
          <w:sz w:val="24"/>
          <w:szCs w:val="24"/>
          <w:lang w:val="en-GB"/>
        </w:rPr>
        <w:t>The principles of inclusive education have been finding ways of working with and engaging children and young people with special educational needs for many years. However, it is difficult to change the process of the teachers’ thinking about a student with disabilities.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Emerald, 2022).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Access to a basic education for all students is an essential goal for many countries around the world. The need for an inclusive education continues to intensify.  Access to basic education for many pupils with disabilities in Kenya remains an unwelcome challenge. Large class sizes, inadequate funding, limited teacher training, cultural perceptions, and lack of disability awareness increase this challenge. In 2009, the Kenyan government introduced a national Special Needs Education policy framework that provides comprehensive strategies and policies that improve services for people with disabilities. Creating awareness, revamping the curriculum, incorporating technology, providing teacher training, and improving data collection are some of the recommendations included in the policy framework to enhance special education services and welcome inclusive practices.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Kiru, E., 2018).</w:t>
      </w:r>
    </w:p>
    <w:p>
      <w:pPr>
        <w:pStyle w:val="Normal"/>
        <w:spacing w:lineRule="auto" w:line="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463430"/>
          <w:sz w:val="24"/>
          <w:szCs w:val="24"/>
          <w:lang w:val="en-US"/>
        </w:rPr>
        <w:t>Development experts predicted that getting rid of education fees completely would allow millions of children from less fortunate families access to education around the world. Unfortunately, this initiative would be proven wrong and despite the implementation of Free Primary Education (FPE) over 1 million pupils are still not receiving access to education. Ace Africa has found, children in rural Kenya experience numerous barriers to education which are unrelated to the cost of school fees. The wrong gender is just one example of this, gender can be seen as a central barrier to education. Studies state that girls can miss over 2 months of school a year due to menstruation, a problem which their male peers will not experience. Many are convinced that menstruation is shameful, and excluding this reason, girls still would not receive sanitary supplies and will therefore have no other option than to stay home during their period. Hunger and poor nutrition are some of the other barriers against education in rural Kenya which is highly underreported. Poor nutrition can affect a child’s cognitive abilities as well as their focus and concentration in school. Good nutrition is a key element in preparing for good learning and focus. In addition, there are several indirect costs of education such as uniforms, books, pens and learning materials which can put many students off from attending school. Although education is theoretically free in practice, parents or students are forced to pay for ‘compulsory items’ such as uniforms or else may face refusal from school. (</w:t>
      </w:r>
      <w:r>
        <w:rPr>
          <w:rFonts w:eastAsia="Open Sans" w:cs="Open Sans" w:ascii="Open Sans" w:hAnsi="Open Sans"/>
          <w:b w:val="false"/>
          <w:bCs w:val="false"/>
          <w:i w:val="false"/>
          <w:iCs w:val="false"/>
          <w:caps w:val="false"/>
          <w:smallCaps w:val="false"/>
          <w:color w:val="000000" w:themeColor="text1" w:themeShade="ff" w:themeTint="ff"/>
          <w:sz w:val="19"/>
          <w:szCs w:val="19"/>
          <w:lang w:val="en-GB"/>
        </w:rPr>
        <w:t>Ace-africa.org. 2022).</w:t>
      </w:r>
    </w:p>
    <w:p>
      <w:pPr>
        <w:pStyle w:val="Normal"/>
        <w:spacing w:lineRule="auto" w:line="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At the moment Kenyan primary education is free up to 8</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vertAlign w:val="superscript"/>
          <w:lang w:val="en-GB"/>
        </w:rPr>
        <w:t>th</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grade however, regular school attendance is a barrier due to low family incomes. Furthermore, the government requires families to share the costs at secondary school level, which has significant negative consequence for pupils from poor families. Reports show that over 1.2 million children of school-going age are out of school and involved in practices such as child labour to supplement family income. There is also a 27% primary level dropout rate related to poverty issues. The transition rate from primary to secondary schools is at an all-time low. Only 50% of pupils completing standard 8th grade proceed to secondary level due to lack of school fees or insufficient facilities. This situation is distressing and can have long-term consequences, such as teenage pregnancies and low earning potential.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463430"/>
          <w:sz w:val="24"/>
          <w:szCs w:val="24"/>
          <w:lang w:val="en-US"/>
        </w:rPr>
        <w:t>(</w:t>
      </w:r>
      <w:r>
        <w:rPr>
          <w:rFonts w:eastAsia="Open Sans" w:cs="Open Sans" w:ascii="Open Sans" w:hAnsi="Open Sans"/>
          <w:b w:val="false"/>
          <w:bCs w:val="false"/>
          <w:i w:val="false"/>
          <w:iCs w:val="false"/>
          <w:caps w:val="false"/>
          <w:smallCaps w:val="false"/>
          <w:color w:val="000000" w:themeColor="text1" w:themeShade="ff" w:themeTint="ff"/>
          <w:sz w:val="19"/>
          <w:szCs w:val="19"/>
          <w:lang w:val="en-GB"/>
        </w:rPr>
        <w:t>Ace-africa.org. 2022).</w:t>
      </w:r>
    </w:p>
    <w:p>
      <w:pPr>
        <w:pStyle w:val="Normal"/>
        <w:spacing w:lineRule="auto" w:line="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US"/>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Scholarships offer support to some students; however, they are limited only to a few. There are also cases in which children seek after school work to support their families, so they are able to raise the money needed for school fees. The children can often be as young as 13 years old. Unfortunately, it is quite common to find young people walking long distances to seek work to help pay their fees. Their wages are then taken up on daily essentials such as shoes and toiletries. These extra barriers cause the drop-out rate for disadvantaged students to be particularly high. (</w:t>
      </w:r>
      <w:r>
        <w:rPr>
          <w:rFonts w:eastAsia="Open Sans" w:cs="Open Sans" w:ascii="Open Sans" w:hAnsi="Open Sans"/>
          <w:b w:val="false"/>
          <w:bCs w:val="false"/>
          <w:i w:val="false"/>
          <w:iCs w:val="false"/>
          <w:caps w:val="false"/>
          <w:smallCaps w:val="false"/>
          <w:color w:val="000000" w:themeColor="text1" w:themeShade="ff" w:themeTint="ff"/>
          <w:sz w:val="19"/>
          <w:szCs w:val="19"/>
          <w:lang w:val="en-US"/>
        </w:rPr>
        <w:t>Nehemia team e.V. 2022).</w:t>
      </w:r>
    </w:p>
    <w:p>
      <w:pPr>
        <w:pStyle w:val="Normal"/>
        <w:spacing w:lineRule="auto" w:line="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Kenya has come across difficulties in improving an underfunded school system with school reforms that promise changes in overall structure and curriculum design. The increasing cost of education is pushing the global goal of “Education for All” (EFA) out of the reach of children from poor families, leading to a further increase in the number of dropouts.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w:t>
      </w:r>
      <w:r>
        <w:rPr>
          <w:rFonts w:eastAsia="Open Sans" w:cs="Open Sans" w:ascii="Open Sans" w:hAnsi="Open Sans"/>
          <w:b w:val="false"/>
          <w:bCs w:val="false"/>
          <w:i w:val="false"/>
          <w:iCs w:val="false"/>
          <w:caps w:val="false"/>
          <w:smallCaps w:val="false"/>
          <w:color w:val="000000" w:themeColor="text1" w:themeShade="ff" w:themeTint="ff"/>
          <w:sz w:val="19"/>
          <w:szCs w:val="19"/>
          <w:lang w:val="en-GB"/>
        </w:rPr>
        <w:t>The United Nations. 2022).</w:t>
      </w:r>
    </w:p>
    <w:p>
      <w:pPr>
        <w:pStyle w:val="Normal"/>
        <w:spacing w:lineRule="auto" w:line="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US"/>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Most of the problems within the education sector come from the general increase in poverty levels and inequalities country wide. Although the enrolment trends have been higher in recent years, completion rates have consistently been below the half mark due to high numbers of dropout rates. Education is a powerful tool and one that can be used to survive in the current millennium. For the generation of today, knowledge and communication skills are an absolute necessity. It is for this reason that governments try to provide their citizens with education, and Kenya is no exception to this rule. Education must be seen as a basic human right and need. Emphasis must be on it. The ultimate success of Kenya’s education system will be measured by its ability to give inclusive access to all learners and provide qualified skills into the labour market to drive the economy. (</w:t>
      </w:r>
      <w:r>
        <w:rPr>
          <w:rFonts w:eastAsia="Open Sans" w:cs="Open Sans" w:ascii="Open Sans" w:hAnsi="Open Sans"/>
          <w:b w:val="false"/>
          <w:bCs w:val="false"/>
          <w:i w:val="false"/>
          <w:iCs w:val="false"/>
          <w:caps w:val="false"/>
          <w:smallCaps w:val="false"/>
          <w:color w:val="000000" w:themeColor="text1" w:themeShade="ff" w:themeTint="ff"/>
          <w:sz w:val="19"/>
          <w:szCs w:val="19"/>
          <w:lang w:val="en-US"/>
        </w:rPr>
        <w:t>Nehemia team e.V. 2022).</w:t>
      </w:r>
    </w:p>
    <w:p>
      <w:pPr>
        <w:pStyle w:val="Normal"/>
        <w:spacing w:lineRule="auto" w:line="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The UN and its partners in Kenya are working towards achieving the Sustainable Development Goals: 17 interconnected and ambitious goals which address the major development challenges that are faced by people in Kenya and worldwide. The Sustainable Development Goals are a global call to action to end poverty, protect the earth’s environment and climate, and ensure that people everywhere can enjoy peace and prosperity. These are the goals the UN is working on in Kenya. (</w:t>
      </w:r>
      <w:r>
        <w:rPr>
          <w:rFonts w:eastAsia="Open Sans" w:cs="Open Sans" w:ascii="Open Sans" w:hAnsi="Open Sans"/>
          <w:b w:val="false"/>
          <w:bCs w:val="false"/>
          <w:i w:val="false"/>
          <w:iCs w:val="false"/>
          <w:caps w:val="false"/>
          <w:smallCaps w:val="false"/>
          <w:color w:val="000000" w:themeColor="text1" w:themeShade="ff" w:themeTint="ff"/>
          <w:sz w:val="19"/>
          <w:szCs w:val="19"/>
          <w:lang w:val="en-GB"/>
        </w:rPr>
        <w:t>The United Nations. 2022).</w:t>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Using a developed Wales as a comparison to an underdeveloped Kenya, there is a distinct contrast, with</w:t>
      </w:r>
      <w:r>
        <w:rPr>
          <w:rFonts w:eastAsia="Calibri Light" w:cs="Calibri Light" w:ascii="Calibri Light" w:hAnsi="Calibri Light" w:asciiTheme="majorAscii" w:cstheme="majorAscii" w:eastAsiaTheme="majorAscii" w:hAnsiTheme="majorAscii"/>
          <w:sz w:val="24"/>
          <w:szCs w:val="24"/>
          <w:lang w:val="en-GB"/>
        </w:rPr>
        <w:t xml:space="preserve"> raising standards for all being a government commitment in Wales. By working across boundaries, we can be confident of a prosperous Wales where education from the earliest age will be the foundation for a lifetime of learning and achievement. This revised plan of action is designed to support the delivery of ‘Ambitious and Learning,’ one of the key themes as set out in Prosperity for All: the national strategy (2017). It is through the implementation of the actions in this plan that we will support all our young people to make the most of their potential. We will build ambition and encourage learning for life, and equip our children and young people with the right skills for a changing world.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Gov.Wales. 2022).</w:t>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The Welsh Government aim to ensure a more sustainable development as a central organising principle for organisations. The Welsh government have put strategies in place that are able to provide Welsh higher education institutions with support and structure to embed education for sustainable development and global citizenship across all activities and areas of learning.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Glover, A. and Peters, C., 2022).</w:t>
      </w:r>
    </w:p>
    <w:p>
      <w:pPr>
        <w:pStyle w:val="Normal"/>
        <w:spacing w:lineRule="auto" w:line="276"/>
        <w:ind w:left="1701" w:right="1701" w:hanging="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333333"/>
          <w:sz w:val="24"/>
          <w:szCs w:val="24"/>
          <w:lang w:val="en-GB"/>
        </w:rPr>
        <w:t>Nowadays, there are more highly educated people than in the past, which in theory should assure them fast placement into the labour market. However, the number of unemployed people with higher education is rising in many countries, and this leads to economic, social and political problems.”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Glover, A. and Peters, C., 2022).</w:t>
      </w:r>
    </w:p>
    <w:p>
      <w:pPr>
        <w:pStyle w:val="Normal"/>
        <w:spacing w:lineRule="auto" w:line="240"/>
        <w:ind w:left="1134" w:right="1134" w:hanging="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333333"/>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333333"/>
          <w:sz w:val="24"/>
          <w:szCs w:val="24"/>
          <w:lang w:val="en-GB"/>
        </w:rPr>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ascii="Calibri Light" w:hAnsi="Calibri Light" w:asciiTheme="majorAscii" w:cstheme="majorAscii" w:eastAsiaTheme="majorAscii" w:hAnsiTheme="majorAscii"/>
          <w:sz w:val="24"/>
          <w:szCs w:val="24"/>
          <w:lang w:val="en-GB"/>
        </w:rPr>
        <w:t>In 2008, the Ministry of National Education began to modify the national core curriculum for general education and school vocational training programmes. The new curriculum moves from a narrow, subject-related requirements, to more general transferable skills and competencies defined by learning outcomes. The main focus is now on experimentation, scientific inquiry, problem-solving, reasoning and collaboration. The learning outcomes guide examination standards, which have shifted focus from assessment of knowledge to evaluation of more general life skills. The new curriculum framework for general education sets the same programme requirements for the first year of all types of upper secondary schools. These new regulations also increase the autonomy of schools to be able to develop their own programmes and work more independently instead of referring only to programmes and textbooks from the list accepted by the ministry. Teachers are given the ability to adapt and develop lessons appropriately to better suit the pupils needs. One size does not fit all, and the same applies to education. Pupils learn and grow in diverse ways and at different rates. Teachers need to nature this and not think of it as a barrier. School principals have been granted flexibility to manage instruction time defined for subjects in the curriculum framework. They are simply required to ensure that outcomes defined in the national curriculum have been attained.</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auto"/>
          <w:sz w:val="24"/>
          <w:szCs w:val="24"/>
          <w:lang w:val="en-GB"/>
        </w:rPr>
        <w:t xml:space="preserve">(Oecd.org. 2022). </w:t>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76"/>
        <w:ind w:left="2061" w:right="1701" w:hanging="360"/>
        <w:jc w:val="both"/>
        <w:rPr>
          <w:rFonts w:ascii="Calibri Light" w:hAnsi="Calibri Light" w:eastAsia="Calibri Light" w:cs="Calibri Light" w:asciiTheme="majorAscii" w:cstheme="majorAscii" w:eastAsiaTheme="majorAscii" w:hAnsiTheme="majorAscii"/>
          <w:sz w:val="24"/>
          <w:szCs w:val="24"/>
          <w:lang w:val="en-GB"/>
        </w:rPr>
      </w:pPr>
      <w:r>
        <w:rPr>
          <w:rFonts w:eastAsia="Calibri Light" w:cs="Calibri Light" w:ascii="Calibri Light" w:hAnsi="Calibri Light" w:asciiTheme="majorAscii" w:cstheme="majorAscii" w:eastAsiaTheme="majorAscii" w:hAnsiTheme="majorAscii"/>
          <w:sz w:val="24"/>
          <w:szCs w:val="24"/>
          <w:lang w:val="en-GB"/>
        </w:rPr>
        <w:t xml:space="preserve">     “</w:t>
      </w:r>
      <w:r>
        <w:rPr>
          <w:rFonts w:eastAsia="Calibri Light" w:cs="Calibri Light" w:ascii="Calibri Light" w:hAnsi="Calibri Light" w:asciiTheme="majorAscii" w:cstheme="majorAscii" w:eastAsiaTheme="majorAscii" w:hAnsiTheme="majorAscii"/>
          <w:sz w:val="24"/>
          <w:szCs w:val="24"/>
          <w:lang w:val="en-GB"/>
        </w:rPr>
        <w:t>At the turn of the millennium, the UNESCO World Education Report 2000 was devoted to the topic “The right to education: towards education for all throughout life”. It argued that “education” could not be taken to mean only “schooling” and that “the time to learn is now the whole lifetime,” thus expanding the concept of lifelong learning. Education is “continuum, coextensive with life” (UNESCO, 2000a, p.19).</w:t>
      </w:r>
    </w:p>
    <w:p>
      <w:pPr>
        <w:pStyle w:val="Normal"/>
        <w:spacing w:lineRule="auto" w:line="276"/>
        <w:ind w:left="1134" w:right="1134" w:hanging="360"/>
        <w:jc w:val="both"/>
        <w:rPr>
          <w:rFonts w:ascii="Calibri Light" w:hAnsi="Calibri Light" w:eastAsia="Calibri Light" w:cs="Calibri Light" w:asciiTheme="majorAscii" w:cstheme="majorAscii" w:eastAsiaTheme="majorAscii" w:hAnsiTheme="majorAscii"/>
          <w:sz w:val="24"/>
          <w:szCs w:val="24"/>
          <w:lang w:val="en-GB"/>
        </w:rPr>
      </w:pPr>
      <w:r>
        <w:rPr>
          <w:rFonts w:eastAsia="Calibri Light" w:cs="Calibri Light" w:cstheme="majorAscii" w:eastAsiaTheme="majorAscii" w:ascii="Calibri Light" w:hAnsi="Calibri Light"/>
          <w:sz w:val="24"/>
          <w:szCs w:val="24"/>
          <w:lang w:val="en-GB"/>
        </w:rPr>
      </w:r>
    </w:p>
    <w:p>
      <w:pPr>
        <w:pStyle w:val="Normal"/>
        <w:spacing w:lineRule="auto" w:line="216"/>
        <w:ind w:left="774" w:right="1134" w:hanging="0"/>
        <w:jc w:val="both"/>
        <w:rPr>
          <w:rFonts w:ascii="Calibri Light" w:hAnsi="Calibri Light" w:eastAsia="Calibri Light" w:cs="Calibri Light" w:asciiTheme="majorAscii" w:cstheme="majorAscii" w:eastAsiaTheme="majorAscii" w:hAnsiTheme="majorAscii"/>
          <w:sz w:val="24"/>
          <w:szCs w:val="24"/>
          <w:lang w:val="en-GB"/>
        </w:rPr>
      </w:pPr>
      <w:r>
        <w:rPr>
          <w:rFonts w:eastAsia="Calibri Light" w:cs="Calibri Light" w:cstheme="majorAscii" w:eastAsiaTheme="majorAscii" w:ascii="Calibri Light" w:hAnsi="Calibri Light"/>
          <w:sz w:val="24"/>
          <w:szCs w:val="24"/>
          <w:lang w:val="en-GB"/>
        </w:rPr>
      </w:r>
    </w:p>
    <w:p>
      <w:pPr>
        <w:pStyle w:val="Normal"/>
        <w:spacing w:lineRule="auto" w:line="360"/>
        <w:ind w:left="0" w:right="0" w:hanging="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1E1E1E"/>
          <w:sz w:val="24"/>
          <w:szCs w:val="24"/>
          <w:lang w:val="en-GB"/>
        </w:rPr>
        <w:t>UNCRC, or The United Nations Conventions on the Rights of the child, forms the basis of all of work UNICEF carry out. It is currently the most complete statement of the rights of the child that has ever been created, as well as the largest international human rights treaty there has been in history.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Unicef UK. 2022).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222221"/>
          <w:sz w:val="24"/>
          <w:szCs w:val="24"/>
          <w:lang w:val="en-GB"/>
        </w:rPr>
        <w:t>UNCRC is a legally-binding international agreement that has set out the civil, political, economic, social, and cultural rights of every child, regardless of their race, religion, or abilities.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Savethechildren.org.uk. 2022).</w:t>
      </w:r>
    </w:p>
    <w:p>
      <w:pPr>
        <w:pStyle w:val="Normal"/>
        <w:spacing w:lineRule="auto" w:line="360"/>
        <w:ind w:left="0" w:right="0" w:hanging="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The UNCRC consists of 54 articles, these are there to pave the way to children’s rights and how the governments will need to work together to ensure they are readily available to all children.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222221"/>
          <w:sz w:val="24"/>
          <w:szCs w:val="24"/>
          <w:lang w:val="en-GB"/>
        </w:rPr>
        <w:t>Under the terms of the convention, governments are required to meet children’s basic needs and help them to reach their full potential. Central to this is the acknowledgment that every child has fundamental rights. These include the right to: Life, survival, and development. Protection from violence, abuse, or neglect. An education that enables children to fulfil their potential. Be raised by, or have a relationship with their parents, express their opinions and to be listened to.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Savethechildren.org.uk. 2022).</w:t>
      </w:r>
    </w:p>
    <w:p>
      <w:pPr>
        <w:pStyle w:val="Normal"/>
        <w:spacing w:lineRule="auto" w:line="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Abraham Maslow, the founder of humanistic psychology, developed the Hierarchy of Needs, in which a person's motives are explained within a five-level hierarchical pyramid with basic needs starting at the bottom and needs for self-actualization, such as identity, at the very top. Before Maslow died, he was able to identify a sixth tier of need, where it was believed that very few people could achieve in their lifetime, self-transcendence. Self-transcendence is a person's ability to obtain a unitive consciousnesses through illuminations and insights gained from life altering experiences. Such a person views the world and their purpose in relation to other human beings on a more global scale and is aware of the impact they have not just within their own boundaries, but on the entire world. Two things are now making it possible to reach Maslow's previously elusive sixth level, the massive migration of people all over the world and modern technological advances in communication. With rapid globalization people are now instantly connected to communities all over the world. This led to a unique way in defining oneself, a different world view, and the birth of the global or world citizen. Global citizens are bound together with a common purpose, a global perspective, and joint responsibility for the fate of the planet. They belong to a global community that defines itself not so much by race, religion, or region, but by the definition of what it is to be human; they elevate themselves beyond the immanence to which they were previously resigned to by society. They are indeed emulating the level of transcendence Maslow described. A position where one takes responsibility for oneself and the world, a transcended freedom that knows no boundaries. (</w:t>
      </w:r>
      <w:r>
        <w:rPr>
          <w:rFonts w:eastAsia="Open Sans" w:cs="Open Sans" w:ascii="Open Sans" w:hAnsi="Open Sans"/>
          <w:b w:val="false"/>
          <w:bCs w:val="false"/>
          <w:i w:val="false"/>
          <w:iCs w:val="false"/>
          <w:caps w:val="false"/>
          <w:smallCaps w:val="false"/>
          <w:color w:val="000000" w:themeColor="text1" w:themeShade="ff" w:themeTint="ff"/>
          <w:sz w:val="19"/>
          <w:szCs w:val="19"/>
          <w:lang w:val="en-GB"/>
        </w:rPr>
        <w:t xml:space="preserve">Web.s.ebscohost.com. 2022). </w:t>
      </w:r>
    </w:p>
    <w:p>
      <w:pPr>
        <w:pStyle w:val="Normal"/>
        <w:spacing w:lineRule="auto" w:line="360"/>
        <w:jc w:val="both"/>
        <w:rPr>
          <w:rFonts w:ascii="Calibri Light" w:hAnsi="Calibri Light" w:eastAsia="Calibri Light" w:cs="Calibri Light" w:asciiTheme="majorAscii" w:cstheme="majorAscii" w:eastAsiaTheme="majorAscii" w:hAnsiTheme="majorAscii"/>
          <w:sz w:val="24"/>
          <w:szCs w:val="24"/>
          <w:lang w:val="en-US"/>
        </w:rPr>
      </w:pPr>
      <w:r>
        <w:rPr>
          <w:rFonts w:eastAsia="Calibri Light" w:cs="Calibri Light" w:ascii="Calibri Light" w:hAnsi="Calibri Light" w:asciiTheme="majorAscii" w:cstheme="majorAscii" w:eastAsiaTheme="majorAscii" w:hAnsiTheme="majorAscii"/>
          <w:color w:val="auto"/>
          <w:sz w:val="24"/>
          <w:szCs w:val="24"/>
          <w:lang w:val="en-US"/>
        </w:rPr>
        <w:t xml:space="preserve">The African Charter on the Rights and Welfare of the Child </w:t>
      </w:r>
      <w:r>
        <w:rPr>
          <w:rFonts w:eastAsia="Calibri Light" w:cs="Calibri Light" w:ascii="Calibri Light" w:hAnsi="Calibri Light"/>
          <w:b w:val="false"/>
          <w:bCs w:val="false"/>
          <w:i w:val="false"/>
          <w:iCs w:val="false"/>
          <w:caps w:val="false"/>
          <w:smallCaps w:val="false"/>
          <w:color w:val="000000" w:themeColor="text1" w:themeShade="ff" w:themeTint="ff"/>
          <w:sz w:val="24"/>
          <w:szCs w:val="24"/>
          <w:lang w:val="en-US"/>
        </w:rPr>
        <w:t>(ACRWC) states</w:t>
      </w:r>
      <w:r>
        <w:rPr>
          <w:rFonts w:eastAsia="Calibri Light" w:cs="Calibri Light" w:ascii="Calibri Light" w:hAnsi="Calibri Light" w:asciiTheme="majorAscii" w:cstheme="majorAscii" w:eastAsiaTheme="majorAscii" w:hAnsiTheme="majorAscii"/>
          <w:sz w:val="24"/>
          <w:szCs w:val="24"/>
          <w:lang w:val="en-US"/>
        </w:rPr>
        <w:t xml:space="preserve"> that the Charter of the Organization of African Unity recognises the paramountcy of Human Rights, without distinction of any kind such as race, ethnic group, colour, sex, language, religion, or political opinion, national and social origin, fortune, birth, or other status. T</w:t>
      </w:r>
      <w:r>
        <w:rPr>
          <w:rFonts w:eastAsia="Calibri Light" w:cs="Calibri Light" w:ascii="Calibri Light" w:hAnsi="Calibri Light"/>
          <w:sz w:val="24"/>
          <w:szCs w:val="24"/>
          <w:lang w:val="en-US"/>
        </w:rPr>
        <w:t>he Rights and Welfare of the African Child was adopted by the Assembly of Heads of State and Government of the Organisation of African Unity. It recognized the need to act appropriately to promote and protect the rights and welfare of the African Child. The situation of most African children remains critical due to the unique factors of their socio-economic, cultural, traditional, and developmental circumstances. It needs to be recognised that for the child to develop their personality they should grow up in a family environment and within an atmosphere of happiness, love and understanding. Recognising that the child, due to the needs of their physical and mental development, requires particular emphasis on their health, physical, mental, moral, and social development, and also requires legal protection in conditions of freedom, dignity, and security. Taking into consideration the virtues of their cultural heritage, historical background and the values of the African civilization which should inspire and characterise their reflection on the concept of the rights and welfare of the child, considering that the promotion and protection of the rights and welfare of the child also implies the performance of duties on the part of everyone, reaffirming adherence to the principles of the rights and welfare of the child contained in the declaration, conventions and other instruments of the Organisation of African Unity and in the United Nations and in particular the United Nations Convention on the Rights of the Child.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auto"/>
          <w:sz w:val="24"/>
          <w:szCs w:val="24"/>
          <w:lang w:val="en-GB"/>
        </w:rPr>
        <w:t>African union 1999).</w:t>
      </w:r>
      <w:r>
        <w:rPr>
          <w:rFonts w:eastAsia="Calibri Light" w:cs="Calibri Light" w:ascii="Calibri Light" w:hAnsi="Calibri Light" w:asciiTheme="majorAscii" w:cstheme="majorAscii" w:eastAsiaTheme="majorAscii" w:hAnsiTheme="majorAscii"/>
          <w:b w:val="false"/>
          <w:bCs w:val="false"/>
          <w:color w:val="000000" w:themeColor="text1" w:themeShade="ff" w:themeTint="ff"/>
          <w:sz w:val="24"/>
          <w:szCs w:val="24"/>
          <w:lang w:val="en-US"/>
        </w:rPr>
        <w:t xml:space="preserve"> The United Nations Sustainable Development Goals (SDGs) set out an ambitious agenda for transforming the world for people, planet, and prosperity. We share this ambition in Wales and we are committed to making our contribution to the goals. As we look back on the progress since the SDGs were agreed in 2015, we should reflect on our actions to better prepare us for Agenda 2030. (</w:t>
      </w:r>
      <w:r>
        <w:rPr>
          <w:rFonts w:eastAsia="Calibri Light" w:cs="Calibri Light" w:ascii="Calibri Light" w:hAnsi="Calibri Light" w:asciiTheme="majorAscii" w:cstheme="majorAscii" w:eastAsiaTheme="majorAscii" w:hAnsiTheme="majorAscii"/>
          <w:sz w:val="24"/>
          <w:szCs w:val="24"/>
          <w:lang w:val="en-US"/>
        </w:rPr>
        <w:t xml:space="preserve">United Nations, 2019). </w:t>
      </w:r>
    </w:p>
    <w:p>
      <w:pPr>
        <w:pStyle w:val="Normal"/>
        <w:spacing w:lineRule="auto" w:line="360"/>
        <w:jc w:val="both"/>
        <w:rPr>
          <w:rFonts w:ascii="Calibri Light" w:hAnsi="Calibri Light" w:eastAsia="Calibri Light" w:cs="Calibri Light"/>
          <w:b w:val="false"/>
          <w:b w:val="false"/>
          <w:bCs w:val="false"/>
          <w:i w:val="false"/>
          <w:i w:val="false"/>
          <w:iCs w:val="false"/>
          <w:caps w:val="false"/>
          <w:smallCaps w:val="false"/>
          <w:color w:val="111111"/>
          <w:sz w:val="24"/>
          <w:szCs w:val="24"/>
          <w:lang w:val="en-GB"/>
        </w:rPr>
      </w:pPr>
      <w:r>
        <w:rPr>
          <w:rFonts w:eastAsia="Calibri Light" w:cs="Calibri Light" w:ascii="Calibri Light" w:hAnsi="Calibri Light" w:asciiTheme="majorAscii" w:cstheme="majorAscii" w:eastAsiaTheme="majorAscii" w:hAnsiTheme="majorAscii"/>
          <w:sz w:val="24"/>
          <w:szCs w:val="24"/>
          <w:lang w:val="en-US"/>
        </w:rPr>
        <w:t xml:space="preserve">How do we </w:t>
      </w:r>
      <w:r>
        <w:rPr>
          <w:rFonts w:eastAsia="Calibri Light" w:cs="Calibri Light" w:ascii="Calibri Light" w:hAnsi="Calibri Light" w:asciiTheme="majorAscii" w:cstheme="majorAscii" w:eastAsiaTheme="majorAscii" w:hAnsiTheme="majorAscii"/>
          <w:b w:val="false"/>
          <w:bCs w:val="false"/>
          <w:sz w:val="24"/>
          <w:szCs w:val="24"/>
          <w:lang w:val="en-GB"/>
        </w:rPr>
        <w:t xml:space="preserve">analyse present empirical data on experiences teachers encounter working with children and young people across different settings in Kenya? </w:t>
      </w:r>
      <w:r>
        <w:rPr>
          <w:rFonts w:eastAsia="Calibri Light" w:cs="Calibri Light" w:ascii="Calibri Light" w:hAnsi="Calibri Light"/>
          <w:b w:val="false"/>
          <w:bCs w:val="false"/>
          <w:i w:val="false"/>
          <w:iCs w:val="false"/>
          <w:caps w:val="false"/>
          <w:smallCaps w:val="false"/>
          <w:color w:val="111111"/>
          <w:sz w:val="24"/>
          <w:szCs w:val="24"/>
          <w:lang w:val="en-GB"/>
        </w:rPr>
        <w:t>According to charity Build Africa, few teachin</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111111"/>
          <w:sz w:val="24"/>
          <w:szCs w:val="24"/>
          <w:lang w:val="en-GB"/>
        </w:rPr>
        <w:t xml:space="preserve">g staff in African countries receive any further support or training beyond their initial qualification. With resources extremely limited, and lack of age-appropriate books, games, and other materials for pupils, ultimately leading to high dropout rates and low morale and motivation in teaching staff. Contributing to these findings is Africa’s lack of access to the internet. In 2016 a survey populated showed only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auto"/>
          <w:sz w:val="24"/>
          <w:szCs w:val="24"/>
          <w:u w:val="none"/>
          <w:lang w:val="en-GB"/>
        </w:rPr>
        <w:t xml:space="preserve">25% of people living in Africa could access the internet. Enviably this has led to outdated recourses and martials. A new initiative based in Kenya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111111"/>
          <w:sz w:val="24"/>
          <w:szCs w:val="24"/>
          <w:lang w:val="en-GB"/>
        </w:rPr>
        <w:t>called Brck wish to instigate a difference. With their overall goal of getting people in Africa connected.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auto"/>
          <w:sz w:val="24"/>
          <w:szCs w:val="24"/>
          <w:u w:val="none"/>
          <w:lang w:val="en-GB"/>
        </w:rPr>
        <w:t>Design week, 2008).</w:t>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333333"/>
          <w:sz w:val="24"/>
          <w:szCs w:val="24"/>
          <w:lang w:val="en-GB"/>
        </w:rPr>
      </w:pPr>
      <w:r>
        <w:rPr>
          <w:rFonts w:eastAsia="Calibri Light" w:cs="Calibri Light" w:ascii="Calibri Light" w:hAnsi="Calibri Light" w:asciiTheme="majorAscii" w:cstheme="majorAscii" w:eastAsiaTheme="majorAscii" w:hAnsiTheme="majorAscii"/>
          <w:b w:val="false"/>
          <w:bCs w:val="false"/>
          <w:sz w:val="24"/>
          <w:szCs w:val="24"/>
          <w:lang w:val="en-GB"/>
        </w:rPr>
        <w:t xml:space="preserve">How have the policies and frameworks created to assist the inclusivity of disability education across Kenya been implemented across the different social-economic areas and geographical layout of the country. How has this been implemented within schools in urban areas, where culture is becoming more westernised and liberal. And how have these policies been implemented in rural areas where Religious and ideological beliefs are still prevalent, strong, and often the driver behind Kenya's traditional education.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202124"/>
          <w:sz w:val="24"/>
          <w:szCs w:val="24"/>
          <w:lang w:val="en-GB"/>
        </w:rPr>
        <w:t>Kenya has now passed a new policy with the aim of making education accessible, to ensure all children with disabilities have the option of going to school. Some alterations include, providing space, resources, and training in mainstream schools so that children with and without disabilities can learn alongside their peers. (</w:t>
      </w:r>
      <w:r>
        <w:rPr>
          <w:rFonts w:eastAsia="Calibri Light" w:cs="Calibri Light" w:ascii="Calibri Light" w:hAnsi="Calibri Light" w:asciiTheme="majorAscii" w:cstheme="majorAscii" w:eastAsiaTheme="majorAscii" w:hAnsiTheme="majorAscii"/>
          <w:b w:val="false"/>
          <w:bCs w:val="false"/>
          <w:color w:val="auto"/>
          <w:sz w:val="24"/>
          <w:szCs w:val="24"/>
          <w:lang w:val="en-GB"/>
        </w:rPr>
        <w:t>CBM, no date).</w:t>
      </w:r>
    </w:p>
    <w:p>
      <w:pPr>
        <w:pStyle w:val="Normal"/>
        <w:spacing w:lineRule="auto" w:line="360"/>
        <w:ind w:left="360" w:right="0" w:hanging="360"/>
        <w:jc w:val="both"/>
        <w:rPr>
          <w:rFonts w:ascii="Open Sans" w:hAnsi="Open Sans" w:eastAsia="Open Sans" w:cs="Open Sans"/>
          <w:b w:val="false"/>
          <w:b w:val="false"/>
          <w:bCs w:val="false"/>
          <w:i w:val="false"/>
          <w:i w:val="false"/>
          <w:iCs w:val="false"/>
          <w:caps w:val="false"/>
          <w:smallCaps w:val="false"/>
          <w:color w:val="000000" w:themeColor="text1" w:themeShade="ff" w:themeTint="ff"/>
          <w:sz w:val="19"/>
          <w:szCs w:val="19"/>
          <w:lang w:val="en-GB"/>
        </w:rPr>
      </w:pPr>
      <w:r>
        <w:rPr>
          <w:rFonts w:eastAsia="Open Sans" w:cs="Open Sans" w:ascii="Open Sans" w:hAnsi="Open Sans"/>
          <w:b w:val="false"/>
          <w:bCs w:val="false"/>
          <w:i w:val="false"/>
          <w:iCs w:val="false"/>
          <w:caps w:val="false"/>
          <w:smallCaps w:val="false"/>
          <w:color w:val="000000" w:themeColor="text1" w:themeShade="ff" w:themeTint="ff"/>
          <w:sz w:val="19"/>
          <w:szCs w:val="19"/>
          <w:lang w:val="en-GB"/>
        </w:rPr>
      </w:r>
    </w:p>
    <w:p>
      <w:pPr>
        <w:pStyle w:val="Normal"/>
        <w:spacing w:lineRule="auto" w:line="36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8"/>
          <w:szCs w:val="28"/>
          <w:lang w:val="en-GB"/>
        </w:rPr>
      </w:pPr>
      <w:r>
        <w:rPr>
          <w:rFonts w:eastAsia="Calibri Light" w:cs="Calibri Light" w:cstheme="majorAscii" w:eastAsiaTheme="majorAscii" w:ascii="Calibri Light" w:hAnsi="Calibri Light"/>
          <w:b w:val="false"/>
          <w:bCs w:val="false"/>
          <w:i w:val="false"/>
          <w:iCs w:val="false"/>
          <w:color w:val="333333"/>
          <w:sz w:val="28"/>
          <w:szCs w:val="28"/>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4"/>
          <w:szCs w:val="24"/>
          <w:u w:val="single"/>
          <w:lang w:val="en-GB"/>
        </w:rPr>
      </w:pPr>
      <w:r>
        <w:rPr>
          <w:rFonts w:eastAsia="Calibri Light" w:cs="Calibri Light" w:cstheme="majorAscii" w:eastAsiaTheme="majorAscii" w:ascii="Calibri Light" w:hAnsi="Calibri Light"/>
          <w:b w:val="false"/>
          <w:bCs w:val="false"/>
          <w:i w:val="false"/>
          <w:iCs w:val="false"/>
          <w:color w:val="333333"/>
          <w:sz w:val="24"/>
          <w:szCs w:val="24"/>
          <w:u w:val="single"/>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4"/>
          <w:szCs w:val="24"/>
          <w:u w:val="single"/>
          <w:lang w:val="en-GB"/>
        </w:rPr>
      </w:pPr>
      <w:r>
        <w:rPr>
          <w:rFonts w:eastAsia="Calibri Light" w:cs="Calibri Light" w:cstheme="majorAscii" w:eastAsiaTheme="majorAscii" w:ascii="Calibri Light" w:hAnsi="Calibri Light"/>
          <w:b w:val="false"/>
          <w:bCs w:val="false"/>
          <w:i w:val="false"/>
          <w:iCs w:val="false"/>
          <w:color w:val="333333"/>
          <w:sz w:val="24"/>
          <w:szCs w:val="24"/>
          <w:u w:val="single"/>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4"/>
          <w:szCs w:val="24"/>
          <w:u w:val="single"/>
          <w:lang w:val="en-GB"/>
        </w:rPr>
      </w:pPr>
      <w:r>
        <w:rPr>
          <w:rFonts w:eastAsia="Calibri Light" w:cs="Calibri Light" w:cstheme="majorAscii" w:eastAsiaTheme="majorAscii" w:ascii="Calibri Light" w:hAnsi="Calibri Light"/>
          <w:b w:val="false"/>
          <w:bCs w:val="false"/>
          <w:i w:val="false"/>
          <w:iCs w:val="false"/>
          <w:color w:val="333333"/>
          <w:sz w:val="24"/>
          <w:szCs w:val="24"/>
          <w:u w:val="single"/>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4"/>
          <w:szCs w:val="24"/>
          <w:u w:val="single"/>
          <w:lang w:val="en-GB"/>
        </w:rPr>
      </w:pPr>
      <w:r>
        <w:rPr>
          <w:rFonts w:eastAsia="Calibri Light" w:cs="Calibri Light" w:cstheme="majorAscii" w:eastAsiaTheme="majorAscii" w:ascii="Calibri Light" w:hAnsi="Calibri Light"/>
          <w:b w:val="false"/>
          <w:bCs w:val="false"/>
          <w:i w:val="false"/>
          <w:iCs w:val="false"/>
          <w:color w:val="333333"/>
          <w:sz w:val="24"/>
          <w:szCs w:val="24"/>
          <w:u w:val="single"/>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4"/>
          <w:szCs w:val="24"/>
          <w:u w:val="single"/>
          <w:lang w:val="en-GB"/>
        </w:rPr>
      </w:pPr>
      <w:r>
        <w:rPr>
          <w:rFonts w:eastAsia="Calibri Light" w:cs="Calibri Light" w:cstheme="majorAscii" w:eastAsiaTheme="majorAscii" w:ascii="Calibri Light" w:hAnsi="Calibri Light"/>
          <w:b w:val="false"/>
          <w:bCs w:val="false"/>
          <w:i w:val="false"/>
          <w:iCs w:val="false"/>
          <w:color w:val="333333"/>
          <w:sz w:val="24"/>
          <w:szCs w:val="24"/>
          <w:u w:val="single"/>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4"/>
          <w:szCs w:val="24"/>
          <w:u w:val="single"/>
          <w:lang w:val="en-GB"/>
        </w:rPr>
      </w:pPr>
      <w:r>
        <w:rPr>
          <w:rFonts w:eastAsia="Calibri Light" w:cs="Calibri Light" w:cstheme="majorAscii" w:eastAsiaTheme="majorAscii" w:ascii="Calibri Light" w:hAnsi="Calibri Light"/>
          <w:b w:val="false"/>
          <w:bCs w:val="false"/>
          <w:i w:val="false"/>
          <w:iCs w:val="false"/>
          <w:color w:val="333333"/>
          <w:sz w:val="24"/>
          <w:szCs w:val="24"/>
          <w:u w:val="single"/>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4"/>
          <w:szCs w:val="24"/>
          <w:u w:val="single"/>
          <w:lang w:val="en-GB"/>
        </w:rPr>
      </w:pPr>
      <w:r>
        <w:rPr>
          <w:rFonts w:eastAsia="Calibri Light" w:cs="Calibri Light" w:cstheme="majorAscii" w:eastAsiaTheme="majorAscii" w:ascii="Calibri Light" w:hAnsi="Calibri Light"/>
          <w:b w:val="false"/>
          <w:bCs w:val="false"/>
          <w:i w:val="false"/>
          <w:iCs w:val="false"/>
          <w:color w:val="333333"/>
          <w:sz w:val="24"/>
          <w:szCs w:val="24"/>
          <w:u w:val="single"/>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4"/>
          <w:szCs w:val="24"/>
          <w:u w:val="single"/>
          <w:lang w:val="en-GB"/>
        </w:rPr>
      </w:pPr>
      <w:r>
        <w:rPr>
          <w:rFonts w:eastAsia="Calibri Light" w:cs="Calibri Light" w:ascii="Calibri Light" w:hAnsi="Calibri Light" w:asciiTheme="majorAscii" w:cstheme="majorAscii" w:eastAsiaTheme="majorAscii" w:hAnsiTheme="majorAscii"/>
          <w:b w:val="false"/>
          <w:bCs w:val="false"/>
          <w:i w:val="false"/>
          <w:iCs w:val="false"/>
          <w:color w:val="333333"/>
          <w:sz w:val="24"/>
          <w:szCs w:val="24"/>
          <w:u w:val="single"/>
          <w:lang w:val="en-GB"/>
        </w:rPr>
        <w:t>References</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olor w:val="333333"/>
          <w:sz w:val="24"/>
          <w:szCs w:val="24"/>
          <w:u w:val="single"/>
          <w:lang w:val="en-GB"/>
        </w:rPr>
      </w:pPr>
      <w:r>
        <w:rPr>
          <w:rFonts w:eastAsia="Calibri Light" w:cs="Calibri Light" w:cstheme="majorAscii" w:eastAsiaTheme="majorAscii" w:ascii="Calibri Light" w:hAnsi="Calibri Light"/>
          <w:b w:val="false"/>
          <w:bCs w:val="false"/>
          <w:i w:val="false"/>
          <w:iCs w:val="false"/>
          <w:color w:val="333333"/>
          <w:sz w:val="24"/>
          <w:szCs w:val="24"/>
          <w:u w:val="single"/>
          <w:lang w:val="en-GB"/>
        </w:rPr>
      </w:r>
    </w:p>
    <w:p>
      <w:pPr>
        <w:pStyle w:val="Normal"/>
        <w:spacing w:lineRule="auto" w:line="24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Ace Africa (2016).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Dismantling Barriers to Education in Rural Kenya.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Available at: </w:t>
      </w:r>
      <w:r>
        <w:fldChar w:fldCharType="begin"/>
      </w:r>
      <w:r>
        <w:rPr>
          <w:rStyle w:val="InternetLink"/>
          <w:smallCaps w:val="false"/>
          <w:caps w:val="false"/>
          <w:sz w:val="24"/>
          <w:i w:val="false"/>
          <w:b w:val="false"/>
          <w:szCs w:val="24"/>
          <w:iCs w:val="false"/>
          <w:bCs w:val="false"/>
          <w:rFonts w:eastAsia="Calibri Light" w:cs="Calibri Light" w:ascii="Calibri Light" w:hAnsi="Calibri Light"/>
        </w:rPr>
        <w:instrText> HYPERLINK "https://www.ace-africa.org/dismantling-barriers-to-education-in-rural-kenya/" \l ":~:text=Although education is theoretically free,to education in rural Kenya"</w:instrText>
      </w:r>
      <w:r>
        <w:rPr>
          <w:rStyle w:val="InternetLink"/>
          <w:smallCaps w:val="false"/>
          <w:caps w:val="false"/>
          <w:sz w:val="24"/>
          <w:i w:val="false"/>
          <w:b w:val="false"/>
          <w:szCs w:val="24"/>
          <w:iCs w:val="false"/>
          <w:bCs w:val="false"/>
          <w:rFonts w:eastAsia="Calibri Light" w:cs="Calibri Light" w:ascii="Calibri Light" w:hAnsi="Calibri Light"/>
        </w:rPr>
        <w:fldChar w:fldCharType="separate"/>
      </w:r>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https://www.ace-africa.org/dismantling-barriers-to-education-in-rural-kenya/#:~:text=Although%20education%20is%20theoretically%20free,to%20education%20in%20rural%20Kenya</w:t>
      </w:r>
      <w:r>
        <w:rPr>
          <w:rStyle w:val="InternetLink"/>
          <w:smallCaps w:val="false"/>
          <w:caps w:val="false"/>
          <w:sz w:val="24"/>
          <w:i w:val="false"/>
          <w:b w:val="false"/>
          <w:szCs w:val="24"/>
          <w:iCs w:val="false"/>
          <w:bCs w:val="false"/>
          <w:rFonts w:eastAsia="Calibri Light" w:cs="Calibri Light" w:ascii="Calibri Light" w:hAnsi="Calibri Light"/>
        </w:rPr>
        <w:fldChar w:fldCharType="end"/>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31 January 2022). </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auto"/>
          <w:sz w:val="24"/>
          <w:szCs w:val="24"/>
          <w:lang w:val="en-GB"/>
        </w:rPr>
        <w:t>African union (1999). The</w:t>
      </w:r>
      <w:r>
        <w:rPr>
          <w:rFonts w:eastAsia="Calibri Light" w:cs="Calibri Light" w:ascii="Calibri Light" w:hAnsi="Calibri Light" w:asciiTheme="majorAscii" w:cstheme="majorAscii" w:eastAsiaTheme="majorAscii" w:hAnsiTheme="majorAscii"/>
          <w:b w:val="false"/>
          <w:bCs w:val="false"/>
          <w:i/>
          <w:iCs/>
          <w:caps w:val="false"/>
          <w:smallCaps w:val="false"/>
          <w:strike w:val="false"/>
          <w:dstrike w:val="false"/>
          <w:color w:val="auto"/>
          <w:sz w:val="24"/>
          <w:szCs w:val="24"/>
          <w:u w:val="none"/>
          <w:lang w:val="en-GB"/>
        </w:rPr>
        <w:t xml:space="preserve"> African Charter on the Rights and Welfare of the Child (ACRWC).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auto"/>
          <w:sz w:val="24"/>
          <w:szCs w:val="24"/>
          <w:u w:val="none"/>
          <w:lang w:val="en-GB"/>
        </w:rPr>
        <w:t xml:space="preserve">Available at: </w:t>
      </w:r>
      <w:hyperlink r:id="rId2">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4471C4"/>
            <w:sz w:val="24"/>
            <w:szCs w:val="24"/>
            <w:lang w:val="en-GB"/>
          </w:rPr>
          <w:t>https://au.int/en/documents-45</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auto"/>
          <w:sz w:val="24"/>
          <w:szCs w:val="24"/>
          <w:u w:val="none"/>
          <w:lang w:val="en-GB"/>
        </w:rPr>
        <w:t xml:space="preserve"> (Accessed 9</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auto"/>
          <w:sz w:val="24"/>
          <w:szCs w:val="24"/>
          <w:u w:val="none"/>
          <w:vertAlign w:val="superscript"/>
          <w:lang w:val="en-GB"/>
        </w:rPr>
        <w:t>th</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strike w:val="false"/>
          <w:dstrike w:val="false"/>
          <w:color w:val="auto"/>
          <w:sz w:val="24"/>
          <w:szCs w:val="24"/>
          <w:u w:val="none"/>
          <w:lang w:val="en-GB"/>
        </w:rPr>
        <w:t xml:space="preserve"> February 2022). </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strike w:val="false"/>
          <w:dstrike w:val="false"/>
          <w:color w:val="auto"/>
          <w:sz w:val="24"/>
          <w:szCs w:val="24"/>
          <w:u w:val="none"/>
          <w:lang w:val="en-GB"/>
        </w:rPr>
      </w:pPr>
      <w:r>
        <w:rPr>
          <w:rFonts w:eastAsia="Calibri Light" w:cs="Calibri Light" w:cstheme="majorAscii" w:eastAsiaTheme="majorAscii" w:ascii="Calibri Light" w:hAnsi="Calibri Light"/>
          <w:b w:val="false"/>
          <w:bCs w:val="false"/>
          <w:i w:val="false"/>
          <w:iCs w:val="false"/>
          <w:caps w:val="false"/>
          <w:smallCaps w:val="false"/>
          <w:strike w:val="false"/>
          <w:dstrike w:val="false"/>
          <w:color w:val="auto"/>
          <w:sz w:val="24"/>
          <w:szCs w:val="24"/>
          <w:u w:val="none"/>
          <w:lang w:val="en-GB"/>
        </w:rPr>
      </w:r>
    </w:p>
    <w:p>
      <w:pPr>
        <w:pStyle w:val="Heading1"/>
        <w:rPr/>
      </w:pPr>
      <w:r>
        <w:rPr>
          <w:color w:val="auto"/>
          <w:sz w:val="24"/>
          <w:szCs w:val="24"/>
          <w:lang w:val="en-GB"/>
        </w:rPr>
        <w:t>CBM (no date).</w:t>
      </w:r>
      <w:r>
        <w:rPr>
          <w:lang w:val="en-GB"/>
        </w:rPr>
        <w:t xml:space="preserve"> </w:t>
      </w:r>
      <w:r>
        <w:rPr>
          <w:rFonts w:eastAsia="Calibri Light" w:cs="Calibri Light" w:cstheme="majorAscii" w:eastAsiaTheme="majorAscii"/>
          <w:b w:val="false"/>
          <w:bCs w:val="false"/>
          <w:i/>
          <w:iCs/>
          <w:caps w:val="false"/>
          <w:smallCaps w:val="false"/>
          <w:color w:val="333333"/>
          <w:sz w:val="24"/>
          <w:szCs w:val="24"/>
          <w:lang w:val="en-GB"/>
        </w:rPr>
        <w:t>CBM Helps Kenya Implement its New Inclusive Education Policy.</w:t>
      </w:r>
      <w:r>
        <w:rPr>
          <w:rFonts w:eastAsia="Calibri Light" w:cs="Calibri Light" w:cstheme="majorAscii" w:eastAsiaTheme="majorAscii"/>
          <w:b w:val="false"/>
          <w:bCs w:val="false"/>
          <w:i w:val="false"/>
          <w:iCs w:val="false"/>
          <w:caps w:val="false"/>
          <w:smallCaps w:val="false"/>
          <w:color w:val="333333"/>
          <w:sz w:val="24"/>
          <w:szCs w:val="24"/>
          <w:lang w:val="en-GB"/>
        </w:rPr>
        <w:t xml:space="preserve"> Available at: </w:t>
      </w:r>
      <w:hyperlink r:id="rId3">
        <w:r>
          <w:rPr>
            <w:rStyle w:val="InternetLink"/>
            <w:rFonts w:eastAsia="Calibri Light" w:cs="Calibri Light" w:cstheme="majorAscii" w:eastAsiaTheme="majorAscii"/>
            <w:b w:val="false"/>
            <w:bCs w:val="false"/>
            <w:i w:val="false"/>
            <w:iCs w:val="false"/>
            <w:caps w:val="false"/>
            <w:smallCaps w:val="false"/>
            <w:sz w:val="24"/>
            <w:szCs w:val="24"/>
            <w:lang w:val="en-GB"/>
          </w:rPr>
          <w:t>https://www.cbm.org/news/news/news-2019/cbm-helps-kenya-implement-its-new-inclusive-education-policy/</w:t>
        </w:r>
      </w:hyperlink>
      <w:r>
        <w:rPr>
          <w:rFonts w:eastAsia="Calibri Light" w:cs="Calibri Light" w:cstheme="majorAscii" w:eastAsiaTheme="majorAscii"/>
          <w:b w:val="false"/>
          <w:bCs w:val="false"/>
          <w:i w:val="false"/>
          <w:iCs w:val="false"/>
          <w:caps w:val="false"/>
          <w:smallCaps w:val="false"/>
          <w:color w:val="333333"/>
          <w:sz w:val="24"/>
          <w:szCs w:val="24"/>
          <w:lang w:val="en-GB"/>
        </w:rPr>
        <w:t xml:space="preserve"> (Accessed 18</w:t>
      </w:r>
      <w:r>
        <w:rPr>
          <w:rFonts w:eastAsia="Calibri Light" w:cs="Calibri Light" w:cstheme="majorAscii" w:eastAsiaTheme="majorAscii"/>
          <w:b w:val="false"/>
          <w:bCs w:val="false"/>
          <w:i w:val="false"/>
          <w:iCs w:val="false"/>
          <w:caps w:val="false"/>
          <w:smallCaps w:val="false"/>
          <w:color w:val="333333"/>
          <w:sz w:val="24"/>
          <w:szCs w:val="24"/>
          <w:vertAlign w:val="superscript"/>
          <w:lang w:val="en-GB"/>
        </w:rPr>
        <w:t>th</w:t>
      </w:r>
      <w:r>
        <w:rPr>
          <w:rFonts w:eastAsia="Calibri Light" w:cs="Calibri Light" w:cstheme="majorAscii" w:eastAsiaTheme="majorAscii"/>
          <w:b w:val="false"/>
          <w:bCs w:val="false"/>
          <w:i w:val="false"/>
          <w:iCs w:val="false"/>
          <w:caps w:val="false"/>
          <w:smallCaps w:val="false"/>
          <w:color w:val="333333"/>
          <w:sz w:val="24"/>
          <w:szCs w:val="24"/>
          <w:lang w:val="en-GB"/>
        </w:rPr>
        <w:t xml:space="preserve"> February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strike w:val="false"/>
          <w:dstrike w:val="false"/>
          <w:color w:val="auto"/>
          <w:sz w:val="24"/>
          <w:szCs w:val="24"/>
          <w:u w:val="none"/>
          <w:lang w:val="en-GB"/>
        </w:rPr>
      </w:pPr>
      <w:r>
        <w:rPr>
          <w:rFonts w:eastAsia="Calibri Light" w:cs="Calibri Light" w:cstheme="majorAscii" w:eastAsiaTheme="majorAscii" w:ascii="Calibri Light" w:hAnsi="Calibri Light"/>
          <w:b w:val="false"/>
          <w:bCs w:val="false"/>
          <w:i w:val="false"/>
          <w:iCs w:val="false"/>
          <w:caps w:val="false"/>
          <w:smallCaps w:val="false"/>
          <w:strike w:val="false"/>
          <w:dstrike w:val="false"/>
          <w:color w:val="auto"/>
          <w:sz w:val="24"/>
          <w:szCs w:val="24"/>
          <w:u w:val="none"/>
          <w:lang w:val="en-GB"/>
        </w:rPr>
      </w:r>
    </w:p>
    <w:p>
      <w:pPr>
        <w:pStyle w:val="Heading1"/>
        <w:spacing w:lineRule="auto" w:line="240"/>
        <w:jc w:val="both"/>
        <w:rPr/>
      </w:pPr>
      <w:r>
        <w:rPr>
          <w:rFonts w:eastAsia="Calibri Light" w:cs="Calibri Light" w:cstheme="majorAscii" w:eastAsiaTheme="majorAscii"/>
          <w:b w:val="false"/>
          <w:bCs w:val="false"/>
          <w:i w:val="false"/>
          <w:iCs w:val="false"/>
          <w:caps w:val="false"/>
          <w:smallCaps w:val="false"/>
          <w:strike w:val="false"/>
          <w:dstrike w:val="false"/>
          <w:color w:val="auto"/>
          <w:sz w:val="24"/>
          <w:szCs w:val="24"/>
          <w:u w:val="none"/>
          <w:lang w:val="en-GB"/>
        </w:rPr>
        <w:t xml:space="preserve">Design week (2008). </w:t>
      </w:r>
      <w:r>
        <w:rPr>
          <w:rFonts w:eastAsia="Calibri Light" w:cs="Calibri Light"/>
          <w:b w:val="false"/>
          <w:bCs w:val="false"/>
          <w:i/>
          <w:iCs/>
          <w:caps w:val="false"/>
          <w:smallCaps w:val="false"/>
          <w:color w:val="111111"/>
          <w:sz w:val="24"/>
          <w:szCs w:val="24"/>
          <w:lang w:val="en-GB"/>
        </w:rPr>
        <w:t xml:space="preserve">The Kenyan start-up improving education for children in Africa. </w:t>
      </w:r>
      <w:r>
        <w:rPr>
          <w:rFonts w:eastAsia="Calibri Light" w:cs="Calibri Light"/>
          <w:b w:val="false"/>
          <w:bCs w:val="false"/>
          <w:i w:val="false"/>
          <w:iCs w:val="false"/>
          <w:caps w:val="false"/>
          <w:smallCaps w:val="false"/>
          <w:color w:val="111111"/>
          <w:sz w:val="24"/>
          <w:szCs w:val="24"/>
          <w:lang w:val="en-GB"/>
        </w:rPr>
        <w:t xml:space="preserve">Available at: </w:t>
      </w:r>
      <w:hyperlink r:id="rId4">
        <w:r>
          <w:rPr>
            <w:rStyle w:val="InternetLink"/>
            <w:rFonts w:eastAsia="Calibri Light" w:cs="Calibri Light"/>
            <w:b w:val="false"/>
            <w:bCs w:val="false"/>
            <w:i w:val="false"/>
            <w:iCs w:val="false"/>
            <w:caps w:val="false"/>
            <w:smallCaps w:val="false"/>
            <w:sz w:val="24"/>
            <w:szCs w:val="24"/>
            <w:lang w:val="en-GB"/>
          </w:rPr>
          <w:t>https://www.designweek.co.uk/issues/19-25-february-2018/kenyan-start-improving-education-children-africa/</w:t>
        </w:r>
      </w:hyperlink>
      <w:r>
        <w:rPr>
          <w:rFonts w:eastAsia="Calibri Light" w:cs="Calibri Light"/>
          <w:b w:val="false"/>
          <w:bCs w:val="false"/>
          <w:i w:val="false"/>
          <w:iCs w:val="false"/>
          <w:caps w:val="false"/>
          <w:smallCaps w:val="false"/>
          <w:color w:val="111111"/>
          <w:sz w:val="24"/>
          <w:szCs w:val="24"/>
          <w:lang w:val="en-GB"/>
        </w:rPr>
        <w:t xml:space="preserve"> (Accessed 18</w:t>
      </w:r>
      <w:r>
        <w:rPr>
          <w:rFonts w:eastAsia="Calibri Light" w:cs="Calibri Light"/>
          <w:b w:val="false"/>
          <w:bCs w:val="false"/>
          <w:i w:val="false"/>
          <w:iCs w:val="false"/>
          <w:caps w:val="false"/>
          <w:smallCaps w:val="false"/>
          <w:color w:val="111111"/>
          <w:sz w:val="24"/>
          <w:szCs w:val="24"/>
          <w:vertAlign w:val="superscript"/>
          <w:lang w:val="en-GB"/>
        </w:rPr>
        <w:t>th</w:t>
      </w:r>
      <w:r>
        <w:rPr>
          <w:rFonts w:eastAsia="Calibri Light" w:cs="Calibri Light"/>
          <w:b w:val="false"/>
          <w:bCs w:val="false"/>
          <w:i w:val="false"/>
          <w:iCs w:val="false"/>
          <w:caps w:val="false"/>
          <w:smallCaps w:val="false"/>
          <w:color w:val="111111"/>
          <w:sz w:val="24"/>
          <w:szCs w:val="24"/>
          <w:lang w:val="en-GB"/>
        </w:rPr>
        <w:t xml:space="preserve"> February 2022). </w:t>
      </w:r>
    </w:p>
    <w:p>
      <w:pPr>
        <w:pStyle w:val="Normal"/>
        <w:rPr>
          <w:lang w:val="en-GB"/>
        </w:rPr>
      </w:pPr>
      <w:r>
        <w:rPr>
          <w:lang w:val="en-GB"/>
        </w:rPr>
      </w:r>
    </w:p>
    <w:p>
      <w:pPr>
        <w:pStyle w:val="Normal"/>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Emerald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Barriers and enablers of inclusion for young autistic learners: lessons from the Polish experiences of teachers and related professionals Emerald Insight</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Available at: </w:t>
      </w:r>
      <w:hyperlink r:id="rId5">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https://www.emerald.com/insight/search?q=globalisation+in+kenya&amp;showAll=true</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13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Gov.wales. (2022). </w:t>
      </w:r>
      <w:r>
        <w:rPr>
          <w:rFonts w:eastAsia="Calibri Light" w:cs="Calibri Light" w:ascii="Calibri Light" w:hAnsi="Calibri Light" w:asciiTheme="majorAscii" w:cstheme="majorAscii" w:eastAsiaTheme="majorAscii" w:hAnsiTheme="majorAscii"/>
          <w:i/>
          <w:iCs/>
          <w:sz w:val="24"/>
          <w:szCs w:val="24"/>
          <w:lang w:val="en-GB"/>
        </w:rPr>
        <w:t>Education in Wales: Our national mission</w:t>
      </w:r>
      <w:r>
        <w:rPr>
          <w:rFonts w:eastAsia="Calibri Light" w:cs="Calibri Light" w:ascii="Calibri Light" w:hAnsi="Calibri Light" w:asciiTheme="majorAscii" w:cstheme="majorAscii" w:eastAsiaTheme="majorAscii" w:hAnsiTheme="majorAscii"/>
          <w:sz w:val="24"/>
          <w:szCs w:val="24"/>
          <w:lang w:val="en-GB"/>
        </w:rPr>
        <w:t xml:space="preserv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Available at: </w:t>
      </w:r>
      <w:hyperlink r:id="rId6">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https://gov.wales/sites/default/files/publications/2018-03/education-in-wales-our-national-mission.pdf</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22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Global Education.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What is global education?</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Available at: </w:t>
      </w:r>
      <w:hyperlink r:id="rId7">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https://globaleducation.edu.au/global-education/what-are-global-perspectives.html</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13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Glover, A. and Peters, C.,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A Whole Sector Approach: Education for Sustainable Development and Global Citizenship in Wales</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HonorsGradU.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 xml:space="preserve">The Importance </w:t>
      </w:r>
      <w:bookmarkStart w:id="1" w:name="_Int_bBt9jjgF"/>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Of</w:t>
      </w:r>
      <w:bookmarkEnd w:id="1"/>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 xml:space="preserve"> Students Having </w:t>
      </w:r>
      <w:bookmarkStart w:id="2" w:name="_Int_DGheZuD2"/>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A</w:t>
      </w:r>
      <w:bookmarkEnd w:id="2"/>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 xml:space="preserve"> Global Perspective</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Available at: </w:t>
      </w:r>
      <w:hyperlink r:id="rId8">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US"/>
          </w:rPr>
          <w:t>https://www.honorsgradu.com/the-importance-of-students-having-a-global-perspective/</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(Accessed 13 January 2022).</w:t>
      </w:r>
    </w:p>
    <w:p>
      <w:pPr>
        <w:pStyle w:val="Normal"/>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US"/>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US"/>
        </w:rPr>
      </w:r>
    </w:p>
    <w:p>
      <w:pPr>
        <w:pStyle w:val="Normal"/>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US"/>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Kiru, E., (2018). Special Education in Kenya.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Intervention in School and Clinic</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54(3), pp.181-188.</w:t>
      </w:r>
    </w:p>
    <w:p>
      <w:pPr>
        <w:pStyle w:val="Normal"/>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US"/>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US"/>
        </w:rPr>
      </w:r>
    </w:p>
    <w:p>
      <w:pPr>
        <w:pStyle w:val="Normal"/>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Nehemia team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SCHOOL FEES AND POVERTY – BARRIERS TO EDUCATION IN KENYA.</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Available at: </w:t>
      </w:r>
      <w:hyperlink r:id="rId9">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US"/>
          </w:rPr>
          <w:t>https://nehemia-team.org/en/kenya-en/school-fees-and-poverty-barriers-to-education-in-kenya/</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(Accessed 31 January 2022).</w:t>
      </w:r>
    </w:p>
    <w:p>
      <w:pPr>
        <w:pStyle w:val="Normal"/>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US"/>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US"/>
        </w:rPr>
      </w:r>
    </w:p>
    <w:p>
      <w:pPr>
        <w:pStyle w:val="Normal"/>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OECD events. (No date).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 xml:space="preserve">Key upcoming OECD events.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Available at: </w:t>
      </w:r>
      <w:hyperlink r:id="rId10">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US"/>
          </w:rPr>
          <w:t>https://www.oecd.org/about/upcoming-events/</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(Accessed on 20</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vertAlign w:val="superscript"/>
          <w:lang w:val="en-US"/>
        </w:rPr>
        <w:t>th</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February 2022). </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Political Science Notes.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US"/>
        </w:rPr>
        <w:t xml:space="preserve">8 Theories of Globalization – Explained! </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Available at: </w:t>
      </w:r>
      <w:hyperlink r:id="rId11">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US"/>
          </w:rPr>
          <w:t>https://www.politicalsciencenotes.com/articles/8-theories-of-globalization-explained/642</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US"/>
        </w:rPr>
        <w:t xml:space="preserve">  (Accessed 23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Savethechildren.org.uk.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UN Convention </w:t>
      </w:r>
      <w:bookmarkStart w:id="3" w:name="_Int_WXmCwjCn"/>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On</w:t>
      </w:r>
      <w:bookmarkEnd w:id="3"/>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 </w:t>
      </w:r>
      <w:bookmarkStart w:id="4" w:name="_Int_lEzRv1O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The</w:t>
      </w:r>
      <w:bookmarkEnd w:id="4"/>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 Rights </w:t>
      </w:r>
      <w:bookmarkStart w:id="5" w:name="_Int_TLGLwPMh"/>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Of</w:t>
      </w:r>
      <w:bookmarkEnd w:id="5"/>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 </w:t>
      </w:r>
      <w:bookmarkStart w:id="6" w:name="_Int_ZeO4wnqv"/>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The</w:t>
      </w:r>
      <w:bookmarkEnd w:id="6"/>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 xml:space="preserve"> Child</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Available at: </w:t>
      </w:r>
      <w:hyperlink r:id="rId12">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www.savethechildren.org.uk/?cid=pse-bi_A17038001-go_001-1V64925CR&amp;ppc=true&amp;matchtype=p&amp;s_keyword=save%20the%20childrens&amp;adposition=&amp;s_kwcid=AL!9048!3!!p!!o!!save%20the%20childrens&amp;&amp;ppc=true&amp;matchtype=p&amp;s_keyword=save%20the%20childrens&amp;adposition=&amp;msclkid=adef1ce05fbe159b0dbe7ee3a3529fb6&amp;utm_source=bing&amp;utm_medium=cpc&amp;utm_campaign=Bing_Paid_Brand_BAU_Brand_Core_Exact&amp;utm_term=save%20the%20childrens&amp;utm_content=Google_Pa_Brand_BAU_Brand_Misspells_Exact&amp;gclid=adef1ce05fbe159b0dbe7ee3a3529fb6&amp;gclsrc=3p.ds</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23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The United Nations in Kenya.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Sustainable Development Goals</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Available at: </w:t>
      </w:r>
      <w:hyperlink r:id="rId13">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https://kenya.un.org/en/sdgs</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31 January 2022).</w:t>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pPr>
      <w:r>
        <w:rPr>
          <w:rFonts w:eastAsia="Calibri Light" w:cs="Calibri Light" w:ascii="Calibri Light" w:hAnsi="Calibri Light" w:asciiTheme="majorAscii" w:cstheme="majorAscii" w:eastAsiaTheme="majorAscii" w:hAnsiTheme="majorAscii"/>
          <w:sz w:val="24"/>
          <w:szCs w:val="24"/>
          <w:lang w:val="en-GB"/>
        </w:rPr>
        <w:t xml:space="preserve">UNESCO (2000) World Education Report 2000: </w:t>
      </w:r>
      <w:r>
        <w:rPr>
          <w:rFonts w:eastAsia="Calibri Light" w:cs="Calibri Light" w:ascii="Calibri Light" w:hAnsi="Calibri Light" w:asciiTheme="majorAscii" w:cstheme="majorAscii" w:eastAsiaTheme="majorAscii" w:hAnsiTheme="majorAscii"/>
          <w:i/>
          <w:iCs/>
          <w:sz w:val="24"/>
          <w:szCs w:val="24"/>
          <w:lang w:val="en-GB"/>
        </w:rPr>
        <w:t>The Right to Education — Towards Education for All throughout Life</w:t>
      </w:r>
      <w:r>
        <w:rPr>
          <w:rFonts w:eastAsia="Calibri Light" w:cs="Calibri Light" w:ascii="Calibri Light" w:hAnsi="Calibri Light" w:asciiTheme="majorAscii" w:cstheme="majorAscii" w:eastAsiaTheme="majorAscii" w:hAnsiTheme="majorAscii"/>
          <w:sz w:val="24"/>
          <w:szCs w:val="24"/>
          <w:lang w:val="en-GB"/>
        </w:rPr>
        <w:t xml:space="preserve">” Available at: </w:t>
      </w:r>
      <w:hyperlink r:id="rId14">
        <w:r>
          <w:rPr>
            <w:rStyle w:val="InternetLink"/>
            <w:rFonts w:eastAsia="Calibri Light" w:cs="Calibri Light" w:ascii="Calibri Light" w:hAnsi="Calibri Light" w:asciiTheme="majorAscii" w:cstheme="majorAscii" w:eastAsiaTheme="majorAscii" w:hAnsiTheme="majorAscii"/>
            <w:sz w:val="24"/>
            <w:szCs w:val="24"/>
            <w:lang w:val="en-GB"/>
          </w:rPr>
          <w:t>https://www.right-to-education.org/resource/world-education-report-2000-right-education-towards-education-all-throughout-life</w:t>
        </w:r>
      </w:hyperlink>
      <w:r>
        <w:rPr>
          <w:rFonts w:eastAsia="Calibri Light" w:cs="Calibri Light" w:ascii="Calibri Light" w:hAnsi="Calibri Light" w:asciiTheme="majorAscii" w:cstheme="majorAscii" w:eastAsiaTheme="majorAscii" w:hAnsiTheme="majorAscii"/>
          <w:sz w:val="24"/>
          <w:szCs w:val="24"/>
          <w:lang w:val="en-GB"/>
        </w:rPr>
        <w:t xml:space="preserve"> (Accessed 09 February 2022).</w:t>
      </w:r>
    </w:p>
    <w:p>
      <w:pPr>
        <w:pStyle w:val="Normal"/>
        <w:spacing w:lineRule="auto" w:line="216"/>
        <w:jc w:val="both"/>
        <w:rPr>
          <w:rFonts w:ascii="Calibri Light" w:hAnsi="Calibri Light" w:eastAsia="Calibri Light" w:cs="Calibri Light" w:asciiTheme="majorAscii" w:cstheme="majorAscii" w:eastAsiaTheme="majorAscii" w:hAnsiTheme="majorAscii"/>
          <w:sz w:val="24"/>
          <w:szCs w:val="24"/>
          <w:lang w:val="en-GB"/>
        </w:rPr>
      </w:pPr>
      <w:r>
        <w:rPr>
          <w:rFonts w:eastAsia="Calibri Light" w:cs="Calibri Light" w:cstheme="majorAscii" w:eastAsiaTheme="majorAscii" w:ascii="Calibri Light" w:hAnsi="Calibri Light"/>
          <w:sz w:val="24"/>
          <w:szCs w:val="24"/>
          <w:lang w:val="en-GB"/>
        </w:rPr>
      </w:r>
    </w:p>
    <w:p>
      <w:pPr>
        <w:pStyle w:val="Normal"/>
        <w:spacing w:lineRule="auto" w:line="216"/>
        <w:jc w:val="both"/>
        <w:rPr/>
      </w:pP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Unicef UK. (2022). </w:t>
      </w:r>
      <w:r>
        <w:rPr>
          <w:rFonts w:eastAsia="Calibri Light" w:cs="Calibri Light" w:ascii="Calibri Light" w:hAnsi="Calibri Light" w:asciiTheme="majorAscii" w:cstheme="majorAscii" w:eastAsiaTheme="majorAscii" w:hAnsiTheme="majorAscii"/>
          <w:b w:val="false"/>
          <w:bCs w:val="false"/>
          <w:i/>
          <w:iCs/>
          <w:caps w:val="false"/>
          <w:smallCaps w:val="false"/>
          <w:color w:val="000000" w:themeColor="text1" w:themeShade="ff" w:themeTint="ff"/>
          <w:sz w:val="24"/>
          <w:szCs w:val="24"/>
          <w:lang w:val="en-GB"/>
        </w:rPr>
        <w:t>UN Convention on the Rights of the Child (UNCRC)</w:t>
      </w:r>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Available at: </w:t>
      </w:r>
      <w:hyperlink r:id="rId15">
        <w:r>
          <w:rPr>
            <w:rStyle w:val="InternetLink"/>
            <w:rFonts w:eastAsia="Calibri Light" w:cs="Calibri Light" w:ascii="Calibri Light" w:hAnsi="Calibri Light" w:asciiTheme="majorAscii" w:cstheme="majorAscii" w:eastAsiaTheme="majorAscii" w:hAnsiTheme="majorAscii"/>
            <w:b w:val="false"/>
            <w:bCs w:val="false"/>
            <w:i w:val="false"/>
            <w:iCs w:val="false"/>
            <w:caps w:val="false"/>
            <w:smallCaps w:val="false"/>
            <w:sz w:val="24"/>
            <w:szCs w:val="24"/>
            <w:lang w:val="en-GB"/>
          </w:rPr>
          <w:t>https://www.unicef.org.uk/?sisearchengine=377&amp;siproduct=Campaign_%2A%2ABrand-Unicef-Broad</w:t>
        </w:r>
      </w:hyperlink>
      <w:r>
        <w:rPr>
          <w:rFonts w:eastAsia="Calibri Light" w:cs="Calibri Light" w:ascii="Calibri Light" w:hAnsi="Calibri Light" w:asciiTheme="majorAscii" w:cstheme="majorAscii" w:eastAsiaTheme="majorAscii" w:hAnsiTheme="majorAscii"/>
          <w:b w:val="false"/>
          <w:bCs w:val="false"/>
          <w:i w:val="false"/>
          <w:iCs w:val="false"/>
          <w:caps w:val="false"/>
          <w:smallCaps w:val="false"/>
          <w:color w:val="000000" w:themeColor="text1" w:themeShade="ff" w:themeTint="ff"/>
          <w:sz w:val="24"/>
          <w:szCs w:val="24"/>
          <w:lang w:val="en-GB"/>
        </w:rPr>
        <w:t xml:space="preserve">  (Accessed 23 January 2022).</w:t>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rPr/>
      </w:pPr>
      <w:r>
        <w:rPr>
          <w:rFonts w:eastAsia="Calibri Light" w:cs="Calibri Light" w:ascii="Calibri Light" w:hAnsi="Calibri Light" w:asciiTheme="majorAscii" w:cstheme="majorAscii" w:eastAsiaTheme="majorAscii" w:hAnsiTheme="majorAscii"/>
          <w:sz w:val="24"/>
          <w:szCs w:val="24"/>
          <w:lang w:val="en-US"/>
        </w:rPr>
        <w:t xml:space="preserve">United Nations. (2019) </w:t>
      </w:r>
      <w:r>
        <w:rPr>
          <w:rFonts w:eastAsia="Calibri Light" w:cs="Calibri Light" w:ascii="Calibri Light" w:hAnsi="Calibri Light" w:asciiTheme="majorAscii" w:cstheme="majorAscii" w:eastAsiaTheme="majorAscii" w:hAnsiTheme="majorAscii"/>
          <w:i/>
          <w:iCs/>
          <w:sz w:val="24"/>
          <w:szCs w:val="24"/>
          <w:lang w:val="en-US"/>
        </w:rPr>
        <w:t>Take Action for the Sustainable Development Goals.</w:t>
      </w:r>
      <w:r>
        <w:rPr>
          <w:rFonts w:eastAsia="Calibri Light" w:cs="Calibri Light" w:ascii="Calibri Light" w:hAnsi="Calibri Light" w:asciiTheme="majorAscii" w:cstheme="majorAscii" w:eastAsiaTheme="majorAscii" w:hAnsiTheme="majorAscii"/>
          <w:sz w:val="24"/>
          <w:szCs w:val="24"/>
          <w:lang w:val="en-US"/>
        </w:rPr>
        <w:t xml:space="preserve"> Available at: </w:t>
      </w:r>
      <w:hyperlink r:id="rId16">
        <w:r>
          <w:rPr>
            <w:rStyle w:val="InternetLink"/>
            <w:rFonts w:eastAsia="Calibri Light" w:cs="Calibri Light" w:ascii="Calibri Light" w:hAnsi="Calibri Light" w:asciiTheme="majorAscii" w:cstheme="majorAscii" w:eastAsiaTheme="majorAscii" w:hAnsiTheme="majorAscii"/>
            <w:sz w:val="24"/>
            <w:szCs w:val="24"/>
            <w:lang w:val="en-US"/>
          </w:rPr>
          <w:t>https://www.un.org/sustainabledevelopment/development-agenda/</w:t>
        </w:r>
      </w:hyperlink>
      <w:r>
        <w:rPr>
          <w:rFonts w:eastAsia="Calibri Light" w:cs="Calibri Light" w:ascii="Calibri Light" w:hAnsi="Calibri Light" w:asciiTheme="majorAscii" w:cstheme="majorAscii" w:eastAsiaTheme="majorAscii" w:hAnsiTheme="majorAscii"/>
          <w:sz w:val="24"/>
          <w:szCs w:val="24"/>
          <w:lang w:val="en-US"/>
        </w:rPr>
        <w:t xml:space="preserve"> (Accessed 6th February).</w:t>
      </w:r>
    </w:p>
    <w:p>
      <w:pPr>
        <w:pStyle w:val="Normal"/>
        <w:rPr>
          <w:rFonts w:ascii="Calibri Light" w:hAnsi="Calibri Light" w:eastAsia="Calibri Light" w:cs="Calibri Light" w:asciiTheme="majorAscii" w:cstheme="majorAscii" w:eastAsiaTheme="majorAscii" w:hAnsiTheme="majorAscii"/>
          <w:sz w:val="24"/>
          <w:szCs w:val="24"/>
          <w:lang w:val="en-US"/>
        </w:rPr>
      </w:pPr>
      <w:r>
        <w:rPr>
          <w:rFonts w:eastAsia="Calibri Light" w:cs="Calibri Light" w:cstheme="majorAscii" w:eastAsiaTheme="majorAscii" w:ascii="Calibri Light" w:hAnsi="Calibri Light"/>
          <w:sz w:val="24"/>
          <w:szCs w:val="24"/>
          <w:lang w:val="en-US"/>
        </w:rPr>
      </w:r>
    </w:p>
    <w:p>
      <w:pPr>
        <w:pStyle w:val="Normal"/>
        <w:spacing w:lineRule="auto" w:line="216"/>
        <w:jc w:val="both"/>
        <w:rPr/>
      </w:pPr>
      <w:r>
        <w:rPr>
          <w:rFonts w:eastAsia="Calibri Light" w:cs="Calibri Light" w:ascii="Calibri Light" w:hAnsi="Calibri Light" w:asciiTheme="majorAscii" w:cstheme="majorAscii" w:eastAsiaTheme="majorAscii" w:hAnsiTheme="majorAscii"/>
          <w:sz w:val="24"/>
          <w:szCs w:val="24"/>
          <w:lang w:val="en-US"/>
        </w:rPr>
        <w:t xml:space="preserve">Infed. (2015) </w:t>
      </w:r>
      <w:r>
        <w:rPr>
          <w:rFonts w:eastAsia="Calibri Light" w:cs="Calibri Light" w:ascii="Calibri Light" w:hAnsi="Calibri Light" w:asciiTheme="majorAscii" w:cstheme="majorAscii" w:eastAsiaTheme="majorAscii" w:hAnsiTheme="majorAscii"/>
          <w:i/>
          <w:iCs/>
          <w:sz w:val="24"/>
          <w:szCs w:val="24"/>
          <w:lang w:val="en-US"/>
        </w:rPr>
        <w:t>What is education? A definition and discussion.</w:t>
      </w:r>
      <w:r>
        <w:rPr>
          <w:rFonts w:eastAsia="Calibri Light" w:cs="Calibri Light" w:ascii="Calibri Light" w:hAnsi="Calibri Light" w:asciiTheme="majorAscii" w:cstheme="majorAscii" w:eastAsiaTheme="majorAscii" w:hAnsiTheme="majorAscii"/>
          <w:sz w:val="24"/>
          <w:szCs w:val="24"/>
          <w:lang w:val="en-US"/>
        </w:rPr>
        <w:t xml:space="preserve"> Available at: </w:t>
      </w:r>
      <w:hyperlink r:id="rId17">
        <w:r>
          <w:rPr>
            <w:rStyle w:val="InternetLink"/>
            <w:rFonts w:eastAsia="Calibri Light" w:cs="Calibri Light" w:ascii="Calibri Light" w:hAnsi="Calibri Light" w:asciiTheme="majorAscii" w:cstheme="majorAscii" w:eastAsiaTheme="majorAscii" w:hAnsiTheme="majorAscii"/>
            <w:sz w:val="24"/>
            <w:szCs w:val="24"/>
            <w:lang w:val="en-US"/>
          </w:rPr>
          <w:t xml:space="preserve">What is education? A definition and discussion – </w:t>
        </w:r>
      </w:hyperlink>
      <w:hyperlink r:id="rId18">
        <w:r>
          <w:rPr>
            <w:rStyle w:val="InternetLink"/>
            <w:rFonts w:eastAsia="Calibri Light" w:cs="Calibri Light" w:ascii="Calibri Light" w:hAnsi="Calibri Light" w:asciiTheme="majorAscii" w:cstheme="majorAscii" w:eastAsiaTheme="majorAscii" w:hAnsiTheme="majorAscii"/>
            <w:sz w:val="24"/>
            <w:szCs w:val="24"/>
            <w:lang w:val="en-US"/>
          </w:rPr>
          <w:t>infed.org:</w:t>
        </w:r>
      </w:hyperlink>
      <w:r>
        <w:rPr>
          <w:rFonts w:eastAsia="Calibri Light" w:cs="Calibri Light" w:ascii="Calibri Light" w:hAnsi="Calibri Light" w:asciiTheme="majorAscii" w:cstheme="majorAscii" w:eastAsiaTheme="majorAscii" w:hAnsiTheme="majorAscii"/>
          <w:sz w:val="24"/>
          <w:szCs w:val="24"/>
          <w:lang w:val="en-US"/>
        </w:rPr>
        <w:t xml:space="preserve">  (Accessed 6th 2022).</w:t>
      </w:r>
    </w:p>
    <w:p>
      <w:pPr>
        <w:pStyle w:val="Normal"/>
        <w:spacing w:lineRule="auto" w:line="216"/>
        <w:jc w:val="both"/>
        <w:rPr>
          <w:rFonts w:ascii="Calibri Light" w:hAnsi="Calibri Light" w:eastAsia="Calibri Light" w:cs="Calibri Light" w:asciiTheme="majorAscii" w:cstheme="majorAscii" w:eastAsiaTheme="majorAscii" w:hAnsiTheme="majorAscii"/>
          <w:sz w:val="24"/>
          <w:szCs w:val="24"/>
          <w:lang w:val="en-US"/>
        </w:rPr>
      </w:pPr>
      <w:r>
        <w:rPr>
          <w:rFonts w:eastAsia="Calibri Light" w:cs="Calibri Light" w:cstheme="majorAscii" w:eastAsiaTheme="majorAscii" w:ascii="Calibri Light" w:hAnsi="Calibri Light"/>
          <w:sz w:val="24"/>
          <w:szCs w:val="24"/>
          <w:lang w:val="en-US"/>
        </w:rPr>
      </w:r>
    </w:p>
    <w:p>
      <w:pPr>
        <w:pStyle w:val="Normal"/>
        <w:rPr/>
      </w:pPr>
      <w:r>
        <w:rPr>
          <w:rFonts w:eastAsia="Calibri Light" w:cs="Calibri Light" w:ascii="Calibri Light" w:hAnsi="Calibri Light" w:asciiTheme="majorAscii" w:cstheme="majorAscii" w:eastAsiaTheme="majorAscii" w:hAnsiTheme="majorAscii"/>
          <w:sz w:val="24"/>
          <w:szCs w:val="24"/>
          <w:lang w:val="en-US"/>
        </w:rPr>
        <w:t>Welsh Assembly Government. (2008)</w:t>
      </w:r>
      <w:r>
        <w:rPr>
          <w:rFonts w:eastAsia="Calibri Light" w:cs="Calibri Light" w:ascii="Calibri Light" w:hAnsi="Calibri Light" w:asciiTheme="majorAscii" w:cstheme="majorAscii" w:eastAsiaTheme="majorAscii" w:hAnsiTheme="majorAscii"/>
          <w:i/>
          <w:iCs/>
          <w:sz w:val="24"/>
          <w:szCs w:val="24"/>
          <w:lang w:val="en-US"/>
        </w:rPr>
        <w:t xml:space="preserve"> Education for Sustainable Development and Global Citizenship </w:t>
      </w:r>
      <w:bookmarkStart w:id="7" w:name="_Int_jVngs6GJ"/>
      <w:r>
        <w:rPr>
          <w:rFonts w:eastAsia="Calibri Light" w:cs="Calibri Light" w:ascii="Calibri Light" w:hAnsi="Calibri Light" w:asciiTheme="majorAscii" w:cstheme="majorAscii" w:eastAsiaTheme="majorAscii" w:hAnsiTheme="majorAscii"/>
          <w:i/>
          <w:iCs/>
          <w:sz w:val="24"/>
          <w:szCs w:val="24"/>
          <w:lang w:val="en-US"/>
        </w:rPr>
        <w:t>A</w:t>
      </w:r>
      <w:bookmarkEnd w:id="7"/>
      <w:r>
        <w:rPr>
          <w:rFonts w:eastAsia="Calibri Light" w:cs="Calibri Light" w:ascii="Calibri Light" w:hAnsi="Calibri Light" w:asciiTheme="majorAscii" w:cstheme="majorAscii" w:eastAsiaTheme="majorAscii" w:hAnsiTheme="majorAscii"/>
          <w:i/>
          <w:iCs/>
          <w:sz w:val="24"/>
          <w:szCs w:val="24"/>
          <w:lang w:val="en-US"/>
        </w:rPr>
        <w:t xml:space="preserve"> Common Understanding for Schools</w:t>
      </w:r>
      <w:r>
        <w:rPr>
          <w:rFonts w:eastAsia="Calibri Light" w:cs="Calibri Light" w:ascii="Calibri Light" w:hAnsi="Calibri Light" w:asciiTheme="majorAscii" w:cstheme="majorAscii" w:eastAsiaTheme="majorAscii" w:hAnsiTheme="majorAscii"/>
          <w:sz w:val="24"/>
          <w:szCs w:val="24"/>
          <w:lang w:val="en-US"/>
        </w:rPr>
        <w:t xml:space="preserve">. Available at: </w:t>
      </w:r>
      <w:hyperlink r:id="rId19">
        <w:r>
          <w:rPr>
            <w:rStyle w:val="InternetLink"/>
            <w:rFonts w:eastAsia="Calibri Light" w:cs="Calibri Light" w:ascii="Calibri Light" w:hAnsi="Calibri Light" w:asciiTheme="majorAscii" w:cstheme="majorAscii" w:eastAsiaTheme="majorAscii" w:hAnsiTheme="majorAscii"/>
            <w:sz w:val="24"/>
            <w:szCs w:val="24"/>
            <w:lang w:val="en-US"/>
          </w:rPr>
          <w:t>https://hwb.gov.wales/storage/eaf467e6-30fe-45c9-93ef-cb30f31f1c90/common-understanding-for-school.pdf</w:t>
        </w:r>
      </w:hyperlink>
      <w:r>
        <w:rPr>
          <w:rFonts w:eastAsia="Calibri Light" w:cs="Calibri Light" w:ascii="Calibri Light" w:hAnsi="Calibri Light" w:asciiTheme="majorAscii" w:cstheme="majorAscii" w:eastAsiaTheme="majorAscii" w:hAnsiTheme="majorAscii"/>
          <w:sz w:val="24"/>
          <w:szCs w:val="24"/>
          <w:lang w:val="en-US"/>
        </w:rPr>
        <w:t xml:space="preserve"> (Accessed 6th February 2022). </w:t>
      </w:r>
    </w:p>
    <w:p>
      <w:pPr>
        <w:pStyle w:val="Normal"/>
        <w:rPr>
          <w:rFonts w:ascii="Calibri Light" w:hAnsi="Calibri Light" w:eastAsia="Calibri Light" w:cs="Calibri Light" w:asciiTheme="majorAscii" w:cstheme="majorAscii" w:eastAsiaTheme="majorAscii" w:hAnsiTheme="majorAscii"/>
          <w:sz w:val="24"/>
          <w:szCs w:val="24"/>
          <w:lang w:val="en-US"/>
        </w:rPr>
      </w:pPr>
      <w:r>
        <w:rPr>
          <w:rFonts w:eastAsia="Calibri Light" w:cs="Calibri Light" w:cstheme="majorAscii" w:eastAsiaTheme="majorAscii" w:ascii="Calibri Light" w:hAnsi="Calibri Light"/>
          <w:sz w:val="24"/>
          <w:szCs w:val="24"/>
          <w:lang w:val="en-US"/>
        </w:rPr>
      </w:r>
    </w:p>
    <w:p>
      <w:pPr>
        <w:pStyle w:val="Normal"/>
        <w:rPr/>
      </w:pPr>
      <w:r>
        <w:rPr>
          <w:rFonts w:eastAsia="Calibri Light" w:cs="Calibri Light" w:ascii="Calibri Light" w:hAnsi="Calibri Light" w:asciiTheme="majorAscii" w:cstheme="majorAscii" w:eastAsiaTheme="majorAscii" w:hAnsiTheme="majorAscii"/>
          <w:sz w:val="24"/>
          <w:szCs w:val="24"/>
          <w:lang w:val="en-US"/>
        </w:rPr>
        <w:t>Welsh Assembly Government. (2019)</w:t>
      </w:r>
      <w:r>
        <w:rPr>
          <w:rFonts w:eastAsia="Calibri Light" w:cs="Calibri Light" w:ascii="Calibri Light" w:hAnsi="Calibri Light" w:asciiTheme="majorAscii" w:cstheme="majorAscii" w:eastAsiaTheme="majorAscii" w:hAnsiTheme="majorAscii"/>
          <w:i/>
          <w:iCs/>
          <w:sz w:val="24"/>
          <w:szCs w:val="24"/>
          <w:lang w:val="en-US"/>
        </w:rPr>
        <w:t xml:space="preserve"> WALES AND THE SUSTAINABLE DEVELOPMENT GOALS.</w:t>
      </w:r>
      <w:r>
        <w:rPr>
          <w:rFonts w:eastAsia="Calibri Light" w:cs="Calibri Light" w:ascii="Calibri Light" w:hAnsi="Calibri Light" w:asciiTheme="majorAscii" w:cstheme="majorAscii" w:eastAsiaTheme="majorAscii" w:hAnsiTheme="majorAscii"/>
          <w:sz w:val="24"/>
          <w:szCs w:val="24"/>
          <w:lang w:val="en-US"/>
        </w:rPr>
        <w:t xml:space="preserve"> Available at: </w:t>
      </w:r>
      <w:hyperlink r:id="rId20">
        <w:r>
          <w:rPr>
            <w:rStyle w:val="InternetLink"/>
            <w:rFonts w:eastAsia="Calibri Light" w:cs="Calibri Light" w:ascii="Calibri Light" w:hAnsi="Calibri Light" w:asciiTheme="majorAscii" w:cstheme="majorAscii" w:eastAsiaTheme="majorAscii" w:hAnsiTheme="majorAscii"/>
            <w:sz w:val="24"/>
            <w:szCs w:val="24"/>
            <w:lang w:val="en-US"/>
          </w:rPr>
          <w:t>Wales-_-SDGs-_-VNR-_-</w:t>
        </w:r>
      </w:hyperlink>
      <w:hyperlink r:id="rId21">
        <w:r>
          <w:rPr>
            <w:rStyle w:val="InternetLink"/>
            <w:rFonts w:eastAsia="Calibri Light" w:cs="Calibri Light" w:ascii="Calibri Light" w:hAnsi="Calibri Light" w:asciiTheme="majorAscii" w:cstheme="majorAscii" w:eastAsiaTheme="majorAscii" w:hAnsiTheme="majorAscii"/>
            <w:sz w:val="24"/>
            <w:szCs w:val="24"/>
            <w:lang w:val="en-US"/>
          </w:rPr>
          <w:t>Supplementary-Report-for-Wales-_-Version-10.1-Final-w-cover-ENG.pdf (futuregenerations.wales)</w:t>
        </w:r>
      </w:hyperlink>
      <w:r>
        <w:rPr>
          <w:rFonts w:eastAsia="Calibri Light" w:cs="Calibri Light" w:ascii="Calibri Light" w:hAnsi="Calibri Light" w:asciiTheme="majorAscii" w:cstheme="majorAscii" w:eastAsiaTheme="majorAscii" w:hAnsiTheme="majorAscii"/>
          <w:sz w:val="24"/>
          <w:szCs w:val="24"/>
          <w:lang w:val="en-US"/>
        </w:rPr>
        <w:t xml:space="preserve">(Accessed 6th February 2022). </w:t>
      </w:r>
    </w:p>
    <w:p>
      <w:pPr>
        <w:pStyle w:val="Normal"/>
        <w:rPr>
          <w:rFonts w:ascii="Calibri Light" w:hAnsi="Calibri Light" w:eastAsia="Calibri Light" w:cs="Calibri Light" w:asciiTheme="majorAscii" w:cstheme="majorAscii" w:eastAsiaTheme="majorAscii" w:hAnsiTheme="majorAscii"/>
          <w:sz w:val="24"/>
          <w:szCs w:val="24"/>
          <w:lang w:val="en-GB"/>
        </w:rPr>
      </w:pPr>
      <w:r>
        <w:rPr>
          <w:rFonts w:eastAsia="Calibri Light" w:cs="Calibri Light" w:cstheme="majorAscii" w:eastAsiaTheme="majorAscii" w:ascii="Calibri Light" w:hAnsi="Calibri Light"/>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16"/>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lineRule="auto" w:line="240"/>
        <w:jc w:val="both"/>
        <w:rPr>
          <w:rFonts w:ascii="Calibri Light" w:hAnsi="Calibri Light" w:eastAsia="Calibri Light" w:cs="Calibri Light" w:asciiTheme="majorAscii" w:cstheme="majorAscii" w:eastAsiaTheme="majorAscii" w:hAnsiTheme="majorAscii"/>
          <w:b w:val="false"/>
          <w:b w:val="false"/>
          <w:bCs w:val="false"/>
          <w:i w:val="false"/>
          <w:i w:val="false"/>
          <w:iCs w:val="false"/>
          <w:caps w:val="false"/>
          <w:smallCaps w:val="false"/>
          <w:color w:val="000000" w:themeColor="text1" w:themeShade="ff" w:themeTint="ff"/>
          <w:sz w:val="24"/>
          <w:szCs w:val="24"/>
          <w:lang w:val="en-GB"/>
        </w:rPr>
      </w:pPr>
      <w:r>
        <w:rPr>
          <w:rFonts w:eastAsia="Calibri Light" w:cs="Calibri Light" w:cstheme="majorAscii" w:eastAsiaTheme="majorAscii" w:ascii="Calibri Light" w:hAnsi="Calibri Light"/>
          <w:b w:val="false"/>
          <w:bCs w:val="false"/>
          <w:i w:val="false"/>
          <w:iCs w:val="false"/>
          <w:caps w:val="false"/>
          <w:smallCaps w:val="false"/>
          <w:color w:val="000000" w:themeColor="text1" w:themeShade="ff" w:themeTint="ff"/>
          <w:sz w:val="24"/>
          <w:szCs w:val="24"/>
          <w:lang w:val="en-GB"/>
        </w:rPr>
      </w:r>
    </w:p>
    <w:p>
      <w:pPr>
        <w:pStyle w:val="Normal"/>
        <w:spacing w:before="0" w:after="160"/>
        <w:rPr/>
      </w:pPr>
      <w:r>
        <w:rPr/>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Calibri Light">
    <w:charset w:val="00"/>
    <w:family w:val="roman"/>
    <w:pitch w:val="variable"/>
  </w:font>
  <w:font w:name="Liberation Sans">
    <w:altName w:val="Arial"/>
    <w:charset w:val="00"/>
    <w:family w:val="swiss"/>
    <w:pitch w:val="variable"/>
  </w:font>
  <w:font w:name="Open Sans">
    <w:charset w:val="00"/>
    <w:family w:val="roman"/>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Heading1">
    <w:name w:val="Heading 1"/>
    <w:basedOn w:val="Normal"/>
    <w:next w:val="Normal"/>
    <w:link w:val="Heading1Char"/>
    <w:uiPriority w:val="9"/>
    <w:qFormat/>
    <w:pPr>
      <w:keepNext w:val="true"/>
      <w:keepLines/>
      <w:spacing w:before="240" w:after="0"/>
      <w:outlineLvl w:val="0"/>
    </w:pPr>
    <w:rPr>
      <w:rFonts w:ascii="Calibri Light" w:hAnsi="Calibri Light" w:eastAsia="" w:cs="" w:asciiTheme="majorHAnsi" w:cstheme="majorBidi" w:eastAsiaTheme="majorEastAsia" w:hAnsiTheme="majorHAnsi"/>
      <w:color w:val="2E74B5" w:themeColor="accent1" w:themeShade="bf"/>
      <w:sz w:val="32"/>
      <w:szCs w:val="32"/>
    </w:rPr>
  </w:style>
  <w:style w:type="character" w:styleId="DefaultParagraphFont" w:default="1">
    <w:name w:val="Default Paragraph Font"/>
    <w:uiPriority w:val="1"/>
    <w:semiHidden/>
    <w:unhideWhenUsed/>
    <w:qFormat/>
    <w:rPr/>
  </w:style>
  <w:style w:type="character" w:styleId="InternetLink">
    <w:name w:val="Internet 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qFormat/>
    <w:rPr>
      <w:rFonts w:ascii="Calibri Light" w:hAnsi="Calibri Light" w:eastAsia="" w:cs="" w:asciiTheme="majorHAnsi" w:cstheme="majorBidi" w:eastAsiaTheme="majorEastAsia" w:hAnsiTheme="majorHAnsi"/>
      <w:color w:val="2E74B5" w:themeColor="accent1" w:themeShade="bf"/>
      <w:sz w:val="32"/>
      <w:szCs w:val="32"/>
    </w:rPr>
  </w:style>
  <w:style w:type="character" w:styleId="ListLabel1">
    <w:name w:val="ListLabel 1"/>
    <w:qFormat/>
    <w:rPr>
      <w:rFonts w:ascii="Calibri Light" w:hAnsi="Calibri Light" w:eastAsia="Calibri Light" w:cs="Calibri Light" w:asciiTheme="majorAscii" w:cstheme="majorAscii" w:eastAsiaTheme="majorAscii" w:hAnsiTheme="majorAscii"/>
      <w:b w:val="false"/>
      <w:bCs w:val="false"/>
      <w:i w:val="false"/>
      <w:iCs w:val="false"/>
      <w:caps w:val="false"/>
      <w:smallCaps w:val="false"/>
      <w:sz w:val="24"/>
      <w:szCs w:val="24"/>
      <w:lang w:val="en-GB"/>
    </w:rPr>
  </w:style>
  <w:style w:type="character" w:styleId="ListLabel2">
    <w:name w:val="ListLabel 2"/>
    <w:qFormat/>
    <w:rPr>
      <w:rFonts w:ascii="Calibri Light" w:hAnsi="Calibri Light" w:eastAsia="Calibri Light" w:cs="Calibri Light" w:asciiTheme="majorAscii" w:cstheme="majorAscii" w:eastAsiaTheme="majorAscii" w:hAnsiTheme="majorAscii"/>
      <w:b w:val="false"/>
      <w:bCs w:val="false"/>
      <w:i w:val="false"/>
      <w:iCs w:val="false"/>
      <w:caps w:val="false"/>
      <w:smallCaps w:val="false"/>
      <w:strike w:val="false"/>
      <w:dstrike w:val="false"/>
      <w:color w:val="4471C4"/>
      <w:sz w:val="24"/>
      <w:szCs w:val="24"/>
      <w:lang w:val="en-GB"/>
    </w:rPr>
  </w:style>
  <w:style w:type="character" w:styleId="ListLabel3">
    <w:name w:val="ListLabel 3"/>
    <w:qFormat/>
    <w:rPr>
      <w:rFonts w:ascii="Calibri Light" w:hAnsi="Calibri Light" w:eastAsia="Calibri Light" w:cs="Calibri Light"/>
      <w:b w:val="false"/>
      <w:bCs w:val="false"/>
      <w:i w:val="false"/>
      <w:iCs w:val="false"/>
      <w:caps w:val="false"/>
      <w:smallCaps w:val="false"/>
      <w:sz w:val="24"/>
      <w:szCs w:val="24"/>
      <w:lang w:val="en-GB"/>
    </w:rPr>
  </w:style>
  <w:style w:type="character" w:styleId="ListLabel4">
    <w:name w:val="ListLabel 4"/>
    <w:qFormat/>
    <w:rPr>
      <w:rFonts w:ascii="Calibri Light" w:hAnsi="Calibri Light" w:eastAsia="Calibri Light" w:cs="Calibri Light" w:asciiTheme="majorAscii" w:cstheme="majorAscii" w:eastAsiaTheme="majorAscii" w:hAnsiTheme="majorAscii"/>
      <w:b w:val="false"/>
      <w:bCs w:val="false"/>
      <w:i w:val="false"/>
      <w:iCs w:val="false"/>
      <w:caps w:val="false"/>
      <w:smallCaps w:val="false"/>
      <w:sz w:val="24"/>
      <w:szCs w:val="24"/>
      <w:lang w:val="en-US"/>
    </w:rPr>
  </w:style>
  <w:style w:type="character" w:styleId="ListLabel5">
    <w:name w:val="ListLabel 5"/>
    <w:qFormat/>
    <w:rPr>
      <w:rFonts w:ascii="Calibri Light" w:hAnsi="Calibri Light" w:eastAsia="Calibri Light" w:cs="Calibri Light" w:asciiTheme="majorAscii" w:cstheme="majorAscii" w:eastAsiaTheme="majorAscii" w:hAnsiTheme="majorAscii"/>
      <w:sz w:val="24"/>
      <w:szCs w:val="24"/>
      <w:lang w:val="en-GB"/>
    </w:rPr>
  </w:style>
  <w:style w:type="character" w:styleId="ListLabel6">
    <w:name w:val="ListLabel 6"/>
    <w:qFormat/>
    <w:rPr>
      <w:rFonts w:ascii="Calibri Light" w:hAnsi="Calibri Light" w:eastAsia="Calibri Light" w:cs="Calibri Light" w:asciiTheme="majorAscii" w:cstheme="majorAscii" w:eastAsiaTheme="majorAscii" w:hAnsiTheme="majorAscii"/>
      <w:sz w:val="24"/>
      <w:szCs w:val="24"/>
      <w:lang w:val="en-US"/>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NoSpacing">
    <w:name w:val="No Spacing"/>
    <w:uiPriority w:val="1"/>
    <w:qFormat/>
    <w:pPr>
      <w:widowControl/>
      <w:bidi w:val="0"/>
      <w:spacing w:lineRule="auto" w:line="240" w:before="0" w:after="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au.int/en/documents-45" TargetMode="External"/><Relationship Id="rId3" Type="http://schemas.openxmlformats.org/officeDocument/2006/relationships/hyperlink" Target="https://www.cbm.org/news/news/news-2019/cbm-helps-kenya-implement-its-new-inclusive-education-policy/" TargetMode="External"/><Relationship Id="rId4" Type="http://schemas.openxmlformats.org/officeDocument/2006/relationships/hyperlink" Target="https://www.designweek.co.uk/issues/19-25-february-2018/kenyan-start-improving-education-children-africa/" TargetMode="External"/><Relationship Id="rId5" Type="http://schemas.openxmlformats.org/officeDocument/2006/relationships/hyperlink" Target="https://www.emerald.com/insight/search?q=globalisation+in+kenya&amp;showAll=true" TargetMode="External"/><Relationship Id="rId6" Type="http://schemas.openxmlformats.org/officeDocument/2006/relationships/hyperlink" Target="https://gov.wales/sites/default/files/publications/2018-03/education-in-wales-our-national-mission.pdf" TargetMode="External"/><Relationship Id="rId7" Type="http://schemas.openxmlformats.org/officeDocument/2006/relationships/hyperlink" Target="https://globaleducation.edu.au/global-education/what-are-global-perspectives.html" TargetMode="External"/><Relationship Id="rId8" Type="http://schemas.openxmlformats.org/officeDocument/2006/relationships/hyperlink" Target="https://www.honorsgradu.com/the-importance-of-students-having-a-global-perspective/" TargetMode="External"/><Relationship Id="rId9" Type="http://schemas.openxmlformats.org/officeDocument/2006/relationships/hyperlink" Target="https://nehemia-team.org/en/kenya-en/school-fees-and-poverty-barriers-to-education-in-kenya/" TargetMode="External"/><Relationship Id="rId10" Type="http://schemas.openxmlformats.org/officeDocument/2006/relationships/hyperlink" Target="https://www.oecd.org/about/upcoming-events/" TargetMode="External"/><Relationship Id="rId11" Type="http://schemas.openxmlformats.org/officeDocument/2006/relationships/hyperlink" Target="https://www.politicalsciencenotes.com/articles/8-theories-of-globalization-explained/642" TargetMode="External"/><Relationship Id="rId12" Type="http://schemas.openxmlformats.org/officeDocument/2006/relationships/hyperlink" Target="https://www.savethechildren.org.uk/?cid=pse-bi_A17038001-go_001-1V64925CR&amp;ppc=true&amp;matchtype=p&amp;s_keyword=save the childrens&amp;adposition=&amp;s_kwcid=AL!9048!3!!p!!o!!save the childrens&amp;&amp;ppc=true&amp;matchtype=p&amp;s_keyword=save the childrens&amp;adposition=&amp;msclkid=adef1ce05fbe159b0dbe7ee3a3529fb6&amp;utm_source=bing&amp;utm_medium=cpc&amp;utm_campaign=Bing_Paid_Brand_BAU_Brand_Core_Exact&amp;utm_term=save the childrens&amp;utm_content=Google_Pa_Brand_BAU_Brand_Misspells_Exact&amp;gclid=adef1ce05fbe159b0dbe7ee3a3529fb6&amp;gclsrc=3p.ds" TargetMode="External"/><Relationship Id="rId13" Type="http://schemas.openxmlformats.org/officeDocument/2006/relationships/hyperlink" Target="https://kenya.un.org/en/sdgs" TargetMode="External"/><Relationship Id="rId14" Type="http://schemas.openxmlformats.org/officeDocument/2006/relationships/hyperlink" Target="https://www.right-to-education.org/resource/world-education-report-2000-right-education-towards-education-all-throughout-life" TargetMode="External"/><Relationship Id="rId15" Type="http://schemas.openxmlformats.org/officeDocument/2006/relationships/hyperlink" Target="https://www.unicef.org.uk/?sisearchengine=377&amp;siproduct=Campaign_**Brand-Unicef-Broad" TargetMode="External"/><Relationship Id="rId16" Type="http://schemas.openxmlformats.org/officeDocument/2006/relationships/hyperlink" Target="https://www.un.org/sustainabledevelopment/development-agenda/" TargetMode="External"/><Relationship Id="rId17" Type="http://schemas.openxmlformats.org/officeDocument/2006/relationships/hyperlink" Target="https://infed.org/mobi/what-is-education-a-definition-and-discussion/" TargetMode="External"/><Relationship Id="rId18" Type="http://schemas.openxmlformats.org/officeDocument/2006/relationships/hyperlink" Target="https://infed.org/mobi/what-is-education-a-definition-and-discussion/" TargetMode="External"/><Relationship Id="rId19" Type="http://schemas.openxmlformats.org/officeDocument/2006/relationships/hyperlink" Target="https://hwb.gov.wales/storage/eaf467e6-30fe-45c9-93ef-cb30f31f1c90/common-understanding-for-school.pdf" TargetMode="External"/><Relationship Id="rId20" Type="http://schemas.openxmlformats.org/officeDocument/2006/relationships/hyperlink" Target="https://www.futuregenerations.wales/wp-content/uploads/2019/07/Wales-_-SDGs-_-VNR-_-Supplementary-Report-for-Wales-_-Version-10.1-Final-w-cover-ENG.pdf" TargetMode="External"/><Relationship Id="rId21" Type="http://schemas.openxmlformats.org/officeDocument/2006/relationships/hyperlink" Target="https://www.futuregenerations.wales/wp-content/uploads/2019/07/Wales-_-SDGs-_-VNR-_-Supplementary-Report-for-Wales-_-Version-10.1-Final-w-cover-ENG.pdf" TargetMode="External"/><Relationship Id="rId22" Type="http://schemas.openxmlformats.org/officeDocument/2006/relationships/fontTable" Target="fontTable.xml"/><Relationship Id="rId23" Type="http://schemas.openxmlformats.org/officeDocument/2006/relationships/settings" Target="settings.xml"/><Relationship Id="rId2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Application>LibreOffice/6.2.5.2$Windows_X86_64 LibreOffice_project/1ec314fa52f458adc18c4f025c545a4e8b22c159</Application>
  <Pages>5</Pages>
  <Words>3276</Words>
  <Characters>19842</Characters>
  <CharactersWithSpaces>23106</CharactersWithSpaces>
  <Paragraphs>44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2022-01-13T18:02:48Z</dcterms:created>
  <dc:creator>A Roberts (Ysgol Pen-y-Bryn)</dc:creator>
  <dc:description/>
  <dc:language>en-GB</dc:language>
  <cp:lastModifiedBy>A Roberts (Ysgol Pen-y-Bryn)</cp:lastModifiedBy>
  <dcterms:modified xsi:type="dcterms:W3CDTF">2022-02-20T22:10:23Z</dcterms:modified>
  <cp:revision>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