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8" w14:textId="10CEEEA6" w:rsidR="00A5576D" w:rsidRDefault="00B97C51" w:rsidP="00B97C51">
      <w:pPr>
        <w:rPr>
          <w:b/>
          <w:bCs/>
          <w:sz w:val="32"/>
          <w:szCs w:val="32"/>
        </w:rPr>
      </w:pPr>
      <w:r>
        <w:rPr>
          <w:b/>
          <w:bCs/>
          <w:sz w:val="32"/>
          <w:szCs w:val="32"/>
        </w:rPr>
        <w:t xml:space="preserve"> </w:t>
      </w:r>
    </w:p>
    <w:p w14:paraId="00000009" w14:textId="77777777" w:rsidR="00A5576D" w:rsidRDefault="00A5576D">
      <w:pPr>
        <w:jc w:val="center"/>
        <w:rPr>
          <w:b/>
          <w:bCs/>
          <w:sz w:val="32"/>
          <w:szCs w:val="32"/>
        </w:rPr>
      </w:pPr>
    </w:p>
    <w:p w14:paraId="0000000A" w14:textId="77777777" w:rsidR="00A5576D" w:rsidRDefault="00A5576D">
      <w:pPr>
        <w:jc w:val="center"/>
        <w:rPr>
          <w:b/>
          <w:bCs/>
          <w:sz w:val="32"/>
          <w:szCs w:val="32"/>
        </w:rPr>
      </w:pPr>
    </w:p>
    <w:p w14:paraId="0000000B" w14:textId="5B3481F2" w:rsidR="00A5576D" w:rsidRDefault="00B97C51">
      <w:pPr>
        <w:jc w:val="center"/>
        <w:rPr>
          <w:b/>
          <w:bCs/>
          <w:sz w:val="32"/>
          <w:szCs w:val="32"/>
        </w:rPr>
      </w:pPr>
      <w:r>
        <w:rPr>
          <w:b/>
          <w:bCs/>
          <w:sz w:val="32"/>
          <w:szCs w:val="32"/>
        </w:rPr>
        <w:t xml:space="preserve">Name: </w:t>
      </w:r>
      <w:r w:rsidR="008D1362">
        <w:rPr>
          <w:b/>
          <w:bCs/>
          <w:sz w:val="32"/>
          <w:szCs w:val="32"/>
        </w:rPr>
        <w:t xml:space="preserve">   </w:t>
      </w:r>
      <w:r>
        <w:rPr>
          <w:b/>
          <w:bCs/>
          <w:sz w:val="32"/>
          <w:szCs w:val="32"/>
        </w:rPr>
        <w:t>Faridah Namukasa</w:t>
      </w:r>
    </w:p>
    <w:p w14:paraId="7EAE8176" w14:textId="17B86213" w:rsidR="00B97C51" w:rsidRDefault="00B97C51">
      <w:pPr>
        <w:jc w:val="center"/>
        <w:rPr>
          <w:b/>
          <w:bCs/>
          <w:sz w:val="32"/>
          <w:szCs w:val="32"/>
        </w:rPr>
      </w:pPr>
      <w:r>
        <w:rPr>
          <w:b/>
          <w:bCs/>
          <w:sz w:val="32"/>
          <w:szCs w:val="32"/>
        </w:rPr>
        <w:t>Student Number:</w:t>
      </w:r>
      <w:r w:rsidR="008D1362">
        <w:rPr>
          <w:b/>
          <w:bCs/>
          <w:sz w:val="32"/>
          <w:szCs w:val="32"/>
        </w:rPr>
        <w:t xml:space="preserve">   </w:t>
      </w:r>
      <w:r>
        <w:rPr>
          <w:b/>
          <w:bCs/>
          <w:sz w:val="32"/>
          <w:szCs w:val="32"/>
        </w:rPr>
        <w:t xml:space="preserve"> 2429800</w:t>
      </w:r>
    </w:p>
    <w:p w14:paraId="5881DA57" w14:textId="0D5579A8" w:rsidR="00B97C51" w:rsidRDefault="008D1362">
      <w:pPr>
        <w:jc w:val="center"/>
        <w:rPr>
          <w:b/>
          <w:bCs/>
          <w:sz w:val="32"/>
          <w:szCs w:val="32"/>
        </w:rPr>
      </w:pPr>
      <w:r>
        <w:rPr>
          <w:b/>
          <w:bCs/>
          <w:sz w:val="32"/>
          <w:szCs w:val="32"/>
        </w:rPr>
        <w:t>Lecturer:  Muhammad Aliyu</w:t>
      </w:r>
    </w:p>
    <w:p w14:paraId="6EF5C085" w14:textId="77777777" w:rsidR="008D1362" w:rsidRDefault="008D1362">
      <w:pPr>
        <w:jc w:val="center"/>
        <w:rPr>
          <w:b/>
          <w:bCs/>
          <w:sz w:val="32"/>
          <w:szCs w:val="32"/>
        </w:rPr>
      </w:pPr>
    </w:p>
    <w:p w14:paraId="23FFDA05" w14:textId="77777777" w:rsidR="008D1362" w:rsidRDefault="008D1362">
      <w:pPr>
        <w:jc w:val="center"/>
        <w:rPr>
          <w:b/>
          <w:bCs/>
          <w:sz w:val="32"/>
          <w:szCs w:val="32"/>
        </w:rPr>
      </w:pPr>
    </w:p>
    <w:p w14:paraId="3C11DDB8" w14:textId="77777777" w:rsidR="008D1362" w:rsidRDefault="008D1362">
      <w:pPr>
        <w:jc w:val="center"/>
        <w:rPr>
          <w:b/>
          <w:bCs/>
          <w:sz w:val="32"/>
          <w:szCs w:val="32"/>
        </w:rPr>
      </w:pPr>
    </w:p>
    <w:p w14:paraId="3C276152" w14:textId="4A6EA6E4" w:rsidR="003C5DA1" w:rsidRDefault="00947BA5">
      <w:pPr>
        <w:jc w:val="center"/>
        <w:rPr>
          <w:b/>
          <w:bCs/>
          <w:sz w:val="32"/>
          <w:szCs w:val="32"/>
        </w:rPr>
      </w:pPr>
      <w:r>
        <w:rPr>
          <w:b/>
          <w:bCs/>
          <w:sz w:val="32"/>
          <w:szCs w:val="32"/>
        </w:rPr>
        <w:t>LCHS4010 Psychology in Health and Social Care</w:t>
      </w:r>
    </w:p>
    <w:p w14:paraId="12054F73" w14:textId="77777777" w:rsidR="003C5DA1" w:rsidRDefault="003C5DA1">
      <w:pPr>
        <w:rPr>
          <w:b/>
          <w:bCs/>
          <w:sz w:val="32"/>
          <w:szCs w:val="32"/>
        </w:rPr>
      </w:pPr>
      <w:r>
        <w:rPr>
          <w:b/>
          <w:bCs/>
          <w:sz w:val="32"/>
          <w:szCs w:val="32"/>
        </w:rPr>
        <w:br w:type="page"/>
      </w:r>
    </w:p>
    <w:sdt>
      <w:sdtPr>
        <w:rPr>
          <w:rFonts w:ascii="Times New Roman" w:eastAsia="Times New Roman" w:hAnsi="Times New Roman" w:cs="Times New Roman"/>
          <w:b/>
          <w:noProof/>
          <w:color w:val="000000" w:themeColor="text1"/>
          <w:sz w:val="28"/>
          <w:szCs w:val="28"/>
          <w:lang w:val="en-GB"/>
        </w:rPr>
        <w:id w:val="1072547360"/>
        <w:docPartObj>
          <w:docPartGallery w:val="Table of Contents"/>
          <w:docPartUnique/>
        </w:docPartObj>
      </w:sdtPr>
      <w:sdtEndPr>
        <w:rPr>
          <w:bCs/>
          <w:color w:val="auto"/>
          <w:sz w:val="24"/>
          <w:szCs w:val="24"/>
        </w:rPr>
      </w:sdtEndPr>
      <w:sdtContent>
        <w:p w14:paraId="04656720" w14:textId="7487FCB8" w:rsidR="003C5DA1" w:rsidRPr="003C5DA1" w:rsidRDefault="003C5DA1" w:rsidP="003C5DA1">
          <w:pPr>
            <w:pStyle w:val="TOCHeading"/>
            <w:jc w:val="center"/>
            <w:rPr>
              <w:rFonts w:ascii="Times New Roman" w:hAnsi="Times New Roman" w:cs="Times New Roman"/>
              <w:b/>
              <w:color w:val="000000" w:themeColor="text1"/>
              <w:sz w:val="28"/>
              <w:szCs w:val="28"/>
            </w:rPr>
          </w:pPr>
          <w:r w:rsidRPr="003C5DA1">
            <w:rPr>
              <w:rFonts w:ascii="Times New Roman" w:hAnsi="Times New Roman" w:cs="Times New Roman"/>
              <w:b/>
              <w:color w:val="000000" w:themeColor="text1"/>
              <w:sz w:val="28"/>
              <w:szCs w:val="28"/>
            </w:rPr>
            <w:t>Table of Contents</w:t>
          </w:r>
        </w:p>
        <w:p w14:paraId="06A62345" w14:textId="77777777" w:rsidR="003C5DA1" w:rsidRDefault="003C5DA1" w:rsidP="003C5DA1">
          <w:pPr>
            <w:pStyle w:val="TOC1"/>
            <w:tabs>
              <w:tab w:val="right" w:leader="dot" w:pos="9350"/>
            </w:tabs>
            <w:spacing w:after="0"/>
          </w:pPr>
          <w:r>
            <w:fldChar w:fldCharType="begin"/>
          </w:r>
          <w:r>
            <w:instrText xml:space="preserve"> TOC \o "1-3" \h \z \u </w:instrText>
          </w:r>
          <w:r>
            <w:fldChar w:fldCharType="separate"/>
          </w:r>
          <w:hyperlink w:anchor="_Toc215334462" w:history="1">
            <w:r w:rsidRPr="00585457">
              <w:rPr>
                <w:rStyle w:val="Hyperlink"/>
              </w:rPr>
              <w:t>1. Introduction</w:t>
            </w:r>
            <w:r>
              <w:rPr>
                <w:webHidden/>
              </w:rPr>
              <w:tab/>
            </w:r>
            <w:r>
              <w:rPr>
                <w:webHidden/>
              </w:rPr>
              <w:fldChar w:fldCharType="begin"/>
            </w:r>
            <w:r>
              <w:rPr>
                <w:webHidden/>
              </w:rPr>
              <w:instrText xml:space="preserve"> PAGEREF _Toc215334462 \h </w:instrText>
            </w:r>
            <w:r>
              <w:rPr>
                <w:webHidden/>
              </w:rPr>
            </w:r>
            <w:r>
              <w:rPr>
                <w:webHidden/>
              </w:rPr>
              <w:fldChar w:fldCharType="separate"/>
            </w:r>
            <w:r>
              <w:rPr>
                <w:webHidden/>
              </w:rPr>
              <w:t>4</w:t>
            </w:r>
            <w:r>
              <w:rPr>
                <w:webHidden/>
              </w:rPr>
              <w:fldChar w:fldCharType="end"/>
            </w:r>
          </w:hyperlink>
        </w:p>
        <w:p w14:paraId="2EA3CC2F" w14:textId="77777777" w:rsidR="003C5DA1" w:rsidRDefault="003C5DA1" w:rsidP="003C5DA1">
          <w:pPr>
            <w:pStyle w:val="TOC1"/>
            <w:tabs>
              <w:tab w:val="right" w:leader="dot" w:pos="9350"/>
            </w:tabs>
            <w:spacing w:after="0"/>
          </w:pPr>
          <w:hyperlink w:anchor="_Toc215334463" w:history="1">
            <w:r w:rsidRPr="00585457">
              <w:rPr>
                <w:rStyle w:val="Hyperlink"/>
              </w:rPr>
              <w:t>2. Overview of two psychological theories</w:t>
            </w:r>
            <w:r>
              <w:rPr>
                <w:webHidden/>
              </w:rPr>
              <w:tab/>
            </w:r>
            <w:r>
              <w:rPr>
                <w:webHidden/>
              </w:rPr>
              <w:fldChar w:fldCharType="begin"/>
            </w:r>
            <w:r>
              <w:rPr>
                <w:webHidden/>
              </w:rPr>
              <w:instrText xml:space="preserve"> PAGEREF _Toc215334463 \h </w:instrText>
            </w:r>
            <w:r>
              <w:rPr>
                <w:webHidden/>
              </w:rPr>
            </w:r>
            <w:r>
              <w:rPr>
                <w:webHidden/>
              </w:rPr>
              <w:fldChar w:fldCharType="separate"/>
            </w:r>
            <w:r>
              <w:rPr>
                <w:webHidden/>
              </w:rPr>
              <w:t>4</w:t>
            </w:r>
            <w:r>
              <w:rPr>
                <w:webHidden/>
              </w:rPr>
              <w:fldChar w:fldCharType="end"/>
            </w:r>
          </w:hyperlink>
        </w:p>
        <w:p w14:paraId="5CDCF0CD" w14:textId="77777777" w:rsidR="003C5DA1" w:rsidRDefault="003C5DA1" w:rsidP="003C5DA1">
          <w:pPr>
            <w:pStyle w:val="TOC2"/>
            <w:tabs>
              <w:tab w:val="right" w:leader="dot" w:pos="9350"/>
            </w:tabs>
            <w:spacing w:after="0"/>
          </w:pPr>
          <w:hyperlink w:anchor="_Toc215334464" w:history="1">
            <w:r w:rsidRPr="00585457">
              <w:rPr>
                <w:rStyle w:val="Hyperlink"/>
              </w:rPr>
              <w:t>2.1 Bandura’s social learning theory</w:t>
            </w:r>
            <w:r>
              <w:rPr>
                <w:webHidden/>
              </w:rPr>
              <w:tab/>
            </w:r>
            <w:r>
              <w:rPr>
                <w:webHidden/>
              </w:rPr>
              <w:fldChar w:fldCharType="begin"/>
            </w:r>
            <w:r>
              <w:rPr>
                <w:webHidden/>
              </w:rPr>
              <w:instrText xml:space="preserve"> PAGEREF _Toc215334464 \h </w:instrText>
            </w:r>
            <w:r>
              <w:rPr>
                <w:webHidden/>
              </w:rPr>
            </w:r>
            <w:r>
              <w:rPr>
                <w:webHidden/>
              </w:rPr>
              <w:fldChar w:fldCharType="separate"/>
            </w:r>
            <w:r>
              <w:rPr>
                <w:webHidden/>
              </w:rPr>
              <w:t>4</w:t>
            </w:r>
            <w:r>
              <w:rPr>
                <w:webHidden/>
              </w:rPr>
              <w:fldChar w:fldCharType="end"/>
            </w:r>
          </w:hyperlink>
        </w:p>
        <w:p w14:paraId="230EDE7D" w14:textId="77777777" w:rsidR="003C5DA1" w:rsidRDefault="003C5DA1" w:rsidP="003C5DA1">
          <w:pPr>
            <w:pStyle w:val="TOC2"/>
            <w:tabs>
              <w:tab w:val="right" w:leader="dot" w:pos="9350"/>
            </w:tabs>
            <w:spacing w:after="0"/>
          </w:pPr>
          <w:hyperlink w:anchor="_Toc215334465" w:history="1">
            <w:r w:rsidRPr="00585457">
              <w:rPr>
                <w:rStyle w:val="Hyperlink"/>
              </w:rPr>
              <w:t>2.2 Health Belief Model</w:t>
            </w:r>
            <w:r>
              <w:rPr>
                <w:webHidden/>
              </w:rPr>
              <w:tab/>
            </w:r>
            <w:r>
              <w:rPr>
                <w:webHidden/>
              </w:rPr>
              <w:fldChar w:fldCharType="begin"/>
            </w:r>
            <w:r>
              <w:rPr>
                <w:webHidden/>
              </w:rPr>
              <w:instrText xml:space="preserve"> PAGEREF _Toc215334465 \h </w:instrText>
            </w:r>
            <w:r>
              <w:rPr>
                <w:webHidden/>
              </w:rPr>
            </w:r>
            <w:r>
              <w:rPr>
                <w:webHidden/>
              </w:rPr>
              <w:fldChar w:fldCharType="separate"/>
            </w:r>
            <w:r>
              <w:rPr>
                <w:webHidden/>
              </w:rPr>
              <w:t>5</w:t>
            </w:r>
            <w:r>
              <w:rPr>
                <w:webHidden/>
              </w:rPr>
              <w:fldChar w:fldCharType="end"/>
            </w:r>
          </w:hyperlink>
        </w:p>
        <w:p w14:paraId="0C7A181C" w14:textId="77777777" w:rsidR="003C5DA1" w:rsidRDefault="003C5DA1" w:rsidP="003C5DA1">
          <w:pPr>
            <w:pStyle w:val="TOC1"/>
            <w:tabs>
              <w:tab w:val="right" w:leader="dot" w:pos="9350"/>
            </w:tabs>
            <w:spacing w:after="0"/>
          </w:pPr>
          <w:hyperlink w:anchor="_Toc215334466" w:history="1">
            <w:r w:rsidRPr="00585457">
              <w:rPr>
                <w:rStyle w:val="Hyperlink"/>
              </w:rPr>
              <w:t>3. Application in a dementia care home setting</w:t>
            </w:r>
            <w:r>
              <w:rPr>
                <w:webHidden/>
              </w:rPr>
              <w:tab/>
            </w:r>
            <w:r>
              <w:rPr>
                <w:webHidden/>
              </w:rPr>
              <w:fldChar w:fldCharType="begin"/>
            </w:r>
            <w:r>
              <w:rPr>
                <w:webHidden/>
              </w:rPr>
              <w:instrText xml:space="preserve"> PAGEREF _Toc215334466 \h </w:instrText>
            </w:r>
            <w:r>
              <w:rPr>
                <w:webHidden/>
              </w:rPr>
            </w:r>
            <w:r>
              <w:rPr>
                <w:webHidden/>
              </w:rPr>
              <w:fldChar w:fldCharType="separate"/>
            </w:r>
            <w:r>
              <w:rPr>
                <w:webHidden/>
              </w:rPr>
              <w:t>6</w:t>
            </w:r>
            <w:r>
              <w:rPr>
                <w:webHidden/>
              </w:rPr>
              <w:fldChar w:fldCharType="end"/>
            </w:r>
          </w:hyperlink>
        </w:p>
        <w:p w14:paraId="42FBB493" w14:textId="77777777" w:rsidR="003C5DA1" w:rsidRDefault="003C5DA1" w:rsidP="003C5DA1">
          <w:pPr>
            <w:pStyle w:val="TOC2"/>
            <w:tabs>
              <w:tab w:val="right" w:leader="dot" w:pos="9350"/>
            </w:tabs>
            <w:spacing w:after="0"/>
          </w:pPr>
          <w:hyperlink w:anchor="_Toc215334467" w:history="1">
            <w:r w:rsidRPr="00585457">
              <w:rPr>
                <w:rStyle w:val="Hyperlink"/>
              </w:rPr>
              <w:t>3.1 Applying Bandura’s social learning theory</w:t>
            </w:r>
            <w:r>
              <w:rPr>
                <w:webHidden/>
              </w:rPr>
              <w:tab/>
            </w:r>
            <w:r>
              <w:rPr>
                <w:webHidden/>
              </w:rPr>
              <w:fldChar w:fldCharType="begin"/>
            </w:r>
            <w:r>
              <w:rPr>
                <w:webHidden/>
              </w:rPr>
              <w:instrText xml:space="preserve"> PAGEREF _Toc215334467 \h </w:instrText>
            </w:r>
            <w:r>
              <w:rPr>
                <w:webHidden/>
              </w:rPr>
            </w:r>
            <w:r>
              <w:rPr>
                <w:webHidden/>
              </w:rPr>
              <w:fldChar w:fldCharType="separate"/>
            </w:r>
            <w:r>
              <w:rPr>
                <w:webHidden/>
              </w:rPr>
              <w:t>6</w:t>
            </w:r>
            <w:r>
              <w:rPr>
                <w:webHidden/>
              </w:rPr>
              <w:fldChar w:fldCharType="end"/>
            </w:r>
          </w:hyperlink>
        </w:p>
        <w:p w14:paraId="4D4B5367" w14:textId="77777777" w:rsidR="003C5DA1" w:rsidRDefault="003C5DA1" w:rsidP="003C5DA1">
          <w:pPr>
            <w:pStyle w:val="TOC2"/>
            <w:tabs>
              <w:tab w:val="right" w:leader="dot" w:pos="9350"/>
            </w:tabs>
            <w:spacing w:after="0"/>
          </w:pPr>
          <w:hyperlink w:anchor="_Toc215334468" w:history="1">
            <w:r w:rsidRPr="00585457">
              <w:rPr>
                <w:rStyle w:val="Hyperlink"/>
              </w:rPr>
              <w:t>3.2 Applying the Health Belief Model</w:t>
            </w:r>
            <w:r>
              <w:rPr>
                <w:webHidden/>
              </w:rPr>
              <w:tab/>
            </w:r>
            <w:r>
              <w:rPr>
                <w:webHidden/>
              </w:rPr>
              <w:fldChar w:fldCharType="begin"/>
            </w:r>
            <w:r>
              <w:rPr>
                <w:webHidden/>
              </w:rPr>
              <w:instrText xml:space="preserve"> PAGEREF _Toc215334468 \h </w:instrText>
            </w:r>
            <w:r>
              <w:rPr>
                <w:webHidden/>
              </w:rPr>
            </w:r>
            <w:r>
              <w:rPr>
                <w:webHidden/>
              </w:rPr>
              <w:fldChar w:fldCharType="separate"/>
            </w:r>
            <w:r>
              <w:rPr>
                <w:webHidden/>
              </w:rPr>
              <w:t>6</w:t>
            </w:r>
            <w:r>
              <w:rPr>
                <w:webHidden/>
              </w:rPr>
              <w:fldChar w:fldCharType="end"/>
            </w:r>
          </w:hyperlink>
        </w:p>
        <w:p w14:paraId="5DCB74C0" w14:textId="77777777" w:rsidR="003C5DA1" w:rsidRDefault="003C5DA1" w:rsidP="003C5DA1">
          <w:pPr>
            <w:pStyle w:val="TOC2"/>
            <w:tabs>
              <w:tab w:val="right" w:leader="dot" w:pos="9350"/>
            </w:tabs>
            <w:spacing w:after="0"/>
          </w:pPr>
          <w:hyperlink w:anchor="_Toc215334469" w:history="1">
            <w:r w:rsidRPr="00585457">
              <w:rPr>
                <w:rStyle w:val="Hyperlink"/>
              </w:rPr>
              <w:t>3.3 Integrating both theories in practice</w:t>
            </w:r>
            <w:r>
              <w:rPr>
                <w:webHidden/>
              </w:rPr>
              <w:tab/>
            </w:r>
            <w:r>
              <w:rPr>
                <w:webHidden/>
              </w:rPr>
              <w:fldChar w:fldCharType="begin"/>
            </w:r>
            <w:r>
              <w:rPr>
                <w:webHidden/>
              </w:rPr>
              <w:instrText xml:space="preserve"> PAGEREF _Toc215334469 \h </w:instrText>
            </w:r>
            <w:r>
              <w:rPr>
                <w:webHidden/>
              </w:rPr>
            </w:r>
            <w:r>
              <w:rPr>
                <w:webHidden/>
              </w:rPr>
              <w:fldChar w:fldCharType="separate"/>
            </w:r>
            <w:r>
              <w:rPr>
                <w:webHidden/>
              </w:rPr>
              <w:t>7</w:t>
            </w:r>
            <w:r>
              <w:rPr>
                <w:webHidden/>
              </w:rPr>
              <w:fldChar w:fldCharType="end"/>
            </w:r>
          </w:hyperlink>
        </w:p>
        <w:p w14:paraId="614ADDE3" w14:textId="77777777" w:rsidR="003C5DA1" w:rsidRDefault="003C5DA1" w:rsidP="003C5DA1">
          <w:pPr>
            <w:pStyle w:val="TOC1"/>
            <w:tabs>
              <w:tab w:val="right" w:leader="dot" w:pos="9350"/>
            </w:tabs>
            <w:spacing w:after="0"/>
          </w:pPr>
          <w:hyperlink w:anchor="_Toc215334470" w:history="1">
            <w:r w:rsidRPr="00585457">
              <w:rPr>
                <w:rStyle w:val="Hyperlink"/>
              </w:rPr>
              <w:t>4. Conclusion</w:t>
            </w:r>
            <w:r>
              <w:rPr>
                <w:webHidden/>
              </w:rPr>
              <w:tab/>
            </w:r>
            <w:r>
              <w:rPr>
                <w:webHidden/>
              </w:rPr>
              <w:fldChar w:fldCharType="begin"/>
            </w:r>
            <w:r>
              <w:rPr>
                <w:webHidden/>
              </w:rPr>
              <w:instrText xml:space="preserve"> PAGEREF _Toc215334470 \h </w:instrText>
            </w:r>
            <w:r>
              <w:rPr>
                <w:webHidden/>
              </w:rPr>
            </w:r>
            <w:r>
              <w:rPr>
                <w:webHidden/>
              </w:rPr>
              <w:fldChar w:fldCharType="separate"/>
            </w:r>
            <w:r>
              <w:rPr>
                <w:webHidden/>
              </w:rPr>
              <w:t>7</w:t>
            </w:r>
            <w:r>
              <w:rPr>
                <w:webHidden/>
              </w:rPr>
              <w:fldChar w:fldCharType="end"/>
            </w:r>
          </w:hyperlink>
        </w:p>
        <w:p w14:paraId="102F3C23" w14:textId="77777777" w:rsidR="003C5DA1" w:rsidRDefault="003C5DA1" w:rsidP="003C5DA1">
          <w:pPr>
            <w:pStyle w:val="TOC1"/>
            <w:tabs>
              <w:tab w:val="right" w:leader="dot" w:pos="9350"/>
            </w:tabs>
            <w:spacing w:after="0"/>
          </w:pPr>
          <w:hyperlink w:anchor="_Toc215334471" w:history="1">
            <w:r w:rsidRPr="00585457">
              <w:rPr>
                <w:rStyle w:val="Hyperlink"/>
              </w:rPr>
              <w:t>Reference list</w:t>
            </w:r>
            <w:r>
              <w:rPr>
                <w:webHidden/>
              </w:rPr>
              <w:tab/>
            </w:r>
            <w:r>
              <w:rPr>
                <w:webHidden/>
              </w:rPr>
              <w:fldChar w:fldCharType="begin"/>
            </w:r>
            <w:r>
              <w:rPr>
                <w:webHidden/>
              </w:rPr>
              <w:instrText xml:space="preserve"> PAGEREF _Toc215334471 \h </w:instrText>
            </w:r>
            <w:r>
              <w:rPr>
                <w:webHidden/>
              </w:rPr>
            </w:r>
            <w:r>
              <w:rPr>
                <w:webHidden/>
              </w:rPr>
              <w:fldChar w:fldCharType="separate"/>
            </w:r>
            <w:r>
              <w:rPr>
                <w:webHidden/>
              </w:rPr>
              <w:t>8</w:t>
            </w:r>
            <w:r>
              <w:rPr>
                <w:webHidden/>
              </w:rPr>
              <w:fldChar w:fldCharType="end"/>
            </w:r>
          </w:hyperlink>
        </w:p>
        <w:p w14:paraId="4131E348" w14:textId="7F22C90D" w:rsidR="003C5DA1" w:rsidRDefault="003C5DA1">
          <w:r>
            <w:rPr>
              <w:b/>
              <w:bCs/>
            </w:rPr>
            <w:fldChar w:fldCharType="end"/>
          </w:r>
        </w:p>
      </w:sdtContent>
    </w:sdt>
    <w:p w14:paraId="46DA940E" w14:textId="77777777" w:rsidR="003C5DA1" w:rsidRDefault="003C5DA1">
      <w:pPr>
        <w:jc w:val="center"/>
        <w:rPr>
          <w:b/>
          <w:bCs/>
          <w:sz w:val="32"/>
          <w:szCs w:val="32"/>
        </w:rPr>
      </w:pPr>
    </w:p>
    <w:p w14:paraId="0000000C" w14:textId="3DFEA3E5" w:rsidR="00A5576D" w:rsidRPr="003C5DA1" w:rsidRDefault="003C5DA1" w:rsidP="003C5DA1">
      <w:pPr>
        <w:rPr>
          <w:b/>
          <w:bCs/>
          <w:sz w:val="32"/>
          <w:szCs w:val="32"/>
          <w:lang w:val="en-US"/>
        </w:rPr>
      </w:pPr>
      <w:r>
        <w:rPr>
          <w:b/>
          <w:bCs/>
          <w:sz w:val="32"/>
          <w:szCs w:val="32"/>
        </w:rPr>
        <w:br w:type="page"/>
      </w:r>
    </w:p>
    <w:p w14:paraId="0000000D" w14:textId="633D36B5" w:rsidR="00A5576D" w:rsidRDefault="00160491">
      <w:pPr>
        <w:pStyle w:val="Heading1"/>
      </w:pPr>
      <w:bookmarkStart w:id="0" w:name="_1qh2043q9m0" w:colFirst="0" w:colLast="0"/>
      <w:bookmarkStart w:id="1" w:name="_Toc215334462"/>
      <w:bookmarkEnd w:id="0"/>
      <w:r>
        <w:lastRenderedPageBreak/>
        <w:t>1. Introduction</w:t>
      </w:r>
      <w:bookmarkEnd w:id="1"/>
    </w:p>
    <w:p w14:paraId="0000000E" w14:textId="77777777" w:rsidR="00A5576D" w:rsidRDefault="00947BA5">
      <w:r>
        <w:t>Treating adults at the age of 65 and above who dwell in dementia homes necessitates health/social care professionals to learn the psychological determinants that affect behaviour, communication, and emotionality. This report discusses the ways in which using psychological theories can help in undertaking effective practice with older adults who have a psychological health issue like dementia. Two theories have been discussed: the Social Learning Theory developed by Bandura and the Health Belief Model (HBM). Both theories will be described in detail, and then a critical discussion of how they are applicable in a dementia care home environment can be given, along with the way they are useful to support the residents, and they can improve the results and the practice.</w:t>
      </w:r>
    </w:p>
    <w:p w14:paraId="0000000F" w14:textId="3AB8E37B" w:rsidR="00A5576D" w:rsidRDefault="00947BA5">
      <w:pPr>
        <w:pStyle w:val="Heading1"/>
      </w:pPr>
      <w:bookmarkStart w:id="2" w:name="_s2odklgyaqv0" w:colFirst="0" w:colLast="0"/>
      <w:bookmarkStart w:id="3" w:name="_Toc215334463"/>
      <w:bookmarkEnd w:id="2"/>
      <w:r>
        <w:t>2. Overview o</w:t>
      </w:r>
      <w:r w:rsidR="00E95A0F">
        <w:t>f two psychological theories</w:t>
      </w:r>
      <w:bookmarkEnd w:id="3"/>
    </w:p>
    <w:p w14:paraId="00000010" w14:textId="77777777" w:rsidR="00A5576D" w:rsidRDefault="00947BA5">
      <w:pPr>
        <w:pStyle w:val="Heading2"/>
      </w:pPr>
      <w:bookmarkStart w:id="4" w:name="_6lcia4gs5yow" w:colFirst="0" w:colLast="0"/>
      <w:bookmarkStart w:id="5" w:name="_Toc215334464"/>
      <w:bookmarkEnd w:id="4"/>
      <w:r>
        <w:t>2.1 Bandura’s social learning theory</w:t>
      </w:r>
      <w:bookmarkEnd w:id="5"/>
      <w:r>
        <w:t xml:space="preserve"> </w:t>
      </w:r>
    </w:p>
    <w:p w14:paraId="00000011" w14:textId="77777777" w:rsidR="00A5576D" w:rsidRDefault="00947BA5">
      <w:r>
        <w:t>Social Learning Theory by Bandura is based on the assumption that behaviour is learnt by observing others, imitating their behaviour and getting it reinforced (</w:t>
      </w:r>
      <w:r>
        <w:rPr>
          <w:color w:val="222222"/>
          <w:highlight w:val="white"/>
        </w:rPr>
        <w:t>Yunitasari et al. 2022</w:t>
      </w:r>
      <w:r>
        <w:t>). The core idea of modelling by Bandura is that individuals are more prone to modelling the behaviour they have observed in people they see to be competent, trustworthy, or authoritative. Care staff in a dementia care home can even act as role models since the residents rely on them as a source of support, guidance and socialisation.</w:t>
      </w:r>
    </w:p>
    <w:p w14:paraId="00000012" w14:textId="77777777" w:rsidR="00A5576D" w:rsidRDefault="00947BA5">
      <w:r>
        <w:t>The other notable factor of this theory is reciprocal determinism, which implies that behaviour is influenced by interactions between the personal thoughts, emotions and environmental factors, as well as the behavioural reactions (</w:t>
      </w:r>
      <w:r>
        <w:rPr>
          <w:color w:val="222222"/>
          <w:highlight w:val="white"/>
        </w:rPr>
        <w:t>Sutton, 2021</w:t>
      </w:r>
      <w:r>
        <w:t>). In patients with dementia, the behaviour of older adults is highly influenced by tone of voice, facial expression, or the emotional climate of the care home. In most cases, the elderly are empathetic towards emotional stimuli and social modelling despite reduced memory and cognitive capacities.</w:t>
      </w:r>
    </w:p>
    <w:p w14:paraId="00000013" w14:textId="77777777" w:rsidR="00A5576D" w:rsidRDefault="00947BA5">
      <w:r>
        <w:t>Even though dementia diminishes the capacity to process new information, the residents usually have the capacity of learning emotionally. This implies that they can emulate relaxed, restorative, or assertive behaviours of employees. An example would be a staff member approaching the residents gradually, with a soft voice and relaxed body language, who is likely to get the residents to respond peacefully. On the other hand, anxiety may be provoked unknowingly by rushed or hurried staff behaviour (</w:t>
      </w:r>
      <w:r>
        <w:rPr>
          <w:color w:val="222222"/>
          <w:highlight w:val="white"/>
        </w:rPr>
        <w:t>Ismail</w:t>
      </w:r>
      <w:r>
        <w:rPr>
          <w:color w:val="222222"/>
          <w:sz w:val="28"/>
          <w:szCs w:val="28"/>
          <w:highlight w:val="white"/>
        </w:rPr>
        <w:t xml:space="preserve"> </w:t>
      </w:r>
      <w:r>
        <w:rPr>
          <w:color w:val="222222"/>
          <w:highlight w:val="white"/>
        </w:rPr>
        <w:t>and Alhossani, 2024</w:t>
      </w:r>
      <w:r>
        <w:t xml:space="preserve">). Social Learning Theory thus offers a </w:t>
      </w:r>
      <w:r>
        <w:lastRenderedPageBreak/>
        <w:t>significant paradigm through which professional behaviour determines the responses of residents, even in cases when the verbal form of reasoning ceases to be effective.</w:t>
      </w:r>
    </w:p>
    <w:p w14:paraId="00000014" w14:textId="77777777" w:rsidR="00A5576D" w:rsidRDefault="00947BA5">
      <w:r>
        <w:t>In general, this theory indicates the significance of positively modelling within dementia care homes on a regular basis. It gives the ideas of how the behaviours of residents can be changed by positive interaction with others, determined patterns, and emotional management enacted by staff.</w:t>
      </w:r>
    </w:p>
    <w:p w14:paraId="00000015" w14:textId="77777777" w:rsidR="00A5576D" w:rsidRDefault="00947BA5">
      <w:pPr>
        <w:pStyle w:val="Heading2"/>
      </w:pPr>
      <w:bookmarkStart w:id="6" w:name="_hjd3d7nmhmr4" w:colFirst="0" w:colLast="0"/>
      <w:bookmarkStart w:id="7" w:name="_Toc215334465"/>
      <w:bookmarkEnd w:id="6"/>
      <w:r>
        <w:t>2.2 Health Belief Model</w:t>
      </w:r>
      <w:bookmarkEnd w:id="7"/>
      <w:r>
        <w:t xml:space="preserve"> </w:t>
      </w:r>
    </w:p>
    <w:p w14:paraId="00000016" w14:textId="77777777" w:rsidR="00A5576D" w:rsidRDefault="00947BA5">
      <w:r>
        <w:t>The Health Belief Model (HBM) was created in a way that argues the reasons why different people practise or do not practise some health behaviours (</w:t>
      </w:r>
      <w:r>
        <w:rPr>
          <w:color w:val="222222"/>
          <w:highlight w:val="white"/>
        </w:rPr>
        <w:t>Beyera et al. 2022</w:t>
      </w:r>
      <w:r>
        <w:t>). It is anchored on several cognitive elements; they are perceived susceptibility, perceived severity, perceived benefits, perceived barriers, cues to action and self-efficacy. All these factors combine to influence the process of evaluating health risks by an individual and whether to adhere to the recommended behaviours or not.</w:t>
      </w:r>
    </w:p>
    <w:p w14:paraId="00000017" w14:textId="77777777" w:rsidR="00A5576D" w:rsidRDefault="00947BA5">
      <w:r>
        <w:t>In the case of older persons, particularly dementia patients, there are biases of cognitive loss and memory loss leading to reduced ability to understand cause and effect. As an example, a dementia patient might not even know why medication is necessary and why she should engage in any activities that would help him/her to become less isolated. Their perceived vulnerability or wickedness can be misjudged or not there. Thus, the work of care personnel will be important in environment creation, the purpose of which is to give signals to action, as well as facilitation of barriers to participation (</w:t>
      </w:r>
      <w:r>
        <w:rPr>
          <w:color w:val="222222"/>
          <w:highlight w:val="white"/>
        </w:rPr>
        <w:t>Hicks et al. 2022</w:t>
      </w:r>
      <w:r>
        <w:t>).</w:t>
      </w:r>
    </w:p>
    <w:p w14:paraId="00000018" w14:textId="77777777" w:rsidR="00A5576D" w:rsidRDefault="00947BA5">
      <w:r>
        <w:t>The HBM emphasises that beliefs in the benefits of an action towards health influence behaviour by a person. In dementia care homes, the residents might have low or no understanding of benefits, but can react to the simple descriptions, visual aids, and reassuring words. An example can be of a resident who might not be cooperative to receive personal care, as he/she forgets the need. A constant verbal encouragement and routine will create a reminder to take a course of action, and this can sometimes provoke the resident to conform (</w:t>
      </w:r>
      <w:r>
        <w:rPr>
          <w:color w:val="222222"/>
          <w:highlight w:val="white"/>
        </w:rPr>
        <w:t>Noble et al. 2023</w:t>
      </w:r>
      <w:r>
        <w:t>).</w:t>
      </w:r>
    </w:p>
    <w:p w14:paraId="00000019" w14:textId="77777777" w:rsidR="00A5576D" w:rsidRDefault="00947BA5">
      <w:r>
        <w:t>Dementia tends to have a devastating effect on self-efficacy, which is the belief an individual has in his/her ability to conduct a behaviour. The residents can get confused, frustrated, or incapable. Considering tasks that are split into tiny elements, providing guidelines, and emotional support, employees may improve their level of perceived self-efficacy and diminish feelings of helplessness.</w:t>
      </w:r>
    </w:p>
    <w:p w14:paraId="0000001A" w14:textId="77777777" w:rsidR="00A5576D" w:rsidRDefault="00947BA5">
      <w:r>
        <w:lastRenderedPageBreak/>
        <w:t>Generally, the HBM offers a viable model in explaining the role of cognitive, emotional, and environmental determinants in the context of health-related behaviours in old age. It will assist health and social care professionals in customising their interventions, communication approaches and routines to assist individuals with dementia.</w:t>
      </w:r>
    </w:p>
    <w:p w14:paraId="0000001B" w14:textId="72D5352F" w:rsidR="00A5576D" w:rsidRDefault="00947BA5">
      <w:pPr>
        <w:pStyle w:val="Heading1"/>
      </w:pPr>
      <w:bookmarkStart w:id="8" w:name="_ta42ypjiyl10" w:colFirst="0" w:colLast="0"/>
      <w:bookmarkStart w:id="9" w:name="_Toc215334466"/>
      <w:bookmarkEnd w:id="8"/>
      <w:r>
        <w:t>3. Application in a</w:t>
      </w:r>
      <w:r w:rsidR="00551F27">
        <w:t xml:space="preserve"> dementia care home setting</w:t>
      </w:r>
      <w:bookmarkEnd w:id="9"/>
    </w:p>
    <w:p w14:paraId="0000001C" w14:textId="77777777" w:rsidR="00A5576D" w:rsidRDefault="00947BA5">
      <w:pPr>
        <w:pStyle w:val="Heading2"/>
      </w:pPr>
      <w:bookmarkStart w:id="10" w:name="_nmzr6lip9bs6" w:colFirst="0" w:colLast="0"/>
      <w:bookmarkStart w:id="11" w:name="_Toc215334467"/>
      <w:bookmarkEnd w:id="10"/>
      <w:r>
        <w:t>3.1 Applying Bandura’s social learning theory</w:t>
      </w:r>
      <w:bookmarkEnd w:id="11"/>
    </w:p>
    <w:p w14:paraId="0000001D" w14:textId="7A2BD1EA" w:rsidR="00A5576D" w:rsidRDefault="00947BA5">
      <w:r>
        <w:t>By 2040, 1.4 million people are expected to have dementia. In the UK, dementia is expected to cost £42 billion in 2024 and £90 billion by 2040 (Alzheimer's Society, 2024). These figures show the growing prevalence and consequences of dementia. To address present and future care requirements, immediate action is required. The high prevalence renders the behaviour of staff very powerful. The Social Learning Theory by Bandura suggests that residents can model their behaviours after those they can see in the personnel on care, calm, gentle tones of voice, supportive gestures (</w:t>
      </w:r>
      <w:r w:rsidR="00C66AED">
        <w:rPr>
          <w:color w:val="222222"/>
          <w:highlight w:val="white"/>
        </w:rPr>
        <w:t xml:space="preserve">Gu et </w:t>
      </w:r>
      <w:r>
        <w:rPr>
          <w:color w:val="222222"/>
          <w:highlight w:val="white"/>
        </w:rPr>
        <w:t>al. 2025</w:t>
      </w:r>
      <w:r>
        <w:t>). This may be manifested in a UK care-home situation by having employees welcoming the residents, speaking in a slow, calming manner, when performing routine care duties, or participating with the residents in social or activity events. These religious modelling may make a resident feel safe, less agitated and foster positive socialising (</w:t>
      </w:r>
      <w:r>
        <w:rPr>
          <w:color w:val="222222"/>
          <w:highlight w:val="white"/>
        </w:rPr>
        <w:t>Adlbrecht et al. 2022</w:t>
      </w:r>
      <w:r>
        <w:t>). To take an example, employees should be invited to attend sessions of group activities, as it can prompt socially withdrawn residents to participate and engage. This non-pharmacological intervention is consistent with the known methods to decrease behavioural and psychological symptoms of dementia that are provided by guidance on dementia care in the UK.</w:t>
      </w:r>
    </w:p>
    <w:p w14:paraId="0000001E" w14:textId="77777777" w:rsidR="00A5576D" w:rsidRDefault="00947BA5">
      <w:pPr>
        <w:pStyle w:val="Heading2"/>
      </w:pPr>
      <w:bookmarkStart w:id="12" w:name="_xa0k2pcitjj5" w:colFirst="0" w:colLast="0"/>
      <w:bookmarkStart w:id="13" w:name="_Toc215334468"/>
      <w:bookmarkEnd w:id="12"/>
      <w:r>
        <w:t>3.2 Applying the Health Belief Model</w:t>
      </w:r>
      <w:bookmarkEnd w:id="13"/>
    </w:p>
    <w:p w14:paraId="0000001F" w14:textId="77777777" w:rsidR="00A5576D" w:rsidRDefault="00947BA5">
      <w:r>
        <w:t>Implementation of the Health Belief Model (HBM) in UK dementia care facilities entails knowledge of the role that the beliefs of the insiders or residents under the impact of the cognitive degradation play in influencing their readiness to take part in health or care-related activities. Since it is possible that a number of residents might have lost the underlying reasons of why routines such as medication, hygiene, and meals are beneficial, staff, whenever possible, may employ environmental cues and routines as external cues to action (</w:t>
      </w:r>
      <w:r>
        <w:rPr>
          <w:color w:val="222222"/>
          <w:highlight w:val="white"/>
        </w:rPr>
        <w:t>Espinosa-Salas</w:t>
      </w:r>
      <w:r>
        <w:rPr>
          <w:color w:val="222222"/>
          <w:sz w:val="28"/>
          <w:szCs w:val="28"/>
          <w:highlight w:val="white"/>
        </w:rPr>
        <w:t xml:space="preserve"> </w:t>
      </w:r>
      <w:r>
        <w:rPr>
          <w:color w:val="222222"/>
          <w:highlight w:val="white"/>
        </w:rPr>
        <w:t>and Gonzalez-Arias, 2023</w:t>
      </w:r>
      <w:r>
        <w:t>). As an example, frequent visual cues like signs, pictorial images, minimal spoken cues, or creating a well-known routine to promote engagement in taking care of hygiene, eating, or medication. The guidelines of care-home practice in the UK focus on routine activities, dementia-friendly space, and prompts that are easily requisite to encourage compliance of the residents.</w:t>
      </w:r>
    </w:p>
    <w:p w14:paraId="00000020" w14:textId="77777777" w:rsidR="00A5576D" w:rsidRDefault="00947BA5">
      <w:r>
        <w:lastRenderedPageBreak/>
        <w:t>Due to impaired memory and reasoning, HBM should be modified based on perceived benefits or susceptibility as the staff will be encouraged to focus on reassurance, emotional support, and recurring cues instead of being dependent on the judgment of the residents. By making work easier, providing support, and celebrating small achievements, employees can increase the self-efficacy and cooperation of a resident and contribute to safer and more regular treatment.</w:t>
      </w:r>
    </w:p>
    <w:p w14:paraId="00000021" w14:textId="77777777" w:rsidR="00A5576D" w:rsidRDefault="00947BA5">
      <w:pPr>
        <w:pStyle w:val="Heading2"/>
      </w:pPr>
      <w:bookmarkStart w:id="14" w:name="_rtg4245g3ma" w:colFirst="0" w:colLast="0"/>
      <w:bookmarkStart w:id="15" w:name="_Toc215334469"/>
      <w:bookmarkEnd w:id="14"/>
      <w:r>
        <w:t>3.3 Integrating both theories in practice</w:t>
      </w:r>
      <w:bookmarkEnd w:id="15"/>
    </w:p>
    <w:p w14:paraId="00000022" w14:textId="77777777" w:rsidR="00A5576D" w:rsidRDefault="00947BA5">
      <w:r>
        <w:t>Integrating the Social learning theory and Health Belief Model does provide a more holistic, person-centred care approach in a UK dementia home (</w:t>
      </w:r>
      <w:r>
        <w:rPr>
          <w:color w:val="222222"/>
          <w:highlight w:val="white"/>
        </w:rPr>
        <w:t>Serbser-Koal et al. 2024</w:t>
      </w:r>
      <w:r>
        <w:t>). To illustrate, in the morning activities, employees may demonstrate peaceful, respectful behaviour on Social Learning speaking with soft tones, reassuring and constant reminders (HBM) like visual reminders or routines that the residents are used to in order to make them know what is required. This two-fold approach will help in making the care activities, such as washing or dressing, less resistant, less agitated and promote cooperation. UK experience shows non-pharmacological as person-centred methods to behaviour management instead of the restrictive or strictly medical method. By adopting such integrated methods, care homes, that is, regular modelling, environmental adaptation, structured routines, and supportive prompts, can enhance the quality of life and decrease challenging behaviours in the dementia residents.</w:t>
      </w:r>
    </w:p>
    <w:p w14:paraId="00000023" w14:textId="220BC523" w:rsidR="00A5576D" w:rsidRDefault="008275D4">
      <w:pPr>
        <w:pStyle w:val="Heading1"/>
      </w:pPr>
      <w:bookmarkStart w:id="16" w:name="_tt5yi3b4650d" w:colFirst="0" w:colLast="0"/>
      <w:bookmarkStart w:id="17" w:name="_Toc215334470"/>
      <w:bookmarkEnd w:id="16"/>
      <w:r>
        <w:t>4. Conclusion</w:t>
      </w:r>
      <w:bookmarkEnd w:id="17"/>
    </w:p>
    <w:p w14:paraId="00000024" w14:textId="77777777" w:rsidR="00A5576D" w:rsidRDefault="00947BA5">
      <w:r>
        <w:rPr>
          <w:color w:val="111111"/>
        </w:rPr>
        <w:t>Addressing the needs of older adults with dementia by using health and social care workers necessitates the application of psychological theory that will enhance communication, well-being and daily functioning.</w:t>
      </w:r>
      <w:r>
        <w:t xml:space="preserve"> </w:t>
      </w:r>
      <w:r>
        <w:rPr>
          <w:color w:val="111111"/>
        </w:rPr>
        <w:t>The Social Learning Theory developed by Bandura points at the role of constant, quiet and positive behaviour of the staff, which the residents usually emulate despite losing their mental abilities.</w:t>
      </w:r>
      <w:r>
        <w:t xml:space="preserve"> </w:t>
      </w:r>
      <w:r>
        <w:rPr>
          <w:color w:val="111111"/>
        </w:rPr>
        <w:t>Health Belief Model assists in the explanation of why residents find it difficult to adhere to routines or care doing and directs staff to work with cues, reassurance and simplified processes.</w:t>
      </w:r>
      <w:r>
        <w:t xml:space="preserve"> </w:t>
      </w:r>
      <w:r>
        <w:rPr>
          <w:color w:val="111111"/>
        </w:rPr>
        <w:t>These theories produce a person-centred approach that diminishes distress, promotes cooperation and quality of life improvement when combined in a dementia care home environment.</w:t>
      </w:r>
    </w:p>
    <w:p w14:paraId="00000025" w14:textId="77777777" w:rsidR="00A5576D" w:rsidRDefault="00A5576D"/>
    <w:p w14:paraId="00000026" w14:textId="77777777" w:rsidR="00A5576D" w:rsidRDefault="00947BA5">
      <w:pPr>
        <w:pStyle w:val="Heading1"/>
      </w:pPr>
      <w:bookmarkStart w:id="18" w:name="_xgakhdmymqji" w:colFirst="0" w:colLast="0"/>
      <w:bookmarkEnd w:id="18"/>
      <w:r>
        <w:br w:type="page"/>
      </w:r>
    </w:p>
    <w:p w14:paraId="00000027" w14:textId="77777777" w:rsidR="00A5576D" w:rsidRDefault="00947BA5">
      <w:pPr>
        <w:pStyle w:val="Heading1"/>
      </w:pPr>
      <w:bookmarkStart w:id="19" w:name="_5wuei6bwls8j" w:colFirst="0" w:colLast="0"/>
      <w:bookmarkStart w:id="20" w:name="_Toc215334471"/>
      <w:bookmarkEnd w:id="19"/>
      <w:r>
        <w:lastRenderedPageBreak/>
        <w:t>Reference list</w:t>
      </w:r>
      <w:bookmarkEnd w:id="20"/>
      <w:r>
        <w:t xml:space="preserve"> </w:t>
      </w:r>
    </w:p>
    <w:p w14:paraId="75A37E74" w14:textId="77777777" w:rsidR="00D951F7" w:rsidRDefault="00D951F7" w:rsidP="00091B2B">
      <w:pPr>
        <w:spacing w:before="240" w:after="240"/>
        <w:rPr>
          <w:color w:val="222222"/>
          <w:highlight w:val="white"/>
        </w:rPr>
      </w:pPr>
      <w:r>
        <w:rPr>
          <w:color w:val="222222"/>
          <w:highlight w:val="white"/>
        </w:rPr>
        <w:t xml:space="preserve">Adlbrecht, L., Nemeth, T., Frommlet, F., Bartholomeyczik, S. and Mayer, H., 2022. Engagement in purposeful activities and social interactions amongst persons with dementia in special care units compared to traditional nursing homes: An observational study. </w:t>
      </w:r>
      <w:r>
        <w:rPr>
          <w:i/>
          <w:iCs/>
          <w:color w:val="222222"/>
          <w:highlight w:val="white"/>
        </w:rPr>
        <w:t>Scandinavian Journal of Caring Sciences</w:t>
      </w:r>
      <w:r>
        <w:rPr>
          <w:color w:val="222222"/>
          <w:highlight w:val="white"/>
        </w:rPr>
        <w:t xml:space="preserve">, </w:t>
      </w:r>
      <w:r>
        <w:rPr>
          <w:i/>
          <w:iCs/>
          <w:color w:val="222222"/>
          <w:highlight w:val="white"/>
        </w:rPr>
        <w:t>36</w:t>
      </w:r>
      <w:r>
        <w:rPr>
          <w:color w:val="222222"/>
          <w:highlight w:val="white"/>
        </w:rPr>
        <w:t>(3), pp.650-662.</w:t>
      </w:r>
    </w:p>
    <w:p w14:paraId="1C37171D" w14:textId="77777777" w:rsidR="00D951F7" w:rsidRDefault="00D951F7" w:rsidP="00091B2B">
      <w:pPr>
        <w:spacing w:before="240" w:after="240"/>
      </w:pPr>
      <w:r>
        <w:t xml:space="preserve">Alzheimer's Society 2024. </w:t>
      </w:r>
      <w:r>
        <w:rPr>
          <w:i/>
          <w:iCs/>
        </w:rPr>
        <w:t>How many people have dementia in the UK?</w:t>
      </w:r>
      <w:r>
        <w:t xml:space="preserve">, </w:t>
      </w:r>
      <w:r>
        <w:rPr>
          <w:i/>
          <w:iCs/>
        </w:rPr>
        <w:t>www.alzheimers.org.uk</w:t>
      </w:r>
      <w:r>
        <w:t>. Available at: https://www.alzheimers.org.uk/blog/how-many-people-have-dementia-uk (Accessed: 29 November 2025).</w:t>
      </w:r>
    </w:p>
    <w:p w14:paraId="087E6777" w14:textId="77777777" w:rsidR="00D951F7" w:rsidRDefault="00D951F7" w:rsidP="00091B2B">
      <w:pPr>
        <w:spacing w:before="240" w:after="240"/>
        <w:rPr>
          <w:color w:val="222222"/>
          <w:sz w:val="28"/>
          <w:szCs w:val="28"/>
          <w:highlight w:val="white"/>
        </w:rPr>
      </w:pPr>
      <w:r>
        <w:rPr>
          <w:color w:val="222222"/>
          <w:highlight w:val="white"/>
        </w:rPr>
        <w:t xml:space="preserve">Beyera, G.K., O’Brien, J. and Campbell, S., 2022. Choosing a health behaviour theory or model for related research projects: a narrative review. </w:t>
      </w:r>
      <w:r>
        <w:rPr>
          <w:i/>
          <w:iCs/>
          <w:color w:val="222222"/>
          <w:highlight w:val="white"/>
        </w:rPr>
        <w:t>Journal of Research in Nursing</w:t>
      </w:r>
      <w:r>
        <w:rPr>
          <w:color w:val="222222"/>
          <w:highlight w:val="white"/>
        </w:rPr>
        <w:t xml:space="preserve">, </w:t>
      </w:r>
      <w:r>
        <w:rPr>
          <w:i/>
          <w:iCs/>
          <w:color w:val="222222"/>
          <w:highlight w:val="white"/>
        </w:rPr>
        <w:t>27</w:t>
      </w:r>
      <w:r>
        <w:rPr>
          <w:color w:val="222222"/>
          <w:highlight w:val="white"/>
        </w:rPr>
        <w:t>(5), pp.436-446.</w:t>
      </w:r>
    </w:p>
    <w:p w14:paraId="7453EEFC" w14:textId="77777777" w:rsidR="00D951F7" w:rsidRDefault="00D951F7" w:rsidP="00091B2B">
      <w:pPr>
        <w:spacing w:before="240" w:after="240"/>
        <w:rPr>
          <w:color w:val="222222"/>
          <w:highlight w:val="white"/>
        </w:rPr>
      </w:pPr>
      <w:r>
        <w:rPr>
          <w:color w:val="222222"/>
          <w:highlight w:val="white"/>
        </w:rPr>
        <w:t>Espinosa-Salas, S. and Gonzalez-Arias, M., 2023. Behavior modification for lifestyle improvement.</w:t>
      </w:r>
    </w:p>
    <w:p w14:paraId="53042093" w14:textId="77777777" w:rsidR="00D951F7" w:rsidRDefault="00D951F7" w:rsidP="00091B2B">
      <w:pPr>
        <w:spacing w:before="240" w:after="240"/>
        <w:rPr>
          <w:color w:val="222222"/>
          <w:sz w:val="28"/>
          <w:szCs w:val="28"/>
          <w:highlight w:val="white"/>
        </w:rPr>
      </w:pPr>
      <w:r>
        <w:rPr>
          <w:color w:val="222222"/>
          <w:highlight w:val="white"/>
        </w:rPr>
        <w:t xml:space="preserve">Gu, B., Lv, Y., Zhu, J., Sun, X. and Li, K., 2025. Analyzing the practice of medical humanistic care based on a social learning model: mapping the trajectory of the learning dynamic process from the learner’s perspective. </w:t>
      </w:r>
      <w:r>
        <w:rPr>
          <w:i/>
          <w:iCs/>
          <w:color w:val="222222"/>
          <w:highlight w:val="white"/>
        </w:rPr>
        <w:t>Frontiers in Medicine</w:t>
      </w:r>
      <w:r>
        <w:rPr>
          <w:color w:val="222222"/>
          <w:highlight w:val="white"/>
        </w:rPr>
        <w:t xml:space="preserve">, </w:t>
      </w:r>
      <w:r>
        <w:rPr>
          <w:i/>
          <w:iCs/>
          <w:color w:val="222222"/>
          <w:highlight w:val="white"/>
        </w:rPr>
        <w:t>12</w:t>
      </w:r>
      <w:r>
        <w:rPr>
          <w:color w:val="222222"/>
          <w:highlight w:val="white"/>
        </w:rPr>
        <w:t>, p.1601951.</w:t>
      </w:r>
    </w:p>
    <w:p w14:paraId="606277F3" w14:textId="77777777" w:rsidR="00D951F7" w:rsidRDefault="00D951F7" w:rsidP="00091B2B">
      <w:pPr>
        <w:spacing w:before="240" w:after="240"/>
        <w:rPr>
          <w:color w:val="222222"/>
          <w:highlight w:val="white"/>
        </w:rPr>
      </w:pPr>
      <w:r>
        <w:rPr>
          <w:color w:val="222222"/>
          <w:highlight w:val="white"/>
        </w:rPr>
        <w:t xml:space="preserve">Hicks, B., Karim, A., Jones, E., Burgin, M., Cutler, C., Tang, W., Thomas, S. and Nyman, S.R., 2022. Care home practitioners’ perceptions of the barriers and facilitators for using off-the-shelf gaming technology with people with dementia. </w:t>
      </w:r>
      <w:r>
        <w:rPr>
          <w:i/>
          <w:iCs/>
          <w:color w:val="222222"/>
          <w:highlight w:val="white"/>
        </w:rPr>
        <w:t>Dementia</w:t>
      </w:r>
      <w:r>
        <w:rPr>
          <w:color w:val="222222"/>
          <w:highlight w:val="white"/>
        </w:rPr>
        <w:t xml:space="preserve">, </w:t>
      </w:r>
      <w:r>
        <w:rPr>
          <w:i/>
          <w:iCs/>
          <w:color w:val="222222"/>
          <w:highlight w:val="white"/>
        </w:rPr>
        <w:t>21</w:t>
      </w:r>
      <w:r>
        <w:rPr>
          <w:color w:val="222222"/>
          <w:highlight w:val="white"/>
        </w:rPr>
        <w:t>(5), pp.1532-1555.</w:t>
      </w:r>
    </w:p>
    <w:p w14:paraId="3CA0893B" w14:textId="77777777" w:rsidR="00D951F7" w:rsidRDefault="00D951F7" w:rsidP="00091B2B">
      <w:pPr>
        <w:spacing w:before="240" w:after="240"/>
        <w:rPr>
          <w:color w:val="222222"/>
          <w:highlight w:val="white"/>
        </w:rPr>
      </w:pPr>
      <w:r>
        <w:rPr>
          <w:color w:val="222222"/>
          <w:highlight w:val="white"/>
        </w:rPr>
        <w:t xml:space="preserve">Ismail, F. and Alhossani, A.A., 2024. Anxiety Disorders in the Workplace: How to Deal and Does Anxiety Affect Employee’s. </w:t>
      </w:r>
      <w:r>
        <w:rPr>
          <w:i/>
          <w:iCs/>
          <w:color w:val="222222"/>
          <w:highlight w:val="white"/>
        </w:rPr>
        <w:t>Journal of Techno-Social</w:t>
      </w:r>
      <w:r>
        <w:rPr>
          <w:color w:val="222222"/>
          <w:highlight w:val="white"/>
        </w:rPr>
        <w:t xml:space="preserve">, </w:t>
      </w:r>
      <w:r>
        <w:rPr>
          <w:i/>
          <w:iCs/>
          <w:color w:val="222222"/>
          <w:highlight w:val="white"/>
        </w:rPr>
        <w:t>16</w:t>
      </w:r>
      <w:r>
        <w:rPr>
          <w:color w:val="222222"/>
          <w:highlight w:val="white"/>
        </w:rPr>
        <w:t>(1), pp.1-11.</w:t>
      </w:r>
    </w:p>
    <w:p w14:paraId="75BD821C" w14:textId="77777777" w:rsidR="00D951F7" w:rsidRDefault="00D951F7" w:rsidP="00091B2B">
      <w:pPr>
        <w:spacing w:before="240" w:after="240"/>
        <w:rPr>
          <w:color w:val="222222"/>
          <w:highlight w:val="white"/>
        </w:rPr>
      </w:pPr>
      <w:r>
        <w:rPr>
          <w:color w:val="222222"/>
          <w:highlight w:val="white"/>
        </w:rPr>
        <w:t xml:space="preserve">Noble, C., Young, J., Brazil, V., Krogh, K. and Molloy, E., 2023. Developing residents’ feedback literacy in emergency medicine: Lessons from design‐based research. </w:t>
      </w:r>
      <w:r>
        <w:rPr>
          <w:i/>
          <w:iCs/>
          <w:color w:val="222222"/>
          <w:highlight w:val="white"/>
        </w:rPr>
        <w:t>AEM Education and Training</w:t>
      </w:r>
      <w:r>
        <w:rPr>
          <w:color w:val="222222"/>
          <w:highlight w:val="white"/>
        </w:rPr>
        <w:t xml:space="preserve">, </w:t>
      </w:r>
      <w:r>
        <w:rPr>
          <w:i/>
          <w:iCs/>
          <w:color w:val="222222"/>
          <w:highlight w:val="white"/>
        </w:rPr>
        <w:t>7</w:t>
      </w:r>
      <w:r>
        <w:rPr>
          <w:color w:val="222222"/>
          <w:highlight w:val="white"/>
        </w:rPr>
        <w:t>(4), p.e10897.</w:t>
      </w:r>
    </w:p>
    <w:p w14:paraId="023558AC" w14:textId="77777777" w:rsidR="00D951F7" w:rsidRDefault="00D951F7" w:rsidP="00091B2B">
      <w:pPr>
        <w:spacing w:before="240" w:after="240"/>
        <w:rPr>
          <w:color w:val="222222"/>
          <w:sz w:val="28"/>
          <w:szCs w:val="28"/>
          <w:highlight w:val="white"/>
        </w:rPr>
      </w:pPr>
      <w:r>
        <w:rPr>
          <w:color w:val="222222"/>
          <w:highlight w:val="white"/>
        </w:rPr>
        <w:lastRenderedPageBreak/>
        <w:t xml:space="preserve">Serbser-Koal, J., Rommerskirch-Manietta, M., Purwins, D. and Roes, M., 2024. Person-centredness in dementia care: an integrative review of theoretical approaches. </w:t>
      </w:r>
      <w:r>
        <w:rPr>
          <w:i/>
          <w:iCs/>
          <w:color w:val="222222"/>
          <w:highlight w:val="white"/>
        </w:rPr>
        <w:t>BMJ open</w:t>
      </w:r>
      <w:r>
        <w:rPr>
          <w:color w:val="222222"/>
          <w:highlight w:val="white"/>
        </w:rPr>
        <w:t xml:space="preserve">, </w:t>
      </w:r>
      <w:r>
        <w:rPr>
          <w:i/>
          <w:iCs/>
          <w:color w:val="222222"/>
          <w:highlight w:val="white"/>
        </w:rPr>
        <w:t>14</w:t>
      </w:r>
      <w:r>
        <w:rPr>
          <w:color w:val="222222"/>
          <w:highlight w:val="white"/>
        </w:rPr>
        <w:t>(6), p.e085051.</w:t>
      </w:r>
    </w:p>
    <w:p w14:paraId="5397728F" w14:textId="77777777" w:rsidR="00D951F7" w:rsidRDefault="00D951F7" w:rsidP="00091B2B">
      <w:pPr>
        <w:spacing w:before="240" w:after="240"/>
        <w:rPr>
          <w:color w:val="222222"/>
          <w:highlight w:val="white"/>
        </w:rPr>
      </w:pPr>
      <w:r>
        <w:rPr>
          <w:color w:val="222222"/>
          <w:highlight w:val="white"/>
        </w:rPr>
        <w:t xml:space="preserve">Sutton, J. 2021. </w:t>
      </w:r>
      <w:r>
        <w:rPr>
          <w:i/>
          <w:iCs/>
          <w:color w:val="222222"/>
          <w:highlight w:val="white"/>
        </w:rPr>
        <w:t>What is bandura’s social learning theory? 3 examples</w:t>
      </w:r>
      <w:r>
        <w:rPr>
          <w:color w:val="222222"/>
          <w:highlight w:val="white"/>
        </w:rPr>
        <w:t xml:space="preserve">, </w:t>
      </w:r>
      <w:r>
        <w:rPr>
          <w:i/>
          <w:iCs/>
          <w:color w:val="222222"/>
          <w:highlight w:val="white"/>
        </w:rPr>
        <w:t>PositivePsychology.com</w:t>
      </w:r>
      <w:r>
        <w:rPr>
          <w:color w:val="222222"/>
          <w:highlight w:val="white"/>
        </w:rPr>
        <w:t>. Available at: https://positivepsychology.com/social-learning-theory-bandura/ (Accessed: 29 November 2025).</w:t>
      </w:r>
    </w:p>
    <w:p w14:paraId="7412BB01" w14:textId="77777777" w:rsidR="00D951F7" w:rsidRDefault="00D951F7" w:rsidP="00091B2B">
      <w:pPr>
        <w:spacing w:before="240" w:after="240"/>
        <w:rPr>
          <w:color w:val="222222"/>
          <w:highlight w:val="white"/>
        </w:rPr>
      </w:pPr>
      <w:r>
        <w:rPr>
          <w:color w:val="222222"/>
          <w:highlight w:val="white"/>
        </w:rPr>
        <w:t xml:space="preserve">Yunitasari, S.E., Hufad, A., Rakhmat, C. and Soendari, T., 2022. Parenting Technique Based on the Social Learning Theory. </w:t>
      </w:r>
      <w:r>
        <w:rPr>
          <w:i/>
          <w:iCs/>
          <w:color w:val="222222"/>
          <w:highlight w:val="white"/>
        </w:rPr>
        <w:t>JOMSIGN: Journal of Multicultural Studies in Guidance and Counseling</w:t>
      </w:r>
      <w:r>
        <w:rPr>
          <w:color w:val="222222"/>
          <w:highlight w:val="white"/>
        </w:rPr>
        <w:t xml:space="preserve">, </w:t>
      </w:r>
      <w:r>
        <w:rPr>
          <w:i/>
          <w:iCs/>
          <w:color w:val="222222"/>
          <w:highlight w:val="white"/>
        </w:rPr>
        <w:t>6</w:t>
      </w:r>
      <w:r>
        <w:rPr>
          <w:color w:val="222222"/>
          <w:highlight w:val="white"/>
        </w:rPr>
        <w:t>(1), pp.1-13.</w:t>
      </w:r>
    </w:p>
    <w:sectPr w:rsidR="00D951F7" w:rsidSect="00AE471F">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9478A" w14:textId="77777777" w:rsidR="00627116" w:rsidRDefault="00627116" w:rsidP="009A3659">
      <w:pPr>
        <w:spacing w:line="240" w:lineRule="auto"/>
      </w:pPr>
      <w:r>
        <w:separator/>
      </w:r>
    </w:p>
  </w:endnote>
  <w:endnote w:type="continuationSeparator" w:id="0">
    <w:p w14:paraId="73207B21" w14:textId="77777777" w:rsidR="00627116" w:rsidRDefault="00627116" w:rsidP="009A36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27F9535B-8CBC-4FA4-BCA1-889EBC594304}"/>
  </w:font>
  <w:font w:name="Cambria">
    <w:panose1 w:val="02040503050406030204"/>
    <w:charset w:val="00"/>
    <w:family w:val="roman"/>
    <w:pitch w:val="variable"/>
    <w:sig w:usb0="E00006FF" w:usb1="420024FF" w:usb2="02000000" w:usb3="00000000" w:csb0="0000019F" w:csb1="00000000"/>
    <w:embedRegular r:id="rId2" w:fontKey="{371F61D2-3EC8-44B6-B3D0-ACFA6C859A9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892470777"/>
      <w:docPartObj>
        <w:docPartGallery w:val="Page Numbers (Bottom of Page)"/>
        <w:docPartUnique/>
      </w:docPartObj>
    </w:sdtPr>
    <w:sdtEndPr>
      <w:rPr>
        <w:noProof/>
        <w:sz w:val="20"/>
        <w:szCs w:val="20"/>
      </w:rPr>
    </w:sdtEndPr>
    <w:sdtContent>
      <w:p w14:paraId="5705A5E4" w14:textId="11E11277" w:rsidR="009A3659" w:rsidRPr="009A3659" w:rsidRDefault="009A3659">
        <w:pPr>
          <w:pStyle w:val="Footer"/>
          <w:jc w:val="right"/>
          <w:rPr>
            <w:sz w:val="20"/>
            <w:szCs w:val="20"/>
          </w:rPr>
        </w:pPr>
        <w:r w:rsidRPr="009A3659">
          <w:rPr>
            <w:noProof w:val="0"/>
            <w:sz w:val="20"/>
            <w:szCs w:val="20"/>
          </w:rPr>
          <w:fldChar w:fldCharType="begin"/>
        </w:r>
        <w:r w:rsidRPr="009A3659">
          <w:rPr>
            <w:sz w:val="20"/>
            <w:szCs w:val="20"/>
          </w:rPr>
          <w:instrText xml:space="preserve"> PAGE   \* MERGEFORMAT </w:instrText>
        </w:r>
        <w:r w:rsidRPr="009A3659">
          <w:rPr>
            <w:noProof w:val="0"/>
            <w:sz w:val="20"/>
            <w:szCs w:val="20"/>
          </w:rPr>
          <w:fldChar w:fldCharType="separate"/>
        </w:r>
        <w:r w:rsidR="00947BA5">
          <w:rPr>
            <w:sz w:val="20"/>
            <w:szCs w:val="20"/>
          </w:rPr>
          <w:t>1</w:t>
        </w:r>
        <w:r w:rsidRPr="009A3659">
          <w:rPr>
            <w:sz w:val="20"/>
            <w:szCs w:val="20"/>
          </w:rPr>
          <w:fldChar w:fldCharType="end"/>
        </w:r>
      </w:p>
    </w:sdtContent>
  </w:sdt>
  <w:p w14:paraId="405C2155" w14:textId="77777777" w:rsidR="009A3659" w:rsidRDefault="009A36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79A99" w14:textId="77777777" w:rsidR="00627116" w:rsidRDefault="00627116" w:rsidP="009A3659">
      <w:pPr>
        <w:spacing w:line="240" w:lineRule="auto"/>
      </w:pPr>
      <w:r>
        <w:separator/>
      </w:r>
    </w:p>
  </w:footnote>
  <w:footnote w:type="continuationSeparator" w:id="0">
    <w:p w14:paraId="4ABF7F5D" w14:textId="77777777" w:rsidR="00627116" w:rsidRDefault="00627116" w:rsidP="009A365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76D"/>
    <w:rsid w:val="00091B2B"/>
    <w:rsid w:val="00160491"/>
    <w:rsid w:val="00336686"/>
    <w:rsid w:val="003C5DA1"/>
    <w:rsid w:val="00551F27"/>
    <w:rsid w:val="00627116"/>
    <w:rsid w:val="00637DD1"/>
    <w:rsid w:val="007A095E"/>
    <w:rsid w:val="008275D4"/>
    <w:rsid w:val="008D1362"/>
    <w:rsid w:val="00947BA5"/>
    <w:rsid w:val="009A3659"/>
    <w:rsid w:val="00A5576D"/>
    <w:rsid w:val="00AE471F"/>
    <w:rsid w:val="00B97C51"/>
    <w:rsid w:val="00C20C0A"/>
    <w:rsid w:val="00C66AED"/>
    <w:rsid w:val="00D951F7"/>
    <w:rsid w:val="00DD2396"/>
    <w:rsid w:val="00E95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2F6EA"/>
  <w15:docId w15:val="{3E50CA98-EAC1-49DC-962D-DC225074A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noProof/>
      <w:lang w:val="en-GB"/>
    </w:rPr>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9A3659"/>
    <w:pPr>
      <w:tabs>
        <w:tab w:val="center" w:pos="4680"/>
        <w:tab w:val="right" w:pos="9360"/>
      </w:tabs>
      <w:spacing w:line="240" w:lineRule="auto"/>
    </w:pPr>
  </w:style>
  <w:style w:type="character" w:customStyle="1" w:styleId="HeaderChar">
    <w:name w:val="Header Char"/>
    <w:basedOn w:val="DefaultParagraphFont"/>
    <w:link w:val="Header"/>
    <w:uiPriority w:val="99"/>
    <w:rsid w:val="009A3659"/>
    <w:rPr>
      <w:noProof/>
      <w:lang w:val="en-GB"/>
    </w:rPr>
  </w:style>
  <w:style w:type="paragraph" w:styleId="Footer">
    <w:name w:val="footer"/>
    <w:basedOn w:val="Normal"/>
    <w:link w:val="FooterChar"/>
    <w:uiPriority w:val="99"/>
    <w:unhideWhenUsed/>
    <w:rsid w:val="009A3659"/>
    <w:pPr>
      <w:tabs>
        <w:tab w:val="center" w:pos="4680"/>
        <w:tab w:val="right" w:pos="9360"/>
      </w:tabs>
      <w:spacing w:line="240" w:lineRule="auto"/>
    </w:pPr>
  </w:style>
  <w:style w:type="character" w:customStyle="1" w:styleId="FooterChar">
    <w:name w:val="Footer Char"/>
    <w:basedOn w:val="DefaultParagraphFont"/>
    <w:link w:val="Footer"/>
    <w:uiPriority w:val="99"/>
    <w:rsid w:val="009A3659"/>
    <w:rPr>
      <w:noProof/>
      <w:lang w:val="en-GB"/>
    </w:rPr>
  </w:style>
  <w:style w:type="paragraph" w:styleId="TOCHeading">
    <w:name w:val="TOC Heading"/>
    <w:basedOn w:val="Heading1"/>
    <w:next w:val="Normal"/>
    <w:uiPriority w:val="39"/>
    <w:unhideWhenUsed/>
    <w:qFormat/>
    <w:rsid w:val="003C5DA1"/>
    <w:pPr>
      <w:spacing w:before="240" w:line="259" w:lineRule="auto"/>
      <w:jc w:val="left"/>
      <w:outlineLvl w:val="9"/>
    </w:pPr>
    <w:rPr>
      <w:rFonts w:asciiTheme="majorHAnsi" w:eastAsiaTheme="majorEastAsia" w:hAnsiTheme="majorHAnsi" w:cstheme="majorBidi"/>
      <w:b w:val="0"/>
      <w:bCs w:val="0"/>
      <w:noProof w:val="0"/>
      <w:color w:val="365F91" w:themeColor="accent1" w:themeShade="BF"/>
      <w:sz w:val="32"/>
      <w:szCs w:val="32"/>
      <w:lang w:val="en-US"/>
    </w:rPr>
  </w:style>
  <w:style w:type="paragraph" w:styleId="TOC1">
    <w:name w:val="toc 1"/>
    <w:basedOn w:val="Normal"/>
    <w:next w:val="Normal"/>
    <w:autoRedefine/>
    <w:uiPriority w:val="39"/>
    <w:unhideWhenUsed/>
    <w:rsid w:val="003C5DA1"/>
    <w:pPr>
      <w:spacing w:after="100"/>
    </w:pPr>
  </w:style>
  <w:style w:type="paragraph" w:styleId="TOC2">
    <w:name w:val="toc 2"/>
    <w:basedOn w:val="Normal"/>
    <w:next w:val="Normal"/>
    <w:autoRedefine/>
    <w:uiPriority w:val="39"/>
    <w:unhideWhenUsed/>
    <w:rsid w:val="003C5DA1"/>
    <w:pPr>
      <w:spacing w:after="100"/>
      <w:ind w:left="240"/>
    </w:pPr>
  </w:style>
  <w:style w:type="character" w:styleId="Hyperlink">
    <w:name w:val="Hyperlink"/>
    <w:basedOn w:val="DefaultParagraphFont"/>
    <w:uiPriority w:val="99"/>
    <w:unhideWhenUsed/>
    <w:rsid w:val="003C5DA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D61BCEAA-AE3C-4678-8800-65CF6DDB1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2019</Words>
  <Characters>11573</Characters>
  <Application>Microsoft Office Word</Application>
  <DocSecurity>0</DocSecurity>
  <Lines>183</Lines>
  <Paragraphs>59</Paragraphs>
  <ScaleCrop>false</ScaleCrop>
  <Company/>
  <LinksUpToDate>false</LinksUpToDate>
  <CharactersWithSpaces>13533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Faridah Namukasa (2429800)</cp:lastModifiedBy>
  <cp:revision>3</cp:revision>
  <dcterms:created xsi:type="dcterms:W3CDTF">2025-11-29T13:14:00Z</dcterms:created>
  <dcterms:modified xsi:type="dcterms:W3CDTF">2025-12-19T00:23:00Z</dcterms:modified>
</cp:coreProperties>
</file>