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7DA51C" w14:textId="713BE8ED" w:rsidR="007C1D67" w:rsidRDefault="007C1D67" w:rsidP="007C1D67">
      <w:pPr>
        <w:jc w:val="center"/>
        <w:rPr>
          <w:rFonts w:ascii="Arial" w:hAnsi="Arial" w:cs="Arial"/>
          <w:sz w:val="48"/>
          <w:szCs w:val="48"/>
        </w:rPr>
      </w:pPr>
      <w:r>
        <w:drawing>
          <wp:anchor distT="0" distB="0" distL="114300" distR="114300" simplePos="0" relativeHeight="251658240" behindDoc="0" locked="0" layoutInCell="1" allowOverlap="1" wp14:anchorId="58CE9635" wp14:editId="31D893AD">
            <wp:simplePos x="0" y="0"/>
            <wp:positionH relativeFrom="margin">
              <wp:posOffset>3035808</wp:posOffset>
            </wp:positionH>
            <wp:positionV relativeFrom="margin">
              <wp:posOffset>-402336</wp:posOffset>
            </wp:positionV>
            <wp:extent cx="3145155" cy="1313815"/>
            <wp:effectExtent l="0" t="0" r="4445" b="0"/>
            <wp:wrapSquare wrapText="bothSides"/>
            <wp:docPr id="821040987"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45155" cy="131381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"https://emedia1.nhs.wales/NWISWalesNHSUK/cache/file/D50B00C7-6D28-4675-BBCC5435147EF6A2_carouselimage.png" \* MERGEFORMATINET </w:instrText>
      </w:r>
      <w:r>
        <w:fldChar w:fldCharType="separate"/>
      </w:r>
      <w:r>
        <w:fldChar w:fldCharType="end"/>
      </w:r>
    </w:p>
    <w:p w14:paraId="2B24E643" w14:textId="77777777" w:rsidR="007C1D67" w:rsidRDefault="007C1D67" w:rsidP="007C1D67">
      <w:pPr>
        <w:jc w:val="center"/>
        <w:rPr>
          <w:rFonts w:ascii="Arial" w:hAnsi="Arial" w:cs="Arial"/>
          <w:sz w:val="48"/>
          <w:szCs w:val="48"/>
        </w:rPr>
      </w:pPr>
    </w:p>
    <w:p w14:paraId="0E9EB06C" w14:textId="335BD690" w:rsidR="007C1D67" w:rsidRDefault="007C1D67" w:rsidP="007C1D67">
      <w:pPr>
        <w:jc w:val="center"/>
        <w:rPr>
          <w:rFonts w:ascii="Arial" w:hAnsi="Arial" w:cs="Arial"/>
          <w:sz w:val="48"/>
          <w:szCs w:val="48"/>
        </w:rPr>
      </w:pPr>
    </w:p>
    <w:p w14:paraId="32808D5B" w14:textId="77777777" w:rsidR="007C1D67" w:rsidRDefault="007C1D67" w:rsidP="007C1D67">
      <w:pPr>
        <w:jc w:val="center"/>
        <w:rPr>
          <w:rFonts w:ascii="Arial" w:hAnsi="Arial" w:cs="Arial"/>
          <w:sz w:val="48"/>
          <w:szCs w:val="48"/>
        </w:rPr>
      </w:pPr>
    </w:p>
    <w:p w14:paraId="24550932" w14:textId="77777777" w:rsidR="007C1D67" w:rsidRDefault="007C1D67" w:rsidP="007C1D67">
      <w:pPr>
        <w:jc w:val="center"/>
        <w:rPr>
          <w:rFonts w:ascii="Arial" w:hAnsi="Arial" w:cs="Arial"/>
          <w:sz w:val="48"/>
          <w:szCs w:val="48"/>
        </w:rPr>
      </w:pPr>
    </w:p>
    <w:p w14:paraId="76E7FAB6" w14:textId="77777777" w:rsidR="007C1D67" w:rsidRDefault="007C1D67" w:rsidP="007C1D67">
      <w:pPr>
        <w:jc w:val="center"/>
        <w:rPr>
          <w:rFonts w:ascii="Arial" w:hAnsi="Arial" w:cs="Arial"/>
          <w:sz w:val="48"/>
          <w:szCs w:val="48"/>
        </w:rPr>
      </w:pPr>
    </w:p>
    <w:p w14:paraId="32C828DA" w14:textId="26F8882A" w:rsidR="007C1D67" w:rsidRDefault="007C1D67" w:rsidP="007C1D67">
      <w:pPr>
        <w:jc w:val="center"/>
        <w:rPr>
          <w:rFonts w:ascii="Arial" w:hAnsi="Arial" w:cs="Arial"/>
          <w:sz w:val="48"/>
          <w:szCs w:val="48"/>
        </w:rPr>
      </w:pPr>
      <w:r>
        <w:rPr>
          <w:rFonts w:ascii="Arial" w:hAnsi="Arial" w:cs="Arial"/>
          <w:sz w:val="48"/>
          <w:szCs w:val="48"/>
        </w:rPr>
        <w:t>Alexandru Madalin Fudulu</w:t>
      </w:r>
    </w:p>
    <w:p w14:paraId="1C7288E1" w14:textId="433077BC" w:rsidR="007C1D67" w:rsidRDefault="007C1D67" w:rsidP="007C1D67">
      <w:pPr>
        <w:jc w:val="center"/>
        <w:rPr>
          <w:rFonts w:ascii="Arial" w:hAnsi="Arial" w:cs="Arial"/>
          <w:sz w:val="48"/>
          <w:szCs w:val="48"/>
        </w:rPr>
      </w:pPr>
      <w:r>
        <w:rPr>
          <w:rFonts w:ascii="Arial" w:hAnsi="Arial" w:cs="Arial"/>
          <w:sz w:val="48"/>
          <w:szCs w:val="48"/>
        </w:rPr>
        <w:t>LCHS4010 – Psychology in Health and Social Care</w:t>
      </w:r>
    </w:p>
    <w:p w14:paraId="0A7880D2" w14:textId="4C77D969" w:rsidR="00A20394" w:rsidRPr="007C1D67" w:rsidRDefault="00A20394" w:rsidP="007C1D67">
      <w:pPr>
        <w:jc w:val="center"/>
        <w:rPr>
          <w:rFonts w:ascii="Arial" w:hAnsi="Arial" w:cs="Arial"/>
          <w:sz w:val="48"/>
          <w:szCs w:val="48"/>
        </w:rPr>
      </w:pPr>
      <w:r>
        <w:rPr>
          <w:rFonts w:ascii="Arial" w:hAnsi="Arial" w:cs="Arial"/>
          <w:sz w:val="48"/>
          <w:szCs w:val="48"/>
        </w:rPr>
        <w:t>Word Count: 1424</w:t>
      </w:r>
    </w:p>
    <w:p w14:paraId="00F802C7" w14:textId="77777777" w:rsidR="007C1D67" w:rsidRDefault="007C1D67">
      <w:r>
        <w:br w:type="page"/>
      </w:r>
    </w:p>
    <w:sdt>
      <w:sdtPr>
        <w:id w:val="-212382349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319D6DB" w14:textId="42B9C5E6" w:rsidR="00A20394" w:rsidRDefault="00A20394">
          <w:pPr>
            <w:pStyle w:val="TOCHeading"/>
          </w:pPr>
          <w:r>
            <w:t>Table of Contents</w:t>
          </w:r>
        </w:p>
        <w:p w14:paraId="67416BFE" w14:textId="3B0AE891" w:rsidR="00A20394" w:rsidRDefault="00A2039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0933200" w:history="1">
            <w:r w:rsidRPr="00B17128">
              <w:rPr>
                <w:rStyle w:val="Hyperlink"/>
                <w:noProof/>
              </w:rPr>
              <w:t>Introduction</w:t>
            </w:r>
            <w:r>
              <w:rPr>
                <w:noProof/>
                <w:webHidden/>
              </w:rPr>
              <w:tab/>
            </w:r>
            <w:r>
              <w:rPr>
                <w:noProof/>
                <w:webHidden/>
              </w:rPr>
              <w:fldChar w:fldCharType="begin"/>
            </w:r>
            <w:r>
              <w:rPr>
                <w:noProof/>
                <w:webHidden/>
              </w:rPr>
              <w:instrText xml:space="preserve"> PAGEREF _Toc210933200 \h </w:instrText>
            </w:r>
            <w:r>
              <w:rPr>
                <w:noProof/>
                <w:webHidden/>
              </w:rPr>
            </w:r>
            <w:r>
              <w:rPr>
                <w:noProof/>
                <w:webHidden/>
              </w:rPr>
              <w:fldChar w:fldCharType="separate"/>
            </w:r>
            <w:r w:rsidR="00ED3661">
              <w:rPr>
                <w:noProof/>
                <w:webHidden/>
              </w:rPr>
              <w:t>3</w:t>
            </w:r>
            <w:r>
              <w:rPr>
                <w:noProof/>
                <w:webHidden/>
              </w:rPr>
              <w:fldChar w:fldCharType="end"/>
            </w:r>
          </w:hyperlink>
        </w:p>
        <w:p w14:paraId="53D8E01D" w14:textId="174D1EFA" w:rsidR="00A20394" w:rsidRDefault="00A20394">
          <w:pPr>
            <w:pStyle w:val="TOC1"/>
            <w:tabs>
              <w:tab w:val="right" w:leader="dot" w:pos="9016"/>
            </w:tabs>
            <w:rPr>
              <w:noProof/>
            </w:rPr>
          </w:pPr>
          <w:hyperlink w:anchor="_Toc210933201" w:history="1">
            <w:r w:rsidRPr="00B17128">
              <w:rPr>
                <w:rStyle w:val="Hyperlink"/>
                <w:noProof/>
              </w:rPr>
              <w:t>Overview of the Condition and Context</w:t>
            </w:r>
            <w:r>
              <w:rPr>
                <w:noProof/>
                <w:webHidden/>
              </w:rPr>
              <w:tab/>
            </w:r>
            <w:r>
              <w:rPr>
                <w:noProof/>
                <w:webHidden/>
              </w:rPr>
              <w:fldChar w:fldCharType="begin"/>
            </w:r>
            <w:r>
              <w:rPr>
                <w:noProof/>
                <w:webHidden/>
              </w:rPr>
              <w:instrText xml:space="preserve"> PAGEREF _Toc210933201 \h </w:instrText>
            </w:r>
            <w:r>
              <w:rPr>
                <w:noProof/>
                <w:webHidden/>
              </w:rPr>
            </w:r>
            <w:r>
              <w:rPr>
                <w:noProof/>
                <w:webHidden/>
              </w:rPr>
              <w:fldChar w:fldCharType="separate"/>
            </w:r>
            <w:r w:rsidR="00ED3661">
              <w:rPr>
                <w:noProof/>
                <w:webHidden/>
              </w:rPr>
              <w:t>3</w:t>
            </w:r>
            <w:r>
              <w:rPr>
                <w:noProof/>
                <w:webHidden/>
              </w:rPr>
              <w:fldChar w:fldCharType="end"/>
            </w:r>
          </w:hyperlink>
        </w:p>
        <w:p w14:paraId="421AA781" w14:textId="0B7F4271" w:rsidR="00A20394" w:rsidRDefault="00A20394">
          <w:pPr>
            <w:pStyle w:val="TOC1"/>
            <w:tabs>
              <w:tab w:val="right" w:leader="dot" w:pos="9016"/>
            </w:tabs>
            <w:rPr>
              <w:noProof/>
            </w:rPr>
          </w:pPr>
          <w:hyperlink w:anchor="_Toc210933202" w:history="1">
            <w:r w:rsidRPr="00B17128">
              <w:rPr>
                <w:rStyle w:val="Hyperlink"/>
                <w:noProof/>
              </w:rPr>
              <w:t>Theoretical Framework</w:t>
            </w:r>
            <w:r>
              <w:rPr>
                <w:noProof/>
                <w:webHidden/>
              </w:rPr>
              <w:tab/>
            </w:r>
            <w:r>
              <w:rPr>
                <w:noProof/>
                <w:webHidden/>
              </w:rPr>
              <w:fldChar w:fldCharType="begin"/>
            </w:r>
            <w:r>
              <w:rPr>
                <w:noProof/>
                <w:webHidden/>
              </w:rPr>
              <w:instrText xml:space="preserve"> PAGEREF _Toc210933202 \h </w:instrText>
            </w:r>
            <w:r>
              <w:rPr>
                <w:noProof/>
                <w:webHidden/>
              </w:rPr>
            </w:r>
            <w:r>
              <w:rPr>
                <w:noProof/>
                <w:webHidden/>
              </w:rPr>
              <w:fldChar w:fldCharType="separate"/>
            </w:r>
            <w:r w:rsidR="00ED3661">
              <w:rPr>
                <w:noProof/>
                <w:webHidden/>
              </w:rPr>
              <w:t>4</w:t>
            </w:r>
            <w:r>
              <w:rPr>
                <w:noProof/>
                <w:webHidden/>
              </w:rPr>
              <w:fldChar w:fldCharType="end"/>
            </w:r>
          </w:hyperlink>
        </w:p>
        <w:p w14:paraId="1398DA14" w14:textId="116DD18C" w:rsidR="00A20394" w:rsidRDefault="00A20394">
          <w:pPr>
            <w:pStyle w:val="TOC1"/>
            <w:tabs>
              <w:tab w:val="right" w:leader="dot" w:pos="9016"/>
            </w:tabs>
            <w:rPr>
              <w:noProof/>
            </w:rPr>
          </w:pPr>
          <w:hyperlink w:anchor="_Toc210933203" w:history="1">
            <w:r w:rsidRPr="00B17128">
              <w:rPr>
                <w:rStyle w:val="Hyperlink"/>
                <w:noProof/>
              </w:rPr>
              <w:t>Application in Health and Social Care Context</w:t>
            </w:r>
            <w:r>
              <w:rPr>
                <w:noProof/>
                <w:webHidden/>
              </w:rPr>
              <w:tab/>
            </w:r>
            <w:r>
              <w:rPr>
                <w:noProof/>
                <w:webHidden/>
              </w:rPr>
              <w:fldChar w:fldCharType="begin"/>
            </w:r>
            <w:r>
              <w:rPr>
                <w:noProof/>
                <w:webHidden/>
              </w:rPr>
              <w:instrText xml:space="preserve"> PAGEREF _Toc210933203 \h </w:instrText>
            </w:r>
            <w:r>
              <w:rPr>
                <w:noProof/>
                <w:webHidden/>
              </w:rPr>
            </w:r>
            <w:r>
              <w:rPr>
                <w:noProof/>
                <w:webHidden/>
              </w:rPr>
              <w:fldChar w:fldCharType="separate"/>
            </w:r>
            <w:r w:rsidR="00ED3661">
              <w:rPr>
                <w:noProof/>
                <w:webHidden/>
              </w:rPr>
              <w:t>5</w:t>
            </w:r>
            <w:r>
              <w:rPr>
                <w:noProof/>
                <w:webHidden/>
              </w:rPr>
              <w:fldChar w:fldCharType="end"/>
            </w:r>
          </w:hyperlink>
        </w:p>
        <w:p w14:paraId="69F2FF6A" w14:textId="2B369B4F" w:rsidR="00A20394" w:rsidRDefault="00A20394">
          <w:pPr>
            <w:pStyle w:val="TOC1"/>
            <w:tabs>
              <w:tab w:val="right" w:leader="dot" w:pos="9016"/>
            </w:tabs>
            <w:rPr>
              <w:noProof/>
            </w:rPr>
          </w:pPr>
          <w:hyperlink w:anchor="_Toc210933204" w:history="1">
            <w:r w:rsidRPr="00B17128">
              <w:rPr>
                <w:rStyle w:val="Hyperlink"/>
                <w:noProof/>
              </w:rPr>
              <w:t>Discussion</w:t>
            </w:r>
            <w:r>
              <w:rPr>
                <w:noProof/>
                <w:webHidden/>
              </w:rPr>
              <w:tab/>
            </w:r>
            <w:r>
              <w:rPr>
                <w:noProof/>
                <w:webHidden/>
              </w:rPr>
              <w:fldChar w:fldCharType="begin"/>
            </w:r>
            <w:r>
              <w:rPr>
                <w:noProof/>
                <w:webHidden/>
              </w:rPr>
              <w:instrText xml:space="preserve"> PAGEREF _Toc210933204 \h </w:instrText>
            </w:r>
            <w:r>
              <w:rPr>
                <w:noProof/>
                <w:webHidden/>
              </w:rPr>
            </w:r>
            <w:r>
              <w:rPr>
                <w:noProof/>
                <w:webHidden/>
              </w:rPr>
              <w:fldChar w:fldCharType="separate"/>
            </w:r>
            <w:r w:rsidR="00ED3661">
              <w:rPr>
                <w:noProof/>
                <w:webHidden/>
              </w:rPr>
              <w:t>6</w:t>
            </w:r>
            <w:r>
              <w:rPr>
                <w:noProof/>
                <w:webHidden/>
              </w:rPr>
              <w:fldChar w:fldCharType="end"/>
            </w:r>
          </w:hyperlink>
        </w:p>
        <w:p w14:paraId="2A3D70A8" w14:textId="7C43D3F2" w:rsidR="00A20394" w:rsidRDefault="00A20394">
          <w:pPr>
            <w:pStyle w:val="TOC1"/>
            <w:tabs>
              <w:tab w:val="right" w:leader="dot" w:pos="9016"/>
            </w:tabs>
            <w:rPr>
              <w:noProof/>
            </w:rPr>
          </w:pPr>
          <w:hyperlink w:anchor="_Toc210933205" w:history="1">
            <w:r w:rsidRPr="00B17128">
              <w:rPr>
                <w:rStyle w:val="Hyperlink"/>
                <w:noProof/>
              </w:rPr>
              <w:t>Conclusion</w:t>
            </w:r>
            <w:r>
              <w:rPr>
                <w:noProof/>
                <w:webHidden/>
              </w:rPr>
              <w:tab/>
            </w:r>
            <w:r>
              <w:rPr>
                <w:noProof/>
                <w:webHidden/>
              </w:rPr>
              <w:fldChar w:fldCharType="begin"/>
            </w:r>
            <w:r>
              <w:rPr>
                <w:noProof/>
                <w:webHidden/>
              </w:rPr>
              <w:instrText xml:space="preserve"> PAGEREF _Toc210933205 \h </w:instrText>
            </w:r>
            <w:r>
              <w:rPr>
                <w:noProof/>
                <w:webHidden/>
              </w:rPr>
            </w:r>
            <w:r>
              <w:rPr>
                <w:noProof/>
                <w:webHidden/>
              </w:rPr>
              <w:fldChar w:fldCharType="separate"/>
            </w:r>
            <w:r w:rsidR="00ED3661">
              <w:rPr>
                <w:noProof/>
                <w:webHidden/>
              </w:rPr>
              <w:t>6</w:t>
            </w:r>
            <w:r>
              <w:rPr>
                <w:noProof/>
                <w:webHidden/>
              </w:rPr>
              <w:fldChar w:fldCharType="end"/>
            </w:r>
          </w:hyperlink>
        </w:p>
        <w:p w14:paraId="1217AD22" w14:textId="5BFCFC51" w:rsidR="00A20394" w:rsidRDefault="00A20394">
          <w:pPr>
            <w:pStyle w:val="TOC1"/>
            <w:tabs>
              <w:tab w:val="right" w:leader="dot" w:pos="9016"/>
            </w:tabs>
            <w:rPr>
              <w:noProof/>
            </w:rPr>
          </w:pPr>
          <w:hyperlink w:anchor="_Toc210933206" w:history="1">
            <w:r w:rsidRPr="00B17128">
              <w:rPr>
                <w:rStyle w:val="Hyperlink"/>
                <w:noProof/>
              </w:rPr>
              <w:t>References</w:t>
            </w:r>
            <w:r>
              <w:rPr>
                <w:noProof/>
                <w:webHidden/>
              </w:rPr>
              <w:tab/>
            </w:r>
            <w:r>
              <w:rPr>
                <w:noProof/>
                <w:webHidden/>
              </w:rPr>
              <w:fldChar w:fldCharType="begin"/>
            </w:r>
            <w:r>
              <w:rPr>
                <w:noProof/>
                <w:webHidden/>
              </w:rPr>
              <w:instrText xml:space="preserve"> PAGEREF _Toc210933206 \h </w:instrText>
            </w:r>
            <w:r>
              <w:rPr>
                <w:noProof/>
                <w:webHidden/>
              </w:rPr>
            </w:r>
            <w:r>
              <w:rPr>
                <w:noProof/>
                <w:webHidden/>
              </w:rPr>
              <w:fldChar w:fldCharType="separate"/>
            </w:r>
            <w:r w:rsidR="00ED3661">
              <w:rPr>
                <w:noProof/>
                <w:webHidden/>
              </w:rPr>
              <w:t>7</w:t>
            </w:r>
            <w:r>
              <w:rPr>
                <w:noProof/>
                <w:webHidden/>
              </w:rPr>
              <w:fldChar w:fldCharType="end"/>
            </w:r>
          </w:hyperlink>
        </w:p>
        <w:p w14:paraId="11544C67" w14:textId="2774B112" w:rsidR="00A20394" w:rsidRDefault="00A20394">
          <w:r>
            <w:rPr>
              <w:b/>
              <w:bCs/>
              <w:noProof/>
            </w:rPr>
            <w:fldChar w:fldCharType="end"/>
          </w:r>
        </w:p>
      </w:sdtContent>
    </w:sdt>
    <w:p w14:paraId="66EA1BAC" w14:textId="46C6BD1C" w:rsidR="007C1D67" w:rsidRDefault="007C1D67"/>
    <w:p w14:paraId="5151B682" w14:textId="77777777" w:rsidR="007C1D67" w:rsidRDefault="007C1D67">
      <w:r>
        <w:br w:type="page"/>
      </w:r>
    </w:p>
    <w:p w14:paraId="0628C6E8" w14:textId="65635499" w:rsidR="007C1D67" w:rsidRDefault="007C1D67" w:rsidP="007C1D67">
      <w:pPr>
        <w:pStyle w:val="Heading1"/>
        <w:spacing w:before="0" w:after="120" w:line="240" w:lineRule="auto"/>
      </w:pPr>
      <w:bookmarkStart w:id="0" w:name="_Toc210933200"/>
      <w:r>
        <w:lastRenderedPageBreak/>
        <w:t>Introduction</w:t>
      </w:r>
      <w:bookmarkEnd w:id="0"/>
      <w:r>
        <w:t xml:space="preserve"> </w:t>
      </w:r>
    </w:p>
    <w:p w14:paraId="2FF4A6FF" w14:textId="62B16CE0" w:rsidR="003A04DC" w:rsidRDefault="003A04DC" w:rsidP="007C1D67">
      <w:pPr>
        <w:spacing w:after="0" w:line="360" w:lineRule="auto"/>
        <w:rPr>
          <w:rFonts w:ascii="Arial" w:hAnsi="Arial" w:cs="Arial"/>
          <w:sz w:val="22"/>
          <w:szCs w:val="22"/>
        </w:rPr>
      </w:pPr>
      <w:r w:rsidRPr="003A04DC">
        <w:rPr>
          <w:rFonts w:ascii="Arial" w:hAnsi="Arial" w:cs="Arial"/>
          <w:sz w:val="22"/>
          <w:szCs w:val="22"/>
        </w:rPr>
        <w:t xml:space="preserve">The aim of the current study is to give practitioners of health and social care inspiration for the practical application of psychology theories to supporting old adults with dementia in care homes. Dementia is defined as a progressive neurodegenerative illness that impairs memory, cognitive functions, and behavior, with the potential for generating intense emotional distress and decreased personal sense of self in old adults (Alzheimer's Society, 2024). It is thus significant to comprehend the psychological processes that underlie behavior and well-being in order to design benevolent, person-centered care interventions. To deliver high-quality, personalized care, staff in healthcare </w:t>
      </w:r>
      <w:r w:rsidRPr="003A04DC">
        <w:rPr>
          <w:rFonts w:ascii="Arial" w:hAnsi="Arial" w:cs="Arial"/>
          <w:sz w:val="22"/>
          <w:szCs w:val="22"/>
        </w:rPr>
        <w:t>centres</w:t>
      </w:r>
      <w:r w:rsidRPr="003A04DC">
        <w:rPr>
          <w:rFonts w:ascii="Arial" w:hAnsi="Arial" w:cs="Arial"/>
          <w:sz w:val="22"/>
          <w:szCs w:val="22"/>
        </w:rPr>
        <w:t xml:space="preserve"> for dementia need to combine theoretical knowledge with personal insight into the complex emotional and </w:t>
      </w:r>
      <w:r w:rsidRPr="003A04DC">
        <w:rPr>
          <w:rFonts w:ascii="Arial" w:hAnsi="Arial" w:cs="Arial"/>
          <w:sz w:val="22"/>
          <w:szCs w:val="22"/>
        </w:rPr>
        <w:t>behavioural</w:t>
      </w:r>
      <w:r w:rsidRPr="003A04DC">
        <w:rPr>
          <w:rFonts w:ascii="Arial" w:hAnsi="Arial" w:cs="Arial"/>
          <w:sz w:val="22"/>
          <w:szCs w:val="22"/>
        </w:rPr>
        <w:t xml:space="preserve"> requirements of their patients (Woods and Clare, 20</w:t>
      </w:r>
      <w:r>
        <w:rPr>
          <w:rFonts w:ascii="Arial" w:hAnsi="Arial" w:cs="Arial"/>
          <w:sz w:val="22"/>
          <w:szCs w:val="22"/>
        </w:rPr>
        <w:t>01</w:t>
      </w:r>
      <w:r w:rsidRPr="003A04DC">
        <w:rPr>
          <w:rFonts w:ascii="Arial" w:hAnsi="Arial" w:cs="Arial"/>
          <w:sz w:val="22"/>
          <w:szCs w:val="22"/>
        </w:rPr>
        <w:t>).</w:t>
      </w:r>
    </w:p>
    <w:p w14:paraId="54B8D359" w14:textId="17ADD70F" w:rsidR="003A04DC" w:rsidRDefault="00EE65F1" w:rsidP="007C1D67">
      <w:pPr>
        <w:spacing w:after="0" w:line="360" w:lineRule="auto"/>
        <w:rPr>
          <w:rFonts w:ascii="Arial" w:hAnsi="Arial" w:cs="Arial"/>
          <w:sz w:val="22"/>
          <w:szCs w:val="22"/>
        </w:rPr>
      </w:pPr>
      <w:r w:rsidRPr="00EE65F1">
        <w:rPr>
          <w:rFonts w:ascii="Arial" w:hAnsi="Arial" w:cs="Arial"/>
          <w:sz w:val="22"/>
          <w:szCs w:val="22"/>
        </w:rPr>
        <w:t xml:space="preserve">Erikson's Psychosocial Theory of Development and Rogers' Person-Centred Theory represent two primary psychological frameworks relevant to the study of older adults and their health </w:t>
      </w:r>
      <w:r w:rsidRPr="00EE65F1">
        <w:rPr>
          <w:rFonts w:ascii="Arial" w:hAnsi="Arial" w:cs="Arial"/>
          <w:sz w:val="22"/>
          <w:szCs w:val="22"/>
        </w:rPr>
        <w:t>behaviours</w:t>
      </w:r>
      <w:r w:rsidRPr="00EE65F1">
        <w:rPr>
          <w:rFonts w:ascii="Arial" w:hAnsi="Arial" w:cs="Arial"/>
          <w:sz w:val="22"/>
          <w:szCs w:val="22"/>
        </w:rPr>
        <w:t>, forming the focus of this research. These theoretical models provide valuable perspectives on the social, emotional, and cognitive needs of individuals aged 65 and above. An explanation of each theory will be provided, followed by a critical evaluation of its relevance to dementia care, and a discussion of the potential professional and practical challenges associated with implementing theory-informed practices will be undertaken.</w:t>
      </w:r>
    </w:p>
    <w:p w14:paraId="78FAA8A8" w14:textId="58631F2E" w:rsidR="00EE65F1" w:rsidRDefault="00EE65F1" w:rsidP="00EE65F1">
      <w:pPr>
        <w:pStyle w:val="Heading1"/>
        <w:spacing w:before="0" w:after="120" w:line="240" w:lineRule="auto"/>
      </w:pPr>
      <w:bookmarkStart w:id="1" w:name="_Toc210933201"/>
      <w:r>
        <w:t>Overview of the Condition and Context</w:t>
      </w:r>
      <w:bookmarkEnd w:id="1"/>
      <w:r>
        <w:t xml:space="preserve"> </w:t>
      </w:r>
    </w:p>
    <w:p w14:paraId="00CD26C2" w14:textId="57726163" w:rsidR="00EE65F1" w:rsidRDefault="00EE65F1" w:rsidP="00EE65F1">
      <w:pPr>
        <w:spacing w:after="0" w:line="360" w:lineRule="auto"/>
        <w:rPr>
          <w:rFonts w:ascii="Arial" w:hAnsi="Arial" w:cs="Arial"/>
          <w:sz w:val="22"/>
          <w:szCs w:val="22"/>
        </w:rPr>
      </w:pPr>
      <w:r w:rsidRPr="00EE65F1">
        <w:rPr>
          <w:rFonts w:ascii="Arial" w:hAnsi="Arial" w:cs="Arial"/>
          <w:sz w:val="22"/>
          <w:szCs w:val="22"/>
        </w:rPr>
        <w:t>Dementia is a generic term for various degenerative nervous system disorders that negatively affect cognitive abilities, such as memory, reason, and speech functions (World Health Organisation, 202</w:t>
      </w:r>
      <w:r>
        <w:rPr>
          <w:rFonts w:ascii="Arial" w:hAnsi="Arial" w:cs="Arial"/>
          <w:sz w:val="22"/>
          <w:szCs w:val="22"/>
        </w:rPr>
        <w:t>5</w:t>
      </w:r>
      <w:r w:rsidRPr="00EE65F1">
        <w:rPr>
          <w:rFonts w:ascii="Arial" w:hAnsi="Arial" w:cs="Arial"/>
          <w:sz w:val="22"/>
          <w:szCs w:val="22"/>
        </w:rPr>
        <w:t xml:space="preserve">). The illness most affects individuals who are aged 65 and older, thus leaving old age as the most vulnerable age group. In the United Kingdom, roughly a ratio of one in eleven adults aged 65 and older suffer from dementia, and the prevalence continues rising with increased life expectancy (Alzheimer's Society, 2024). The typical </w:t>
      </w:r>
      <w:r w:rsidRPr="00EE65F1">
        <w:rPr>
          <w:rFonts w:ascii="Arial" w:hAnsi="Arial" w:cs="Arial"/>
          <w:sz w:val="22"/>
          <w:szCs w:val="22"/>
        </w:rPr>
        <w:t>behavioural</w:t>
      </w:r>
      <w:r w:rsidRPr="00EE65F1">
        <w:rPr>
          <w:rFonts w:ascii="Arial" w:hAnsi="Arial" w:cs="Arial"/>
          <w:sz w:val="22"/>
          <w:szCs w:val="22"/>
        </w:rPr>
        <w:t xml:space="preserve"> and psychological symptoms of the disease, such as agitation, confusion, depression, and anxiety, can strongly affect a person's quality of life as well as sense of independence (</w:t>
      </w:r>
      <w:proofErr w:type="spellStart"/>
      <w:r w:rsidRPr="00EE65F1">
        <w:rPr>
          <w:rFonts w:ascii="Arial" w:hAnsi="Arial" w:cs="Arial"/>
          <w:sz w:val="22"/>
          <w:szCs w:val="22"/>
        </w:rPr>
        <w:t>Batsch</w:t>
      </w:r>
      <w:proofErr w:type="spellEnd"/>
      <w:r w:rsidRPr="00EE65F1">
        <w:rPr>
          <w:rFonts w:ascii="Arial" w:hAnsi="Arial" w:cs="Arial"/>
          <w:sz w:val="22"/>
          <w:szCs w:val="22"/>
        </w:rPr>
        <w:t xml:space="preserve"> and </w:t>
      </w:r>
      <w:proofErr w:type="spellStart"/>
      <w:r w:rsidRPr="00EE65F1">
        <w:rPr>
          <w:rFonts w:ascii="Arial" w:hAnsi="Arial" w:cs="Arial"/>
          <w:sz w:val="22"/>
          <w:szCs w:val="22"/>
        </w:rPr>
        <w:t>Mittelman</w:t>
      </w:r>
      <w:proofErr w:type="spellEnd"/>
      <w:r w:rsidRPr="00EE65F1">
        <w:rPr>
          <w:rFonts w:ascii="Arial" w:hAnsi="Arial" w:cs="Arial"/>
          <w:sz w:val="22"/>
          <w:szCs w:val="22"/>
        </w:rPr>
        <w:t>, 2022).</w:t>
      </w:r>
    </w:p>
    <w:p w14:paraId="6E8D33C7" w14:textId="761CCDA9" w:rsidR="00EE65F1" w:rsidRDefault="00F8024B" w:rsidP="00EE65F1">
      <w:pPr>
        <w:spacing w:after="0" w:line="360" w:lineRule="auto"/>
        <w:rPr>
          <w:rFonts w:ascii="Arial" w:hAnsi="Arial" w:cs="Arial"/>
          <w:sz w:val="22"/>
          <w:szCs w:val="22"/>
        </w:rPr>
      </w:pPr>
      <w:r w:rsidRPr="00F8024B">
        <w:rPr>
          <w:rFonts w:ascii="Arial" w:hAnsi="Arial" w:cs="Arial"/>
          <w:sz w:val="22"/>
          <w:szCs w:val="22"/>
        </w:rPr>
        <w:t>The staff is also important in providing the residents of a dementia care home with holistic care that addresses their physical as well as emotional requirements. As shown by Brooker and Latham (201</w:t>
      </w:r>
      <w:r>
        <w:rPr>
          <w:rFonts w:ascii="Arial" w:hAnsi="Arial" w:cs="Arial"/>
          <w:sz w:val="22"/>
          <w:szCs w:val="22"/>
        </w:rPr>
        <w:t>5</w:t>
      </w:r>
      <w:r w:rsidRPr="00F8024B">
        <w:rPr>
          <w:rFonts w:ascii="Arial" w:hAnsi="Arial" w:cs="Arial"/>
          <w:sz w:val="22"/>
          <w:szCs w:val="22"/>
        </w:rPr>
        <w:t>), staff roles typically entail help with personal care, the administration of medication, the encouragement of safety, as well as the exercising of social and emotional engagement through meaningful interaction. Empathy, communication, and mental perception assist in the provision of appropriate care for individuals with cognitive impairment that fosters trust as well as enhances their well-being.</w:t>
      </w:r>
    </w:p>
    <w:p w14:paraId="1AD3A148" w14:textId="6F14D34E" w:rsidR="00F8024B" w:rsidRDefault="00F8024B" w:rsidP="00F8024B">
      <w:pPr>
        <w:pStyle w:val="Heading1"/>
        <w:spacing w:before="0" w:after="120" w:line="240" w:lineRule="auto"/>
      </w:pPr>
      <w:bookmarkStart w:id="2" w:name="_Toc210933202"/>
      <w:r>
        <w:lastRenderedPageBreak/>
        <w:t>Theoretical Framework</w:t>
      </w:r>
      <w:bookmarkEnd w:id="2"/>
      <w:r>
        <w:t xml:space="preserve"> </w:t>
      </w:r>
    </w:p>
    <w:p w14:paraId="1415DB21" w14:textId="2C24F66E" w:rsidR="00F8024B" w:rsidRPr="00F8024B" w:rsidRDefault="00F8024B" w:rsidP="00F8024B">
      <w:pPr>
        <w:spacing w:after="0" w:line="360" w:lineRule="auto"/>
        <w:rPr>
          <w:rFonts w:ascii="Arial" w:hAnsi="Arial" w:cs="Arial"/>
          <w:b/>
          <w:bCs/>
          <w:sz w:val="22"/>
          <w:szCs w:val="22"/>
        </w:rPr>
      </w:pPr>
      <w:r w:rsidRPr="00F8024B">
        <w:rPr>
          <w:rFonts w:ascii="Arial" w:hAnsi="Arial" w:cs="Arial"/>
          <w:b/>
          <w:bCs/>
          <w:sz w:val="22"/>
          <w:szCs w:val="22"/>
        </w:rPr>
        <w:t>Theory 1: The Integrity versus Despair Stage within Erikson's Psychosocial Development Framework.</w:t>
      </w:r>
    </w:p>
    <w:p w14:paraId="45A6E2D7" w14:textId="77777777" w:rsidR="00F8024B" w:rsidRDefault="00F8024B" w:rsidP="00F8024B">
      <w:pPr>
        <w:rPr>
          <w:rFonts w:ascii="Arial" w:hAnsi="Arial" w:cs="Arial"/>
          <w:sz w:val="22"/>
          <w:szCs w:val="22"/>
        </w:rPr>
      </w:pPr>
      <w:r w:rsidRPr="00F8024B">
        <w:rPr>
          <w:rFonts w:ascii="Arial" w:hAnsi="Arial" w:cs="Arial"/>
          <w:sz w:val="22"/>
          <w:szCs w:val="22"/>
        </w:rPr>
        <w:t>Erik Erikson's theory of psychosocial development suggests that eight stages of life occur, with each stage being marked by a particular conflict of consciousness that impacts personal development (Erikson, 199</w:t>
      </w:r>
      <w:r>
        <w:rPr>
          <w:rFonts w:ascii="Arial" w:hAnsi="Arial" w:cs="Arial"/>
          <w:sz w:val="22"/>
          <w:szCs w:val="22"/>
        </w:rPr>
        <w:t>8</w:t>
      </w:r>
      <w:r w:rsidRPr="00F8024B">
        <w:rPr>
          <w:rFonts w:ascii="Arial" w:hAnsi="Arial" w:cs="Arial"/>
          <w:sz w:val="22"/>
          <w:szCs w:val="22"/>
        </w:rPr>
        <w:t>). The eighth stage, Integrity vs. Despair, generally happens in late adulthood and is centered around introspection of relationships, accomplishments, and life purpose. Those that develop regret feelings or believe their life is incomplete could experience feelings of helplessness and depression, while older adults that introspect with contentment and acceptance develop integrity (</w:t>
      </w:r>
      <w:r>
        <w:rPr>
          <w:rFonts w:ascii="Arial" w:hAnsi="Arial" w:cs="Arial"/>
          <w:sz w:val="22"/>
          <w:szCs w:val="22"/>
        </w:rPr>
        <w:t>Et Al, 2025</w:t>
      </w:r>
      <w:r w:rsidRPr="00F8024B">
        <w:rPr>
          <w:rFonts w:ascii="Arial" w:hAnsi="Arial" w:cs="Arial"/>
          <w:sz w:val="22"/>
          <w:szCs w:val="22"/>
        </w:rPr>
        <w:t>).</w:t>
      </w:r>
    </w:p>
    <w:p w14:paraId="7F5826DE" w14:textId="77777777" w:rsidR="00F8024B" w:rsidRDefault="00F8024B" w:rsidP="00F8024B">
      <w:pPr>
        <w:rPr>
          <w:rFonts w:ascii="Arial" w:hAnsi="Arial" w:cs="Arial"/>
          <w:sz w:val="22"/>
          <w:szCs w:val="22"/>
        </w:rPr>
      </w:pPr>
      <w:r w:rsidRPr="00F8024B">
        <w:rPr>
          <w:rFonts w:ascii="Arial" w:hAnsi="Arial" w:cs="Arial"/>
          <w:sz w:val="22"/>
          <w:szCs w:val="22"/>
        </w:rPr>
        <w:t>This stage is of special relevance in the dementia care system, as cognitive decline can impede a person's recall of past experiences or their ability to achieve a consistent sense of self-identity. Health and social care practitioners can improve affective well-being by promoting activities related to life histories and memories, through which care recipients can re-establish meaningful connections with meaningful past events (Woods and Clare, 2001). These interventions not only help ensure continuity and self-esteem but also help relieve symptoms related to symptoms of anxiety and depression (Caddell and Clare, 2011). Through the combination of Erikson's conceptual orientation, care practitioners can better understand the affective needs of older adults and foster feelings of calmness, dignity, and self-esteem in spite of cognitive impairment.</w:t>
      </w:r>
    </w:p>
    <w:p w14:paraId="577C08B7" w14:textId="77777777" w:rsidR="00A87A87" w:rsidRPr="00A87A87" w:rsidRDefault="00A87A87" w:rsidP="00A87A87">
      <w:pPr>
        <w:rPr>
          <w:rFonts w:ascii="Arial" w:hAnsi="Arial" w:cs="Arial"/>
          <w:b/>
          <w:bCs/>
          <w:sz w:val="22"/>
          <w:szCs w:val="22"/>
        </w:rPr>
      </w:pPr>
      <w:r w:rsidRPr="00A87A87">
        <w:rPr>
          <w:rFonts w:ascii="Arial" w:hAnsi="Arial" w:cs="Arial"/>
          <w:b/>
          <w:bCs/>
          <w:sz w:val="22"/>
          <w:szCs w:val="22"/>
        </w:rPr>
        <w:t>Theory 2: The Person-Centred Theory of Rogers</w:t>
      </w:r>
    </w:p>
    <w:p w14:paraId="38259D6F" w14:textId="55376F0B" w:rsidR="00A20394" w:rsidRDefault="00A87A87" w:rsidP="00A87A87">
      <w:pPr>
        <w:rPr>
          <w:rFonts w:ascii="Arial" w:hAnsi="Arial" w:cs="Arial"/>
          <w:sz w:val="22"/>
          <w:szCs w:val="22"/>
        </w:rPr>
      </w:pPr>
      <w:r w:rsidRPr="00A87A87">
        <w:rPr>
          <w:rFonts w:ascii="Arial" w:hAnsi="Arial" w:cs="Arial"/>
          <w:sz w:val="22"/>
          <w:szCs w:val="22"/>
        </w:rPr>
        <w:t>Carl Rogers' person-centred care emphasizes the value that is in everyone and the requirement for empathy, congruence, and unconditional positive regard in creating mental well-being (Rogers, 1951). In accordance with Rogers, individuals develop better positive aspects of their being and achieve their full potential when they're accepted and understood by the people who surround them. In all of its reinforcement of the personal experience, choices, and being of people as opposed to their diagnosis, the ethos of person-centred care strongly aligns with such a humanistic orientation, particularly in caring for people with dementia (Brooker and Latham, 2015).</w:t>
      </w:r>
    </w:p>
    <w:p w14:paraId="40592429" w14:textId="162DD137" w:rsidR="00ED3661" w:rsidRDefault="00ED3661" w:rsidP="00A87A87">
      <w:pPr>
        <w:rPr>
          <w:rFonts w:ascii="Arial" w:hAnsi="Arial" w:cs="Arial"/>
          <w:sz w:val="22"/>
          <w:szCs w:val="22"/>
        </w:rPr>
      </w:pPr>
      <w:r w:rsidRPr="00ED3661">
        <w:rPr>
          <w:rFonts w:ascii="Arial" w:hAnsi="Arial" w:cs="Arial"/>
          <w:sz w:val="22"/>
          <w:szCs w:val="22"/>
        </w:rPr>
        <w:t>In order to implement Rogers' theory in assisted living settings, staff must practice active listening with the residents, validate their feelings, and adapt care processes to their personal choice and personal biography. Even in the case of cognitive decline, empathy and respect are important for preserving a person's sense of identity and dignity (</w:t>
      </w:r>
      <w:proofErr w:type="spellStart"/>
      <w:r w:rsidRPr="00ED3661">
        <w:rPr>
          <w:rFonts w:ascii="Arial" w:hAnsi="Arial" w:cs="Arial"/>
          <w:sz w:val="22"/>
          <w:szCs w:val="22"/>
        </w:rPr>
        <w:t>Kitwood</w:t>
      </w:r>
      <w:proofErr w:type="spellEnd"/>
      <w:r w:rsidRPr="00ED3661">
        <w:rPr>
          <w:rFonts w:ascii="Arial" w:hAnsi="Arial" w:cs="Arial"/>
          <w:sz w:val="22"/>
          <w:szCs w:val="22"/>
        </w:rPr>
        <w:t>, 1998). Studies suggest that person-centered methods could help in promoting association, minimizing feelings of agitation, and improving mood in patients with dementia (</w:t>
      </w:r>
      <w:proofErr w:type="spellStart"/>
      <w:r w:rsidRPr="00ED3661">
        <w:rPr>
          <w:rFonts w:ascii="Arial" w:hAnsi="Arial" w:cs="Arial"/>
          <w:sz w:val="22"/>
          <w:szCs w:val="22"/>
        </w:rPr>
        <w:t>Edvardsson</w:t>
      </w:r>
      <w:proofErr w:type="spellEnd"/>
      <w:r w:rsidRPr="00ED3661">
        <w:rPr>
          <w:rFonts w:ascii="Arial" w:hAnsi="Arial" w:cs="Arial"/>
          <w:sz w:val="22"/>
          <w:szCs w:val="22"/>
        </w:rPr>
        <w:t xml:space="preserve">, </w:t>
      </w:r>
      <w:proofErr w:type="spellStart"/>
      <w:r w:rsidRPr="00ED3661">
        <w:rPr>
          <w:rFonts w:ascii="Arial" w:hAnsi="Arial" w:cs="Arial"/>
          <w:sz w:val="22"/>
          <w:szCs w:val="22"/>
        </w:rPr>
        <w:t>Winblad</w:t>
      </w:r>
      <w:proofErr w:type="spellEnd"/>
      <w:r w:rsidRPr="00ED3661">
        <w:rPr>
          <w:rFonts w:ascii="Arial" w:hAnsi="Arial" w:cs="Arial"/>
          <w:sz w:val="22"/>
          <w:szCs w:val="22"/>
        </w:rPr>
        <w:t>, and Sandman, 2008). Additionally, when staff adhere to the basic tenets of Rogers' model, relationships become more therapeutic and based on trust, thus developing a care atmosphere in which individuals are valued and understood. This theory base mandates practitioners to move from task-focused care to a more caring and emotionally responsive practice.</w:t>
      </w:r>
    </w:p>
    <w:p w14:paraId="5026E350" w14:textId="144B4044" w:rsidR="00A87A87" w:rsidRPr="00A20394" w:rsidRDefault="00A87A87" w:rsidP="00A20394">
      <w:pPr>
        <w:pStyle w:val="Heading1"/>
        <w:spacing w:before="0" w:after="120" w:line="240" w:lineRule="auto"/>
        <w:rPr>
          <w:rFonts w:ascii="Arial" w:hAnsi="Arial" w:cs="Arial"/>
          <w:sz w:val="22"/>
          <w:szCs w:val="22"/>
        </w:rPr>
      </w:pPr>
      <w:bookmarkStart w:id="3" w:name="_Toc210933203"/>
      <w:r>
        <w:lastRenderedPageBreak/>
        <w:t>Application in Health and Social Care Context</w:t>
      </w:r>
      <w:bookmarkEnd w:id="3"/>
    </w:p>
    <w:p w14:paraId="4AEE2A7C" w14:textId="2D88199F" w:rsidR="00276810" w:rsidRDefault="00276810" w:rsidP="00276810">
      <w:pPr>
        <w:spacing w:after="0" w:line="360" w:lineRule="auto"/>
        <w:rPr>
          <w:rFonts w:ascii="Arial" w:hAnsi="Arial" w:cs="Arial"/>
          <w:sz w:val="22"/>
          <w:szCs w:val="22"/>
        </w:rPr>
      </w:pPr>
      <w:r w:rsidRPr="00276810">
        <w:rPr>
          <w:rFonts w:ascii="Arial" w:hAnsi="Arial" w:cs="Arial"/>
          <w:sz w:val="22"/>
          <w:szCs w:val="22"/>
        </w:rPr>
        <w:t xml:space="preserve">Employing Erikson's Psychosocial Theory: Erikson's theory of Integrity versus Despair also particularly emphasizes the importance of enabling older adults to achieve purpose, acceptance, and a cohesive sense of self in their </w:t>
      </w:r>
      <w:r w:rsidRPr="00276810">
        <w:rPr>
          <w:rFonts w:ascii="Arial" w:hAnsi="Arial" w:cs="Arial"/>
          <w:sz w:val="22"/>
          <w:szCs w:val="22"/>
        </w:rPr>
        <w:t>later</w:t>
      </w:r>
      <w:r w:rsidRPr="00276810">
        <w:rPr>
          <w:rFonts w:ascii="Arial" w:hAnsi="Arial" w:cs="Arial"/>
          <w:sz w:val="22"/>
          <w:szCs w:val="22"/>
        </w:rPr>
        <w:t xml:space="preserve"> years (Erikson, 1998). Reminiscence therapy and life story interventions also become productive interventions in care environments for individuals with dementia, in that they evoke and recall memories from their past lives (Caddell and Clare, 2011). To further encourage continuity of self and positive self-esteem, staff also participate in discussions involving family, achievements, and significant personal events. Environmental cues in the form of photographs, familiar music, and meaningful possessions also serve to evoke emotional recall and recognition (Woods and Clare, 2001).</w:t>
      </w:r>
      <w:r>
        <w:rPr>
          <w:rFonts w:ascii="Arial" w:hAnsi="Arial" w:cs="Arial"/>
          <w:sz w:val="22"/>
          <w:szCs w:val="22"/>
        </w:rPr>
        <w:t xml:space="preserve"> </w:t>
      </w:r>
      <w:r w:rsidRPr="00276810">
        <w:rPr>
          <w:rFonts w:ascii="Arial" w:hAnsi="Arial" w:cs="Arial"/>
          <w:sz w:val="22"/>
          <w:szCs w:val="22"/>
        </w:rPr>
        <w:t>Research reveals that such interventions contribute to reducing the sense of community belonging among inhabitants while also reducing their agitation, anxiety, and depressive symptoms (Subramaniam and Woods, 2012).</w:t>
      </w:r>
    </w:p>
    <w:p w14:paraId="756C0A42" w14:textId="77777777" w:rsidR="00276810" w:rsidRPr="00276810" w:rsidRDefault="00276810" w:rsidP="00276810">
      <w:pPr>
        <w:spacing w:after="0" w:line="360" w:lineRule="auto"/>
        <w:rPr>
          <w:rFonts w:ascii="Arial" w:hAnsi="Arial" w:cs="Arial"/>
          <w:sz w:val="22"/>
          <w:szCs w:val="22"/>
        </w:rPr>
      </w:pPr>
      <w:r w:rsidRPr="00276810">
        <w:rPr>
          <w:rFonts w:ascii="Arial" w:hAnsi="Arial" w:cs="Arial"/>
          <w:sz w:val="22"/>
          <w:szCs w:val="22"/>
        </w:rPr>
        <w:t>However, issues present in recall activities for residents with advanced memory impairment or distress mean that maintaining professional boundaries with the provision of emotional support can be very daunting for practitioners. To prevent these problems and make compassionate care for providers more viable, conducting regular supervision, arranging staff debriefings, and implementing emotional resilience training can assist (Brooker and Latham, 2015).</w:t>
      </w:r>
    </w:p>
    <w:p w14:paraId="4CD2723F" w14:textId="77777777" w:rsidR="00276810" w:rsidRPr="00276810" w:rsidRDefault="00276810" w:rsidP="00276810">
      <w:pPr>
        <w:spacing w:after="0" w:line="360" w:lineRule="auto"/>
        <w:rPr>
          <w:rFonts w:ascii="Arial" w:hAnsi="Arial" w:cs="Arial"/>
          <w:sz w:val="22"/>
          <w:szCs w:val="22"/>
        </w:rPr>
      </w:pPr>
      <w:r w:rsidRPr="00276810">
        <w:rPr>
          <w:rFonts w:ascii="Arial" w:hAnsi="Arial" w:cs="Arial"/>
          <w:sz w:val="22"/>
          <w:szCs w:val="22"/>
        </w:rPr>
        <w:t xml:space="preserve">The basis of successful communication and developing relationships in caring for individuals with dementia is in Rogers' highlighting of empathy, unconditional positive regard, and congruence. Team members who largely believe in a person-centred approach listen actively, validate the emotions of the residents, and respond with patience and empathy (Rogers, 1951; </w:t>
      </w:r>
      <w:proofErr w:type="spellStart"/>
      <w:r w:rsidRPr="00276810">
        <w:rPr>
          <w:rFonts w:ascii="Arial" w:hAnsi="Arial" w:cs="Arial"/>
          <w:sz w:val="22"/>
          <w:szCs w:val="22"/>
        </w:rPr>
        <w:t>Kitwood</w:t>
      </w:r>
      <w:proofErr w:type="spellEnd"/>
      <w:r w:rsidRPr="00276810">
        <w:rPr>
          <w:rFonts w:ascii="Arial" w:hAnsi="Arial" w:cs="Arial"/>
          <w:sz w:val="22"/>
          <w:szCs w:val="22"/>
        </w:rPr>
        <w:t>, 1998). This kind of communication enhances independence, dignity, and sense of self, even in situations where verbal communications remain low. Emotional stability and the trust of the resident are attained through applying methods such as nonverbal communication, validation therapy, and personalised care routines (</w:t>
      </w:r>
      <w:proofErr w:type="spellStart"/>
      <w:r w:rsidRPr="00276810">
        <w:rPr>
          <w:rFonts w:ascii="Arial" w:hAnsi="Arial" w:cs="Arial"/>
          <w:sz w:val="22"/>
          <w:szCs w:val="22"/>
        </w:rPr>
        <w:t>Edvardsson</w:t>
      </w:r>
      <w:proofErr w:type="spellEnd"/>
      <w:r w:rsidRPr="00276810">
        <w:rPr>
          <w:rFonts w:ascii="Arial" w:hAnsi="Arial" w:cs="Arial"/>
          <w:sz w:val="22"/>
          <w:szCs w:val="22"/>
        </w:rPr>
        <w:t xml:space="preserve">, </w:t>
      </w:r>
      <w:proofErr w:type="spellStart"/>
      <w:r w:rsidRPr="00276810">
        <w:rPr>
          <w:rFonts w:ascii="Arial" w:hAnsi="Arial" w:cs="Arial"/>
          <w:sz w:val="22"/>
          <w:szCs w:val="22"/>
        </w:rPr>
        <w:t>Winblad</w:t>
      </w:r>
      <w:proofErr w:type="spellEnd"/>
      <w:r w:rsidRPr="00276810">
        <w:rPr>
          <w:rFonts w:ascii="Arial" w:hAnsi="Arial" w:cs="Arial"/>
          <w:sz w:val="22"/>
          <w:szCs w:val="22"/>
        </w:rPr>
        <w:t>, and Sandman, 2008).</w:t>
      </w:r>
    </w:p>
    <w:p w14:paraId="0DAE5A4F" w14:textId="25ED3B42" w:rsidR="00A20394" w:rsidRDefault="00A20394" w:rsidP="00276810">
      <w:pPr>
        <w:spacing w:after="0" w:line="360" w:lineRule="auto"/>
        <w:rPr>
          <w:rFonts w:ascii="Arial" w:hAnsi="Arial" w:cs="Arial"/>
          <w:sz w:val="22"/>
          <w:szCs w:val="22"/>
        </w:rPr>
      </w:pPr>
      <w:r w:rsidRPr="00A20394">
        <w:rPr>
          <w:rFonts w:ascii="Arial" w:hAnsi="Arial" w:cs="Arial"/>
          <w:sz w:val="22"/>
          <w:szCs w:val="22"/>
        </w:rPr>
        <w:t>However, staff shortages, emotional strain, and time pressures may hinder the consistent application of person-</w:t>
      </w:r>
      <w:proofErr w:type="spellStart"/>
      <w:r w:rsidRPr="00A20394">
        <w:rPr>
          <w:rFonts w:ascii="Arial" w:hAnsi="Arial" w:cs="Arial"/>
          <w:sz w:val="22"/>
          <w:szCs w:val="22"/>
        </w:rPr>
        <w:t>centredery</w:t>
      </w:r>
      <w:proofErr w:type="spellEnd"/>
      <w:r w:rsidRPr="00A20394">
        <w:rPr>
          <w:rFonts w:ascii="Arial" w:hAnsi="Arial" w:cs="Arial"/>
          <w:sz w:val="22"/>
          <w:szCs w:val="22"/>
        </w:rPr>
        <w:t>. To address these, organisations must ensure frequent training, ample staff, and interdisciplinary teamwork to ensure successful infusion of empathy and reflective practice in everyday care (Brooker and Latham, 2015). Successful practice of these theoretic frameworks enhances the life of older adults by shifting task-oriented care for dementia patients to more meaningful and relational care.</w:t>
      </w:r>
    </w:p>
    <w:p w14:paraId="36EF7811" w14:textId="5C471140" w:rsidR="00A20394" w:rsidRDefault="00A20394" w:rsidP="00A20394">
      <w:pPr>
        <w:pStyle w:val="Heading1"/>
        <w:spacing w:before="0" w:after="120" w:line="240" w:lineRule="auto"/>
      </w:pPr>
      <w:bookmarkStart w:id="4" w:name="_Toc210933204"/>
      <w:r>
        <w:lastRenderedPageBreak/>
        <w:t>Discussion</w:t>
      </w:r>
      <w:bookmarkEnd w:id="4"/>
      <w:r>
        <w:t xml:space="preserve"> </w:t>
      </w:r>
    </w:p>
    <w:p w14:paraId="15A82FE5" w14:textId="77777777" w:rsidR="00A20394" w:rsidRDefault="00A20394" w:rsidP="00A87A87">
      <w:pPr>
        <w:spacing w:after="0" w:line="360" w:lineRule="auto"/>
        <w:rPr>
          <w:rFonts w:ascii="Arial" w:hAnsi="Arial" w:cs="Arial"/>
          <w:sz w:val="22"/>
          <w:szCs w:val="22"/>
        </w:rPr>
      </w:pPr>
      <w:r w:rsidRPr="00A20394">
        <w:rPr>
          <w:rFonts w:ascii="Arial" w:hAnsi="Arial" w:cs="Arial"/>
          <w:sz w:val="22"/>
          <w:szCs w:val="22"/>
        </w:rPr>
        <w:t xml:space="preserve">When meeting the needs of care home patients with dementia, Erikson's Psychosocial Theory of development and Rogers' Person-Centred Theory of care offer perceptive but differentiated viewpoints. Using Erikson's framework enables practitioners to grasp better the emotional imperatives of aging, such as seeking acceptance, meaningfulness, and reflection, as outlined in his theory of development (Erikson, 1998). Nevertheless, the overarching stage-based structure of the model is bound to overlook patients' uniqueness and diverse cognitive abilities in dementia. Conversely, the person-centred practice of Rogers proposes emotional intelligence, empathy, and respect, thereby enabling practitioners to align with the psychology of care home patients in a more flexible, relational manner (Rogers, 1951; </w:t>
      </w:r>
      <w:proofErr w:type="spellStart"/>
      <w:r w:rsidRPr="00A20394">
        <w:rPr>
          <w:rFonts w:ascii="Arial" w:hAnsi="Arial" w:cs="Arial"/>
          <w:sz w:val="22"/>
          <w:szCs w:val="22"/>
        </w:rPr>
        <w:t>Kitwood</w:t>
      </w:r>
      <w:proofErr w:type="spellEnd"/>
      <w:r w:rsidRPr="00A20394">
        <w:rPr>
          <w:rFonts w:ascii="Arial" w:hAnsi="Arial" w:cs="Arial"/>
          <w:sz w:val="22"/>
          <w:szCs w:val="22"/>
        </w:rPr>
        <w:t>, 1998). The integration of both orientations of theory fosters a holistic development of care, with Erikson's stress on life purpose being supplemented by Rogers' insight into emotional relationships. Through integrating knowledge of developmental stages with person-centred communication, practitioners of health and social care can deliver empathic, theory-informed care that maintains the integrity of care home patients with dementia while maximizing their well-being, promoting enhanced professional empathy, reflective practice, and ethics.</w:t>
      </w:r>
    </w:p>
    <w:p w14:paraId="61959663" w14:textId="77777777" w:rsidR="00A20394" w:rsidRDefault="00A20394" w:rsidP="00A20394">
      <w:pPr>
        <w:pStyle w:val="Heading1"/>
        <w:spacing w:before="0" w:after="120" w:line="240" w:lineRule="auto"/>
      </w:pPr>
      <w:bookmarkStart w:id="5" w:name="_Toc210933205"/>
      <w:r>
        <w:t>Conclusion</w:t>
      </w:r>
      <w:bookmarkEnd w:id="5"/>
      <w:r>
        <w:t xml:space="preserve"> </w:t>
      </w:r>
    </w:p>
    <w:p w14:paraId="3D529F23" w14:textId="6BCFA694" w:rsidR="003A04DC" w:rsidRPr="00A20394" w:rsidRDefault="00A20394" w:rsidP="00A20394">
      <w:pPr>
        <w:spacing w:after="0" w:line="360" w:lineRule="auto"/>
        <w:rPr>
          <w:rFonts w:ascii="Arial" w:hAnsi="Arial" w:cs="Arial"/>
          <w:sz w:val="22"/>
          <w:szCs w:val="22"/>
        </w:rPr>
      </w:pPr>
      <w:r w:rsidRPr="00A20394">
        <w:rPr>
          <w:rFonts w:ascii="Arial" w:hAnsi="Arial" w:cs="Arial"/>
          <w:sz w:val="22"/>
          <w:szCs w:val="22"/>
        </w:rPr>
        <w:t xml:space="preserve">Ultimately, the psychology literature offers insightful foundations for informing compassionate and effective care in dementia. While Rogers' Person-Centred Theory insists that empathy, respect, and emotional understanding form key components of high-calibre care, Erikson's Psychosocial Theory underscores that supporting older adults to achieve integrity and meaningfulness in </w:t>
      </w:r>
      <w:r w:rsidRPr="00A20394">
        <w:rPr>
          <w:rFonts w:ascii="Arial" w:hAnsi="Arial" w:cs="Arial"/>
          <w:sz w:val="22"/>
          <w:szCs w:val="22"/>
        </w:rPr>
        <w:t>later</w:t>
      </w:r>
      <w:r w:rsidRPr="00A20394">
        <w:rPr>
          <w:rFonts w:ascii="Arial" w:hAnsi="Arial" w:cs="Arial"/>
          <w:sz w:val="22"/>
          <w:szCs w:val="22"/>
        </w:rPr>
        <w:t xml:space="preserve"> life stages is paramount. Together, these models form a holistic framework that synthesises the experience of residing with dementia with cognitive-emotional development. Putting these theories into practice promotes relationship-focused, reflective care that optimizes the well-being of care home residents and maintains their sense of identity. As well, learning about and applying the psychology bases among healthcare and social care employees not only enhances older adult care but also deepens professional competencies, empathy, and resilience in providing high-calibre care in dementia settings.</w:t>
      </w:r>
      <w:r w:rsidR="003A04DC" w:rsidRPr="00A20394">
        <w:rPr>
          <w:rFonts w:ascii="Arial" w:hAnsi="Arial" w:cs="Arial"/>
          <w:sz w:val="22"/>
          <w:szCs w:val="22"/>
        </w:rPr>
        <w:br w:type="page"/>
      </w:r>
    </w:p>
    <w:p w14:paraId="4F9E29E0" w14:textId="1E8BD2C4" w:rsidR="007C1D67" w:rsidRDefault="003A04DC" w:rsidP="003A04DC">
      <w:pPr>
        <w:pStyle w:val="Heading1"/>
        <w:spacing w:before="0" w:after="120" w:line="240" w:lineRule="auto"/>
      </w:pPr>
      <w:bookmarkStart w:id="6" w:name="_Toc210933206"/>
      <w:r>
        <w:lastRenderedPageBreak/>
        <w:t>References</w:t>
      </w:r>
      <w:bookmarkEnd w:id="6"/>
      <w:r>
        <w:t xml:space="preserve"> </w:t>
      </w:r>
    </w:p>
    <w:p w14:paraId="266EED25" w14:textId="77777777" w:rsidR="00A20394" w:rsidRDefault="00A20394" w:rsidP="003A04DC">
      <w:pPr>
        <w:spacing w:after="0" w:line="360" w:lineRule="auto"/>
        <w:rPr>
          <w:rFonts w:ascii="Arial" w:hAnsi="Arial" w:cs="Arial"/>
          <w:sz w:val="22"/>
          <w:szCs w:val="22"/>
        </w:rPr>
      </w:pPr>
      <w:r w:rsidRPr="00EE65F1">
        <w:rPr>
          <w:rFonts w:ascii="Arial" w:hAnsi="Arial" w:cs="Arial"/>
          <w:sz w:val="22"/>
          <w:szCs w:val="22"/>
        </w:rPr>
        <w:t>Alzheimer’s Disease International. (2022). </w:t>
      </w:r>
      <w:r w:rsidRPr="00EE65F1">
        <w:rPr>
          <w:rFonts w:ascii="Arial" w:hAnsi="Arial" w:cs="Arial"/>
          <w:i/>
          <w:iCs/>
          <w:sz w:val="22"/>
          <w:szCs w:val="22"/>
        </w:rPr>
        <w:t>World Alzheimer Report 2022–Life after diagnosis: Navigating treatment, care and support</w:t>
      </w:r>
      <w:r w:rsidRPr="00EE65F1">
        <w:rPr>
          <w:rFonts w:ascii="Arial" w:hAnsi="Arial" w:cs="Arial"/>
          <w:sz w:val="22"/>
          <w:szCs w:val="22"/>
        </w:rPr>
        <w:t>. Alzheimer Society of Canada.</w:t>
      </w:r>
    </w:p>
    <w:p w14:paraId="088C60D6" w14:textId="77777777" w:rsidR="00A20394" w:rsidRDefault="00A20394" w:rsidP="003A04DC">
      <w:pPr>
        <w:spacing w:after="0" w:line="360" w:lineRule="auto"/>
        <w:rPr>
          <w:rFonts w:ascii="Arial" w:hAnsi="Arial" w:cs="Arial"/>
          <w:sz w:val="22"/>
          <w:szCs w:val="22"/>
        </w:rPr>
      </w:pPr>
      <w:r w:rsidRPr="00EE65F1">
        <w:rPr>
          <w:rFonts w:ascii="Arial" w:hAnsi="Arial" w:cs="Arial"/>
          <w:sz w:val="22"/>
          <w:szCs w:val="22"/>
        </w:rPr>
        <w:t>Brooker, D., &amp; Latham, I. (2015). </w:t>
      </w:r>
      <w:r w:rsidRPr="00EE65F1">
        <w:rPr>
          <w:rFonts w:ascii="Arial" w:hAnsi="Arial" w:cs="Arial"/>
          <w:i/>
          <w:iCs/>
          <w:sz w:val="22"/>
          <w:szCs w:val="22"/>
        </w:rPr>
        <w:t>Person-centred dementia care: Making services better with the VIPS framework</w:t>
      </w:r>
      <w:r w:rsidRPr="00EE65F1">
        <w:rPr>
          <w:rFonts w:ascii="Arial" w:hAnsi="Arial" w:cs="Arial"/>
          <w:sz w:val="22"/>
          <w:szCs w:val="22"/>
        </w:rPr>
        <w:t>. Jessica Kingsley Publishers.</w:t>
      </w:r>
    </w:p>
    <w:p w14:paraId="0C6BB4A8" w14:textId="77777777" w:rsidR="00A20394" w:rsidRPr="00F8024B" w:rsidRDefault="00A20394" w:rsidP="00F8024B">
      <w:pPr>
        <w:spacing w:after="0" w:line="360" w:lineRule="auto"/>
        <w:rPr>
          <w:rFonts w:ascii="Arial" w:hAnsi="Arial" w:cs="Arial"/>
          <w:sz w:val="22"/>
          <w:szCs w:val="22"/>
        </w:rPr>
      </w:pPr>
      <w:r w:rsidRPr="00F8024B">
        <w:rPr>
          <w:rFonts w:ascii="Arial" w:hAnsi="Arial" w:cs="Arial"/>
          <w:sz w:val="22"/>
          <w:szCs w:val="22"/>
        </w:rPr>
        <w:t xml:space="preserve">By </w:t>
      </w:r>
      <w:r w:rsidRPr="00F8024B">
        <w:rPr>
          <w:rFonts w:ascii="Arial" w:hAnsi="Arial" w:cs="Arial"/>
          <w:i/>
          <w:iCs/>
          <w:sz w:val="22"/>
          <w:szCs w:val="22"/>
        </w:rPr>
        <w:t>et al.</w:t>
      </w:r>
      <w:r w:rsidRPr="00F8024B">
        <w:rPr>
          <w:rFonts w:ascii="Arial" w:hAnsi="Arial" w:cs="Arial"/>
          <w:sz w:val="22"/>
          <w:szCs w:val="22"/>
        </w:rPr>
        <w:t xml:space="preserve"> (2025) </w:t>
      </w:r>
      <w:r w:rsidRPr="00F8024B">
        <w:rPr>
          <w:rFonts w:ascii="Arial" w:hAnsi="Arial" w:cs="Arial"/>
          <w:i/>
          <w:iCs/>
          <w:sz w:val="22"/>
          <w:szCs w:val="22"/>
        </w:rPr>
        <w:t>Erikson’s stages of development</w:t>
      </w:r>
      <w:r w:rsidRPr="00F8024B">
        <w:rPr>
          <w:rFonts w:ascii="Arial" w:hAnsi="Arial" w:cs="Arial"/>
          <w:sz w:val="22"/>
          <w:szCs w:val="22"/>
        </w:rPr>
        <w:t xml:space="preserve">, </w:t>
      </w:r>
      <w:r w:rsidRPr="00F8024B">
        <w:rPr>
          <w:rFonts w:ascii="Arial" w:hAnsi="Arial" w:cs="Arial"/>
          <w:i/>
          <w:iCs/>
          <w:sz w:val="22"/>
          <w:szCs w:val="22"/>
        </w:rPr>
        <w:t>Simply Psychology</w:t>
      </w:r>
      <w:r w:rsidRPr="00F8024B">
        <w:rPr>
          <w:rFonts w:ascii="Arial" w:hAnsi="Arial" w:cs="Arial"/>
          <w:sz w:val="22"/>
          <w:szCs w:val="22"/>
        </w:rPr>
        <w:t xml:space="preserve">. Available at: https://www.simplypsychology.org/erik-erikson.html. </w:t>
      </w:r>
    </w:p>
    <w:p w14:paraId="1AFE4C61" w14:textId="77777777" w:rsidR="00A20394" w:rsidRDefault="00A20394" w:rsidP="003A04DC">
      <w:pPr>
        <w:spacing w:after="0" w:line="360" w:lineRule="auto"/>
        <w:rPr>
          <w:rFonts w:ascii="Arial" w:hAnsi="Arial" w:cs="Arial"/>
          <w:sz w:val="22"/>
          <w:szCs w:val="22"/>
        </w:rPr>
      </w:pPr>
      <w:r w:rsidRPr="00F8024B">
        <w:rPr>
          <w:rFonts w:ascii="Arial" w:hAnsi="Arial" w:cs="Arial"/>
          <w:sz w:val="22"/>
          <w:szCs w:val="22"/>
        </w:rPr>
        <w:t>Caddell, L. S., &amp; Clare, L. (2011). I’m still the same person: The impact of early-stage dementia on identity. </w:t>
      </w:r>
      <w:r w:rsidRPr="00F8024B">
        <w:rPr>
          <w:rFonts w:ascii="Arial" w:hAnsi="Arial" w:cs="Arial"/>
          <w:i/>
          <w:iCs/>
          <w:sz w:val="22"/>
          <w:szCs w:val="22"/>
        </w:rPr>
        <w:t>Dementia</w:t>
      </w:r>
      <w:r w:rsidRPr="00F8024B">
        <w:rPr>
          <w:rFonts w:ascii="Arial" w:hAnsi="Arial" w:cs="Arial"/>
          <w:sz w:val="22"/>
          <w:szCs w:val="22"/>
        </w:rPr>
        <w:t>, </w:t>
      </w:r>
      <w:r w:rsidRPr="00F8024B">
        <w:rPr>
          <w:rFonts w:ascii="Arial" w:hAnsi="Arial" w:cs="Arial"/>
          <w:i/>
          <w:iCs/>
          <w:sz w:val="22"/>
          <w:szCs w:val="22"/>
        </w:rPr>
        <w:t>10</w:t>
      </w:r>
      <w:r w:rsidRPr="00F8024B">
        <w:rPr>
          <w:rFonts w:ascii="Arial" w:hAnsi="Arial" w:cs="Arial"/>
          <w:sz w:val="22"/>
          <w:szCs w:val="22"/>
        </w:rPr>
        <w:t>(3), 379-398.</w:t>
      </w:r>
    </w:p>
    <w:p w14:paraId="28C4D352" w14:textId="77777777" w:rsidR="00A20394" w:rsidRPr="003A04DC" w:rsidRDefault="00A20394" w:rsidP="003A04DC">
      <w:pPr>
        <w:spacing w:after="0" w:line="360" w:lineRule="auto"/>
        <w:rPr>
          <w:rFonts w:ascii="Arial" w:hAnsi="Arial" w:cs="Arial"/>
          <w:sz w:val="22"/>
          <w:szCs w:val="22"/>
        </w:rPr>
      </w:pPr>
      <w:r w:rsidRPr="003A04DC">
        <w:rPr>
          <w:rFonts w:ascii="Arial" w:hAnsi="Arial" w:cs="Arial"/>
          <w:sz w:val="22"/>
          <w:szCs w:val="22"/>
        </w:rPr>
        <w:t>Clare, L., &amp; Woods, R. T. (Eds.). (2001). </w:t>
      </w:r>
      <w:r w:rsidRPr="003A04DC">
        <w:rPr>
          <w:rFonts w:ascii="Arial" w:hAnsi="Arial" w:cs="Arial"/>
          <w:i/>
          <w:iCs/>
          <w:sz w:val="22"/>
          <w:szCs w:val="22"/>
        </w:rPr>
        <w:t>Cognitive rehabilitation in dementia</w:t>
      </w:r>
      <w:r w:rsidRPr="003A04DC">
        <w:rPr>
          <w:rFonts w:ascii="Arial" w:hAnsi="Arial" w:cs="Arial"/>
          <w:sz w:val="22"/>
          <w:szCs w:val="22"/>
        </w:rPr>
        <w:t>. Psychology Press.</w:t>
      </w:r>
    </w:p>
    <w:p w14:paraId="21EBBF77" w14:textId="77777777" w:rsidR="00A20394" w:rsidRPr="00EE65F1" w:rsidRDefault="00A20394" w:rsidP="00EE65F1">
      <w:pPr>
        <w:spacing w:after="0" w:line="360" w:lineRule="auto"/>
        <w:rPr>
          <w:rFonts w:ascii="Arial" w:hAnsi="Arial" w:cs="Arial"/>
          <w:sz w:val="22"/>
          <w:szCs w:val="22"/>
        </w:rPr>
      </w:pPr>
      <w:r w:rsidRPr="00EE65F1">
        <w:rPr>
          <w:rFonts w:ascii="Arial" w:hAnsi="Arial" w:cs="Arial"/>
          <w:i/>
          <w:iCs/>
          <w:sz w:val="22"/>
          <w:szCs w:val="22"/>
        </w:rPr>
        <w:t>Dementia</w:t>
      </w:r>
      <w:r w:rsidRPr="00EE65F1">
        <w:rPr>
          <w:rFonts w:ascii="Arial" w:hAnsi="Arial" w:cs="Arial"/>
          <w:sz w:val="22"/>
          <w:szCs w:val="22"/>
        </w:rPr>
        <w:t xml:space="preserve"> (2025) </w:t>
      </w:r>
      <w:r w:rsidRPr="00EE65F1">
        <w:rPr>
          <w:rFonts w:ascii="Arial" w:hAnsi="Arial" w:cs="Arial"/>
          <w:i/>
          <w:iCs/>
          <w:sz w:val="22"/>
          <w:szCs w:val="22"/>
        </w:rPr>
        <w:t>World Health Organization</w:t>
      </w:r>
      <w:r w:rsidRPr="00EE65F1">
        <w:rPr>
          <w:rFonts w:ascii="Arial" w:hAnsi="Arial" w:cs="Arial"/>
          <w:sz w:val="22"/>
          <w:szCs w:val="22"/>
        </w:rPr>
        <w:t xml:space="preserve">. Available at: https://www.who.int/news-room/fact-sheets/detail/dementia. </w:t>
      </w:r>
    </w:p>
    <w:p w14:paraId="6C1D076D" w14:textId="77777777" w:rsidR="00A20394" w:rsidRDefault="00A20394" w:rsidP="003A04DC">
      <w:pPr>
        <w:spacing w:after="0" w:line="360" w:lineRule="auto"/>
        <w:rPr>
          <w:rFonts w:ascii="Arial" w:hAnsi="Arial" w:cs="Arial"/>
          <w:sz w:val="22"/>
          <w:szCs w:val="22"/>
        </w:rPr>
      </w:pPr>
      <w:proofErr w:type="spellStart"/>
      <w:r w:rsidRPr="00F8024B">
        <w:rPr>
          <w:rFonts w:ascii="Arial" w:hAnsi="Arial" w:cs="Arial"/>
          <w:sz w:val="22"/>
          <w:szCs w:val="22"/>
        </w:rPr>
        <w:t>Edvardsson</w:t>
      </w:r>
      <w:proofErr w:type="spellEnd"/>
      <w:r w:rsidRPr="00F8024B">
        <w:rPr>
          <w:rFonts w:ascii="Arial" w:hAnsi="Arial" w:cs="Arial"/>
          <w:sz w:val="22"/>
          <w:szCs w:val="22"/>
        </w:rPr>
        <w:t xml:space="preserve">, D., </w:t>
      </w:r>
      <w:proofErr w:type="spellStart"/>
      <w:r w:rsidRPr="00F8024B">
        <w:rPr>
          <w:rFonts w:ascii="Arial" w:hAnsi="Arial" w:cs="Arial"/>
          <w:sz w:val="22"/>
          <w:szCs w:val="22"/>
        </w:rPr>
        <w:t>Winblad</w:t>
      </w:r>
      <w:proofErr w:type="spellEnd"/>
      <w:r w:rsidRPr="00F8024B">
        <w:rPr>
          <w:rFonts w:ascii="Arial" w:hAnsi="Arial" w:cs="Arial"/>
          <w:sz w:val="22"/>
          <w:szCs w:val="22"/>
        </w:rPr>
        <w:t>, B., &amp; Sandman, P. O. (2008). Person-centred care of people with severe Alzheimer's disease: current status and ways forward. </w:t>
      </w:r>
      <w:r w:rsidRPr="00F8024B">
        <w:rPr>
          <w:rFonts w:ascii="Arial" w:hAnsi="Arial" w:cs="Arial"/>
          <w:i/>
          <w:iCs/>
          <w:sz w:val="22"/>
          <w:szCs w:val="22"/>
        </w:rPr>
        <w:t>the Lancet neurology</w:t>
      </w:r>
      <w:r w:rsidRPr="00F8024B">
        <w:rPr>
          <w:rFonts w:ascii="Arial" w:hAnsi="Arial" w:cs="Arial"/>
          <w:sz w:val="22"/>
          <w:szCs w:val="22"/>
        </w:rPr>
        <w:t>, </w:t>
      </w:r>
      <w:r w:rsidRPr="00F8024B">
        <w:rPr>
          <w:rFonts w:ascii="Arial" w:hAnsi="Arial" w:cs="Arial"/>
          <w:i/>
          <w:iCs/>
          <w:sz w:val="22"/>
          <w:szCs w:val="22"/>
        </w:rPr>
        <w:t>7</w:t>
      </w:r>
      <w:r w:rsidRPr="00F8024B">
        <w:rPr>
          <w:rFonts w:ascii="Arial" w:hAnsi="Arial" w:cs="Arial"/>
          <w:sz w:val="22"/>
          <w:szCs w:val="22"/>
        </w:rPr>
        <w:t>(4), 362-367.</w:t>
      </w:r>
    </w:p>
    <w:p w14:paraId="30B2E094" w14:textId="77777777" w:rsidR="00A20394" w:rsidRDefault="00A20394" w:rsidP="003A04DC">
      <w:pPr>
        <w:spacing w:after="0" w:line="360" w:lineRule="auto"/>
        <w:rPr>
          <w:rFonts w:ascii="Arial" w:hAnsi="Arial" w:cs="Arial"/>
          <w:sz w:val="22"/>
          <w:szCs w:val="22"/>
        </w:rPr>
      </w:pPr>
      <w:r w:rsidRPr="003A04DC">
        <w:rPr>
          <w:rFonts w:ascii="Arial" w:hAnsi="Arial" w:cs="Arial"/>
          <w:sz w:val="22"/>
          <w:szCs w:val="22"/>
        </w:rPr>
        <w:t>Erikson, E. H., &amp; Erikson, J. M. (1998). </w:t>
      </w:r>
      <w:r w:rsidRPr="003A04DC">
        <w:rPr>
          <w:rFonts w:ascii="Arial" w:hAnsi="Arial" w:cs="Arial"/>
          <w:i/>
          <w:iCs/>
          <w:sz w:val="22"/>
          <w:szCs w:val="22"/>
        </w:rPr>
        <w:t>The life cycle completed (extended version)</w:t>
      </w:r>
      <w:r w:rsidRPr="003A04DC">
        <w:rPr>
          <w:rFonts w:ascii="Arial" w:hAnsi="Arial" w:cs="Arial"/>
          <w:sz w:val="22"/>
          <w:szCs w:val="22"/>
        </w:rPr>
        <w:t>. WW Norton &amp; Company.</w:t>
      </w:r>
    </w:p>
    <w:p w14:paraId="595E4A88" w14:textId="77777777" w:rsidR="00A20394" w:rsidRDefault="00A20394" w:rsidP="003A04DC">
      <w:pPr>
        <w:spacing w:after="0" w:line="360" w:lineRule="auto"/>
        <w:rPr>
          <w:rFonts w:ascii="Arial" w:hAnsi="Arial" w:cs="Arial"/>
          <w:sz w:val="22"/>
          <w:szCs w:val="22"/>
        </w:rPr>
      </w:pPr>
      <w:proofErr w:type="spellStart"/>
      <w:r w:rsidRPr="00F8024B">
        <w:rPr>
          <w:rFonts w:ascii="Arial" w:hAnsi="Arial" w:cs="Arial"/>
          <w:sz w:val="22"/>
          <w:szCs w:val="22"/>
        </w:rPr>
        <w:t>Kitwood</w:t>
      </w:r>
      <w:proofErr w:type="spellEnd"/>
      <w:r w:rsidRPr="00F8024B">
        <w:rPr>
          <w:rFonts w:ascii="Arial" w:hAnsi="Arial" w:cs="Arial"/>
          <w:sz w:val="22"/>
          <w:szCs w:val="22"/>
        </w:rPr>
        <w:t>, T. (1998). Toward a theory of dementia care: ethics and interaction. </w:t>
      </w:r>
      <w:r w:rsidRPr="00F8024B">
        <w:rPr>
          <w:rFonts w:ascii="Arial" w:hAnsi="Arial" w:cs="Arial"/>
          <w:i/>
          <w:iCs/>
          <w:sz w:val="22"/>
          <w:szCs w:val="22"/>
        </w:rPr>
        <w:t>The Journal of clinical ethics</w:t>
      </w:r>
      <w:r w:rsidRPr="00F8024B">
        <w:rPr>
          <w:rFonts w:ascii="Arial" w:hAnsi="Arial" w:cs="Arial"/>
          <w:sz w:val="22"/>
          <w:szCs w:val="22"/>
        </w:rPr>
        <w:t>, </w:t>
      </w:r>
      <w:r w:rsidRPr="00F8024B">
        <w:rPr>
          <w:rFonts w:ascii="Arial" w:hAnsi="Arial" w:cs="Arial"/>
          <w:i/>
          <w:iCs/>
          <w:sz w:val="22"/>
          <w:szCs w:val="22"/>
        </w:rPr>
        <w:t>9</w:t>
      </w:r>
      <w:r w:rsidRPr="00F8024B">
        <w:rPr>
          <w:rFonts w:ascii="Arial" w:hAnsi="Arial" w:cs="Arial"/>
          <w:sz w:val="22"/>
          <w:szCs w:val="22"/>
        </w:rPr>
        <w:t>(1), 23-34.</w:t>
      </w:r>
    </w:p>
    <w:p w14:paraId="115E2929" w14:textId="77777777" w:rsidR="00A20394" w:rsidRDefault="00A20394" w:rsidP="003A04DC">
      <w:pPr>
        <w:spacing w:after="0" w:line="360" w:lineRule="auto"/>
        <w:rPr>
          <w:rFonts w:ascii="Arial" w:hAnsi="Arial" w:cs="Arial"/>
          <w:sz w:val="22"/>
          <w:szCs w:val="22"/>
        </w:rPr>
      </w:pPr>
      <w:r w:rsidRPr="003A04DC">
        <w:rPr>
          <w:rFonts w:ascii="Arial" w:hAnsi="Arial" w:cs="Arial"/>
          <w:sz w:val="22"/>
          <w:szCs w:val="22"/>
        </w:rPr>
        <w:t>Rogers, C. R. (1951). </w:t>
      </w:r>
      <w:r w:rsidRPr="003A04DC">
        <w:rPr>
          <w:rFonts w:ascii="Arial" w:hAnsi="Arial" w:cs="Arial"/>
          <w:i/>
          <w:iCs/>
          <w:sz w:val="22"/>
          <w:szCs w:val="22"/>
        </w:rPr>
        <w:t>Client-centered therapy: Its current practice, implications, and theory</w:t>
      </w:r>
      <w:r w:rsidRPr="003A04DC">
        <w:rPr>
          <w:rFonts w:ascii="Arial" w:hAnsi="Arial" w:cs="Arial"/>
          <w:sz w:val="22"/>
          <w:szCs w:val="22"/>
        </w:rPr>
        <w:t>. Boston: Houghton Mifflin.</w:t>
      </w:r>
    </w:p>
    <w:p w14:paraId="645DD6FE" w14:textId="77777777" w:rsidR="00A20394" w:rsidRDefault="00A20394" w:rsidP="003A04DC">
      <w:pPr>
        <w:spacing w:after="0" w:line="360" w:lineRule="auto"/>
        <w:rPr>
          <w:rFonts w:ascii="Arial" w:hAnsi="Arial" w:cs="Arial"/>
          <w:sz w:val="22"/>
          <w:szCs w:val="22"/>
        </w:rPr>
      </w:pPr>
      <w:r w:rsidRPr="00A87A87">
        <w:rPr>
          <w:rFonts w:ascii="Arial" w:hAnsi="Arial" w:cs="Arial"/>
          <w:sz w:val="22"/>
          <w:szCs w:val="22"/>
        </w:rPr>
        <w:t>Subramaniam, P., &amp; Woods, B. (2012). The impact of individual reminiscence therapy for people with dementia: systematic review. </w:t>
      </w:r>
      <w:r w:rsidRPr="00A87A87">
        <w:rPr>
          <w:rFonts w:ascii="Arial" w:hAnsi="Arial" w:cs="Arial"/>
          <w:i/>
          <w:iCs/>
          <w:sz w:val="22"/>
          <w:szCs w:val="22"/>
        </w:rPr>
        <w:t>Expert review of neurotherapeutics</w:t>
      </w:r>
      <w:r w:rsidRPr="00A87A87">
        <w:rPr>
          <w:rFonts w:ascii="Arial" w:hAnsi="Arial" w:cs="Arial"/>
          <w:sz w:val="22"/>
          <w:szCs w:val="22"/>
        </w:rPr>
        <w:t>, </w:t>
      </w:r>
      <w:r w:rsidRPr="00A87A87">
        <w:rPr>
          <w:rFonts w:ascii="Arial" w:hAnsi="Arial" w:cs="Arial"/>
          <w:i/>
          <w:iCs/>
          <w:sz w:val="22"/>
          <w:szCs w:val="22"/>
        </w:rPr>
        <w:t>12</w:t>
      </w:r>
      <w:r w:rsidRPr="00A87A87">
        <w:rPr>
          <w:rFonts w:ascii="Arial" w:hAnsi="Arial" w:cs="Arial"/>
          <w:sz w:val="22"/>
          <w:szCs w:val="22"/>
        </w:rPr>
        <w:t>(5), 545-555.</w:t>
      </w:r>
    </w:p>
    <w:p w14:paraId="7F0DCAF3" w14:textId="77777777" w:rsidR="00A20394" w:rsidRDefault="00A20394" w:rsidP="003A04DC">
      <w:pPr>
        <w:spacing w:after="0" w:line="360" w:lineRule="auto"/>
        <w:rPr>
          <w:rFonts w:ascii="Arial" w:hAnsi="Arial" w:cs="Arial"/>
          <w:sz w:val="22"/>
          <w:szCs w:val="22"/>
        </w:rPr>
      </w:pPr>
      <w:r w:rsidRPr="003A04DC">
        <w:rPr>
          <w:rFonts w:ascii="Arial" w:hAnsi="Arial" w:cs="Arial"/>
          <w:i/>
          <w:iCs/>
          <w:sz w:val="22"/>
          <w:szCs w:val="22"/>
        </w:rPr>
        <w:t>What we do</w:t>
      </w:r>
      <w:r w:rsidRPr="003A04DC">
        <w:rPr>
          <w:rFonts w:ascii="Arial" w:hAnsi="Arial" w:cs="Arial"/>
          <w:sz w:val="22"/>
          <w:szCs w:val="22"/>
        </w:rPr>
        <w:t xml:space="preserve"> (2024) </w:t>
      </w:r>
      <w:r w:rsidRPr="003A04DC">
        <w:rPr>
          <w:rFonts w:ascii="Arial" w:hAnsi="Arial" w:cs="Arial"/>
          <w:i/>
          <w:iCs/>
          <w:sz w:val="22"/>
          <w:szCs w:val="22"/>
        </w:rPr>
        <w:t>Alzheimer’s Society</w:t>
      </w:r>
      <w:r w:rsidRPr="003A04DC">
        <w:rPr>
          <w:rFonts w:ascii="Arial" w:hAnsi="Arial" w:cs="Arial"/>
          <w:sz w:val="22"/>
          <w:szCs w:val="22"/>
        </w:rPr>
        <w:t xml:space="preserve">. Available at: https://www.alzheimers.org.uk/. </w:t>
      </w:r>
    </w:p>
    <w:p w14:paraId="1A33FFA9" w14:textId="77777777" w:rsidR="00A87A87" w:rsidRPr="003A04DC" w:rsidRDefault="00A87A87" w:rsidP="003A04DC">
      <w:pPr>
        <w:spacing w:after="0" w:line="360" w:lineRule="auto"/>
        <w:rPr>
          <w:rFonts w:ascii="Arial" w:hAnsi="Arial" w:cs="Arial"/>
          <w:sz w:val="22"/>
          <w:szCs w:val="22"/>
        </w:rPr>
      </w:pPr>
    </w:p>
    <w:sectPr w:rsidR="00A87A87" w:rsidRPr="003A04DC" w:rsidSect="007C1D67">
      <w:pgSz w:w="11906" w:h="16838"/>
      <w:pgMar w:top="1440" w:right="1440" w:bottom="1440" w:left="1440" w:header="708" w:footer="708" w:gutter="0"/>
      <w:pgBorders w:display="firstPage" w:offsetFrom="page">
        <w:top w:val="single" w:sz="48" w:space="24" w:color="auto"/>
        <w:left w:val="single" w:sz="48" w:space="24" w:color="auto"/>
        <w:bottom w:val="single" w:sz="48" w:space="24" w:color="auto"/>
        <w:right w:val="single" w:sz="4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D67"/>
    <w:rsid w:val="00276810"/>
    <w:rsid w:val="00281C1D"/>
    <w:rsid w:val="003A04DC"/>
    <w:rsid w:val="007C1D67"/>
    <w:rsid w:val="00A20394"/>
    <w:rsid w:val="00A87A87"/>
    <w:rsid w:val="00ED3661"/>
    <w:rsid w:val="00EE65F1"/>
    <w:rsid w:val="00F80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23BFA"/>
  <w15:chartTrackingRefBased/>
  <w15:docId w15:val="{77C89891-4C60-1F4B-80C1-413E9F92F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D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D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D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D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D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D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D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D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D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D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1D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1D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1D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1D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1D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D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D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D67"/>
    <w:rPr>
      <w:rFonts w:eastAsiaTheme="majorEastAsia" w:cstheme="majorBidi"/>
      <w:color w:val="272727" w:themeColor="text1" w:themeTint="D8"/>
    </w:rPr>
  </w:style>
  <w:style w:type="paragraph" w:styleId="Title">
    <w:name w:val="Title"/>
    <w:basedOn w:val="Normal"/>
    <w:next w:val="Normal"/>
    <w:link w:val="TitleChar"/>
    <w:uiPriority w:val="10"/>
    <w:qFormat/>
    <w:rsid w:val="007C1D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D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D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D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D67"/>
    <w:pPr>
      <w:spacing w:before="160"/>
      <w:jc w:val="center"/>
    </w:pPr>
    <w:rPr>
      <w:i/>
      <w:iCs/>
      <w:color w:val="404040" w:themeColor="text1" w:themeTint="BF"/>
    </w:rPr>
  </w:style>
  <w:style w:type="character" w:customStyle="1" w:styleId="QuoteChar">
    <w:name w:val="Quote Char"/>
    <w:basedOn w:val="DefaultParagraphFont"/>
    <w:link w:val="Quote"/>
    <w:uiPriority w:val="29"/>
    <w:rsid w:val="007C1D67"/>
    <w:rPr>
      <w:i/>
      <w:iCs/>
      <w:color w:val="404040" w:themeColor="text1" w:themeTint="BF"/>
    </w:rPr>
  </w:style>
  <w:style w:type="paragraph" w:styleId="ListParagraph">
    <w:name w:val="List Paragraph"/>
    <w:basedOn w:val="Normal"/>
    <w:uiPriority w:val="34"/>
    <w:qFormat/>
    <w:rsid w:val="007C1D67"/>
    <w:pPr>
      <w:ind w:left="720"/>
      <w:contextualSpacing/>
    </w:pPr>
  </w:style>
  <w:style w:type="character" w:styleId="IntenseEmphasis">
    <w:name w:val="Intense Emphasis"/>
    <w:basedOn w:val="DefaultParagraphFont"/>
    <w:uiPriority w:val="21"/>
    <w:qFormat/>
    <w:rsid w:val="007C1D67"/>
    <w:rPr>
      <w:i/>
      <w:iCs/>
      <w:color w:val="0F4761" w:themeColor="accent1" w:themeShade="BF"/>
    </w:rPr>
  </w:style>
  <w:style w:type="paragraph" w:styleId="IntenseQuote">
    <w:name w:val="Intense Quote"/>
    <w:basedOn w:val="Normal"/>
    <w:next w:val="Normal"/>
    <w:link w:val="IntenseQuoteChar"/>
    <w:uiPriority w:val="30"/>
    <w:qFormat/>
    <w:rsid w:val="007C1D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D67"/>
    <w:rPr>
      <w:i/>
      <w:iCs/>
      <w:color w:val="0F4761" w:themeColor="accent1" w:themeShade="BF"/>
    </w:rPr>
  </w:style>
  <w:style w:type="character" w:styleId="IntenseReference">
    <w:name w:val="Intense Reference"/>
    <w:basedOn w:val="DefaultParagraphFont"/>
    <w:uiPriority w:val="32"/>
    <w:qFormat/>
    <w:rsid w:val="007C1D67"/>
    <w:rPr>
      <w:b/>
      <w:bCs/>
      <w:smallCaps/>
      <w:color w:val="0F4761" w:themeColor="accent1" w:themeShade="BF"/>
      <w:spacing w:val="5"/>
    </w:rPr>
  </w:style>
  <w:style w:type="paragraph" w:styleId="TOCHeading">
    <w:name w:val="TOC Heading"/>
    <w:basedOn w:val="Heading1"/>
    <w:next w:val="Normal"/>
    <w:uiPriority w:val="39"/>
    <w:unhideWhenUsed/>
    <w:qFormat/>
    <w:rsid w:val="00A2039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20394"/>
    <w:pPr>
      <w:spacing w:before="120" w:after="0"/>
    </w:pPr>
    <w:rPr>
      <w:b/>
      <w:bCs/>
      <w:i/>
      <w:iCs/>
    </w:rPr>
  </w:style>
  <w:style w:type="character" w:styleId="Hyperlink">
    <w:name w:val="Hyperlink"/>
    <w:basedOn w:val="DefaultParagraphFont"/>
    <w:uiPriority w:val="99"/>
    <w:unhideWhenUsed/>
    <w:rsid w:val="00A20394"/>
    <w:rPr>
      <w:color w:val="467886" w:themeColor="hyperlink"/>
      <w:u w:val="single"/>
    </w:rPr>
  </w:style>
  <w:style w:type="paragraph" w:styleId="TOC2">
    <w:name w:val="toc 2"/>
    <w:basedOn w:val="Normal"/>
    <w:next w:val="Normal"/>
    <w:autoRedefine/>
    <w:uiPriority w:val="39"/>
    <w:semiHidden/>
    <w:unhideWhenUsed/>
    <w:rsid w:val="00A20394"/>
    <w:pPr>
      <w:spacing w:before="120" w:after="0"/>
      <w:ind w:left="240"/>
    </w:pPr>
    <w:rPr>
      <w:b/>
      <w:bCs/>
      <w:sz w:val="22"/>
      <w:szCs w:val="22"/>
    </w:rPr>
  </w:style>
  <w:style w:type="paragraph" w:styleId="TOC3">
    <w:name w:val="toc 3"/>
    <w:basedOn w:val="Normal"/>
    <w:next w:val="Normal"/>
    <w:autoRedefine/>
    <w:uiPriority w:val="39"/>
    <w:semiHidden/>
    <w:unhideWhenUsed/>
    <w:rsid w:val="00A20394"/>
    <w:pPr>
      <w:spacing w:after="0"/>
      <w:ind w:left="480"/>
    </w:pPr>
    <w:rPr>
      <w:sz w:val="20"/>
      <w:szCs w:val="20"/>
    </w:rPr>
  </w:style>
  <w:style w:type="paragraph" w:styleId="TOC4">
    <w:name w:val="toc 4"/>
    <w:basedOn w:val="Normal"/>
    <w:next w:val="Normal"/>
    <w:autoRedefine/>
    <w:uiPriority w:val="39"/>
    <w:semiHidden/>
    <w:unhideWhenUsed/>
    <w:rsid w:val="00A20394"/>
    <w:pPr>
      <w:spacing w:after="0"/>
      <w:ind w:left="720"/>
    </w:pPr>
    <w:rPr>
      <w:sz w:val="20"/>
      <w:szCs w:val="20"/>
    </w:rPr>
  </w:style>
  <w:style w:type="paragraph" w:styleId="TOC5">
    <w:name w:val="toc 5"/>
    <w:basedOn w:val="Normal"/>
    <w:next w:val="Normal"/>
    <w:autoRedefine/>
    <w:uiPriority w:val="39"/>
    <w:semiHidden/>
    <w:unhideWhenUsed/>
    <w:rsid w:val="00A20394"/>
    <w:pPr>
      <w:spacing w:after="0"/>
      <w:ind w:left="960"/>
    </w:pPr>
    <w:rPr>
      <w:sz w:val="20"/>
      <w:szCs w:val="20"/>
    </w:rPr>
  </w:style>
  <w:style w:type="paragraph" w:styleId="TOC6">
    <w:name w:val="toc 6"/>
    <w:basedOn w:val="Normal"/>
    <w:next w:val="Normal"/>
    <w:autoRedefine/>
    <w:uiPriority w:val="39"/>
    <w:semiHidden/>
    <w:unhideWhenUsed/>
    <w:rsid w:val="00A20394"/>
    <w:pPr>
      <w:spacing w:after="0"/>
      <w:ind w:left="1200"/>
    </w:pPr>
    <w:rPr>
      <w:sz w:val="20"/>
      <w:szCs w:val="20"/>
    </w:rPr>
  </w:style>
  <w:style w:type="paragraph" w:styleId="TOC7">
    <w:name w:val="toc 7"/>
    <w:basedOn w:val="Normal"/>
    <w:next w:val="Normal"/>
    <w:autoRedefine/>
    <w:uiPriority w:val="39"/>
    <w:semiHidden/>
    <w:unhideWhenUsed/>
    <w:rsid w:val="00A20394"/>
    <w:pPr>
      <w:spacing w:after="0"/>
      <w:ind w:left="1440"/>
    </w:pPr>
    <w:rPr>
      <w:sz w:val="20"/>
      <w:szCs w:val="20"/>
    </w:rPr>
  </w:style>
  <w:style w:type="paragraph" w:styleId="TOC8">
    <w:name w:val="toc 8"/>
    <w:basedOn w:val="Normal"/>
    <w:next w:val="Normal"/>
    <w:autoRedefine/>
    <w:uiPriority w:val="39"/>
    <w:semiHidden/>
    <w:unhideWhenUsed/>
    <w:rsid w:val="00A20394"/>
    <w:pPr>
      <w:spacing w:after="0"/>
      <w:ind w:left="1680"/>
    </w:pPr>
    <w:rPr>
      <w:sz w:val="20"/>
      <w:szCs w:val="20"/>
    </w:rPr>
  </w:style>
  <w:style w:type="paragraph" w:styleId="TOC9">
    <w:name w:val="toc 9"/>
    <w:basedOn w:val="Normal"/>
    <w:next w:val="Normal"/>
    <w:autoRedefine/>
    <w:uiPriority w:val="39"/>
    <w:semiHidden/>
    <w:unhideWhenUsed/>
    <w:rsid w:val="00A20394"/>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3563853">
      <w:bodyDiv w:val="1"/>
      <w:marLeft w:val="0"/>
      <w:marRight w:val="0"/>
      <w:marTop w:val="0"/>
      <w:marBottom w:val="0"/>
      <w:divBdr>
        <w:top w:val="none" w:sz="0" w:space="0" w:color="auto"/>
        <w:left w:val="none" w:sz="0" w:space="0" w:color="auto"/>
        <w:bottom w:val="none" w:sz="0" w:space="0" w:color="auto"/>
        <w:right w:val="none" w:sz="0" w:space="0" w:color="auto"/>
      </w:divBdr>
    </w:div>
    <w:div w:id="475687363">
      <w:bodyDiv w:val="1"/>
      <w:marLeft w:val="0"/>
      <w:marRight w:val="0"/>
      <w:marTop w:val="0"/>
      <w:marBottom w:val="0"/>
      <w:divBdr>
        <w:top w:val="none" w:sz="0" w:space="0" w:color="auto"/>
        <w:left w:val="none" w:sz="0" w:space="0" w:color="auto"/>
        <w:bottom w:val="none" w:sz="0" w:space="0" w:color="auto"/>
        <w:right w:val="none" w:sz="0" w:space="0" w:color="auto"/>
      </w:divBdr>
    </w:div>
    <w:div w:id="1149249805">
      <w:bodyDiv w:val="1"/>
      <w:marLeft w:val="0"/>
      <w:marRight w:val="0"/>
      <w:marTop w:val="0"/>
      <w:marBottom w:val="0"/>
      <w:divBdr>
        <w:top w:val="none" w:sz="0" w:space="0" w:color="auto"/>
        <w:left w:val="none" w:sz="0" w:space="0" w:color="auto"/>
        <w:bottom w:val="none" w:sz="0" w:space="0" w:color="auto"/>
        <w:right w:val="none" w:sz="0" w:space="0" w:color="auto"/>
      </w:divBdr>
    </w:div>
    <w:div w:id="1237744500">
      <w:bodyDiv w:val="1"/>
      <w:marLeft w:val="0"/>
      <w:marRight w:val="0"/>
      <w:marTop w:val="0"/>
      <w:marBottom w:val="0"/>
      <w:divBdr>
        <w:top w:val="none" w:sz="0" w:space="0" w:color="auto"/>
        <w:left w:val="none" w:sz="0" w:space="0" w:color="auto"/>
        <w:bottom w:val="none" w:sz="0" w:space="0" w:color="auto"/>
        <w:right w:val="none" w:sz="0" w:space="0" w:color="auto"/>
      </w:divBdr>
    </w:div>
    <w:div w:id="1482426429">
      <w:bodyDiv w:val="1"/>
      <w:marLeft w:val="0"/>
      <w:marRight w:val="0"/>
      <w:marTop w:val="0"/>
      <w:marBottom w:val="0"/>
      <w:divBdr>
        <w:top w:val="none" w:sz="0" w:space="0" w:color="auto"/>
        <w:left w:val="none" w:sz="0" w:space="0" w:color="auto"/>
        <w:bottom w:val="none" w:sz="0" w:space="0" w:color="auto"/>
        <w:right w:val="none" w:sz="0" w:space="0" w:color="auto"/>
      </w:divBdr>
    </w:div>
    <w:div w:id="2123264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07368-71B3-344E-AD78-83C10A5F6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7</Pages>
  <Words>2058</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Augustina-Oana Petrunescu</dc:creator>
  <cp:keywords/>
  <dc:description/>
  <cp:lastModifiedBy>Augustina-Oana Petrunescu</cp:lastModifiedBy>
  <cp:revision>1</cp:revision>
  <dcterms:created xsi:type="dcterms:W3CDTF">2025-10-09T17:37:00Z</dcterms:created>
  <dcterms:modified xsi:type="dcterms:W3CDTF">2025-10-09T19:18:00Z</dcterms:modified>
</cp:coreProperties>
</file>