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5D1" w:rsidRDefault="004515D1" w:rsidP="004515D1">
      <w:pPr>
        <w:tabs>
          <w:tab w:val="center" w:pos="4513"/>
        </w:tabs>
        <w:suppressAutoHyphens/>
        <w:spacing w:line="240" w:lineRule="atLeast"/>
        <w:jc w:val="both"/>
        <w:rPr>
          <w:rFonts w:ascii="Times" w:hAnsi="Times" w:cs="Times"/>
          <w:b/>
          <w:bCs/>
          <w:spacing w:val="-3"/>
          <w:lang w:val="en-GB"/>
        </w:rPr>
      </w:pPr>
      <w:r>
        <w:rPr>
          <w:rFonts w:ascii="Times" w:hAnsi="Times" w:cs="Times"/>
          <w:b/>
          <w:bCs/>
          <w:spacing w:val="-3"/>
          <w:lang w:val="en-GB"/>
        </w:rPr>
        <w:t>SESSION 4</w:t>
      </w:r>
    </w:p>
    <w:p w:rsidR="004515D1" w:rsidRDefault="004515D1" w:rsidP="004515D1">
      <w:pPr>
        <w:tabs>
          <w:tab w:val="left" w:pos="-720"/>
        </w:tabs>
        <w:suppressAutoHyphens/>
        <w:spacing w:line="240" w:lineRule="atLeast"/>
        <w:jc w:val="both"/>
        <w:rPr>
          <w:rFonts w:ascii="Times" w:hAnsi="Times" w:cs="Times"/>
          <w:b/>
          <w:bCs/>
          <w:spacing w:val="-3"/>
          <w:lang w:val="en-GB"/>
        </w:rPr>
      </w:pPr>
    </w:p>
    <w:p w:rsidR="004515D1" w:rsidRDefault="004515D1" w:rsidP="004515D1">
      <w:pPr>
        <w:tabs>
          <w:tab w:val="center" w:pos="4513"/>
        </w:tabs>
        <w:suppressAutoHyphens/>
        <w:spacing w:line="240" w:lineRule="atLeast"/>
        <w:jc w:val="both"/>
        <w:rPr>
          <w:rFonts w:ascii="Times" w:hAnsi="Times" w:cs="Times"/>
          <w:spacing w:val="-3"/>
          <w:lang w:val="en-GB"/>
        </w:rPr>
      </w:pPr>
      <w:r>
        <w:rPr>
          <w:rFonts w:ascii="Times" w:hAnsi="Times" w:cs="Times"/>
          <w:b/>
          <w:bCs/>
          <w:spacing w:val="-3"/>
          <w:lang w:val="en-GB"/>
        </w:rPr>
        <w:tab/>
        <w:t>The Council of Clarendon, January 1164</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 xml:space="preserve">At the end of the Council of Westminster the king demanded that the bishops agree to uphold royal custom. Thomas and the bishops agreed to do so </w:t>
      </w:r>
      <w:r>
        <w:rPr>
          <w:rFonts w:ascii="Times" w:hAnsi="Times" w:cs="Times"/>
          <w:i/>
          <w:iCs/>
          <w:spacing w:val="-3"/>
          <w:lang w:val="en-GB"/>
        </w:rPr>
        <w:t>salvo ordine suo</w:t>
      </w:r>
      <w:r>
        <w:rPr>
          <w:rFonts w:ascii="Times" w:hAnsi="Times" w:cs="Times"/>
          <w:spacing w:val="-3"/>
          <w:lang w:val="en-GB"/>
        </w:rPr>
        <w:t xml:space="preserve">, saving their order, that is, insofar as it was lawful for a clerk to do so. Bishop Hilary of </w:t>
      </w:r>
      <w:smartTag w:uri="urn:schemas-microsoft-com:office:smarttags" w:element="place">
        <w:r>
          <w:rPr>
            <w:rFonts w:ascii="Times" w:hAnsi="Times" w:cs="Times"/>
            <w:spacing w:val="-3"/>
            <w:lang w:val="en-GB"/>
          </w:rPr>
          <w:t>Chichester</w:t>
        </w:r>
      </w:smartTag>
      <w:r>
        <w:rPr>
          <w:rFonts w:ascii="Times" w:hAnsi="Times" w:cs="Times"/>
          <w:spacing w:val="-3"/>
          <w:lang w:val="en-GB"/>
        </w:rPr>
        <w:t xml:space="preserve"> was the only one to use the alternative phrase ‘in good faith’. The king was not satisfied – he wanted a plain ‘yes’. He left the council, and the following day confiscated Thomas Becket’s castles and estates, and withdrew his son, Henry, from Becket’s care. The bishops started to blame Thomas for the deteriorating relations with the king. Attempts at reconciliation – such as that at </w:t>
      </w:r>
      <w:smartTag w:uri="urn:schemas-microsoft-com:office:smarttags" w:element="City">
        <w:smartTag w:uri="urn:schemas-microsoft-com:office:smarttags" w:element="place">
          <w:r>
            <w:rPr>
              <w:rFonts w:ascii="Times" w:hAnsi="Times" w:cs="Times"/>
              <w:spacing w:val="-3"/>
              <w:lang w:val="en-GB"/>
            </w:rPr>
            <w:t>Northampton</w:t>
          </w:r>
        </w:smartTag>
      </w:smartTag>
      <w:r>
        <w:rPr>
          <w:rFonts w:ascii="Times" w:hAnsi="Times" w:cs="Times"/>
          <w:spacing w:val="-3"/>
          <w:lang w:val="en-GB"/>
        </w:rPr>
        <w:t>, described by Roger of Pontigny – failed. However, the pope and some of the English bishops urged Becket to give in to the king’s demand for the surrender of criminous clerks, and Becket agreed. Soon after the king summoned another council, the Council of Clarendon, which was to witness a head-on clash between the king and his archbishop, as Henry demanded assent to the written customs of the realm.</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The precise sequence of events at this series of meetings is not clear – and you may consider why the biographers of Becket are unclear – reticent perhaps – on this crucial episode. The king seems to have demanded verbal assent to the customs of the realm, and Thomas after some prevarication, agreed. However, the king then produced a written statement of the customs, and the sixteen clauses of the Constitutions of Clarendon came to be the focus around which the dispute revolved. Thomas, as you will see from Herbert of Bosham’s account, was more reluctant to accept this written statement. He put forward reasons why his should not yet append his seal, and, taking his copy of the constitutions, he left Clarendon. Later, according to Alan of Tewkesbury, he regretted his acceptance.</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 xml:space="preserve">For this session you should look carefully at the Constitutions, and ask: </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1</w:t>
      </w:r>
      <w:r>
        <w:rPr>
          <w:rFonts w:ascii="Times" w:hAnsi="Times" w:cs="Times"/>
          <w:spacing w:val="-3"/>
          <w:lang w:val="en-GB"/>
        </w:rPr>
        <w:tab/>
        <w:t>What were Henry’s demands?</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 w:val="left" w:pos="0"/>
        </w:tabs>
        <w:suppressAutoHyphens/>
        <w:spacing w:line="240" w:lineRule="atLeast"/>
        <w:ind w:left="720" w:hanging="720"/>
        <w:jc w:val="both"/>
        <w:rPr>
          <w:rFonts w:ascii="Times" w:hAnsi="Times" w:cs="Times"/>
          <w:spacing w:val="-3"/>
          <w:lang w:val="en-GB"/>
        </w:rPr>
      </w:pPr>
      <w:r>
        <w:rPr>
          <w:rFonts w:ascii="Times" w:hAnsi="Times" w:cs="Times"/>
          <w:spacing w:val="-3"/>
          <w:lang w:val="en-GB"/>
        </w:rPr>
        <w:t>2</w:t>
      </w:r>
      <w:r>
        <w:rPr>
          <w:rFonts w:ascii="Times" w:hAnsi="Times" w:cs="Times"/>
          <w:spacing w:val="-3"/>
          <w:lang w:val="en-GB"/>
        </w:rPr>
        <w:tab/>
        <w:t>What influenced Becket’s response?</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 w:val="left" w:pos="0"/>
        </w:tabs>
        <w:suppressAutoHyphens/>
        <w:spacing w:line="240" w:lineRule="atLeast"/>
        <w:ind w:left="720" w:hanging="720"/>
        <w:jc w:val="both"/>
        <w:rPr>
          <w:rFonts w:ascii="Times" w:hAnsi="Times" w:cs="Times"/>
          <w:spacing w:val="-3"/>
          <w:lang w:val="en-GB"/>
        </w:rPr>
      </w:pPr>
      <w:r>
        <w:rPr>
          <w:rFonts w:ascii="Times" w:hAnsi="Times" w:cs="Times"/>
          <w:spacing w:val="-3"/>
          <w:lang w:val="en-GB"/>
        </w:rPr>
        <w:t>3</w:t>
      </w:r>
      <w:r>
        <w:rPr>
          <w:rFonts w:ascii="Times" w:hAnsi="Times" w:cs="Times"/>
          <w:spacing w:val="-3"/>
          <w:lang w:val="en-GB"/>
        </w:rPr>
        <w:tab/>
        <w:t>Were Henry's demands ‘novel’, or could he claim to have ‘tradition’ on his side?</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b/>
          <w:spacing w:val="-3"/>
          <w:lang w:val="en-GB"/>
        </w:rPr>
      </w:pPr>
      <w:smartTag w:uri="urn:schemas-microsoft-com:office:smarttags" w:element="City">
        <w:smartTag w:uri="urn:schemas-microsoft-com:office:smarttags" w:element="place">
          <w:r>
            <w:rPr>
              <w:rFonts w:ascii="Times" w:hAnsi="Times" w:cs="Times"/>
              <w:b/>
              <w:spacing w:val="-3"/>
              <w:lang w:val="en-GB"/>
            </w:rPr>
            <w:t>Reading</w:t>
          </w:r>
        </w:smartTag>
      </w:smartTag>
      <w:r>
        <w:rPr>
          <w:rFonts w:ascii="Times" w:hAnsi="Times" w:cs="Times"/>
          <w:b/>
          <w:spacing w:val="-3"/>
          <w:lang w:val="en-GB"/>
        </w:rPr>
        <w:t>:</w:t>
      </w:r>
    </w:p>
    <w:p w:rsidR="004515D1" w:rsidRPr="00387583" w:rsidRDefault="004515D1" w:rsidP="004515D1">
      <w:pPr>
        <w:tabs>
          <w:tab w:val="left" w:pos="-720"/>
        </w:tabs>
        <w:suppressAutoHyphens/>
        <w:spacing w:line="240" w:lineRule="atLeast"/>
        <w:jc w:val="both"/>
        <w:rPr>
          <w:rFonts w:ascii="Times" w:hAnsi="Times" w:cs="Times"/>
          <w:b/>
          <w:spacing w:val="-3"/>
          <w:lang w:val="en-GB"/>
        </w:rPr>
      </w:pPr>
    </w:p>
    <w:p w:rsidR="004515D1" w:rsidRDefault="004515D1" w:rsidP="004515D1">
      <w:pPr>
        <w:pStyle w:val="HTMLAddress"/>
      </w:pPr>
      <w:r>
        <w:t>The Constitutions of Clarendon</w:t>
      </w:r>
    </w:p>
    <w:p w:rsidR="004515D1" w:rsidRDefault="004515D1" w:rsidP="004515D1">
      <w:pPr>
        <w:pStyle w:val="HTMLAddress"/>
      </w:pPr>
    </w:p>
    <w:p w:rsidR="004515D1" w:rsidRDefault="004515D1" w:rsidP="004515D1">
      <w:pPr>
        <w:pStyle w:val="NormalWeb"/>
      </w:pPr>
      <w:r>
        <w:t xml:space="preserve">From the year of our Lord’s incarnation 1164, the fourth year of the papacy of Alexander, the tenth of the most illustrious Henry, king of the English, in the presence of the same king, was made this remembrance or recognition of a certain part of the customs, liberties, and dignities of his predecessors, that is to say of King Henry his grandfather and others, which ought to be observed and held in the kingdom. And because of dissensions and discords which had arisen between the clergy and the lord king’s justices and the barons of the kingdom concerning the customs and dignities, this recognition has been made before the archbishops and bishops and clergy, and the earls and barons and great men of the kingdom. And these same customs declared by the archbishops, bishops, earls, and barons, and by the nobler and older men of </w:t>
      </w:r>
      <w:r>
        <w:lastRenderedPageBreak/>
        <w:t xml:space="preserve">the kingdom, Thomas archbishop of Canterbury and Roger archbishop of York and Gilbert bishop of Hereford and David bishop of St David’s and Roger elect of Worcester conceded and on the word of truth firmly promised by word of mouth should be held and observed for the lord king and his heirs in good faith and without subtlety, these being present: Robert earl of Leicester, Reginald earl of Cornwall, Conan earl of Brittany, John earl of Eu, Roger earl of Clare, earl Geoffrey de Mandeville, Hugh earl of Chester, William earl of Arundel, earl Patrick, William earl of Ferrers, Richard de Luci, Reginald de Mowbray, Simon de Beauchamp, Humphrey de Bohun, Matthew de Hereford, Walter de Mayenne, Manser Biset the steward, William Malet, William de Courcy, Robert de Dunstaville, Jocelin de Baillol, William de Lanvallei, William de Caisnet, Geoffrey de Vere, William de Hastings, Hugh de Moreville, Alan de Neville, Simon Fitz Peter, William Maudit the chamberlain, John Maudit, John Marshall, Peter de Mara, and many other great men and nobles of the kingdom both clergy and laymen. </w:t>
      </w:r>
    </w:p>
    <w:p w:rsidR="004515D1" w:rsidRDefault="004515D1" w:rsidP="004515D1">
      <w:pPr>
        <w:pStyle w:val="NormalWeb"/>
      </w:pPr>
      <w:r>
        <w:t xml:space="preserve">A certain part of the customs and dignities which were recognized is contained in the present writing. Of which part these are the articles: </w:t>
      </w:r>
    </w:p>
    <w:p w:rsidR="004515D1" w:rsidRDefault="004515D1" w:rsidP="004515D1">
      <w:pPr>
        <w:pStyle w:val="NormalWeb"/>
      </w:pPr>
      <w:r>
        <w:t xml:space="preserve">1. If a controversy arise between laymen, or between laymen and clerks, or between clerks, concerning patronage and presentation of churches, it shall be treated or concluded in the court of the lord king. </w:t>
      </w:r>
    </w:p>
    <w:p w:rsidR="004515D1" w:rsidRDefault="004515D1" w:rsidP="004515D1">
      <w:pPr>
        <w:pStyle w:val="NormalWeb"/>
      </w:pPr>
      <w:r>
        <w:t xml:space="preserve">2. Churches within the lord king’s fee cannot be permanently bestowed without his consent and grant. </w:t>
      </w:r>
    </w:p>
    <w:p w:rsidR="004515D1" w:rsidRDefault="004515D1" w:rsidP="004515D1">
      <w:pPr>
        <w:pStyle w:val="NormalWeb"/>
      </w:pPr>
      <w:r>
        <w:t xml:space="preserve">3. Clerks charged and accused of any matter, summoned by the king’s justice, shall come into his court to answer there to whatever it shall seem to the king’s court should be answered there; and in the church court to what it seems should be answered there; however the king’s justice shall send into the court of holy Church for the purpose of seeing how the matter shall be treated there. And if the clerk be convicted or confess, the church ought not to protect him further. </w:t>
      </w:r>
    </w:p>
    <w:p w:rsidR="004515D1" w:rsidRDefault="004515D1" w:rsidP="004515D1">
      <w:pPr>
        <w:pStyle w:val="NormalWeb"/>
      </w:pPr>
      <w:r>
        <w:t xml:space="preserve">4. It is not lawful for archbishops, bishops, and beneficed clergy of the kingdom to leave the kingdom without the lord king’s permission. And if they do leave they are to give security, if the lord king please, that they will seek no evil or damage to king or kingdom in going, in making their stay, or in returning. </w:t>
      </w:r>
    </w:p>
    <w:p w:rsidR="004515D1" w:rsidRDefault="004515D1" w:rsidP="004515D1">
      <w:pPr>
        <w:pStyle w:val="NormalWeb"/>
      </w:pPr>
      <w:r>
        <w:t xml:space="preserve">5. Excommunicate persons ought not to give security for an indefinite time, or give an oath, but only security and pledge for submitting to the judgment of the church in order that they may be absolved. </w:t>
      </w:r>
    </w:p>
    <w:p w:rsidR="004515D1" w:rsidRDefault="004515D1" w:rsidP="004515D1">
      <w:pPr>
        <w:pStyle w:val="NormalWeb"/>
      </w:pPr>
      <w:r>
        <w:t xml:space="preserve">6. Laymen ought not to be accused save by dependable and lawful accusers and witnesses in the presence of the bishop, yet so that the archdeacon lose not his right or anything which he ought to have thence. And if there should be those who are deemed culpable, but whom no one wishes or dares to accuse, the sheriff, upon the bishop’s request, shall cause twelve lawful men of the neighborhood or the vill to take oath before the bishop that they will show the truth of the matter according to their conscience. </w:t>
      </w:r>
    </w:p>
    <w:p w:rsidR="004515D1" w:rsidRDefault="004515D1" w:rsidP="004515D1">
      <w:pPr>
        <w:pStyle w:val="NormalWeb"/>
      </w:pPr>
      <w:r>
        <w:t xml:space="preserve">7. No one who holds of the king in chief or any of the officials of his demesne is to be excommunicated or his lands placed under interdict unless the lord king, if he be in the land, or his justiciar, if he be outside the kingdom, first gives his consent, that he may do for him </w:t>
      </w:r>
      <w:r>
        <w:lastRenderedPageBreak/>
        <w:t xml:space="preserve">what is right: yet so that what pertains to the royal court be concluded there, and what looks to the church court be sent thither to be concluded there. </w:t>
      </w:r>
    </w:p>
    <w:p w:rsidR="004515D1" w:rsidRDefault="004515D1" w:rsidP="004515D1">
      <w:pPr>
        <w:pStyle w:val="NormalWeb"/>
      </w:pPr>
      <w:r>
        <w:t xml:space="preserve">8. As to appeals which may arise, they should pass from the archdeacon to the bishop, and from the bishop to the archbishop. And if the archbishop fail in furnishing justice, the matter must finally be brought to the lord king, so that at his command the litigation be concluded in the archbishop’s court; and so because it should not pass further without the lord king’s consent. </w:t>
      </w:r>
    </w:p>
    <w:p w:rsidR="004515D1" w:rsidRDefault="004515D1" w:rsidP="004515D1">
      <w:pPr>
        <w:pStyle w:val="NormalWeb"/>
      </w:pPr>
      <w:r>
        <w:t xml:space="preserve">9. If litigation arise between a clerk and a layman concerning any holding which the clerk wants to treat as free alms but the layman as lay fee, it shall be determined on the decision of the king’s chief justice by the recognition of twelve lawful men in the presence of the king’s justice himself whether the holding pertain to free alms or to lay fee. And if it is judged to pertain to free alms, the plea shall be heard in the church court, but if to the lay fee, it shall be heard in the king’s court. But if both plead concerning that fief under the same bishop or baron, it shall be litigated in his court; yet so that he who was first seised lose not his seisin on account of the recognition that was made, until the matter be determined by the plea. </w:t>
      </w:r>
    </w:p>
    <w:p w:rsidR="004515D1" w:rsidRDefault="004515D1" w:rsidP="004515D1">
      <w:pPr>
        <w:pStyle w:val="NormalWeb"/>
      </w:pPr>
      <w:r>
        <w:t xml:space="preserve">10. If any one who is of a city, castle, borough, or demesne manor of the king shall be cited by archdeacon or bishop for any offence for which he ought to be held answerable to them and despite their summonses he refuse to do what is right, it is fully permissible to place him under interdict, but he ought not to be excommunicated before the king's chief official of that vill shall agree, in order that he may authoritatively constrain him to come to his trial. But if the king’s official fail in this, he himself shall be in the lord king’s mercy; and then the bishop shall be able to coerce the accused man by ecclesiastical authority. </w:t>
      </w:r>
    </w:p>
    <w:p w:rsidR="004515D1" w:rsidRDefault="004515D1" w:rsidP="004515D1">
      <w:pPr>
        <w:pStyle w:val="NormalWeb"/>
      </w:pPr>
      <w:r>
        <w:t xml:space="preserve">11. Archbishops, bishops, and all ecclesiastics of the kingdom who hold of the king in chief have their possessions of the lord king as barony and answer for them to the king’s justices and ministers and follow and do all royal rights and customs; and they ought, just like other barons, to be present at the judgments of the lord king’s court along with the barons, until it come in judgment to loss of limbs or death. </w:t>
      </w:r>
    </w:p>
    <w:p w:rsidR="004515D1" w:rsidRDefault="004515D1" w:rsidP="004515D1">
      <w:pPr>
        <w:pStyle w:val="NormalWeb"/>
      </w:pPr>
      <w:r>
        <w:t xml:space="preserve">12. When an archbishopric or bishopric, or an abbey or priory of the king’s demesne shall be vacant, it ought to be in his hands, and he shall assume its revenues and expenses as pertaining to his demesne. And when the time comes to provide fro the church, the lord king should notify the more important clergy of the church, and the election should be held in the lord king’s own chapel with the assent of the lord king and on the advice of the clergy of the realm whom he has summoned for the purpose. And there, before he be consecrated, let the elect perform homage and fealty to the lord king as his liege lord for life, limbs, and earthly honor, saving his order. </w:t>
      </w:r>
    </w:p>
    <w:p w:rsidR="004515D1" w:rsidRDefault="004515D1" w:rsidP="004515D1">
      <w:pPr>
        <w:pStyle w:val="NormalWeb"/>
      </w:pPr>
      <w:r>
        <w:t xml:space="preserve">13. If any of the magnates of the kingdom should forcibly prevent an archbishop, bishop, or archdeacon from administering justice in which he or his men were concerned, then the lord king ought to bring such an one to justice. And if it should happen that any one dispossess the lord king of his right, archbishops, bishops, and archdeacons ought to bring him to justice so that he make satisfaction to the lord king. </w:t>
      </w:r>
    </w:p>
    <w:p w:rsidR="004515D1" w:rsidRDefault="004515D1" w:rsidP="004515D1">
      <w:pPr>
        <w:pStyle w:val="NormalWeb"/>
      </w:pPr>
      <w:r>
        <w:t xml:space="preserve">14. Chattels which have been forfeited to the king are not to be held in churches or cemeteries against the king’s justice, because they belong to the king whether they be found inside churches or outside. </w:t>
      </w:r>
    </w:p>
    <w:p w:rsidR="004515D1" w:rsidRDefault="004515D1" w:rsidP="004515D1">
      <w:pPr>
        <w:pStyle w:val="NormalWeb"/>
      </w:pPr>
      <w:r>
        <w:lastRenderedPageBreak/>
        <w:t xml:space="preserve">15. Pleas concerning debts, which are owed on the basis of an oath or in connection with which no oath has been taken, are in the king’s justice. </w:t>
      </w:r>
    </w:p>
    <w:p w:rsidR="004515D1" w:rsidRDefault="004515D1" w:rsidP="004515D1">
      <w:pPr>
        <w:pStyle w:val="NormalWeb"/>
      </w:pPr>
      <w:r>
        <w:t xml:space="preserve">16. Sons of villeins should not be ordained without the consent of the lord on whose land it is ascertained they were born. </w:t>
      </w:r>
    </w:p>
    <w:p w:rsidR="004515D1" w:rsidRDefault="004515D1" w:rsidP="004515D1">
      <w:pPr>
        <w:pStyle w:val="NormalWeb"/>
      </w:pPr>
      <w:r>
        <w:t xml:space="preserve">The declaration of the above-mentioned royal customs and dignities has been made by the archbishops, bishops, earls, barons, and the nobler and older men of the kingdom, at Clarendon on the fourth day before the Purification of the Blessed Virgin Mary, lord Henry being present there with the lord king his father. There are, indeed, many other great customs and dignities of holy mother church and of the lord king and barons of the kingdom, which are not included in this writing, but which are to be preserved to holy church and to the lord king and his heirs and the barons of the kingdom, and are to be kept inviolate for ever. </w:t>
      </w:r>
    </w:p>
    <w:p w:rsidR="004515D1" w:rsidRPr="00387583" w:rsidRDefault="004515D1" w:rsidP="004515D1">
      <w:pPr>
        <w:pStyle w:val="Heading2"/>
        <w:rPr>
          <w:sz w:val="24"/>
          <w:szCs w:val="24"/>
        </w:rPr>
      </w:pPr>
      <w:r w:rsidRPr="00387583">
        <w:rPr>
          <w:sz w:val="24"/>
          <w:szCs w:val="24"/>
        </w:rPr>
        <w:t>note</w:t>
      </w:r>
    </w:p>
    <w:p w:rsidR="004515D1" w:rsidRDefault="004515D1" w:rsidP="004515D1">
      <w:r>
        <w:t xml:space="preserve">translated in Albert Beebe White and Wallce Notestein, eds., </w:t>
      </w:r>
      <w:r>
        <w:rPr>
          <w:i/>
          <w:iCs/>
        </w:rPr>
        <w:t xml:space="preserve">Source Problems in English History </w:t>
      </w:r>
      <w:r>
        <w:t xml:space="preserve">(New York: Harper and Brothers, 1915). </w:t>
      </w:r>
    </w:p>
    <w:p w:rsidR="004515D1" w:rsidRDefault="004515D1" w:rsidP="004515D1">
      <w:pPr>
        <w:pStyle w:val="NormalWeb"/>
      </w:pPr>
      <w:r>
        <w:t xml:space="preserve">This text is part of the </w:t>
      </w:r>
      <w:hyperlink r:id="rId5" w:history="1">
        <w:r>
          <w:rPr>
            <w:rStyle w:val="Hyperlink"/>
          </w:rPr>
          <w:t>Internet Medieval Source Book</w:t>
        </w:r>
      </w:hyperlink>
      <w:r>
        <w:t xml:space="preserve"> and reproduced from that source. The Sourcebook is a collection of public domain and copy-permitted texts related to medieval and Byzantine history. </w:t>
      </w:r>
    </w:p>
    <w:p w:rsidR="004515D1" w:rsidRDefault="004515D1" w:rsidP="004515D1">
      <w:pPr>
        <w:pStyle w:val="NormalWeb"/>
      </w:pPr>
      <w:r>
        <w:t xml:space="preserve">©Paul Halsall Feb 1996 </w:t>
      </w:r>
      <w:r>
        <w:br/>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The ‘Constitutions’ are not easy reading!!</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It may be helpful for you to consider them under the following headings:</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 w:val="left" w:pos="0"/>
        </w:tabs>
        <w:suppressAutoHyphens/>
        <w:spacing w:line="240" w:lineRule="atLeast"/>
        <w:ind w:left="720" w:hanging="720"/>
        <w:jc w:val="both"/>
        <w:rPr>
          <w:rFonts w:ascii="Times" w:hAnsi="Times" w:cs="Times"/>
          <w:spacing w:val="-3"/>
          <w:lang w:val="en-GB"/>
        </w:rPr>
      </w:pPr>
      <w:r>
        <w:rPr>
          <w:rFonts w:ascii="Times" w:hAnsi="Times" w:cs="Times"/>
          <w:spacing w:val="-3"/>
          <w:lang w:val="en-GB"/>
        </w:rPr>
        <w:t>•</w:t>
      </w:r>
      <w:r>
        <w:rPr>
          <w:rFonts w:ascii="Times" w:hAnsi="Times" w:cs="Times"/>
          <w:spacing w:val="-3"/>
          <w:lang w:val="en-GB"/>
        </w:rPr>
        <w:tab/>
        <w:t>what we might call feudal matters (relating to the services which the king might expect from the possession of lands and estates); see clauses 2, 11, 12, 16.</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 w:val="left" w:pos="0"/>
        </w:tabs>
        <w:suppressAutoHyphens/>
        <w:spacing w:line="240" w:lineRule="atLeast"/>
        <w:ind w:left="720" w:hanging="720"/>
        <w:jc w:val="both"/>
        <w:rPr>
          <w:rFonts w:ascii="Times" w:hAnsi="Times" w:cs="Times"/>
          <w:spacing w:val="-3"/>
          <w:lang w:val="en-GB"/>
        </w:rPr>
      </w:pPr>
      <w:r>
        <w:rPr>
          <w:rFonts w:ascii="Times" w:hAnsi="Times" w:cs="Times"/>
          <w:spacing w:val="-3"/>
          <w:lang w:val="en-GB"/>
        </w:rPr>
        <w:t>•</w:t>
      </w:r>
      <w:r>
        <w:rPr>
          <w:rFonts w:ascii="Times" w:hAnsi="Times" w:cs="Times"/>
          <w:spacing w:val="-3"/>
          <w:lang w:val="en-GB"/>
        </w:rPr>
        <w:tab/>
        <w:t xml:space="preserve">communication with </w:t>
      </w:r>
      <w:smartTag w:uri="urn:schemas-microsoft-com:office:smarttags" w:element="place">
        <w:smartTag w:uri="urn:schemas-microsoft-com:office:smarttags" w:element="City">
          <w:r>
            <w:rPr>
              <w:rFonts w:ascii="Times" w:hAnsi="Times" w:cs="Times"/>
              <w:spacing w:val="-3"/>
              <w:lang w:val="en-GB"/>
            </w:rPr>
            <w:t>Rome</w:t>
          </w:r>
        </w:smartTag>
      </w:smartTag>
      <w:r>
        <w:rPr>
          <w:rFonts w:ascii="Times" w:hAnsi="Times" w:cs="Times"/>
          <w:spacing w:val="-3"/>
          <w:lang w:val="en-GB"/>
        </w:rPr>
        <w:t>; see clauses 4, 8.</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 w:val="left" w:pos="0"/>
        </w:tabs>
        <w:suppressAutoHyphens/>
        <w:spacing w:line="240" w:lineRule="atLeast"/>
        <w:ind w:left="720" w:hanging="720"/>
        <w:jc w:val="both"/>
        <w:rPr>
          <w:rFonts w:ascii="Times" w:hAnsi="Times" w:cs="Times"/>
          <w:spacing w:val="-3"/>
          <w:lang w:val="en-GB"/>
        </w:rPr>
      </w:pPr>
      <w:r>
        <w:rPr>
          <w:rFonts w:ascii="Times" w:hAnsi="Times" w:cs="Times"/>
          <w:spacing w:val="-3"/>
          <w:lang w:val="en-GB"/>
        </w:rPr>
        <w:t>•</w:t>
      </w:r>
      <w:r>
        <w:rPr>
          <w:rFonts w:ascii="Times" w:hAnsi="Times" w:cs="Times"/>
          <w:spacing w:val="-3"/>
          <w:lang w:val="en-GB"/>
        </w:rPr>
        <w:tab/>
        <w:t>the boundaries of judicial authorities; see clauses 1, 3, 9, 10, 13, 15.</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 w:val="left" w:pos="0"/>
        </w:tabs>
        <w:suppressAutoHyphens/>
        <w:spacing w:line="240" w:lineRule="atLeast"/>
        <w:ind w:left="720" w:hanging="720"/>
        <w:jc w:val="both"/>
        <w:rPr>
          <w:rFonts w:ascii="Times" w:hAnsi="Times" w:cs="Times"/>
          <w:spacing w:val="-3"/>
          <w:lang w:val="en-GB"/>
        </w:rPr>
      </w:pPr>
      <w:r>
        <w:rPr>
          <w:rFonts w:ascii="Times" w:hAnsi="Times" w:cs="Times"/>
          <w:spacing w:val="-3"/>
          <w:lang w:val="en-GB"/>
        </w:rPr>
        <w:t>•</w:t>
      </w:r>
      <w:r>
        <w:rPr>
          <w:rFonts w:ascii="Times" w:hAnsi="Times" w:cs="Times"/>
          <w:spacing w:val="-3"/>
          <w:lang w:val="en-GB"/>
        </w:rPr>
        <w:tab/>
        <w:t>the exercise of ecclesiastical jurisdiction; see clauses 5, 6, 7.</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Remember that not all these were controversial, and there are grounds for suggesting that six clauses (1, 3, 4, 8, 9, 12) were the problems. Why?</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b/>
          <w:bCs/>
          <w:spacing w:val="-3"/>
          <w:lang w:val="en-GB"/>
        </w:rPr>
        <w:t>See also</w:t>
      </w:r>
    </w:p>
    <w:p w:rsidR="004515D1" w:rsidRDefault="004515D1" w:rsidP="004515D1">
      <w:pPr>
        <w:tabs>
          <w:tab w:val="left" w:pos="-720"/>
        </w:tabs>
        <w:suppressAutoHyphens/>
        <w:spacing w:line="240" w:lineRule="atLeast"/>
        <w:jc w:val="both"/>
        <w:rPr>
          <w:rFonts w:ascii="Times" w:hAnsi="Times" w:cs="Times"/>
          <w:spacing w:val="-3"/>
          <w:lang w:val="en-GB"/>
        </w:rPr>
      </w:pPr>
    </w:p>
    <w:p w:rsidR="004515D1" w:rsidRDefault="004515D1" w:rsidP="004515D1">
      <w:pPr>
        <w:tabs>
          <w:tab w:val="left" w:pos="-720"/>
        </w:tabs>
        <w:suppressAutoHyphens/>
        <w:spacing w:line="240" w:lineRule="atLeast"/>
        <w:jc w:val="both"/>
        <w:rPr>
          <w:rFonts w:ascii="Times" w:hAnsi="Times" w:cs="Times"/>
          <w:spacing w:val="-3"/>
          <w:lang w:val="en-GB"/>
        </w:rPr>
      </w:pPr>
      <w:r>
        <w:rPr>
          <w:rFonts w:ascii="Times" w:hAnsi="Times" w:cs="Times"/>
          <w:spacing w:val="-3"/>
          <w:lang w:val="en-GB"/>
        </w:rPr>
        <w:t xml:space="preserve">Barlow, </w:t>
      </w:r>
      <w:r>
        <w:rPr>
          <w:rFonts w:ascii="Times" w:hAnsi="Times" w:cs="Times"/>
          <w:i/>
          <w:iCs/>
          <w:spacing w:val="-3"/>
          <w:lang w:val="en-GB"/>
        </w:rPr>
        <w:t>Thomas Becket</w:t>
      </w:r>
      <w:r>
        <w:rPr>
          <w:rFonts w:ascii="Times" w:hAnsi="Times" w:cs="Times"/>
          <w:spacing w:val="-3"/>
          <w:lang w:val="en-GB"/>
        </w:rPr>
        <w:t xml:space="preserve">, pp. 98–116, Knowles, </w:t>
      </w:r>
      <w:r>
        <w:rPr>
          <w:rFonts w:ascii="Times" w:hAnsi="Times" w:cs="Times"/>
          <w:i/>
          <w:iCs/>
          <w:spacing w:val="-3"/>
          <w:lang w:val="en-GB"/>
        </w:rPr>
        <w:t>Thomas Becket</w:t>
      </w:r>
      <w:r>
        <w:rPr>
          <w:rFonts w:ascii="Times" w:hAnsi="Times" w:cs="Times"/>
          <w:spacing w:val="-3"/>
          <w:lang w:val="en-GB"/>
        </w:rPr>
        <w:t>, pp. 87–94.</w:t>
      </w:r>
    </w:p>
    <w:p w:rsidR="00F41A74" w:rsidRDefault="00F41A74" w:rsidP="004515D1">
      <w:bookmarkStart w:id="0" w:name="_GoBack"/>
      <w:bookmarkEnd w:id="0"/>
    </w:p>
    <w:sectPr w:rsidR="00F41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263"/>
    <w:rsid w:val="001D3263"/>
    <w:rsid w:val="004515D1"/>
    <w:rsid w:val="00F41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5D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2">
    <w:name w:val="heading 2"/>
    <w:basedOn w:val="Normal"/>
    <w:link w:val="Heading2Char"/>
    <w:qFormat/>
    <w:rsid w:val="004515D1"/>
    <w:pPr>
      <w:widowControl/>
      <w:autoSpaceDE/>
      <w:autoSpaceDN/>
      <w:adjustRightInd/>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515D1"/>
    <w:rPr>
      <w:rFonts w:ascii="Times New Roman" w:eastAsia="Times New Roman" w:hAnsi="Times New Roman" w:cs="Times New Roman"/>
      <w:b/>
      <w:bCs/>
      <w:sz w:val="36"/>
      <w:szCs w:val="36"/>
      <w:lang w:val="en-US"/>
    </w:rPr>
  </w:style>
  <w:style w:type="character" w:styleId="Hyperlink">
    <w:name w:val="Hyperlink"/>
    <w:rsid w:val="004515D1"/>
    <w:rPr>
      <w:color w:val="0000FF"/>
      <w:u w:val="single"/>
    </w:rPr>
  </w:style>
  <w:style w:type="paragraph" w:styleId="HTMLAddress">
    <w:name w:val="HTML Address"/>
    <w:basedOn w:val="Normal"/>
    <w:link w:val="HTMLAddressChar"/>
    <w:rsid w:val="004515D1"/>
    <w:pPr>
      <w:widowControl/>
      <w:autoSpaceDE/>
      <w:autoSpaceDN/>
      <w:adjustRightInd/>
    </w:pPr>
    <w:rPr>
      <w:i/>
      <w:iCs/>
    </w:rPr>
  </w:style>
  <w:style w:type="character" w:customStyle="1" w:styleId="HTMLAddressChar">
    <w:name w:val="HTML Address Char"/>
    <w:basedOn w:val="DefaultParagraphFont"/>
    <w:link w:val="HTMLAddress"/>
    <w:rsid w:val="004515D1"/>
    <w:rPr>
      <w:rFonts w:ascii="Times New Roman" w:eastAsia="Times New Roman" w:hAnsi="Times New Roman" w:cs="Times New Roman"/>
      <w:i/>
      <w:iCs/>
      <w:sz w:val="24"/>
      <w:szCs w:val="24"/>
      <w:lang w:val="en-US"/>
    </w:rPr>
  </w:style>
  <w:style w:type="paragraph" w:styleId="NormalWeb">
    <w:name w:val="Normal (Web)"/>
    <w:basedOn w:val="Normal"/>
    <w:rsid w:val="004515D1"/>
    <w:pPr>
      <w:widowControl/>
      <w:autoSpaceDE/>
      <w:autoSpaceDN/>
      <w:adjustRightInd/>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5D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2">
    <w:name w:val="heading 2"/>
    <w:basedOn w:val="Normal"/>
    <w:link w:val="Heading2Char"/>
    <w:qFormat/>
    <w:rsid w:val="004515D1"/>
    <w:pPr>
      <w:widowControl/>
      <w:autoSpaceDE/>
      <w:autoSpaceDN/>
      <w:adjustRightInd/>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515D1"/>
    <w:rPr>
      <w:rFonts w:ascii="Times New Roman" w:eastAsia="Times New Roman" w:hAnsi="Times New Roman" w:cs="Times New Roman"/>
      <w:b/>
      <w:bCs/>
      <w:sz w:val="36"/>
      <w:szCs w:val="36"/>
      <w:lang w:val="en-US"/>
    </w:rPr>
  </w:style>
  <w:style w:type="character" w:styleId="Hyperlink">
    <w:name w:val="Hyperlink"/>
    <w:rsid w:val="004515D1"/>
    <w:rPr>
      <w:color w:val="0000FF"/>
      <w:u w:val="single"/>
    </w:rPr>
  </w:style>
  <w:style w:type="paragraph" w:styleId="HTMLAddress">
    <w:name w:val="HTML Address"/>
    <w:basedOn w:val="Normal"/>
    <w:link w:val="HTMLAddressChar"/>
    <w:rsid w:val="004515D1"/>
    <w:pPr>
      <w:widowControl/>
      <w:autoSpaceDE/>
      <w:autoSpaceDN/>
      <w:adjustRightInd/>
    </w:pPr>
    <w:rPr>
      <w:i/>
      <w:iCs/>
    </w:rPr>
  </w:style>
  <w:style w:type="character" w:customStyle="1" w:styleId="HTMLAddressChar">
    <w:name w:val="HTML Address Char"/>
    <w:basedOn w:val="DefaultParagraphFont"/>
    <w:link w:val="HTMLAddress"/>
    <w:rsid w:val="004515D1"/>
    <w:rPr>
      <w:rFonts w:ascii="Times New Roman" w:eastAsia="Times New Roman" w:hAnsi="Times New Roman" w:cs="Times New Roman"/>
      <w:i/>
      <w:iCs/>
      <w:sz w:val="24"/>
      <w:szCs w:val="24"/>
      <w:lang w:val="en-US"/>
    </w:rPr>
  </w:style>
  <w:style w:type="paragraph" w:styleId="NormalWeb">
    <w:name w:val="Normal (Web)"/>
    <w:basedOn w:val="Normal"/>
    <w:rsid w:val="004515D1"/>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ordham.edu/halsall/sbook.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1797</Words>
  <Characters>10246</Characters>
  <Application>Microsoft Office Word</Application>
  <DocSecurity>0</DocSecurity>
  <Lines>85</Lines>
  <Paragraphs>24</Paragraphs>
  <ScaleCrop>false</ScaleCrop>
  <Company/>
  <LinksUpToDate>false</LinksUpToDate>
  <CharactersWithSpaces>12019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Burton</dc:creator>
  <cp:lastModifiedBy>Janet Burton</cp:lastModifiedBy>
  <cp:revision>2</cp:revision>
  <dcterms:created xsi:type="dcterms:W3CDTF">2013-01-28T13:07:00Z</dcterms:created>
  <dcterms:modified xsi:type="dcterms:W3CDTF">2013-01-28T13:12:00Z</dcterms:modified>
</cp:coreProperties>
</file>