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3DEF1" w14:textId="109B1589" w:rsidR="007C7E57" w:rsidRPr="00074402" w:rsidRDefault="007C7E57" w:rsidP="007C7E57">
      <w:pPr>
        <w:spacing w:line="360" w:lineRule="auto"/>
        <w:rPr>
          <w:rFonts w:ascii="Arial" w:hAnsi="Arial" w:cs="Arial"/>
        </w:rPr>
      </w:pPr>
    </w:p>
    <w:p w14:paraId="094C9C32" w14:textId="15A3CC17" w:rsidR="007C7E57" w:rsidRPr="00074402" w:rsidRDefault="007C7E57" w:rsidP="007C7E57">
      <w:pPr>
        <w:spacing w:line="360" w:lineRule="auto"/>
        <w:rPr>
          <w:rFonts w:ascii="Arial" w:hAnsi="Arial" w:cs="Arial"/>
        </w:rPr>
      </w:pPr>
      <w:r w:rsidRPr="00074402">
        <w:rPr>
          <w:rFonts w:ascii="Arial" w:hAnsi="Arial" w:cs="Arial"/>
          <w:noProof/>
        </w:rPr>
        <w:drawing>
          <wp:anchor distT="0" distB="0" distL="114300" distR="114300" simplePos="0" relativeHeight="251661312" behindDoc="0" locked="0" layoutInCell="1" allowOverlap="1" wp14:anchorId="746AFB57" wp14:editId="6D5E20E7">
            <wp:simplePos x="0" y="0"/>
            <wp:positionH relativeFrom="column">
              <wp:posOffset>-45720</wp:posOffset>
            </wp:positionH>
            <wp:positionV relativeFrom="paragraph">
              <wp:posOffset>0</wp:posOffset>
            </wp:positionV>
            <wp:extent cx="1809750" cy="723900"/>
            <wp:effectExtent l="0" t="0" r="0" b="0"/>
            <wp:wrapSquare wrapText="bothSides"/>
            <wp:docPr id="468046369" name="Picture 46804636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B10D911" w14:textId="0BFBC49A" w:rsidR="007C7E57" w:rsidRPr="00074402" w:rsidRDefault="007C7E57" w:rsidP="007C7E57">
      <w:pPr>
        <w:spacing w:line="360" w:lineRule="auto"/>
        <w:rPr>
          <w:rFonts w:ascii="Arial" w:hAnsi="Arial" w:cs="Arial"/>
        </w:rPr>
      </w:pPr>
    </w:p>
    <w:p w14:paraId="30645624" w14:textId="4386637F" w:rsidR="007C7E57" w:rsidRPr="00074402" w:rsidRDefault="007C7E57" w:rsidP="007C7E57">
      <w:pPr>
        <w:spacing w:line="360" w:lineRule="auto"/>
        <w:rPr>
          <w:rFonts w:ascii="Arial" w:hAnsi="Arial" w:cs="Arial"/>
        </w:rPr>
      </w:pPr>
    </w:p>
    <w:p w14:paraId="14496B50" w14:textId="77777777" w:rsidR="007C7E57" w:rsidRDefault="007C7E57" w:rsidP="007C7E57">
      <w:pPr>
        <w:tabs>
          <w:tab w:val="left" w:pos="6540"/>
        </w:tabs>
        <w:spacing w:line="360" w:lineRule="auto"/>
        <w:rPr>
          <w:rFonts w:ascii="Arial" w:hAnsi="Arial" w:cs="Arial"/>
          <w:sz w:val="28"/>
          <w:szCs w:val="28"/>
        </w:rPr>
      </w:pPr>
    </w:p>
    <w:p w14:paraId="5FA6936F" w14:textId="77777777" w:rsidR="007C7E57" w:rsidRPr="002254BD" w:rsidRDefault="007C7E57" w:rsidP="002254BD">
      <w:pPr>
        <w:tabs>
          <w:tab w:val="left" w:pos="6540"/>
        </w:tabs>
        <w:spacing w:line="360" w:lineRule="auto"/>
        <w:rPr>
          <w:rFonts w:ascii="Arial" w:hAnsi="Arial" w:cs="Arial"/>
          <w:sz w:val="22"/>
          <w:szCs w:val="22"/>
        </w:rPr>
      </w:pPr>
      <w:bookmarkStart w:id="0" w:name="_Hlk119323191"/>
      <w:r w:rsidRPr="002254BD">
        <w:rPr>
          <w:rFonts w:ascii="Arial" w:hAnsi="Arial" w:cs="Arial"/>
          <w:b/>
          <w:bCs/>
          <w:sz w:val="22"/>
          <w:szCs w:val="22"/>
        </w:rPr>
        <w:t>Student name</w:t>
      </w:r>
      <w:r w:rsidRPr="002254BD">
        <w:rPr>
          <w:rFonts w:ascii="Arial" w:hAnsi="Arial" w:cs="Arial"/>
          <w:sz w:val="22"/>
          <w:szCs w:val="22"/>
        </w:rPr>
        <w:t xml:space="preserve">: Annette Dixon </w:t>
      </w:r>
    </w:p>
    <w:p w14:paraId="1472EC15" w14:textId="77777777" w:rsidR="007C7E57" w:rsidRPr="002254BD" w:rsidRDefault="007C7E57" w:rsidP="002254BD">
      <w:pPr>
        <w:tabs>
          <w:tab w:val="left" w:pos="6540"/>
        </w:tabs>
        <w:spacing w:line="360" w:lineRule="auto"/>
        <w:rPr>
          <w:rFonts w:ascii="Arial" w:hAnsi="Arial" w:cs="Arial"/>
          <w:sz w:val="22"/>
          <w:szCs w:val="22"/>
          <w:lang w:val="nl-NL"/>
        </w:rPr>
      </w:pPr>
      <w:r w:rsidRPr="002254BD">
        <w:rPr>
          <w:rFonts w:ascii="Arial" w:hAnsi="Arial" w:cs="Arial"/>
          <w:b/>
          <w:bCs/>
          <w:sz w:val="22"/>
          <w:szCs w:val="22"/>
          <w:lang w:val="nl-NL"/>
        </w:rPr>
        <w:t>Student ID</w:t>
      </w:r>
      <w:r w:rsidRPr="002254BD">
        <w:rPr>
          <w:rFonts w:ascii="Arial" w:hAnsi="Arial" w:cs="Arial"/>
          <w:sz w:val="22"/>
          <w:szCs w:val="22"/>
          <w:lang w:val="nl-NL"/>
        </w:rPr>
        <w:t>:2511146</w:t>
      </w:r>
    </w:p>
    <w:p w14:paraId="17D7A48B" w14:textId="73B90FA9" w:rsidR="007C7E57" w:rsidRPr="002254BD" w:rsidRDefault="007C7E57" w:rsidP="002254BD">
      <w:pPr>
        <w:tabs>
          <w:tab w:val="left" w:pos="6540"/>
        </w:tabs>
        <w:spacing w:line="360" w:lineRule="auto"/>
        <w:rPr>
          <w:rFonts w:ascii="Arial" w:hAnsi="Arial" w:cs="Arial"/>
          <w:sz w:val="22"/>
          <w:szCs w:val="22"/>
          <w:lang w:val="nl-NL"/>
        </w:rPr>
      </w:pPr>
      <w:r w:rsidRPr="002254BD">
        <w:rPr>
          <w:rFonts w:ascii="Arial" w:hAnsi="Arial" w:cs="Arial"/>
          <w:b/>
          <w:bCs/>
          <w:sz w:val="22"/>
          <w:szCs w:val="22"/>
          <w:lang w:val="nl-NL"/>
        </w:rPr>
        <w:t>Module name</w:t>
      </w:r>
      <w:r w:rsidRPr="002254BD">
        <w:rPr>
          <w:rFonts w:ascii="Arial" w:hAnsi="Arial" w:cs="Arial"/>
          <w:sz w:val="22"/>
          <w:szCs w:val="22"/>
          <w:lang w:val="nl-NL"/>
        </w:rPr>
        <w:t xml:space="preserve">: </w:t>
      </w:r>
      <w:r w:rsidR="001F362C" w:rsidRPr="002254BD">
        <w:rPr>
          <w:rFonts w:ascii="Arial" w:hAnsi="Arial" w:cs="Arial"/>
          <w:sz w:val="22"/>
          <w:szCs w:val="22"/>
          <w:lang w:val="nl-NL"/>
        </w:rPr>
        <w:t>Introduction to health and s</w:t>
      </w:r>
      <w:r w:rsidR="00482EF6" w:rsidRPr="002254BD">
        <w:rPr>
          <w:rFonts w:ascii="Arial" w:hAnsi="Arial" w:cs="Arial"/>
          <w:sz w:val="22"/>
          <w:szCs w:val="22"/>
          <w:lang w:val="nl-NL"/>
        </w:rPr>
        <w:t xml:space="preserve">ocial care </w:t>
      </w:r>
      <w:r w:rsidRPr="002254BD">
        <w:rPr>
          <w:rFonts w:ascii="Arial" w:hAnsi="Arial" w:cs="Arial"/>
          <w:sz w:val="22"/>
          <w:szCs w:val="22"/>
          <w:lang w:val="nl-NL"/>
        </w:rPr>
        <w:t xml:space="preserve"> </w:t>
      </w:r>
    </w:p>
    <w:p w14:paraId="46D023D7" w14:textId="77777777" w:rsidR="007C7E57" w:rsidRPr="002254BD" w:rsidRDefault="007C7E57" w:rsidP="002254BD">
      <w:pPr>
        <w:tabs>
          <w:tab w:val="left" w:pos="6540"/>
        </w:tabs>
        <w:spacing w:line="360" w:lineRule="auto"/>
        <w:rPr>
          <w:rFonts w:ascii="Arial" w:hAnsi="Arial" w:cs="Arial"/>
          <w:sz w:val="22"/>
          <w:szCs w:val="22"/>
        </w:rPr>
      </w:pPr>
      <w:r w:rsidRPr="002254BD">
        <w:rPr>
          <w:rFonts w:ascii="Arial" w:hAnsi="Arial" w:cs="Arial"/>
          <w:b/>
          <w:bCs/>
          <w:sz w:val="22"/>
          <w:szCs w:val="22"/>
        </w:rPr>
        <w:t>Module code</w:t>
      </w:r>
      <w:r w:rsidRPr="002254BD">
        <w:rPr>
          <w:rFonts w:ascii="Arial" w:hAnsi="Arial" w:cs="Arial"/>
          <w:sz w:val="22"/>
          <w:szCs w:val="22"/>
        </w:rPr>
        <w:t>: LCHS4003</w:t>
      </w:r>
    </w:p>
    <w:p w14:paraId="0A89C6E7" w14:textId="1CC4CF76" w:rsidR="007C7E57" w:rsidRPr="002254BD" w:rsidRDefault="007C7E57" w:rsidP="002254BD">
      <w:pPr>
        <w:spacing w:line="360" w:lineRule="auto"/>
        <w:rPr>
          <w:rFonts w:ascii="Arial" w:hAnsi="Arial" w:cs="Arial"/>
          <w:sz w:val="22"/>
          <w:szCs w:val="22"/>
        </w:rPr>
        <w:sectPr w:rsidR="007C7E57" w:rsidRPr="002254BD" w:rsidSect="007C7E57">
          <w:headerReference w:type="default" r:id="rId11"/>
          <w:pgSz w:w="11906" w:h="16838"/>
          <w:pgMar w:top="1440" w:right="1440" w:bottom="1440" w:left="1440" w:header="708" w:footer="708" w:gutter="0"/>
          <w:cols w:space="708"/>
          <w:docGrid w:linePitch="360"/>
        </w:sectPr>
      </w:pPr>
      <w:r w:rsidRPr="002254BD">
        <w:rPr>
          <w:rFonts w:ascii="Arial" w:hAnsi="Arial" w:cs="Arial"/>
          <w:b/>
          <w:bCs/>
          <w:sz w:val="22"/>
          <w:szCs w:val="22"/>
        </w:rPr>
        <w:t>Lecturer name:</w:t>
      </w:r>
      <w:bookmarkEnd w:id="0"/>
      <w:r w:rsidR="009C2B28" w:rsidRPr="002254BD">
        <w:rPr>
          <w:rFonts w:ascii="Arial" w:hAnsi="Arial" w:cs="Arial"/>
          <w:sz w:val="22"/>
          <w:szCs w:val="22"/>
          <w:lang w:val="nl-NL"/>
        </w:rPr>
        <w:t xml:space="preserve"> Oluwadamilola, Tayo</w:t>
      </w:r>
    </w:p>
    <w:p w14:paraId="62A034C1" w14:textId="77777777" w:rsidR="007C7E57" w:rsidRPr="002254BD" w:rsidRDefault="007C7E57" w:rsidP="002254BD">
      <w:pPr>
        <w:spacing w:line="360" w:lineRule="auto"/>
        <w:rPr>
          <w:rFonts w:ascii="Arial" w:hAnsi="Arial" w:cs="Arial"/>
          <w:b/>
          <w:bCs/>
          <w:sz w:val="22"/>
          <w:szCs w:val="22"/>
        </w:rPr>
      </w:pPr>
      <w:r w:rsidRPr="002254BD">
        <w:rPr>
          <w:rFonts w:ascii="Arial" w:hAnsi="Arial" w:cs="Arial"/>
          <w:b/>
          <w:bCs/>
          <w:sz w:val="22"/>
          <w:szCs w:val="22"/>
        </w:rPr>
        <w:lastRenderedPageBreak/>
        <w:t xml:space="preserve">Content page </w:t>
      </w:r>
    </w:p>
    <w:p w14:paraId="3714A9BA" w14:textId="77777777" w:rsidR="007C7E57" w:rsidRPr="002254BD" w:rsidRDefault="007C7E57" w:rsidP="002254BD">
      <w:pPr>
        <w:spacing w:line="360" w:lineRule="auto"/>
        <w:rPr>
          <w:rFonts w:ascii="Arial" w:hAnsi="Arial" w:cs="Arial"/>
          <w:b/>
          <w:bCs/>
          <w:sz w:val="22"/>
          <w:szCs w:val="22"/>
        </w:rPr>
      </w:pPr>
    </w:p>
    <w:p w14:paraId="2EC027B4" w14:textId="3FB94F54" w:rsidR="007C7E57" w:rsidRPr="002254BD" w:rsidRDefault="007C7E57" w:rsidP="002254BD">
      <w:pPr>
        <w:spacing w:line="360" w:lineRule="auto"/>
        <w:rPr>
          <w:rFonts w:ascii="Arial" w:hAnsi="Arial" w:cs="Arial"/>
          <w:sz w:val="22"/>
          <w:szCs w:val="22"/>
        </w:rPr>
      </w:pPr>
      <w:r w:rsidRPr="002254BD">
        <w:rPr>
          <w:rFonts w:ascii="Arial" w:hAnsi="Arial" w:cs="Arial"/>
          <w:b/>
          <w:bCs/>
          <w:sz w:val="22"/>
          <w:szCs w:val="22"/>
        </w:rPr>
        <w:t xml:space="preserve">: </w:t>
      </w:r>
      <w:r w:rsidR="001D5FC6" w:rsidRPr="002254BD">
        <w:rPr>
          <w:rFonts w:ascii="Arial" w:hAnsi="Arial" w:cs="Arial"/>
          <w:b/>
          <w:bCs/>
          <w:sz w:val="22"/>
          <w:szCs w:val="22"/>
        </w:rPr>
        <w:t xml:space="preserve">Importance of Good Administrative </w:t>
      </w:r>
      <w:r w:rsidR="00665CFF" w:rsidRPr="002254BD">
        <w:rPr>
          <w:rFonts w:ascii="Arial" w:hAnsi="Arial" w:cs="Arial"/>
          <w:b/>
          <w:bCs/>
          <w:sz w:val="22"/>
          <w:szCs w:val="22"/>
        </w:rPr>
        <w:t>Skills</w:t>
      </w:r>
      <w:r w:rsidR="00665CFF" w:rsidRPr="002254BD">
        <w:rPr>
          <w:rFonts w:ascii="Arial" w:hAnsi="Arial" w:cs="Arial"/>
          <w:sz w:val="22"/>
          <w:szCs w:val="22"/>
        </w:rPr>
        <w:t>:</w:t>
      </w:r>
      <w:r w:rsidR="001D5FC6" w:rsidRPr="002254BD">
        <w:rPr>
          <w:rFonts w:ascii="Arial" w:hAnsi="Arial" w:cs="Arial"/>
          <w:b/>
          <w:bCs/>
          <w:sz w:val="22"/>
          <w:szCs w:val="22"/>
        </w:rPr>
        <w:t xml:space="preserve"> 4</w:t>
      </w:r>
      <w:r w:rsidRPr="002254BD">
        <w:rPr>
          <w:rFonts w:ascii="Arial" w:hAnsi="Arial" w:cs="Arial"/>
          <w:b/>
          <w:bCs/>
          <w:sz w:val="22"/>
          <w:szCs w:val="22"/>
        </w:rPr>
        <w:t xml:space="preserve"> </w:t>
      </w:r>
    </w:p>
    <w:p w14:paraId="1CBFE3C8" w14:textId="779D97ED" w:rsidR="007C7E57" w:rsidRPr="002254BD" w:rsidRDefault="007C7E57" w:rsidP="002254BD">
      <w:pPr>
        <w:spacing w:line="360" w:lineRule="auto"/>
        <w:rPr>
          <w:rFonts w:ascii="Arial" w:hAnsi="Arial" w:cs="Arial"/>
          <w:sz w:val="22"/>
          <w:szCs w:val="22"/>
        </w:rPr>
      </w:pPr>
      <w:r w:rsidRPr="002254BD">
        <w:rPr>
          <w:rFonts w:ascii="Arial" w:hAnsi="Arial" w:cs="Arial"/>
          <w:b/>
          <w:bCs/>
          <w:sz w:val="22"/>
          <w:szCs w:val="22"/>
        </w:rPr>
        <w:t xml:space="preserve">: </w:t>
      </w:r>
      <w:r w:rsidR="00BE669E" w:rsidRPr="002254BD">
        <w:rPr>
          <w:rFonts w:ascii="Arial" w:hAnsi="Arial" w:cs="Arial"/>
          <w:b/>
          <w:bCs/>
          <w:sz w:val="22"/>
          <w:szCs w:val="22"/>
        </w:rPr>
        <w:t>Importance of Working Collaboratively:</w:t>
      </w:r>
      <w:r w:rsidR="00BE669E" w:rsidRPr="002254BD">
        <w:rPr>
          <w:rFonts w:ascii="Arial" w:hAnsi="Arial" w:cs="Arial"/>
          <w:sz w:val="22"/>
          <w:szCs w:val="22"/>
        </w:rPr>
        <w:t> </w:t>
      </w:r>
      <w:r w:rsidR="004C54BB" w:rsidRPr="002254BD">
        <w:rPr>
          <w:rFonts w:ascii="Arial" w:hAnsi="Arial" w:cs="Arial"/>
          <w:b/>
          <w:bCs/>
          <w:sz w:val="22"/>
          <w:szCs w:val="22"/>
        </w:rPr>
        <w:t>5</w:t>
      </w:r>
      <w:r w:rsidRPr="002254BD">
        <w:rPr>
          <w:rFonts w:ascii="Arial" w:hAnsi="Arial" w:cs="Arial"/>
          <w:b/>
          <w:bCs/>
          <w:sz w:val="22"/>
          <w:szCs w:val="22"/>
        </w:rPr>
        <w:t xml:space="preserve"> </w:t>
      </w:r>
    </w:p>
    <w:p w14:paraId="08923CC3" w14:textId="21A7D6AC" w:rsidR="007C7E57" w:rsidRPr="002254BD" w:rsidRDefault="007C7E57" w:rsidP="002254BD">
      <w:pPr>
        <w:spacing w:line="360" w:lineRule="auto"/>
        <w:rPr>
          <w:rFonts w:ascii="Arial" w:hAnsi="Arial" w:cs="Arial"/>
          <w:b/>
          <w:bCs/>
          <w:sz w:val="22"/>
          <w:szCs w:val="22"/>
        </w:rPr>
      </w:pPr>
      <w:r w:rsidRPr="002254BD">
        <w:rPr>
          <w:rFonts w:ascii="Arial" w:hAnsi="Arial" w:cs="Arial"/>
          <w:b/>
          <w:bCs/>
          <w:sz w:val="22"/>
          <w:szCs w:val="22"/>
        </w:rPr>
        <w:t xml:space="preserve">: </w:t>
      </w:r>
      <w:r w:rsidR="00665CFF" w:rsidRPr="002254BD">
        <w:rPr>
          <w:rFonts w:ascii="Arial" w:hAnsi="Arial" w:cs="Arial"/>
          <w:b/>
          <w:bCs/>
          <w:sz w:val="22"/>
          <w:szCs w:val="22"/>
        </w:rPr>
        <w:t>Bibliography:</w:t>
      </w:r>
      <w:r w:rsidRPr="002254BD">
        <w:rPr>
          <w:rFonts w:ascii="Arial" w:hAnsi="Arial" w:cs="Arial"/>
          <w:b/>
          <w:bCs/>
          <w:sz w:val="22"/>
          <w:szCs w:val="22"/>
        </w:rPr>
        <w:t xml:space="preserve"> 6</w:t>
      </w:r>
    </w:p>
    <w:p w14:paraId="6D31B4CB" w14:textId="77777777" w:rsidR="007C7E57" w:rsidRPr="002254BD" w:rsidRDefault="007C7E57" w:rsidP="002254BD">
      <w:pPr>
        <w:spacing w:line="360" w:lineRule="auto"/>
        <w:rPr>
          <w:rFonts w:ascii="Arial" w:hAnsi="Arial" w:cs="Arial"/>
          <w:sz w:val="22"/>
          <w:szCs w:val="22"/>
        </w:rPr>
        <w:sectPr w:rsidR="007C7E57" w:rsidRPr="002254BD" w:rsidSect="007C7E57">
          <w:pgSz w:w="11906" w:h="16838"/>
          <w:pgMar w:top="1440" w:right="1440" w:bottom="1440" w:left="1440" w:header="708" w:footer="708" w:gutter="0"/>
          <w:cols w:space="708"/>
          <w:docGrid w:linePitch="360"/>
        </w:sectPr>
      </w:pPr>
    </w:p>
    <w:p w14:paraId="66D338F3" w14:textId="1D9ACBFE" w:rsidR="0081154B" w:rsidRPr="002254BD" w:rsidRDefault="0081154B" w:rsidP="002254BD">
      <w:pPr>
        <w:spacing w:line="360" w:lineRule="auto"/>
        <w:rPr>
          <w:rFonts w:ascii="Arial" w:hAnsi="Arial" w:cs="Arial"/>
          <w:sz w:val="22"/>
          <w:szCs w:val="22"/>
        </w:rPr>
      </w:pPr>
      <w:r w:rsidRPr="002254BD">
        <w:rPr>
          <w:rFonts w:ascii="Arial" w:hAnsi="Arial" w:cs="Arial"/>
          <w:b/>
          <w:bCs/>
          <w:sz w:val="22"/>
          <w:szCs w:val="22"/>
        </w:rPr>
        <w:lastRenderedPageBreak/>
        <w:t>The Importance of Effective Communication in Mr Ahmed’s Care</w:t>
      </w:r>
      <w:r w:rsidRPr="002254BD">
        <w:rPr>
          <w:rFonts w:ascii="Arial" w:hAnsi="Arial" w:cs="Arial"/>
          <w:sz w:val="22"/>
          <w:szCs w:val="22"/>
        </w:rPr>
        <w:t> </w:t>
      </w:r>
    </w:p>
    <w:p w14:paraId="503CA256"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Effective communication is essential in health and social care as it forms the foundation of safe, patient-centred practice and ensures that service users’ needs are understood and met (Kwame and Petrucka, 2021). In the case of Mr Ahmed, communication is particularly significant due to his limited English fluency and reliance on others, such as his wife, to interpret information. According to the Equality Act 2010, health and social care providers have a legal duty to make reasonable adjustments to ensure individuals are not disadvantaged (GOV.UK, 2010). In this context, failing to adapt communication methods to suit Mr Ahmed’s needs could result in indirect discrimination and a reduced quality of care. </w:t>
      </w:r>
    </w:p>
    <w:p w14:paraId="412C91D6"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Effective communication promotes patient centred care by enabling professionals to understand what matters to the service user and involve them in decision-making (NHS England, 2023). This is particularly important for Mr Ahmed following a stroke, as he may experience increased vulnerability and reduced independence. If communication is ineffective, there is a higher risk of errors, such as the missed medication incident described in the case study. This demonstrates how poor communication and coordination between professionals can negatively impact patient safety and outcomes. </w:t>
      </w:r>
    </w:p>
    <w:p w14:paraId="65E39B5A"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A useful framework for improving communication in this context is Berlo’s SMCR Model of Communication, which identifies four key components that are Source, Message, Channel and Receive</w:t>
      </w:r>
      <w:r w:rsidRPr="002254BD">
        <w:rPr>
          <w:rFonts w:ascii="Arial" w:hAnsi="Arial" w:cs="Arial"/>
          <w:b/>
          <w:bCs/>
          <w:sz w:val="22"/>
          <w:szCs w:val="22"/>
        </w:rPr>
        <w:t>r</w:t>
      </w:r>
      <w:r w:rsidRPr="002254BD">
        <w:rPr>
          <w:rFonts w:ascii="Arial" w:hAnsi="Arial" w:cs="Arial"/>
          <w:sz w:val="22"/>
          <w:szCs w:val="22"/>
        </w:rPr>
        <w:t>. This model can be applied directly to Mr Ahmed’s care to enhance communication with both him and his family. </w:t>
      </w:r>
    </w:p>
    <w:p w14:paraId="67CBB903"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The source (sender) refers to healthcare professionals, including the G and care workers etc. According to Berlo, the effectiveness of communication depends on the sender’s skills, knowledge and cultural awareness (Communication Theory, 2014). In Mr Ahmed’s case, professionals must demonstrate cultural sensitivity and adapt their communication style to meet his needs. When engaging with his wife, professionals should acknowledge her supportive role but avoid relying solely on her to interpret complex medical information, as this may compromise accuracy and confidentiality. </w:t>
      </w:r>
    </w:p>
    <w:p w14:paraId="0D85A8D2"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The message refers to the information being communicated, such as medication instructions or care plans (Communication Theory, 2014). For Mr Ahmed, messages must be clear, concise and free from complex medical terminology. Important information should be repeated and reinforced to ensure understanding. For example, clearly explaining medication routines could help prevent incidents like the missed dose identified in the case study. </w:t>
      </w:r>
    </w:p>
    <w:p w14:paraId="5BAA3603"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lastRenderedPageBreak/>
        <w:t>The channel is the method used to deliver the message, which is particularly important in this case. Given Mr Ahmed’s language barrier, relying solely on spoken English is ineffective. Instead, professionals should use a combination of communication methods, including professional interpreters, translated written materials and visual aids such as medication charts. This aligns with guidance from NHS England (2023), which emphasises that communication should be accessible and inclusive to reduce misunderstandings and improve patient experience. </w:t>
      </w:r>
    </w:p>
    <w:p w14:paraId="2BE6F3FF"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The receiver is Mr Ahmed, and at times his wife when information is shared with the family. It is essential to ensure that Mr Ahmed fully understands the information provided. This can be achieved through feedback techniques, such as asking him to repeat information or confirm understanding. When communicating with his wife, professionals must ensure that Mr Ahmed consents to information being shared, in line with the Mental Capacity Act 2005, which promotes autonomy and informed decision-making (National Health Service, 2024). Therefore, practitioners should ensure that Mr Ahmed remains central to all discussions, reflecting the principles of dignity and independence within </w:t>
      </w:r>
      <w:proofErr w:type="gramStart"/>
      <w:r w:rsidRPr="002254BD">
        <w:rPr>
          <w:rFonts w:ascii="Arial" w:hAnsi="Arial" w:cs="Arial"/>
          <w:sz w:val="22"/>
          <w:szCs w:val="22"/>
        </w:rPr>
        <w:t>patient oriented</w:t>
      </w:r>
      <w:proofErr w:type="gramEnd"/>
      <w:r w:rsidRPr="002254BD">
        <w:rPr>
          <w:rFonts w:ascii="Arial" w:hAnsi="Arial" w:cs="Arial"/>
          <w:sz w:val="22"/>
          <w:szCs w:val="22"/>
        </w:rPr>
        <w:t> care. </w:t>
      </w:r>
    </w:p>
    <w:p w14:paraId="562B4E7C"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To communicate effectively with both Mr Ahmed and his family, health and social care professionals should adopt key communication skills, including active listening, simplifying language, observing non-verbal cues and providing opportunities for feedback. Active listening ensures that Mr Ahmed feels heard and understood, while simplified language helps overcome barriers related to his limited English. Checking understanding through feedback loops is essential to confirm that information has been accurately received, reducing the risk of errors such as missed medication. </w:t>
      </w:r>
    </w:p>
    <w:p w14:paraId="566EC483"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Furthermore, communication should be culturally sensitive, recognising Mr Ahmed’s background and values. Cultural awareness can influence how messages are interpreted and how comfortable a service user feels engaging with professionals (Latif, 2020). By </w:t>
      </w:r>
      <w:proofErr w:type="gramStart"/>
      <w:r w:rsidRPr="002254BD">
        <w:rPr>
          <w:rFonts w:ascii="Arial" w:hAnsi="Arial" w:cs="Arial"/>
          <w:sz w:val="22"/>
          <w:szCs w:val="22"/>
        </w:rPr>
        <w:t>adapting  communication</w:t>
      </w:r>
      <w:proofErr w:type="gramEnd"/>
      <w:r w:rsidRPr="002254BD">
        <w:rPr>
          <w:rFonts w:ascii="Arial" w:hAnsi="Arial" w:cs="Arial"/>
          <w:sz w:val="22"/>
          <w:szCs w:val="22"/>
        </w:rPr>
        <w:t> to meet these needs, practitioners can build trust and ultimately enhance health outcomes. </w:t>
      </w:r>
    </w:p>
    <w:p w14:paraId="7275AAC8"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In conclusion, effective communication is vital in Mr Ahmed’s care to uphold legal rights and promote patient centred practice. By applying legislative frameworks such as the Equality Act 2010, alongside communication models such as Berlo’s SMCR model, professionals can adapt their approach to meet his individual needs. This not only reduces the risk of errors but also enhances Mr Ahmed’s experience and involvement in his care. </w:t>
      </w:r>
    </w:p>
    <w:p w14:paraId="2725A8A7" w14:textId="77777777" w:rsidR="0081154B" w:rsidRPr="002254BD" w:rsidRDefault="0081154B" w:rsidP="002254BD">
      <w:pPr>
        <w:spacing w:line="360" w:lineRule="auto"/>
        <w:rPr>
          <w:rFonts w:ascii="Arial" w:hAnsi="Arial" w:cs="Arial"/>
          <w:sz w:val="22"/>
          <w:szCs w:val="22"/>
        </w:rPr>
      </w:pPr>
      <w:r w:rsidRPr="002254BD">
        <w:rPr>
          <w:rFonts w:ascii="Arial" w:hAnsi="Arial" w:cs="Arial"/>
          <w:b/>
          <w:bCs/>
          <w:sz w:val="22"/>
          <w:szCs w:val="22"/>
        </w:rPr>
        <w:t>Importance of Good Administrative Skills</w:t>
      </w:r>
      <w:r w:rsidRPr="002254BD">
        <w:rPr>
          <w:rFonts w:ascii="Arial" w:hAnsi="Arial" w:cs="Arial"/>
          <w:sz w:val="22"/>
          <w:szCs w:val="22"/>
        </w:rPr>
        <w:t> </w:t>
      </w:r>
    </w:p>
    <w:p w14:paraId="6AC3DB05"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lastRenderedPageBreak/>
        <w:t>Good administrative skills are essential in ensuring well-coordinated care (NHS England, 2023b). This includes accurate record-keeping and the secure handling of information. </w:t>
      </w:r>
    </w:p>
    <w:p w14:paraId="76B62C2D"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In Mr Ahmed’s case, the missed medication highlights the importance of accurate and up-to-date records. Poor documentation or failure to communicate care schedules can lead to serious risks (Ball and McBeth, 2021), particularly for individuals with complex health needs following a stroke. </w:t>
      </w:r>
    </w:p>
    <w:p w14:paraId="45C9A0A0"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Accurate record-keeping ensures continuity of care, allowing all professionals involved to access relevant information (</w:t>
      </w:r>
      <w:proofErr w:type="spellStart"/>
      <w:r w:rsidRPr="002254BD">
        <w:rPr>
          <w:rFonts w:ascii="Arial" w:hAnsi="Arial" w:cs="Arial"/>
          <w:sz w:val="22"/>
          <w:szCs w:val="22"/>
        </w:rPr>
        <w:t>Mathioudakis</w:t>
      </w:r>
      <w:proofErr w:type="spellEnd"/>
      <w:r w:rsidRPr="002254BD">
        <w:rPr>
          <w:rFonts w:ascii="Arial" w:hAnsi="Arial" w:cs="Arial"/>
          <w:sz w:val="22"/>
          <w:szCs w:val="22"/>
        </w:rPr>
        <w:t>, 2016). It also provides accountability and evidence of care delivered. Without effective administration, there is an increased risk of errors, duplication or omissions. </w:t>
      </w:r>
    </w:p>
    <w:p w14:paraId="6323F1B7"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Legislation such as the Data Protection Act 2018 and UK GDPR outlines how personal data must be handled (UK Government, 2025). Healthcare providers must ensure that Mr Ahmed’s information </w:t>
      </w:r>
      <w:proofErr w:type="gramStart"/>
      <w:r w:rsidRPr="002254BD">
        <w:rPr>
          <w:rFonts w:ascii="Arial" w:hAnsi="Arial" w:cs="Arial"/>
          <w:sz w:val="22"/>
          <w:szCs w:val="22"/>
        </w:rPr>
        <w:t>is:</w:t>
      </w:r>
      <w:proofErr w:type="gramEnd"/>
      <w:r w:rsidRPr="002254BD">
        <w:rPr>
          <w:rFonts w:ascii="Arial" w:hAnsi="Arial" w:cs="Arial"/>
          <w:sz w:val="22"/>
          <w:szCs w:val="22"/>
        </w:rPr>
        <w:t> accurate and updated, stored securely and shared only with relevant professionals. </w:t>
      </w:r>
    </w:p>
    <w:p w14:paraId="74FCE047"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Confidentiality is a key aspect of administrative practice. Mr Ahmed’s medical information, language needs and care plan must be protected to maintain trust and comply with legal requirements. </w:t>
      </w:r>
    </w:p>
    <w:p w14:paraId="24350C17"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Overall, strong administrative systems support effective communication and ensure that care is delivered safely and efficiently. </w:t>
      </w:r>
    </w:p>
    <w:p w14:paraId="221D916B" w14:textId="77777777" w:rsidR="0081154B" w:rsidRPr="002254BD" w:rsidRDefault="0081154B" w:rsidP="002254BD">
      <w:pPr>
        <w:spacing w:line="360" w:lineRule="auto"/>
        <w:rPr>
          <w:rFonts w:ascii="Arial" w:hAnsi="Arial" w:cs="Arial"/>
          <w:sz w:val="22"/>
          <w:szCs w:val="22"/>
        </w:rPr>
      </w:pPr>
      <w:r w:rsidRPr="002254BD">
        <w:rPr>
          <w:rFonts w:ascii="Arial" w:hAnsi="Arial" w:cs="Arial"/>
          <w:b/>
          <w:bCs/>
          <w:sz w:val="22"/>
          <w:szCs w:val="22"/>
        </w:rPr>
        <w:t>Importance of Working Collaboratively</w:t>
      </w:r>
      <w:r w:rsidRPr="002254BD">
        <w:rPr>
          <w:rFonts w:ascii="Arial" w:hAnsi="Arial" w:cs="Arial"/>
          <w:sz w:val="22"/>
          <w:szCs w:val="22"/>
        </w:rPr>
        <w:t> </w:t>
      </w:r>
    </w:p>
    <w:p w14:paraId="63607F26"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Collaborative working is essential in health and social care, particularly when supporting individuals with complex needs. Mr Ahmed’s care involves a multidisciplinary team, which includes his GP, district nurse, speech and language therapist and care workers. </w:t>
      </w:r>
    </w:p>
    <w:p w14:paraId="07FAC760"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Working collaboratively ensures that all professionals share information and work towards common goals. This improves the quality and consistency of care (Rosen, 2020). For example, communication between the care agency and healthcare professionals is essential to ensure that medication is administered correctly and on time. </w:t>
      </w:r>
    </w:p>
    <w:p w14:paraId="3ABF56F0"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Furthermore, collaborative working improves outcomes by promoting coordinated and person-centred care (Bosch and Mansell, 2015). Through aspects like regular meetings, shared records and clear communication channels are key components of effective teamwork. </w:t>
      </w:r>
    </w:p>
    <w:p w14:paraId="5976FD58"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lastRenderedPageBreak/>
        <w:t>However, challenges may arise, such as differences in professional opinions or communication breakdowns. In Mr Ahmed’s case, the missed visit suggests a lack of coordination between services. Therefore, to address this, professionals must engage in clear communication and shared decision-making. </w:t>
      </w:r>
    </w:p>
    <w:p w14:paraId="44E1EFBC"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Collaborative working also supports learning and professional development. By sharing knowledge and experiences, professionals can improve practice and reduce the likelihood of errors (NMC, 2024). </w:t>
      </w:r>
    </w:p>
    <w:p w14:paraId="2AB6E62D"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 </w:t>
      </w:r>
    </w:p>
    <w:p w14:paraId="45A90EE2" w14:textId="77777777" w:rsidR="0081154B" w:rsidRPr="002254BD" w:rsidRDefault="0081154B" w:rsidP="002254BD">
      <w:pPr>
        <w:spacing w:line="360" w:lineRule="auto"/>
        <w:rPr>
          <w:rFonts w:ascii="Arial" w:hAnsi="Arial" w:cs="Arial"/>
          <w:sz w:val="22"/>
          <w:szCs w:val="22"/>
        </w:rPr>
      </w:pPr>
      <w:r w:rsidRPr="002254BD">
        <w:rPr>
          <w:rFonts w:ascii="Arial" w:hAnsi="Arial" w:cs="Arial"/>
          <w:b/>
          <w:bCs/>
          <w:sz w:val="22"/>
          <w:szCs w:val="22"/>
        </w:rPr>
        <w:t>Bibliography:</w:t>
      </w:r>
      <w:r w:rsidRPr="002254BD">
        <w:rPr>
          <w:rFonts w:ascii="Arial" w:hAnsi="Arial" w:cs="Arial"/>
          <w:sz w:val="22"/>
          <w:szCs w:val="22"/>
        </w:rPr>
        <w:t> </w:t>
      </w:r>
    </w:p>
    <w:p w14:paraId="01ACD955"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Ball, C.G. and McBeth, P.B. (2021). The impact of documentation burden on patient care and surgeon satisfaction. </w:t>
      </w:r>
      <w:r w:rsidRPr="002254BD">
        <w:rPr>
          <w:rFonts w:ascii="Arial" w:hAnsi="Arial" w:cs="Arial"/>
          <w:i/>
          <w:iCs/>
          <w:sz w:val="22"/>
          <w:szCs w:val="22"/>
        </w:rPr>
        <w:t>Canadian Journal of Surgery</w:t>
      </w:r>
      <w:r w:rsidRPr="002254BD">
        <w:rPr>
          <w:rFonts w:ascii="Arial" w:hAnsi="Arial" w:cs="Arial"/>
          <w:sz w:val="22"/>
          <w:szCs w:val="22"/>
        </w:rPr>
        <w:t>, 64(4), pp.457–458. </w:t>
      </w:r>
      <w:proofErr w:type="spellStart"/>
      <w:proofErr w:type="gramStart"/>
      <w:r w:rsidRPr="002254BD">
        <w:rPr>
          <w:rFonts w:ascii="Arial" w:hAnsi="Arial" w:cs="Arial"/>
          <w:sz w:val="22"/>
          <w:szCs w:val="22"/>
        </w:rPr>
        <w:t>doi:https</w:t>
      </w:r>
      <w:proofErr w:type="spellEnd"/>
      <w:r w:rsidRPr="002254BD">
        <w:rPr>
          <w:rFonts w:ascii="Arial" w:hAnsi="Arial" w:cs="Arial"/>
          <w:sz w:val="22"/>
          <w:szCs w:val="22"/>
        </w:rPr>
        <w:t>://doi.org/10.1503/cjs.013921</w:t>
      </w:r>
      <w:proofErr w:type="gramEnd"/>
      <w:r w:rsidRPr="002254BD">
        <w:rPr>
          <w:rFonts w:ascii="Arial" w:hAnsi="Arial" w:cs="Arial"/>
          <w:sz w:val="22"/>
          <w:szCs w:val="22"/>
        </w:rPr>
        <w:t>. </w:t>
      </w:r>
    </w:p>
    <w:p w14:paraId="5F1A5490"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Bosch, B. and Mansell, H. (2015). Interprofessional Collaboration in Health Care. </w:t>
      </w:r>
      <w:r w:rsidRPr="002254BD">
        <w:rPr>
          <w:rFonts w:ascii="Arial" w:hAnsi="Arial" w:cs="Arial"/>
          <w:i/>
          <w:iCs/>
          <w:sz w:val="22"/>
          <w:szCs w:val="22"/>
        </w:rPr>
        <w:t>Canadian Pharmacists </w:t>
      </w:r>
      <w:proofErr w:type="gramStart"/>
      <w:r w:rsidRPr="002254BD">
        <w:rPr>
          <w:rFonts w:ascii="Arial" w:hAnsi="Arial" w:cs="Arial"/>
          <w:i/>
          <w:iCs/>
          <w:sz w:val="22"/>
          <w:szCs w:val="22"/>
        </w:rPr>
        <w:t>Journal </w:t>
      </w:r>
      <w:r w:rsidRPr="002254BD">
        <w:rPr>
          <w:rFonts w:ascii="Arial" w:hAnsi="Arial" w:cs="Arial"/>
          <w:sz w:val="22"/>
          <w:szCs w:val="22"/>
        </w:rPr>
        <w:t>,</w:t>
      </w:r>
      <w:proofErr w:type="gramEnd"/>
      <w:r w:rsidRPr="002254BD">
        <w:rPr>
          <w:rFonts w:ascii="Arial" w:hAnsi="Arial" w:cs="Arial"/>
          <w:sz w:val="22"/>
          <w:szCs w:val="22"/>
        </w:rPr>
        <w:t> 148(4), pp.176–179. </w:t>
      </w:r>
      <w:proofErr w:type="spellStart"/>
      <w:proofErr w:type="gramStart"/>
      <w:r w:rsidRPr="002254BD">
        <w:rPr>
          <w:rFonts w:ascii="Arial" w:hAnsi="Arial" w:cs="Arial"/>
          <w:sz w:val="22"/>
          <w:szCs w:val="22"/>
        </w:rPr>
        <w:t>doi:https</w:t>
      </w:r>
      <w:proofErr w:type="spellEnd"/>
      <w:r w:rsidRPr="002254BD">
        <w:rPr>
          <w:rFonts w:ascii="Arial" w:hAnsi="Arial" w:cs="Arial"/>
          <w:sz w:val="22"/>
          <w:szCs w:val="22"/>
        </w:rPr>
        <w:t>://doi.org/10.1177/1715163515588106</w:t>
      </w:r>
      <w:proofErr w:type="gramEnd"/>
      <w:r w:rsidRPr="002254BD">
        <w:rPr>
          <w:rFonts w:ascii="Arial" w:hAnsi="Arial" w:cs="Arial"/>
          <w:sz w:val="22"/>
          <w:szCs w:val="22"/>
        </w:rPr>
        <w:t>. </w:t>
      </w:r>
    </w:p>
    <w:p w14:paraId="102B0B7C"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Communication Theory (2014). </w:t>
      </w:r>
      <w:r w:rsidRPr="002254BD">
        <w:rPr>
          <w:rFonts w:ascii="Arial" w:hAnsi="Arial" w:cs="Arial"/>
          <w:i/>
          <w:iCs/>
          <w:sz w:val="22"/>
          <w:szCs w:val="22"/>
        </w:rPr>
        <w:t>BERLO’S SMCR MODEL OF COMMUNICATION</w:t>
      </w:r>
      <w:r w:rsidRPr="002254BD">
        <w:rPr>
          <w:rFonts w:ascii="Arial" w:hAnsi="Arial" w:cs="Arial"/>
          <w:sz w:val="22"/>
          <w:szCs w:val="22"/>
        </w:rPr>
        <w:t>. [online] Communication Theory. Available at: https://www.communicationtheory.org/berlos-smcr-model-of-communication/. </w:t>
      </w:r>
    </w:p>
    <w:p w14:paraId="5E643F21"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GOV.UK (2010). </w:t>
      </w:r>
      <w:r w:rsidRPr="002254BD">
        <w:rPr>
          <w:rFonts w:ascii="Arial" w:hAnsi="Arial" w:cs="Arial"/>
          <w:i/>
          <w:iCs/>
          <w:sz w:val="22"/>
          <w:szCs w:val="22"/>
        </w:rPr>
        <w:t>Equality Act 2010</w:t>
      </w:r>
      <w:r w:rsidRPr="002254BD">
        <w:rPr>
          <w:rFonts w:ascii="Arial" w:hAnsi="Arial" w:cs="Arial"/>
          <w:sz w:val="22"/>
          <w:szCs w:val="22"/>
        </w:rPr>
        <w:t>. [online] Legislation.gov.uk. Available at: https://www.legislation.gov.uk/ukpga/2010/15/section/20. </w:t>
      </w:r>
    </w:p>
    <w:p w14:paraId="46D6BFD6"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Howick, J., Weston, A.B., Solomon, J., Nockels, K., Bostock, J. and </w:t>
      </w:r>
      <w:proofErr w:type="spellStart"/>
      <w:r w:rsidRPr="002254BD">
        <w:rPr>
          <w:rFonts w:ascii="Arial" w:hAnsi="Arial" w:cs="Arial"/>
          <w:sz w:val="22"/>
          <w:szCs w:val="22"/>
        </w:rPr>
        <w:t>Keshtkar</w:t>
      </w:r>
      <w:proofErr w:type="spellEnd"/>
      <w:r w:rsidRPr="002254BD">
        <w:rPr>
          <w:rFonts w:ascii="Arial" w:hAnsi="Arial" w:cs="Arial"/>
          <w:sz w:val="22"/>
          <w:szCs w:val="22"/>
        </w:rPr>
        <w:t>, L. (2024). How does communication affect patient safety? Protocol for a systematic review and logic model. </w:t>
      </w:r>
      <w:r w:rsidRPr="002254BD">
        <w:rPr>
          <w:rFonts w:ascii="Arial" w:hAnsi="Arial" w:cs="Arial"/>
          <w:i/>
          <w:iCs/>
          <w:sz w:val="22"/>
          <w:szCs w:val="22"/>
        </w:rPr>
        <w:t>BMJ Open</w:t>
      </w:r>
      <w:r w:rsidRPr="002254BD">
        <w:rPr>
          <w:rFonts w:ascii="Arial" w:hAnsi="Arial" w:cs="Arial"/>
          <w:sz w:val="22"/>
          <w:szCs w:val="22"/>
        </w:rPr>
        <w:t>, [online] 14(5), pp.1–8. </w:t>
      </w:r>
      <w:proofErr w:type="spellStart"/>
      <w:proofErr w:type="gramStart"/>
      <w:r w:rsidRPr="002254BD">
        <w:rPr>
          <w:rFonts w:ascii="Arial" w:hAnsi="Arial" w:cs="Arial"/>
          <w:sz w:val="22"/>
          <w:szCs w:val="22"/>
        </w:rPr>
        <w:t>doi:https</w:t>
      </w:r>
      <w:proofErr w:type="spellEnd"/>
      <w:r w:rsidRPr="002254BD">
        <w:rPr>
          <w:rFonts w:ascii="Arial" w:hAnsi="Arial" w:cs="Arial"/>
          <w:sz w:val="22"/>
          <w:szCs w:val="22"/>
        </w:rPr>
        <w:t>://doi.org/10.1136/bmjopen-2024-085312</w:t>
      </w:r>
      <w:proofErr w:type="gramEnd"/>
      <w:r w:rsidRPr="002254BD">
        <w:rPr>
          <w:rFonts w:ascii="Arial" w:hAnsi="Arial" w:cs="Arial"/>
          <w:sz w:val="22"/>
          <w:szCs w:val="22"/>
        </w:rPr>
        <w:t>. </w:t>
      </w:r>
    </w:p>
    <w:p w14:paraId="378A4F55"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Kwame, A. and </w:t>
      </w:r>
      <w:proofErr w:type="spellStart"/>
      <w:r w:rsidRPr="002254BD">
        <w:rPr>
          <w:rFonts w:ascii="Arial" w:hAnsi="Arial" w:cs="Arial"/>
          <w:sz w:val="22"/>
          <w:szCs w:val="22"/>
        </w:rPr>
        <w:t>Petrucka</w:t>
      </w:r>
      <w:proofErr w:type="spellEnd"/>
      <w:r w:rsidRPr="002254BD">
        <w:rPr>
          <w:rFonts w:ascii="Arial" w:hAnsi="Arial" w:cs="Arial"/>
          <w:sz w:val="22"/>
          <w:szCs w:val="22"/>
        </w:rPr>
        <w:t>, P. (2021). A literature-based study of patient-</w:t>
      </w:r>
      <w:proofErr w:type="spellStart"/>
      <w:r w:rsidRPr="002254BD">
        <w:rPr>
          <w:rFonts w:ascii="Arial" w:hAnsi="Arial" w:cs="Arial"/>
          <w:sz w:val="22"/>
          <w:szCs w:val="22"/>
        </w:rPr>
        <w:t>centered</w:t>
      </w:r>
      <w:proofErr w:type="spellEnd"/>
      <w:r w:rsidRPr="002254BD">
        <w:rPr>
          <w:rFonts w:ascii="Arial" w:hAnsi="Arial" w:cs="Arial"/>
          <w:sz w:val="22"/>
          <w:szCs w:val="22"/>
        </w:rPr>
        <w:t> care and communication in nurse-patient interactions: Barriers, facilitators, and the way forward. </w:t>
      </w:r>
      <w:r w:rsidRPr="002254BD">
        <w:rPr>
          <w:rFonts w:ascii="Arial" w:hAnsi="Arial" w:cs="Arial"/>
          <w:i/>
          <w:iCs/>
          <w:sz w:val="22"/>
          <w:szCs w:val="22"/>
        </w:rPr>
        <w:t>BMC Nursing</w:t>
      </w:r>
      <w:r w:rsidRPr="002254BD">
        <w:rPr>
          <w:rFonts w:ascii="Arial" w:hAnsi="Arial" w:cs="Arial"/>
          <w:sz w:val="22"/>
          <w:szCs w:val="22"/>
        </w:rPr>
        <w:t>, [online] 20(158), pp.1–10. </w:t>
      </w:r>
      <w:proofErr w:type="spellStart"/>
      <w:proofErr w:type="gramStart"/>
      <w:r w:rsidRPr="002254BD">
        <w:rPr>
          <w:rFonts w:ascii="Arial" w:hAnsi="Arial" w:cs="Arial"/>
          <w:sz w:val="22"/>
          <w:szCs w:val="22"/>
        </w:rPr>
        <w:t>doi:https</w:t>
      </w:r>
      <w:proofErr w:type="spellEnd"/>
      <w:r w:rsidRPr="002254BD">
        <w:rPr>
          <w:rFonts w:ascii="Arial" w:hAnsi="Arial" w:cs="Arial"/>
          <w:sz w:val="22"/>
          <w:szCs w:val="22"/>
        </w:rPr>
        <w:t>://doi.org/10.1186/s12912-021-00684-2</w:t>
      </w:r>
      <w:proofErr w:type="gramEnd"/>
      <w:r w:rsidRPr="002254BD">
        <w:rPr>
          <w:rFonts w:ascii="Arial" w:hAnsi="Arial" w:cs="Arial"/>
          <w:sz w:val="22"/>
          <w:szCs w:val="22"/>
        </w:rPr>
        <w:t>. </w:t>
      </w:r>
    </w:p>
    <w:p w14:paraId="50123A82"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Latif, A. (2020). The Importance of Understanding Social and Cultural Norms in Delivering Quality Health Care—a Personal Experience Commentary. </w:t>
      </w:r>
      <w:r w:rsidRPr="002254BD">
        <w:rPr>
          <w:rFonts w:ascii="Arial" w:hAnsi="Arial" w:cs="Arial"/>
          <w:i/>
          <w:iCs/>
          <w:sz w:val="22"/>
          <w:szCs w:val="22"/>
        </w:rPr>
        <w:t>Tropical Medicine and Infectious Disease</w:t>
      </w:r>
      <w:r w:rsidRPr="002254BD">
        <w:rPr>
          <w:rFonts w:ascii="Arial" w:hAnsi="Arial" w:cs="Arial"/>
          <w:sz w:val="22"/>
          <w:szCs w:val="22"/>
        </w:rPr>
        <w:t>, [online] 5(1), p.22. </w:t>
      </w:r>
      <w:proofErr w:type="spellStart"/>
      <w:proofErr w:type="gramStart"/>
      <w:r w:rsidRPr="002254BD">
        <w:rPr>
          <w:rFonts w:ascii="Arial" w:hAnsi="Arial" w:cs="Arial"/>
          <w:sz w:val="22"/>
          <w:szCs w:val="22"/>
        </w:rPr>
        <w:t>doi:https</w:t>
      </w:r>
      <w:proofErr w:type="spellEnd"/>
      <w:r w:rsidRPr="002254BD">
        <w:rPr>
          <w:rFonts w:ascii="Arial" w:hAnsi="Arial" w:cs="Arial"/>
          <w:sz w:val="22"/>
          <w:szCs w:val="22"/>
        </w:rPr>
        <w:t>://doi.org/10.3390/tropicalmed5010022</w:t>
      </w:r>
      <w:proofErr w:type="gramEnd"/>
      <w:r w:rsidRPr="002254BD">
        <w:rPr>
          <w:rFonts w:ascii="Arial" w:hAnsi="Arial" w:cs="Arial"/>
          <w:sz w:val="22"/>
          <w:szCs w:val="22"/>
        </w:rPr>
        <w:t>. </w:t>
      </w:r>
    </w:p>
    <w:p w14:paraId="665B63C4" w14:textId="77777777" w:rsidR="0081154B" w:rsidRPr="002254BD" w:rsidRDefault="0081154B" w:rsidP="002254BD">
      <w:pPr>
        <w:spacing w:line="360" w:lineRule="auto"/>
        <w:rPr>
          <w:rFonts w:ascii="Arial" w:hAnsi="Arial" w:cs="Arial"/>
          <w:sz w:val="22"/>
          <w:szCs w:val="22"/>
        </w:rPr>
      </w:pPr>
      <w:proofErr w:type="spellStart"/>
      <w:r w:rsidRPr="002254BD">
        <w:rPr>
          <w:rFonts w:ascii="Arial" w:hAnsi="Arial" w:cs="Arial"/>
          <w:sz w:val="22"/>
          <w:szCs w:val="22"/>
        </w:rPr>
        <w:t>Mathioudakis</w:t>
      </w:r>
      <w:proofErr w:type="spellEnd"/>
      <w:r w:rsidRPr="002254BD">
        <w:rPr>
          <w:rFonts w:ascii="Arial" w:hAnsi="Arial" w:cs="Arial"/>
          <w:sz w:val="22"/>
          <w:szCs w:val="22"/>
        </w:rPr>
        <w:t>, A. (2016). How to Keep Good Clinical Records. </w:t>
      </w:r>
      <w:r w:rsidRPr="002254BD">
        <w:rPr>
          <w:rFonts w:ascii="Arial" w:hAnsi="Arial" w:cs="Arial"/>
          <w:i/>
          <w:iCs/>
          <w:sz w:val="22"/>
          <w:szCs w:val="22"/>
        </w:rPr>
        <w:t>Breathe</w:t>
      </w:r>
      <w:r w:rsidRPr="002254BD">
        <w:rPr>
          <w:rFonts w:ascii="Arial" w:hAnsi="Arial" w:cs="Arial"/>
          <w:sz w:val="22"/>
          <w:szCs w:val="22"/>
        </w:rPr>
        <w:t>, 12(4), pp.369–373. </w:t>
      </w:r>
      <w:proofErr w:type="spellStart"/>
      <w:proofErr w:type="gramStart"/>
      <w:r w:rsidRPr="002254BD">
        <w:rPr>
          <w:rFonts w:ascii="Arial" w:hAnsi="Arial" w:cs="Arial"/>
          <w:sz w:val="22"/>
          <w:szCs w:val="22"/>
        </w:rPr>
        <w:t>doi:https</w:t>
      </w:r>
      <w:proofErr w:type="spellEnd"/>
      <w:r w:rsidRPr="002254BD">
        <w:rPr>
          <w:rFonts w:ascii="Arial" w:hAnsi="Arial" w:cs="Arial"/>
          <w:sz w:val="22"/>
          <w:szCs w:val="22"/>
        </w:rPr>
        <w:t>://doi.org/10.1183/20734735.018016</w:t>
      </w:r>
      <w:proofErr w:type="gramEnd"/>
      <w:r w:rsidRPr="002254BD">
        <w:rPr>
          <w:rFonts w:ascii="Arial" w:hAnsi="Arial" w:cs="Arial"/>
          <w:sz w:val="22"/>
          <w:szCs w:val="22"/>
        </w:rPr>
        <w:t>. </w:t>
      </w:r>
    </w:p>
    <w:p w14:paraId="5B0F4E89"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Meneses-La-Riva, M.E., Fernández-Bedoya, V.H., </w:t>
      </w:r>
      <w:proofErr w:type="spellStart"/>
      <w:r w:rsidRPr="002254BD">
        <w:rPr>
          <w:rFonts w:ascii="Arial" w:hAnsi="Arial" w:cs="Arial"/>
          <w:sz w:val="22"/>
          <w:szCs w:val="22"/>
        </w:rPr>
        <w:t>Suyo</w:t>
      </w:r>
      <w:proofErr w:type="spellEnd"/>
      <w:r w:rsidRPr="002254BD">
        <w:rPr>
          <w:rFonts w:ascii="Arial" w:hAnsi="Arial" w:cs="Arial"/>
          <w:sz w:val="22"/>
          <w:szCs w:val="22"/>
        </w:rPr>
        <w:t>-Vega, J.A., </w:t>
      </w:r>
      <w:proofErr w:type="spellStart"/>
      <w:r w:rsidRPr="002254BD">
        <w:rPr>
          <w:rFonts w:ascii="Arial" w:hAnsi="Arial" w:cs="Arial"/>
          <w:sz w:val="22"/>
          <w:szCs w:val="22"/>
        </w:rPr>
        <w:t>Ocupa</w:t>
      </w:r>
      <w:proofErr w:type="spellEnd"/>
      <w:r w:rsidRPr="002254BD">
        <w:rPr>
          <w:rFonts w:ascii="Arial" w:hAnsi="Arial" w:cs="Arial"/>
          <w:sz w:val="22"/>
          <w:szCs w:val="22"/>
        </w:rPr>
        <w:t>-Cabrera, H.G., Grijalva-Salazar, R.V. and </w:t>
      </w:r>
      <w:proofErr w:type="spellStart"/>
      <w:r w:rsidRPr="002254BD">
        <w:rPr>
          <w:rFonts w:ascii="Arial" w:hAnsi="Arial" w:cs="Arial"/>
          <w:sz w:val="22"/>
          <w:szCs w:val="22"/>
        </w:rPr>
        <w:t>Ocupa</w:t>
      </w:r>
      <w:proofErr w:type="spellEnd"/>
      <w:r w:rsidRPr="002254BD">
        <w:rPr>
          <w:rFonts w:ascii="Arial" w:hAnsi="Arial" w:cs="Arial"/>
          <w:sz w:val="22"/>
          <w:szCs w:val="22"/>
        </w:rPr>
        <w:t xml:space="preserve">-Meneses, G. di D. (2025). Enhancing Healthcare </w:t>
      </w:r>
      <w:r w:rsidRPr="002254BD">
        <w:rPr>
          <w:rFonts w:ascii="Arial" w:hAnsi="Arial" w:cs="Arial"/>
          <w:sz w:val="22"/>
          <w:szCs w:val="22"/>
        </w:rPr>
        <w:lastRenderedPageBreak/>
        <w:t>Efficiency: The Relationship Between Effective Communication and Teamwork Among Nurses in Peru. </w:t>
      </w:r>
      <w:r w:rsidRPr="002254BD">
        <w:rPr>
          <w:rFonts w:ascii="Arial" w:hAnsi="Arial" w:cs="Arial"/>
          <w:i/>
          <w:iCs/>
          <w:sz w:val="22"/>
          <w:szCs w:val="22"/>
        </w:rPr>
        <w:t>Nursing Reports</w:t>
      </w:r>
      <w:r w:rsidRPr="002254BD">
        <w:rPr>
          <w:rFonts w:ascii="Arial" w:hAnsi="Arial" w:cs="Arial"/>
          <w:sz w:val="22"/>
          <w:szCs w:val="22"/>
        </w:rPr>
        <w:t>, [online] 15(2), pp.1–13. </w:t>
      </w:r>
      <w:proofErr w:type="spellStart"/>
      <w:proofErr w:type="gramStart"/>
      <w:r w:rsidRPr="002254BD">
        <w:rPr>
          <w:rFonts w:ascii="Arial" w:hAnsi="Arial" w:cs="Arial"/>
          <w:sz w:val="22"/>
          <w:szCs w:val="22"/>
        </w:rPr>
        <w:t>doi:https</w:t>
      </w:r>
      <w:proofErr w:type="spellEnd"/>
      <w:r w:rsidRPr="002254BD">
        <w:rPr>
          <w:rFonts w:ascii="Arial" w:hAnsi="Arial" w:cs="Arial"/>
          <w:sz w:val="22"/>
          <w:szCs w:val="22"/>
        </w:rPr>
        <w:t>://doi.org/10.3390/nursrep15020059</w:t>
      </w:r>
      <w:proofErr w:type="gramEnd"/>
      <w:r w:rsidRPr="002254BD">
        <w:rPr>
          <w:rFonts w:ascii="Arial" w:hAnsi="Arial" w:cs="Arial"/>
          <w:sz w:val="22"/>
          <w:szCs w:val="22"/>
        </w:rPr>
        <w:t>. </w:t>
      </w:r>
    </w:p>
    <w:p w14:paraId="7544D308"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National Health Service (2024). </w:t>
      </w:r>
      <w:r w:rsidRPr="002254BD">
        <w:rPr>
          <w:rFonts w:ascii="Arial" w:hAnsi="Arial" w:cs="Arial"/>
          <w:i/>
          <w:iCs/>
          <w:sz w:val="22"/>
          <w:szCs w:val="22"/>
        </w:rPr>
        <w:t>Mental Capacity Act - Social Care and Support Guide</w:t>
      </w:r>
      <w:r w:rsidRPr="002254BD">
        <w:rPr>
          <w:rFonts w:ascii="Arial" w:hAnsi="Arial" w:cs="Arial"/>
          <w:sz w:val="22"/>
          <w:szCs w:val="22"/>
        </w:rPr>
        <w:t>. [online] nhs.uk. Available at: https://www.nhs.uk/social-care-and-support/making-decisions-for-someone-else/mental-capacity-act/. </w:t>
      </w:r>
    </w:p>
    <w:p w14:paraId="6C60BE02"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NHS England (2023a). </w:t>
      </w:r>
      <w:r w:rsidRPr="002254BD">
        <w:rPr>
          <w:rFonts w:ascii="Arial" w:hAnsi="Arial" w:cs="Arial"/>
          <w:i/>
          <w:iCs/>
          <w:sz w:val="22"/>
          <w:szCs w:val="22"/>
        </w:rPr>
        <w:t>Good Communication with Patients Waiting for Care</w:t>
      </w:r>
      <w:r w:rsidRPr="002254BD">
        <w:rPr>
          <w:rFonts w:ascii="Arial" w:hAnsi="Arial" w:cs="Arial"/>
          <w:sz w:val="22"/>
          <w:szCs w:val="22"/>
        </w:rPr>
        <w:t>. [online] NHS </w:t>
      </w:r>
      <w:proofErr w:type="spellStart"/>
      <w:r w:rsidRPr="002254BD">
        <w:rPr>
          <w:rFonts w:ascii="Arial" w:hAnsi="Arial" w:cs="Arial"/>
          <w:sz w:val="22"/>
          <w:szCs w:val="22"/>
        </w:rPr>
        <w:t>england</w:t>
      </w:r>
      <w:proofErr w:type="spellEnd"/>
      <w:r w:rsidRPr="002254BD">
        <w:rPr>
          <w:rFonts w:ascii="Arial" w:hAnsi="Arial" w:cs="Arial"/>
          <w:sz w:val="22"/>
          <w:szCs w:val="22"/>
        </w:rPr>
        <w:t>. Available at: https://www.england.nhs.uk/long-read/good-communication-with-patients-waiting-for-care/. </w:t>
      </w:r>
    </w:p>
    <w:p w14:paraId="56664657"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NHS England (2023b). </w:t>
      </w:r>
      <w:r w:rsidRPr="002254BD">
        <w:rPr>
          <w:rFonts w:ascii="Arial" w:hAnsi="Arial" w:cs="Arial"/>
          <w:i/>
          <w:iCs/>
          <w:sz w:val="22"/>
          <w:szCs w:val="22"/>
        </w:rPr>
        <w:t>NHS England» Workforce development framework for care co-ordinators</w:t>
      </w:r>
      <w:r w:rsidRPr="002254BD">
        <w:rPr>
          <w:rFonts w:ascii="Arial" w:hAnsi="Arial" w:cs="Arial"/>
          <w:sz w:val="22"/>
          <w:szCs w:val="22"/>
        </w:rPr>
        <w:t>. [online] www.england.nhs.uk. Available at: https://www.england.nhs.uk/long-read/workforce-development-framework-for-care-co-ordinators/. </w:t>
      </w:r>
    </w:p>
    <w:p w14:paraId="2CA55BF0"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NMC (2024). </w:t>
      </w:r>
      <w:r w:rsidRPr="002254BD">
        <w:rPr>
          <w:rFonts w:ascii="Arial" w:hAnsi="Arial" w:cs="Arial"/>
          <w:i/>
          <w:iCs/>
          <w:sz w:val="22"/>
          <w:szCs w:val="22"/>
        </w:rPr>
        <w:t>Supporting Information for Reflection in Nursing and Midwifery Practice</w:t>
      </w:r>
      <w:r w:rsidRPr="002254BD">
        <w:rPr>
          <w:rFonts w:ascii="Arial" w:hAnsi="Arial" w:cs="Arial"/>
          <w:sz w:val="22"/>
          <w:szCs w:val="22"/>
        </w:rPr>
        <w:t>. [online] </w:t>
      </w:r>
      <w:r w:rsidRPr="002254BD">
        <w:rPr>
          <w:rFonts w:ascii="Arial" w:hAnsi="Arial" w:cs="Arial"/>
          <w:i/>
          <w:iCs/>
          <w:sz w:val="22"/>
          <w:szCs w:val="22"/>
        </w:rPr>
        <w:t>Nursing and Midwifery Council</w:t>
      </w:r>
      <w:r w:rsidRPr="002254BD">
        <w:rPr>
          <w:rFonts w:ascii="Arial" w:hAnsi="Arial" w:cs="Arial"/>
          <w:sz w:val="22"/>
          <w:szCs w:val="22"/>
        </w:rPr>
        <w:t>, Nursing and Midwifery Council, pp.1–10. Available at: https://www.nmc.org.uk/globalassets/sitedocuments/standards/supporting-information-for-reflection-in-nursing-and-midwifery-practice.pdf. </w:t>
      </w:r>
    </w:p>
    <w:p w14:paraId="5EC4C1FB"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Rosen, M.A. (2020). Teamwork in healthcare: Key Discoveries Enabling safer, high-quality care. </w:t>
      </w:r>
      <w:r w:rsidRPr="002254BD">
        <w:rPr>
          <w:rFonts w:ascii="Arial" w:hAnsi="Arial" w:cs="Arial"/>
          <w:i/>
          <w:iCs/>
          <w:sz w:val="22"/>
          <w:szCs w:val="22"/>
        </w:rPr>
        <w:t>American Psychologist</w:t>
      </w:r>
      <w:r w:rsidRPr="002254BD">
        <w:rPr>
          <w:rFonts w:ascii="Arial" w:hAnsi="Arial" w:cs="Arial"/>
          <w:sz w:val="22"/>
          <w:szCs w:val="22"/>
        </w:rPr>
        <w:t>, [online] 73(4), pp.433–450. </w:t>
      </w:r>
      <w:proofErr w:type="spellStart"/>
      <w:proofErr w:type="gramStart"/>
      <w:r w:rsidRPr="002254BD">
        <w:rPr>
          <w:rFonts w:ascii="Arial" w:hAnsi="Arial" w:cs="Arial"/>
          <w:sz w:val="22"/>
          <w:szCs w:val="22"/>
        </w:rPr>
        <w:t>doi:https</w:t>
      </w:r>
      <w:proofErr w:type="spellEnd"/>
      <w:r w:rsidRPr="002254BD">
        <w:rPr>
          <w:rFonts w:ascii="Arial" w:hAnsi="Arial" w:cs="Arial"/>
          <w:sz w:val="22"/>
          <w:szCs w:val="22"/>
        </w:rPr>
        <w:t>://doi.org/10.1037/amp0000298</w:t>
      </w:r>
      <w:proofErr w:type="gramEnd"/>
      <w:r w:rsidRPr="002254BD">
        <w:rPr>
          <w:rFonts w:ascii="Arial" w:hAnsi="Arial" w:cs="Arial"/>
          <w:sz w:val="22"/>
          <w:szCs w:val="22"/>
        </w:rPr>
        <w:t>. </w:t>
      </w:r>
    </w:p>
    <w:p w14:paraId="3D529213"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Social Care Institute for Excellence (2024). </w:t>
      </w:r>
      <w:r w:rsidRPr="002254BD">
        <w:rPr>
          <w:rFonts w:ascii="Arial" w:hAnsi="Arial" w:cs="Arial"/>
          <w:i/>
          <w:iCs/>
          <w:sz w:val="22"/>
          <w:szCs w:val="22"/>
        </w:rPr>
        <w:t>Dignity: Information and Good Communication</w:t>
      </w:r>
      <w:r w:rsidRPr="002254BD">
        <w:rPr>
          <w:rFonts w:ascii="Arial" w:hAnsi="Arial" w:cs="Arial"/>
          <w:sz w:val="22"/>
          <w:szCs w:val="22"/>
        </w:rPr>
        <w:t>. [online] SCIE. Available at: https://www.scie.org.uk/providing-care/dignity-in-care/communication/. </w:t>
      </w:r>
    </w:p>
    <w:p w14:paraId="23BABF37" w14:textId="77777777" w:rsidR="0081154B" w:rsidRPr="002254BD" w:rsidRDefault="0081154B" w:rsidP="002254BD">
      <w:pPr>
        <w:spacing w:line="360" w:lineRule="auto"/>
        <w:rPr>
          <w:rFonts w:ascii="Arial" w:hAnsi="Arial" w:cs="Arial"/>
          <w:sz w:val="22"/>
          <w:szCs w:val="22"/>
        </w:rPr>
      </w:pPr>
      <w:r w:rsidRPr="002254BD">
        <w:rPr>
          <w:rFonts w:ascii="Arial" w:hAnsi="Arial" w:cs="Arial"/>
          <w:sz w:val="22"/>
          <w:szCs w:val="22"/>
        </w:rPr>
        <w:t>UK Government (2025). </w:t>
      </w:r>
      <w:r w:rsidRPr="002254BD">
        <w:rPr>
          <w:rFonts w:ascii="Arial" w:hAnsi="Arial" w:cs="Arial"/>
          <w:i/>
          <w:iCs/>
          <w:sz w:val="22"/>
          <w:szCs w:val="22"/>
        </w:rPr>
        <w:t>Data Protection Act</w:t>
      </w:r>
      <w:r w:rsidRPr="002254BD">
        <w:rPr>
          <w:rFonts w:ascii="Arial" w:hAnsi="Arial" w:cs="Arial"/>
          <w:sz w:val="22"/>
          <w:szCs w:val="22"/>
        </w:rPr>
        <w:t>. [online] Gov.uk. Available at: https://www.gov.uk/data-protection. </w:t>
      </w:r>
    </w:p>
    <w:p w14:paraId="2C6413EA" w14:textId="77777777" w:rsidR="0081154B" w:rsidRPr="002254BD" w:rsidRDefault="0081154B" w:rsidP="002254BD">
      <w:pPr>
        <w:spacing w:line="360" w:lineRule="auto"/>
        <w:rPr>
          <w:rFonts w:ascii="Arial" w:hAnsi="Arial" w:cs="Arial"/>
          <w:sz w:val="22"/>
          <w:szCs w:val="22"/>
        </w:rPr>
      </w:pPr>
    </w:p>
    <w:sectPr w:rsidR="0081154B" w:rsidRPr="002254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5F4CE" w14:textId="77777777" w:rsidR="00680C49" w:rsidRDefault="00680C49">
      <w:pPr>
        <w:spacing w:after="0" w:line="240" w:lineRule="auto"/>
      </w:pPr>
      <w:r>
        <w:separator/>
      </w:r>
    </w:p>
  </w:endnote>
  <w:endnote w:type="continuationSeparator" w:id="0">
    <w:p w14:paraId="1EF6F8B1" w14:textId="77777777" w:rsidR="00680C49" w:rsidRDefault="00680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938E5" w14:textId="77777777" w:rsidR="00680C49" w:rsidRDefault="00680C49">
      <w:pPr>
        <w:spacing w:after="0" w:line="240" w:lineRule="auto"/>
      </w:pPr>
      <w:r>
        <w:separator/>
      </w:r>
    </w:p>
  </w:footnote>
  <w:footnote w:type="continuationSeparator" w:id="0">
    <w:p w14:paraId="6B97E831" w14:textId="77777777" w:rsidR="00680C49" w:rsidRDefault="00680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33F60" w14:textId="77777777" w:rsidR="007C7E57" w:rsidRDefault="007C7E57" w:rsidP="00BE6BE0">
    <w:pPr>
      <w:pStyle w:val="Header"/>
      <w:ind w:left="115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54B"/>
    <w:rsid w:val="001625D0"/>
    <w:rsid w:val="001A4CCD"/>
    <w:rsid w:val="001D5FC6"/>
    <w:rsid w:val="001F362C"/>
    <w:rsid w:val="002254BD"/>
    <w:rsid w:val="003D6666"/>
    <w:rsid w:val="004374E9"/>
    <w:rsid w:val="00482EF6"/>
    <w:rsid w:val="004C54BB"/>
    <w:rsid w:val="0051702F"/>
    <w:rsid w:val="00665CFF"/>
    <w:rsid w:val="00680C49"/>
    <w:rsid w:val="00702747"/>
    <w:rsid w:val="007C7E57"/>
    <w:rsid w:val="0081154B"/>
    <w:rsid w:val="00902217"/>
    <w:rsid w:val="00925AA9"/>
    <w:rsid w:val="009C2B28"/>
    <w:rsid w:val="00BA5D4B"/>
    <w:rsid w:val="00BE6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EE829"/>
  <w15:chartTrackingRefBased/>
  <w15:docId w15:val="{87E25DE2-E6C4-48AC-8A18-BB54F8C13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5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15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15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5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5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5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5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5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5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5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15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15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5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5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5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5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5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54B"/>
    <w:rPr>
      <w:rFonts w:eastAsiaTheme="majorEastAsia" w:cstheme="majorBidi"/>
      <w:color w:val="272727" w:themeColor="text1" w:themeTint="D8"/>
    </w:rPr>
  </w:style>
  <w:style w:type="paragraph" w:styleId="Title">
    <w:name w:val="Title"/>
    <w:basedOn w:val="Normal"/>
    <w:next w:val="Normal"/>
    <w:link w:val="TitleChar"/>
    <w:uiPriority w:val="10"/>
    <w:qFormat/>
    <w:rsid w:val="008115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5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5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5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54B"/>
    <w:pPr>
      <w:spacing w:before="160"/>
      <w:jc w:val="center"/>
    </w:pPr>
    <w:rPr>
      <w:i/>
      <w:iCs/>
      <w:color w:val="404040" w:themeColor="text1" w:themeTint="BF"/>
    </w:rPr>
  </w:style>
  <w:style w:type="character" w:customStyle="1" w:styleId="QuoteChar">
    <w:name w:val="Quote Char"/>
    <w:basedOn w:val="DefaultParagraphFont"/>
    <w:link w:val="Quote"/>
    <w:uiPriority w:val="29"/>
    <w:rsid w:val="0081154B"/>
    <w:rPr>
      <w:i/>
      <w:iCs/>
      <w:color w:val="404040" w:themeColor="text1" w:themeTint="BF"/>
    </w:rPr>
  </w:style>
  <w:style w:type="paragraph" w:styleId="ListParagraph">
    <w:name w:val="List Paragraph"/>
    <w:basedOn w:val="Normal"/>
    <w:uiPriority w:val="34"/>
    <w:qFormat/>
    <w:rsid w:val="0081154B"/>
    <w:pPr>
      <w:ind w:left="720"/>
      <w:contextualSpacing/>
    </w:pPr>
  </w:style>
  <w:style w:type="character" w:styleId="IntenseEmphasis">
    <w:name w:val="Intense Emphasis"/>
    <w:basedOn w:val="DefaultParagraphFont"/>
    <w:uiPriority w:val="21"/>
    <w:qFormat/>
    <w:rsid w:val="0081154B"/>
    <w:rPr>
      <w:i/>
      <w:iCs/>
      <w:color w:val="0F4761" w:themeColor="accent1" w:themeShade="BF"/>
    </w:rPr>
  </w:style>
  <w:style w:type="paragraph" w:styleId="IntenseQuote">
    <w:name w:val="Intense Quote"/>
    <w:basedOn w:val="Normal"/>
    <w:next w:val="Normal"/>
    <w:link w:val="IntenseQuoteChar"/>
    <w:uiPriority w:val="30"/>
    <w:qFormat/>
    <w:rsid w:val="008115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54B"/>
    <w:rPr>
      <w:i/>
      <w:iCs/>
      <w:color w:val="0F4761" w:themeColor="accent1" w:themeShade="BF"/>
    </w:rPr>
  </w:style>
  <w:style w:type="character" w:styleId="IntenseReference">
    <w:name w:val="Intense Reference"/>
    <w:basedOn w:val="DefaultParagraphFont"/>
    <w:uiPriority w:val="32"/>
    <w:qFormat/>
    <w:rsid w:val="0081154B"/>
    <w:rPr>
      <w:b/>
      <w:bCs/>
      <w:smallCaps/>
      <w:color w:val="0F4761" w:themeColor="accent1" w:themeShade="BF"/>
      <w:spacing w:val="5"/>
    </w:rPr>
  </w:style>
  <w:style w:type="paragraph" w:styleId="Header">
    <w:name w:val="header"/>
    <w:basedOn w:val="Normal"/>
    <w:link w:val="HeaderChar"/>
    <w:uiPriority w:val="99"/>
    <w:unhideWhenUsed/>
    <w:rsid w:val="007C7E57"/>
    <w:pPr>
      <w:tabs>
        <w:tab w:val="center" w:pos="4513"/>
        <w:tab w:val="right" w:pos="9026"/>
      </w:tabs>
      <w:spacing w:after="0" w:line="240" w:lineRule="auto"/>
    </w:pPr>
    <w:rPr>
      <w:rFonts w:eastAsiaTheme="minorEastAsia"/>
      <w:kern w:val="0"/>
      <w:sz w:val="22"/>
      <w:szCs w:val="22"/>
      <w:lang w:eastAsia="zh-CN"/>
      <w14:ligatures w14:val="none"/>
    </w:rPr>
  </w:style>
  <w:style w:type="character" w:customStyle="1" w:styleId="HeaderChar">
    <w:name w:val="Header Char"/>
    <w:basedOn w:val="DefaultParagraphFont"/>
    <w:link w:val="Header"/>
    <w:uiPriority w:val="99"/>
    <w:rsid w:val="007C7E57"/>
    <w:rPr>
      <w:rFonts w:eastAsiaTheme="minorEastAsia"/>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D7EF754411A542AFD9DBE8690421D3" ma:contentTypeVersion="5" ma:contentTypeDescription="Create a new document." ma:contentTypeScope="" ma:versionID="ce50fe88e8815a818900747c383f1425">
  <xsd:schema xmlns:xsd="http://www.w3.org/2001/XMLSchema" xmlns:xs="http://www.w3.org/2001/XMLSchema" xmlns:p="http://schemas.microsoft.com/office/2006/metadata/properties" xmlns:ns3="11aa0710-6065-45a4-8555-6680b95a1f9d" targetNamespace="http://schemas.microsoft.com/office/2006/metadata/properties" ma:root="true" ma:fieldsID="e232d1a55c0232c83c098a0f2b103152" ns3:_="">
    <xsd:import namespace="11aa0710-6065-45a4-8555-6680b95a1f9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a0710-6065-45a4-8555-6680b95a1f9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1aa0710-6065-45a4-8555-6680b95a1f9d" xsi:nil="true"/>
  </documentManagement>
</p:properties>
</file>

<file path=customXml/itemProps1.xml><?xml version="1.0" encoding="utf-8"?>
<ds:datastoreItem xmlns:ds="http://schemas.openxmlformats.org/officeDocument/2006/customXml" ds:itemID="{7A86899F-8D7C-4E3B-8419-127C36CEA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a0710-6065-45a4-8555-6680b95a1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53F71D-1334-4F15-A485-6473BF016E9D}">
  <ds:schemaRefs>
    <ds:schemaRef ds:uri="http://schemas.microsoft.com/sharepoint/v3/contenttype/forms"/>
  </ds:schemaRefs>
</ds:datastoreItem>
</file>

<file path=customXml/itemProps3.xml><?xml version="1.0" encoding="utf-8"?>
<ds:datastoreItem xmlns:ds="http://schemas.openxmlformats.org/officeDocument/2006/customXml" ds:itemID="{9549F907-B65A-4638-8F65-2CA791594980}">
  <ds:schemaRefs>
    <ds:schemaRef ds:uri="http://schemas.microsoft.com/office/2006/metadata/properties"/>
    <ds:schemaRef ds:uri="http://schemas.microsoft.com/office/infopath/2007/PartnerControls"/>
    <ds:schemaRef ds:uri="11aa0710-6065-45a4-8555-6680b95a1f9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1768</Words>
  <Characters>10081</Characters>
  <Application>Microsoft Office Word</Application>
  <DocSecurity>0</DocSecurity>
  <Lines>84</Lines>
  <Paragraphs>23</Paragraphs>
  <ScaleCrop>false</ScaleCrop>
  <Company/>
  <LinksUpToDate>false</LinksUpToDate>
  <CharactersWithSpaces>11826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hamilton</dc:creator>
  <cp:keywords/>
  <dc:description/>
  <cp:lastModifiedBy>annette hamilton</cp:lastModifiedBy>
  <cp:revision>2</cp:revision>
  <dcterms:created xsi:type="dcterms:W3CDTF">2026-04-24T07:51:00Z</dcterms:created>
  <dcterms:modified xsi:type="dcterms:W3CDTF">2026-04-24T07:51:00Z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0x0101009CD7EF754411A542AFD9DBE8690421D3</vt:lpwstr>
  </property>
</Properties>
</file>