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2">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3">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4">
      <w:pPr>
        <w:jc w:val="both"/>
        <w:rPr>
          <w:rFonts w:ascii="Tahoma" w:cs="Tahoma" w:eastAsia="Tahoma" w:hAnsi="Tahoma"/>
          <w:b w:val="1"/>
          <w:u w:val="single"/>
        </w:rPr>
      </w:pPr>
      <w:r w:rsidDel="00000000" w:rsidR="00000000" w:rsidRPr="00000000">
        <w:rPr>
          <w:rFonts w:ascii="Tahoma" w:cs="Tahoma" w:eastAsia="Tahoma" w:hAnsi="Tahoma"/>
          <w:b w:val="1"/>
          <w:u w:val="single"/>
          <w:rtl w:val="0"/>
        </w:rPr>
        <w:t xml:space="preserve">LEVEL 4 – Student Journal</w:t>
      </w:r>
    </w:p>
    <w:p w:rsidR="00000000" w:rsidDel="00000000" w:rsidP="00000000" w:rsidRDefault="00000000" w:rsidRPr="00000000" w14:paraId="00000005">
      <w:pPr>
        <w:jc w:val="both"/>
        <w:rPr>
          <w:rFonts w:ascii="Tahoma" w:cs="Tahoma" w:eastAsia="Tahoma" w:hAnsi="Tahoma"/>
          <w:b w:val="1"/>
          <w:u w:val="single"/>
        </w:rPr>
      </w:pPr>
      <w:r w:rsidDel="00000000" w:rsidR="00000000" w:rsidRPr="00000000">
        <w:rPr>
          <w:rtl w:val="0"/>
        </w:rPr>
      </w:r>
    </w:p>
    <w:p w:rsidR="00000000" w:rsidDel="00000000" w:rsidP="00000000" w:rsidRDefault="00000000" w:rsidRPr="00000000" w14:paraId="00000006">
      <w:pPr>
        <w:rPr>
          <w:rFonts w:ascii="Tahoma" w:cs="Tahoma" w:eastAsia="Tahoma" w:hAnsi="Tahoma"/>
          <w:sz w:val="20"/>
          <w:szCs w:val="20"/>
        </w:rPr>
      </w:pPr>
      <w:r w:rsidDel="00000000" w:rsidR="00000000" w:rsidRPr="00000000">
        <w:rPr>
          <w:rtl w:val="0"/>
        </w:rPr>
      </w:r>
    </w:p>
    <w:tbl>
      <w:tblPr>
        <w:tblStyle w:val="Table1"/>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7"/>
        <w:gridCol w:w="7195"/>
        <w:tblGridChange w:id="0">
          <w:tblGrid>
            <w:gridCol w:w="3987"/>
            <w:gridCol w:w="7195"/>
          </w:tblGrid>
        </w:tblGridChange>
      </w:tblGrid>
      <w:tr>
        <w:trPr>
          <w:cantSplit w:val="0"/>
          <w:tblHeader w:val="0"/>
        </w:trPr>
        <w:tc>
          <w:tcPr>
            <w:shd w:fill="8db3e2" w:val="clear"/>
          </w:tcPr>
          <w:p w:rsidR="00000000" w:rsidDel="00000000" w:rsidP="00000000" w:rsidRDefault="00000000" w:rsidRPr="00000000" w14:paraId="00000007">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Name: Urszula Anna Joniak</w:t>
            </w:r>
          </w:p>
          <w:p w:rsidR="00000000" w:rsidDel="00000000" w:rsidP="00000000" w:rsidRDefault="00000000" w:rsidRPr="00000000" w14:paraId="00000008">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09">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Student Number: 2026294</w:t>
            </w:r>
          </w:p>
          <w:p w:rsidR="00000000" w:rsidDel="00000000" w:rsidP="00000000" w:rsidRDefault="00000000" w:rsidRPr="00000000" w14:paraId="0000000A">
            <w:pPr>
              <w:rPr>
                <w:rFonts w:ascii="Tahoma" w:cs="Tahoma" w:eastAsia="Tahoma" w:hAnsi="Tahoma"/>
                <w:b w:val="1"/>
                <w:sz w:val="20"/>
                <w:szCs w:val="20"/>
              </w:rPr>
            </w:pPr>
            <w:r w:rsidDel="00000000" w:rsidR="00000000" w:rsidRPr="00000000">
              <w:rPr>
                <w:rtl w:val="0"/>
              </w:rPr>
            </w:r>
          </w:p>
        </w:tc>
        <w:tc>
          <w:tcPr>
            <w:shd w:fill="8db3e2" w:val="clear"/>
          </w:tcPr>
          <w:p w:rsidR="00000000" w:rsidDel="00000000" w:rsidP="00000000" w:rsidRDefault="00000000" w:rsidRPr="00000000" w14:paraId="0000000B">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Module:  Hotel Placement - Food &amp; Beverage Operations (BMIH 4002)</w:t>
            </w:r>
          </w:p>
          <w:p w:rsidR="00000000" w:rsidDel="00000000" w:rsidP="00000000" w:rsidRDefault="00000000" w:rsidRPr="00000000" w14:paraId="0000000C">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0D">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Lecturer:  Mary Needham</w:t>
            </w:r>
          </w:p>
        </w:tc>
      </w:tr>
    </w:tbl>
    <w:p w:rsidR="00000000" w:rsidDel="00000000" w:rsidP="00000000" w:rsidRDefault="00000000" w:rsidRPr="00000000" w14:paraId="0000000E">
      <w:pPr>
        <w:rPr>
          <w:rFonts w:ascii="Tahoma" w:cs="Tahoma" w:eastAsia="Tahoma" w:hAnsi="Tahoma"/>
          <w:sz w:val="20"/>
          <w:szCs w:val="20"/>
        </w:rPr>
      </w:pPr>
      <w:r w:rsidDel="00000000" w:rsidR="00000000" w:rsidRPr="00000000">
        <w:rPr>
          <w:rtl w:val="0"/>
        </w:rPr>
      </w:r>
    </w:p>
    <w:tbl>
      <w:tblPr>
        <w:tblStyle w:val="Table2"/>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983"/>
        <w:gridCol w:w="7199"/>
        <w:tblGridChange w:id="0">
          <w:tblGrid>
            <w:gridCol w:w="3983"/>
            <w:gridCol w:w="7199"/>
          </w:tblGrid>
        </w:tblGridChange>
      </w:tblGrid>
      <w:tr>
        <w:trPr>
          <w:cantSplit w:val="0"/>
          <w:tblHeader w:val="0"/>
        </w:trPr>
        <w:tc>
          <w:tcPr>
            <w:shd w:fill="fbd5b5" w:val="clear"/>
          </w:tcPr>
          <w:p w:rsidR="00000000" w:rsidDel="00000000" w:rsidP="00000000" w:rsidRDefault="00000000" w:rsidRPr="00000000" w14:paraId="0000000F">
            <w:pPr>
              <w:spacing w:line="480" w:lineRule="auto"/>
              <w:jc w:val="both"/>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Topic of choice: Allergies and Intolerances and the importance within the industry</w:t>
            </w:r>
          </w:p>
        </w:tc>
        <w:tc>
          <w:tcPr>
            <w:shd w:fill="fbd5b5" w:val="clear"/>
          </w:tcPr>
          <w:p w:rsidR="00000000" w:rsidDel="00000000" w:rsidP="00000000" w:rsidRDefault="00000000" w:rsidRPr="00000000" w14:paraId="00000010">
            <w:pP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1">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12">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13">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14">
            <w:pPr>
              <w:spacing w:after="240" w:line="480" w:lineRule="auto"/>
              <w:jc w:val="both"/>
              <w:rPr/>
            </w:pPr>
            <w:r w:rsidDel="00000000" w:rsidR="00000000" w:rsidRPr="00000000">
              <w:rPr>
                <w:b w:val="1"/>
                <w:rtl w:val="0"/>
              </w:rPr>
              <w:t xml:space="preserve">Summary</w:t>
            </w:r>
            <w:r w:rsidDel="00000000" w:rsidR="00000000" w:rsidRPr="00000000">
              <w:rPr>
                <w:rtl w:val="0"/>
              </w:rPr>
            </w:r>
          </w:p>
          <w:p w:rsidR="00000000" w:rsidDel="00000000" w:rsidP="00000000" w:rsidRDefault="00000000" w:rsidRPr="00000000" w14:paraId="00000015">
            <w:pPr>
              <w:spacing w:after="240" w:before="240" w:line="480" w:lineRule="auto"/>
              <w:jc w:val="both"/>
              <w:rPr/>
            </w:pPr>
            <w:r w:rsidDel="00000000" w:rsidR="00000000" w:rsidRPr="00000000">
              <w:rPr>
                <w:rtl w:val="0"/>
              </w:rPr>
              <w:t xml:space="preserve">Allergies and intolerance and their importance within the hotel management industry was the topic of the study. From the study, I have learnt that in the hotel management and foodservice industry, there are a number of people who come across different types of common food allergies and intolerances. Most of these intolerances and allergies include peanut allergy, gluten intolerance and lactose intolerance (</w:t>
            </w:r>
            <w:r w:rsidDel="00000000" w:rsidR="00000000" w:rsidRPr="00000000">
              <w:rPr>
                <w:color w:val="222222"/>
                <w:highlight w:val="white"/>
                <w:rtl w:val="0"/>
              </w:rPr>
              <w:t xml:space="preserve">Jankovic et al., 2019</w:t>
            </w:r>
            <w:r w:rsidDel="00000000" w:rsidR="00000000" w:rsidRPr="00000000">
              <w:rPr>
                <w:rtl w:val="0"/>
              </w:rPr>
              <w:t xml:space="preserve">). It has been studied that there can be different types of reasons and causes behind common food allergies even if they have similar types of symptoms. </w:t>
            </w:r>
          </w:p>
          <w:p w:rsidR="00000000" w:rsidDel="00000000" w:rsidP="00000000" w:rsidRDefault="00000000" w:rsidRPr="00000000" w14:paraId="00000016">
            <w:pPr>
              <w:spacing w:after="240" w:before="240" w:line="480" w:lineRule="auto"/>
              <w:jc w:val="both"/>
              <w:rPr/>
            </w:pPr>
            <w:r w:rsidDel="00000000" w:rsidR="00000000" w:rsidRPr="00000000">
              <w:rPr>
                <w:b w:val="1"/>
                <w:rtl w:val="0"/>
              </w:rPr>
              <w:t xml:space="preserve">What has been learnt?</w:t>
            </w:r>
            <w:r w:rsidDel="00000000" w:rsidR="00000000" w:rsidRPr="00000000">
              <w:rPr>
                <w:rtl w:val="0"/>
              </w:rPr>
            </w:r>
          </w:p>
          <w:p w:rsidR="00000000" w:rsidDel="00000000" w:rsidP="00000000" w:rsidRDefault="00000000" w:rsidRPr="00000000" w14:paraId="00000017">
            <w:pPr>
              <w:spacing w:after="240" w:before="240" w:line="480" w:lineRule="auto"/>
              <w:jc w:val="both"/>
              <w:rPr/>
            </w:pPr>
            <w:r w:rsidDel="00000000" w:rsidR="00000000" w:rsidRPr="00000000">
              <w:rPr>
                <w:rtl w:val="0"/>
              </w:rPr>
              <w:t xml:space="preserve">I have been able to understand that food tolerance usually occurs among individuals and their body is not able to digest certain forms of elements that are present in the food on the other hand food allergies occur when the immune system of the body responds negatively to a particular food. It has further been learnt in the study that it is important for the hotel management industry to focus on the allergies and intolerance of the consumers as well as the employees while developing the services because if a particular consumer experience is allergies or intolerance due to the services of products, it can bring down the reputation of the brand for the consumer (</w:t>
            </w:r>
            <w:r w:rsidDel="00000000" w:rsidR="00000000" w:rsidRPr="00000000">
              <w:rPr>
                <w:color w:val="222222"/>
                <w:highlight w:val="white"/>
                <w:rtl w:val="0"/>
              </w:rPr>
              <w:t xml:space="preserve">LOKMAN and AKOĞLU, 2022</w:t>
            </w:r>
            <w:r w:rsidDel="00000000" w:rsidR="00000000" w:rsidRPr="00000000">
              <w:rPr>
                <w:rtl w:val="0"/>
              </w:rPr>
              <w:t xml:space="preserve">). In addition to this, it is also important for the hotel management companies to focus on the health safety of the consumers and employees and hence as reasoning tolerances are required to be focused.</w:t>
            </w:r>
          </w:p>
          <w:p w:rsidR="00000000" w:rsidDel="00000000" w:rsidP="00000000" w:rsidRDefault="00000000" w:rsidRPr="00000000" w14:paraId="00000018">
            <w:pPr>
              <w:spacing w:after="240" w:before="240" w:line="480" w:lineRule="auto"/>
              <w:jc w:val="both"/>
              <w:rPr/>
            </w:pPr>
            <w:r w:rsidDel="00000000" w:rsidR="00000000" w:rsidRPr="00000000">
              <w:rPr>
                <w:b w:val="1"/>
                <w:rtl w:val="0"/>
              </w:rPr>
              <w:t xml:space="preserve">New skills and knowledge learnt</w:t>
            </w:r>
            <w:r w:rsidDel="00000000" w:rsidR="00000000" w:rsidRPr="00000000">
              <w:rPr>
                <w:rtl w:val="0"/>
              </w:rPr>
            </w:r>
          </w:p>
          <w:p w:rsidR="00000000" w:rsidDel="00000000" w:rsidP="00000000" w:rsidRDefault="00000000" w:rsidRPr="00000000" w14:paraId="00000019">
            <w:pPr>
              <w:spacing w:after="240" w:before="240" w:line="480" w:lineRule="auto"/>
              <w:jc w:val="both"/>
              <w:rPr/>
            </w:pPr>
            <w:r w:rsidDel="00000000" w:rsidR="00000000" w:rsidRPr="00000000">
              <w:rPr>
                <w:rtl w:val="0"/>
              </w:rPr>
              <w:t xml:space="preserve">In the study, it has been learnt that in order to provide importance to allergies and intolerance and ensure that the consumers and the employees are not impacted by any aspect within the organisation, there can be certain ways in which allergies and intolerance can be mitigated (</w:t>
            </w:r>
            <w:r w:rsidDel="00000000" w:rsidR="00000000" w:rsidRPr="00000000">
              <w:rPr>
                <w:color w:val="222222"/>
                <w:highlight w:val="white"/>
                <w:rtl w:val="0"/>
              </w:rPr>
              <w:t xml:space="preserve">Lee and Liu, 2021</w:t>
            </w:r>
            <w:r w:rsidDel="00000000" w:rsidR="00000000" w:rsidRPr="00000000">
              <w:rPr>
                <w:rtl w:val="0"/>
              </w:rPr>
              <w:t xml:space="preserve">). The first knowledge regarding the management of allergy risk is to provide detailed standardized recipes along with a list of possible allergens. This can help the consumers in checking whether the product that they are ordering does not include any possible allergens that can risk their health. I have also acquired knowledge regarding the ways in which the kitchen and other areas of the hotel Management services must be kept clean, organised, and tidy to make sure that the health and safety of the consumers and the employees are not compromised. At times, certain ingredients that are required to prepare the food also causes allergies and intolerance among the consumers and therefore it is important for the hotel management to keep accurate details regarding the ingredients that have been used for preparing the food as well pre-packed food (</w:t>
            </w:r>
            <w:r w:rsidDel="00000000" w:rsidR="00000000" w:rsidRPr="00000000">
              <w:rPr>
                <w:color w:val="222222"/>
                <w:highlight w:val="white"/>
                <w:rtl w:val="0"/>
              </w:rPr>
              <w:t xml:space="preserve">Bryan Endres et al., 2021</w:t>
            </w:r>
            <w:r w:rsidDel="00000000" w:rsidR="00000000" w:rsidRPr="00000000">
              <w:rPr>
                <w:rtl w:val="0"/>
              </w:rPr>
              <w:t xml:space="preserve">). </w:t>
            </w:r>
          </w:p>
          <w:p w:rsidR="00000000" w:rsidDel="00000000" w:rsidP="00000000" w:rsidRDefault="00000000" w:rsidRPr="00000000" w14:paraId="0000001A">
            <w:pPr>
              <w:spacing w:after="240" w:before="240" w:line="480" w:lineRule="auto"/>
              <w:jc w:val="both"/>
              <w:rPr/>
            </w:pPr>
            <w:r w:rsidDel="00000000" w:rsidR="00000000" w:rsidRPr="00000000">
              <w:rPr>
                <w:b w:val="1"/>
                <w:rtl w:val="0"/>
              </w:rPr>
              <w:t xml:space="preserve">Application of the knowledge in future</w:t>
            </w:r>
            <w:r w:rsidDel="00000000" w:rsidR="00000000" w:rsidRPr="00000000">
              <w:rPr>
                <w:rtl w:val="0"/>
              </w:rPr>
            </w:r>
          </w:p>
          <w:p w:rsidR="00000000" w:rsidDel="00000000" w:rsidP="00000000" w:rsidRDefault="00000000" w:rsidRPr="00000000" w14:paraId="0000001B">
            <w:pPr>
              <w:spacing w:after="240" w:before="240" w:line="480" w:lineRule="auto"/>
              <w:jc w:val="both"/>
              <w:rPr/>
            </w:pPr>
            <w:r w:rsidDel="00000000" w:rsidR="00000000" w:rsidRPr="00000000">
              <w:rPr>
                <w:rtl w:val="0"/>
              </w:rPr>
              <w:t xml:space="preserve">In future, when I will be working in an International Hotel Management Company, the knowledge that I have gained from the study will help me in making sure that my services can be efficient in ensuring the safety of the consumers. It is important to ensure that the services and the areas that are related to the services are kept clean and tidy (</w:t>
            </w:r>
            <w:r w:rsidDel="00000000" w:rsidR="00000000" w:rsidRPr="00000000">
              <w:rPr>
                <w:color w:val="222222"/>
                <w:highlight w:val="white"/>
                <w:rtl w:val="0"/>
              </w:rPr>
              <w:t xml:space="preserve">Eren et al., 2021</w:t>
            </w:r>
            <w:r w:rsidDel="00000000" w:rsidR="00000000" w:rsidRPr="00000000">
              <w:rPr>
                <w:rtl w:val="0"/>
              </w:rPr>
              <w:t xml:space="preserve">). The study has provided me with the knowledge of how to ensure this particular aspect that can help me in future to conduct my job in the Hotel Management industry. </w:t>
            </w:r>
          </w:p>
          <w:p w:rsidR="00000000" w:rsidDel="00000000" w:rsidP="00000000" w:rsidRDefault="00000000" w:rsidRPr="00000000" w14:paraId="0000001C">
            <w:pPr>
              <w:spacing w:after="240" w:before="240" w:line="480" w:lineRule="auto"/>
              <w:jc w:val="both"/>
              <w:rPr/>
            </w:pPr>
            <w:r w:rsidDel="00000000" w:rsidR="00000000" w:rsidRPr="00000000">
              <w:rPr>
                <w:b w:val="1"/>
                <w:rtl w:val="0"/>
              </w:rPr>
              <w:t xml:space="preserve">Personal reflection</w:t>
            </w:r>
            <w:r w:rsidDel="00000000" w:rsidR="00000000" w:rsidRPr="00000000">
              <w:rPr>
                <w:rtl w:val="0"/>
              </w:rPr>
            </w:r>
          </w:p>
          <w:p w:rsidR="00000000" w:rsidDel="00000000" w:rsidP="00000000" w:rsidRDefault="00000000" w:rsidRPr="00000000" w14:paraId="0000001D">
            <w:pPr>
              <w:spacing w:after="240" w:before="240" w:line="480" w:lineRule="auto"/>
              <w:jc w:val="both"/>
              <w:rPr/>
            </w:pPr>
            <w:r w:rsidDel="00000000" w:rsidR="00000000" w:rsidRPr="00000000">
              <w:rPr>
                <w:rtl w:val="0"/>
              </w:rPr>
              <w:t xml:space="preserve">I believe that the study is highly important for me as well as for the hotel management industry because it is the responsibility of the industry to ensure the health and safety of the consumers. In addition to this I also believe that it is important for me because in future when I will be working for an international hotel Management organisation, I will be able to apply the knowledge that I have gained with which it will be possible for the company to avoid the risk of allergies and intolerance within the services and product of the organisation. </w:t>
            </w:r>
          </w:p>
          <w:p w:rsidR="00000000" w:rsidDel="00000000" w:rsidP="00000000" w:rsidRDefault="00000000" w:rsidRPr="00000000" w14:paraId="0000001E">
            <w:pPr>
              <w:spacing w:after="240" w:before="240" w:line="480" w:lineRule="auto"/>
              <w:jc w:val="both"/>
              <w:rPr/>
            </w:pPr>
            <w:r w:rsidDel="00000000" w:rsidR="00000000" w:rsidRPr="00000000">
              <w:rPr>
                <w:b w:val="1"/>
                <w:rtl w:val="0"/>
              </w:rPr>
              <w:t xml:space="preserve">Conclusion</w:t>
            </w:r>
            <w:r w:rsidDel="00000000" w:rsidR="00000000" w:rsidRPr="00000000">
              <w:rPr>
                <w:rtl w:val="0"/>
              </w:rPr>
            </w:r>
          </w:p>
          <w:p w:rsidR="00000000" w:rsidDel="00000000" w:rsidP="00000000" w:rsidRDefault="00000000" w:rsidRPr="00000000" w14:paraId="0000001F">
            <w:pPr>
              <w:spacing w:after="240" w:before="240" w:line="480" w:lineRule="auto"/>
              <w:jc w:val="both"/>
              <w:rPr/>
            </w:pPr>
            <w:r w:rsidDel="00000000" w:rsidR="00000000" w:rsidRPr="00000000">
              <w:rPr>
                <w:rtl w:val="0"/>
              </w:rPr>
              <w:t xml:space="preserve">From the overall discussion, it can be concluded that allergies and tolerances that consumers experience in the hotel management industry due to the food product is important to be mitigated because it can bring down the reputation of the brand and create a health risk for the consumers. There can be different ways in which the allergy risk can be managed in hotel management organisations and this study has provided me with the knowledge regarding those ways to manage the risk. The study can be significant for my future because it will help me in ensuring efficient service when I will be working with a hotel management organisation that works for providing high quality and safe products and services to the consumers. </w:t>
            </w:r>
          </w:p>
          <w:p w:rsidR="00000000" w:rsidDel="00000000" w:rsidP="00000000" w:rsidRDefault="00000000" w:rsidRPr="00000000" w14:paraId="00000020">
            <w:pPr>
              <w:spacing w:after="240" w:before="240" w:line="480" w:lineRule="auto"/>
              <w:jc w:val="both"/>
              <w:rPr/>
            </w:pPr>
            <w:r w:rsidDel="00000000" w:rsidR="00000000" w:rsidRPr="00000000">
              <w:rPr>
                <w:rtl w:val="0"/>
              </w:rPr>
            </w:r>
          </w:p>
          <w:p w:rsidR="00000000" w:rsidDel="00000000" w:rsidP="00000000" w:rsidRDefault="00000000" w:rsidRPr="00000000" w14:paraId="0000002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4">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5">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6">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7">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8">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9">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A">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B">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C">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D">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E">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2F">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0">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1">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2">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3">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4">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5">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6">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7">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8">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9">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A">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B">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C">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D">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E">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3F">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0">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1">
            <w:pPr>
              <w:jc w:val="both"/>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2">
            <w:pPr>
              <w:jc w:val="both"/>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44">
      <w:pPr>
        <w:rPr>
          <w:rFonts w:ascii="Tahoma" w:cs="Tahoma" w:eastAsia="Tahoma" w:hAnsi="Tahoma"/>
          <w:b w:val="1"/>
        </w:rPr>
      </w:pPr>
      <w:r w:rsidDel="00000000" w:rsidR="00000000" w:rsidRPr="00000000">
        <w:rPr>
          <w:rtl w:val="0"/>
        </w:rPr>
      </w:r>
    </w:p>
    <w:tbl>
      <w:tblPr>
        <w:tblStyle w:val="Table3"/>
        <w:tblW w:w="11182.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10910"/>
        <w:gridCol w:w="272"/>
        <w:tblGridChange w:id="0">
          <w:tblGrid>
            <w:gridCol w:w="10910"/>
            <w:gridCol w:w="272"/>
          </w:tblGrid>
        </w:tblGridChange>
      </w:tblGrid>
      <w:tr>
        <w:trPr>
          <w:cantSplit w:val="0"/>
          <w:tblHeader w:val="0"/>
        </w:trPr>
        <w:tc>
          <w:tcPr>
            <w:shd w:fill="fbd5b5" w:val="clear"/>
          </w:tcPr>
          <w:p w:rsidR="00000000" w:rsidDel="00000000" w:rsidP="00000000" w:rsidRDefault="00000000" w:rsidRPr="00000000" w14:paraId="00000045">
            <w:pPr>
              <w:rPr>
                <w:rFonts w:ascii="Tahoma" w:cs="Tahoma" w:eastAsia="Tahoma" w:hAnsi="Tahoma"/>
                <w:b w:val="1"/>
                <w:sz w:val="20"/>
                <w:szCs w:val="20"/>
              </w:rPr>
            </w:pPr>
            <w:r w:rsidDel="00000000" w:rsidR="00000000" w:rsidRPr="00000000">
              <w:rPr>
                <w:rFonts w:ascii="Tahoma" w:cs="Tahoma" w:eastAsia="Tahoma" w:hAnsi="Tahoma"/>
                <w:b w:val="1"/>
                <w:sz w:val="20"/>
                <w:szCs w:val="20"/>
                <w:rtl w:val="0"/>
              </w:rPr>
              <w:t xml:space="preserve">REFERENCE LIST (not included in word count)</w:t>
            </w:r>
          </w:p>
        </w:tc>
        <w:tc>
          <w:tcPr>
            <w:shd w:fill="fbd5b5" w:val="clear"/>
          </w:tcPr>
          <w:p w:rsidR="00000000" w:rsidDel="00000000" w:rsidP="00000000" w:rsidRDefault="00000000" w:rsidRPr="00000000" w14:paraId="00000046">
            <w:pPr>
              <w:jc w:val="center"/>
              <w:rPr>
                <w:rFonts w:ascii="Tahoma" w:cs="Tahoma" w:eastAsia="Tahoma" w:hAnsi="Tahoma"/>
                <w:b w:val="1"/>
                <w:sz w:val="20"/>
                <w:szCs w:val="20"/>
              </w:rPr>
            </w:pPr>
            <w:r w:rsidDel="00000000" w:rsidR="00000000" w:rsidRPr="00000000">
              <w:rPr>
                <w:rtl w:val="0"/>
              </w:rPr>
            </w:r>
          </w:p>
          <w:p w:rsidR="00000000" w:rsidDel="00000000" w:rsidP="00000000" w:rsidRDefault="00000000" w:rsidRPr="00000000" w14:paraId="00000047">
            <w:pPr>
              <w:jc w:val="center"/>
              <w:rPr>
                <w:rFonts w:ascii="Tahoma" w:cs="Tahoma" w:eastAsia="Tahoma" w:hAnsi="Tahoma"/>
                <w:b w:val="1"/>
                <w:sz w:val="20"/>
                <w:szCs w:val="20"/>
              </w:rPr>
            </w:pPr>
            <w:r w:rsidDel="00000000" w:rsidR="00000000" w:rsidRPr="00000000">
              <w:rPr>
                <w:rtl w:val="0"/>
              </w:rPr>
            </w:r>
          </w:p>
        </w:tc>
      </w:tr>
      <w:tr>
        <w:trPr>
          <w:cantSplit w:val="0"/>
          <w:trHeight w:val="2494" w:hRule="atLeast"/>
          <w:tblHeader w:val="0"/>
        </w:trPr>
        <w:tc>
          <w:tcPr>
            <w:gridSpan w:val="2"/>
          </w:tcPr>
          <w:p w:rsidR="00000000" w:rsidDel="00000000" w:rsidP="00000000" w:rsidRDefault="00000000" w:rsidRPr="00000000" w14:paraId="00000048">
            <w:pPr>
              <w:rPr>
                <w:rFonts w:ascii="Tahoma" w:cs="Tahoma" w:eastAsia="Tahoma" w:hAnsi="Tahoma"/>
                <w:sz w:val="20"/>
                <w:szCs w:val="20"/>
              </w:rPr>
            </w:pPr>
            <w:r w:rsidDel="00000000" w:rsidR="00000000" w:rsidRPr="00000000">
              <w:rPr>
                <w:rtl w:val="0"/>
              </w:rPr>
            </w:r>
          </w:p>
          <w:p w:rsidR="00000000" w:rsidDel="00000000" w:rsidP="00000000" w:rsidRDefault="00000000" w:rsidRPr="00000000" w14:paraId="00000049">
            <w:pPr>
              <w:spacing w:line="480" w:lineRule="auto"/>
              <w:jc w:val="both"/>
              <w:rPr>
                <w:color w:val="222222"/>
                <w:highlight w:val="white"/>
              </w:rPr>
            </w:pPr>
            <w:r w:rsidDel="00000000" w:rsidR="00000000" w:rsidRPr="00000000">
              <w:rPr>
                <w:color w:val="222222"/>
                <w:highlight w:val="white"/>
                <w:rtl w:val="0"/>
              </w:rPr>
              <w:t xml:space="preserve">Bryan Endres, A., Endres, R. and Nižić, M.K., (2021). Restaurant disclosure of food allergens: Analysis and economic implications. </w:t>
            </w:r>
            <w:r w:rsidDel="00000000" w:rsidR="00000000" w:rsidRPr="00000000">
              <w:rPr>
                <w:i w:val="1"/>
                <w:color w:val="222222"/>
                <w:highlight w:val="white"/>
                <w:rtl w:val="0"/>
              </w:rPr>
              <w:t xml:space="preserve">Tourism and Hospitality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21</w:t>
            </w:r>
            <w:r w:rsidDel="00000000" w:rsidR="00000000" w:rsidRPr="00000000">
              <w:rPr>
                <w:color w:val="222222"/>
                <w:highlight w:val="white"/>
                <w:rtl w:val="0"/>
              </w:rPr>
              <w:t xml:space="preserve">(2), pp.202-215.</w:t>
            </w:r>
          </w:p>
          <w:p w:rsidR="00000000" w:rsidDel="00000000" w:rsidP="00000000" w:rsidRDefault="00000000" w:rsidRPr="00000000" w14:paraId="0000004A">
            <w:pPr>
              <w:spacing w:line="480" w:lineRule="auto"/>
              <w:jc w:val="both"/>
              <w:rPr>
                <w:color w:val="222222"/>
                <w:highlight w:val="white"/>
              </w:rPr>
            </w:pPr>
            <w:r w:rsidDel="00000000" w:rsidR="00000000" w:rsidRPr="00000000">
              <w:rPr>
                <w:color w:val="222222"/>
                <w:highlight w:val="white"/>
                <w:rtl w:val="0"/>
              </w:rPr>
              <w:t xml:space="preserve">Eren, R., Çetin, M., Eren, A. and Çetin, K., (2021). Food allergy knowledge, attitude, and practices of chefs in resort hotels in Turkey. </w:t>
            </w:r>
            <w:r w:rsidDel="00000000" w:rsidR="00000000" w:rsidRPr="00000000">
              <w:rPr>
                <w:i w:val="1"/>
                <w:color w:val="222222"/>
                <w:highlight w:val="white"/>
                <w:rtl w:val="0"/>
              </w:rPr>
              <w:t xml:space="preserve">International Journal of Gastronomy and Food Science</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24</w:t>
            </w:r>
            <w:r w:rsidDel="00000000" w:rsidR="00000000" w:rsidRPr="00000000">
              <w:rPr>
                <w:color w:val="222222"/>
                <w:highlight w:val="white"/>
                <w:rtl w:val="0"/>
              </w:rPr>
              <w:t xml:space="preserve">, p.100345.</w:t>
            </w:r>
          </w:p>
          <w:p w:rsidR="00000000" w:rsidDel="00000000" w:rsidP="00000000" w:rsidRDefault="00000000" w:rsidRPr="00000000" w14:paraId="0000004B">
            <w:pPr>
              <w:spacing w:line="480" w:lineRule="auto"/>
              <w:jc w:val="both"/>
              <w:rPr>
                <w:color w:val="222222"/>
                <w:highlight w:val="white"/>
              </w:rPr>
            </w:pPr>
            <w:r w:rsidDel="00000000" w:rsidR="00000000" w:rsidRPr="00000000">
              <w:rPr>
                <w:color w:val="222222"/>
                <w:highlight w:val="white"/>
                <w:rtl w:val="0"/>
              </w:rPr>
              <w:t xml:space="preserve">Jankovic, V.V., Raljic, J.P., Mitrovic, R.R., Velebit, B.M., Lakicevic, B.Z. and Milojevic, L.Z., (2019), September. Managing allergies in food service. In </w:t>
            </w:r>
            <w:r w:rsidDel="00000000" w:rsidR="00000000" w:rsidRPr="00000000">
              <w:rPr>
                <w:i w:val="1"/>
                <w:color w:val="222222"/>
                <w:highlight w:val="white"/>
                <w:rtl w:val="0"/>
              </w:rPr>
              <w:t xml:space="preserve">IOP Conference Series: Earth and Environmental Science</w:t>
            </w:r>
            <w:r w:rsidDel="00000000" w:rsidR="00000000" w:rsidRPr="00000000">
              <w:rPr>
                <w:color w:val="222222"/>
                <w:highlight w:val="white"/>
                <w:rtl w:val="0"/>
              </w:rPr>
              <w:t xml:space="preserve"> (Vol. 333, No. 1, p. 012040). IOP Publishing.</w:t>
            </w:r>
          </w:p>
          <w:p w:rsidR="00000000" w:rsidDel="00000000" w:rsidP="00000000" w:rsidRDefault="00000000" w:rsidRPr="00000000" w14:paraId="0000004C">
            <w:pPr>
              <w:spacing w:line="480" w:lineRule="auto"/>
              <w:jc w:val="both"/>
              <w:rPr/>
            </w:pPr>
            <w:r w:rsidDel="00000000" w:rsidR="00000000" w:rsidRPr="00000000">
              <w:rPr>
                <w:color w:val="222222"/>
                <w:highlight w:val="white"/>
                <w:rtl w:val="0"/>
              </w:rPr>
              <w:t xml:space="preserve">Lee, S. and Liu, P., (2021). Food intolerance or food allergy? exploring food safety practices among campus foodservice employees. </w:t>
            </w:r>
            <w:r w:rsidDel="00000000" w:rsidR="00000000" w:rsidRPr="00000000">
              <w:rPr>
                <w:i w:val="1"/>
                <w:color w:val="222222"/>
                <w:highlight w:val="white"/>
                <w:rtl w:val="0"/>
              </w:rPr>
              <w:t xml:space="preserve">Journal of Foodservice Business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24</w:t>
            </w:r>
            <w:r w:rsidDel="00000000" w:rsidR="00000000" w:rsidRPr="00000000">
              <w:rPr>
                <w:color w:val="222222"/>
                <w:highlight w:val="white"/>
                <w:rtl w:val="0"/>
              </w:rPr>
              <w:t xml:space="preserve">(6), pp.665-682.</w:t>
            </w:r>
            <w:r w:rsidDel="00000000" w:rsidR="00000000" w:rsidRPr="00000000">
              <w:rPr>
                <w:rtl w:val="0"/>
              </w:rPr>
            </w:r>
          </w:p>
          <w:p w:rsidR="00000000" w:rsidDel="00000000" w:rsidP="00000000" w:rsidRDefault="00000000" w:rsidRPr="00000000" w14:paraId="0000004D">
            <w:pPr>
              <w:spacing w:line="480" w:lineRule="auto"/>
              <w:jc w:val="both"/>
              <w:rPr>
                <w:color w:val="222222"/>
                <w:highlight w:val="white"/>
              </w:rPr>
            </w:pPr>
            <w:r w:rsidDel="00000000" w:rsidR="00000000" w:rsidRPr="00000000">
              <w:rPr>
                <w:color w:val="222222"/>
                <w:highlight w:val="white"/>
                <w:rtl w:val="0"/>
              </w:rPr>
              <w:t xml:space="preserve">LOKMAN, U. and AKOĞLU, A., (2022). Food allergy knowledge, attitudes, and practices of food handlers working in the five-star hotel kitchens in Turkey. </w:t>
            </w:r>
            <w:r w:rsidDel="00000000" w:rsidR="00000000" w:rsidRPr="00000000">
              <w:rPr>
                <w:i w:val="1"/>
                <w:color w:val="222222"/>
                <w:highlight w:val="white"/>
                <w:rtl w:val="0"/>
              </w:rPr>
              <w:t xml:space="preserve">Food and Health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w:t>
            </w:r>
            <w:r w:rsidDel="00000000" w:rsidR="00000000" w:rsidRPr="00000000">
              <w:rPr>
                <w:color w:val="222222"/>
                <w:highlight w:val="white"/>
                <w:rtl w:val="0"/>
              </w:rPr>
              <w:t xml:space="preserve">(1), pp.23-34.</w:t>
            </w:r>
          </w:p>
          <w:p w:rsidR="00000000" w:rsidDel="00000000" w:rsidP="00000000" w:rsidRDefault="00000000" w:rsidRPr="00000000" w14:paraId="0000004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5">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7">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8">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B">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0">
            <w:pPr>
              <w:jc w:val="both"/>
              <w:rPr>
                <w:rFonts w:ascii="Tahoma" w:cs="Tahoma" w:eastAsia="Tahoma" w:hAnsi="Tahoma"/>
                <w:sz w:val="20"/>
                <w:szCs w:val="20"/>
              </w:rPr>
            </w:pPr>
            <w:r w:rsidDel="00000000" w:rsidR="00000000" w:rsidRPr="00000000">
              <w:rPr>
                <w:rtl w:val="0"/>
              </w:rPr>
            </w:r>
          </w:p>
        </w:tc>
      </w:tr>
    </w:tbl>
    <w:p w:rsidR="00000000" w:rsidDel="00000000" w:rsidP="00000000" w:rsidRDefault="00000000" w:rsidRPr="00000000" w14:paraId="00000062">
      <w:pPr>
        <w:rPr>
          <w:rFonts w:ascii="Tahoma" w:cs="Tahoma" w:eastAsia="Tahoma" w:hAnsi="Tahoma"/>
          <w:b w:val="1"/>
        </w:rPr>
      </w:pPr>
      <w:r w:rsidDel="00000000" w:rsidR="00000000" w:rsidRPr="00000000">
        <w:rPr>
          <w:rtl w:val="0"/>
        </w:rPr>
      </w:r>
    </w:p>
    <w:p w:rsidR="00000000" w:rsidDel="00000000" w:rsidP="00000000" w:rsidRDefault="00000000" w:rsidRPr="00000000" w14:paraId="00000063">
      <w:pPr>
        <w:rPr>
          <w:rFonts w:ascii="Tahoma" w:cs="Tahoma" w:eastAsia="Tahoma" w:hAnsi="Tahoma"/>
          <w:b w:val="1"/>
        </w:rPr>
      </w:pPr>
      <w:r w:rsidDel="00000000" w:rsidR="00000000" w:rsidRPr="00000000">
        <w:rPr>
          <w:rtl w:val="0"/>
        </w:rPr>
      </w:r>
    </w:p>
    <w:p w:rsidR="00000000" w:rsidDel="00000000" w:rsidP="00000000" w:rsidRDefault="00000000" w:rsidRPr="00000000" w14:paraId="00000064">
      <w:pPr>
        <w:rPr>
          <w:rFonts w:ascii="Tahoma" w:cs="Tahoma" w:eastAsia="Tahoma" w:hAnsi="Tahoma"/>
          <w:b w:val="1"/>
        </w:rPr>
      </w:pPr>
      <w:r w:rsidDel="00000000" w:rsidR="00000000" w:rsidRPr="00000000">
        <w:rPr>
          <w:rtl w:val="0"/>
        </w:rPr>
      </w:r>
    </w:p>
    <w:p w:rsidR="00000000" w:rsidDel="00000000" w:rsidP="00000000" w:rsidRDefault="00000000" w:rsidRPr="00000000" w14:paraId="00000065">
      <w:pPr>
        <w:rPr>
          <w:rFonts w:ascii="Tahoma" w:cs="Tahoma" w:eastAsia="Tahoma" w:hAnsi="Tahoma"/>
          <w:b w:val="1"/>
        </w:rPr>
      </w:pPr>
      <w:r w:rsidDel="00000000" w:rsidR="00000000" w:rsidRPr="00000000">
        <w:rPr>
          <w:rtl w:val="0"/>
        </w:rPr>
      </w:r>
    </w:p>
    <w:p w:rsidR="00000000" w:rsidDel="00000000" w:rsidP="00000000" w:rsidRDefault="00000000" w:rsidRPr="00000000" w14:paraId="00000066">
      <w:pPr>
        <w:rPr>
          <w:rFonts w:ascii="Tahoma" w:cs="Tahoma" w:eastAsia="Tahoma" w:hAnsi="Tahoma"/>
          <w:b w:val="1"/>
        </w:rPr>
      </w:pPr>
      <w:r w:rsidDel="00000000" w:rsidR="00000000" w:rsidRPr="00000000">
        <w:rPr>
          <w:rtl w:val="0"/>
        </w:rPr>
      </w:r>
    </w:p>
    <w:p w:rsidR="00000000" w:rsidDel="00000000" w:rsidP="00000000" w:rsidRDefault="00000000" w:rsidRPr="00000000" w14:paraId="00000067">
      <w:pPr>
        <w:rPr>
          <w:rFonts w:ascii="Tahoma" w:cs="Tahoma" w:eastAsia="Tahoma" w:hAnsi="Tahoma"/>
          <w:b w:val="1"/>
        </w:rPr>
      </w:pPr>
      <w:r w:rsidDel="00000000" w:rsidR="00000000" w:rsidRPr="00000000">
        <w:rPr>
          <w:rtl w:val="0"/>
        </w:rPr>
      </w:r>
    </w:p>
    <w:p w:rsidR="00000000" w:rsidDel="00000000" w:rsidP="00000000" w:rsidRDefault="00000000" w:rsidRPr="00000000" w14:paraId="00000068">
      <w:pPr>
        <w:rPr>
          <w:rFonts w:ascii="Tahoma" w:cs="Tahoma" w:eastAsia="Tahoma" w:hAnsi="Tahoma"/>
          <w:b w:val="1"/>
        </w:rPr>
      </w:pPr>
      <w:r w:rsidDel="00000000" w:rsidR="00000000" w:rsidRPr="00000000">
        <w:rPr>
          <w:rtl w:val="0"/>
        </w:rPr>
      </w:r>
    </w:p>
    <w:sectPr>
      <w:headerReference r:id="rId6" w:type="default"/>
      <w:footerReference r:id="rId7" w:type="default"/>
      <w:pgSz w:h="16838" w:w="11906" w:orient="portrait"/>
      <w:pgMar w:bottom="0" w:top="360" w:left="357" w:right="357"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drawing>
        <wp:anchor allowOverlap="1" behindDoc="0" distB="0" distT="0" distL="114300" distR="114300" hidden="0" layoutInCell="1" locked="0" relativeHeight="0" simplePos="0">
          <wp:simplePos x="0" y="0"/>
          <wp:positionH relativeFrom="margin">
            <wp:posOffset>1380</wp:posOffset>
          </wp:positionH>
          <wp:positionV relativeFrom="margin">
            <wp:posOffset>-357613</wp:posOffset>
          </wp:positionV>
          <wp:extent cx="2303780" cy="765175"/>
          <wp:effectExtent b="0" l="0" r="0" t="0"/>
          <wp:wrapSquare wrapText="bothSides" distB="0" distT="0" distL="114300" distR="114300"/>
          <wp:docPr descr="uwtsd-logo-bilingual" id="1" name="image1.jpg"/>
          <a:graphic>
            <a:graphicData uri="http://schemas.openxmlformats.org/drawingml/2006/picture">
              <pic:pic>
                <pic:nvPicPr>
                  <pic:cNvPr descr="uwtsd-logo-bilingual" id="0" name="image1.jpg"/>
                  <pic:cNvPicPr preferRelativeResize="0"/>
                </pic:nvPicPr>
                <pic:blipFill>
                  <a:blip r:embed="rId1"/>
                  <a:srcRect b="0" l="0" r="0" t="0"/>
                  <a:stretch>
                    <a:fillRect/>
                  </a:stretch>
                </pic:blipFill>
                <pic:spPr>
                  <a:xfrm>
                    <a:off x="0" y="0"/>
                    <a:ext cx="2303780" cy="765175"/>
                  </a:xfrm>
                  <a:prstGeom prst="rect"/>
                  <a:ln/>
                </pic:spPr>
              </pic:pic>
            </a:graphicData>
          </a:graphic>
        </wp:anchor>
      </w:drawing>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International Hotel Management</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