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18FB1" w14:textId="3D6BC1BD" w:rsidR="0052221D" w:rsidRDefault="00F237FA" w:rsidP="0052221D">
      <w:pPr>
        <w:pStyle w:val="Title"/>
      </w:pPr>
      <w:r>
        <w:t>Organisational Leadership</w:t>
      </w:r>
    </w:p>
    <w:p w14:paraId="04A231A7" w14:textId="77777777" w:rsidR="0052221D" w:rsidRDefault="0052221D" w:rsidP="0052221D"/>
    <w:p w14:paraId="08337D92" w14:textId="77777777" w:rsidR="00F237FA" w:rsidRDefault="00F237FA" w:rsidP="00F237FA">
      <w:pPr>
        <w:pStyle w:val="Heading1"/>
        <w:rPr>
          <w:rFonts w:eastAsia="Arial"/>
        </w:rPr>
      </w:pPr>
      <w:r>
        <w:rPr>
          <w:rFonts w:eastAsia="Arial"/>
        </w:rPr>
        <w:t>“The theories of Leadership and their application in practice”</w:t>
      </w:r>
    </w:p>
    <w:p w14:paraId="30922B7B" w14:textId="77777777" w:rsidR="00807558" w:rsidRPr="00807558" w:rsidRDefault="00807558" w:rsidP="00807558"/>
    <w:p w14:paraId="055ECA66" w14:textId="77777777" w:rsidR="00807558" w:rsidRDefault="00462A3A" w:rsidP="00807558">
      <w:pPr>
        <w:spacing w:line="360" w:lineRule="auto"/>
        <w:jc w:val="center"/>
        <w:rPr>
          <w:i/>
        </w:rPr>
      </w:pPr>
      <w:r w:rsidRPr="00462A3A">
        <w:rPr>
          <w:i/>
        </w:rPr>
        <w:t>“</w:t>
      </w:r>
      <w:r w:rsidR="002F0C6F" w:rsidRPr="00462A3A">
        <w:rPr>
          <w:i/>
        </w:rPr>
        <w:t>There are no bad regiments, there are only bad officers</w:t>
      </w:r>
      <w:r w:rsidRPr="00462A3A">
        <w:rPr>
          <w:i/>
        </w:rPr>
        <w:t>”</w:t>
      </w:r>
      <w:r w:rsidR="00807558">
        <w:rPr>
          <w:i/>
        </w:rPr>
        <w:t xml:space="preserve"> </w:t>
      </w:r>
    </w:p>
    <w:p w14:paraId="334363E2" w14:textId="07AFF1B6" w:rsidR="004214C1" w:rsidRDefault="00462A3A" w:rsidP="00F75358">
      <w:pPr>
        <w:spacing w:line="360" w:lineRule="auto"/>
        <w:jc w:val="both"/>
      </w:pPr>
      <w:r>
        <w:t xml:space="preserve">(Slim as cited by Montgomery 2010) highlights the reputational damage and an impact that </w:t>
      </w:r>
      <w:r w:rsidR="00DC6260">
        <w:t>poor or non-existent</w:t>
      </w:r>
      <w:r>
        <w:t xml:space="preserve"> leadership can have on a public or armed service</w:t>
      </w:r>
      <w:r w:rsidR="005E17DB">
        <w:t xml:space="preserve"> and as a result of poor or disorganised public service responses to major incidents across England and Wales</w:t>
      </w:r>
      <w:r w:rsidR="00D50DA4">
        <w:t xml:space="preserve">; </w:t>
      </w:r>
      <w:r w:rsidR="005E17DB">
        <w:t xml:space="preserve">there has been mass media criticism of certain services over the years. Both the </w:t>
      </w:r>
      <w:proofErr w:type="spellStart"/>
      <w:r w:rsidR="00A12CB3">
        <w:t>Kerslake</w:t>
      </w:r>
      <w:proofErr w:type="spellEnd"/>
      <w:r w:rsidR="00A12CB3">
        <w:t xml:space="preserve"> </w:t>
      </w:r>
      <w:r w:rsidR="007C19B6">
        <w:t xml:space="preserve">(2018) </w:t>
      </w:r>
      <w:r w:rsidR="00A12CB3">
        <w:t>report into the Manchester Arena bombing of May 2017 and the</w:t>
      </w:r>
      <w:r w:rsidR="007018EE">
        <w:t xml:space="preserve"> Report of the 7 July Review Committee (Greater London Assembly 2006) </w:t>
      </w:r>
      <w:r w:rsidR="00A12CB3">
        <w:t xml:space="preserve">highlighted serious concerns into public services responses. </w:t>
      </w:r>
      <w:r w:rsidR="00BA3430">
        <w:t xml:space="preserve">In recent years the arrival of incident commanders at the scene of </w:t>
      </w:r>
      <w:r w:rsidR="004214C1">
        <w:t>major</w:t>
      </w:r>
      <w:r w:rsidR="00BA3430">
        <w:t xml:space="preserve"> or critical incidents has taken too long or there has been a distinct lack of communication between commanders from across the emergency services; this risks the emergence of poor information and intelligence sharing and a lack of understanding in relation to the unfolding emergency incident.</w:t>
      </w:r>
      <w:r w:rsidR="004214C1">
        <w:t xml:space="preserve"> The leadership throughout a major or critical incident is key to it being brought to a successful conclusion. </w:t>
      </w:r>
    </w:p>
    <w:p w14:paraId="4DFF9AE8" w14:textId="6E301FCE" w:rsidR="0044794F" w:rsidRDefault="007D26A4" w:rsidP="00F75358">
      <w:pPr>
        <w:spacing w:line="360" w:lineRule="auto"/>
        <w:jc w:val="both"/>
      </w:pPr>
      <w:r>
        <w:t xml:space="preserve">The Fire and Rescue Services across England and Wales train and prepare for a wide range of incidents and potential calls from the public via the </w:t>
      </w:r>
      <w:r w:rsidR="003869C6">
        <w:t>999-telephone</w:t>
      </w:r>
      <w:r>
        <w:t xml:space="preserve"> system and from other emergency services or partner agencies</w:t>
      </w:r>
      <w:r w:rsidR="003869C6">
        <w:t>. These calls can range from road traffic collisions to large scale fires and include attendance at critical or major incidents such as terrorist attacks.</w:t>
      </w:r>
    </w:p>
    <w:p w14:paraId="70BA495C" w14:textId="01D4E6FB" w:rsidR="00C3167B" w:rsidRPr="007D1DFD" w:rsidRDefault="007D1DFD" w:rsidP="00F75358">
      <w:pPr>
        <w:spacing w:line="360" w:lineRule="auto"/>
        <w:jc w:val="both"/>
      </w:pPr>
      <w:r w:rsidRPr="007D1DFD">
        <w:t>Greenhalgh and Murphy (2018)</w:t>
      </w:r>
      <w:r>
        <w:t xml:space="preserve"> explain that there </w:t>
      </w:r>
      <w:r w:rsidR="00A81A44">
        <w:t>have</w:t>
      </w:r>
      <w:r>
        <w:t xml:space="preserve"> been three distinct periods of change for the Fire and Rescue Services of England and Wales, namely the alignment and collaboration locally under the New Labour Administration between 1997-2005, the period of Consolidation and Improvement between 2005-2010 and the Fire and Rescue Services under and since the coalition government from 2010 to present. These changes saw the modernisation of the fire service alongside further investment and </w:t>
      </w:r>
      <w:r w:rsidR="0097419D">
        <w:t xml:space="preserve">more of a directive approach from central government as to the expectations of the service inline with the police and ambulance services which had often received more government and media attention. As a result of a review and white paper, the government promised a </w:t>
      </w:r>
      <w:r w:rsidR="0097419D" w:rsidRPr="0097419D">
        <w:rPr>
          <w:i/>
        </w:rPr>
        <w:t>‘radical overhaul of fire institutions to achieve strategic direction, service improvement and the provision of professional advice’</w:t>
      </w:r>
      <w:r w:rsidR="0097419D">
        <w:t xml:space="preserve"> which led to the Fire and Rescue Services Act and Civil Contingencies Act 2004 (</w:t>
      </w:r>
      <w:r w:rsidR="0097419D" w:rsidRPr="007D1DFD">
        <w:t>Greenhalgh and Murphy 2018</w:t>
      </w:r>
      <w:r w:rsidR="0097419D">
        <w:t>:22</w:t>
      </w:r>
      <w:r w:rsidR="0097419D" w:rsidRPr="007D1DFD">
        <w:t>)</w:t>
      </w:r>
      <w:r w:rsidR="0097419D">
        <w:t>.</w:t>
      </w:r>
      <w:r w:rsidR="00E22190">
        <w:t xml:space="preserve"> Through the formation of the Fire Service College, a number of leadership </w:t>
      </w:r>
      <w:r w:rsidR="00E22190">
        <w:lastRenderedPageBreak/>
        <w:t>courses are available to fire and rescue personnel including various incident command courses, the Executive Leadership Programme, Multi-Agency Gold Incident Commander and National Interagency Liaison Officer courses.</w:t>
      </w:r>
    </w:p>
    <w:p w14:paraId="66C503F0" w14:textId="3B8D715B" w:rsidR="003F1B2F" w:rsidRPr="003F1B2F" w:rsidRDefault="00DA5311" w:rsidP="00F75358">
      <w:pPr>
        <w:spacing w:line="360" w:lineRule="auto"/>
        <w:jc w:val="both"/>
      </w:pPr>
      <w:r w:rsidRPr="00DA5311">
        <w:t xml:space="preserve">These courses </w:t>
      </w:r>
      <w:r w:rsidR="005D2657">
        <w:t>include</w:t>
      </w:r>
      <w:r>
        <w:t xml:space="preserve"> exploring the various leadership models utilised throughout the public sector and evaluate </w:t>
      </w:r>
      <w:r w:rsidR="005D2657">
        <w:t>how these fit into the collaboration ethos between emergency services and enhance the leadership capability across their area of business within the fire and rescue service.</w:t>
      </w:r>
      <w:r w:rsidR="003F1B2F">
        <w:t xml:space="preserve"> However, Eden et al (2000</w:t>
      </w:r>
      <w:r w:rsidR="00B2308C">
        <w:t>:204</w:t>
      </w:r>
      <w:r w:rsidR="003F1B2F">
        <w:t>) as cited in Davis et al (2008) explained that based upon their research, leadership training may well be unrealistic</w:t>
      </w:r>
      <w:r w:rsidR="001D160C">
        <w:t xml:space="preserve"> and unlikely to benefit an organisation or the individual</w:t>
      </w:r>
      <w:r w:rsidR="003F1B2F">
        <w:t xml:space="preserve"> as some managers </w:t>
      </w:r>
      <w:r w:rsidR="003F1B2F" w:rsidRPr="003F1B2F">
        <w:t>"have</w:t>
      </w:r>
      <w:r w:rsidR="003F1B2F">
        <w:t xml:space="preserve"> </w:t>
      </w:r>
      <w:r w:rsidR="003F1B2F" w:rsidRPr="003F1B2F">
        <w:t>it naturally and some do not, and</w:t>
      </w:r>
      <w:r w:rsidR="003F1B2F">
        <w:t xml:space="preserve"> </w:t>
      </w:r>
      <w:r w:rsidR="003F1B2F" w:rsidRPr="003F1B2F">
        <w:t>those that do not cannot be trained,</w:t>
      </w:r>
      <w:r w:rsidR="003F1B2F">
        <w:t xml:space="preserve"> </w:t>
      </w:r>
      <w:r w:rsidR="003F1B2F" w:rsidRPr="003F1B2F">
        <w:t>coaxed, or coached to have it"</w:t>
      </w:r>
      <w:r w:rsidR="003F1B2F">
        <w:t>. However, despite this, many organisations continue to train their leaders through similar programmes.</w:t>
      </w:r>
      <w:r w:rsidR="003F1B2F" w:rsidRPr="003F1B2F">
        <w:t xml:space="preserve"> </w:t>
      </w:r>
    </w:p>
    <w:p w14:paraId="1C7A4CEA" w14:textId="05F20D4C" w:rsidR="00DC706F" w:rsidRPr="00374442" w:rsidRDefault="00DC706F" w:rsidP="00F75358">
      <w:pPr>
        <w:spacing w:line="360" w:lineRule="auto"/>
        <w:jc w:val="both"/>
      </w:pPr>
      <w:proofErr w:type="spellStart"/>
      <w:r>
        <w:t>Pardey</w:t>
      </w:r>
      <w:proofErr w:type="spellEnd"/>
      <w:r>
        <w:t xml:space="preserve"> (2007) defines leadership as the ability to bring about or influence change or movement within an organisation or a working group by inspiring others work in a particular manner and towards a particular goal or objective, he continues to compare this to management which is a definition more orientated towards commanding, coordinating and controlling of a situation rather than through leading by example. </w:t>
      </w:r>
      <w:r w:rsidR="003829C1">
        <w:t xml:space="preserve">Over the decades there have been many theories in relation to leadership and management techniques including transformational and situational leadership styles, the </w:t>
      </w:r>
      <w:r w:rsidR="003829C1" w:rsidRPr="00FC035D">
        <w:t>Tannenbaum and Schmidt Continuum</w:t>
      </w:r>
      <w:r w:rsidR="003829C1">
        <w:t xml:space="preserve">, and </w:t>
      </w:r>
      <w:r w:rsidR="00E47CF2">
        <w:t xml:space="preserve">others such as participative, consultative and consensus styles; many of which can be applied independently or a mixed approach depending on the situation, however, </w:t>
      </w:r>
      <w:proofErr w:type="spellStart"/>
      <w:r w:rsidR="00E47CF2">
        <w:t>Pardey</w:t>
      </w:r>
      <w:proofErr w:type="spellEnd"/>
      <w:r w:rsidR="00E47CF2">
        <w:t xml:space="preserve"> (2007) and </w:t>
      </w:r>
      <w:proofErr w:type="spellStart"/>
      <w:r w:rsidR="00E47CF2">
        <w:t>DuBrin</w:t>
      </w:r>
      <w:proofErr w:type="spellEnd"/>
      <w:r w:rsidR="00E47CF2">
        <w:t xml:space="preserve"> (2013) believe that leaders at different levels of an organisation may need to utilise different leadership styles depending on their role and their relationship with those they lead or work alongside.</w:t>
      </w:r>
    </w:p>
    <w:p w14:paraId="10ECC808" w14:textId="7D7B6ABA" w:rsidR="00F75358" w:rsidRDefault="00E4237E" w:rsidP="00F75358">
      <w:pPr>
        <w:spacing w:line="360" w:lineRule="auto"/>
        <w:jc w:val="both"/>
      </w:pPr>
      <w:r>
        <w:t>During a major or critical incident, the quick rescue</w:t>
      </w:r>
      <w:r w:rsidR="003829C1">
        <w:t xml:space="preserve"> or</w:t>
      </w:r>
      <w:r>
        <w:t xml:space="preserve"> treatment of those serious injured or involved and safeguarding others present is of upmost importance and is as such the main priority for the emergency services. </w:t>
      </w:r>
      <w:r w:rsidR="004B6C93">
        <w:t>The Report of the 7</w:t>
      </w:r>
      <w:r w:rsidR="004B6C93" w:rsidRPr="004B6C93">
        <w:rPr>
          <w:vertAlign w:val="superscript"/>
        </w:rPr>
        <w:t>th</w:t>
      </w:r>
      <w:r w:rsidR="004B6C93">
        <w:t xml:space="preserve"> July Review Committee (Greater London Assembly 2006) explain that during the ‘golden hour’ communication through the strategic or Gold commanders is vital for the effective and tasking and deployment of relevant resources whether these be officers, vehicles or specialist equipment to the scene; however, it is apparent that since this report was published that certain lessons haven’t necessarily been learnt or acted upon outside of London. With the Civil Contingencies Act (Crown Copyright 2004) and the Joint Emergency Services Interoperability Programme (JESIP</w:t>
      </w:r>
      <w:r w:rsidR="00706A78">
        <w:t xml:space="preserve"> 2017) </w:t>
      </w:r>
      <w:r w:rsidR="004B6C93">
        <w:t>in place, there is an expectation of collaboration, interoperability and a joint approach to strategic command of incidents across England and Wales</w:t>
      </w:r>
      <w:r w:rsidR="00BA3430">
        <w:t xml:space="preserve">; if these are followed then </w:t>
      </w:r>
      <w:r w:rsidR="00BA3430">
        <w:lastRenderedPageBreak/>
        <w:t xml:space="preserve">there should be an agreed working strategy across all services whereby all involved understand what is going to happen, by who and when. </w:t>
      </w:r>
    </w:p>
    <w:p w14:paraId="0E132489" w14:textId="6BF13FBC" w:rsidR="00807558" w:rsidRDefault="001E075A" w:rsidP="00F75358">
      <w:pPr>
        <w:spacing w:line="360" w:lineRule="auto"/>
        <w:jc w:val="both"/>
      </w:pPr>
      <w:r>
        <w:t xml:space="preserve">In the case of the Manchester Area attacks, it was noted by Lord </w:t>
      </w:r>
      <w:proofErr w:type="spellStart"/>
      <w:r>
        <w:t>Kerslake</w:t>
      </w:r>
      <w:proofErr w:type="spellEnd"/>
      <w:r>
        <w:t xml:space="preserve"> that the response by Greater Manchester Fire</w:t>
      </w:r>
      <w:r w:rsidR="0018660E">
        <w:t xml:space="preserve"> and Rescue Service was delayed </w:t>
      </w:r>
      <w:r w:rsidRPr="0018660E">
        <w:t>unnecessarily</w:t>
      </w:r>
      <w:r w:rsidR="0018660E">
        <w:rPr>
          <w:color w:val="FF0000"/>
        </w:rPr>
        <w:t xml:space="preserve"> </w:t>
      </w:r>
      <w:r w:rsidR="00F1221E" w:rsidRPr="00F1221E">
        <w:t>(</w:t>
      </w:r>
      <w:proofErr w:type="spellStart"/>
      <w:r w:rsidR="00F1221E">
        <w:t>Kerslake</w:t>
      </w:r>
      <w:proofErr w:type="spellEnd"/>
      <w:r w:rsidR="00F1221E">
        <w:t xml:space="preserve"> 2018)</w:t>
      </w:r>
      <w:r w:rsidR="00F1221E">
        <w:t>.</w:t>
      </w:r>
      <w:r w:rsidR="00EF55F5">
        <w:t xml:space="preserve"> The Civil Contingencies Act specifies that the partner agencies within the Greater Manchester Resilience Forum are required to share information, plan for emergencies and overall cooperate with each other in relation to major incidents. </w:t>
      </w:r>
      <w:r w:rsidR="00EF3B40">
        <w:t>The Integrated Emergency M</w:t>
      </w:r>
      <w:bookmarkStart w:id="0" w:name="_GoBack"/>
      <w:bookmarkEnd w:id="0"/>
      <w:r w:rsidR="00EF3B40">
        <w:t xml:space="preserve">anagement principles and Joint Emergency Services Interoperability Principles also dictate certain working practices through the Gold Silver and Bronze command structure for incident commanders. Throughout this incident there was a distinct lack of communication between the Fire and Rescue Services </w:t>
      </w:r>
      <w:r w:rsidR="004E6808">
        <w:t xml:space="preserve">and the other emergency services, despite dedicated rendezvous points being allocated and a Gold Command meeting being called to pool all management resources together to streamline the initial response and to ensure a shared situational awareness. However, the officer in charge from a Fire and Rescue Perspective was a National Interagency Liaison Officer which is defined as </w:t>
      </w:r>
    </w:p>
    <w:p w14:paraId="712F626A" w14:textId="0E9369C1" w:rsidR="00807558" w:rsidRPr="00807558" w:rsidRDefault="004E6808" w:rsidP="00807558">
      <w:pPr>
        <w:spacing w:line="360" w:lineRule="auto"/>
        <w:ind w:left="567" w:right="521"/>
        <w:jc w:val="both"/>
        <w:rPr>
          <w:color w:val="FF0000"/>
        </w:rPr>
      </w:pPr>
      <w:r w:rsidRPr="00F1221E">
        <w:t>“A trained and qualified officer who can advise and support Incident Commanders from the police, health, military and other Government agencies on the Fire and Rescue Services operational capacity and capability to reduce risk and to safely resolve incidents at which a Fire and Rescue Service attendance may be required”</w:t>
      </w:r>
      <w:r w:rsidRPr="00807558">
        <w:rPr>
          <w:color w:val="FF0000"/>
        </w:rPr>
        <w:t xml:space="preserve"> </w:t>
      </w:r>
    </w:p>
    <w:p w14:paraId="36C3ADB8" w14:textId="41DF8028" w:rsidR="0064733D" w:rsidRDefault="004E6808" w:rsidP="00F75358">
      <w:pPr>
        <w:spacing w:line="360" w:lineRule="auto"/>
        <w:jc w:val="both"/>
      </w:pPr>
      <w:r w:rsidRPr="004E6808">
        <w:t>CFOA (2014)</w:t>
      </w:r>
      <w:r>
        <w:t xml:space="preserve"> who decided to deploy some resources to a specific site away from the arena, namely the </w:t>
      </w:r>
      <w:r w:rsidRPr="004E6808">
        <w:t>Philips Park Fire Station</w:t>
      </w:r>
      <w:r>
        <w:t xml:space="preserve"> </w:t>
      </w:r>
      <w:r w:rsidR="00CF189B">
        <w:t xml:space="preserve">rather than the designated rendezvous point </w:t>
      </w:r>
      <w:r>
        <w:t>due to the potential for a marauding firearms attack; however, due to a lack of autonomy to respond, fire officers and fire fighters were within earshot of the explosion and were not able to self-deploy or</w:t>
      </w:r>
      <w:r w:rsidR="00CF189B">
        <w:t xml:space="preserve"> self-task to attend and assist due to the Bomb action plan being activated. Despite these crews being pre-warned, they were not mobilised.</w:t>
      </w:r>
    </w:p>
    <w:p w14:paraId="458AF7F5" w14:textId="44969777" w:rsidR="004E6808" w:rsidRPr="004E6808" w:rsidRDefault="004E6808" w:rsidP="00F75358">
      <w:pPr>
        <w:spacing w:line="360" w:lineRule="auto"/>
        <w:jc w:val="both"/>
      </w:pPr>
      <w:r w:rsidRPr="00CF189B">
        <w:t xml:space="preserve">The entire delay between the National Interagency Liaison Officer being informed by the North West Fire Control Operator, and the first </w:t>
      </w:r>
      <w:r w:rsidR="0093128E">
        <w:t xml:space="preserve">action being undertaken by </w:t>
      </w:r>
      <w:r w:rsidRPr="00CF189B">
        <w:t xml:space="preserve">fire tenders attending the scene was a total of </w:t>
      </w:r>
      <w:r w:rsidR="00CF189B" w:rsidRPr="00CF189B">
        <w:t>1 hour and 59 minutes</w:t>
      </w:r>
      <w:r w:rsidRPr="00CF189B">
        <w:t xml:space="preserve">, </w:t>
      </w:r>
      <w:r w:rsidR="00CF189B" w:rsidRPr="00CF189B">
        <w:t>which</w:t>
      </w:r>
      <w:r w:rsidR="00CF189B">
        <w:t xml:space="preserve"> it can be argued as potentially risking lives through inaction. The report continues to explain that the National Interagency Liaison Officers who attended at Philips Park communicated with the North West Ambulance Service control room via telephone and that their radio channels were quiet. In a major incident such as this, it would be logical that these senior officers liaise with other incident commanders directly rather than try to coordinate themselves with little or no information whatsoever. </w:t>
      </w:r>
    </w:p>
    <w:p w14:paraId="043F899A" w14:textId="0F2BB518" w:rsidR="00F75358" w:rsidRDefault="00B81E15" w:rsidP="00F75358">
      <w:pPr>
        <w:spacing w:line="360" w:lineRule="auto"/>
        <w:jc w:val="both"/>
      </w:pPr>
      <w:r>
        <w:t xml:space="preserve">It is worrying that personnel trained to liaise with other partner agencies failed to do so effectively, and that their command style was very much one of extreme caution in responding </w:t>
      </w:r>
      <w:r w:rsidR="00F75358">
        <w:t>to the incident and</w:t>
      </w:r>
      <w:r>
        <w:t xml:space="preserve"> also </w:t>
      </w:r>
      <w:r w:rsidR="00F75358">
        <w:t>failing to attend the</w:t>
      </w:r>
      <w:r>
        <w:t xml:space="preserve"> formal Gold Command Strategic Coordination Group as expected.</w:t>
      </w:r>
    </w:p>
    <w:p w14:paraId="1FEFA14F" w14:textId="2B9B3942" w:rsidR="00B81E15" w:rsidRPr="00CF189B" w:rsidRDefault="00B81E15" w:rsidP="00F75358">
      <w:pPr>
        <w:spacing w:line="360" w:lineRule="auto"/>
        <w:jc w:val="both"/>
      </w:pPr>
      <w:r>
        <w:t>After the London Bombings of the 7</w:t>
      </w:r>
      <w:r w:rsidRPr="00B81E15">
        <w:rPr>
          <w:vertAlign w:val="superscript"/>
        </w:rPr>
        <w:t>th</w:t>
      </w:r>
      <w:r>
        <w:t xml:space="preserve"> of July 2005, it is expected that lessons would have been learned in relation to responding to such an incident; a number of recommendations were made in relation to the emergency services response including the coordination of command structures and their developing response. </w:t>
      </w:r>
      <w:r w:rsidR="00CB7EF1">
        <w:t>One of these recommendation highlighted the need for review into declaring Major Incidents and that if one service does so, that all first responder organisations do the same and that this would increase the speed and efficiency of the response, however, with the added introduction of JESIP and other interagency agreements, there are clear expectations as to how incident command and cooperation in relation to information sharing should work. Though there is clear criticism of the Greater Manchester Fire and Rescue Service in relation to how they ascertained information informally from their personal contacts etc. there was a distinct lack of information flowing from the police service who held overall command within the Gold Strategic Command Coordination Group, and if information was more easily accessible or offered more freely, then the fire service would have responded sooner.</w:t>
      </w:r>
    </w:p>
    <w:p w14:paraId="483AC106" w14:textId="2210DCA6" w:rsidR="008D73A0" w:rsidRDefault="00FC035D" w:rsidP="00F75358">
      <w:pPr>
        <w:spacing w:line="360" w:lineRule="auto"/>
        <w:jc w:val="both"/>
      </w:pPr>
      <w:r>
        <w:t xml:space="preserve">If we compare the management and leadership style of the Fire and Rescue Service to that of the Police Service, there is a distinct difference; the police service appears to utilise a model similar to that of the </w:t>
      </w:r>
      <w:r w:rsidRPr="00FC035D">
        <w:t>Tannenbaum and Schmidt Continuum</w:t>
      </w:r>
      <w:r>
        <w:t xml:space="preserve"> whereby depending on the situation officers have the ability to exercise their discretion and utilise the National Decision Model throughout their duties as they </w:t>
      </w:r>
      <w:r w:rsidR="00316672">
        <w:t>patrol,</w:t>
      </w:r>
      <w:r w:rsidR="00E330AC">
        <w:t xml:space="preserve"> and they fluctuate along the continuum</w:t>
      </w:r>
      <w:r>
        <w:t>. However, the fire and rescue service await deployment and as such appear to utilise a far more authoritarian leadership style that the police</w:t>
      </w:r>
      <w:r w:rsidR="00E330AC">
        <w:t xml:space="preserve"> which could be due to the higher risks involved once deployed and the need for a more direct approach to decision making and management, however, this may not necessarily be the most appropriate leadership style for all situations.</w:t>
      </w:r>
      <w:r w:rsidR="00E47CF2">
        <w:t xml:space="preserve"> </w:t>
      </w:r>
      <w:r w:rsidR="0078728D">
        <w:t xml:space="preserve">According to </w:t>
      </w:r>
      <w:proofErr w:type="spellStart"/>
      <w:r w:rsidR="0078728D">
        <w:t>Pardey</w:t>
      </w:r>
      <w:proofErr w:type="spellEnd"/>
      <w:r w:rsidR="0078728D">
        <w:t xml:space="preserve"> (2007), the organisational leadership and management fluctuation changes depending on seniority or role at an incident, and that if we were to apply the leadership to management role relationship model to a major incident then we would have a significantly higher percentage leaning towards leadership rather than management at the Gold or Strategic Level and a mirror image of a higher level of an autocratic management style at the tactical level before an inspiring leadership mixed with a nearly equal level of directing management role again at the operational level at an incident. This is due to the specific needs and requirements of these particular roles and the expectations through joint working practices. However, it appears that a management style of directing was used during the Manchester Arena Attacks which was focussed on the fire and rescue services response rather than the overall objective set by the Gold Strategic Coordination Group through Greater Manchester Police for all the first responders.</w:t>
      </w:r>
      <w:r w:rsidR="006E2228">
        <w:t xml:space="preserve"> It is important for incident commanders to remember group dynamics can have a significant impact on the outcome and the working practices of the group, for example, Tuckman’s model suggests that any form of group or organisation will go through a particular series of stages before being able to perform effectively, these being the Forming, Storming, Norming, Performing and Adjourning stages. This model is only really utilised for groups who are formed to undertake a particular task such as that of a Gold Strategic Coordination group (</w:t>
      </w:r>
      <w:proofErr w:type="spellStart"/>
      <w:r w:rsidR="006E2228">
        <w:t>Egolf</w:t>
      </w:r>
      <w:proofErr w:type="spellEnd"/>
      <w:r w:rsidR="006E2228">
        <w:t xml:space="preserve"> 2013)</w:t>
      </w:r>
      <w:r w:rsidR="00181B06">
        <w:t xml:space="preserve">. Failure to attend such a group means that certain commanders may not be able to influence the joint response or performance but also </w:t>
      </w:r>
      <w:r w:rsidR="00277AD2">
        <w:t>means that an outsider trying to influence this group will not have the same dynamic and possibly be ignored.</w:t>
      </w:r>
    </w:p>
    <w:p w14:paraId="394CE306" w14:textId="402622C1" w:rsidR="00F237FA" w:rsidRPr="007018EE" w:rsidRDefault="00080300" w:rsidP="00F75358">
      <w:pPr>
        <w:spacing w:line="360" w:lineRule="auto"/>
        <w:jc w:val="both"/>
      </w:pPr>
      <w:r>
        <w:t xml:space="preserve">Responding to a major incident is complex and whilst an incident continues to develop it can be difficult to properly assess the information that is received and to develop a working strategy and a tactical plan to enforce this strategy; however, joint working practices have been introduced to reduce this burden on individual incident commanders and to assist in coordinating a join response working towards a set objective and to come to as positive conclusion as possible. However, this relies upon all the required commanders and services working together and communicating effectively, failure to communicate will only create additional barriers and hurdles that require overcoming and </w:t>
      </w:r>
      <w:r w:rsidR="006D01B4">
        <w:t>that can have a detrimental effect on the service provided by responders. Both the 7</w:t>
      </w:r>
      <w:r w:rsidR="006D01B4" w:rsidRPr="006D01B4">
        <w:rPr>
          <w:vertAlign w:val="superscript"/>
        </w:rPr>
        <w:t>th</w:t>
      </w:r>
      <w:r w:rsidR="006D01B4">
        <w:t xml:space="preserve"> July bombings and the Manchester Arena Attacks are an example of this, however, the actual work carried out by the individuals on the front line should not be overlooked purely due to potentially poor leadership decisions taken by senior officers within particular services prior to their arrival. Due to the lack of frequency of these incidents, sometimes incident commanders may be inexperienced and not had a chance to put their learning into practice, and have to learn from their mistakes hence the importance of the reports commissioned after both tragic events.</w:t>
      </w:r>
      <w:r w:rsidR="00F237FA">
        <w:br w:type="page"/>
      </w:r>
    </w:p>
    <w:p w14:paraId="0D9AD072" w14:textId="1463AE44" w:rsidR="00133725" w:rsidRDefault="000F24B1" w:rsidP="009B3934">
      <w:pPr>
        <w:pStyle w:val="Heading1"/>
      </w:pPr>
      <w:r>
        <w:t>Leadership Theory into Action</w:t>
      </w:r>
      <w:r w:rsidR="00A1179C">
        <w:t>;</w:t>
      </w:r>
      <w:r>
        <w:t xml:space="preserve"> Reflection</w:t>
      </w:r>
      <w:r w:rsidR="00133725">
        <w:tab/>
      </w:r>
      <w:r w:rsidR="00133725">
        <w:tab/>
      </w:r>
    </w:p>
    <w:p w14:paraId="40B65C42" w14:textId="77777777" w:rsidR="00A12598" w:rsidRDefault="000F24B1" w:rsidP="00CE35DB">
      <w:pPr>
        <w:spacing w:line="360" w:lineRule="auto"/>
        <w:jc w:val="both"/>
      </w:pPr>
      <w:r>
        <w:t xml:space="preserve">During the planned residential element of this assignment, students from across the Public Services and the Law and Public Services degree pathways attended </w:t>
      </w:r>
      <w:r w:rsidRPr="000F24B1">
        <w:t xml:space="preserve">the </w:t>
      </w:r>
      <w:r>
        <w:t xml:space="preserve">Gower Activity Centres </w:t>
      </w:r>
      <w:r w:rsidRPr="000F24B1">
        <w:t xml:space="preserve">at Rhossili and Port </w:t>
      </w:r>
      <w:proofErr w:type="spellStart"/>
      <w:r w:rsidRPr="000F24B1">
        <w:t>Eynon</w:t>
      </w:r>
      <w:proofErr w:type="spellEnd"/>
      <w:r>
        <w:t xml:space="preserve"> to undertake a number of activities to be able to test leadership theories and put these into practice. These activities included Bush craft, orienteering, </w:t>
      </w:r>
      <w:r w:rsidR="008A1B3D">
        <w:t>rock climbing and surfing, some of which many students hadn’t undertaken before as the Public Services students had previously attended their Leading Self module at Llandysul whi</w:t>
      </w:r>
      <w:r w:rsidR="007032C6">
        <w:t xml:space="preserve">ch offered different activities; this change in activities led to some apprehension and much discussion in relation to the activities </w:t>
      </w:r>
      <w:r w:rsidR="00A12598">
        <w:t>that were due to be undertaken. However, there was significantly higher levels of tension and apprehension within the Law and Public Services students as they hadn’t undertaken any form of physical activity throughout their time at the University as the Leading Self module is not part of their syllabus.</w:t>
      </w:r>
    </w:p>
    <w:p w14:paraId="7EE2F716" w14:textId="3EF46C2F" w:rsidR="00C43ACC" w:rsidRDefault="00AA6D4A" w:rsidP="00CE35DB">
      <w:pPr>
        <w:spacing w:line="360" w:lineRule="auto"/>
        <w:jc w:val="both"/>
      </w:pPr>
      <w:r>
        <w:t>As someone who is significantly older than the majority of the students on the courses, it can often be difficult to engage with the others in a way which they can understand my aims and objectives as I have always been very career driven and focussed, whereby many of our course colleagues want to experience the student lifestyle on top of their academic studies</w:t>
      </w:r>
      <w:r w:rsidR="00155B5D">
        <w:t xml:space="preserve"> and this can often take priority</w:t>
      </w:r>
      <w:r>
        <w:t xml:space="preserve">. As well as this, having held various leadership and management roles within my policing career so far, it has enabled me to naturally take the lead in many situations, and as a result I was conscious that I didn’t want to assume the lead role in any of the set activities. Despite this, it became clear that within some of the activities there wasn’t any real opportunity for leadership as we would generally utilise the term in line with leadership theories, it was more of an opportunity to encourage and or inspire others to achieve their best within the activities. For example, rock climbing was very much a solo activity, however, to be able to reach the climbing surfaces there was a significant trek where some members of the team needed extra encouragement due to the terrain; when it came to the actual activity itself there was a significant amount of fear with some students and they required motivating and encouragement to achieve even the slightest elevation on the climbing surface. This encouragement element assisted in boosting their confidence and bringing us closer as a team, but the activity instructors were very much in charge and managing the activity themselves. Surfing was rather similar </w:t>
      </w:r>
      <w:r w:rsidR="00C43ACC">
        <w:t>in this respect, however due to only one instructor entering the water for safety reasons, there was a requirement for students to support each other once again, however as there wasn’t a collaborative end goal or objective to achieve, it was very much individual challenges to attempt to stand on the board, this once again required motivation and encouragement from those within close proximity, however certain members found the task difficult and left the water resulting in a failure within the team dynamic as it was clear they weren’t getting the support they required.</w:t>
      </w:r>
    </w:p>
    <w:p w14:paraId="678BBA34" w14:textId="1E0F73C7" w:rsidR="001F6ABD" w:rsidRDefault="00C43ACC" w:rsidP="00CE35DB">
      <w:pPr>
        <w:spacing w:line="360" w:lineRule="auto"/>
        <w:jc w:val="both"/>
      </w:pPr>
      <w:r>
        <w:t xml:space="preserve">The orienteering exercise on the other hand was very much a team activity which required teams to utilise a map and some basic directions or hints to locate small flag shaped markers and to successfully record the patterns found upon them.  </w:t>
      </w:r>
      <w:r w:rsidR="00286C55">
        <w:t>This is where leadership theories really were put into action and were evident across the team; Tuckman’s model was clearly accurate as studen</w:t>
      </w:r>
      <w:r w:rsidR="00CE35DB">
        <w:t xml:space="preserve">ts went through the five stages. </w:t>
      </w:r>
      <w:proofErr w:type="spellStart"/>
      <w:r w:rsidR="00CE35DB">
        <w:t>Stremba</w:t>
      </w:r>
      <w:proofErr w:type="spellEnd"/>
      <w:r w:rsidR="00CE35DB">
        <w:t xml:space="preserve"> (2009) believes that Tuckman’s model is key to outdoor and adventure training or education and highlights that the first stage of Tuckman’s Model, the forming stage is where students overcome the issues around orientation, dependency on others and inclusion. This development stage was evident during the orienteering exercise as many of the students hadn’t worked together like this previously and there were new members of the team from another year group present. Some members of the team took a very laissez faire approach to the exercise, where others took immediate control of the situation with little or no regard for some of our team members who had pre-existing injuries and may not be able to advance as quickly as the more outgoing and autocratic members. This created a stressful environment and one which required an element of control and natural leaders begun to take control</w:t>
      </w:r>
      <w:r w:rsidR="001F6ABD">
        <w:t xml:space="preserve">, this storming period created conflict with some but for the benefit of the entire team, as we had to undertake this exercise safely and with due regard for all our team, speed wasn’t of the essence but ensuring that all team members felt engaged and valued. To do this, the map and hints were to be shared between the slowest members of the team who walked at the front, and the designated team leader, myself, who walked at the back, this way we had a set pace but no one was left behind. This led to a well performing team with set roles and responsibilities and the ability for all team members to engage and contribute to the exercise; However, there was one flag marker that we were unable to locate and that led to two separate teams working together to try and find it. During this period it saw the Tuckman model restart as there was a change in roles, leadership and a new group dynamic; unfortunately as time was now limited, the Tuckman model in the new team was never completed and the group dynamics were lost and the adjourning period start prematurely where team members were saddened that it was coming to an end and motivation started to lessen across both groups. </w:t>
      </w:r>
    </w:p>
    <w:p w14:paraId="280D9625" w14:textId="35845F97" w:rsidR="00133725" w:rsidRPr="000F24B1" w:rsidRDefault="001F6ABD" w:rsidP="00CE35DB">
      <w:pPr>
        <w:spacing w:line="360" w:lineRule="auto"/>
        <w:jc w:val="both"/>
        <w:rPr>
          <w:b/>
        </w:rPr>
      </w:pPr>
      <w:r>
        <w:t xml:space="preserve"> </w:t>
      </w:r>
      <w:r w:rsidR="00A57C10">
        <w:t>This exercise led to discussions within the team afterwards and proved to be very useful as many of the students commented upon what they had learnt from a leadership perspective, both about themselves and others and how they can potentially improve if this opportunity presented itself again. Some commented about how they would be uncomfortable in a leadership role and that they are happier when given clear direction but these students may have forgotten that leadership comes in many forms including by leading by example and being a role model to others.</w:t>
      </w:r>
      <w:r w:rsidR="005B03EA">
        <w:t xml:space="preserve"> Though throughout this exercise there was clear proof that situational leadership and changing your style depending on a particular individuals need is very much a theory that had to be applied by all those in attendance, whether they took on a clear leadership role or a supporting role. </w:t>
      </w:r>
    </w:p>
    <w:p w14:paraId="5A2473C0" w14:textId="77777777" w:rsidR="005B03EA" w:rsidRDefault="005B03EA">
      <w:pPr>
        <w:rPr>
          <w:rFonts w:asciiTheme="majorHAnsi" w:eastAsiaTheme="majorEastAsia" w:hAnsiTheme="majorHAnsi" w:cstheme="majorBidi"/>
          <w:color w:val="2E74B5" w:themeColor="accent1" w:themeShade="BF"/>
          <w:sz w:val="32"/>
          <w:szCs w:val="32"/>
        </w:rPr>
      </w:pPr>
      <w:r>
        <w:br w:type="page"/>
      </w:r>
    </w:p>
    <w:p w14:paraId="31151923" w14:textId="3253F681" w:rsidR="0052221D" w:rsidRDefault="0052221D" w:rsidP="0052221D">
      <w:pPr>
        <w:pStyle w:val="Heading1"/>
      </w:pPr>
      <w:r>
        <w:t>Bibliography</w:t>
      </w:r>
    </w:p>
    <w:p w14:paraId="11722F21" w14:textId="55AE3525" w:rsidR="0052221D" w:rsidRDefault="0052221D" w:rsidP="0052221D"/>
    <w:p w14:paraId="352708A0" w14:textId="5F23232B" w:rsidR="00747441" w:rsidRDefault="00747441" w:rsidP="00747441">
      <w:proofErr w:type="spellStart"/>
      <w:r>
        <w:t>Achua</w:t>
      </w:r>
      <w:proofErr w:type="spellEnd"/>
      <w:r>
        <w:t xml:space="preserve">, C F &amp; Lussier, R N (2015), </w:t>
      </w:r>
      <w:r>
        <w:rPr>
          <w:u w:val="single"/>
        </w:rPr>
        <w:t>Leadership: Theory, Application &amp; Skill Development</w:t>
      </w:r>
      <w:r>
        <w:t>, 6</w:t>
      </w:r>
      <w:r w:rsidRPr="00373AF7">
        <w:rPr>
          <w:vertAlign w:val="superscript"/>
        </w:rPr>
        <w:t>th</w:t>
      </w:r>
      <w:r>
        <w:t xml:space="preserve"> Edition, Cengage Learning; Boston.</w:t>
      </w:r>
    </w:p>
    <w:p w14:paraId="62090B73" w14:textId="4AC43C67" w:rsidR="00747441" w:rsidRPr="00747441" w:rsidRDefault="00747441" w:rsidP="00747441">
      <w:pPr>
        <w:rPr>
          <w:rFonts w:cs="Arial"/>
        </w:rPr>
      </w:pPr>
      <w:r w:rsidRPr="001B7B54">
        <w:rPr>
          <w:rFonts w:cs="Arial"/>
        </w:rPr>
        <w:t>Bovaird T (2007)</w:t>
      </w:r>
      <w:r>
        <w:rPr>
          <w:rFonts w:cs="Arial"/>
        </w:rPr>
        <w:t>,</w:t>
      </w:r>
      <w:r w:rsidRPr="001B7B54">
        <w:rPr>
          <w:rFonts w:cs="Arial"/>
        </w:rPr>
        <w:t xml:space="preserve"> </w:t>
      </w:r>
      <w:r w:rsidRPr="000D6DEA">
        <w:rPr>
          <w:rFonts w:cs="Arial"/>
          <w:u w:val="single"/>
        </w:rPr>
        <w:t>Strategic Management in the Public Sector</w:t>
      </w:r>
      <w:r>
        <w:rPr>
          <w:rFonts w:cs="Arial"/>
        </w:rPr>
        <w:t>, Oxford University Press; Oxford.</w:t>
      </w:r>
    </w:p>
    <w:p w14:paraId="030D0099" w14:textId="77777777" w:rsidR="00560245" w:rsidRPr="00984B2C" w:rsidRDefault="00560245" w:rsidP="00560245">
      <w:pPr>
        <w:rPr>
          <w:rFonts w:cs="Arial"/>
        </w:rPr>
      </w:pPr>
      <w:proofErr w:type="spellStart"/>
      <w:r>
        <w:rPr>
          <w:rFonts w:cs="Arial"/>
        </w:rPr>
        <w:t>Carassus</w:t>
      </w:r>
      <w:proofErr w:type="spellEnd"/>
      <w:r>
        <w:rPr>
          <w:rFonts w:cs="Arial"/>
        </w:rPr>
        <w:t xml:space="preserve"> D, </w:t>
      </w:r>
      <w:proofErr w:type="spellStart"/>
      <w:r>
        <w:rPr>
          <w:rFonts w:cs="Arial"/>
        </w:rPr>
        <w:t>Favoreu</w:t>
      </w:r>
      <w:proofErr w:type="spellEnd"/>
      <w:r>
        <w:rPr>
          <w:rFonts w:cs="Arial"/>
        </w:rPr>
        <w:t xml:space="preserve"> C &amp; </w:t>
      </w:r>
      <w:proofErr w:type="spellStart"/>
      <w:r>
        <w:rPr>
          <w:rFonts w:cs="Arial"/>
        </w:rPr>
        <w:t>Maurel</w:t>
      </w:r>
      <w:proofErr w:type="spellEnd"/>
      <w:r>
        <w:rPr>
          <w:rFonts w:cs="Arial"/>
        </w:rPr>
        <w:t xml:space="preserve"> C (2015), Strategic Management in the Public Sector: A Rational Political or Collaborative Approach? </w:t>
      </w:r>
      <w:r>
        <w:rPr>
          <w:rFonts w:cs="Arial"/>
          <w:u w:val="single"/>
        </w:rPr>
        <w:t>International Review of Administrative Sciences</w:t>
      </w:r>
      <w:r>
        <w:rPr>
          <w:rFonts w:cs="Arial"/>
        </w:rPr>
        <w:t xml:space="preserve">, Volume 82, Issue 3, Pages 435-453. </w:t>
      </w:r>
    </w:p>
    <w:p w14:paraId="4D0A397B" w14:textId="2070CF0B" w:rsidR="00D7019A" w:rsidRDefault="00D7019A" w:rsidP="00D7019A">
      <w:r>
        <w:t xml:space="preserve">Crown Copyright (2004) </w:t>
      </w:r>
      <w:r w:rsidRPr="005950CE">
        <w:rPr>
          <w:u w:val="single"/>
        </w:rPr>
        <w:t>Civil Contingencies Act</w:t>
      </w:r>
      <w:r>
        <w:t>, The Stationery Office (Her Majesty’s Stationery Office); London</w:t>
      </w:r>
    </w:p>
    <w:p w14:paraId="43F943BB" w14:textId="1BF39B59" w:rsidR="0097419D" w:rsidRDefault="0097419D" w:rsidP="0097419D">
      <w:r>
        <w:t xml:space="preserve">Crown Copyright (2004) </w:t>
      </w:r>
      <w:r>
        <w:rPr>
          <w:u w:val="single"/>
        </w:rPr>
        <w:t>Fire and Rescue Services</w:t>
      </w:r>
      <w:r w:rsidRPr="005950CE">
        <w:rPr>
          <w:u w:val="single"/>
        </w:rPr>
        <w:t xml:space="preserve"> Act</w:t>
      </w:r>
      <w:r>
        <w:t>, The Stationery Office (Her Majesty’s Stationery Office); London</w:t>
      </w:r>
    </w:p>
    <w:p w14:paraId="1C4C0A90" w14:textId="77777777" w:rsidR="00D7019A" w:rsidRDefault="00D7019A" w:rsidP="00D7019A">
      <w:r>
        <w:t xml:space="preserve">Crown Copyright (2006) </w:t>
      </w:r>
      <w:r w:rsidRPr="0027149A">
        <w:rPr>
          <w:u w:val="single"/>
        </w:rPr>
        <w:t>Report of the Official Account of the Bombings in London on 7th July 2005</w:t>
      </w:r>
      <w:r>
        <w:t>, The Stationery Office (Her Majesty’s Stationery Office); London</w:t>
      </w:r>
    </w:p>
    <w:p w14:paraId="2C3DF8DA" w14:textId="32408A4F" w:rsidR="00D7019A" w:rsidRPr="008043F5" w:rsidRDefault="00D7019A" w:rsidP="00D7019A">
      <w:r>
        <w:t xml:space="preserve">Crown Copyright (2013) </w:t>
      </w:r>
      <w:r w:rsidRPr="005F6B4E">
        <w:rPr>
          <w:u w:val="single"/>
        </w:rPr>
        <w:t xml:space="preserve">Emergency Response and Recovery; </w:t>
      </w:r>
      <w:r w:rsidR="005D0D1D" w:rsidRPr="005F6B4E">
        <w:rPr>
          <w:u w:val="single"/>
        </w:rPr>
        <w:t>Non-statutory</w:t>
      </w:r>
      <w:r w:rsidRPr="005F6B4E">
        <w:rPr>
          <w:u w:val="single"/>
        </w:rPr>
        <w:t xml:space="preserve"> guidance accompanying the Civil Contingencies Act 2004</w:t>
      </w:r>
      <w:r>
        <w:t xml:space="preserve">, </w:t>
      </w:r>
      <w:r>
        <w:rPr>
          <w:noProof/>
        </w:rPr>
        <w:t>The Stationery Office (Her Majesty's Stationery Office); London</w:t>
      </w:r>
    </w:p>
    <w:p w14:paraId="523867AD" w14:textId="77777777" w:rsidR="003F1B2F" w:rsidRPr="00771B77" w:rsidRDefault="003F1B2F" w:rsidP="003F1B2F">
      <w:pPr>
        <w:rPr>
          <w:rFonts w:cs="Arial"/>
        </w:rPr>
      </w:pPr>
      <w:r>
        <w:rPr>
          <w:rFonts w:cs="Arial"/>
        </w:rPr>
        <w:t xml:space="preserve">Davis A, </w:t>
      </w:r>
      <w:proofErr w:type="spellStart"/>
      <w:r>
        <w:rPr>
          <w:rFonts w:cs="Arial"/>
        </w:rPr>
        <w:t>Kopelman</w:t>
      </w:r>
      <w:proofErr w:type="spellEnd"/>
      <w:r>
        <w:rPr>
          <w:rFonts w:cs="Arial"/>
        </w:rPr>
        <w:t xml:space="preserve"> R &amp; </w:t>
      </w:r>
      <w:proofErr w:type="spellStart"/>
      <w:r>
        <w:rPr>
          <w:rFonts w:cs="Arial"/>
        </w:rPr>
        <w:t>Prottas</w:t>
      </w:r>
      <w:proofErr w:type="spellEnd"/>
      <w:r>
        <w:rPr>
          <w:rFonts w:cs="Arial"/>
        </w:rPr>
        <w:t xml:space="preserve"> D (2008), Douglas McGregor’s Theory X and Y: Toward a Construct-valid Measure, </w:t>
      </w:r>
      <w:r>
        <w:rPr>
          <w:rFonts w:cs="Arial"/>
          <w:u w:val="single"/>
        </w:rPr>
        <w:t>Journal of Managerial Issues</w:t>
      </w:r>
      <w:r>
        <w:rPr>
          <w:rFonts w:cs="Arial"/>
        </w:rPr>
        <w:t>, Volume 20, Issue 2, Pages 255-271.</w:t>
      </w:r>
    </w:p>
    <w:p w14:paraId="506F9BA1" w14:textId="5F08B9D3" w:rsidR="008D73A0" w:rsidRPr="008D73A0" w:rsidRDefault="008D73A0" w:rsidP="00B2308C">
      <w:proofErr w:type="spellStart"/>
      <w:r>
        <w:t>DuBin</w:t>
      </w:r>
      <w:proofErr w:type="spellEnd"/>
      <w:r>
        <w:t xml:space="preserve">, A (2013), </w:t>
      </w:r>
      <w:r w:rsidRPr="008D73A0">
        <w:rPr>
          <w:u w:val="single"/>
        </w:rPr>
        <w:t>Principles of Leadership</w:t>
      </w:r>
      <w:r>
        <w:t>, 7</w:t>
      </w:r>
      <w:r w:rsidRPr="008D73A0">
        <w:rPr>
          <w:vertAlign w:val="superscript"/>
        </w:rPr>
        <w:t>th</w:t>
      </w:r>
      <w:r>
        <w:t xml:space="preserve"> Edition, South Western Cengage Learning; </w:t>
      </w:r>
      <w:r w:rsidR="006E6C10">
        <w:t>UK.</w:t>
      </w:r>
    </w:p>
    <w:p w14:paraId="6E135A20" w14:textId="2EDC31CF" w:rsidR="00B2308C" w:rsidRPr="001D160C" w:rsidRDefault="00B2308C" w:rsidP="00B2308C">
      <w:r w:rsidRPr="001D160C">
        <w:t xml:space="preserve">Eden, D </w:t>
      </w:r>
      <w:r>
        <w:t>(</w:t>
      </w:r>
      <w:r w:rsidRPr="001D160C">
        <w:t>1990</w:t>
      </w:r>
      <w:r>
        <w:t>),</w:t>
      </w:r>
      <w:r w:rsidRPr="001D160C">
        <w:t xml:space="preserve"> </w:t>
      </w:r>
      <w:r w:rsidRPr="00B2308C">
        <w:rPr>
          <w:u w:val="single"/>
        </w:rPr>
        <w:t>Pygmalion in Management</w:t>
      </w:r>
      <w:r>
        <w:t>,</w:t>
      </w:r>
      <w:r w:rsidRPr="001D160C">
        <w:t xml:space="preserve"> Lexington Books</w:t>
      </w:r>
      <w:r>
        <w:t xml:space="preserve">; </w:t>
      </w:r>
      <w:r w:rsidRPr="001D160C">
        <w:t>Lexington, MA</w:t>
      </w:r>
      <w:r>
        <w:t>.</w:t>
      </w:r>
    </w:p>
    <w:p w14:paraId="77756AB8" w14:textId="77777777" w:rsidR="00B2308C" w:rsidRPr="001D160C" w:rsidRDefault="00B2308C" w:rsidP="00B2308C">
      <w:r>
        <w:t xml:space="preserve">Eden D, </w:t>
      </w:r>
      <w:r w:rsidRPr="001D160C">
        <w:t>Geller</w:t>
      </w:r>
      <w:r>
        <w:t xml:space="preserve"> D</w:t>
      </w:r>
      <w:r w:rsidRPr="001D160C">
        <w:t xml:space="preserve">, </w:t>
      </w:r>
      <w:proofErr w:type="spellStart"/>
      <w:r w:rsidRPr="001D160C">
        <w:t>Gewirtz</w:t>
      </w:r>
      <w:proofErr w:type="spellEnd"/>
      <w:r>
        <w:t xml:space="preserve"> A</w:t>
      </w:r>
      <w:r w:rsidRPr="001D160C">
        <w:t>, Gordon-</w:t>
      </w:r>
      <w:proofErr w:type="spellStart"/>
      <w:r w:rsidRPr="001D160C">
        <w:t>Terner</w:t>
      </w:r>
      <w:proofErr w:type="spellEnd"/>
      <w:r>
        <w:t xml:space="preserve"> I</w:t>
      </w:r>
      <w:r w:rsidRPr="001D160C">
        <w:t>, Liberman</w:t>
      </w:r>
      <w:r>
        <w:t xml:space="preserve"> M</w:t>
      </w:r>
      <w:r w:rsidRPr="001D160C">
        <w:t>, Pass</w:t>
      </w:r>
      <w:r>
        <w:t xml:space="preserve"> Y</w:t>
      </w:r>
      <w:r w:rsidRPr="001D160C">
        <w:t>, Salomon-</w:t>
      </w:r>
      <w:proofErr w:type="spellStart"/>
      <w:r w:rsidRPr="001D160C">
        <w:t>Segev</w:t>
      </w:r>
      <w:proofErr w:type="spellEnd"/>
      <w:r>
        <w:t xml:space="preserve"> I,</w:t>
      </w:r>
      <w:r w:rsidRPr="001D160C">
        <w:t xml:space="preserve"> and </w:t>
      </w:r>
      <w:proofErr w:type="spellStart"/>
      <w:r w:rsidRPr="001D160C">
        <w:t>Shalit</w:t>
      </w:r>
      <w:proofErr w:type="spellEnd"/>
      <w:r>
        <w:t xml:space="preserve"> M, (2000)</w:t>
      </w:r>
      <w:r w:rsidRPr="001D160C">
        <w:t xml:space="preserve"> Implanting Pygmalion Leadership Style</w:t>
      </w:r>
      <w:r>
        <w:t xml:space="preserve"> </w:t>
      </w:r>
      <w:r w:rsidRPr="001D160C">
        <w:t>through Workshop Training: Seven Field Experiments</w:t>
      </w:r>
      <w:r>
        <w:t>,</w:t>
      </w:r>
      <w:r w:rsidRPr="001D160C">
        <w:t xml:space="preserve"> </w:t>
      </w:r>
      <w:r w:rsidRPr="001D160C">
        <w:rPr>
          <w:u w:val="single"/>
        </w:rPr>
        <w:t>Leadership Quarterly</w:t>
      </w:r>
      <w:r>
        <w:t xml:space="preserve">, Volume </w:t>
      </w:r>
      <w:r w:rsidRPr="001D160C">
        <w:t>11</w:t>
      </w:r>
      <w:r>
        <w:t>, Pages</w:t>
      </w:r>
      <w:r w:rsidRPr="001D160C">
        <w:t xml:space="preserve"> 171-210.</w:t>
      </w:r>
    </w:p>
    <w:p w14:paraId="584F078B" w14:textId="04F1A9D2" w:rsidR="006E2228" w:rsidRDefault="006E2228" w:rsidP="006E2228">
      <w:proofErr w:type="spellStart"/>
      <w:r>
        <w:t>Egolf</w:t>
      </w:r>
      <w:proofErr w:type="spellEnd"/>
      <w:r>
        <w:t xml:space="preserve">, D (2013), </w:t>
      </w:r>
      <w:r w:rsidRPr="006E2228">
        <w:rPr>
          <w:u w:val="single"/>
        </w:rPr>
        <w:t>Forming Storming Norming Performing: Successful Communication in Groups and Teams</w:t>
      </w:r>
      <w:r>
        <w:t>, Third Edition, Bloomington; Indiana USA.</w:t>
      </w:r>
    </w:p>
    <w:p w14:paraId="2E54B346" w14:textId="42EEA57A" w:rsidR="00E22190" w:rsidRPr="00E22190" w:rsidRDefault="00E22190">
      <w:r>
        <w:t xml:space="preserve">Fire Service College (2018), </w:t>
      </w:r>
      <w:r w:rsidRPr="00E22190">
        <w:t>Fire Service College Prospectus 2018</w:t>
      </w:r>
      <w:r>
        <w:t xml:space="preserve"> (Online) Available at </w:t>
      </w:r>
      <w:hyperlink r:id="rId8" w:history="1">
        <w:r w:rsidRPr="007F0D26">
          <w:rPr>
            <w:rStyle w:val="Hyperlink"/>
          </w:rPr>
          <w:t>https://www.fireservicecollege.ac.uk/media/2859/fsc-prospectus-2018-v3.pdf</w:t>
        </w:r>
      </w:hyperlink>
      <w:r>
        <w:t xml:space="preserve"> Accessed 19th April 2018.</w:t>
      </w:r>
    </w:p>
    <w:p w14:paraId="42B9BB27" w14:textId="5FADEC72" w:rsidR="007018EE" w:rsidRDefault="007018EE">
      <w:r>
        <w:t xml:space="preserve">Greater London Authority (2006), </w:t>
      </w:r>
      <w:r w:rsidRPr="007018EE">
        <w:rPr>
          <w:u w:val="single"/>
        </w:rPr>
        <w:t>Report of the 7 July Review Committee</w:t>
      </w:r>
      <w:r>
        <w:t>, Greater London Authority; London.</w:t>
      </w:r>
    </w:p>
    <w:p w14:paraId="2B85761C" w14:textId="7F06F1CA" w:rsidR="006951D5" w:rsidRPr="006951D5" w:rsidRDefault="006951D5" w:rsidP="00706A78">
      <w:r>
        <w:t>Greenhalgh, K &amp; Murphy, P (201</w:t>
      </w:r>
      <w:r w:rsidR="009D592C">
        <w:t>8</w:t>
      </w:r>
      <w:r>
        <w:t xml:space="preserve">), </w:t>
      </w:r>
      <w:r w:rsidRPr="006951D5">
        <w:rPr>
          <w:u w:val="single"/>
        </w:rPr>
        <w:t>Fire and Rescue Services: Leadership and Management Perspectives</w:t>
      </w:r>
      <w:r>
        <w:t>, Springer;</w:t>
      </w:r>
      <w:r w:rsidR="009D592C">
        <w:t xml:space="preserve"> London.</w:t>
      </w:r>
    </w:p>
    <w:p w14:paraId="529D3CDE" w14:textId="2F5002BA" w:rsidR="00706A78" w:rsidRPr="007D16AD" w:rsidRDefault="00706A78" w:rsidP="00706A78">
      <w:r>
        <w:t xml:space="preserve">JESIP - </w:t>
      </w:r>
      <w:r w:rsidRPr="007D16AD">
        <w:t xml:space="preserve">Joint Emergency Services Interoperability Principles (2017), </w:t>
      </w:r>
      <w:r w:rsidR="00E9775B">
        <w:t>JESIP The Programme</w:t>
      </w:r>
      <w:r w:rsidRPr="007D16AD">
        <w:t xml:space="preserve"> (Online), Available at: </w:t>
      </w:r>
      <w:hyperlink r:id="rId9" w:history="1">
        <w:r w:rsidR="00E9775B" w:rsidRPr="007F0D26">
          <w:rPr>
            <w:rStyle w:val="Hyperlink"/>
          </w:rPr>
          <w:t>http://www.jesip.org.uk</w:t>
        </w:r>
      </w:hyperlink>
      <w:r w:rsidRPr="007D16AD">
        <w:t xml:space="preserve"> Accessed 2nd November 2017.</w:t>
      </w:r>
    </w:p>
    <w:p w14:paraId="1875A572" w14:textId="1EEE5FBF" w:rsidR="00E31C1C" w:rsidRDefault="005E17DB">
      <w:proofErr w:type="spellStart"/>
      <w:r>
        <w:t>Kerslake</w:t>
      </w:r>
      <w:proofErr w:type="spellEnd"/>
      <w:r>
        <w:t xml:space="preserve">, B (2018), The </w:t>
      </w:r>
      <w:proofErr w:type="spellStart"/>
      <w:r>
        <w:t>Kerslake</w:t>
      </w:r>
      <w:proofErr w:type="spellEnd"/>
      <w:r>
        <w:t xml:space="preserve"> Report: An independent review into the preparedness for, and emergency response to, the Manchester Arena attack on 22nd May 2017 (Online) Available at </w:t>
      </w:r>
      <w:hyperlink r:id="rId10" w:history="1">
        <w:r w:rsidR="00E31C1C" w:rsidRPr="007F0D26">
          <w:rPr>
            <w:rStyle w:val="Hyperlink"/>
          </w:rPr>
          <w:t>https://www.kerslakearenareview.co.uk/media/1022/kerslake_arena_review_printed_final.pdf</w:t>
        </w:r>
      </w:hyperlink>
      <w:r w:rsidR="00E31C1C">
        <w:t xml:space="preserve"> Accessed 19th April 2018.</w:t>
      </w:r>
    </w:p>
    <w:p w14:paraId="449F2ED1" w14:textId="77777777" w:rsidR="004B6C93" w:rsidRDefault="004B6C93" w:rsidP="004B6C93">
      <w:r>
        <w:t>LESLP (2012) Major Incident Procedure Manual: 8</w:t>
      </w:r>
      <w:r w:rsidRPr="00B07BE6">
        <w:rPr>
          <w:vertAlign w:val="superscript"/>
        </w:rPr>
        <w:t>th</w:t>
      </w:r>
      <w:r>
        <w:t xml:space="preserve"> Edition (Online). Available at </w:t>
      </w:r>
      <w:hyperlink r:id="rId11" w:history="1">
        <w:r w:rsidRPr="00C831A3">
          <w:rPr>
            <w:rStyle w:val="Hyperlink"/>
          </w:rPr>
          <w:t>http://www.london-fire.gov.uk/Documents/major_incident_procedure_manual_8th.pdf</w:t>
        </w:r>
      </w:hyperlink>
      <w:r>
        <w:t xml:space="preserve"> Accessed 2nd January 2017</w:t>
      </w:r>
    </w:p>
    <w:p w14:paraId="2B88D5B3" w14:textId="77777777" w:rsidR="00B454B4" w:rsidRDefault="00B454B4" w:rsidP="00B454B4">
      <w:r>
        <w:t xml:space="preserve">Montgomery, B (2010), </w:t>
      </w:r>
      <w:r>
        <w:rPr>
          <w:u w:val="single"/>
        </w:rPr>
        <w:t>A Field Marshal in the Family</w:t>
      </w:r>
      <w:r>
        <w:t>, Pen and Sword; South Yorkshire.</w:t>
      </w:r>
    </w:p>
    <w:p w14:paraId="1FE74EC6" w14:textId="6754EE41" w:rsidR="00F237FA" w:rsidRDefault="00DC706F" w:rsidP="00F237FA">
      <w:proofErr w:type="spellStart"/>
      <w:r>
        <w:t>Pardey</w:t>
      </w:r>
      <w:proofErr w:type="spellEnd"/>
      <w:r>
        <w:t xml:space="preserve">, D (2007), </w:t>
      </w:r>
      <w:r>
        <w:rPr>
          <w:u w:val="single"/>
        </w:rPr>
        <w:t>Introducing Leadership</w:t>
      </w:r>
      <w:r>
        <w:t xml:space="preserve">, </w:t>
      </w:r>
      <w:r w:rsidR="00545982">
        <w:t>Elsevier; Oxford.</w:t>
      </w:r>
    </w:p>
    <w:p w14:paraId="404515B2" w14:textId="105344D4" w:rsidR="00F77B7B" w:rsidRPr="00F77B7B" w:rsidRDefault="00F77B7B" w:rsidP="00F237FA">
      <w:proofErr w:type="spellStart"/>
      <w:r>
        <w:t>Stemba</w:t>
      </w:r>
      <w:proofErr w:type="spellEnd"/>
      <w:r>
        <w:t xml:space="preserve">, B (2009), </w:t>
      </w:r>
      <w:r>
        <w:rPr>
          <w:u w:val="single"/>
        </w:rPr>
        <w:t>Teaching Adventure Education Theory: Best Practices</w:t>
      </w:r>
      <w:r>
        <w:t>, Human Kinetics; Leeds.</w:t>
      </w:r>
    </w:p>
    <w:sectPr w:rsidR="00F77B7B" w:rsidRPr="00F77B7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2D5099" w14:textId="77777777" w:rsidR="003B646A" w:rsidRDefault="003B646A" w:rsidP="0052221D">
      <w:pPr>
        <w:spacing w:after="0" w:line="240" w:lineRule="auto"/>
      </w:pPr>
      <w:r>
        <w:separator/>
      </w:r>
    </w:p>
  </w:endnote>
  <w:endnote w:type="continuationSeparator" w:id="0">
    <w:p w14:paraId="166CF161" w14:textId="77777777" w:rsidR="003B646A" w:rsidRDefault="003B646A" w:rsidP="00522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AB359" w14:textId="77777777" w:rsidR="0052221D" w:rsidRDefault="0052221D" w:rsidP="0052221D">
    <w:pPr>
      <w:pStyle w:val="Footer"/>
      <w:jc w:val="center"/>
    </w:pPr>
    <w:r>
      <w:t>BA Law &amp; Public Services</w:t>
    </w:r>
    <w:r>
      <w:br/>
      <w:t>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5EC28A" w14:textId="77777777" w:rsidR="003B646A" w:rsidRDefault="003B646A" w:rsidP="0052221D">
      <w:pPr>
        <w:spacing w:after="0" w:line="240" w:lineRule="auto"/>
      </w:pPr>
      <w:r>
        <w:separator/>
      </w:r>
    </w:p>
  </w:footnote>
  <w:footnote w:type="continuationSeparator" w:id="0">
    <w:p w14:paraId="65E5FA5C" w14:textId="77777777" w:rsidR="003B646A" w:rsidRDefault="003B646A" w:rsidP="005222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902C5" w14:textId="77777777" w:rsidR="0052221D" w:rsidRDefault="0052221D">
    <w:pPr>
      <w:pStyle w:val="Header"/>
    </w:pPr>
    <w:r>
      <w:t>Cairn F Newton-Evans</w:t>
    </w:r>
    <w:r>
      <w:br/>
      <w:t>P109435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06FDC"/>
    <w:multiLevelType w:val="multilevel"/>
    <w:tmpl w:val="26E6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932C95"/>
    <w:multiLevelType w:val="multilevel"/>
    <w:tmpl w:val="2EBA0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3123F9"/>
    <w:multiLevelType w:val="hybridMultilevel"/>
    <w:tmpl w:val="E662D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21D"/>
    <w:rsid w:val="00022D8E"/>
    <w:rsid w:val="00080300"/>
    <w:rsid w:val="000F24B1"/>
    <w:rsid w:val="00133725"/>
    <w:rsid w:val="00155B5D"/>
    <w:rsid w:val="00181B06"/>
    <w:rsid w:val="0018660E"/>
    <w:rsid w:val="001D160C"/>
    <w:rsid w:val="001E075A"/>
    <w:rsid w:val="001F06FE"/>
    <w:rsid w:val="001F6ABD"/>
    <w:rsid w:val="002379DF"/>
    <w:rsid w:val="00277AD2"/>
    <w:rsid w:val="00286C55"/>
    <w:rsid w:val="002C0A3E"/>
    <w:rsid w:val="002D114E"/>
    <w:rsid w:val="002E500C"/>
    <w:rsid w:val="002F0C6F"/>
    <w:rsid w:val="00316672"/>
    <w:rsid w:val="00374442"/>
    <w:rsid w:val="003829C1"/>
    <w:rsid w:val="003869C6"/>
    <w:rsid w:val="003B646A"/>
    <w:rsid w:val="003F1B2F"/>
    <w:rsid w:val="004214C1"/>
    <w:rsid w:val="0044794F"/>
    <w:rsid w:val="00462A3A"/>
    <w:rsid w:val="004B6C93"/>
    <w:rsid w:val="004E6808"/>
    <w:rsid w:val="00514215"/>
    <w:rsid w:val="0052221D"/>
    <w:rsid w:val="00535CCA"/>
    <w:rsid w:val="00545982"/>
    <w:rsid w:val="00560245"/>
    <w:rsid w:val="005B03EA"/>
    <w:rsid w:val="005D0D1D"/>
    <w:rsid w:val="005D2657"/>
    <w:rsid w:val="005E17DB"/>
    <w:rsid w:val="00606E94"/>
    <w:rsid w:val="0064733D"/>
    <w:rsid w:val="00664407"/>
    <w:rsid w:val="006951D5"/>
    <w:rsid w:val="006A766D"/>
    <w:rsid w:val="006D01B4"/>
    <w:rsid w:val="006E2228"/>
    <w:rsid w:val="006E6C10"/>
    <w:rsid w:val="007018EE"/>
    <w:rsid w:val="007032C6"/>
    <w:rsid w:val="00706A78"/>
    <w:rsid w:val="00747441"/>
    <w:rsid w:val="0078728D"/>
    <w:rsid w:val="007C19B6"/>
    <w:rsid w:val="007D1DFD"/>
    <w:rsid w:val="007D26A4"/>
    <w:rsid w:val="007F1D0F"/>
    <w:rsid w:val="00807558"/>
    <w:rsid w:val="008A1B3D"/>
    <w:rsid w:val="008D30AC"/>
    <w:rsid w:val="008D6C2D"/>
    <w:rsid w:val="008D73A0"/>
    <w:rsid w:val="0093128E"/>
    <w:rsid w:val="0097419D"/>
    <w:rsid w:val="009B3934"/>
    <w:rsid w:val="009D592C"/>
    <w:rsid w:val="00A1179C"/>
    <w:rsid w:val="00A12598"/>
    <w:rsid w:val="00A12CB3"/>
    <w:rsid w:val="00A57C10"/>
    <w:rsid w:val="00A81A44"/>
    <w:rsid w:val="00AA6D4A"/>
    <w:rsid w:val="00B2308C"/>
    <w:rsid w:val="00B454B4"/>
    <w:rsid w:val="00B81E15"/>
    <w:rsid w:val="00BA3430"/>
    <w:rsid w:val="00BE061B"/>
    <w:rsid w:val="00C3167B"/>
    <w:rsid w:val="00C43ACC"/>
    <w:rsid w:val="00CB7EF1"/>
    <w:rsid w:val="00CC68BD"/>
    <w:rsid w:val="00CE35DB"/>
    <w:rsid w:val="00CF189B"/>
    <w:rsid w:val="00D50DA4"/>
    <w:rsid w:val="00D7019A"/>
    <w:rsid w:val="00D9770F"/>
    <w:rsid w:val="00DA5311"/>
    <w:rsid w:val="00DA7BCE"/>
    <w:rsid w:val="00DC6260"/>
    <w:rsid w:val="00DC706F"/>
    <w:rsid w:val="00E22190"/>
    <w:rsid w:val="00E31C1C"/>
    <w:rsid w:val="00E321A4"/>
    <w:rsid w:val="00E330AC"/>
    <w:rsid w:val="00E4237E"/>
    <w:rsid w:val="00E47CF2"/>
    <w:rsid w:val="00E9775B"/>
    <w:rsid w:val="00EF3B40"/>
    <w:rsid w:val="00EF55F5"/>
    <w:rsid w:val="00F076CB"/>
    <w:rsid w:val="00F1221E"/>
    <w:rsid w:val="00F237FA"/>
    <w:rsid w:val="00F75358"/>
    <w:rsid w:val="00F77B7B"/>
    <w:rsid w:val="00FC035D"/>
    <w:rsid w:val="00FD59ED"/>
    <w:rsid w:val="00FE0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397FF"/>
  <w15:chartTrackingRefBased/>
  <w15:docId w15:val="{D53648D6-CF11-44EB-8C2C-2E5A1DCFB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22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A34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2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21D"/>
  </w:style>
  <w:style w:type="paragraph" w:styleId="Footer">
    <w:name w:val="footer"/>
    <w:basedOn w:val="Normal"/>
    <w:link w:val="FooterChar"/>
    <w:uiPriority w:val="99"/>
    <w:unhideWhenUsed/>
    <w:rsid w:val="005222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21D"/>
  </w:style>
  <w:style w:type="paragraph" w:styleId="Title">
    <w:name w:val="Title"/>
    <w:basedOn w:val="Normal"/>
    <w:next w:val="Normal"/>
    <w:link w:val="TitleChar"/>
    <w:uiPriority w:val="10"/>
    <w:qFormat/>
    <w:rsid w:val="005222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21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2221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F237FA"/>
    <w:pPr>
      <w:ind w:left="720"/>
      <w:contextualSpacing/>
    </w:pPr>
  </w:style>
  <w:style w:type="character" w:styleId="Hyperlink">
    <w:name w:val="Hyperlink"/>
    <w:basedOn w:val="DefaultParagraphFont"/>
    <w:uiPriority w:val="99"/>
    <w:unhideWhenUsed/>
    <w:rsid w:val="002F0C6F"/>
    <w:rPr>
      <w:color w:val="0000FF"/>
      <w:u w:val="single"/>
    </w:rPr>
  </w:style>
  <w:style w:type="character" w:customStyle="1" w:styleId="UnresolvedMention">
    <w:name w:val="Unresolved Mention"/>
    <w:basedOn w:val="DefaultParagraphFont"/>
    <w:uiPriority w:val="99"/>
    <w:semiHidden/>
    <w:unhideWhenUsed/>
    <w:rsid w:val="00E31C1C"/>
    <w:rPr>
      <w:color w:val="808080"/>
      <w:shd w:val="clear" w:color="auto" w:fill="E6E6E6"/>
    </w:rPr>
  </w:style>
  <w:style w:type="character" w:styleId="FollowedHyperlink">
    <w:name w:val="FollowedHyperlink"/>
    <w:basedOn w:val="DefaultParagraphFont"/>
    <w:uiPriority w:val="99"/>
    <w:semiHidden/>
    <w:unhideWhenUsed/>
    <w:rsid w:val="00E31C1C"/>
    <w:rPr>
      <w:color w:val="954F72" w:themeColor="followedHyperlink"/>
      <w:u w:val="single"/>
    </w:rPr>
  </w:style>
  <w:style w:type="character" w:customStyle="1" w:styleId="Heading3Char">
    <w:name w:val="Heading 3 Char"/>
    <w:basedOn w:val="DefaultParagraphFont"/>
    <w:link w:val="Heading3"/>
    <w:uiPriority w:val="9"/>
    <w:semiHidden/>
    <w:rsid w:val="00BA343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289542">
      <w:bodyDiv w:val="1"/>
      <w:marLeft w:val="0"/>
      <w:marRight w:val="0"/>
      <w:marTop w:val="0"/>
      <w:marBottom w:val="0"/>
      <w:divBdr>
        <w:top w:val="none" w:sz="0" w:space="0" w:color="auto"/>
        <w:left w:val="none" w:sz="0" w:space="0" w:color="auto"/>
        <w:bottom w:val="none" w:sz="0" w:space="0" w:color="auto"/>
        <w:right w:val="none" w:sz="0" w:space="0" w:color="auto"/>
      </w:divBdr>
      <w:divsChild>
        <w:div w:id="61565840">
          <w:marLeft w:val="0"/>
          <w:marRight w:val="0"/>
          <w:marTop w:val="0"/>
          <w:marBottom w:val="0"/>
          <w:divBdr>
            <w:top w:val="none" w:sz="0" w:space="0" w:color="auto"/>
            <w:left w:val="none" w:sz="0" w:space="0" w:color="auto"/>
            <w:bottom w:val="none" w:sz="0" w:space="0" w:color="auto"/>
            <w:right w:val="none" w:sz="0" w:space="0" w:color="auto"/>
          </w:divBdr>
        </w:div>
      </w:divsChild>
    </w:div>
    <w:div w:id="341401255">
      <w:bodyDiv w:val="1"/>
      <w:marLeft w:val="0"/>
      <w:marRight w:val="0"/>
      <w:marTop w:val="0"/>
      <w:marBottom w:val="0"/>
      <w:divBdr>
        <w:top w:val="none" w:sz="0" w:space="0" w:color="auto"/>
        <w:left w:val="none" w:sz="0" w:space="0" w:color="auto"/>
        <w:bottom w:val="none" w:sz="0" w:space="0" w:color="auto"/>
        <w:right w:val="none" w:sz="0" w:space="0" w:color="auto"/>
      </w:divBdr>
    </w:div>
    <w:div w:id="626620530">
      <w:bodyDiv w:val="1"/>
      <w:marLeft w:val="0"/>
      <w:marRight w:val="0"/>
      <w:marTop w:val="0"/>
      <w:marBottom w:val="0"/>
      <w:divBdr>
        <w:top w:val="none" w:sz="0" w:space="0" w:color="auto"/>
        <w:left w:val="none" w:sz="0" w:space="0" w:color="auto"/>
        <w:bottom w:val="none" w:sz="0" w:space="0" w:color="auto"/>
        <w:right w:val="none" w:sz="0" w:space="0" w:color="auto"/>
      </w:divBdr>
    </w:div>
    <w:div w:id="828517621">
      <w:bodyDiv w:val="1"/>
      <w:marLeft w:val="0"/>
      <w:marRight w:val="0"/>
      <w:marTop w:val="0"/>
      <w:marBottom w:val="0"/>
      <w:divBdr>
        <w:top w:val="none" w:sz="0" w:space="0" w:color="auto"/>
        <w:left w:val="none" w:sz="0" w:space="0" w:color="auto"/>
        <w:bottom w:val="none" w:sz="0" w:space="0" w:color="auto"/>
        <w:right w:val="none" w:sz="0" w:space="0" w:color="auto"/>
      </w:divBdr>
      <w:divsChild>
        <w:div w:id="1668247443">
          <w:marLeft w:val="0"/>
          <w:marRight w:val="0"/>
          <w:marTop w:val="0"/>
          <w:marBottom w:val="0"/>
          <w:divBdr>
            <w:top w:val="none" w:sz="0" w:space="0" w:color="auto"/>
            <w:left w:val="none" w:sz="0" w:space="0" w:color="auto"/>
            <w:bottom w:val="none" w:sz="0" w:space="0" w:color="auto"/>
            <w:right w:val="none" w:sz="0" w:space="0" w:color="auto"/>
          </w:divBdr>
          <w:divsChild>
            <w:div w:id="1868904691">
              <w:marLeft w:val="0"/>
              <w:marRight w:val="0"/>
              <w:marTop w:val="0"/>
              <w:marBottom w:val="0"/>
              <w:divBdr>
                <w:top w:val="none" w:sz="0" w:space="0" w:color="auto"/>
                <w:left w:val="none" w:sz="0" w:space="0" w:color="auto"/>
                <w:bottom w:val="none" w:sz="0" w:space="0" w:color="auto"/>
                <w:right w:val="none" w:sz="0" w:space="0" w:color="auto"/>
              </w:divBdr>
              <w:divsChild>
                <w:div w:id="543637254">
                  <w:marLeft w:val="0"/>
                  <w:marRight w:val="0"/>
                  <w:marTop w:val="630"/>
                  <w:marBottom w:val="0"/>
                  <w:divBdr>
                    <w:top w:val="none" w:sz="0" w:space="0" w:color="auto"/>
                    <w:left w:val="none" w:sz="0" w:space="0" w:color="auto"/>
                    <w:bottom w:val="none" w:sz="0" w:space="0" w:color="auto"/>
                    <w:right w:val="none" w:sz="0" w:space="0" w:color="auto"/>
                  </w:divBdr>
                  <w:divsChild>
                    <w:div w:id="1179855565">
                      <w:marLeft w:val="0"/>
                      <w:marRight w:val="0"/>
                      <w:marTop w:val="0"/>
                      <w:marBottom w:val="0"/>
                      <w:divBdr>
                        <w:top w:val="none" w:sz="0" w:space="0" w:color="auto"/>
                        <w:left w:val="none" w:sz="0" w:space="0" w:color="auto"/>
                        <w:bottom w:val="none" w:sz="0" w:space="0" w:color="auto"/>
                        <w:right w:val="none" w:sz="0" w:space="0" w:color="auto"/>
                      </w:divBdr>
                      <w:divsChild>
                        <w:div w:id="2136021162">
                          <w:marLeft w:val="-312"/>
                          <w:marRight w:val="0"/>
                          <w:marTop w:val="0"/>
                          <w:marBottom w:val="0"/>
                          <w:divBdr>
                            <w:top w:val="none" w:sz="0" w:space="0" w:color="auto"/>
                            <w:left w:val="none" w:sz="0" w:space="0" w:color="auto"/>
                            <w:bottom w:val="none" w:sz="0" w:space="0" w:color="auto"/>
                            <w:right w:val="none" w:sz="0" w:space="0" w:color="auto"/>
                          </w:divBdr>
                          <w:divsChild>
                            <w:div w:id="1239171821">
                              <w:marLeft w:val="0"/>
                              <w:marRight w:val="0"/>
                              <w:marTop w:val="0"/>
                              <w:marBottom w:val="0"/>
                              <w:divBdr>
                                <w:top w:val="none" w:sz="0" w:space="0" w:color="auto"/>
                                <w:left w:val="none" w:sz="0" w:space="0" w:color="auto"/>
                                <w:bottom w:val="none" w:sz="0" w:space="0" w:color="auto"/>
                                <w:right w:val="none" w:sz="0" w:space="0" w:color="auto"/>
                              </w:divBdr>
                            </w:div>
                            <w:div w:id="1300499641">
                              <w:marLeft w:val="0"/>
                              <w:marRight w:val="0"/>
                              <w:marTop w:val="0"/>
                              <w:marBottom w:val="0"/>
                              <w:divBdr>
                                <w:top w:val="none" w:sz="0" w:space="0" w:color="auto"/>
                                <w:left w:val="none" w:sz="0" w:space="0" w:color="auto"/>
                                <w:bottom w:val="none" w:sz="0" w:space="0" w:color="auto"/>
                                <w:right w:val="none" w:sz="0" w:space="0" w:color="auto"/>
                              </w:divBdr>
                              <w:divsChild>
                                <w:div w:id="141432038">
                                  <w:marLeft w:val="0"/>
                                  <w:marRight w:val="0"/>
                                  <w:marTop w:val="0"/>
                                  <w:marBottom w:val="0"/>
                                  <w:divBdr>
                                    <w:top w:val="none" w:sz="0" w:space="0" w:color="auto"/>
                                    <w:left w:val="none" w:sz="0" w:space="0" w:color="auto"/>
                                    <w:bottom w:val="none" w:sz="0" w:space="0" w:color="auto"/>
                                    <w:right w:val="none" w:sz="0" w:space="0" w:color="auto"/>
                                  </w:divBdr>
                                </w:div>
                              </w:divsChild>
                            </w:div>
                            <w:div w:id="44735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90866">
          <w:marLeft w:val="0"/>
          <w:marRight w:val="0"/>
          <w:marTop w:val="0"/>
          <w:marBottom w:val="0"/>
          <w:divBdr>
            <w:top w:val="none" w:sz="0" w:space="0" w:color="auto"/>
            <w:left w:val="none" w:sz="0" w:space="0" w:color="auto"/>
            <w:bottom w:val="none" w:sz="0" w:space="0" w:color="auto"/>
            <w:right w:val="none" w:sz="0" w:space="0" w:color="auto"/>
          </w:divBdr>
          <w:divsChild>
            <w:div w:id="627973419">
              <w:marLeft w:val="0"/>
              <w:marRight w:val="0"/>
              <w:marTop w:val="0"/>
              <w:marBottom w:val="0"/>
              <w:divBdr>
                <w:top w:val="none" w:sz="0" w:space="0" w:color="auto"/>
                <w:left w:val="none" w:sz="0" w:space="0" w:color="auto"/>
                <w:bottom w:val="none" w:sz="0" w:space="0" w:color="auto"/>
                <w:right w:val="none" w:sz="0" w:space="0" w:color="auto"/>
              </w:divBdr>
              <w:divsChild>
                <w:div w:id="165943435">
                  <w:marLeft w:val="0"/>
                  <w:marRight w:val="0"/>
                  <w:marTop w:val="0"/>
                  <w:marBottom w:val="0"/>
                  <w:divBdr>
                    <w:top w:val="none" w:sz="0" w:space="0" w:color="auto"/>
                    <w:left w:val="none" w:sz="0" w:space="0" w:color="auto"/>
                    <w:bottom w:val="none" w:sz="0" w:space="0" w:color="auto"/>
                    <w:right w:val="none" w:sz="0" w:space="0" w:color="auto"/>
                  </w:divBdr>
                  <w:divsChild>
                    <w:div w:id="1014306991">
                      <w:marLeft w:val="0"/>
                      <w:marRight w:val="0"/>
                      <w:marTop w:val="0"/>
                      <w:marBottom w:val="0"/>
                      <w:divBdr>
                        <w:top w:val="none" w:sz="0" w:space="0" w:color="auto"/>
                        <w:left w:val="none" w:sz="0" w:space="0" w:color="auto"/>
                        <w:bottom w:val="none" w:sz="0" w:space="0" w:color="auto"/>
                        <w:right w:val="none" w:sz="0" w:space="0" w:color="auto"/>
                      </w:divBdr>
                      <w:divsChild>
                        <w:div w:id="1632133482">
                          <w:marLeft w:val="0"/>
                          <w:marRight w:val="0"/>
                          <w:marTop w:val="0"/>
                          <w:marBottom w:val="0"/>
                          <w:divBdr>
                            <w:top w:val="none" w:sz="0" w:space="0" w:color="auto"/>
                            <w:left w:val="none" w:sz="0" w:space="0" w:color="auto"/>
                            <w:bottom w:val="none" w:sz="0" w:space="0" w:color="auto"/>
                            <w:right w:val="none" w:sz="0" w:space="0" w:color="auto"/>
                          </w:divBdr>
                          <w:divsChild>
                            <w:div w:id="191111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6879164">
      <w:bodyDiv w:val="1"/>
      <w:marLeft w:val="0"/>
      <w:marRight w:val="0"/>
      <w:marTop w:val="0"/>
      <w:marBottom w:val="0"/>
      <w:divBdr>
        <w:top w:val="none" w:sz="0" w:space="0" w:color="auto"/>
        <w:left w:val="none" w:sz="0" w:space="0" w:color="auto"/>
        <w:bottom w:val="none" w:sz="0" w:space="0" w:color="auto"/>
        <w:right w:val="none" w:sz="0" w:space="0" w:color="auto"/>
      </w:divBdr>
    </w:div>
    <w:div w:id="1430857179">
      <w:bodyDiv w:val="1"/>
      <w:marLeft w:val="0"/>
      <w:marRight w:val="0"/>
      <w:marTop w:val="0"/>
      <w:marBottom w:val="0"/>
      <w:divBdr>
        <w:top w:val="none" w:sz="0" w:space="0" w:color="auto"/>
        <w:left w:val="none" w:sz="0" w:space="0" w:color="auto"/>
        <w:bottom w:val="none" w:sz="0" w:space="0" w:color="auto"/>
        <w:right w:val="none" w:sz="0" w:space="0" w:color="auto"/>
      </w:divBdr>
    </w:div>
    <w:div w:id="213925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eservicecollege.ac.uk/media/2859/fsc-prospectus-2018-v3.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ondon-fire.gov.uk/Documents/major_incident_procedure_manual_8th.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kerslakearenareview.co.uk/media/1022/kerslake_arena_review_printed_final.pdf" TargetMode="External"/><Relationship Id="rId4" Type="http://schemas.openxmlformats.org/officeDocument/2006/relationships/settings" Target="settings.xml"/><Relationship Id="rId9" Type="http://schemas.openxmlformats.org/officeDocument/2006/relationships/hyperlink" Target="http://www.jesip.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DB69D-0C93-40CC-8918-A2D26563F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3568</Words>
  <Characters>20342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Cairn Newton (P109435)</dc:creator>
  <cp:keywords/>
  <dc:description/>
  <cp:lastModifiedBy>Cairn Newton (P109435)</cp:lastModifiedBy>
  <cp:revision>3</cp:revision>
  <dcterms:created xsi:type="dcterms:W3CDTF">2018-05-01T12:42:00Z</dcterms:created>
  <dcterms:modified xsi:type="dcterms:W3CDTF">2018-05-01T12:42:00Z</dcterms:modified>
</cp:coreProperties>
</file>