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FC6723" w14:textId="291E49BA" w:rsidR="58F8BC1E" w:rsidRDefault="58F8BC1E" w:rsidP="58F8BC1E">
      <w:pPr>
        <w:rPr>
          <w:rFonts w:ascii="Calibri" w:eastAsia="Calibri" w:hAnsi="Calibri" w:cs="Calibri"/>
          <w:color w:val="000000" w:themeColor="text1"/>
          <w:sz w:val="24"/>
          <w:szCs w:val="24"/>
        </w:rPr>
      </w:pPr>
      <w:r w:rsidRPr="58F8BC1E">
        <w:rPr>
          <w:rFonts w:ascii="Calibri" w:eastAsia="Calibri" w:hAnsi="Calibri" w:cs="Calibri"/>
          <w:b/>
          <w:bCs/>
          <w:color w:val="000000" w:themeColor="text1"/>
          <w:sz w:val="24"/>
          <w:szCs w:val="24"/>
          <w:u w:val="single"/>
        </w:rPr>
        <w:t>Working Title</w:t>
      </w:r>
    </w:p>
    <w:p w14:paraId="5525DC49" w14:textId="5AC4A9E1" w:rsidR="58F8BC1E" w:rsidRDefault="58F8BC1E" w:rsidP="58F8BC1E">
      <w:pPr>
        <w:spacing w:line="360" w:lineRule="auto"/>
        <w:rPr>
          <w:rFonts w:ascii="Calibri" w:eastAsia="Calibri" w:hAnsi="Calibri" w:cs="Calibri"/>
          <w:color w:val="000000" w:themeColor="text1"/>
          <w:sz w:val="24"/>
          <w:szCs w:val="24"/>
        </w:rPr>
      </w:pPr>
      <w:r w:rsidRPr="58F8BC1E">
        <w:rPr>
          <w:rFonts w:ascii="Calibri" w:eastAsia="Calibri" w:hAnsi="Calibri" w:cs="Calibri"/>
          <w:color w:val="000000" w:themeColor="text1"/>
          <w:sz w:val="24"/>
          <w:szCs w:val="24"/>
        </w:rPr>
        <w:t>To what extent can accessing green spaces help improve wellbeing and restore attention for a group of 16–18-year-old A-level learners? Is there an opportunity to embed wellbeing walks in green/blue spaces as part of the study programme for further education (FE) learners?</w:t>
      </w:r>
    </w:p>
    <w:p w14:paraId="16C2ABA6" w14:textId="38AB9486" w:rsidR="58F8BC1E" w:rsidRDefault="58F8BC1E" w:rsidP="58F8BC1E">
      <w:pPr>
        <w:spacing w:line="360" w:lineRule="auto"/>
        <w:rPr>
          <w:rFonts w:ascii="Calibri" w:eastAsia="Calibri" w:hAnsi="Calibri" w:cs="Calibri"/>
          <w:color w:val="000000" w:themeColor="text1"/>
          <w:sz w:val="24"/>
          <w:szCs w:val="24"/>
        </w:rPr>
      </w:pPr>
      <w:r w:rsidRPr="58F8BC1E">
        <w:rPr>
          <w:rFonts w:ascii="Calibri" w:eastAsia="Calibri" w:hAnsi="Calibri" w:cs="Calibri"/>
          <w:b/>
          <w:bCs/>
          <w:color w:val="000000" w:themeColor="text1"/>
          <w:sz w:val="24"/>
          <w:szCs w:val="24"/>
          <w:u w:val="single"/>
        </w:rPr>
        <w:t>Introduction</w:t>
      </w:r>
    </w:p>
    <w:p w14:paraId="7A2D0B6F" w14:textId="017F4446" w:rsidR="58F8BC1E" w:rsidRDefault="58F8BC1E" w:rsidP="076B2D9A">
      <w:pPr>
        <w:spacing w:line="360" w:lineRule="auto"/>
        <w:rPr>
          <w:rFonts w:ascii="Calibri" w:eastAsia="Calibri" w:hAnsi="Calibri" w:cs="Calibri"/>
          <w:color w:val="FF0000"/>
          <w:sz w:val="24"/>
          <w:szCs w:val="24"/>
        </w:rPr>
      </w:pPr>
      <w:r w:rsidRPr="076B2D9A">
        <w:rPr>
          <w:rFonts w:ascii="Calibri" w:eastAsia="Calibri" w:hAnsi="Calibri" w:cs="Calibri"/>
          <w:color w:val="000000" w:themeColor="text1"/>
          <w:sz w:val="24"/>
          <w:szCs w:val="24"/>
        </w:rPr>
        <w:t xml:space="preserve">Studying for exams is perceived as being a highly stressful time (Connor, 2001; </w:t>
      </w:r>
      <w:proofErr w:type="spellStart"/>
      <w:r w:rsidRPr="076B2D9A">
        <w:rPr>
          <w:rFonts w:ascii="Calibri" w:eastAsia="Calibri" w:hAnsi="Calibri" w:cs="Calibri"/>
          <w:color w:val="000000" w:themeColor="text1"/>
          <w:sz w:val="24"/>
          <w:szCs w:val="24"/>
        </w:rPr>
        <w:t>Putwain</w:t>
      </w:r>
      <w:proofErr w:type="spellEnd"/>
      <w:r w:rsidRPr="076B2D9A">
        <w:rPr>
          <w:rFonts w:ascii="Calibri" w:eastAsia="Calibri" w:hAnsi="Calibri" w:cs="Calibri"/>
          <w:color w:val="000000" w:themeColor="text1"/>
          <w:sz w:val="24"/>
          <w:szCs w:val="24"/>
        </w:rPr>
        <w:t>, 2009). This can have a significant and detrimental impact on wellbeing (Denscombe, 2000) and mental health (</w:t>
      </w:r>
      <w:proofErr w:type="spellStart"/>
      <w:r w:rsidRPr="076B2D9A">
        <w:rPr>
          <w:rFonts w:ascii="Calibri" w:eastAsia="Calibri" w:hAnsi="Calibri" w:cs="Calibri"/>
          <w:color w:val="000000" w:themeColor="text1"/>
          <w:sz w:val="24"/>
          <w:szCs w:val="24"/>
        </w:rPr>
        <w:t>Roome</w:t>
      </w:r>
      <w:proofErr w:type="spellEnd"/>
      <w:r w:rsidRPr="076B2D9A">
        <w:rPr>
          <w:rFonts w:ascii="Calibri" w:eastAsia="Calibri" w:hAnsi="Calibri" w:cs="Calibri"/>
          <w:color w:val="000000" w:themeColor="text1"/>
          <w:sz w:val="24"/>
          <w:szCs w:val="24"/>
        </w:rPr>
        <w:t xml:space="preserve"> &amp; Soane, 2019). Due to the Covid-19 pandemic, the 2021-22 cohort have yet to experience academic exams (Times Educational Supplement, 2021).</w:t>
      </w:r>
      <w:r w:rsidRPr="076B2D9A">
        <w:rPr>
          <w:rFonts w:ascii="Calibri" w:eastAsia="Calibri" w:hAnsi="Calibri" w:cs="Calibri"/>
          <w:color w:val="FF0000"/>
          <w:sz w:val="24"/>
          <w:szCs w:val="24"/>
        </w:rPr>
        <w:t xml:space="preserve"> </w:t>
      </w:r>
      <w:r w:rsidRPr="076B2D9A">
        <w:rPr>
          <w:rFonts w:ascii="Calibri" w:eastAsia="Calibri" w:hAnsi="Calibri" w:cs="Calibri"/>
          <w:color w:val="000000" w:themeColor="text1"/>
          <w:sz w:val="24"/>
          <w:szCs w:val="24"/>
        </w:rPr>
        <w:t>It could be argued that the learners sitting exams this year are facing an extra challenge.</w:t>
      </w:r>
      <w:r w:rsidRPr="076B2D9A">
        <w:rPr>
          <w:rFonts w:ascii="Calibri" w:eastAsia="Calibri" w:hAnsi="Calibri" w:cs="Calibri"/>
          <w:color w:val="FF0000"/>
          <w:sz w:val="24"/>
          <w:szCs w:val="24"/>
        </w:rPr>
        <w:t xml:space="preserve"> </w:t>
      </w:r>
    </w:p>
    <w:p w14:paraId="223978F8" w14:textId="6C6B566C" w:rsidR="58F8BC1E" w:rsidRDefault="58F8BC1E" w:rsidP="076B2D9A">
      <w:pPr>
        <w:spacing w:line="360" w:lineRule="auto"/>
        <w:rPr>
          <w:rFonts w:ascii="Calibri" w:eastAsia="Calibri" w:hAnsi="Calibri" w:cs="Calibri"/>
          <w:color w:val="000000" w:themeColor="text1"/>
          <w:sz w:val="24"/>
          <w:szCs w:val="24"/>
          <w:lang w:val="en-US"/>
        </w:rPr>
      </w:pPr>
      <w:r w:rsidRPr="076B2D9A">
        <w:rPr>
          <w:rFonts w:ascii="Calibri" w:eastAsia="Calibri" w:hAnsi="Calibri" w:cs="Calibri"/>
          <w:color w:val="000000" w:themeColor="text1"/>
          <w:sz w:val="24"/>
          <w:szCs w:val="24"/>
        </w:rPr>
        <w:t xml:space="preserve">Contact with nature and natural environments (green spaces) can improve mood and restore attention, reduce stress, promote wellbeing and lead to many other health and restorative outcomes (Kaplan &amp; Kaplan 1989; Ulrich, 1991; Kaplan, 1995; </w:t>
      </w:r>
      <w:proofErr w:type="spellStart"/>
      <w:r w:rsidRPr="076B2D9A">
        <w:rPr>
          <w:rFonts w:ascii="Calibri" w:eastAsia="Calibri" w:hAnsi="Calibri" w:cs="Calibri"/>
          <w:color w:val="000000" w:themeColor="text1"/>
          <w:sz w:val="24"/>
          <w:szCs w:val="24"/>
        </w:rPr>
        <w:t>Hartig</w:t>
      </w:r>
      <w:proofErr w:type="spellEnd"/>
      <w:r w:rsidRPr="076B2D9A">
        <w:rPr>
          <w:rFonts w:ascii="Calibri" w:eastAsia="Calibri" w:hAnsi="Calibri" w:cs="Calibri"/>
          <w:color w:val="000000" w:themeColor="text1"/>
          <w:sz w:val="24"/>
          <w:szCs w:val="24"/>
        </w:rPr>
        <w:t xml:space="preserve"> </w:t>
      </w:r>
      <w:r w:rsidRPr="076B2D9A">
        <w:rPr>
          <w:rFonts w:ascii="Calibri" w:eastAsia="Calibri" w:hAnsi="Calibri" w:cs="Calibri"/>
          <w:i/>
          <w:iCs/>
          <w:color w:val="000000" w:themeColor="text1"/>
          <w:sz w:val="24"/>
          <w:szCs w:val="24"/>
        </w:rPr>
        <w:t xml:space="preserve">et al., </w:t>
      </w:r>
      <w:r w:rsidRPr="076B2D9A">
        <w:rPr>
          <w:rFonts w:ascii="Calibri" w:eastAsia="Calibri" w:hAnsi="Calibri" w:cs="Calibri"/>
          <w:color w:val="000000" w:themeColor="text1"/>
          <w:sz w:val="24"/>
          <w:szCs w:val="24"/>
        </w:rPr>
        <w:t xml:space="preserve">2014). </w:t>
      </w:r>
    </w:p>
    <w:p w14:paraId="75D1A28F" w14:textId="0E37F015" w:rsidR="58F8BC1E" w:rsidRDefault="58F8BC1E" w:rsidP="076B2D9A">
      <w:pPr>
        <w:spacing w:line="360" w:lineRule="auto"/>
        <w:rPr>
          <w:rFonts w:ascii="Calibri" w:eastAsia="Calibri" w:hAnsi="Calibri" w:cs="Calibri"/>
          <w:sz w:val="24"/>
          <w:szCs w:val="24"/>
        </w:rPr>
      </w:pPr>
      <w:r w:rsidRPr="076B2D9A">
        <w:rPr>
          <w:rFonts w:ascii="Calibri" w:eastAsia="Calibri" w:hAnsi="Calibri" w:cs="Calibri"/>
          <w:sz w:val="24"/>
          <w:szCs w:val="24"/>
        </w:rPr>
        <w:t>Mental fatigue, whilst not always accompanied by stress, could be considered a ‘stress after effect’ that increases further vulnerability to stress (</w:t>
      </w:r>
      <w:proofErr w:type="spellStart"/>
      <w:r w:rsidRPr="076B2D9A">
        <w:rPr>
          <w:rFonts w:ascii="Calibri" w:eastAsia="Calibri" w:hAnsi="Calibri" w:cs="Calibri"/>
          <w:sz w:val="24"/>
          <w:szCs w:val="24"/>
        </w:rPr>
        <w:t>Berto</w:t>
      </w:r>
      <w:proofErr w:type="spellEnd"/>
      <w:r w:rsidRPr="076B2D9A">
        <w:rPr>
          <w:rFonts w:ascii="Calibri" w:eastAsia="Calibri" w:hAnsi="Calibri" w:cs="Calibri"/>
          <w:sz w:val="24"/>
          <w:szCs w:val="24"/>
        </w:rPr>
        <w:t>, 2014, pp396). Poor mental health is one of the most significant economic social challenges of the 21</w:t>
      </w:r>
      <w:r w:rsidRPr="076B2D9A">
        <w:rPr>
          <w:rFonts w:ascii="Calibri" w:eastAsia="Calibri" w:hAnsi="Calibri" w:cs="Calibri"/>
          <w:sz w:val="24"/>
          <w:szCs w:val="24"/>
          <w:vertAlign w:val="superscript"/>
        </w:rPr>
        <w:t>st</w:t>
      </w:r>
      <w:r w:rsidRPr="076B2D9A">
        <w:rPr>
          <w:rFonts w:ascii="Calibri" w:eastAsia="Calibri" w:hAnsi="Calibri" w:cs="Calibri"/>
          <w:sz w:val="24"/>
          <w:szCs w:val="24"/>
        </w:rPr>
        <w:t xml:space="preserve"> Century (Harvey </w:t>
      </w:r>
      <w:r w:rsidRPr="076B2D9A">
        <w:rPr>
          <w:rFonts w:ascii="Calibri" w:eastAsia="Calibri" w:hAnsi="Calibri" w:cs="Calibri"/>
          <w:i/>
          <w:iCs/>
          <w:sz w:val="24"/>
          <w:szCs w:val="24"/>
        </w:rPr>
        <w:t xml:space="preserve">et al., </w:t>
      </w:r>
      <w:r w:rsidRPr="076B2D9A">
        <w:rPr>
          <w:rFonts w:ascii="Calibri" w:eastAsia="Calibri" w:hAnsi="Calibri" w:cs="Calibri"/>
          <w:sz w:val="24"/>
          <w:szCs w:val="24"/>
        </w:rPr>
        <w:t xml:space="preserve">2020) and in the UK, youth are currently experiencing a mental health crisis (Thompson &amp; </w:t>
      </w:r>
      <w:proofErr w:type="spellStart"/>
      <w:r w:rsidRPr="076B2D9A">
        <w:rPr>
          <w:rFonts w:ascii="Calibri" w:eastAsia="Calibri" w:hAnsi="Calibri" w:cs="Calibri"/>
          <w:sz w:val="24"/>
          <w:szCs w:val="24"/>
        </w:rPr>
        <w:t>Katikireddi</w:t>
      </w:r>
      <w:proofErr w:type="spellEnd"/>
      <w:r w:rsidRPr="076B2D9A">
        <w:rPr>
          <w:rFonts w:ascii="Calibri" w:eastAsia="Calibri" w:hAnsi="Calibri" w:cs="Calibri"/>
          <w:sz w:val="24"/>
          <w:szCs w:val="24"/>
        </w:rPr>
        <w:t xml:space="preserve">, 2018). </w:t>
      </w:r>
    </w:p>
    <w:p w14:paraId="74FE8152" w14:textId="71A34B4D" w:rsidR="58F8BC1E" w:rsidRDefault="58F8BC1E" w:rsidP="076B2D9A">
      <w:pPr>
        <w:spacing w:line="360" w:lineRule="auto"/>
        <w:rPr>
          <w:rFonts w:ascii="Calibri" w:eastAsia="Calibri" w:hAnsi="Calibri" w:cs="Calibri"/>
          <w:color w:val="000000" w:themeColor="text1"/>
          <w:sz w:val="24"/>
          <w:szCs w:val="24"/>
          <w:lang w:val="en-US"/>
        </w:rPr>
      </w:pPr>
      <w:r w:rsidRPr="076B2D9A">
        <w:rPr>
          <w:rFonts w:ascii="Calibri" w:eastAsia="Calibri" w:hAnsi="Calibri" w:cs="Calibri"/>
          <w:color w:val="000000" w:themeColor="text1"/>
          <w:sz w:val="24"/>
          <w:szCs w:val="24"/>
        </w:rPr>
        <w:t>Whilst it is recognised that poor mental health is not solely related to exams, educational establishments have the unique advantage of being able to offer health-promoting activities to a wide demographic. This could be essential due to the shortage of mental health professionals and the related resources made available to this age-group (National Audit Office, 2018). Birch (2020) suggested that this shifts the challenge in providing support to society, calling for new ways of thinking and resourcing. It is proposed that accessing green spaces regularly during the A/AS-level exam preparation period could help to reduce stress, restore attention, and promote mental health wellbeing.</w:t>
      </w:r>
    </w:p>
    <w:p w14:paraId="4F2EA93D" w14:textId="77777777" w:rsidR="00593CF9" w:rsidRDefault="00593CF9" w:rsidP="58F8BC1E">
      <w:pPr>
        <w:spacing w:line="360" w:lineRule="auto"/>
        <w:rPr>
          <w:rFonts w:ascii="Calibri" w:eastAsia="Calibri" w:hAnsi="Calibri" w:cs="Calibri"/>
          <w:b/>
          <w:bCs/>
          <w:color w:val="000000" w:themeColor="text1"/>
          <w:sz w:val="24"/>
          <w:szCs w:val="24"/>
          <w:u w:val="single"/>
        </w:rPr>
      </w:pPr>
    </w:p>
    <w:p w14:paraId="7048DDF8" w14:textId="1D3D2E87" w:rsidR="58F8BC1E" w:rsidRDefault="58F8BC1E" w:rsidP="58F8BC1E">
      <w:pPr>
        <w:spacing w:line="360" w:lineRule="auto"/>
        <w:rPr>
          <w:rFonts w:ascii="Calibri" w:eastAsia="Calibri" w:hAnsi="Calibri" w:cs="Calibri"/>
          <w:color w:val="000000" w:themeColor="text1"/>
          <w:sz w:val="24"/>
          <w:szCs w:val="24"/>
        </w:rPr>
      </w:pPr>
      <w:r w:rsidRPr="58F8BC1E">
        <w:rPr>
          <w:rFonts w:ascii="Calibri" w:eastAsia="Calibri" w:hAnsi="Calibri" w:cs="Calibri"/>
          <w:b/>
          <w:bCs/>
          <w:color w:val="000000" w:themeColor="text1"/>
          <w:sz w:val="24"/>
          <w:szCs w:val="24"/>
          <w:u w:val="single"/>
        </w:rPr>
        <w:lastRenderedPageBreak/>
        <w:t>Aims &amp; Objectives</w:t>
      </w:r>
    </w:p>
    <w:p w14:paraId="0EE31F05" w14:textId="74D5C580" w:rsidR="58F8BC1E" w:rsidRDefault="58F8BC1E" w:rsidP="58F8BC1E">
      <w:pPr>
        <w:spacing w:line="360" w:lineRule="auto"/>
        <w:rPr>
          <w:rFonts w:ascii="Calibri" w:eastAsia="Calibri" w:hAnsi="Calibri" w:cs="Calibri"/>
          <w:color w:val="000000" w:themeColor="text1"/>
          <w:sz w:val="24"/>
          <w:szCs w:val="24"/>
        </w:rPr>
      </w:pPr>
      <w:r w:rsidRPr="58F8BC1E">
        <w:rPr>
          <w:rFonts w:ascii="Calibri" w:eastAsia="Calibri" w:hAnsi="Calibri" w:cs="Calibri"/>
          <w:color w:val="000000" w:themeColor="text1"/>
          <w:sz w:val="24"/>
          <w:szCs w:val="24"/>
        </w:rPr>
        <w:t>The aim of this research is to determine whether contact with nature, by accessing greenspaces regularly, can improve wellbeing for a group of A-level learners preparing for exams. This will be underpinned by the following objectives:</w:t>
      </w:r>
    </w:p>
    <w:p w14:paraId="24074C62" w14:textId="03B595FF" w:rsidR="58F8BC1E" w:rsidRDefault="58F8BC1E" w:rsidP="58F8BC1E">
      <w:pPr>
        <w:spacing w:line="240" w:lineRule="auto"/>
        <w:rPr>
          <w:rFonts w:ascii="Calibri" w:eastAsia="Calibri" w:hAnsi="Calibri" w:cs="Calibri"/>
          <w:color w:val="000000" w:themeColor="text1"/>
          <w:sz w:val="24"/>
          <w:szCs w:val="24"/>
        </w:rPr>
      </w:pPr>
      <w:r w:rsidRPr="58F8BC1E">
        <w:rPr>
          <w:rFonts w:ascii="Calibri" w:eastAsia="Calibri" w:hAnsi="Calibri" w:cs="Calibri"/>
          <w:color w:val="000000" w:themeColor="text1"/>
          <w:sz w:val="24"/>
          <w:szCs w:val="24"/>
        </w:rPr>
        <w:t>1) To distinguish between if it is time away from the classroom or contact with nature that improves wellbeing.</w:t>
      </w:r>
    </w:p>
    <w:p w14:paraId="5133EC34" w14:textId="601F1B80" w:rsidR="58F8BC1E" w:rsidRDefault="58F8BC1E" w:rsidP="58F8BC1E">
      <w:pPr>
        <w:spacing w:line="240" w:lineRule="auto"/>
        <w:rPr>
          <w:rFonts w:ascii="Calibri" w:eastAsia="Calibri" w:hAnsi="Calibri" w:cs="Calibri"/>
          <w:color w:val="000000" w:themeColor="text1"/>
          <w:sz w:val="24"/>
          <w:szCs w:val="24"/>
        </w:rPr>
      </w:pPr>
      <w:r w:rsidRPr="58F8BC1E">
        <w:rPr>
          <w:rFonts w:ascii="Calibri" w:eastAsia="Calibri" w:hAnsi="Calibri" w:cs="Calibri"/>
          <w:color w:val="000000" w:themeColor="text1"/>
          <w:sz w:val="24"/>
          <w:szCs w:val="24"/>
        </w:rPr>
        <w:t>2) To identify whether (self-perceived) attention is restored in the learning sessions following the intervention.</w:t>
      </w:r>
    </w:p>
    <w:p w14:paraId="19DA78E2" w14:textId="1C0D47E8" w:rsidR="58F8BC1E" w:rsidRDefault="58F8BC1E" w:rsidP="58F8BC1E">
      <w:pPr>
        <w:spacing w:line="360" w:lineRule="auto"/>
        <w:rPr>
          <w:rFonts w:ascii="Calibri" w:eastAsia="Calibri" w:hAnsi="Calibri" w:cs="Calibri"/>
          <w:color w:val="000000" w:themeColor="text1"/>
          <w:sz w:val="24"/>
          <w:szCs w:val="24"/>
        </w:rPr>
      </w:pPr>
      <w:r w:rsidRPr="58F8BC1E">
        <w:rPr>
          <w:rFonts w:ascii="Calibri" w:eastAsia="Calibri" w:hAnsi="Calibri" w:cs="Calibri"/>
          <w:color w:val="000000" w:themeColor="text1"/>
          <w:sz w:val="24"/>
          <w:szCs w:val="24"/>
        </w:rPr>
        <w:t>3) To determine whether (self-perceived) stress is reduced.</w:t>
      </w:r>
    </w:p>
    <w:p w14:paraId="125F0E94" w14:textId="4C1F6BD7" w:rsidR="58F8BC1E" w:rsidRDefault="58F8BC1E" w:rsidP="58F8BC1E">
      <w:pPr>
        <w:spacing w:line="240" w:lineRule="auto"/>
        <w:rPr>
          <w:rFonts w:ascii="Calibri" w:eastAsia="Calibri" w:hAnsi="Calibri" w:cs="Calibri"/>
          <w:color w:val="000000" w:themeColor="text1"/>
          <w:sz w:val="24"/>
          <w:szCs w:val="24"/>
        </w:rPr>
      </w:pPr>
      <w:r w:rsidRPr="58F8BC1E">
        <w:rPr>
          <w:rFonts w:ascii="Calibri" w:eastAsia="Calibri" w:hAnsi="Calibri" w:cs="Calibri"/>
          <w:color w:val="000000" w:themeColor="text1"/>
          <w:sz w:val="24"/>
          <w:szCs w:val="24"/>
        </w:rPr>
        <w:t>4) To identify if this intervention type has the potential to be embedded in the study programme for future cohorts.</w:t>
      </w:r>
    </w:p>
    <w:p w14:paraId="6C78F969" w14:textId="77777777" w:rsidR="00593CF9" w:rsidRDefault="00593CF9" w:rsidP="58F8BC1E">
      <w:pPr>
        <w:spacing w:line="240" w:lineRule="auto"/>
        <w:rPr>
          <w:rFonts w:ascii="Calibri" w:eastAsia="Calibri" w:hAnsi="Calibri" w:cs="Calibri"/>
          <w:color w:val="000000" w:themeColor="text1"/>
          <w:sz w:val="24"/>
          <w:szCs w:val="24"/>
        </w:rPr>
      </w:pPr>
    </w:p>
    <w:p w14:paraId="0719E231" w14:textId="3F677890" w:rsidR="58F8BC1E" w:rsidRDefault="58F8BC1E" w:rsidP="076B2D9A">
      <w:pPr>
        <w:rPr>
          <w:rFonts w:ascii="Calibri" w:eastAsia="Calibri" w:hAnsi="Calibri" w:cs="Calibri"/>
          <w:color w:val="000000" w:themeColor="text1"/>
          <w:sz w:val="24"/>
          <w:szCs w:val="24"/>
        </w:rPr>
      </w:pPr>
      <w:r w:rsidRPr="076B2D9A">
        <w:rPr>
          <w:rFonts w:ascii="Calibri" w:eastAsia="Calibri" w:hAnsi="Calibri" w:cs="Calibri"/>
          <w:b/>
          <w:bCs/>
          <w:color w:val="000000" w:themeColor="text1"/>
          <w:sz w:val="24"/>
          <w:szCs w:val="24"/>
          <w:u w:val="single"/>
        </w:rPr>
        <w:t>Review of literature and rationale</w:t>
      </w:r>
      <w:r w:rsidRPr="076B2D9A">
        <w:rPr>
          <w:rFonts w:ascii="Calibri" w:eastAsia="Calibri" w:hAnsi="Calibri" w:cs="Calibri"/>
          <w:b/>
          <w:bCs/>
          <w:color w:val="000000" w:themeColor="text1"/>
          <w:sz w:val="24"/>
          <w:szCs w:val="24"/>
        </w:rPr>
        <w:t xml:space="preserve"> </w:t>
      </w:r>
    </w:p>
    <w:p w14:paraId="68A4B74A" w14:textId="0973DAEC" w:rsidR="58F8BC1E" w:rsidRDefault="58F8BC1E" w:rsidP="076B2D9A">
      <w:pPr>
        <w:spacing w:line="360" w:lineRule="auto"/>
        <w:rPr>
          <w:rFonts w:ascii="Calibri" w:eastAsia="Calibri" w:hAnsi="Calibri" w:cs="Calibri"/>
          <w:color w:val="000000" w:themeColor="text1"/>
          <w:sz w:val="24"/>
          <w:szCs w:val="24"/>
        </w:rPr>
      </w:pPr>
      <w:r w:rsidRPr="076B2D9A">
        <w:rPr>
          <w:rFonts w:ascii="Calibri" w:eastAsia="Calibri" w:hAnsi="Calibri" w:cs="Calibri"/>
          <w:color w:val="000000" w:themeColor="text1"/>
          <w:sz w:val="24"/>
          <w:szCs w:val="24"/>
        </w:rPr>
        <w:t xml:space="preserve">The theoretical framework is Attention Restoration Theory (ART) (Kaplan, 1995; Kaplan &amp; Kaplan, 1989). ART relates to recovery from directed attention fatigue (Kaplan, 1995). Directed attention is the wilful and effortful control of attention necessary for concentration on tasks and complex cognitive processes such as those required when engaging in education (Moran, 2019). </w:t>
      </w:r>
    </w:p>
    <w:p w14:paraId="372F92A1" w14:textId="143084D9" w:rsidR="58F8BC1E" w:rsidRDefault="58F8BC1E" w:rsidP="076B2D9A">
      <w:pPr>
        <w:spacing w:line="360" w:lineRule="auto"/>
        <w:rPr>
          <w:rFonts w:ascii="Calibri" w:eastAsia="Calibri" w:hAnsi="Calibri" w:cs="Calibri"/>
          <w:color w:val="000000" w:themeColor="text1"/>
          <w:sz w:val="24"/>
          <w:szCs w:val="24"/>
        </w:rPr>
      </w:pPr>
      <w:r w:rsidRPr="076B2D9A">
        <w:rPr>
          <w:rFonts w:ascii="Calibri" w:eastAsia="Calibri" w:hAnsi="Calibri" w:cs="Calibri"/>
          <w:color w:val="000000" w:themeColor="text1"/>
          <w:sz w:val="24"/>
          <w:szCs w:val="24"/>
        </w:rPr>
        <w:t>Mental fatigue, whilst not always accompanied by stress, could be considered a ‘stress after effect’ that increases further vulnerability to stress (</w:t>
      </w:r>
      <w:proofErr w:type="spellStart"/>
      <w:r w:rsidRPr="076B2D9A">
        <w:rPr>
          <w:rFonts w:ascii="Calibri" w:eastAsia="Calibri" w:hAnsi="Calibri" w:cs="Calibri"/>
          <w:color w:val="000000" w:themeColor="text1"/>
          <w:sz w:val="24"/>
          <w:szCs w:val="24"/>
        </w:rPr>
        <w:t>Berto</w:t>
      </w:r>
      <w:proofErr w:type="spellEnd"/>
      <w:r w:rsidRPr="076B2D9A">
        <w:rPr>
          <w:rFonts w:ascii="Calibri" w:eastAsia="Calibri" w:hAnsi="Calibri" w:cs="Calibri"/>
          <w:color w:val="000000" w:themeColor="text1"/>
          <w:sz w:val="24"/>
          <w:szCs w:val="24"/>
        </w:rPr>
        <w:t>, 2014, pp396). A restorative environment helps restore depleted emotional and functional resources and capabilities (</w:t>
      </w:r>
      <w:proofErr w:type="spellStart"/>
      <w:r w:rsidRPr="076B2D9A">
        <w:rPr>
          <w:rFonts w:ascii="Calibri" w:eastAsia="Calibri" w:hAnsi="Calibri" w:cs="Calibri"/>
          <w:color w:val="000000" w:themeColor="text1"/>
          <w:sz w:val="24"/>
          <w:szCs w:val="24"/>
        </w:rPr>
        <w:t>Hartig</w:t>
      </w:r>
      <w:proofErr w:type="spellEnd"/>
      <w:r w:rsidRPr="076B2D9A">
        <w:rPr>
          <w:rFonts w:ascii="Calibri" w:eastAsia="Calibri" w:hAnsi="Calibri" w:cs="Calibri"/>
          <w:color w:val="000000" w:themeColor="text1"/>
          <w:sz w:val="24"/>
          <w:szCs w:val="24"/>
        </w:rPr>
        <w:t>, 2004). Environments with interesting stimuli that effortlessly attract attention will facilitate the experience of ‘fascination’ (</w:t>
      </w:r>
      <w:proofErr w:type="spellStart"/>
      <w:r w:rsidRPr="076B2D9A">
        <w:rPr>
          <w:rFonts w:ascii="Calibri" w:eastAsia="Calibri" w:hAnsi="Calibri" w:cs="Calibri"/>
          <w:color w:val="000000" w:themeColor="text1"/>
          <w:sz w:val="24"/>
          <w:szCs w:val="24"/>
        </w:rPr>
        <w:t>Marselle</w:t>
      </w:r>
      <w:proofErr w:type="spellEnd"/>
      <w:r w:rsidRPr="076B2D9A">
        <w:rPr>
          <w:rFonts w:ascii="Calibri" w:eastAsia="Calibri" w:hAnsi="Calibri" w:cs="Calibri"/>
          <w:color w:val="000000" w:themeColor="text1"/>
          <w:sz w:val="24"/>
          <w:szCs w:val="24"/>
        </w:rPr>
        <w:t xml:space="preserve">, 2019, pp145). Although fascination is effortless, there are two distinct types (Kaplan &amp; Kaplan, 2003). Hard fascination, the type required to carry out tasks such as watching television, is not restorative. However, soft fascination captures attention effortlessly and leaves space for reflective thought and absent-mindedness (Moran, 2019). </w:t>
      </w:r>
      <w:r w:rsidRPr="076B2D9A">
        <w:rPr>
          <w:rFonts w:ascii="Calibri" w:eastAsia="Calibri" w:hAnsi="Calibri" w:cs="Calibri"/>
          <w:sz w:val="24"/>
          <w:szCs w:val="24"/>
        </w:rPr>
        <w:t xml:space="preserve">Kaplan &amp; Kaplan (1989) and Kaplan (1995) identified three other experiential qualities that make an environment restorative. The stimuli in the environment </w:t>
      </w:r>
      <w:r w:rsidRPr="076B2D9A">
        <w:rPr>
          <w:rFonts w:ascii="Calibri" w:eastAsia="Calibri" w:hAnsi="Calibri" w:cs="Calibri"/>
          <w:sz w:val="24"/>
          <w:szCs w:val="24"/>
        </w:rPr>
        <w:lastRenderedPageBreak/>
        <w:t xml:space="preserve">need to have ‘coherence,’ identified as those that are rich enough to offer an experience of being in a whole other world. ‘Compatibility’ is an environment that allows an experience without struggle. Finally, ‘being away’ is concerned with distance, both physically and psychologically, from the everyday demands that create directed attention (Marseille, 2019). </w:t>
      </w:r>
    </w:p>
    <w:p w14:paraId="77DAAAA5" w14:textId="5FDF0E7B" w:rsidR="58F8BC1E" w:rsidRDefault="58F8BC1E" w:rsidP="076B2D9A">
      <w:pPr>
        <w:spacing w:line="360" w:lineRule="auto"/>
        <w:rPr>
          <w:rFonts w:ascii="Calibri" w:eastAsia="Calibri" w:hAnsi="Calibri" w:cs="Calibri"/>
          <w:color w:val="000000" w:themeColor="text1"/>
          <w:sz w:val="24"/>
          <w:szCs w:val="24"/>
          <w:lang w:val="en-US"/>
        </w:rPr>
      </w:pPr>
      <w:r w:rsidRPr="076B2D9A">
        <w:rPr>
          <w:rFonts w:ascii="Calibri" w:eastAsia="Calibri" w:hAnsi="Calibri" w:cs="Calibri"/>
          <w:color w:val="000000" w:themeColor="text1"/>
          <w:sz w:val="24"/>
          <w:szCs w:val="24"/>
        </w:rPr>
        <w:t xml:space="preserve">Viewing nature from a window, or even images of nature can have measurable positive effects (Ulrich, 1984 &amp; Van den Berg </w:t>
      </w:r>
      <w:r w:rsidRPr="076B2D9A">
        <w:rPr>
          <w:rFonts w:ascii="Calibri" w:eastAsia="Calibri" w:hAnsi="Calibri" w:cs="Calibri"/>
          <w:i/>
          <w:iCs/>
          <w:color w:val="000000" w:themeColor="text1"/>
          <w:sz w:val="24"/>
          <w:szCs w:val="24"/>
        </w:rPr>
        <w:t xml:space="preserve">et al., </w:t>
      </w:r>
      <w:r w:rsidRPr="076B2D9A">
        <w:rPr>
          <w:rFonts w:ascii="Calibri" w:eastAsia="Calibri" w:hAnsi="Calibri" w:cs="Calibri"/>
          <w:color w:val="000000" w:themeColor="text1"/>
          <w:sz w:val="24"/>
          <w:szCs w:val="24"/>
        </w:rPr>
        <w:t>2016).</w:t>
      </w:r>
      <w:r w:rsidRPr="076B2D9A">
        <w:rPr>
          <w:rFonts w:ascii="Calibri" w:eastAsia="Calibri" w:hAnsi="Calibri" w:cs="Calibri"/>
          <w:color w:val="FF0000"/>
          <w:sz w:val="24"/>
          <w:szCs w:val="24"/>
        </w:rPr>
        <w:t xml:space="preserve"> </w:t>
      </w:r>
      <w:r w:rsidRPr="076B2D9A">
        <w:rPr>
          <w:rFonts w:ascii="Calibri" w:eastAsia="Calibri" w:hAnsi="Calibri" w:cs="Calibri"/>
          <w:color w:val="000000" w:themeColor="text1"/>
          <w:sz w:val="24"/>
          <w:szCs w:val="24"/>
        </w:rPr>
        <w:t>This demonstrated that the beneficial effects of nature can be harnessed through psychological means, alongside the widely reported benefits from physical factors such as exercise and air quality (White, 2019). Mental wellbeing is a state of positive psychological and emotional health (</w:t>
      </w:r>
      <w:proofErr w:type="spellStart"/>
      <w:r w:rsidRPr="076B2D9A">
        <w:rPr>
          <w:rFonts w:ascii="Calibri" w:eastAsia="Calibri" w:hAnsi="Calibri" w:cs="Calibri"/>
          <w:color w:val="000000" w:themeColor="text1"/>
          <w:sz w:val="24"/>
          <w:szCs w:val="24"/>
        </w:rPr>
        <w:t>Mackean</w:t>
      </w:r>
      <w:proofErr w:type="spellEnd"/>
      <w:r w:rsidRPr="076B2D9A">
        <w:rPr>
          <w:rFonts w:ascii="Calibri" w:eastAsia="Calibri" w:hAnsi="Calibri" w:cs="Calibri"/>
          <w:color w:val="000000" w:themeColor="text1"/>
          <w:sz w:val="24"/>
          <w:szCs w:val="24"/>
        </w:rPr>
        <w:t>, 2011). Mental wellbeing is dynamic and can change at any time (Mind, 2022). NEF (2008) identified five ways to wellbeing, these include connect, be active, take notice, keep learning, and give. The wellbeing intervention walks used in this research project have been designed to include all five of these, as well as trying to give the participants an environment that offers, soft fascination, coherence, compatibility, and the opportunity to be away.</w:t>
      </w:r>
    </w:p>
    <w:p w14:paraId="6EFCB3EB" w14:textId="1C66BB7E" w:rsidR="076B2D9A" w:rsidRDefault="076B2D9A" w:rsidP="076B2D9A">
      <w:pPr>
        <w:spacing w:line="360" w:lineRule="auto"/>
        <w:rPr>
          <w:rFonts w:ascii="Calibri" w:eastAsia="Calibri" w:hAnsi="Calibri" w:cs="Calibri"/>
          <w:color w:val="000000" w:themeColor="text1"/>
          <w:sz w:val="24"/>
          <w:szCs w:val="24"/>
        </w:rPr>
      </w:pPr>
      <w:r w:rsidRPr="076B2D9A">
        <w:rPr>
          <w:rFonts w:ascii="Calibri" w:eastAsia="Calibri" w:hAnsi="Calibri" w:cs="Calibri"/>
          <w:color w:val="000000" w:themeColor="text1"/>
          <w:sz w:val="24"/>
          <w:szCs w:val="24"/>
        </w:rPr>
        <w:t xml:space="preserve">Research in the UK relating to exam stress has highlighted a variety of self-perceived and environmental impacts. These include research by Denscombe (2000) on the burden of coursework, teacher pressure and the importance of exams relating to future careers, an investigation by </w:t>
      </w:r>
      <w:proofErr w:type="spellStart"/>
      <w:r w:rsidRPr="076B2D9A">
        <w:rPr>
          <w:rFonts w:ascii="Calibri" w:eastAsia="Calibri" w:hAnsi="Calibri" w:cs="Calibri"/>
          <w:color w:val="000000" w:themeColor="text1"/>
          <w:sz w:val="24"/>
          <w:szCs w:val="24"/>
        </w:rPr>
        <w:t>Putwain</w:t>
      </w:r>
      <w:proofErr w:type="spellEnd"/>
      <w:r w:rsidRPr="076B2D9A">
        <w:rPr>
          <w:rFonts w:ascii="Calibri" w:eastAsia="Calibri" w:hAnsi="Calibri" w:cs="Calibri"/>
          <w:color w:val="000000" w:themeColor="text1"/>
          <w:sz w:val="24"/>
          <w:szCs w:val="24"/>
        </w:rPr>
        <w:t xml:space="preserve"> (2009) on aspiration, motivation, and esteem, perceived parental pressure, examination anxiety and examination preparation and practice and Banks &amp; Smythe’s (2015), study on the school environment in general, incorporating many of the previously identified impacts.</w:t>
      </w:r>
    </w:p>
    <w:p w14:paraId="6DCAC174" w14:textId="01E38F21" w:rsidR="076B2D9A" w:rsidRDefault="076B2D9A" w:rsidP="076B2D9A">
      <w:pPr>
        <w:spacing w:line="360" w:lineRule="auto"/>
        <w:rPr>
          <w:rFonts w:ascii="Calibri" w:eastAsia="Calibri" w:hAnsi="Calibri" w:cs="Calibri"/>
          <w:color w:val="000000" w:themeColor="text1"/>
          <w:sz w:val="24"/>
          <w:szCs w:val="24"/>
        </w:rPr>
      </w:pPr>
      <w:proofErr w:type="spellStart"/>
      <w:r w:rsidRPr="076B2D9A">
        <w:rPr>
          <w:rFonts w:ascii="Calibri" w:eastAsia="Calibri" w:hAnsi="Calibri" w:cs="Calibri"/>
          <w:color w:val="000000" w:themeColor="text1"/>
          <w:sz w:val="24"/>
          <w:szCs w:val="24"/>
        </w:rPr>
        <w:t>Roome</w:t>
      </w:r>
      <w:proofErr w:type="spellEnd"/>
      <w:r w:rsidRPr="076B2D9A">
        <w:rPr>
          <w:rFonts w:ascii="Calibri" w:eastAsia="Calibri" w:hAnsi="Calibri" w:cs="Calibri"/>
          <w:color w:val="000000" w:themeColor="text1"/>
          <w:sz w:val="24"/>
          <w:szCs w:val="24"/>
        </w:rPr>
        <w:t xml:space="preserve"> &amp; Soane (2019) went a step further and identified learner perceptions on what helped them to alleviate stress associated with exams. These included peer, parental and school support and positive previous experiences. Using the underpinning Achievement Goal Theory (Elliot &amp; MacGregor, 2001) it was identified that those learners with mastery mindset and/or approach goals coped with exam stress much better. Recommendations were made for the school to provide additional support to learners susceptible to exam stress, with the learners themselves identifying the need for support with their wellbeing at this time (</w:t>
      </w:r>
      <w:proofErr w:type="spellStart"/>
      <w:r w:rsidRPr="076B2D9A">
        <w:rPr>
          <w:rFonts w:ascii="Calibri" w:eastAsia="Calibri" w:hAnsi="Calibri" w:cs="Calibri"/>
          <w:color w:val="000000" w:themeColor="text1"/>
          <w:sz w:val="24"/>
          <w:szCs w:val="24"/>
        </w:rPr>
        <w:t>Roome</w:t>
      </w:r>
      <w:proofErr w:type="spellEnd"/>
      <w:r w:rsidRPr="076B2D9A">
        <w:rPr>
          <w:rFonts w:ascii="Calibri" w:eastAsia="Calibri" w:hAnsi="Calibri" w:cs="Calibri"/>
          <w:color w:val="000000" w:themeColor="text1"/>
          <w:sz w:val="24"/>
          <w:szCs w:val="24"/>
        </w:rPr>
        <w:t xml:space="preserve"> &amp; Soane, </w:t>
      </w:r>
      <w:r w:rsidRPr="076B2D9A">
        <w:rPr>
          <w:rFonts w:ascii="Calibri" w:eastAsia="Calibri" w:hAnsi="Calibri" w:cs="Calibri"/>
          <w:color w:val="000000" w:themeColor="text1"/>
          <w:sz w:val="24"/>
          <w:szCs w:val="24"/>
        </w:rPr>
        <w:lastRenderedPageBreak/>
        <w:t xml:space="preserve">2019). All the research reviewed so far has focused on key-stage 4 learners sitting their GCSE exams. </w:t>
      </w:r>
      <w:proofErr w:type="spellStart"/>
      <w:r w:rsidRPr="076B2D9A">
        <w:rPr>
          <w:rFonts w:ascii="Calibri" w:eastAsia="Calibri" w:hAnsi="Calibri" w:cs="Calibri"/>
          <w:color w:val="000000" w:themeColor="text1"/>
          <w:sz w:val="24"/>
          <w:szCs w:val="24"/>
        </w:rPr>
        <w:t>Aherne</w:t>
      </w:r>
      <w:proofErr w:type="spellEnd"/>
      <w:r w:rsidRPr="076B2D9A">
        <w:rPr>
          <w:rFonts w:ascii="Calibri" w:eastAsia="Calibri" w:hAnsi="Calibri" w:cs="Calibri"/>
          <w:color w:val="000000" w:themeColor="text1"/>
          <w:sz w:val="24"/>
          <w:szCs w:val="24"/>
        </w:rPr>
        <w:t xml:space="preserve"> (2001) carried out a qualitative study on 27 key-stage 5 learners. Patterns identified included over-identification with academic success, the learners that identified this as an impact on stress tended to lack social skills and self-confidence, their identity was their exam grades. Giddens (1991) identified that academic work was a significant contributor to wellbeing as it constituted as part of one’s identity, in the same way as race or gender. Another pattern identified by </w:t>
      </w:r>
      <w:proofErr w:type="spellStart"/>
      <w:r w:rsidRPr="076B2D9A">
        <w:rPr>
          <w:rFonts w:ascii="Calibri" w:eastAsia="Calibri" w:hAnsi="Calibri" w:cs="Calibri"/>
          <w:color w:val="000000" w:themeColor="text1"/>
          <w:sz w:val="24"/>
          <w:szCs w:val="24"/>
        </w:rPr>
        <w:t>Aherne</w:t>
      </w:r>
      <w:proofErr w:type="spellEnd"/>
      <w:r w:rsidRPr="076B2D9A">
        <w:rPr>
          <w:rFonts w:ascii="Calibri" w:eastAsia="Calibri" w:hAnsi="Calibri" w:cs="Calibri"/>
          <w:color w:val="000000" w:themeColor="text1"/>
          <w:sz w:val="24"/>
          <w:szCs w:val="24"/>
        </w:rPr>
        <w:t xml:space="preserve"> (2001) was social inadequacy. For these learners, academic success was not a priority. Typically, these learners had poor social skills and reported feeling isolated. </w:t>
      </w:r>
    </w:p>
    <w:p w14:paraId="34AAF42F" w14:textId="13CE9279" w:rsidR="076B2D9A" w:rsidRDefault="076B2D9A" w:rsidP="076B2D9A">
      <w:pPr>
        <w:spacing w:line="360" w:lineRule="auto"/>
        <w:rPr>
          <w:rFonts w:ascii="Calibri" w:eastAsia="Calibri" w:hAnsi="Calibri" w:cs="Calibri"/>
          <w:sz w:val="24"/>
          <w:szCs w:val="24"/>
        </w:rPr>
      </w:pPr>
      <w:r w:rsidRPr="076B2D9A">
        <w:rPr>
          <w:rFonts w:ascii="Calibri" w:eastAsia="Calibri" w:hAnsi="Calibri" w:cs="Calibri"/>
          <w:color w:val="000000" w:themeColor="text1"/>
          <w:sz w:val="24"/>
          <w:szCs w:val="24"/>
        </w:rPr>
        <w:t>Birch (2020) offered insight into subjective youth experiences of mental wellbeing in relation to encounters with the urban natural environment. This qualitative study used a variety of art-based workshops and interviews to capture the events, feeling and experiences of 24 youths living in an urban environment. A</w:t>
      </w:r>
      <w:r w:rsidRPr="076B2D9A">
        <w:rPr>
          <w:rFonts w:ascii="Calibri" w:eastAsia="Calibri" w:hAnsi="Calibri" w:cs="Calibri"/>
          <w:sz w:val="24"/>
          <w:szCs w:val="24"/>
        </w:rPr>
        <w:t>nalysis of collected data produced three kinds of wellbeing benefits centred around: sense of self, a sense of escape and a sense of connection and care. Also reported, particularly for those that had pre-existing mental health conditions, that nature did not always help. It was also identified that there was a lack of 16–18-year-olds included in the study.</w:t>
      </w:r>
    </w:p>
    <w:p w14:paraId="5863C758" w14:textId="146B35BC" w:rsidR="58F8BC1E" w:rsidRDefault="58F8BC1E" w:rsidP="076B2D9A">
      <w:pPr>
        <w:spacing w:line="360" w:lineRule="auto"/>
        <w:rPr>
          <w:rFonts w:ascii="Calibri" w:eastAsia="Calibri" w:hAnsi="Calibri" w:cs="Calibri"/>
          <w:color w:val="000000" w:themeColor="text1"/>
          <w:sz w:val="24"/>
          <w:szCs w:val="24"/>
          <w:lang w:val="en-US"/>
        </w:rPr>
      </w:pPr>
      <w:r w:rsidRPr="076B2D9A">
        <w:rPr>
          <w:rFonts w:ascii="Calibri" w:eastAsia="Calibri" w:hAnsi="Calibri" w:cs="Calibri"/>
          <w:color w:val="000000" w:themeColor="text1"/>
          <w:sz w:val="24"/>
          <w:szCs w:val="24"/>
        </w:rPr>
        <w:t>No research associated with exam stress has been found that has utilised a wellbeing intervention based on accessing greenspaces and contact with restorative environments. As reported the school environment can have a negative or positive impact on the pressure and stress that exams cause (</w:t>
      </w:r>
      <w:proofErr w:type="spellStart"/>
      <w:r w:rsidRPr="076B2D9A">
        <w:rPr>
          <w:rFonts w:ascii="Calibri" w:eastAsia="Calibri" w:hAnsi="Calibri" w:cs="Calibri"/>
          <w:color w:val="000000" w:themeColor="text1"/>
          <w:sz w:val="24"/>
          <w:szCs w:val="24"/>
        </w:rPr>
        <w:t>Roome</w:t>
      </w:r>
      <w:proofErr w:type="spellEnd"/>
      <w:r w:rsidRPr="076B2D9A">
        <w:rPr>
          <w:rFonts w:ascii="Calibri" w:eastAsia="Calibri" w:hAnsi="Calibri" w:cs="Calibri"/>
          <w:color w:val="000000" w:themeColor="text1"/>
          <w:sz w:val="24"/>
          <w:szCs w:val="24"/>
        </w:rPr>
        <w:t xml:space="preserve"> &amp; Soane, 2019; </w:t>
      </w:r>
      <w:proofErr w:type="spellStart"/>
      <w:r w:rsidRPr="076B2D9A">
        <w:rPr>
          <w:rFonts w:ascii="Calibri" w:eastAsia="Calibri" w:hAnsi="Calibri" w:cs="Calibri"/>
          <w:color w:val="000000" w:themeColor="text1"/>
          <w:sz w:val="24"/>
          <w:szCs w:val="24"/>
        </w:rPr>
        <w:t>Aherne</w:t>
      </w:r>
      <w:proofErr w:type="spellEnd"/>
      <w:r w:rsidRPr="076B2D9A">
        <w:rPr>
          <w:rFonts w:ascii="Calibri" w:eastAsia="Calibri" w:hAnsi="Calibri" w:cs="Calibri"/>
          <w:color w:val="000000" w:themeColor="text1"/>
          <w:sz w:val="24"/>
          <w:szCs w:val="24"/>
        </w:rPr>
        <w:t>, 2001 &amp; Banks &amp; Smythe, 2015). The focus of research so far has been entirely around support (or additional pressure) related to exam preparation and the exams themselves. This study aims to explore if a ‘health-promoting’ approach can improve wellbeing to assist learners to deal with the identified rigours.</w:t>
      </w:r>
    </w:p>
    <w:p w14:paraId="1D67D175" w14:textId="423C1379" w:rsidR="58F8BC1E" w:rsidRDefault="58F8BC1E" w:rsidP="58F8BC1E">
      <w:pPr>
        <w:rPr>
          <w:rFonts w:ascii="Calibri" w:eastAsia="Calibri" w:hAnsi="Calibri" w:cs="Calibri"/>
          <w:color w:val="000000" w:themeColor="text1"/>
          <w:sz w:val="24"/>
          <w:szCs w:val="24"/>
        </w:rPr>
      </w:pPr>
      <w:r w:rsidRPr="58F8BC1E">
        <w:rPr>
          <w:rFonts w:ascii="Calibri" w:eastAsia="Calibri" w:hAnsi="Calibri" w:cs="Calibri"/>
          <w:b/>
          <w:bCs/>
          <w:color w:val="000000" w:themeColor="text1"/>
          <w:sz w:val="24"/>
          <w:szCs w:val="24"/>
          <w:u w:val="single"/>
        </w:rPr>
        <w:t>Research proposal question</w:t>
      </w:r>
      <w:r w:rsidRPr="58F8BC1E">
        <w:rPr>
          <w:rFonts w:ascii="Calibri" w:eastAsia="Calibri" w:hAnsi="Calibri" w:cs="Calibri"/>
          <w:b/>
          <w:bCs/>
          <w:color w:val="000000" w:themeColor="text1"/>
          <w:sz w:val="24"/>
          <w:szCs w:val="24"/>
        </w:rPr>
        <w:t xml:space="preserve"> </w:t>
      </w:r>
    </w:p>
    <w:p w14:paraId="67657345" w14:textId="70ECF80D" w:rsidR="58F8BC1E" w:rsidRDefault="58F8BC1E" w:rsidP="58F8BC1E">
      <w:pPr>
        <w:rPr>
          <w:rFonts w:ascii="Calibri" w:eastAsia="Calibri" w:hAnsi="Calibri" w:cs="Calibri"/>
          <w:color w:val="000000" w:themeColor="text1"/>
          <w:sz w:val="24"/>
          <w:szCs w:val="24"/>
        </w:rPr>
      </w:pPr>
      <w:r w:rsidRPr="58F8BC1E">
        <w:rPr>
          <w:rFonts w:ascii="Calibri" w:eastAsia="Calibri" w:hAnsi="Calibri" w:cs="Calibri"/>
          <w:color w:val="000000" w:themeColor="text1"/>
          <w:sz w:val="24"/>
          <w:szCs w:val="24"/>
        </w:rPr>
        <w:t>What is the impact of accessing green spaces on improving wellbeing and restoring attention in 16–18-year-old A-level learners?</w:t>
      </w:r>
    </w:p>
    <w:p w14:paraId="764F2299" w14:textId="77777777" w:rsidR="00593CF9" w:rsidRDefault="00593CF9" w:rsidP="58F8BC1E">
      <w:pPr>
        <w:rPr>
          <w:rFonts w:ascii="Calibri" w:eastAsia="Calibri" w:hAnsi="Calibri" w:cs="Calibri"/>
          <w:b/>
          <w:bCs/>
          <w:color w:val="000000" w:themeColor="text1"/>
          <w:sz w:val="24"/>
          <w:szCs w:val="24"/>
          <w:u w:val="single"/>
        </w:rPr>
      </w:pPr>
    </w:p>
    <w:p w14:paraId="7A8ABCCC" w14:textId="77777777" w:rsidR="00593CF9" w:rsidRDefault="00593CF9" w:rsidP="58F8BC1E">
      <w:pPr>
        <w:rPr>
          <w:rFonts w:ascii="Calibri" w:eastAsia="Calibri" w:hAnsi="Calibri" w:cs="Calibri"/>
          <w:b/>
          <w:bCs/>
          <w:color w:val="000000" w:themeColor="text1"/>
          <w:sz w:val="24"/>
          <w:szCs w:val="24"/>
          <w:u w:val="single"/>
        </w:rPr>
      </w:pPr>
    </w:p>
    <w:p w14:paraId="774E85D1" w14:textId="54EF472F" w:rsidR="58F8BC1E" w:rsidRDefault="58F8BC1E" w:rsidP="58F8BC1E">
      <w:pPr>
        <w:rPr>
          <w:rFonts w:ascii="Calibri" w:eastAsia="Calibri" w:hAnsi="Calibri" w:cs="Calibri"/>
          <w:color w:val="000000" w:themeColor="text1"/>
          <w:sz w:val="24"/>
          <w:szCs w:val="24"/>
        </w:rPr>
      </w:pPr>
      <w:r w:rsidRPr="58F8BC1E">
        <w:rPr>
          <w:rFonts w:ascii="Calibri" w:eastAsia="Calibri" w:hAnsi="Calibri" w:cs="Calibri"/>
          <w:b/>
          <w:bCs/>
          <w:color w:val="000000" w:themeColor="text1"/>
          <w:sz w:val="24"/>
          <w:szCs w:val="24"/>
          <w:u w:val="single"/>
        </w:rPr>
        <w:lastRenderedPageBreak/>
        <w:t>Methodology</w:t>
      </w:r>
    </w:p>
    <w:p w14:paraId="4D1FDC87" w14:textId="58345A03" w:rsidR="58F8BC1E" w:rsidRDefault="58F8BC1E" w:rsidP="076B2D9A">
      <w:pPr>
        <w:spacing w:line="360" w:lineRule="auto"/>
        <w:rPr>
          <w:rFonts w:ascii="Calibri" w:eastAsia="Calibri" w:hAnsi="Calibri" w:cs="Calibri"/>
          <w:color w:val="000000" w:themeColor="text1"/>
          <w:sz w:val="24"/>
          <w:szCs w:val="24"/>
        </w:rPr>
      </w:pPr>
      <w:r w:rsidRPr="076B2D9A">
        <w:rPr>
          <w:rFonts w:ascii="Calibri" w:eastAsia="Calibri" w:hAnsi="Calibri" w:cs="Calibri"/>
          <w:color w:val="000000" w:themeColor="text1"/>
          <w:sz w:val="24"/>
          <w:szCs w:val="24"/>
        </w:rPr>
        <w:t>The participants are studying AS/A-levels at South Devon College (SDC). SDC is an FE college located within Torbay, South Devon. The intervention will be 4 x 1-hour walks that access the greenspaces (conservation site) on campus. There will be a topic for each walk that will include identifying birds, flowers, and trees. Identification sheets will be provided for each of the themes, with participation encouraged but not enforced utilising the challenge by choice approach (</w:t>
      </w:r>
      <w:proofErr w:type="spellStart"/>
      <w:r w:rsidRPr="076B2D9A">
        <w:rPr>
          <w:rFonts w:ascii="Calibri" w:eastAsia="Calibri" w:hAnsi="Calibri" w:cs="Calibri"/>
          <w:color w:val="000000" w:themeColor="text1"/>
          <w:sz w:val="24"/>
          <w:szCs w:val="24"/>
        </w:rPr>
        <w:t>Schoel</w:t>
      </w:r>
      <w:proofErr w:type="spellEnd"/>
      <w:r w:rsidRPr="076B2D9A">
        <w:rPr>
          <w:rFonts w:ascii="Calibri" w:eastAsia="Calibri" w:hAnsi="Calibri" w:cs="Calibri"/>
          <w:color w:val="000000" w:themeColor="text1"/>
          <w:sz w:val="24"/>
          <w:szCs w:val="24"/>
        </w:rPr>
        <w:t>, Prouty &amp; Radcliff, 1988).</w:t>
      </w:r>
      <w:r w:rsidRPr="076B2D9A">
        <w:rPr>
          <w:rFonts w:ascii="Calibri" w:eastAsia="Calibri" w:hAnsi="Calibri" w:cs="Calibri"/>
          <w:color w:val="FF0000"/>
          <w:sz w:val="24"/>
          <w:szCs w:val="24"/>
        </w:rPr>
        <w:t xml:space="preserve"> </w:t>
      </w:r>
      <w:r w:rsidRPr="076B2D9A">
        <w:rPr>
          <w:rFonts w:ascii="Calibri" w:eastAsia="Calibri" w:hAnsi="Calibri" w:cs="Calibri"/>
          <w:color w:val="000000" w:themeColor="text1"/>
          <w:sz w:val="24"/>
          <w:szCs w:val="24"/>
        </w:rPr>
        <w:t>The final session will be self-led, allowing the participants to use the time in their own way.</w:t>
      </w:r>
    </w:p>
    <w:p w14:paraId="08369A92" w14:textId="2FAF960B" w:rsidR="58F8BC1E" w:rsidRDefault="58F8BC1E" w:rsidP="58F8BC1E">
      <w:pPr>
        <w:spacing w:line="360" w:lineRule="auto"/>
        <w:rPr>
          <w:rFonts w:ascii="Calibri" w:eastAsia="Calibri" w:hAnsi="Calibri" w:cs="Calibri"/>
          <w:color w:val="000000" w:themeColor="text1"/>
          <w:sz w:val="24"/>
          <w:szCs w:val="24"/>
        </w:rPr>
      </w:pPr>
      <w:r w:rsidRPr="58F8BC1E">
        <w:rPr>
          <w:rFonts w:ascii="Calibri" w:eastAsia="Calibri" w:hAnsi="Calibri" w:cs="Calibri"/>
          <w:color w:val="000000" w:themeColor="text1"/>
          <w:sz w:val="24"/>
          <w:szCs w:val="24"/>
        </w:rPr>
        <w:t>My method of data collection will reflect the pragmatic paradigm in seeking both quantitative and qualitative data, as an explanatory sequential designed (see fig 1) mixed method research (MMR) (</w:t>
      </w:r>
      <w:proofErr w:type="spellStart"/>
      <w:r w:rsidRPr="58F8BC1E">
        <w:rPr>
          <w:rFonts w:ascii="Calibri" w:eastAsia="Calibri" w:hAnsi="Calibri" w:cs="Calibri"/>
          <w:color w:val="000000" w:themeColor="text1"/>
          <w:sz w:val="24"/>
          <w:szCs w:val="24"/>
        </w:rPr>
        <w:t>Cresswell</w:t>
      </w:r>
      <w:proofErr w:type="spellEnd"/>
      <w:r w:rsidRPr="58F8BC1E">
        <w:rPr>
          <w:rFonts w:ascii="Calibri" w:eastAsia="Calibri" w:hAnsi="Calibri" w:cs="Calibri"/>
          <w:color w:val="000000" w:themeColor="text1"/>
          <w:sz w:val="24"/>
          <w:szCs w:val="24"/>
        </w:rPr>
        <w:t xml:space="preserve"> &amp; Plano-Clark, 2011). </w:t>
      </w:r>
    </w:p>
    <w:p w14:paraId="7245F094" w14:textId="30771F6E" w:rsidR="58F8BC1E" w:rsidRDefault="58F8BC1E" w:rsidP="58F8BC1E">
      <w:pPr>
        <w:spacing w:line="360" w:lineRule="auto"/>
        <w:rPr>
          <w:rFonts w:ascii="Calibri" w:eastAsia="Calibri" w:hAnsi="Calibri" w:cs="Calibri"/>
          <w:color w:val="000000" w:themeColor="text1"/>
        </w:rPr>
      </w:pPr>
      <w:r>
        <w:rPr>
          <w:noProof/>
        </w:rPr>
        <w:drawing>
          <wp:inline distT="0" distB="0" distL="0" distR="0" wp14:anchorId="00818752" wp14:editId="5C2DAAED">
            <wp:extent cx="5381624" cy="942975"/>
            <wp:effectExtent l="0" t="0" r="0" b="0"/>
            <wp:docPr id="1266297881" name="Picture 12662978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5381624" cy="942975"/>
                    </a:xfrm>
                    <a:prstGeom prst="rect">
                      <a:avLst/>
                    </a:prstGeom>
                  </pic:spPr>
                </pic:pic>
              </a:graphicData>
            </a:graphic>
          </wp:inline>
        </w:drawing>
      </w:r>
    </w:p>
    <w:p w14:paraId="2B75C13B" w14:textId="6E9E8317" w:rsidR="58F8BC1E" w:rsidRDefault="58F8BC1E" w:rsidP="076B2D9A">
      <w:pPr>
        <w:spacing w:line="360" w:lineRule="auto"/>
        <w:jc w:val="right"/>
        <w:rPr>
          <w:rFonts w:ascii="Calibri" w:eastAsia="Calibri" w:hAnsi="Calibri" w:cs="Calibri"/>
          <w:color w:val="000000" w:themeColor="text1"/>
        </w:rPr>
      </w:pPr>
      <w:r w:rsidRPr="076B2D9A">
        <w:rPr>
          <w:rFonts w:ascii="Calibri" w:eastAsia="Calibri" w:hAnsi="Calibri" w:cs="Calibri"/>
          <w:color w:val="000000" w:themeColor="text1"/>
        </w:rPr>
        <w:t xml:space="preserve">Figure 1: Explanatory Design (Plano-Clark </w:t>
      </w:r>
      <w:r w:rsidRPr="076B2D9A">
        <w:rPr>
          <w:rFonts w:ascii="Calibri" w:eastAsia="Calibri" w:hAnsi="Calibri" w:cs="Calibri"/>
          <w:i/>
          <w:iCs/>
          <w:color w:val="000000" w:themeColor="text1"/>
        </w:rPr>
        <w:t>et al</w:t>
      </w:r>
      <w:r w:rsidRPr="076B2D9A">
        <w:rPr>
          <w:rFonts w:ascii="Calibri" w:eastAsia="Calibri" w:hAnsi="Calibri" w:cs="Calibri"/>
          <w:color w:val="000000" w:themeColor="text1"/>
        </w:rPr>
        <w:t>., 2008)</w:t>
      </w:r>
    </w:p>
    <w:p w14:paraId="3CC9E5E1" w14:textId="53894923" w:rsidR="58F8BC1E" w:rsidRDefault="58F8BC1E" w:rsidP="58F8BC1E">
      <w:pPr>
        <w:spacing w:line="360" w:lineRule="auto"/>
        <w:rPr>
          <w:rFonts w:ascii="Calibri" w:eastAsia="Calibri" w:hAnsi="Calibri" w:cs="Calibri"/>
          <w:color w:val="000000" w:themeColor="text1"/>
          <w:sz w:val="24"/>
          <w:szCs w:val="24"/>
        </w:rPr>
      </w:pPr>
      <w:r w:rsidRPr="076B2D9A">
        <w:rPr>
          <w:rFonts w:ascii="Calibri" w:eastAsia="Calibri" w:hAnsi="Calibri" w:cs="Calibri"/>
          <w:color w:val="000000" w:themeColor="text1"/>
          <w:sz w:val="24"/>
          <w:szCs w:val="24"/>
        </w:rPr>
        <w:t>Quantitative data will be collected pre and post intervention utilising the pre–validated</w:t>
      </w:r>
      <w:r w:rsidRPr="076B2D9A">
        <w:rPr>
          <w:rFonts w:ascii="Calibri" w:eastAsia="Calibri" w:hAnsi="Calibri" w:cs="Calibri"/>
          <w:b/>
          <w:bCs/>
          <w:color w:val="000000" w:themeColor="text1"/>
          <w:sz w:val="24"/>
          <w:szCs w:val="24"/>
        </w:rPr>
        <w:t xml:space="preserve"> </w:t>
      </w:r>
      <w:r w:rsidRPr="076B2D9A">
        <w:rPr>
          <w:rFonts w:ascii="Calibri" w:eastAsia="Calibri" w:hAnsi="Calibri" w:cs="Calibri"/>
          <w:color w:val="000000" w:themeColor="text1"/>
          <w:sz w:val="24"/>
          <w:szCs w:val="24"/>
        </w:rPr>
        <w:t xml:space="preserve">Warwick-Edinburgh Mental Well-being Scale questionnaire (WEMWBS) (Tennant </w:t>
      </w:r>
      <w:r w:rsidRPr="076B2D9A">
        <w:rPr>
          <w:rFonts w:ascii="Calibri" w:eastAsia="Calibri" w:hAnsi="Calibri" w:cs="Calibri"/>
          <w:i/>
          <w:iCs/>
          <w:color w:val="000000" w:themeColor="text1"/>
          <w:sz w:val="24"/>
          <w:szCs w:val="24"/>
        </w:rPr>
        <w:t>et al.,</w:t>
      </w:r>
      <w:r w:rsidRPr="076B2D9A">
        <w:rPr>
          <w:rFonts w:ascii="Calibri" w:eastAsia="Calibri" w:hAnsi="Calibri" w:cs="Calibri"/>
          <w:color w:val="000000" w:themeColor="text1"/>
          <w:sz w:val="24"/>
          <w:szCs w:val="24"/>
        </w:rPr>
        <w:t xml:space="preserve"> 2007).</w:t>
      </w:r>
    </w:p>
    <w:p w14:paraId="279C55FF" w14:textId="613D91BD" w:rsidR="58F8BC1E" w:rsidRDefault="58F8BC1E" w:rsidP="076B2D9A">
      <w:pPr>
        <w:spacing w:line="360" w:lineRule="auto"/>
        <w:rPr>
          <w:rFonts w:ascii="Calibri" w:eastAsia="Calibri" w:hAnsi="Calibri" w:cs="Calibri"/>
          <w:color w:val="000000" w:themeColor="text1"/>
          <w:sz w:val="24"/>
          <w:szCs w:val="24"/>
        </w:rPr>
      </w:pPr>
      <w:r w:rsidRPr="076B2D9A">
        <w:rPr>
          <w:rFonts w:ascii="Calibri" w:eastAsia="Calibri" w:hAnsi="Calibri" w:cs="Calibri"/>
          <w:color w:val="000000" w:themeColor="text1"/>
          <w:sz w:val="24"/>
          <w:szCs w:val="24"/>
        </w:rPr>
        <w:t>Qualitative data will be collected post intervention and after thee pre and post WEMWBS questionnaire has been completed, utilising semi-structured interviews to identify themes with a sample of the volunteer group (2 learners). The methods have been chosen to be complementarity, “to seek elaboration, enhancement, illustration, clarification of results of one method with the results from the other” (Green</w:t>
      </w:r>
      <w:r w:rsidRPr="076B2D9A">
        <w:rPr>
          <w:rFonts w:ascii="Calibri" w:eastAsia="Calibri" w:hAnsi="Calibri" w:cs="Calibri"/>
          <w:i/>
          <w:iCs/>
          <w:color w:val="000000" w:themeColor="text1"/>
          <w:sz w:val="24"/>
          <w:szCs w:val="24"/>
        </w:rPr>
        <w:t xml:space="preserve"> et al., </w:t>
      </w:r>
      <w:r w:rsidRPr="076B2D9A">
        <w:rPr>
          <w:rFonts w:ascii="Calibri" w:eastAsia="Calibri" w:hAnsi="Calibri" w:cs="Calibri"/>
          <w:color w:val="000000" w:themeColor="text1"/>
          <w:sz w:val="24"/>
          <w:szCs w:val="24"/>
        </w:rPr>
        <w:t>1989). Specifically, to identify relevant themes relating to accessing greenspaces, attention restoration, stress reduction and specifics of the intervention itself.</w:t>
      </w:r>
    </w:p>
    <w:p w14:paraId="2BE32CF8" w14:textId="33F23473" w:rsidR="58F8BC1E" w:rsidRDefault="58F8BC1E" w:rsidP="076B2D9A">
      <w:pPr>
        <w:spacing w:line="360" w:lineRule="auto"/>
        <w:rPr>
          <w:rFonts w:ascii="Calibri" w:eastAsia="Calibri" w:hAnsi="Calibri" w:cs="Calibri"/>
          <w:color w:val="FF0000"/>
          <w:sz w:val="24"/>
          <w:szCs w:val="24"/>
        </w:rPr>
      </w:pPr>
      <w:r w:rsidRPr="076B2D9A">
        <w:rPr>
          <w:rFonts w:ascii="Calibri" w:eastAsia="Calibri" w:hAnsi="Calibri" w:cs="Calibri"/>
          <w:sz w:val="24"/>
          <w:szCs w:val="24"/>
        </w:rPr>
        <w:t xml:space="preserve">Creswell and Plano Clark (2011 cited in Cohen </w:t>
      </w:r>
      <w:r w:rsidRPr="076B2D9A">
        <w:rPr>
          <w:rFonts w:ascii="Calibri" w:eastAsia="Calibri" w:hAnsi="Calibri" w:cs="Calibri"/>
          <w:i/>
          <w:iCs/>
          <w:sz w:val="24"/>
          <w:szCs w:val="24"/>
        </w:rPr>
        <w:t>et al.,</w:t>
      </w:r>
      <w:r w:rsidRPr="076B2D9A">
        <w:rPr>
          <w:rFonts w:ascii="Calibri" w:eastAsia="Calibri" w:hAnsi="Calibri" w:cs="Calibri"/>
          <w:sz w:val="24"/>
          <w:szCs w:val="24"/>
        </w:rPr>
        <w:t xml:space="preserve"> 2018) observe that MMR gives a richer and more reliable, broader, and deeper understanding of a phenomenon than a single approach </w:t>
      </w:r>
      <w:r w:rsidRPr="076B2D9A">
        <w:rPr>
          <w:rFonts w:ascii="Calibri" w:eastAsia="Calibri" w:hAnsi="Calibri" w:cs="Calibri"/>
          <w:sz w:val="24"/>
          <w:szCs w:val="24"/>
        </w:rPr>
        <w:lastRenderedPageBreak/>
        <w:t>would yield.</w:t>
      </w:r>
      <w:r w:rsidRPr="076B2D9A">
        <w:rPr>
          <w:rFonts w:ascii="Calibri" w:eastAsia="Calibri" w:hAnsi="Calibri" w:cs="Calibri"/>
          <w:color w:val="FF0000"/>
          <w:sz w:val="24"/>
          <w:szCs w:val="24"/>
        </w:rPr>
        <w:t xml:space="preserve"> </w:t>
      </w:r>
      <w:r w:rsidRPr="076B2D9A">
        <w:rPr>
          <w:rFonts w:ascii="Calibri" w:eastAsia="Calibri" w:hAnsi="Calibri" w:cs="Calibri"/>
          <w:sz w:val="24"/>
          <w:szCs w:val="24"/>
        </w:rPr>
        <w:t>Denscombe (2014) posited that MMR can increase the accuracy of data and reliability through triangulation, reduce bias in the research, is problem solving driven and can enable compensation between strengths and weaknesses of research strategies.</w:t>
      </w:r>
    </w:p>
    <w:p w14:paraId="57B50AEC" w14:textId="6F069F24" w:rsidR="58F8BC1E" w:rsidRDefault="58F8BC1E" w:rsidP="58F8BC1E">
      <w:pPr>
        <w:spacing w:line="360" w:lineRule="auto"/>
        <w:rPr>
          <w:rFonts w:ascii="Calibri" w:eastAsia="Calibri" w:hAnsi="Calibri" w:cs="Calibri"/>
          <w:sz w:val="24"/>
          <w:szCs w:val="24"/>
        </w:rPr>
      </w:pPr>
      <w:r w:rsidRPr="076B2D9A">
        <w:rPr>
          <w:rFonts w:ascii="Calibri" w:eastAsia="Calibri" w:hAnsi="Calibri" w:cs="Calibri"/>
          <w:sz w:val="24"/>
          <w:szCs w:val="24"/>
        </w:rPr>
        <w:t>In respect to the extent of my involvement with the interventions and qualitative research method, I will do my best to be reflexive, objective, and open minded in my practice. I need to be aware of my background and core values and how this may impact on and influence the research (Denscombe, 2014).</w:t>
      </w:r>
    </w:p>
    <w:p w14:paraId="2460BBFB" w14:textId="3A7172EB" w:rsidR="58F8BC1E" w:rsidRDefault="58F8BC1E" w:rsidP="58F8BC1E">
      <w:pPr>
        <w:rPr>
          <w:rFonts w:ascii="Calibri" w:eastAsia="Calibri" w:hAnsi="Calibri" w:cs="Calibri"/>
          <w:color w:val="000000" w:themeColor="text1"/>
          <w:sz w:val="24"/>
          <w:szCs w:val="24"/>
        </w:rPr>
      </w:pPr>
      <w:r w:rsidRPr="58F8BC1E">
        <w:rPr>
          <w:rFonts w:ascii="Calibri" w:eastAsia="Calibri" w:hAnsi="Calibri" w:cs="Calibri"/>
          <w:b/>
          <w:bCs/>
          <w:color w:val="000000" w:themeColor="text1"/>
          <w:sz w:val="24"/>
          <w:szCs w:val="24"/>
        </w:rPr>
        <w:t>Ethical Considerations?</w:t>
      </w:r>
    </w:p>
    <w:p w14:paraId="76A41ED4" w14:textId="1E09BA5B" w:rsidR="58F8BC1E" w:rsidRDefault="58F8BC1E" w:rsidP="58F8BC1E">
      <w:pPr>
        <w:rPr>
          <w:rFonts w:ascii="Calibri" w:eastAsia="Calibri" w:hAnsi="Calibri" w:cs="Calibri"/>
          <w:b/>
          <w:bCs/>
          <w:color w:val="000000" w:themeColor="text1"/>
          <w:sz w:val="24"/>
          <w:szCs w:val="24"/>
        </w:rPr>
      </w:pPr>
      <w:r w:rsidRPr="58F8BC1E">
        <w:rPr>
          <w:rFonts w:ascii="Calibri" w:eastAsia="Calibri" w:hAnsi="Calibri" w:cs="Calibri"/>
          <w:color w:val="000000" w:themeColor="text1"/>
          <w:sz w:val="24"/>
          <w:szCs w:val="24"/>
        </w:rPr>
        <w:t>All ethical considerations are included in PG2 form.</w:t>
      </w:r>
    </w:p>
    <w:p w14:paraId="23EA467A" w14:textId="39EAF586" w:rsidR="58F8BC1E" w:rsidRDefault="58F8BC1E" w:rsidP="58F8BC1E">
      <w:pPr>
        <w:rPr>
          <w:rFonts w:ascii="Calibri" w:eastAsia="Calibri" w:hAnsi="Calibri" w:cs="Calibri"/>
          <w:color w:val="000000" w:themeColor="text1"/>
          <w:sz w:val="24"/>
          <w:szCs w:val="24"/>
          <w:lang w:val="en-US"/>
        </w:rPr>
      </w:pPr>
      <w:r w:rsidRPr="58F8BC1E">
        <w:rPr>
          <w:rFonts w:ascii="Calibri" w:eastAsia="Calibri" w:hAnsi="Calibri" w:cs="Calibri"/>
          <w:b/>
          <w:bCs/>
          <w:color w:val="000000" w:themeColor="text1"/>
          <w:sz w:val="24"/>
          <w:szCs w:val="24"/>
          <w:u w:val="single"/>
        </w:rPr>
        <w:t>Work Schedule</w:t>
      </w:r>
    </w:p>
    <w:tbl>
      <w:tblPr>
        <w:tblStyle w:val="TableGrid"/>
        <w:tblW w:w="0" w:type="auto"/>
        <w:tblLayout w:type="fixed"/>
        <w:tblLook w:val="06A0" w:firstRow="1" w:lastRow="0" w:firstColumn="1" w:lastColumn="0" w:noHBand="1" w:noVBand="1"/>
      </w:tblPr>
      <w:tblGrid>
        <w:gridCol w:w="1125"/>
        <w:gridCol w:w="4305"/>
      </w:tblGrid>
      <w:tr w:rsidR="58F8BC1E" w14:paraId="4EBB51DA" w14:textId="77777777" w:rsidTr="58F8BC1E">
        <w:tc>
          <w:tcPr>
            <w:tcW w:w="1125" w:type="dxa"/>
          </w:tcPr>
          <w:p w14:paraId="26AEB6C1" w14:textId="0C169865" w:rsidR="58F8BC1E" w:rsidRDefault="58F8BC1E" w:rsidP="58F8BC1E">
            <w:pPr>
              <w:spacing w:line="259" w:lineRule="auto"/>
              <w:jc w:val="center"/>
              <w:rPr>
                <w:rFonts w:ascii="Calibri" w:eastAsia="Calibri" w:hAnsi="Calibri" w:cs="Calibri"/>
                <w:color w:val="000000" w:themeColor="text1"/>
              </w:rPr>
            </w:pPr>
            <w:r w:rsidRPr="58F8BC1E">
              <w:rPr>
                <w:rFonts w:ascii="Calibri" w:eastAsia="Calibri" w:hAnsi="Calibri" w:cs="Calibri"/>
                <w:color w:val="000000" w:themeColor="text1"/>
                <w:lang w:val="en-US"/>
              </w:rPr>
              <w:t>28/02/22</w:t>
            </w:r>
          </w:p>
        </w:tc>
        <w:tc>
          <w:tcPr>
            <w:tcW w:w="4305" w:type="dxa"/>
          </w:tcPr>
          <w:p w14:paraId="48156C5C" w14:textId="2CD47914" w:rsidR="58F8BC1E" w:rsidRDefault="58F8BC1E" w:rsidP="58F8BC1E">
            <w:pPr>
              <w:spacing w:line="259" w:lineRule="auto"/>
              <w:rPr>
                <w:rFonts w:ascii="Calibri" w:eastAsia="Calibri" w:hAnsi="Calibri" w:cs="Calibri"/>
                <w:color w:val="000000" w:themeColor="text1"/>
              </w:rPr>
            </w:pPr>
            <w:r w:rsidRPr="58F8BC1E">
              <w:rPr>
                <w:rFonts w:ascii="Calibri" w:eastAsia="Calibri" w:hAnsi="Calibri" w:cs="Calibri"/>
                <w:color w:val="000000" w:themeColor="text1"/>
                <w:lang w:val="en-US"/>
              </w:rPr>
              <w:t>Meet participants – initial data collection</w:t>
            </w:r>
          </w:p>
        </w:tc>
      </w:tr>
      <w:tr w:rsidR="58F8BC1E" w14:paraId="4BBA237A" w14:textId="77777777" w:rsidTr="58F8BC1E">
        <w:tc>
          <w:tcPr>
            <w:tcW w:w="1125" w:type="dxa"/>
          </w:tcPr>
          <w:p w14:paraId="39E3F289" w14:textId="245CE325" w:rsidR="58F8BC1E" w:rsidRDefault="58F8BC1E" w:rsidP="58F8BC1E">
            <w:pPr>
              <w:spacing w:line="259" w:lineRule="auto"/>
              <w:jc w:val="center"/>
              <w:rPr>
                <w:rFonts w:ascii="Calibri" w:eastAsia="Calibri" w:hAnsi="Calibri" w:cs="Calibri"/>
                <w:color w:val="000000" w:themeColor="text1"/>
              </w:rPr>
            </w:pPr>
            <w:r w:rsidRPr="58F8BC1E">
              <w:rPr>
                <w:rFonts w:ascii="Calibri" w:eastAsia="Calibri" w:hAnsi="Calibri" w:cs="Calibri"/>
                <w:color w:val="000000" w:themeColor="text1"/>
                <w:lang w:val="en-US"/>
              </w:rPr>
              <w:t>07/03/22</w:t>
            </w:r>
          </w:p>
        </w:tc>
        <w:tc>
          <w:tcPr>
            <w:tcW w:w="4305" w:type="dxa"/>
          </w:tcPr>
          <w:p w14:paraId="5CDC7BE5" w14:textId="34D757E1" w:rsidR="58F8BC1E" w:rsidRDefault="58F8BC1E" w:rsidP="58F8BC1E">
            <w:pPr>
              <w:spacing w:line="259" w:lineRule="auto"/>
              <w:rPr>
                <w:rFonts w:ascii="Calibri" w:eastAsia="Calibri" w:hAnsi="Calibri" w:cs="Calibri"/>
                <w:color w:val="000000" w:themeColor="text1"/>
              </w:rPr>
            </w:pPr>
            <w:r w:rsidRPr="58F8BC1E">
              <w:rPr>
                <w:rFonts w:ascii="Calibri" w:eastAsia="Calibri" w:hAnsi="Calibri" w:cs="Calibri"/>
                <w:color w:val="000000" w:themeColor="text1"/>
                <w:lang w:val="en-US"/>
              </w:rPr>
              <w:t xml:space="preserve">Wellbeing </w:t>
            </w:r>
            <w:bookmarkStart w:id="0" w:name="_Int_XykyJhIe"/>
            <w:proofErr w:type="gramStart"/>
            <w:r w:rsidRPr="58F8BC1E">
              <w:rPr>
                <w:rFonts w:ascii="Calibri" w:eastAsia="Calibri" w:hAnsi="Calibri" w:cs="Calibri"/>
                <w:color w:val="000000" w:themeColor="text1"/>
                <w:lang w:val="en-US"/>
              </w:rPr>
              <w:t>walk</w:t>
            </w:r>
            <w:bookmarkEnd w:id="0"/>
            <w:proofErr w:type="gramEnd"/>
            <w:r w:rsidRPr="58F8BC1E">
              <w:rPr>
                <w:rFonts w:ascii="Calibri" w:eastAsia="Calibri" w:hAnsi="Calibri" w:cs="Calibri"/>
                <w:color w:val="000000" w:themeColor="text1"/>
                <w:lang w:val="en-US"/>
              </w:rPr>
              <w:t xml:space="preserve"> 1 - birds</w:t>
            </w:r>
          </w:p>
        </w:tc>
      </w:tr>
      <w:tr w:rsidR="58F8BC1E" w14:paraId="29736359" w14:textId="77777777" w:rsidTr="58F8BC1E">
        <w:tc>
          <w:tcPr>
            <w:tcW w:w="1125" w:type="dxa"/>
          </w:tcPr>
          <w:p w14:paraId="4DBEA11A" w14:textId="320065E4" w:rsidR="58F8BC1E" w:rsidRDefault="58F8BC1E" w:rsidP="58F8BC1E">
            <w:pPr>
              <w:spacing w:line="259" w:lineRule="auto"/>
              <w:jc w:val="center"/>
              <w:rPr>
                <w:rFonts w:ascii="Calibri" w:eastAsia="Calibri" w:hAnsi="Calibri" w:cs="Calibri"/>
                <w:color w:val="000000" w:themeColor="text1"/>
              </w:rPr>
            </w:pPr>
            <w:r w:rsidRPr="58F8BC1E">
              <w:rPr>
                <w:rFonts w:ascii="Calibri" w:eastAsia="Calibri" w:hAnsi="Calibri" w:cs="Calibri"/>
                <w:color w:val="000000" w:themeColor="text1"/>
                <w:lang w:val="en-US"/>
              </w:rPr>
              <w:t>14/03/22</w:t>
            </w:r>
          </w:p>
        </w:tc>
        <w:tc>
          <w:tcPr>
            <w:tcW w:w="4305" w:type="dxa"/>
          </w:tcPr>
          <w:p w14:paraId="59D60D05" w14:textId="07645A0B" w:rsidR="58F8BC1E" w:rsidRDefault="58F8BC1E" w:rsidP="58F8BC1E">
            <w:pPr>
              <w:spacing w:line="259" w:lineRule="auto"/>
              <w:rPr>
                <w:rFonts w:ascii="Calibri" w:eastAsia="Calibri" w:hAnsi="Calibri" w:cs="Calibri"/>
                <w:color w:val="000000" w:themeColor="text1"/>
              </w:rPr>
            </w:pPr>
            <w:r w:rsidRPr="58F8BC1E">
              <w:rPr>
                <w:rFonts w:ascii="Calibri" w:eastAsia="Calibri" w:hAnsi="Calibri" w:cs="Calibri"/>
                <w:color w:val="000000" w:themeColor="text1"/>
                <w:lang w:val="en-US"/>
              </w:rPr>
              <w:t xml:space="preserve">Wellbeing </w:t>
            </w:r>
            <w:bookmarkStart w:id="1" w:name="_Int_AE6xVEXU"/>
            <w:proofErr w:type="gramStart"/>
            <w:r w:rsidRPr="58F8BC1E">
              <w:rPr>
                <w:rFonts w:ascii="Calibri" w:eastAsia="Calibri" w:hAnsi="Calibri" w:cs="Calibri"/>
                <w:color w:val="000000" w:themeColor="text1"/>
                <w:lang w:val="en-US"/>
              </w:rPr>
              <w:t>walk</w:t>
            </w:r>
            <w:bookmarkEnd w:id="1"/>
            <w:proofErr w:type="gramEnd"/>
            <w:r w:rsidRPr="58F8BC1E">
              <w:rPr>
                <w:rFonts w:ascii="Calibri" w:eastAsia="Calibri" w:hAnsi="Calibri" w:cs="Calibri"/>
                <w:color w:val="000000" w:themeColor="text1"/>
                <w:lang w:val="en-US"/>
              </w:rPr>
              <w:t xml:space="preserve"> 2 - trees</w:t>
            </w:r>
          </w:p>
        </w:tc>
      </w:tr>
      <w:tr w:rsidR="58F8BC1E" w14:paraId="707B8125" w14:textId="77777777" w:rsidTr="58F8BC1E">
        <w:tc>
          <w:tcPr>
            <w:tcW w:w="1125" w:type="dxa"/>
          </w:tcPr>
          <w:p w14:paraId="59E7258D" w14:textId="4A8A2F3E" w:rsidR="58F8BC1E" w:rsidRDefault="58F8BC1E" w:rsidP="58F8BC1E">
            <w:pPr>
              <w:spacing w:line="259" w:lineRule="auto"/>
              <w:jc w:val="center"/>
              <w:rPr>
                <w:rFonts w:ascii="Calibri" w:eastAsia="Calibri" w:hAnsi="Calibri" w:cs="Calibri"/>
                <w:color w:val="000000" w:themeColor="text1"/>
              </w:rPr>
            </w:pPr>
            <w:r w:rsidRPr="58F8BC1E">
              <w:rPr>
                <w:rFonts w:ascii="Calibri" w:eastAsia="Calibri" w:hAnsi="Calibri" w:cs="Calibri"/>
                <w:color w:val="000000" w:themeColor="text1"/>
                <w:lang w:val="en-US"/>
              </w:rPr>
              <w:t>21/03/22</w:t>
            </w:r>
          </w:p>
        </w:tc>
        <w:tc>
          <w:tcPr>
            <w:tcW w:w="4305" w:type="dxa"/>
          </w:tcPr>
          <w:p w14:paraId="58E68181" w14:textId="208575D3" w:rsidR="58F8BC1E" w:rsidRDefault="58F8BC1E" w:rsidP="58F8BC1E">
            <w:pPr>
              <w:spacing w:line="259" w:lineRule="auto"/>
              <w:rPr>
                <w:rFonts w:ascii="Calibri" w:eastAsia="Calibri" w:hAnsi="Calibri" w:cs="Calibri"/>
                <w:color w:val="000000" w:themeColor="text1"/>
              </w:rPr>
            </w:pPr>
            <w:r w:rsidRPr="58F8BC1E">
              <w:rPr>
                <w:rFonts w:ascii="Calibri" w:eastAsia="Calibri" w:hAnsi="Calibri" w:cs="Calibri"/>
                <w:color w:val="000000" w:themeColor="text1"/>
                <w:lang w:val="en-US"/>
              </w:rPr>
              <w:t xml:space="preserve">Wellbeing </w:t>
            </w:r>
            <w:bookmarkStart w:id="2" w:name="_Int_3nIsJLc1"/>
            <w:proofErr w:type="gramStart"/>
            <w:r w:rsidRPr="58F8BC1E">
              <w:rPr>
                <w:rFonts w:ascii="Calibri" w:eastAsia="Calibri" w:hAnsi="Calibri" w:cs="Calibri"/>
                <w:color w:val="000000" w:themeColor="text1"/>
                <w:lang w:val="en-US"/>
              </w:rPr>
              <w:t>walk</w:t>
            </w:r>
            <w:bookmarkEnd w:id="2"/>
            <w:proofErr w:type="gramEnd"/>
            <w:r w:rsidRPr="58F8BC1E">
              <w:rPr>
                <w:rFonts w:ascii="Calibri" w:eastAsia="Calibri" w:hAnsi="Calibri" w:cs="Calibri"/>
                <w:color w:val="000000" w:themeColor="text1"/>
                <w:lang w:val="en-US"/>
              </w:rPr>
              <w:t xml:space="preserve"> 3 - flowers</w:t>
            </w:r>
          </w:p>
        </w:tc>
      </w:tr>
      <w:tr w:rsidR="58F8BC1E" w14:paraId="069424C0" w14:textId="77777777" w:rsidTr="58F8BC1E">
        <w:tc>
          <w:tcPr>
            <w:tcW w:w="1125" w:type="dxa"/>
          </w:tcPr>
          <w:p w14:paraId="138A2002" w14:textId="7A057493" w:rsidR="58F8BC1E" w:rsidRDefault="58F8BC1E" w:rsidP="58F8BC1E">
            <w:pPr>
              <w:spacing w:line="259" w:lineRule="auto"/>
              <w:jc w:val="center"/>
              <w:rPr>
                <w:rFonts w:ascii="Calibri" w:eastAsia="Calibri" w:hAnsi="Calibri" w:cs="Calibri"/>
                <w:color w:val="000000" w:themeColor="text1"/>
              </w:rPr>
            </w:pPr>
            <w:r w:rsidRPr="58F8BC1E">
              <w:rPr>
                <w:rFonts w:ascii="Calibri" w:eastAsia="Calibri" w:hAnsi="Calibri" w:cs="Calibri"/>
                <w:color w:val="000000" w:themeColor="text1"/>
                <w:lang w:val="en-US"/>
              </w:rPr>
              <w:t>28/03/22</w:t>
            </w:r>
          </w:p>
        </w:tc>
        <w:tc>
          <w:tcPr>
            <w:tcW w:w="4305" w:type="dxa"/>
          </w:tcPr>
          <w:p w14:paraId="17A938D5" w14:textId="1A598D38" w:rsidR="58F8BC1E" w:rsidRDefault="58F8BC1E" w:rsidP="58F8BC1E">
            <w:pPr>
              <w:spacing w:line="259" w:lineRule="auto"/>
              <w:rPr>
                <w:rFonts w:ascii="Calibri" w:eastAsia="Calibri" w:hAnsi="Calibri" w:cs="Calibri"/>
                <w:color w:val="000000" w:themeColor="text1"/>
              </w:rPr>
            </w:pPr>
            <w:r w:rsidRPr="58F8BC1E">
              <w:rPr>
                <w:rFonts w:ascii="Calibri" w:eastAsia="Calibri" w:hAnsi="Calibri" w:cs="Calibri"/>
                <w:color w:val="000000" w:themeColor="text1"/>
                <w:lang w:val="en-US"/>
              </w:rPr>
              <w:t xml:space="preserve">Wellbeing </w:t>
            </w:r>
            <w:bookmarkStart w:id="3" w:name="_Int_kJgrhouY"/>
            <w:proofErr w:type="gramStart"/>
            <w:r w:rsidRPr="58F8BC1E">
              <w:rPr>
                <w:rFonts w:ascii="Calibri" w:eastAsia="Calibri" w:hAnsi="Calibri" w:cs="Calibri"/>
                <w:color w:val="000000" w:themeColor="text1"/>
                <w:lang w:val="en-US"/>
              </w:rPr>
              <w:t>walk</w:t>
            </w:r>
            <w:bookmarkEnd w:id="3"/>
            <w:proofErr w:type="gramEnd"/>
            <w:r w:rsidRPr="58F8BC1E">
              <w:rPr>
                <w:rFonts w:ascii="Calibri" w:eastAsia="Calibri" w:hAnsi="Calibri" w:cs="Calibri"/>
                <w:color w:val="000000" w:themeColor="text1"/>
                <w:lang w:val="en-US"/>
              </w:rPr>
              <w:t xml:space="preserve"> 4 - free</w:t>
            </w:r>
          </w:p>
        </w:tc>
      </w:tr>
      <w:tr w:rsidR="58F8BC1E" w14:paraId="55F7FB46" w14:textId="77777777" w:rsidTr="58F8BC1E">
        <w:tc>
          <w:tcPr>
            <w:tcW w:w="1125" w:type="dxa"/>
          </w:tcPr>
          <w:p w14:paraId="6D1B623C" w14:textId="08C7AC23" w:rsidR="58F8BC1E" w:rsidRDefault="58F8BC1E" w:rsidP="58F8BC1E">
            <w:pPr>
              <w:spacing w:line="259" w:lineRule="auto"/>
              <w:jc w:val="center"/>
              <w:rPr>
                <w:rFonts w:ascii="Calibri" w:eastAsia="Calibri" w:hAnsi="Calibri" w:cs="Calibri"/>
                <w:color w:val="000000" w:themeColor="text1"/>
              </w:rPr>
            </w:pPr>
            <w:r w:rsidRPr="58F8BC1E">
              <w:rPr>
                <w:rFonts w:ascii="Calibri" w:eastAsia="Calibri" w:hAnsi="Calibri" w:cs="Calibri"/>
                <w:color w:val="000000" w:themeColor="text1"/>
                <w:lang w:val="en-US"/>
              </w:rPr>
              <w:t>04/04/22</w:t>
            </w:r>
          </w:p>
        </w:tc>
        <w:tc>
          <w:tcPr>
            <w:tcW w:w="4305" w:type="dxa"/>
          </w:tcPr>
          <w:p w14:paraId="3E81A573" w14:textId="484EFF89" w:rsidR="58F8BC1E" w:rsidRDefault="58F8BC1E" w:rsidP="58F8BC1E">
            <w:pPr>
              <w:spacing w:line="259" w:lineRule="auto"/>
              <w:rPr>
                <w:rFonts w:ascii="Calibri" w:eastAsia="Calibri" w:hAnsi="Calibri" w:cs="Calibri"/>
                <w:color w:val="000000" w:themeColor="text1"/>
              </w:rPr>
            </w:pPr>
            <w:r w:rsidRPr="58F8BC1E">
              <w:rPr>
                <w:rFonts w:ascii="Calibri" w:eastAsia="Calibri" w:hAnsi="Calibri" w:cs="Calibri"/>
                <w:color w:val="000000" w:themeColor="text1"/>
                <w:lang w:val="en-US"/>
              </w:rPr>
              <w:t>Final data collection</w:t>
            </w:r>
          </w:p>
        </w:tc>
      </w:tr>
      <w:tr w:rsidR="58F8BC1E" w14:paraId="005D71A7" w14:textId="77777777" w:rsidTr="58F8BC1E">
        <w:tc>
          <w:tcPr>
            <w:tcW w:w="1125" w:type="dxa"/>
          </w:tcPr>
          <w:p w14:paraId="10340B75" w14:textId="016C19AC" w:rsidR="58F8BC1E" w:rsidRDefault="58F8BC1E" w:rsidP="58F8BC1E">
            <w:pPr>
              <w:spacing w:line="259" w:lineRule="auto"/>
              <w:jc w:val="center"/>
              <w:rPr>
                <w:rFonts w:ascii="Calibri" w:eastAsia="Calibri" w:hAnsi="Calibri" w:cs="Calibri"/>
                <w:color w:val="000000" w:themeColor="text1"/>
              </w:rPr>
            </w:pPr>
            <w:r w:rsidRPr="58F8BC1E">
              <w:rPr>
                <w:rFonts w:ascii="Calibri" w:eastAsia="Calibri" w:hAnsi="Calibri" w:cs="Calibri"/>
                <w:color w:val="000000" w:themeColor="text1"/>
                <w:lang w:val="en-US"/>
              </w:rPr>
              <w:t>11/04/22</w:t>
            </w:r>
          </w:p>
        </w:tc>
        <w:tc>
          <w:tcPr>
            <w:tcW w:w="4305" w:type="dxa"/>
          </w:tcPr>
          <w:p w14:paraId="4F7FA69D" w14:textId="68C9B669" w:rsidR="58F8BC1E" w:rsidRDefault="58F8BC1E" w:rsidP="58F8BC1E">
            <w:pPr>
              <w:spacing w:line="259" w:lineRule="auto"/>
              <w:rPr>
                <w:rFonts w:ascii="Calibri" w:eastAsia="Calibri" w:hAnsi="Calibri" w:cs="Calibri"/>
                <w:color w:val="000000" w:themeColor="text1"/>
              </w:rPr>
            </w:pPr>
            <w:r w:rsidRPr="58F8BC1E">
              <w:rPr>
                <w:rFonts w:ascii="Calibri" w:eastAsia="Calibri" w:hAnsi="Calibri" w:cs="Calibri"/>
                <w:color w:val="000000" w:themeColor="text1"/>
                <w:lang w:val="en-US"/>
              </w:rPr>
              <w:t>Statistical analysis</w:t>
            </w:r>
          </w:p>
        </w:tc>
      </w:tr>
      <w:tr w:rsidR="58F8BC1E" w14:paraId="5CE24112" w14:textId="77777777" w:rsidTr="58F8BC1E">
        <w:tc>
          <w:tcPr>
            <w:tcW w:w="1125" w:type="dxa"/>
          </w:tcPr>
          <w:p w14:paraId="293563C2" w14:textId="3E563650" w:rsidR="58F8BC1E" w:rsidRDefault="58F8BC1E" w:rsidP="58F8BC1E">
            <w:pPr>
              <w:spacing w:line="259" w:lineRule="auto"/>
              <w:jc w:val="center"/>
              <w:rPr>
                <w:rFonts w:ascii="Calibri" w:eastAsia="Calibri" w:hAnsi="Calibri" w:cs="Calibri"/>
                <w:color w:val="000000" w:themeColor="text1"/>
              </w:rPr>
            </w:pPr>
            <w:r w:rsidRPr="58F8BC1E">
              <w:rPr>
                <w:rFonts w:ascii="Calibri" w:eastAsia="Calibri" w:hAnsi="Calibri" w:cs="Calibri"/>
                <w:color w:val="000000" w:themeColor="text1"/>
                <w:lang w:val="en-US"/>
              </w:rPr>
              <w:t>18/04/22</w:t>
            </w:r>
          </w:p>
        </w:tc>
        <w:tc>
          <w:tcPr>
            <w:tcW w:w="4305" w:type="dxa"/>
          </w:tcPr>
          <w:p w14:paraId="30E7B08D" w14:textId="68FA93AF" w:rsidR="58F8BC1E" w:rsidRDefault="58F8BC1E" w:rsidP="58F8BC1E">
            <w:pPr>
              <w:spacing w:line="259" w:lineRule="auto"/>
              <w:rPr>
                <w:rFonts w:ascii="Calibri" w:eastAsia="Calibri" w:hAnsi="Calibri" w:cs="Calibri"/>
                <w:color w:val="000000" w:themeColor="text1"/>
              </w:rPr>
            </w:pPr>
            <w:r w:rsidRPr="58F8BC1E">
              <w:rPr>
                <w:rFonts w:ascii="Calibri" w:eastAsia="Calibri" w:hAnsi="Calibri" w:cs="Calibri"/>
                <w:color w:val="000000" w:themeColor="text1"/>
                <w:lang w:val="en-US"/>
              </w:rPr>
              <w:t>Write-up - poster</w:t>
            </w:r>
          </w:p>
        </w:tc>
      </w:tr>
      <w:tr w:rsidR="58F8BC1E" w14:paraId="56EB2F14" w14:textId="77777777" w:rsidTr="58F8BC1E">
        <w:tc>
          <w:tcPr>
            <w:tcW w:w="1125" w:type="dxa"/>
          </w:tcPr>
          <w:p w14:paraId="1984A9EA" w14:textId="1A2199FA" w:rsidR="58F8BC1E" w:rsidRDefault="58F8BC1E" w:rsidP="58F8BC1E">
            <w:pPr>
              <w:spacing w:line="259" w:lineRule="auto"/>
              <w:jc w:val="center"/>
              <w:rPr>
                <w:rFonts w:ascii="Calibri" w:eastAsia="Calibri" w:hAnsi="Calibri" w:cs="Calibri"/>
                <w:color w:val="000000" w:themeColor="text1"/>
              </w:rPr>
            </w:pPr>
            <w:r w:rsidRPr="58F8BC1E">
              <w:rPr>
                <w:rFonts w:ascii="Calibri" w:eastAsia="Calibri" w:hAnsi="Calibri" w:cs="Calibri"/>
                <w:color w:val="000000" w:themeColor="text1"/>
                <w:lang w:val="en-US"/>
              </w:rPr>
              <w:t>25/04/22</w:t>
            </w:r>
          </w:p>
        </w:tc>
        <w:tc>
          <w:tcPr>
            <w:tcW w:w="4305" w:type="dxa"/>
          </w:tcPr>
          <w:p w14:paraId="1BACC78C" w14:textId="2F35B6E5" w:rsidR="58F8BC1E" w:rsidRDefault="58F8BC1E" w:rsidP="58F8BC1E">
            <w:pPr>
              <w:spacing w:line="259" w:lineRule="auto"/>
              <w:rPr>
                <w:rFonts w:ascii="Calibri" w:eastAsia="Calibri" w:hAnsi="Calibri" w:cs="Calibri"/>
                <w:color w:val="000000" w:themeColor="text1"/>
              </w:rPr>
            </w:pPr>
            <w:r w:rsidRPr="58F8BC1E">
              <w:rPr>
                <w:rFonts w:ascii="Calibri" w:eastAsia="Calibri" w:hAnsi="Calibri" w:cs="Calibri"/>
                <w:color w:val="000000" w:themeColor="text1"/>
                <w:lang w:val="en-US"/>
              </w:rPr>
              <w:t>Write-up - reflection</w:t>
            </w:r>
          </w:p>
        </w:tc>
      </w:tr>
      <w:tr w:rsidR="58F8BC1E" w14:paraId="71B0BBF7" w14:textId="77777777" w:rsidTr="58F8BC1E">
        <w:tc>
          <w:tcPr>
            <w:tcW w:w="1125" w:type="dxa"/>
          </w:tcPr>
          <w:p w14:paraId="05B0BF83" w14:textId="31E1645F" w:rsidR="58F8BC1E" w:rsidRDefault="58F8BC1E" w:rsidP="58F8BC1E">
            <w:pPr>
              <w:spacing w:line="259" w:lineRule="auto"/>
              <w:jc w:val="center"/>
              <w:rPr>
                <w:rFonts w:ascii="Calibri" w:eastAsia="Calibri" w:hAnsi="Calibri" w:cs="Calibri"/>
                <w:color w:val="000000" w:themeColor="text1"/>
              </w:rPr>
            </w:pPr>
            <w:r w:rsidRPr="58F8BC1E">
              <w:rPr>
                <w:rFonts w:ascii="Calibri" w:eastAsia="Calibri" w:hAnsi="Calibri" w:cs="Calibri"/>
                <w:color w:val="000000" w:themeColor="text1"/>
                <w:lang w:val="en-US"/>
              </w:rPr>
              <w:t>02/05/22</w:t>
            </w:r>
          </w:p>
        </w:tc>
        <w:tc>
          <w:tcPr>
            <w:tcW w:w="4305" w:type="dxa"/>
          </w:tcPr>
          <w:p w14:paraId="7CBB439F" w14:textId="68C51A98" w:rsidR="58F8BC1E" w:rsidRDefault="58F8BC1E" w:rsidP="58F8BC1E">
            <w:pPr>
              <w:spacing w:line="259" w:lineRule="auto"/>
              <w:rPr>
                <w:rFonts w:ascii="Calibri" w:eastAsia="Calibri" w:hAnsi="Calibri" w:cs="Calibri"/>
                <w:color w:val="000000" w:themeColor="text1"/>
              </w:rPr>
            </w:pPr>
            <w:r w:rsidRPr="58F8BC1E">
              <w:rPr>
                <w:rFonts w:ascii="Calibri" w:eastAsia="Calibri" w:hAnsi="Calibri" w:cs="Calibri"/>
                <w:color w:val="000000" w:themeColor="text1"/>
                <w:lang w:val="en-US"/>
              </w:rPr>
              <w:t>Write-up - both</w:t>
            </w:r>
          </w:p>
        </w:tc>
      </w:tr>
    </w:tbl>
    <w:p w14:paraId="143C3B9C" w14:textId="2D861FE6" w:rsidR="58F8BC1E" w:rsidRDefault="58F8BC1E" w:rsidP="58F8BC1E">
      <w:pPr>
        <w:rPr>
          <w:rFonts w:ascii="Calibri" w:eastAsia="Calibri" w:hAnsi="Calibri" w:cs="Calibri"/>
          <w:color w:val="000000" w:themeColor="text1"/>
          <w:sz w:val="24"/>
          <w:szCs w:val="24"/>
        </w:rPr>
      </w:pPr>
    </w:p>
    <w:p w14:paraId="597D92F1" w14:textId="77777777" w:rsidR="00593CF9" w:rsidRDefault="00593CF9" w:rsidP="58F8BC1E">
      <w:pPr>
        <w:rPr>
          <w:rFonts w:ascii="Calibri" w:eastAsia="Calibri" w:hAnsi="Calibri" w:cs="Calibri"/>
          <w:b/>
          <w:bCs/>
          <w:color w:val="000000" w:themeColor="text1"/>
          <w:sz w:val="24"/>
          <w:szCs w:val="24"/>
          <w:u w:val="single"/>
        </w:rPr>
      </w:pPr>
    </w:p>
    <w:p w14:paraId="2B3299FD" w14:textId="77777777" w:rsidR="00593CF9" w:rsidRDefault="00593CF9" w:rsidP="58F8BC1E">
      <w:pPr>
        <w:rPr>
          <w:rFonts w:ascii="Calibri" w:eastAsia="Calibri" w:hAnsi="Calibri" w:cs="Calibri"/>
          <w:b/>
          <w:bCs/>
          <w:color w:val="000000" w:themeColor="text1"/>
          <w:sz w:val="24"/>
          <w:szCs w:val="24"/>
          <w:u w:val="single"/>
        </w:rPr>
      </w:pPr>
    </w:p>
    <w:p w14:paraId="6E111F66" w14:textId="77777777" w:rsidR="00593CF9" w:rsidRDefault="00593CF9" w:rsidP="58F8BC1E">
      <w:pPr>
        <w:rPr>
          <w:rFonts w:ascii="Calibri" w:eastAsia="Calibri" w:hAnsi="Calibri" w:cs="Calibri"/>
          <w:b/>
          <w:bCs/>
          <w:color w:val="000000" w:themeColor="text1"/>
          <w:sz w:val="24"/>
          <w:szCs w:val="24"/>
          <w:u w:val="single"/>
        </w:rPr>
      </w:pPr>
    </w:p>
    <w:p w14:paraId="569EBC46" w14:textId="77777777" w:rsidR="00593CF9" w:rsidRDefault="00593CF9" w:rsidP="58F8BC1E">
      <w:pPr>
        <w:rPr>
          <w:rFonts w:ascii="Calibri" w:eastAsia="Calibri" w:hAnsi="Calibri" w:cs="Calibri"/>
          <w:b/>
          <w:bCs/>
          <w:color w:val="000000" w:themeColor="text1"/>
          <w:sz w:val="24"/>
          <w:szCs w:val="24"/>
          <w:u w:val="single"/>
        </w:rPr>
      </w:pPr>
    </w:p>
    <w:p w14:paraId="6136FC3F" w14:textId="77777777" w:rsidR="00593CF9" w:rsidRDefault="00593CF9" w:rsidP="58F8BC1E">
      <w:pPr>
        <w:rPr>
          <w:rFonts w:ascii="Calibri" w:eastAsia="Calibri" w:hAnsi="Calibri" w:cs="Calibri"/>
          <w:b/>
          <w:bCs/>
          <w:color w:val="000000" w:themeColor="text1"/>
          <w:sz w:val="24"/>
          <w:szCs w:val="24"/>
          <w:u w:val="single"/>
        </w:rPr>
      </w:pPr>
    </w:p>
    <w:p w14:paraId="31F6C96C" w14:textId="77777777" w:rsidR="00593CF9" w:rsidRDefault="00593CF9" w:rsidP="58F8BC1E">
      <w:pPr>
        <w:rPr>
          <w:rFonts w:ascii="Calibri" w:eastAsia="Calibri" w:hAnsi="Calibri" w:cs="Calibri"/>
          <w:b/>
          <w:bCs/>
          <w:color w:val="000000" w:themeColor="text1"/>
          <w:sz w:val="24"/>
          <w:szCs w:val="24"/>
          <w:u w:val="single"/>
        </w:rPr>
      </w:pPr>
    </w:p>
    <w:p w14:paraId="28FDD65C" w14:textId="77777777" w:rsidR="00593CF9" w:rsidRDefault="00593CF9" w:rsidP="58F8BC1E">
      <w:pPr>
        <w:rPr>
          <w:rFonts w:ascii="Calibri" w:eastAsia="Calibri" w:hAnsi="Calibri" w:cs="Calibri"/>
          <w:b/>
          <w:bCs/>
          <w:color w:val="000000" w:themeColor="text1"/>
          <w:sz w:val="24"/>
          <w:szCs w:val="24"/>
          <w:u w:val="single"/>
        </w:rPr>
      </w:pPr>
    </w:p>
    <w:p w14:paraId="256419FE" w14:textId="77777777" w:rsidR="00593CF9" w:rsidRDefault="00593CF9" w:rsidP="58F8BC1E">
      <w:pPr>
        <w:rPr>
          <w:rFonts w:ascii="Calibri" w:eastAsia="Calibri" w:hAnsi="Calibri" w:cs="Calibri"/>
          <w:b/>
          <w:bCs/>
          <w:color w:val="000000" w:themeColor="text1"/>
          <w:sz w:val="24"/>
          <w:szCs w:val="24"/>
          <w:u w:val="single"/>
        </w:rPr>
      </w:pPr>
    </w:p>
    <w:p w14:paraId="70C99633" w14:textId="77777777" w:rsidR="00593CF9" w:rsidRDefault="00593CF9" w:rsidP="58F8BC1E">
      <w:pPr>
        <w:rPr>
          <w:rFonts w:ascii="Calibri" w:eastAsia="Calibri" w:hAnsi="Calibri" w:cs="Calibri"/>
          <w:b/>
          <w:bCs/>
          <w:color w:val="000000" w:themeColor="text1"/>
          <w:sz w:val="24"/>
          <w:szCs w:val="24"/>
          <w:u w:val="single"/>
        </w:rPr>
      </w:pPr>
    </w:p>
    <w:p w14:paraId="086AFA4A" w14:textId="44139067" w:rsidR="58F8BC1E" w:rsidRDefault="58F8BC1E" w:rsidP="58F8BC1E">
      <w:pPr>
        <w:rPr>
          <w:rFonts w:ascii="Calibri" w:eastAsia="Calibri" w:hAnsi="Calibri" w:cs="Calibri"/>
          <w:color w:val="000000" w:themeColor="text1"/>
          <w:sz w:val="24"/>
          <w:szCs w:val="24"/>
        </w:rPr>
      </w:pPr>
      <w:r w:rsidRPr="58F8BC1E">
        <w:rPr>
          <w:rFonts w:ascii="Calibri" w:eastAsia="Calibri" w:hAnsi="Calibri" w:cs="Calibri"/>
          <w:b/>
          <w:bCs/>
          <w:color w:val="000000" w:themeColor="text1"/>
          <w:sz w:val="24"/>
          <w:szCs w:val="24"/>
          <w:u w:val="single"/>
        </w:rPr>
        <w:lastRenderedPageBreak/>
        <w:t>References</w:t>
      </w:r>
    </w:p>
    <w:p w14:paraId="45A30425" w14:textId="618A2E0A" w:rsidR="58F8BC1E" w:rsidRDefault="58F8BC1E" w:rsidP="58F8BC1E">
      <w:pPr>
        <w:rPr>
          <w:rFonts w:ascii="Calibri" w:eastAsia="Calibri" w:hAnsi="Calibri" w:cs="Calibri"/>
          <w:color w:val="000000" w:themeColor="text1"/>
          <w:sz w:val="24"/>
          <w:szCs w:val="24"/>
        </w:rPr>
      </w:pPr>
      <w:r w:rsidRPr="58F8BC1E">
        <w:rPr>
          <w:rFonts w:ascii="Calibri" w:eastAsia="Calibri" w:hAnsi="Calibri" w:cs="Calibri"/>
          <w:color w:val="000000" w:themeColor="text1"/>
          <w:sz w:val="24"/>
          <w:szCs w:val="24"/>
        </w:rPr>
        <w:t xml:space="preserve">Berg, van den, A., </w:t>
      </w:r>
      <w:proofErr w:type="spellStart"/>
      <w:r w:rsidRPr="58F8BC1E">
        <w:rPr>
          <w:rFonts w:ascii="Calibri" w:eastAsia="Calibri" w:hAnsi="Calibri" w:cs="Calibri"/>
          <w:color w:val="000000" w:themeColor="text1"/>
          <w:sz w:val="24"/>
          <w:szCs w:val="24"/>
        </w:rPr>
        <w:t>Joye</w:t>
      </w:r>
      <w:proofErr w:type="spellEnd"/>
      <w:r w:rsidRPr="58F8BC1E">
        <w:rPr>
          <w:rFonts w:ascii="Calibri" w:eastAsia="Calibri" w:hAnsi="Calibri" w:cs="Calibri"/>
          <w:color w:val="000000" w:themeColor="text1"/>
          <w:sz w:val="24"/>
          <w:szCs w:val="24"/>
        </w:rPr>
        <w:t xml:space="preserve">, Y., &amp; </w:t>
      </w:r>
      <w:proofErr w:type="spellStart"/>
      <w:r w:rsidRPr="58F8BC1E">
        <w:rPr>
          <w:rFonts w:ascii="Calibri" w:eastAsia="Calibri" w:hAnsi="Calibri" w:cs="Calibri"/>
          <w:color w:val="000000" w:themeColor="text1"/>
          <w:sz w:val="24"/>
          <w:szCs w:val="24"/>
        </w:rPr>
        <w:t>Koole</w:t>
      </w:r>
      <w:proofErr w:type="spellEnd"/>
      <w:r w:rsidRPr="58F8BC1E">
        <w:rPr>
          <w:rFonts w:ascii="Calibri" w:eastAsia="Calibri" w:hAnsi="Calibri" w:cs="Calibri"/>
          <w:color w:val="000000" w:themeColor="text1"/>
          <w:sz w:val="24"/>
          <w:szCs w:val="24"/>
        </w:rPr>
        <w:t xml:space="preserve">, S. L., (2016) ‘Why viewing nature is more fascinating and restorative than viewing buildings: A closer look at perceived complexity’, </w:t>
      </w:r>
      <w:r w:rsidRPr="58F8BC1E">
        <w:rPr>
          <w:rFonts w:ascii="Calibri" w:eastAsia="Calibri" w:hAnsi="Calibri" w:cs="Calibri"/>
          <w:i/>
          <w:iCs/>
          <w:color w:val="000000" w:themeColor="text1"/>
          <w:sz w:val="24"/>
          <w:szCs w:val="24"/>
        </w:rPr>
        <w:t>Urban Forestry and Urban Greening</w:t>
      </w:r>
      <w:r w:rsidRPr="58F8BC1E">
        <w:rPr>
          <w:rFonts w:ascii="Calibri" w:eastAsia="Calibri" w:hAnsi="Calibri" w:cs="Calibri"/>
          <w:color w:val="000000" w:themeColor="text1"/>
          <w:sz w:val="24"/>
          <w:szCs w:val="24"/>
        </w:rPr>
        <w:t>, 20, pp.397-401.</w:t>
      </w:r>
    </w:p>
    <w:p w14:paraId="715125EA" w14:textId="394060F0" w:rsidR="58F8BC1E" w:rsidRDefault="58F8BC1E" w:rsidP="58F8BC1E">
      <w:pPr>
        <w:rPr>
          <w:rFonts w:ascii="Calibri" w:eastAsia="Calibri" w:hAnsi="Calibri" w:cs="Calibri"/>
          <w:color w:val="000000" w:themeColor="text1"/>
          <w:sz w:val="24"/>
          <w:szCs w:val="24"/>
        </w:rPr>
      </w:pPr>
      <w:proofErr w:type="spellStart"/>
      <w:r w:rsidRPr="58F8BC1E">
        <w:rPr>
          <w:rFonts w:ascii="Calibri" w:eastAsia="Calibri" w:hAnsi="Calibri" w:cs="Calibri"/>
          <w:color w:val="000000" w:themeColor="text1"/>
          <w:sz w:val="24"/>
          <w:szCs w:val="24"/>
        </w:rPr>
        <w:t>Berto</w:t>
      </w:r>
      <w:proofErr w:type="spellEnd"/>
      <w:r w:rsidRPr="58F8BC1E">
        <w:rPr>
          <w:rFonts w:ascii="Calibri" w:eastAsia="Calibri" w:hAnsi="Calibri" w:cs="Calibri"/>
          <w:color w:val="000000" w:themeColor="text1"/>
          <w:sz w:val="24"/>
          <w:szCs w:val="24"/>
        </w:rPr>
        <w:t>, R., (2014)</w:t>
      </w:r>
      <w:r w:rsidRPr="58F8BC1E">
        <w:rPr>
          <w:rFonts w:ascii="Calibri" w:eastAsia="Calibri" w:hAnsi="Calibri" w:cs="Calibri"/>
          <w:i/>
          <w:iCs/>
          <w:color w:val="000000" w:themeColor="text1"/>
          <w:sz w:val="24"/>
          <w:szCs w:val="24"/>
        </w:rPr>
        <w:t xml:space="preserve"> ‘</w:t>
      </w:r>
      <w:r w:rsidRPr="58F8BC1E">
        <w:rPr>
          <w:rFonts w:ascii="Calibri" w:eastAsia="Calibri" w:hAnsi="Calibri" w:cs="Calibri"/>
          <w:color w:val="000000" w:themeColor="text1"/>
          <w:sz w:val="24"/>
          <w:szCs w:val="24"/>
        </w:rPr>
        <w:t xml:space="preserve">The role of nature in coping with psycho-physiological stress: a literature review on </w:t>
      </w:r>
      <w:proofErr w:type="spellStart"/>
      <w:r w:rsidRPr="58F8BC1E">
        <w:rPr>
          <w:rFonts w:ascii="Calibri" w:eastAsia="Calibri" w:hAnsi="Calibri" w:cs="Calibri"/>
          <w:color w:val="000000" w:themeColor="text1"/>
          <w:sz w:val="24"/>
          <w:szCs w:val="24"/>
        </w:rPr>
        <w:t>restorativeness</w:t>
      </w:r>
      <w:proofErr w:type="spellEnd"/>
      <w:r w:rsidRPr="58F8BC1E">
        <w:rPr>
          <w:rFonts w:ascii="Calibri" w:eastAsia="Calibri" w:hAnsi="Calibri" w:cs="Calibri"/>
          <w:color w:val="000000" w:themeColor="text1"/>
          <w:sz w:val="24"/>
          <w:szCs w:val="24"/>
        </w:rPr>
        <w:t>’,</w:t>
      </w:r>
      <w:r w:rsidRPr="58F8BC1E">
        <w:rPr>
          <w:rFonts w:ascii="Calibri" w:eastAsia="Calibri" w:hAnsi="Calibri" w:cs="Calibri"/>
          <w:i/>
          <w:iCs/>
          <w:color w:val="000000" w:themeColor="text1"/>
          <w:sz w:val="24"/>
          <w:szCs w:val="24"/>
        </w:rPr>
        <w:t xml:space="preserve"> Behavioural sciences</w:t>
      </w:r>
      <w:r w:rsidRPr="58F8BC1E">
        <w:rPr>
          <w:rFonts w:ascii="Calibri" w:eastAsia="Calibri" w:hAnsi="Calibri" w:cs="Calibri"/>
          <w:color w:val="000000" w:themeColor="text1"/>
          <w:sz w:val="24"/>
          <w:szCs w:val="24"/>
        </w:rPr>
        <w:t>, 4(4), pp.394-409.</w:t>
      </w:r>
    </w:p>
    <w:p w14:paraId="7CF7CF15" w14:textId="139532C8" w:rsidR="58F8BC1E" w:rsidRDefault="58F8BC1E" w:rsidP="58F8BC1E">
      <w:pPr>
        <w:rPr>
          <w:rFonts w:ascii="Calibri" w:eastAsia="Calibri" w:hAnsi="Calibri" w:cs="Calibri"/>
          <w:color w:val="000000" w:themeColor="text1"/>
          <w:sz w:val="24"/>
          <w:szCs w:val="24"/>
        </w:rPr>
      </w:pPr>
      <w:r w:rsidRPr="58F8BC1E">
        <w:rPr>
          <w:rFonts w:ascii="Calibri" w:eastAsia="Calibri" w:hAnsi="Calibri" w:cs="Calibri"/>
          <w:color w:val="000000" w:themeColor="text1"/>
          <w:sz w:val="24"/>
          <w:szCs w:val="24"/>
        </w:rPr>
        <w:t xml:space="preserve">Birch, J., </w:t>
      </w:r>
      <w:proofErr w:type="spellStart"/>
      <w:r w:rsidRPr="58F8BC1E">
        <w:rPr>
          <w:rFonts w:ascii="Calibri" w:eastAsia="Calibri" w:hAnsi="Calibri" w:cs="Calibri"/>
          <w:color w:val="000000" w:themeColor="text1"/>
          <w:sz w:val="24"/>
          <w:szCs w:val="24"/>
        </w:rPr>
        <w:t>Rishbeth</w:t>
      </w:r>
      <w:proofErr w:type="spellEnd"/>
      <w:r w:rsidRPr="58F8BC1E">
        <w:rPr>
          <w:rFonts w:ascii="Calibri" w:eastAsia="Calibri" w:hAnsi="Calibri" w:cs="Calibri"/>
          <w:color w:val="000000" w:themeColor="text1"/>
          <w:sz w:val="24"/>
          <w:szCs w:val="24"/>
        </w:rPr>
        <w:t xml:space="preserve">, C. &amp; Payne, S.R., (2020) ‘Nature doesn't judge you–how urban nature supports young people's mental health and wellbeing in a diverse UK city’, </w:t>
      </w:r>
      <w:r w:rsidRPr="58F8BC1E">
        <w:rPr>
          <w:rFonts w:ascii="Calibri" w:eastAsia="Calibri" w:hAnsi="Calibri" w:cs="Calibri"/>
          <w:i/>
          <w:iCs/>
          <w:color w:val="000000" w:themeColor="text1"/>
          <w:sz w:val="24"/>
          <w:szCs w:val="24"/>
        </w:rPr>
        <w:t>Health &amp; Place</w:t>
      </w:r>
      <w:r w:rsidRPr="58F8BC1E">
        <w:rPr>
          <w:rFonts w:ascii="Calibri" w:eastAsia="Calibri" w:hAnsi="Calibri" w:cs="Calibri"/>
          <w:color w:val="000000" w:themeColor="text1"/>
          <w:sz w:val="24"/>
          <w:szCs w:val="24"/>
        </w:rPr>
        <w:t>, 62, p.102-296.</w:t>
      </w:r>
    </w:p>
    <w:p w14:paraId="749BB8C5" w14:textId="614CD109" w:rsidR="58F8BC1E" w:rsidRDefault="58F8BC1E" w:rsidP="58F8BC1E">
      <w:pPr>
        <w:rPr>
          <w:rFonts w:ascii="Calibri" w:eastAsia="Calibri" w:hAnsi="Calibri" w:cs="Calibri"/>
          <w:color w:val="000000" w:themeColor="text1"/>
          <w:sz w:val="24"/>
          <w:szCs w:val="24"/>
        </w:rPr>
      </w:pPr>
      <w:r w:rsidRPr="58F8BC1E">
        <w:rPr>
          <w:rFonts w:ascii="Calibri" w:eastAsia="Calibri" w:hAnsi="Calibri" w:cs="Calibri"/>
          <w:color w:val="000000" w:themeColor="text1"/>
          <w:sz w:val="24"/>
          <w:szCs w:val="24"/>
        </w:rPr>
        <w:t xml:space="preserve">Cohen, L., Manion, L. &amp; Morrison, K., (2018) </w:t>
      </w:r>
      <w:r w:rsidRPr="58F8BC1E">
        <w:rPr>
          <w:rFonts w:ascii="Calibri" w:eastAsia="Calibri" w:hAnsi="Calibri" w:cs="Calibri"/>
          <w:i/>
          <w:iCs/>
          <w:color w:val="000000" w:themeColor="text1"/>
          <w:sz w:val="24"/>
          <w:szCs w:val="24"/>
        </w:rPr>
        <w:t>Research methods in education</w:t>
      </w:r>
      <w:r w:rsidRPr="58F8BC1E">
        <w:rPr>
          <w:rFonts w:ascii="Calibri" w:eastAsia="Calibri" w:hAnsi="Calibri" w:cs="Calibri"/>
          <w:color w:val="000000" w:themeColor="text1"/>
          <w:sz w:val="24"/>
          <w:szCs w:val="24"/>
        </w:rPr>
        <w:t>. New York: Routledge.</w:t>
      </w:r>
    </w:p>
    <w:p w14:paraId="054B846F" w14:textId="562BA81B" w:rsidR="58F8BC1E" w:rsidRDefault="58F8BC1E" w:rsidP="58F8BC1E">
      <w:pPr>
        <w:rPr>
          <w:rFonts w:ascii="Calibri" w:eastAsia="Calibri" w:hAnsi="Calibri" w:cs="Calibri"/>
          <w:color w:val="000000" w:themeColor="text1"/>
          <w:sz w:val="24"/>
          <w:szCs w:val="24"/>
        </w:rPr>
      </w:pPr>
      <w:r w:rsidRPr="58F8BC1E">
        <w:rPr>
          <w:rFonts w:ascii="Calibri" w:eastAsia="Calibri" w:hAnsi="Calibri" w:cs="Calibri"/>
          <w:color w:val="000000" w:themeColor="text1"/>
          <w:sz w:val="24"/>
          <w:szCs w:val="24"/>
        </w:rPr>
        <w:t xml:space="preserve">Connor, M.J., (2001) ‘Pupil stress and standard assessment tasks’, </w:t>
      </w:r>
      <w:r w:rsidRPr="58F8BC1E">
        <w:rPr>
          <w:rFonts w:ascii="Calibri" w:eastAsia="Calibri" w:hAnsi="Calibri" w:cs="Calibri"/>
          <w:i/>
          <w:iCs/>
          <w:color w:val="000000" w:themeColor="text1"/>
          <w:sz w:val="24"/>
          <w:szCs w:val="24"/>
        </w:rPr>
        <w:t>Emotional and Behavioural Difficulties</w:t>
      </w:r>
      <w:r w:rsidRPr="58F8BC1E">
        <w:rPr>
          <w:rFonts w:ascii="Calibri" w:eastAsia="Calibri" w:hAnsi="Calibri" w:cs="Calibri"/>
          <w:color w:val="000000" w:themeColor="text1"/>
          <w:sz w:val="24"/>
          <w:szCs w:val="24"/>
        </w:rPr>
        <w:t>, 6(2), pp.103-111.</w:t>
      </w:r>
    </w:p>
    <w:p w14:paraId="15EB6541" w14:textId="43B9D63D" w:rsidR="58F8BC1E" w:rsidRDefault="58F8BC1E" w:rsidP="58F8BC1E">
      <w:pPr>
        <w:rPr>
          <w:rFonts w:ascii="Calibri" w:eastAsia="Calibri" w:hAnsi="Calibri" w:cs="Calibri"/>
          <w:color w:val="000000" w:themeColor="text1"/>
          <w:sz w:val="24"/>
          <w:szCs w:val="24"/>
        </w:rPr>
      </w:pPr>
      <w:r w:rsidRPr="58F8BC1E">
        <w:rPr>
          <w:rFonts w:ascii="Calibri" w:eastAsia="Calibri" w:hAnsi="Calibri" w:cs="Calibri"/>
          <w:color w:val="000000" w:themeColor="text1"/>
          <w:sz w:val="24"/>
          <w:szCs w:val="24"/>
        </w:rPr>
        <w:t xml:space="preserve">Denscombe, M., (2000) ‘Social conditions for stress: young people's experience of doing GCSEs’, </w:t>
      </w:r>
      <w:r w:rsidRPr="58F8BC1E">
        <w:rPr>
          <w:rFonts w:ascii="Calibri" w:eastAsia="Calibri" w:hAnsi="Calibri" w:cs="Calibri"/>
          <w:i/>
          <w:iCs/>
          <w:color w:val="000000" w:themeColor="text1"/>
          <w:sz w:val="24"/>
          <w:szCs w:val="24"/>
        </w:rPr>
        <w:t>British Educational Research Journal</w:t>
      </w:r>
      <w:r w:rsidRPr="58F8BC1E">
        <w:rPr>
          <w:rFonts w:ascii="Calibri" w:eastAsia="Calibri" w:hAnsi="Calibri" w:cs="Calibri"/>
          <w:color w:val="000000" w:themeColor="text1"/>
          <w:sz w:val="24"/>
          <w:szCs w:val="24"/>
        </w:rPr>
        <w:t>, 26(3), pp.359-374.</w:t>
      </w:r>
    </w:p>
    <w:p w14:paraId="041A8A7A" w14:textId="5E5CCD96" w:rsidR="58F8BC1E" w:rsidRDefault="58F8BC1E" w:rsidP="58F8BC1E">
      <w:pPr>
        <w:rPr>
          <w:rFonts w:ascii="Calibri" w:eastAsia="Calibri" w:hAnsi="Calibri" w:cs="Calibri"/>
          <w:color w:val="000000" w:themeColor="text1"/>
          <w:sz w:val="24"/>
          <w:szCs w:val="24"/>
        </w:rPr>
      </w:pPr>
      <w:r w:rsidRPr="58F8BC1E">
        <w:rPr>
          <w:rFonts w:ascii="Calibri" w:eastAsia="Calibri" w:hAnsi="Calibri" w:cs="Calibri"/>
          <w:color w:val="000000" w:themeColor="text1"/>
          <w:sz w:val="24"/>
          <w:szCs w:val="24"/>
        </w:rPr>
        <w:t xml:space="preserve">Denscombe, M., (2014) </w:t>
      </w:r>
      <w:r w:rsidRPr="58F8BC1E">
        <w:rPr>
          <w:rFonts w:ascii="Calibri" w:eastAsia="Calibri" w:hAnsi="Calibri" w:cs="Calibri"/>
          <w:i/>
          <w:iCs/>
          <w:color w:val="000000" w:themeColor="text1"/>
          <w:sz w:val="24"/>
          <w:szCs w:val="24"/>
        </w:rPr>
        <w:t>The good research guide</w:t>
      </w:r>
      <w:r w:rsidRPr="58F8BC1E">
        <w:rPr>
          <w:rFonts w:ascii="Calibri" w:eastAsia="Calibri" w:hAnsi="Calibri" w:cs="Calibri"/>
          <w:color w:val="000000" w:themeColor="text1"/>
          <w:sz w:val="24"/>
          <w:szCs w:val="24"/>
        </w:rPr>
        <w:t>. Milton Keynes: Open University Press.</w:t>
      </w:r>
    </w:p>
    <w:p w14:paraId="7D100E92" w14:textId="7A7E68A7" w:rsidR="58F8BC1E" w:rsidRDefault="58F8BC1E" w:rsidP="58F8BC1E">
      <w:pPr>
        <w:rPr>
          <w:rFonts w:ascii="Calibri" w:eastAsia="Calibri" w:hAnsi="Calibri" w:cs="Calibri"/>
          <w:color w:val="000000" w:themeColor="text1"/>
          <w:sz w:val="24"/>
          <w:szCs w:val="24"/>
          <w:lang w:val="en-US"/>
        </w:rPr>
      </w:pPr>
      <w:r w:rsidRPr="58F8BC1E">
        <w:rPr>
          <w:rFonts w:ascii="Calibri" w:eastAsia="Calibri" w:hAnsi="Calibri" w:cs="Calibri"/>
          <w:color w:val="000000" w:themeColor="text1"/>
          <w:sz w:val="24"/>
          <w:szCs w:val="24"/>
        </w:rPr>
        <w:t xml:space="preserve">Elliot, A. J., &amp; McGregor, H. A., (2001). ‘A 2 × 2 Achievement Goal framework’, </w:t>
      </w:r>
      <w:r w:rsidRPr="58F8BC1E">
        <w:rPr>
          <w:rFonts w:ascii="Calibri" w:eastAsia="Calibri" w:hAnsi="Calibri" w:cs="Calibri"/>
          <w:i/>
          <w:iCs/>
          <w:color w:val="000000" w:themeColor="text1"/>
          <w:sz w:val="24"/>
          <w:szCs w:val="24"/>
        </w:rPr>
        <w:t>Journal of Personality and Social Psychology,</w:t>
      </w:r>
      <w:r w:rsidRPr="58F8BC1E">
        <w:rPr>
          <w:rFonts w:ascii="Calibri" w:eastAsia="Calibri" w:hAnsi="Calibri" w:cs="Calibri"/>
          <w:color w:val="000000" w:themeColor="text1"/>
          <w:sz w:val="24"/>
          <w:szCs w:val="24"/>
        </w:rPr>
        <w:t xml:space="preserve"> 80(3), 501–519.</w:t>
      </w:r>
    </w:p>
    <w:p w14:paraId="56DBAFFE" w14:textId="2E50163A" w:rsidR="58F8BC1E" w:rsidRDefault="58F8BC1E" w:rsidP="58F8BC1E">
      <w:pPr>
        <w:rPr>
          <w:rFonts w:ascii="Calibri" w:eastAsia="Calibri" w:hAnsi="Calibri" w:cs="Calibri"/>
          <w:color w:val="000000" w:themeColor="text1"/>
          <w:sz w:val="24"/>
          <w:szCs w:val="24"/>
          <w:lang w:val="en-US"/>
        </w:rPr>
      </w:pPr>
      <w:r w:rsidRPr="58F8BC1E">
        <w:rPr>
          <w:rFonts w:ascii="Calibri" w:eastAsia="Calibri" w:hAnsi="Calibri" w:cs="Calibri"/>
          <w:color w:val="000000" w:themeColor="text1"/>
          <w:sz w:val="24"/>
          <w:szCs w:val="24"/>
        </w:rPr>
        <w:t>Giddens, A., (1991). Modernity and self-identity. Cambridge: Polity Press.</w:t>
      </w:r>
    </w:p>
    <w:p w14:paraId="2945434C" w14:textId="39ECD362" w:rsidR="58F8BC1E" w:rsidRDefault="58F8BC1E" w:rsidP="58F8BC1E">
      <w:pPr>
        <w:rPr>
          <w:rFonts w:ascii="Calibri" w:eastAsia="Calibri" w:hAnsi="Calibri" w:cs="Calibri"/>
          <w:color w:val="000000" w:themeColor="text1"/>
          <w:sz w:val="24"/>
          <w:szCs w:val="24"/>
        </w:rPr>
      </w:pPr>
      <w:proofErr w:type="spellStart"/>
      <w:r w:rsidRPr="58F8BC1E">
        <w:rPr>
          <w:rFonts w:ascii="Calibri" w:eastAsia="Calibri" w:hAnsi="Calibri" w:cs="Calibri"/>
          <w:color w:val="000000" w:themeColor="text1"/>
          <w:sz w:val="24"/>
          <w:szCs w:val="24"/>
        </w:rPr>
        <w:t>Hartig</w:t>
      </w:r>
      <w:proofErr w:type="spellEnd"/>
      <w:r w:rsidRPr="58F8BC1E">
        <w:rPr>
          <w:rFonts w:ascii="Calibri" w:eastAsia="Calibri" w:hAnsi="Calibri" w:cs="Calibri"/>
          <w:color w:val="000000" w:themeColor="text1"/>
          <w:sz w:val="24"/>
          <w:szCs w:val="24"/>
        </w:rPr>
        <w:t xml:space="preserve">, T., Mitchell, R., de Vries, S., &amp; </w:t>
      </w:r>
      <w:proofErr w:type="spellStart"/>
      <w:r w:rsidRPr="58F8BC1E">
        <w:rPr>
          <w:rFonts w:ascii="Calibri" w:eastAsia="Calibri" w:hAnsi="Calibri" w:cs="Calibri"/>
          <w:color w:val="000000" w:themeColor="text1"/>
          <w:sz w:val="24"/>
          <w:szCs w:val="24"/>
        </w:rPr>
        <w:t>Frumkin</w:t>
      </w:r>
      <w:proofErr w:type="spellEnd"/>
      <w:r w:rsidRPr="58F8BC1E">
        <w:rPr>
          <w:rFonts w:ascii="Calibri" w:eastAsia="Calibri" w:hAnsi="Calibri" w:cs="Calibri"/>
          <w:color w:val="000000" w:themeColor="text1"/>
          <w:sz w:val="24"/>
          <w:szCs w:val="24"/>
        </w:rPr>
        <w:t>, H., (2014)</w:t>
      </w:r>
      <w:r w:rsidRPr="58F8BC1E">
        <w:rPr>
          <w:rFonts w:ascii="Calibri" w:eastAsia="Calibri" w:hAnsi="Calibri" w:cs="Calibri"/>
          <w:i/>
          <w:iCs/>
          <w:color w:val="000000" w:themeColor="text1"/>
          <w:sz w:val="24"/>
          <w:szCs w:val="24"/>
        </w:rPr>
        <w:t xml:space="preserve"> ‘Nature and health’,</w:t>
      </w:r>
      <w:r w:rsidRPr="58F8BC1E">
        <w:rPr>
          <w:rFonts w:ascii="Calibri" w:eastAsia="Calibri" w:hAnsi="Calibri" w:cs="Calibri"/>
          <w:color w:val="000000" w:themeColor="text1"/>
          <w:sz w:val="24"/>
          <w:szCs w:val="24"/>
        </w:rPr>
        <w:t xml:space="preserve"> </w:t>
      </w:r>
      <w:r w:rsidRPr="58F8BC1E">
        <w:rPr>
          <w:rFonts w:ascii="Calibri" w:eastAsia="Calibri" w:hAnsi="Calibri" w:cs="Calibri"/>
          <w:i/>
          <w:iCs/>
          <w:color w:val="000000" w:themeColor="text1"/>
          <w:sz w:val="24"/>
          <w:szCs w:val="24"/>
        </w:rPr>
        <w:t>Annual Review. Public Health</w:t>
      </w:r>
      <w:r w:rsidRPr="58F8BC1E">
        <w:rPr>
          <w:rFonts w:ascii="Calibri" w:eastAsia="Calibri" w:hAnsi="Calibri" w:cs="Calibri"/>
          <w:color w:val="000000" w:themeColor="text1"/>
          <w:sz w:val="24"/>
          <w:szCs w:val="24"/>
        </w:rPr>
        <w:t xml:space="preserve"> 35, 207–228.</w:t>
      </w:r>
    </w:p>
    <w:p w14:paraId="1EC1F304" w14:textId="41588EF2" w:rsidR="58F8BC1E" w:rsidRDefault="58F8BC1E" w:rsidP="58F8BC1E">
      <w:pPr>
        <w:rPr>
          <w:rFonts w:ascii="Calibri" w:eastAsia="Calibri" w:hAnsi="Calibri" w:cs="Calibri"/>
          <w:color w:val="000000" w:themeColor="text1"/>
          <w:sz w:val="24"/>
          <w:szCs w:val="24"/>
        </w:rPr>
      </w:pPr>
      <w:proofErr w:type="spellStart"/>
      <w:r w:rsidRPr="58F8BC1E">
        <w:rPr>
          <w:rFonts w:ascii="Calibri" w:eastAsia="Calibri" w:hAnsi="Calibri" w:cs="Calibri"/>
          <w:color w:val="000000" w:themeColor="text1"/>
          <w:sz w:val="24"/>
          <w:szCs w:val="24"/>
        </w:rPr>
        <w:t>Hartig</w:t>
      </w:r>
      <w:proofErr w:type="spellEnd"/>
      <w:r w:rsidRPr="58F8BC1E">
        <w:rPr>
          <w:rFonts w:ascii="Calibri" w:eastAsia="Calibri" w:hAnsi="Calibri" w:cs="Calibri"/>
          <w:color w:val="000000" w:themeColor="text1"/>
          <w:sz w:val="24"/>
          <w:szCs w:val="24"/>
        </w:rPr>
        <w:t xml:space="preserve">, T., (2004) </w:t>
      </w:r>
      <w:r w:rsidRPr="58F8BC1E">
        <w:rPr>
          <w:rFonts w:ascii="Calibri" w:eastAsia="Calibri" w:hAnsi="Calibri" w:cs="Calibri"/>
          <w:i/>
          <w:iCs/>
          <w:color w:val="000000" w:themeColor="text1"/>
          <w:sz w:val="24"/>
          <w:szCs w:val="24"/>
        </w:rPr>
        <w:t>Restorative Environments.</w:t>
      </w:r>
      <w:r w:rsidRPr="58F8BC1E">
        <w:rPr>
          <w:rFonts w:ascii="Calibri" w:eastAsia="Calibri" w:hAnsi="Calibri" w:cs="Calibri"/>
          <w:color w:val="000000" w:themeColor="text1"/>
          <w:sz w:val="24"/>
          <w:szCs w:val="24"/>
        </w:rPr>
        <w:t xml:space="preserve"> Encyclopaedia Applied Psychology. 3, 273-279.</w:t>
      </w:r>
    </w:p>
    <w:p w14:paraId="3ABDE1AA" w14:textId="571A8384" w:rsidR="58F8BC1E" w:rsidRDefault="58F8BC1E" w:rsidP="58F8BC1E">
      <w:pPr>
        <w:rPr>
          <w:rFonts w:ascii="Calibri" w:eastAsia="Calibri" w:hAnsi="Calibri" w:cs="Calibri"/>
          <w:color w:val="000000" w:themeColor="text1"/>
          <w:sz w:val="24"/>
          <w:szCs w:val="24"/>
        </w:rPr>
      </w:pPr>
      <w:r w:rsidRPr="58F8BC1E">
        <w:rPr>
          <w:rFonts w:ascii="Calibri" w:eastAsia="Calibri" w:hAnsi="Calibri" w:cs="Calibri"/>
          <w:color w:val="000000" w:themeColor="text1"/>
          <w:sz w:val="24"/>
          <w:szCs w:val="24"/>
        </w:rPr>
        <w:t xml:space="preserve">Harvey, D.J., Montgomery, L.N., Harvey, H., Hall, F., </w:t>
      </w:r>
      <w:proofErr w:type="spellStart"/>
      <w:r w:rsidRPr="58F8BC1E">
        <w:rPr>
          <w:rFonts w:ascii="Calibri" w:eastAsia="Calibri" w:hAnsi="Calibri" w:cs="Calibri"/>
          <w:color w:val="000000" w:themeColor="text1"/>
          <w:sz w:val="24"/>
          <w:szCs w:val="24"/>
        </w:rPr>
        <w:t>Gange</w:t>
      </w:r>
      <w:proofErr w:type="spellEnd"/>
      <w:r w:rsidRPr="58F8BC1E">
        <w:rPr>
          <w:rFonts w:ascii="Calibri" w:eastAsia="Calibri" w:hAnsi="Calibri" w:cs="Calibri"/>
          <w:color w:val="000000" w:themeColor="text1"/>
          <w:sz w:val="24"/>
          <w:szCs w:val="24"/>
        </w:rPr>
        <w:t>, A.C. and Watling, D., (2020) ‘Psychological benefits of a biodiversity-focussed outdoor learning program for primary school children’</w:t>
      </w:r>
      <w:r w:rsidRPr="58F8BC1E">
        <w:rPr>
          <w:rFonts w:ascii="Calibri" w:eastAsia="Calibri" w:hAnsi="Calibri" w:cs="Calibri"/>
          <w:i/>
          <w:iCs/>
          <w:color w:val="000000" w:themeColor="text1"/>
          <w:sz w:val="24"/>
          <w:szCs w:val="24"/>
        </w:rPr>
        <w:t>,</w:t>
      </w:r>
      <w:r w:rsidRPr="58F8BC1E">
        <w:rPr>
          <w:rFonts w:ascii="Calibri" w:eastAsia="Calibri" w:hAnsi="Calibri" w:cs="Calibri"/>
          <w:color w:val="000000" w:themeColor="text1"/>
          <w:sz w:val="24"/>
          <w:szCs w:val="24"/>
        </w:rPr>
        <w:t xml:space="preserve"> </w:t>
      </w:r>
      <w:r w:rsidRPr="58F8BC1E">
        <w:rPr>
          <w:rFonts w:ascii="Calibri" w:eastAsia="Calibri" w:hAnsi="Calibri" w:cs="Calibri"/>
          <w:i/>
          <w:iCs/>
          <w:color w:val="000000" w:themeColor="text1"/>
          <w:sz w:val="24"/>
          <w:szCs w:val="24"/>
        </w:rPr>
        <w:t>Journal of Environmental Psychology</w:t>
      </w:r>
      <w:r w:rsidRPr="58F8BC1E">
        <w:rPr>
          <w:rFonts w:ascii="Calibri" w:eastAsia="Calibri" w:hAnsi="Calibri" w:cs="Calibri"/>
          <w:color w:val="000000" w:themeColor="text1"/>
          <w:sz w:val="24"/>
          <w:szCs w:val="24"/>
        </w:rPr>
        <w:t xml:space="preserve">, 67, pp.101-381. </w:t>
      </w:r>
    </w:p>
    <w:p w14:paraId="10075C54" w14:textId="6C09DC70" w:rsidR="58F8BC1E" w:rsidRDefault="58F8BC1E" w:rsidP="58F8BC1E">
      <w:pPr>
        <w:rPr>
          <w:rFonts w:ascii="Calibri" w:eastAsia="Calibri" w:hAnsi="Calibri" w:cs="Calibri"/>
          <w:color w:val="000000" w:themeColor="text1"/>
          <w:sz w:val="24"/>
          <w:szCs w:val="24"/>
        </w:rPr>
      </w:pPr>
      <w:r w:rsidRPr="58F8BC1E">
        <w:rPr>
          <w:rFonts w:ascii="Calibri" w:eastAsia="Calibri" w:hAnsi="Calibri" w:cs="Calibri"/>
          <w:color w:val="000000" w:themeColor="text1"/>
          <w:sz w:val="24"/>
          <w:szCs w:val="24"/>
        </w:rPr>
        <w:t>Kaplan, R. &amp; Kaplan, S., (1989) </w:t>
      </w:r>
      <w:r w:rsidRPr="58F8BC1E">
        <w:rPr>
          <w:rFonts w:ascii="Calibri" w:eastAsia="Calibri" w:hAnsi="Calibri" w:cs="Calibri"/>
          <w:i/>
          <w:iCs/>
          <w:color w:val="000000" w:themeColor="text1"/>
          <w:sz w:val="24"/>
          <w:szCs w:val="24"/>
        </w:rPr>
        <w:t>The experience of nature</w:t>
      </w:r>
      <w:r w:rsidRPr="58F8BC1E">
        <w:rPr>
          <w:rFonts w:ascii="Calibri" w:eastAsia="Calibri" w:hAnsi="Calibri" w:cs="Calibri"/>
          <w:color w:val="000000" w:themeColor="text1"/>
          <w:sz w:val="24"/>
          <w:szCs w:val="24"/>
        </w:rPr>
        <w:t>. Cambridge: Cambridge University Press.</w:t>
      </w:r>
    </w:p>
    <w:p w14:paraId="6A2E1A7D" w14:textId="37B9ED87" w:rsidR="58F8BC1E" w:rsidRDefault="58F8BC1E" w:rsidP="58F8BC1E">
      <w:pPr>
        <w:rPr>
          <w:rFonts w:ascii="Calibri" w:eastAsia="Calibri" w:hAnsi="Calibri" w:cs="Calibri"/>
          <w:color w:val="000000" w:themeColor="text1"/>
          <w:sz w:val="24"/>
          <w:szCs w:val="24"/>
        </w:rPr>
      </w:pPr>
      <w:r w:rsidRPr="58F8BC1E">
        <w:rPr>
          <w:rFonts w:ascii="Calibri" w:eastAsia="Calibri" w:hAnsi="Calibri" w:cs="Calibri"/>
          <w:color w:val="000000" w:themeColor="text1"/>
          <w:sz w:val="24"/>
          <w:szCs w:val="24"/>
        </w:rPr>
        <w:t>Kaplan, S., (1995) ‘The restorative benefits of nature: toward an integrative framework',</w:t>
      </w:r>
      <w:r w:rsidRPr="58F8BC1E">
        <w:rPr>
          <w:rFonts w:ascii="Calibri" w:eastAsia="Calibri" w:hAnsi="Calibri" w:cs="Calibri"/>
          <w:i/>
          <w:iCs/>
          <w:color w:val="000000" w:themeColor="text1"/>
          <w:sz w:val="24"/>
          <w:szCs w:val="24"/>
        </w:rPr>
        <w:t xml:space="preserve"> Journal of Environmental Psychology</w:t>
      </w:r>
      <w:r w:rsidRPr="58F8BC1E">
        <w:rPr>
          <w:rFonts w:ascii="Calibri" w:eastAsia="Calibri" w:hAnsi="Calibri" w:cs="Calibri"/>
          <w:color w:val="000000" w:themeColor="text1"/>
          <w:sz w:val="24"/>
          <w:szCs w:val="24"/>
        </w:rPr>
        <w:t>, 15 (3), 169–182</w:t>
      </w:r>
    </w:p>
    <w:p w14:paraId="00776323" w14:textId="201F37E2" w:rsidR="58F8BC1E" w:rsidRDefault="58F8BC1E" w:rsidP="58F8BC1E">
      <w:pPr>
        <w:rPr>
          <w:rFonts w:ascii="Calibri" w:eastAsia="Calibri" w:hAnsi="Calibri" w:cs="Calibri"/>
          <w:color w:val="000000" w:themeColor="text1"/>
          <w:sz w:val="24"/>
          <w:szCs w:val="24"/>
        </w:rPr>
      </w:pPr>
      <w:r w:rsidRPr="58F8BC1E">
        <w:rPr>
          <w:rFonts w:ascii="Calibri" w:eastAsia="Calibri" w:hAnsi="Calibri" w:cs="Calibri"/>
          <w:color w:val="000000" w:themeColor="text1"/>
          <w:sz w:val="24"/>
          <w:szCs w:val="24"/>
        </w:rPr>
        <w:t xml:space="preserve">Kaplan, S. &amp; Kaplan, R., (2003) ‘Health, supportive environments, and the reasonable person model’, </w:t>
      </w:r>
      <w:r w:rsidRPr="58F8BC1E">
        <w:rPr>
          <w:rFonts w:ascii="Calibri" w:eastAsia="Calibri" w:hAnsi="Calibri" w:cs="Calibri"/>
          <w:i/>
          <w:iCs/>
          <w:color w:val="000000" w:themeColor="text1"/>
          <w:sz w:val="24"/>
          <w:szCs w:val="24"/>
        </w:rPr>
        <w:t>American Journal of Public Healt</w:t>
      </w:r>
      <w:r w:rsidRPr="58F8BC1E">
        <w:rPr>
          <w:rFonts w:ascii="Calibri" w:eastAsia="Calibri" w:hAnsi="Calibri" w:cs="Calibri"/>
          <w:color w:val="000000" w:themeColor="text1"/>
          <w:sz w:val="24"/>
          <w:szCs w:val="24"/>
        </w:rPr>
        <w:t>h, 93(9), pp.1484-1489.</w:t>
      </w:r>
    </w:p>
    <w:p w14:paraId="2D968C7B" w14:textId="32955AB9" w:rsidR="58F8BC1E" w:rsidRDefault="58F8BC1E" w:rsidP="58F8BC1E">
      <w:pPr>
        <w:rPr>
          <w:rFonts w:ascii="Calibri" w:eastAsia="Calibri" w:hAnsi="Calibri" w:cs="Calibri"/>
          <w:color w:val="000000" w:themeColor="text1"/>
          <w:sz w:val="24"/>
          <w:szCs w:val="24"/>
        </w:rPr>
      </w:pPr>
      <w:proofErr w:type="spellStart"/>
      <w:r w:rsidRPr="58F8BC1E">
        <w:rPr>
          <w:rFonts w:ascii="Calibri" w:eastAsia="Calibri" w:hAnsi="Calibri" w:cs="Calibri"/>
          <w:color w:val="000000" w:themeColor="text1"/>
          <w:sz w:val="24"/>
          <w:szCs w:val="24"/>
        </w:rPr>
        <w:lastRenderedPageBreak/>
        <w:t>Marselle</w:t>
      </w:r>
      <w:proofErr w:type="spellEnd"/>
      <w:r w:rsidRPr="58F8BC1E">
        <w:rPr>
          <w:rFonts w:ascii="Calibri" w:eastAsia="Calibri" w:hAnsi="Calibri" w:cs="Calibri"/>
          <w:color w:val="000000" w:themeColor="text1"/>
          <w:sz w:val="24"/>
          <w:szCs w:val="24"/>
        </w:rPr>
        <w:t>, M., (2019)</w:t>
      </w:r>
      <w:r w:rsidRPr="58F8BC1E">
        <w:rPr>
          <w:rFonts w:ascii="Calibri" w:eastAsia="Calibri" w:hAnsi="Calibri" w:cs="Calibri"/>
          <w:i/>
          <w:iCs/>
          <w:color w:val="000000" w:themeColor="text1"/>
          <w:sz w:val="24"/>
          <w:szCs w:val="24"/>
        </w:rPr>
        <w:t xml:space="preserve"> ‘Theoretical foundations of biodiversity and mental well-being’</w:t>
      </w:r>
      <w:r w:rsidRPr="58F8BC1E">
        <w:rPr>
          <w:rFonts w:ascii="Calibri" w:eastAsia="Calibri" w:hAnsi="Calibri" w:cs="Calibri"/>
          <w:color w:val="000000" w:themeColor="text1"/>
          <w:sz w:val="24"/>
          <w:szCs w:val="24"/>
        </w:rPr>
        <w:t xml:space="preserve">, in </w:t>
      </w:r>
      <w:proofErr w:type="spellStart"/>
      <w:r w:rsidRPr="58F8BC1E">
        <w:rPr>
          <w:rFonts w:ascii="Calibri" w:eastAsia="Calibri" w:hAnsi="Calibri" w:cs="Calibri"/>
          <w:color w:val="000000" w:themeColor="text1"/>
          <w:sz w:val="24"/>
          <w:szCs w:val="24"/>
        </w:rPr>
        <w:t>Marselle</w:t>
      </w:r>
      <w:proofErr w:type="spellEnd"/>
      <w:r w:rsidRPr="58F8BC1E">
        <w:rPr>
          <w:rFonts w:ascii="Calibri" w:eastAsia="Calibri" w:hAnsi="Calibri" w:cs="Calibri"/>
          <w:color w:val="000000" w:themeColor="text1"/>
          <w:sz w:val="24"/>
          <w:szCs w:val="24"/>
        </w:rPr>
        <w:t>, M. Biodiversity and health in the face of climate change. Switzerland: Springer Nature, pp.133-158.</w:t>
      </w:r>
    </w:p>
    <w:p w14:paraId="25DC9667" w14:textId="15980C3D" w:rsidR="58F8BC1E" w:rsidRDefault="58F8BC1E" w:rsidP="58F8BC1E">
      <w:pPr>
        <w:rPr>
          <w:rFonts w:ascii="Calibri" w:eastAsia="Calibri" w:hAnsi="Calibri" w:cs="Calibri"/>
          <w:color w:val="000000" w:themeColor="text1"/>
          <w:sz w:val="24"/>
          <w:szCs w:val="24"/>
        </w:rPr>
      </w:pPr>
      <w:proofErr w:type="spellStart"/>
      <w:r w:rsidRPr="58F8BC1E">
        <w:rPr>
          <w:rFonts w:ascii="Calibri" w:eastAsia="Calibri" w:hAnsi="Calibri" w:cs="Calibri"/>
          <w:color w:val="000000" w:themeColor="text1"/>
          <w:sz w:val="24"/>
          <w:szCs w:val="24"/>
        </w:rPr>
        <w:t>Mackean</w:t>
      </w:r>
      <w:proofErr w:type="spellEnd"/>
      <w:r w:rsidRPr="58F8BC1E">
        <w:rPr>
          <w:rFonts w:ascii="Calibri" w:eastAsia="Calibri" w:hAnsi="Calibri" w:cs="Calibri"/>
          <w:color w:val="000000" w:themeColor="text1"/>
          <w:sz w:val="24"/>
          <w:szCs w:val="24"/>
        </w:rPr>
        <w:t xml:space="preserve">, G., (2011). </w:t>
      </w:r>
      <w:r w:rsidRPr="58F8BC1E">
        <w:rPr>
          <w:rFonts w:ascii="Calibri" w:eastAsia="Calibri" w:hAnsi="Calibri" w:cs="Calibri"/>
          <w:i/>
          <w:iCs/>
          <w:color w:val="000000" w:themeColor="text1"/>
          <w:sz w:val="24"/>
          <w:szCs w:val="24"/>
        </w:rPr>
        <w:t>Mental health and well-being in post-secondary education settings</w:t>
      </w:r>
      <w:r w:rsidRPr="58F8BC1E">
        <w:rPr>
          <w:rFonts w:ascii="Calibri" w:eastAsia="Calibri" w:hAnsi="Calibri" w:cs="Calibri"/>
          <w:color w:val="000000" w:themeColor="text1"/>
          <w:sz w:val="24"/>
          <w:szCs w:val="24"/>
        </w:rPr>
        <w:t>. In CACUSS preconference workshop on mental health.</w:t>
      </w:r>
    </w:p>
    <w:p w14:paraId="5568BEEB" w14:textId="7C371A94" w:rsidR="58F8BC1E" w:rsidRDefault="58F8BC1E" w:rsidP="58F8BC1E">
      <w:pPr>
        <w:rPr>
          <w:rFonts w:ascii="Calibri" w:eastAsia="Calibri" w:hAnsi="Calibri" w:cs="Calibri"/>
          <w:color w:val="000000" w:themeColor="text1"/>
          <w:sz w:val="24"/>
          <w:szCs w:val="24"/>
        </w:rPr>
      </w:pPr>
      <w:r w:rsidRPr="58F8BC1E">
        <w:rPr>
          <w:rFonts w:ascii="Calibri" w:eastAsia="Calibri" w:hAnsi="Calibri" w:cs="Calibri"/>
          <w:color w:val="000000" w:themeColor="text1"/>
          <w:sz w:val="24"/>
          <w:szCs w:val="24"/>
        </w:rPr>
        <w:t>MIND (2016) Mental Wellbeing. [</w:t>
      </w:r>
      <w:proofErr w:type="spellStart"/>
      <w:r w:rsidRPr="58F8BC1E">
        <w:rPr>
          <w:rFonts w:ascii="Calibri" w:eastAsia="Calibri" w:hAnsi="Calibri" w:cs="Calibri"/>
          <w:color w:val="000000" w:themeColor="text1"/>
          <w:sz w:val="24"/>
          <w:szCs w:val="24"/>
        </w:rPr>
        <w:t>ebook</w:t>
      </w:r>
      <w:proofErr w:type="spellEnd"/>
      <w:r w:rsidRPr="58F8BC1E">
        <w:rPr>
          <w:rFonts w:ascii="Calibri" w:eastAsia="Calibri" w:hAnsi="Calibri" w:cs="Calibri"/>
          <w:color w:val="000000" w:themeColor="text1"/>
          <w:sz w:val="24"/>
          <w:szCs w:val="24"/>
        </w:rPr>
        <w:t xml:space="preserve">] Available at: &lt;https://www.mind.org.uk/media-a/3360/mental-wellbeing-2016-pdf-version.pdf&gt; [Accessed 20 February 2022]. </w:t>
      </w:r>
    </w:p>
    <w:p w14:paraId="21285CE0" w14:textId="0E810A27" w:rsidR="58F8BC1E" w:rsidRDefault="58F8BC1E" w:rsidP="58F8BC1E">
      <w:pPr>
        <w:rPr>
          <w:rFonts w:ascii="Calibri" w:eastAsia="Calibri" w:hAnsi="Calibri" w:cs="Calibri"/>
          <w:color w:val="000000" w:themeColor="text1"/>
          <w:sz w:val="24"/>
          <w:szCs w:val="24"/>
          <w:lang w:val="en-US"/>
        </w:rPr>
      </w:pPr>
      <w:r w:rsidRPr="58F8BC1E">
        <w:rPr>
          <w:rFonts w:ascii="Calibri" w:eastAsia="Calibri" w:hAnsi="Calibri" w:cs="Calibri"/>
          <w:color w:val="000000" w:themeColor="text1"/>
          <w:sz w:val="24"/>
          <w:szCs w:val="24"/>
        </w:rPr>
        <w:t xml:space="preserve">Moran, D., (2019) ‘Back to nature? Attention restoration theory and the restorative effects of nature contact in prison’, </w:t>
      </w:r>
      <w:r w:rsidRPr="58F8BC1E">
        <w:rPr>
          <w:rFonts w:ascii="Calibri" w:eastAsia="Calibri" w:hAnsi="Calibri" w:cs="Calibri"/>
          <w:i/>
          <w:iCs/>
          <w:color w:val="000000" w:themeColor="text1"/>
          <w:sz w:val="24"/>
          <w:szCs w:val="24"/>
        </w:rPr>
        <w:t>Health &amp; Place</w:t>
      </w:r>
      <w:r w:rsidRPr="58F8BC1E">
        <w:rPr>
          <w:rFonts w:ascii="Calibri" w:eastAsia="Calibri" w:hAnsi="Calibri" w:cs="Calibri"/>
          <w:color w:val="000000" w:themeColor="text1"/>
          <w:sz w:val="24"/>
          <w:szCs w:val="24"/>
        </w:rPr>
        <w:t>, 57, pp.35-43.</w:t>
      </w:r>
    </w:p>
    <w:p w14:paraId="6EE5800C" w14:textId="0A81E166" w:rsidR="58F8BC1E" w:rsidRDefault="58F8BC1E" w:rsidP="58F8BC1E">
      <w:pPr>
        <w:rPr>
          <w:rFonts w:ascii="Calibri" w:eastAsia="Calibri" w:hAnsi="Calibri" w:cs="Calibri"/>
          <w:color w:val="000000" w:themeColor="text1"/>
          <w:sz w:val="24"/>
          <w:szCs w:val="24"/>
        </w:rPr>
      </w:pPr>
      <w:r w:rsidRPr="58F8BC1E">
        <w:rPr>
          <w:rFonts w:ascii="Calibri" w:eastAsia="Calibri" w:hAnsi="Calibri" w:cs="Calibri"/>
          <w:color w:val="000000" w:themeColor="text1"/>
          <w:sz w:val="24"/>
          <w:szCs w:val="24"/>
        </w:rPr>
        <w:t xml:space="preserve">National Audit Office (2018) Improving Children’s and Young People’s Mental Health Services. Report by the Comptroller and Auditor General. Department of Health &amp; Social Care, NHS England and Health Education England. NAO, London. </w:t>
      </w:r>
      <w:hyperlink r:id="rId9">
        <w:r w:rsidRPr="58F8BC1E">
          <w:rPr>
            <w:rStyle w:val="Hyperlink"/>
            <w:rFonts w:ascii="Calibri" w:eastAsia="Calibri" w:hAnsi="Calibri" w:cs="Calibri"/>
            <w:sz w:val="24"/>
            <w:szCs w:val="24"/>
          </w:rPr>
          <w:t>https://www.nao.org.uk/report/improving-children-and-young-peoples-mental-health-services/</w:t>
        </w:r>
      </w:hyperlink>
      <w:r w:rsidRPr="58F8BC1E">
        <w:rPr>
          <w:rFonts w:ascii="Calibri" w:eastAsia="Calibri" w:hAnsi="Calibri" w:cs="Calibri"/>
          <w:color w:val="000000" w:themeColor="text1"/>
          <w:sz w:val="24"/>
          <w:szCs w:val="24"/>
        </w:rPr>
        <w:t>. (Accessed 19 February 2022).</w:t>
      </w:r>
    </w:p>
    <w:p w14:paraId="4957CBB9" w14:textId="5C258F86" w:rsidR="58F8BC1E" w:rsidRDefault="58F8BC1E" w:rsidP="58F8BC1E">
      <w:pPr>
        <w:rPr>
          <w:rFonts w:ascii="Calibri" w:eastAsia="Calibri" w:hAnsi="Calibri" w:cs="Calibri"/>
          <w:color w:val="000000" w:themeColor="text1"/>
          <w:sz w:val="24"/>
          <w:szCs w:val="24"/>
        </w:rPr>
      </w:pPr>
      <w:r w:rsidRPr="58F8BC1E">
        <w:rPr>
          <w:rFonts w:ascii="Calibri" w:eastAsia="Calibri" w:hAnsi="Calibri" w:cs="Calibri"/>
          <w:color w:val="000000" w:themeColor="text1"/>
          <w:sz w:val="24"/>
          <w:szCs w:val="24"/>
        </w:rPr>
        <w:t xml:space="preserve">NHS Health Scotland. Tennant, R., Hiller, L., Fishwick, R., Platt, S., Joseph, S., </w:t>
      </w:r>
      <w:proofErr w:type="spellStart"/>
      <w:r w:rsidRPr="58F8BC1E">
        <w:rPr>
          <w:rFonts w:ascii="Calibri" w:eastAsia="Calibri" w:hAnsi="Calibri" w:cs="Calibri"/>
          <w:color w:val="000000" w:themeColor="text1"/>
          <w:sz w:val="24"/>
          <w:szCs w:val="24"/>
        </w:rPr>
        <w:t>Weich</w:t>
      </w:r>
      <w:proofErr w:type="spellEnd"/>
      <w:r w:rsidRPr="58F8BC1E">
        <w:rPr>
          <w:rFonts w:ascii="Calibri" w:eastAsia="Calibri" w:hAnsi="Calibri" w:cs="Calibri"/>
          <w:color w:val="000000" w:themeColor="text1"/>
          <w:sz w:val="24"/>
          <w:szCs w:val="24"/>
        </w:rPr>
        <w:t>, S., Parkinson, J., Secker, J &amp; Stewart-Brown, S. (2007). The Warwick-Edinburgh Mental Well-being Scale (WEMWBS): development and validation.</w:t>
      </w:r>
    </w:p>
    <w:p w14:paraId="6236E29B" w14:textId="62526BFB" w:rsidR="58F8BC1E" w:rsidRDefault="58F8BC1E" w:rsidP="58F8BC1E">
      <w:pPr>
        <w:rPr>
          <w:rFonts w:ascii="Calibri" w:eastAsia="Calibri" w:hAnsi="Calibri" w:cs="Calibri"/>
          <w:color w:val="000000" w:themeColor="text1"/>
          <w:sz w:val="24"/>
          <w:szCs w:val="24"/>
          <w:lang w:val="en-US"/>
        </w:rPr>
      </w:pPr>
      <w:r w:rsidRPr="58F8BC1E">
        <w:rPr>
          <w:rFonts w:ascii="Calibri" w:eastAsia="Calibri" w:hAnsi="Calibri" w:cs="Calibri"/>
          <w:color w:val="000000" w:themeColor="text1"/>
          <w:sz w:val="24"/>
          <w:szCs w:val="24"/>
        </w:rPr>
        <w:t xml:space="preserve">Marks, N.A., Cordon, C., </w:t>
      </w:r>
      <w:proofErr w:type="spellStart"/>
      <w:r w:rsidRPr="58F8BC1E">
        <w:rPr>
          <w:rFonts w:ascii="Calibri" w:eastAsia="Calibri" w:hAnsi="Calibri" w:cs="Calibri"/>
          <w:color w:val="000000" w:themeColor="text1"/>
          <w:sz w:val="24"/>
          <w:szCs w:val="24"/>
        </w:rPr>
        <w:t>Aked</w:t>
      </w:r>
      <w:proofErr w:type="spellEnd"/>
      <w:r w:rsidRPr="58F8BC1E">
        <w:rPr>
          <w:rFonts w:ascii="Calibri" w:eastAsia="Calibri" w:hAnsi="Calibri" w:cs="Calibri"/>
          <w:color w:val="000000" w:themeColor="text1"/>
          <w:sz w:val="24"/>
          <w:szCs w:val="24"/>
        </w:rPr>
        <w:t>, J. &amp; Thompson, S., (2008) Five ways to wellbeing. New economics foundation, pp.1-23.</w:t>
      </w:r>
    </w:p>
    <w:p w14:paraId="3FAC267A" w14:textId="56D22DA8" w:rsidR="58F8BC1E" w:rsidRDefault="58F8BC1E" w:rsidP="58F8BC1E">
      <w:pPr>
        <w:rPr>
          <w:rFonts w:ascii="Calibri" w:eastAsia="Calibri" w:hAnsi="Calibri" w:cs="Calibri"/>
          <w:color w:val="000000" w:themeColor="text1"/>
          <w:sz w:val="24"/>
          <w:szCs w:val="24"/>
        </w:rPr>
      </w:pPr>
      <w:r w:rsidRPr="58F8BC1E">
        <w:rPr>
          <w:rFonts w:ascii="Calibri" w:eastAsia="Calibri" w:hAnsi="Calibri" w:cs="Calibri"/>
          <w:color w:val="000000" w:themeColor="text1"/>
          <w:sz w:val="24"/>
          <w:szCs w:val="24"/>
        </w:rPr>
        <w:t>Plano Clark, V.L., Huddleston-Casas, C.A., Churchill, S.L., O'Neil Green, D. &amp; Garrett, A.L., (2008)</w:t>
      </w:r>
      <w:r w:rsidRPr="58F8BC1E">
        <w:rPr>
          <w:rFonts w:ascii="Calibri" w:eastAsia="Calibri" w:hAnsi="Calibri" w:cs="Calibri"/>
          <w:i/>
          <w:iCs/>
          <w:color w:val="000000" w:themeColor="text1"/>
          <w:sz w:val="24"/>
          <w:szCs w:val="24"/>
        </w:rPr>
        <w:t xml:space="preserve"> ‘</w:t>
      </w:r>
      <w:r w:rsidRPr="58F8BC1E">
        <w:rPr>
          <w:rFonts w:ascii="Calibri" w:eastAsia="Calibri" w:hAnsi="Calibri" w:cs="Calibri"/>
          <w:color w:val="000000" w:themeColor="text1"/>
          <w:sz w:val="24"/>
          <w:szCs w:val="24"/>
        </w:rPr>
        <w:t xml:space="preserve">Mixed methods approaches in family science research’, </w:t>
      </w:r>
      <w:r w:rsidRPr="58F8BC1E">
        <w:rPr>
          <w:rFonts w:ascii="Calibri" w:eastAsia="Calibri" w:hAnsi="Calibri" w:cs="Calibri"/>
          <w:i/>
          <w:iCs/>
          <w:color w:val="000000" w:themeColor="text1"/>
          <w:sz w:val="24"/>
          <w:szCs w:val="24"/>
        </w:rPr>
        <w:t>Journal of Family Issues</w:t>
      </w:r>
      <w:r w:rsidRPr="58F8BC1E">
        <w:rPr>
          <w:rFonts w:ascii="Calibri" w:eastAsia="Calibri" w:hAnsi="Calibri" w:cs="Calibri"/>
          <w:color w:val="000000" w:themeColor="text1"/>
          <w:sz w:val="24"/>
          <w:szCs w:val="24"/>
        </w:rPr>
        <w:t>, 29(11), pp.1543-1566.</w:t>
      </w:r>
    </w:p>
    <w:p w14:paraId="47E17120" w14:textId="4B01B192" w:rsidR="58F8BC1E" w:rsidRDefault="58F8BC1E" w:rsidP="58F8BC1E">
      <w:pPr>
        <w:rPr>
          <w:rFonts w:ascii="Calibri" w:eastAsia="Calibri" w:hAnsi="Calibri" w:cs="Calibri"/>
          <w:color w:val="000000" w:themeColor="text1"/>
          <w:sz w:val="24"/>
          <w:szCs w:val="24"/>
        </w:rPr>
      </w:pPr>
      <w:proofErr w:type="spellStart"/>
      <w:r w:rsidRPr="58F8BC1E">
        <w:rPr>
          <w:rFonts w:ascii="Calibri" w:eastAsia="Calibri" w:hAnsi="Calibri" w:cs="Calibri"/>
          <w:color w:val="000000" w:themeColor="text1"/>
          <w:sz w:val="24"/>
          <w:szCs w:val="24"/>
        </w:rPr>
        <w:t>Putwain</w:t>
      </w:r>
      <w:proofErr w:type="spellEnd"/>
      <w:r w:rsidRPr="58F8BC1E">
        <w:rPr>
          <w:rFonts w:ascii="Calibri" w:eastAsia="Calibri" w:hAnsi="Calibri" w:cs="Calibri"/>
          <w:color w:val="000000" w:themeColor="text1"/>
          <w:sz w:val="24"/>
          <w:szCs w:val="24"/>
        </w:rPr>
        <w:t xml:space="preserve">, D.W., (2009) ‘Assessment and examination stress in Key Stage 4’, </w:t>
      </w:r>
      <w:r w:rsidRPr="58F8BC1E">
        <w:rPr>
          <w:rFonts w:ascii="Calibri" w:eastAsia="Calibri" w:hAnsi="Calibri" w:cs="Calibri"/>
          <w:i/>
          <w:iCs/>
          <w:color w:val="000000" w:themeColor="text1"/>
          <w:sz w:val="24"/>
          <w:szCs w:val="24"/>
        </w:rPr>
        <w:t>British Educational Research Journal</w:t>
      </w:r>
      <w:r w:rsidRPr="58F8BC1E">
        <w:rPr>
          <w:rFonts w:ascii="Calibri" w:eastAsia="Calibri" w:hAnsi="Calibri" w:cs="Calibri"/>
          <w:color w:val="000000" w:themeColor="text1"/>
          <w:sz w:val="24"/>
          <w:szCs w:val="24"/>
        </w:rPr>
        <w:t>, 35(3), pp.391-411.</w:t>
      </w:r>
    </w:p>
    <w:p w14:paraId="69487350" w14:textId="4AFC0BEF" w:rsidR="58F8BC1E" w:rsidRDefault="58F8BC1E" w:rsidP="58F8BC1E">
      <w:pPr>
        <w:rPr>
          <w:rFonts w:ascii="Calibri" w:eastAsia="Calibri" w:hAnsi="Calibri" w:cs="Calibri"/>
          <w:color w:val="000000" w:themeColor="text1"/>
          <w:sz w:val="24"/>
          <w:szCs w:val="24"/>
        </w:rPr>
      </w:pPr>
      <w:proofErr w:type="spellStart"/>
      <w:r w:rsidRPr="58F8BC1E">
        <w:rPr>
          <w:rFonts w:ascii="Calibri" w:eastAsia="Calibri" w:hAnsi="Calibri" w:cs="Calibri"/>
          <w:color w:val="000000" w:themeColor="text1"/>
          <w:sz w:val="24"/>
          <w:szCs w:val="24"/>
        </w:rPr>
        <w:t>Roome</w:t>
      </w:r>
      <w:proofErr w:type="spellEnd"/>
      <w:r w:rsidRPr="58F8BC1E">
        <w:rPr>
          <w:rFonts w:ascii="Calibri" w:eastAsia="Calibri" w:hAnsi="Calibri" w:cs="Calibri"/>
          <w:color w:val="000000" w:themeColor="text1"/>
          <w:sz w:val="24"/>
          <w:szCs w:val="24"/>
        </w:rPr>
        <w:t xml:space="preserve">, T. &amp; </w:t>
      </w:r>
      <w:proofErr w:type="spellStart"/>
      <w:r w:rsidRPr="58F8BC1E">
        <w:rPr>
          <w:rFonts w:ascii="Calibri" w:eastAsia="Calibri" w:hAnsi="Calibri" w:cs="Calibri"/>
          <w:color w:val="000000" w:themeColor="text1"/>
          <w:sz w:val="24"/>
          <w:szCs w:val="24"/>
        </w:rPr>
        <w:t>Soan</w:t>
      </w:r>
      <w:proofErr w:type="spellEnd"/>
      <w:r w:rsidRPr="58F8BC1E">
        <w:rPr>
          <w:rFonts w:ascii="Calibri" w:eastAsia="Calibri" w:hAnsi="Calibri" w:cs="Calibri"/>
          <w:color w:val="000000" w:themeColor="text1"/>
          <w:sz w:val="24"/>
          <w:szCs w:val="24"/>
        </w:rPr>
        <w:t xml:space="preserve">, C.A., (2019) GCSE exam stress: Student perceptions of the effects on wellbeing and performance’, </w:t>
      </w:r>
      <w:r w:rsidRPr="58F8BC1E">
        <w:rPr>
          <w:rFonts w:ascii="Calibri" w:eastAsia="Calibri" w:hAnsi="Calibri" w:cs="Calibri"/>
          <w:i/>
          <w:iCs/>
          <w:color w:val="000000" w:themeColor="text1"/>
          <w:sz w:val="24"/>
          <w:szCs w:val="24"/>
        </w:rPr>
        <w:t>Pastoral Care in Education</w:t>
      </w:r>
      <w:r w:rsidRPr="58F8BC1E">
        <w:rPr>
          <w:rFonts w:ascii="Calibri" w:eastAsia="Calibri" w:hAnsi="Calibri" w:cs="Calibri"/>
          <w:color w:val="000000" w:themeColor="text1"/>
          <w:sz w:val="24"/>
          <w:szCs w:val="24"/>
        </w:rPr>
        <w:t xml:space="preserve">, 37(4), pp.297-315. </w:t>
      </w:r>
    </w:p>
    <w:p w14:paraId="67683452" w14:textId="0993F348" w:rsidR="58F8BC1E" w:rsidRDefault="58F8BC1E" w:rsidP="58F8BC1E">
      <w:pPr>
        <w:rPr>
          <w:rFonts w:ascii="Calibri" w:eastAsia="Calibri" w:hAnsi="Calibri" w:cs="Calibri"/>
          <w:color w:val="000000" w:themeColor="text1"/>
          <w:sz w:val="24"/>
          <w:szCs w:val="24"/>
          <w:lang w:val="en-US"/>
        </w:rPr>
      </w:pPr>
      <w:proofErr w:type="spellStart"/>
      <w:r w:rsidRPr="58F8BC1E">
        <w:rPr>
          <w:rFonts w:ascii="Calibri" w:eastAsia="Calibri" w:hAnsi="Calibri" w:cs="Calibri"/>
          <w:color w:val="000000" w:themeColor="text1"/>
          <w:sz w:val="24"/>
          <w:szCs w:val="24"/>
        </w:rPr>
        <w:t>Schoel</w:t>
      </w:r>
      <w:proofErr w:type="spellEnd"/>
      <w:r w:rsidRPr="58F8BC1E">
        <w:rPr>
          <w:rFonts w:ascii="Calibri" w:eastAsia="Calibri" w:hAnsi="Calibri" w:cs="Calibri"/>
          <w:color w:val="000000" w:themeColor="text1"/>
          <w:sz w:val="24"/>
          <w:szCs w:val="24"/>
        </w:rPr>
        <w:t xml:space="preserve">, J., Prouty, D., &amp; Radcliffe, P., (1988) </w:t>
      </w:r>
      <w:r w:rsidRPr="58F8BC1E">
        <w:rPr>
          <w:rFonts w:ascii="Calibri" w:eastAsia="Calibri" w:hAnsi="Calibri" w:cs="Calibri"/>
          <w:i/>
          <w:iCs/>
          <w:color w:val="000000" w:themeColor="text1"/>
          <w:sz w:val="24"/>
          <w:szCs w:val="24"/>
        </w:rPr>
        <w:t>Islands of healing: A guide to adventure-based counselling</w:t>
      </w:r>
      <w:r w:rsidRPr="58F8BC1E">
        <w:rPr>
          <w:rFonts w:ascii="Calibri" w:eastAsia="Calibri" w:hAnsi="Calibri" w:cs="Calibri"/>
          <w:color w:val="000000" w:themeColor="text1"/>
          <w:sz w:val="24"/>
          <w:szCs w:val="24"/>
        </w:rPr>
        <w:t>. Hamilton, Massachusetts: Project Adventure, Inc</w:t>
      </w:r>
    </w:p>
    <w:p w14:paraId="7C359D58" w14:textId="0FC07608" w:rsidR="58F8BC1E" w:rsidRDefault="58F8BC1E" w:rsidP="58F8BC1E">
      <w:pPr>
        <w:rPr>
          <w:rFonts w:ascii="Calibri" w:eastAsia="Calibri" w:hAnsi="Calibri" w:cs="Calibri"/>
          <w:color w:val="000000" w:themeColor="text1"/>
          <w:sz w:val="24"/>
          <w:szCs w:val="24"/>
          <w:lang w:val="en-US"/>
        </w:rPr>
      </w:pPr>
      <w:r w:rsidRPr="58F8BC1E">
        <w:rPr>
          <w:rFonts w:ascii="Calibri" w:eastAsia="Calibri" w:hAnsi="Calibri" w:cs="Calibri"/>
          <w:color w:val="000000" w:themeColor="text1"/>
          <w:sz w:val="24"/>
          <w:szCs w:val="24"/>
        </w:rPr>
        <w:t xml:space="preserve">South Devon College (2019) </w:t>
      </w:r>
      <w:r w:rsidRPr="58F8BC1E">
        <w:rPr>
          <w:rFonts w:ascii="Calibri" w:eastAsia="Calibri" w:hAnsi="Calibri" w:cs="Calibri"/>
          <w:i/>
          <w:iCs/>
          <w:color w:val="000000" w:themeColor="text1"/>
          <w:sz w:val="24"/>
          <w:szCs w:val="24"/>
        </w:rPr>
        <w:t xml:space="preserve">South Devon College Access and Participation Plan </w:t>
      </w:r>
      <w:r w:rsidRPr="58F8BC1E">
        <w:rPr>
          <w:rFonts w:ascii="Calibri" w:eastAsia="Calibri" w:hAnsi="Calibri" w:cs="Calibri"/>
          <w:color w:val="000000" w:themeColor="text1"/>
          <w:sz w:val="24"/>
          <w:szCs w:val="24"/>
        </w:rPr>
        <w:t>2019-20.</w:t>
      </w:r>
    </w:p>
    <w:p w14:paraId="0FBACDDF" w14:textId="16A159C0" w:rsidR="58F8BC1E" w:rsidRDefault="58F8BC1E" w:rsidP="58F8BC1E">
      <w:pPr>
        <w:rPr>
          <w:rFonts w:ascii="Calibri" w:eastAsia="Calibri" w:hAnsi="Calibri" w:cs="Calibri"/>
          <w:color w:val="000000" w:themeColor="text1"/>
          <w:sz w:val="24"/>
          <w:szCs w:val="24"/>
          <w:lang w:val="en-US"/>
        </w:rPr>
      </w:pPr>
      <w:r w:rsidRPr="58F8BC1E">
        <w:rPr>
          <w:rFonts w:ascii="Calibri" w:eastAsia="Calibri" w:hAnsi="Calibri" w:cs="Calibri"/>
          <w:color w:val="000000" w:themeColor="text1"/>
          <w:sz w:val="24"/>
          <w:szCs w:val="24"/>
        </w:rPr>
        <w:t>Times Educational Supplement Magazine (2021) A level 2022: Exam dates, timetable and key information. [online] Available at: &lt;https://www.tes.com/magazine/news/secondary/level-2022-exam-dates-timetable-and-key-information&gt; [Accessed 19 February 2022].</w:t>
      </w:r>
    </w:p>
    <w:p w14:paraId="3998C55E" w14:textId="7E71D588" w:rsidR="58F8BC1E" w:rsidRDefault="58F8BC1E" w:rsidP="58F8BC1E">
      <w:pPr>
        <w:rPr>
          <w:rFonts w:ascii="Calibri" w:eastAsia="Calibri" w:hAnsi="Calibri" w:cs="Calibri"/>
          <w:color w:val="000000" w:themeColor="text1"/>
          <w:sz w:val="24"/>
          <w:szCs w:val="24"/>
        </w:rPr>
      </w:pPr>
      <w:r w:rsidRPr="58F8BC1E">
        <w:rPr>
          <w:rFonts w:ascii="Calibri" w:eastAsia="Calibri" w:hAnsi="Calibri" w:cs="Calibri"/>
          <w:color w:val="000000" w:themeColor="text1"/>
          <w:sz w:val="24"/>
          <w:szCs w:val="24"/>
          <w:lang w:val="en-US"/>
        </w:rPr>
        <w:lastRenderedPageBreak/>
        <w:t xml:space="preserve">Ulrich, R., Simons R., </w:t>
      </w:r>
      <w:proofErr w:type="spellStart"/>
      <w:r w:rsidRPr="58F8BC1E">
        <w:rPr>
          <w:rFonts w:ascii="Calibri" w:eastAsia="Calibri" w:hAnsi="Calibri" w:cs="Calibri"/>
          <w:color w:val="000000" w:themeColor="text1"/>
          <w:sz w:val="24"/>
          <w:szCs w:val="24"/>
          <w:lang w:val="en-US"/>
        </w:rPr>
        <w:t>Losito</w:t>
      </w:r>
      <w:proofErr w:type="spellEnd"/>
      <w:r w:rsidRPr="58F8BC1E">
        <w:rPr>
          <w:rFonts w:ascii="Calibri" w:eastAsia="Calibri" w:hAnsi="Calibri" w:cs="Calibri"/>
          <w:color w:val="000000" w:themeColor="text1"/>
          <w:sz w:val="24"/>
          <w:szCs w:val="24"/>
          <w:lang w:val="en-US"/>
        </w:rPr>
        <w:t xml:space="preserve"> B.D., </w:t>
      </w:r>
      <w:proofErr w:type="spellStart"/>
      <w:r w:rsidRPr="58F8BC1E">
        <w:rPr>
          <w:rFonts w:ascii="Calibri" w:eastAsia="Calibri" w:hAnsi="Calibri" w:cs="Calibri"/>
          <w:color w:val="000000" w:themeColor="text1"/>
          <w:sz w:val="24"/>
          <w:szCs w:val="24"/>
          <w:lang w:val="en-US"/>
        </w:rPr>
        <w:t>Fiorito</w:t>
      </w:r>
      <w:proofErr w:type="spellEnd"/>
      <w:r w:rsidRPr="58F8BC1E">
        <w:rPr>
          <w:rFonts w:ascii="Calibri" w:eastAsia="Calibri" w:hAnsi="Calibri" w:cs="Calibri"/>
          <w:color w:val="000000" w:themeColor="text1"/>
          <w:sz w:val="24"/>
          <w:szCs w:val="24"/>
          <w:lang w:val="en-US"/>
        </w:rPr>
        <w:t xml:space="preserve">, E., Miles, M.A. &amp; </w:t>
      </w:r>
      <w:proofErr w:type="spellStart"/>
      <w:r w:rsidRPr="58F8BC1E">
        <w:rPr>
          <w:rFonts w:ascii="Calibri" w:eastAsia="Calibri" w:hAnsi="Calibri" w:cs="Calibri"/>
          <w:color w:val="000000" w:themeColor="text1"/>
          <w:sz w:val="24"/>
          <w:szCs w:val="24"/>
          <w:lang w:val="en-US"/>
        </w:rPr>
        <w:t>Zelson</w:t>
      </w:r>
      <w:proofErr w:type="spellEnd"/>
      <w:r w:rsidRPr="58F8BC1E">
        <w:rPr>
          <w:rFonts w:ascii="Calibri" w:eastAsia="Calibri" w:hAnsi="Calibri" w:cs="Calibri"/>
          <w:color w:val="000000" w:themeColor="text1"/>
          <w:sz w:val="24"/>
          <w:szCs w:val="24"/>
          <w:lang w:val="en-US"/>
        </w:rPr>
        <w:t xml:space="preserve">, M., (1991) ‘Stress recovery during exposure to natural and urban environments’, </w:t>
      </w:r>
      <w:r w:rsidRPr="58F8BC1E">
        <w:rPr>
          <w:rFonts w:ascii="Calibri" w:eastAsia="Calibri" w:hAnsi="Calibri" w:cs="Calibri"/>
          <w:i/>
          <w:iCs/>
          <w:color w:val="000000" w:themeColor="text1"/>
          <w:sz w:val="24"/>
          <w:szCs w:val="24"/>
          <w:lang w:val="en-US"/>
        </w:rPr>
        <w:t>Journal of Environmental Psychology,</w:t>
      </w:r>
      <w:r w:rsidRPr="58F8BC1E">
        <w:rPr>
          <w:rFonts w:ascii="Calibri" w:eastAsia="Calibri" w:hAnsi="Calibri" w:cs="Calibri"/>
          <w:color w:val="000000" w:themeColor="text1"/>
          <w:sz w:val="24"/>
          <w:szCs w:val="24"/>
          <w:lang w:val="en-US"/>
        </w:rPr>
        <w:t xml:space="preserve"> 11: 201–03.</w:t>
      </w:r>
    </w:p>
    <w:p w14:paraId="3F267C95" w14:textId="2631B659" w:rsidR="58F8BC1E" w:rsidRDefault="58F8BC1E" w:rsidP="58F8BC1E">
      <w:pPr>
        <w:spacing w:line="240" w:lineRule="auto"/>
        <w:rPr>
          <w:rFonts w:ascii="Calibri" w:eastAsia="Calibri" w:hAnsi="Calibri" w:cs="Calibri"/>
          <w:color w:val="000000" w:themeColor="text1"/>
          <w:sz w:val="24"/>
          <w:szCs w:val="24"/>
        </w:rPr>
      </w:pPr>
      <w:r w:rsidRPr="58F8BC1E">
        <w:rPr>
          <w:rFonts w:ascii="Calibri" w:eastAsia="Calibri" w:hAnsi="Calibri" w:cs="Calibri"/>
          <w:color w:val="000000" w:themeColor="text1"/>
          <w:sz w:val="24"/>
          <w:szCs w:val="24"/>
          <w:lang w:val="en-US"/>
        </w:rPr>
        <w:t xml:space="preserve">Ulrich, R., (1984) </w:t>
      </w:r>
      <w:r w:rsidRPr="58F8BC1E">
        <w:rPr>
          <w:rFonts w:ascii="Calibri" w:eastAsia="Calibri" w:hAnsi="Calibri" w:cs="Calibri"/>
          <w:i/>
          <w:iCs/>
          <w:color w:val="000000" w:themeColor="text1"/>
          <w:sz w:val="24"/>
          <w:szCs w:val="24"/>
          <w:lang w:val="en-US"/>
        </w:rPr>
        <w:t>View through a window may influence recovery from surgery</w:t>
      </w:r>
      <w:r w:rsidRPr="58F8BC1E">
        <w:rPr>
          <w:rFonts w:ascii="Calibri" w:eastAsia="Calibri" w:hAnsi="Calibri" w:cs="Calibri"/>
          <w:color w:val="000000" w:themeColor="text1"/>
          <w:sz w:val="24"/>
          <w:szCs w:val="24"/>
          <w:lang w:val="en-US"/>
        </w:rPr>
        <w:t>. Science</w:t>
      </w:r>
    </w:p>
    <w:p w14:paraId="61442010" w14:textId="102D4AE2" w:rsidR="58F8BC1E" w:rsidRDefault="58F8BC1E" w:rsidP="58F8BC1E">
      <w:pPr>
        <w:spacing w:line="240" w:lineRule="auto"/>
        <w:rPr>
          <w:rFonts w:ascii="Calibri" w:eastAsia="Calibri" w:hAnsi="Calibri" w:cs="Calibri"/>
          <w:color w:val="000000" w:themeColor="text1"/>
          <w:sz w:val="24"/>
          <w:szCs w:val="24"/>
        </w:rPr>
      </w:pPr>
      <w:r w:rsidRPr="58F8BC1E">
        <w:rPr>
          <w:rFonts w:ascii="Calibri" w:eastAsia="Calibri" w:hAnsi="Calibri" w:cs="Calibri"/>
          <w:color w:val="000000" w:themeColor="text1"/>
          <w:sz w:val="24"/>
          <w:szCs w:val="24"/>
          <w:lang w:val="en-US"/>
        </w:rPr>
        <w:t>224 (4647), pp. 420–421.</w:t>
      </w:r>
    </w:p>
    <w:p w14:paraId="34D2164B" w14:textId="528A8C8A" w:rsidR="58F8BC1E" w:rsidRDefault="58F8BC1E" w:rsidP="58F8BC1E">
      <w:pPr>
        <w:rPr>
          <w:rFonts w:ascii="Calibri" w:eastAsia="Calibri" w:hAnsi="Calibri" w:cs="Calibri"/>
          <w:color w:val="000000" w:themeColor="text1"/>
          <w:sz w:val="24"/>
          <w:szCs w:val="24"/>
        </w:rPr>
      </w:pPr>
      <w:r w:rsidRPr="58F8BC1E">
        <w:rPr>
          <w:rFonts w:ascii="Calibri" w:eastAsia="Calibri" w:hAnsi="Calibri" w:cs="Calibri"/>
          <w:color w:val="000000" w:themeColor="text1"/>
          <w:sz w:val="24"/>
          <w:szCs w:val="24"/>
          <w:lang w:val="en-US"/>
        </w:rPr>
        <w:t xml:space="preserve">White, M., (2019) </w:t>
      </w:r>
      <w:r w:rsidRPr="58F8BC1E">
        <w:rPr>
          <w:rFonts w:ascii="Calibri" w:eastAsia="Calibri" w:hAnsi="Calibri" w:cs="Calibri"/>
          <w:i/>
          <w:iCs/>
          <w:color w:val="000000" w:themeColor="text1"/>
          <w:sz w:val="24"/>
          <w:szCs w:val="24"/>
          <w:lang w:val="en-US"/>
        </w:rPr>
        <w:t>A Public Health perspective on the future role of outdoor recreation, in improving health and wellbeing outcomes</w:t>
      </w:r>
      <w:r w:rsidRPr="58F8BC1E">
        <w:rPr>
          <w:rFonts w:ascii="Calibri" w:eastAsia="Calibri" w:hAnsi="Calibri" w:cs="Calibri"/>
          <w:color w:val="000000" w:themeColor="text1"/>
          <w:sz w:val="24"/>
          <w:szCs w:val="24"/>
          <w:lang w:val="en-US"/>
        </w:rPr>
        <w:t>. Public Health England.</w:t>
      </w:r>
    </w:p>
    <w:p w14:paraId="50F251A3" w14:textId="23DC791A" w:rsidR="58F8BC1E" w:rsidRDefault="58F8BC1E" w:rsidP="58F8BC1E">
      <w:pPr>
        <w:spacing w:line="240" w:lineRule="auto"/>
        <w:rPr>
          <w:rFonts w:ascii="Calibri" w:eastAsia="Calibri" w:hAnsi="Calibri" w:cs="Calibri"/>
          <w:color w:val="000000" w:themeColor="text1"/>
          <w:sz w:val="24"/>
          <w:szCs w:val="24"/>
        </w:rPr>
      </w:pPr>
    </w:p>
    <w:p w14:paraId="06A34F70" w14:textId="290C0865" w:rsidR="58F8BC1E" w:rsidRDefault="58F8BC1E" w:rsidP="58F8BC1E">
      <w:pPr>
        <w:rPr>
          <w:sz w:val="28"/>
          <w:szCs w:val="28"/>
        </w:rPr>
      </w:pPr>
    </w:p>
    <w:sectPr w:rsidR="58F8BC1E">
      <w:headerReference w:type="default"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9BA1F9" w14:textId="77777777" w:rsidR="00656A9B" w:rsidRDefault="00656A9B">
      <w:pPr>
        <w:spacing w:after="0" w:line="240" w:lineRule="auto"/>
      </w:pPr>
      <w:r>
        <w:separator/>
      </w:r>
    </w:p>
  </w:endnote>
  <w:endnote w:type="continuationSeparator" w:id="0">
    <w:p w14:paraId="18CD409E" w14:textId="77777777" w:rsidR="00656A9B" w:rsidRDefault="00656A9B">
      <w:pPr>
        <w:spacing w:after="0" w:line="240" w:lineRule="auto"/>
      </w:pPr>
      <w:r>
        <w:continuationSeparator/>
      </w:r>
    </w:p>
  </w:endnote>
  <w:endnote w:type="continuationNotice" w:id="1">
    <w:p w14:paraId="1E268D65" w14:textId="77777777" w:rsidR="00656A9B" w:rsidRDefault="00656A9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6F631524" w14:paraId="29BE06B4" w14:textId="77777777" w:rsidTr="6F631524">
      <w:tc>
        <w:tcPr>
          <w:tcW w:w="3120" w:type="dxa"/>
        </w:tcPr>
        <w:p w14:paraId="3A2ED429" w14:textId="7EDD8BDA" w:rsidR="6F631524" w:rsidRDefault="6F631524" w:rsidP="6F631524">
          <w:pPr>
            <w:pStyle w:val="Header"/>
            <w:ind w:left="-115"/>
          </w:pPr>
        </w:p>
      </w:tc>
      <w:tc>
        <w:tcPr>
          <w:tcW w:w="3120" w:type="dxa"/>
        </w:tcPr>
        <w:p w14:paraId="5F35BB14" w14:textId="4F658903" w:rsidR="6F631524" w:rsidRDefault="6F631524" w:rsidP="6F631524">
          <w:pPr>
            <w:pStyle w:val="Header"/>
            <w:jc w:val="center"/>
          </w:pPr>
          <w:r>
            <w:fldChar w:fldCharType="begin"/>
          </w:r>
          <w:r>
            <w:instrText>PAGE</w:instrText>
          </w:r>
          <w:r w:rsidR="00593CF9">
            <w:fldChar w:fldCharType="separate"/>
          </w:r>
          <w:r w:rsidR="00593CF9">
            <w:rPr>
              <w:noProof/>
            </w:rPr>
            <w:t>1</w:t>
          </w:r>
          <w:r>
            <w:fldChar w:fldCharType="end"/>
          </w:r>
        </w:p>
      </w:tc>
      <w:tc>
        <w:tcPr>
          <w:tcW w:w="3120" w:type="dxa"/>
        </w:tcPr>
        <w:p w14:paraId="4D698C43" w14:textId="79D65778" w:rsidR="6F631524" w:rsidRDefault="6F631524" w:rsidP="6F631524">
          <w:pPr>
            <w:pStyle w:val="Header"/>
            <w:ind w:right="-115"/>
            <w:jc w:val="right"/>
          </w:pPr>
        </w:p>
      </w:tc>
    </w:tr>
  </w:tbl>
  <w:p w14:paraId="3500BF18" w14:textId="38DC3196" w:rsidR="6F631524" w:rsidRDefault="6F631524" w:rsidP="6F6315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FF23E8" w14:textId="77777777" w:rsidR="00656A9B" w:rsidRDefault="00656A9B">
      <w:pPr>
        <w:spacing w:after="0" w:line="240" w:lineRule="auto"/>
      </w:pPr>
      <w:r>
        <w:separator/>
      </w:r>
    </w:p>
  </w:footnote>
  <w:footnote w:type="continuationSeparator" w:id="0">
    <w:p w14:paraId="3763ACD4" w14:textId="77777777" w:rsidR="00656A9B" w:rsidRDefault="00656A9B">
      <w:pPr>
        <w:spacing w:after="0" w:line="240" w:lineRule="auto"/>
      </w:pPr>
      <w:r>
        <w:continuationSeparator/>
      </w:r>
    </w:p>
  </w:footnote>
  <w:footnote w:type="continuationNotice" w:id="1">
    <w:p w14:paraId="00A4FA47" w14:textId="77777777" w:rsidR="00656A9B" w:rsidRDefault="00656A9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6F631524" w14:paraId="1FC5DAE7" w14:textId="77777777" w:rsidTr="6F631524">
      <w:tc>
        <w:tcPr>
          <w:tcW w:w="3120" w:type="dxa"/>
        </w:tcPr>
        <w:p w14:paraId="7D1897E1" w14:textId="71A81E8C" w:rsidR="6F631524" w:rsidRDefault="6F631524" w:rsidP="6F631524">
          <w:pPr>
            <w:pStyle w:val="Header"/>
            <w:ind w:left="-115"/>
          </w:pPr>
          <w:r>
            <w:t>BMOE7004</w:t>
          </w:r>
        </w:p>
        <w:p w14:paraId="180377A5" w14:textId="69355277" w:rsidR="6F631524" w:rsidRDefault="6F631524" w:rsidP="6F631524">
          <w:pPr>
            <w:pStyle w:val="Header"/>
            <w:ind w:left="-115"/>
          </w:pPr>
          <w:r>
            <w:t>2114374</w:t>
          </w:r>
        </w:p>
      </w:tc>
      <w:tc>
        <w:tcPr>
          <w:tcW w:w="3120" w:type="dxa"/>
        </w:tcPr>
        <w:p w14:paraId="6AD09A1F" w14:textId="1A00C66E" w:rsidR="6F631524" w:rsidRDefault="6F631524" w:rsidP="6F631524">
          <w:pPr>
            <w:pStyle w:val="Header"/>
            <w:jc w:val="center"/>
          </w:pPr>
        </w:p>
      </w:tc>
      <w:tc>
        <w:tcPr>
          <w:tcW w:w="3120" w:type="dxa"/>
        </w:tcPr>
        <w:p w14:paraId="7CE97415" w14:textId="2E85BF7D" w:rsidR="6F631524" w:rsidRDefault="6F631524" w:rsidP="6F631524">
          <w:pPr>
            <w:pStyle w:val="Header"/>
            <w:ind w:right="-115"/>
            <w:jc w:val="right"/>
          </w:pPr>
        </w:p>
      </w:tc>
    </w:tr>
  </w:tbl>
  <w:p w14:paraId="7A2000E3" w14:textId="77A18650" w:rsidR="6F631524" w:rsidRDefault="6F631524" w:rsidP="6F631524">
    <w:pPr>
      <w:pStyle w:val="Header"/>
    </w:pPr>
  </w:p>
</w:hdr>
</file>

<file path=word/intelligence2.xml><?xml version="1.0" encoding="utf-8"?>
<int2:intelligence xmlns:int2="http://schemas.microsoft.com/office/intelligence/2020/intelligence" xmlns:oel="http://schemas.microsoft.com/office/2019/extlst">
  <int2:observations>
    <int2:textHash int2:hashCode="NkPdJ9i9g1wpGP" int2:id="eAb0QCMl">
      <int2:state int2:value="Rejected" int2:type="AugLoop_Text_Critique"/>
    </int2:textHash>
    <int2:textHash int2:hashCode="d0CQM09E22Ivo5" int2:id="s1bH57ur">
      <int2:state int2:value="Rejected" int2:type="AugLoop_Text_Critique"/>
    </int2:textHash>
    <int2:textHash int2:hashCode="cH/gCqEj6wvlAQ" int2:id="Wz20YEnh">
      <int2:state int2:value="Rejected" int2:type="AugLoop_Text_Critique"/>
    </int2:textHash>
    <int2:textHash int2:hashCode="+uiYwTZ+mZorBp" int2:id="dqFIel2V">
      <int2:state int2:value="Rejected" int2:type="AugLoop_Text_Critique"/>
    </int2:textHash>
    <int2:textHash int2:hashCode="MJDXgVKj5iHV5E" int2:id="tUJeKtjc">
      <int2:state int2:value="Rejected" int2:type="AugLoop_Text_Critique"/>
    </int2:textHash>
    <int2:textHash int2:hashCode="GpeuU2Iln6vShv" int2:id="plHH7lej">
      <int2:state int2:value="Rejected" int2:type="AugLoop_Acronyms_AcronymsCritique"/>
    </int2:textHash>
    <int2:textHash int2:hashCode="heJ+BdV7fymjNe" int2:id="tmahUlqq">
      <int2:state int2:value="Rejected" int2:type="LegacyProofing"/>
    </int2:textHash>
    <int2:textHash int2:hashCode="RQPwYkbuRXjiFr" int2:id="clbcJwRY">
      <int2:state int2:value="Rejected" int2:type="LegacyProofing"/>
    </int2:textHash>
    <int2:textHash int2:hashCode="AjXr0s/7nBUkUF" int2:id="BQ3L4G1u">
      <int2:state int2:value="Rejected" int2:type="LegacyProofing"/>
    </int2:textHash>
    <int2:textHash int2:hashCode="BY0PWkFB26HYWi" int2:id="xhXxfFzv">
      <int2:state int2:value="Rejected" int2:type="LegacyProofing"/>
    </int2:textHash>
    <int2:textHash int2:hashCode="/Y1mjxFoDBvKyR" int2:id="rmPD9P7e">
      <int2:state int2:value="Rejected" int2:type="LegacyProofing"/>
    </int2:textHash>
    <int2:textHash int2:hashCode="s00IhB7Lm2otv5" int2:id="Nz3PLgiX">
      <int2:state int2:value="Rejected" int2:type="LegacyProofing"/>
    </int2:textHash>
    <int2:textHash int2:hashCode="oXCl5rpRjm3it8" int2:id="JpCxtaQJ">
      <int2:state int2:value="Rejected" int2:type="LegacyProofing"/>
    </int2:textHash>
    <int2:textHash int2:hashCode="fLk4AlTfY/ifXR" int2:id="cydl9I19">
      <int2:state int2:value="Rejected" int2:type="LegacyProofing"/>
    </int2:textHash>
    <int2:bookmark int2:bookmarkName="_Int_kJgrhouY" int2:invalidationBookmarkName="" int2:hashCode="3waxR/d41G+tGb" int2:id="RkZn1L9W">
      <int2:state int2:value="Rejected" int2:type="LegacyProofing"/>
    </int2:bookmark>
    <int2:bookmark int2:bookmarkName="_Int_3nIsJLc1" int2:invalidationBookmarkName="" int2:hashCode="3waxR/d41G+tGb" int2:id="Z4hDIO5J">
      <int2:state int2:value="Rejected" int2:type="LegacyProofing"/>
    </int2:bookmark>
    <int2:bookmark int2:bookmarkName="_Int_AE6xVEXU" int2:invalidationBookmarkName="" int2:hashCode="3waxR/d41G+tGb" int2:id="TUx4e2Am">
      <int2:state int2:value="Rejected" int2:type="LegacyProofing"/>
    </int2:bookmark>
    <int2:bookmark int2:bookmarkName="_Int_XykyJhIe" int2:invalidationBookmarkName="" int2:hashCode="3waxR/d41G+tGb" int2:id="gfhG6fTm">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470D3B"/>
    <w:multiLevelType w:val="hybridMultilevel"/>
    <w:tmpl w:val="61D227BE"/>
    <w:lvl w:ilvl="0" w:tplc="24BE05E6">
      <w:start w:val="1"/>
      <w:numFmt w:val="bullet"/>
      <w:lvlText w:val=""/>
      <w:lvlJc w:val="left"/>
      <w:pPr>
        <w:ind w:left="720" w:hanging="360"/>
      </w:pPr>
      <w:rPr>
        <w:rFonts w:ascii="Symbol" w:hAnsi="Symbol" w:hint="default"/>
      </w:rPr>
    </w:lvl>
    <w:lvl w:ilvl="1" w:tplc="CBB67864">
      <w:start w:val="1"/>
      <w:numFmt w:val="bullet"/>
      <w:lvlText w:val="o"/>
      <w:lvlJc w:val="left"/>
      <w:pPr>
        <w:ind w:left="1440" w:hanging="360"/>
      </w:pPr>
      <w:rPr>
        <w:rFonts w:ascii="Courier New" w:hAnsi="Courier New" w:hint="default"/>
      </w:rPr>
    </w:lvl>
    <w:lvl w:ilvl="2" w:tplc="3386FB9A">
      <w:start w:val="1"/>
      <w:numFmt w:val="bullet"/>
      <w:lvlText w:val=""/>
      <w:lvlJc w:val="left"/>
      <w:pPr>
        <w:ind w:left="2160" w:hanging="360"/>
      </w:pPr>
      <w:rPr>
        <w:rFonts w:ascii="Wingdings" w:hAnsi="Wingdings" w:hint="default"/>
      </w:rPr>
    </w:lvl>
    <w:lvl w:ilvl="3" w:tplc="F27C1548">
      <w:start w:val="1"/>
      <w:numFmt w:val="bullet"/>
      <w:lvlText w:val=""/>
      <w:lvlJc w:val="left"/>
      <w:pPr>
        <w:ind w:left="2880" w:hanging="360"/>
      </w:pPr>
      <w:rPr>
        <w:rFonts w:ascii="Symbol" w:hAnsi="Symbol" w:hint="default"/>
      </w:rPr>
    </w:lvl>
    <w:lvl w:ilvl="4" w:tplc="BA86238A">
      <w:start w:val="1"/>
      <w:numFmt w:val="bullet"/>
      <w:lvlText w:val="o"/>
      <w:lvlJc w:val="left"/>
      <w:pPr>
        <w:ind w:left="3600" w:hanging="360"/>
      </w:pPr>
      <w:rPr>
        <w:rFonts w:ascii="Courier New" w:hAnsi="Courier New" w:hint="default"/>
      </w:rPr>
    </w:lvl>
    <w:lvl w:ilvl="5" w:tplc="E072FF3A">
      <w:start w:val="1"/>
      <w:numFmt w:val="bullet"/>
      <w:lvlText w:val=""/>
      <w:lvlJc w:val="left"/>
      <w:pPr>
        <w:ind w:left="4320" w:hanging="360"/>
      </w:pPr>
      <w:rPr>
        <w:rFonts w:ascii="Wingdings" w:hAnsi="Wingdings" w:hint="default"/>
      </w:rPr>
    </w:lvl>
    <w:lvl w:ilvl="6" w:tplc="07C4634C">
      <w:start w:val="1"/>
      <w:numFmt w:val="bullet"/>
      <w:lvlText w:val=""/>
      <w:lvlJc w:val="left"/>
      <w:pPr>
        <w:ind w:left="5040" w:hanging="360"/>
      </w:pPr>
      <w:rPr>
        <w:rFonts w:ascii="Symbol" w:hAnsi="Symbol" w:hint="default"/>
      </w:rPr>
    </w:lvl>
    <w:lvl w:ilvl="7" w:tplc="DDD6DB1A">
      <w:start w:val="1"/>
      <w:numFmt w:val="bullet"/>
      <w:lvlText w:val="o"/>
      <w:lvlJc w:val="left"/>
      <w:pPr>
        <w:ind w:left="5760" w:hanging="360"/>
      </w:pPr>
      <w:rPr>
        <w:rFonts w:ascii="Courier New" w:hAnsi="Courier New" w:hint="default"/>
      </w:rPr>
    </w:lvl>
    <w:lvl w:ilvl="8" w:tplc="FA728F12">
      <w:start w:val="1"/>
      <w:numFmt w:val="bullet"/>
      <w:lvlText w:val=""/>
      <w:lvlJc w:val="left"/>
      <w:pPr>
        <w:ind w:left="6480" w:hanging="360"/>
      </w:pPr>
      <w:rPr>
        <w:rFonts w:ascii="Wingdings" w:hAnsi="Wingdings" w:hint="default"/>
      </w:rPr>
    </w:lvl>
  </w:abstractNum>
  <w:abstractNum w:abstractNumId="1" w15:restartNumberingAfterBreak="0">
    <w:nsid w:val="12E164E1"/>
    <w:multiLevelType w:val="hybridMultilevel"/>
    <w:tmpl w:val="C2AAA21E"/>
    <w:lvl w:ilvl="0" w:tplc="C212B67E">
      <w:start w:val="1"/>
      <w:numFmt w:val="bullet"/>
      <w:lvlText w:val=""/>
      <w:lvlJc w:val="left"/>
      <w:pPr>
        <w:ind w:left="720" w:hanging="360"/>
      </w:pPr>
      <w:rPr>
        <w:rFonts w:ascii="Symbol" w:hAnsi="Symbol" w:hint="default"/>
      </w:rPr>
    </w:lvl>
    <w:lvl w:ilvl="1" w:tplc="7A8CAFDC">
      <w:start w:val="1"/>
      <w:numFmt w:val="bullet"/>
      <w:lvlText w:val="o"/>
      <w:lvlJc w:val="left"/>
      <w:pPr>
        <w:ind w:left="1440" w:hanging="360"/>
      </w:pPr>
      <w:rPr>
        <w:rFonts w:ascii="Courier New" w:hAnsi="Courier New" w:hint="default"/>
      </w:rPr>
    </w:lvl>
    <w:lvl w:ilvl="2" w:tplc="028AAF06">
      <w:start w:val="1"/>
      <w:numFmt w:val="bullet"/>
      <w:lvlText w:val=""/>
      <w:lvlJc w:val="left"/>
      <w:pPr>
        <w:ind w:left="2160" w:hanging="360"/>
      </w:pPr>
      <w:rPr>
        <w:rFonts w:ascii="Wingdings" w:hAnsi="Wingdings" w:hint="default"/>
      </w:rPr>
    </w:lvl>
    <w:lvl w:ilvl="3" w:tplc="254C5138">
      <w:start w:val="1"/>
      <w:numFmt w:val="bullet"/>
      <w:lvlText w:val=""/>
      <w:lvlJc w:val="left"/>
      <w:pPr>
        <w:ind w:left="2880" w:hanging="360"/>
      </w:pPr>
      <w:rPr>
        <w:rFonts w:ascii="Symbol" w:hAnsi="Symbol" w:hint="default"/>
      </w:rPr>
    </w:lvl>
    <w:lvl w:ilvl="4" w:tplc="28EAF5A0">
      <w:start w:val="1"/>
      <w:numFmt w:val="bullet"/>
      <w:lvlText w:val="o"/>
      <w:lvlJc w:val="left"/>
      <w:pPr>
        <w:ind w:left="3600" w:hanging="360"/>
      </w:pPr>
      <w:rPr>
        <w:rFonts w:ascii="Courier New" w:hAnsi="Courier New" w:hint="default"/>
      </w:rPr>
    </w:lvl>
    <w:lvl w:ilvl="5" w:tplc="C762A9C2">
      <w:start w:val="1"/>
      <w:numFmt w:val="bullet"/>
      <w:lvlText w:val=""/>
      <w:lvlJc w:val="left"/>
      <w:pPr>
        <w:ind w:left="4320" w:hanging="360"/>
      </w:pPr>
      <w:rPr>
        <w:rFonts w:ascii="Wingdings" w:hAnsi="Wingdings" w:hint="default"/>
      </w:rPr>
    </w:lvl>
    <w:lvl w:ilvl="6" w:tplc="17D83686">
      <w:start w:val="1"/>
      <w:numFmt w:val="bullet"/>
      <w:lvlText w:val=""/>
      <w:lvlJc w:val="left"/>
      <w:pPr>
        <w:ind w:left="5040" w:hanging="360"/>
      </w:pPr>
      <w:rPr>
        <w:rFonts w:ascii="Symbol" w:hAnsi="Symbol" w:hint="default"/>
      </w:rPr>
    </w:lvl>
    <w:lvl w:ilvl="7" w:tplc="1AE8A598">
      <w:start w:val="1"/>
      <w:numFmt w:val="bullet"/>
      <w:lvlText w:val="o"/>
      <w:lvlJc w:val="left"/>
      <w:pPr>
        <w:ind w:left="5760" w:hanging="360"/>
      </w:pPr>
      <w:rPr>
        <w:rFonts w:ascii="Courier New" w:hAnsi="Courier New" w:hint="default"/>
      </w:rPr>
    </w:lvl>
    <w:lvl w:ilvl="8" w:tplc="252A123A">
      <w:start w:val="1"/>
      <w:numFmt w:val="bullet"/>
      <w:lvlText w:val=""/>
      <w:lvlJc w:val="left"/>
      <w:pPr>
        <w:ind w:left="6480" w:hanging="360"/>
      </w:pPr>
      <w:rPr>
        <w:rFonts w:ascii="Wingdings" w:hAnsi="Wingdings" w:hint="default"/>
      </w:rPr>
    </w:lvl>
  </w:abstractNum>
  <w:abstractNum w:abstractNumId="2" w15:restartNumberingAfterBreak="0">
    <w:nsid w:val="16450B05"/>
    <w:multiLevelType w:val="hybridMultilevel"/>
    <w:tmpl w:val="D7DCA890"/>
    <w:lvl w:ilvl="0" w:tplc="1C28A45A">
      <w:start w:val="1"/>
      <w:numFmt w:val="bullet"/>
      <w:lvlText w:val=""/>
      <w:lvlJc w:val="left"/>
      <w:pPr>
        <w:ind w:left="720" w:hanging="360"/>
      </w:pPr>
      <w:rPr>
        <w:rFonts w:ascii="Symbol" w:hAnsi="Symbol" w:hint="default"/>
      </w:rPr>
    </w:lvl>
    <w:lvl w:ilvl="1" w:tplc="B3B47882">
      <w:start w:val="1"/>
      <w:numFmt w:val="bullet"/>
      <w:lvlText w:val="o"/>
      <w:lvlJc w:val="left"/>
      <w:pPr>
        <w:ind w:left="1440" w:hanging="360"/>
      </w:pPr>
      <w:rPr>
        <w:rFonts w:ascii="Courier New" w:hAnsi="Courier New" w:hint="default"/>
      </w:rPr>
    </w:lvl>
    <w:lvl w:ilvl="2" w:tplc="6FEC0A10">
      <w:start w:val="1"/>
      <w:numFmt w:val="bullet"/>
      <w:lvlText w:val=""/>
      <w:lvlJc w:val="left"/>
      <w:pPr>
        <w:ind w:left="2160" w:hanging="360"/>
      </w:pPr>
      <w:rPr>
        <w:rFonts w:ascii="Wingdings" w:hAnsi="Wingdings" w:hint="default"/>
      </w:rPr>
    </w:lvl>
    <w:lvl w:ilvl="3" w:tplc="833AB13C">
      <w:start w:val="1"/>
      <w:numFmt w:val="bullet"/>
      <w:lvlText w:val=""/>
      <w:lvlJc w:val="left"/>
      <w:pPr>
        <w:ind w:left="2880" w:hanging="360"/>
      </w:pPr>
      <w:rPr>
        <w:rFonts w:ascii="Symbol" w:hAnsi="Symbol" w:hint="default"/>
      </w:rPr>
    </w:lvl>
    <w:lvl w:ilvl="4" w:tplc="02107A7E">
      <w:start w:val="1"/>
      <w:numFmt w:val="bullet"/>
      <w:lvlText w:val="o"/>
      <w:lvlJc w:val="left"/>
      <w:pPr>
        <w:ind w:left="3600" w:hanging="360"/>
      </w:pPr>
      <w:rPr>
        <w:rFonts w:ascii="Courier New" w:hAnsi="Courier New" w:hint="default"/>
      </w:rPr>
    </w:lvl>
    <w:lvl w:ilvl="5" w:tplc="AFA28782">
      <w:start w:val="1"/>
      <w:numFmt w:val="bullet"/>
      <w:lvlText w:val=""/>
      <w:lvlJc w:val="left"/>
      <w:pPr>
        <w:ind w:left="4320" w:hanging="360"/>
      </w:pPr>
      <w:rPr>
        <w:rFonts w:ascii="Wingdings" w:hAnsi="Wingdings" w:hint="default"/>
      </w:rPr>
    </w:lvl>
    <w:lvl w:ilvl="6" w:tplc="2084D3F6">
      <w:start w:val="1"/>
      <w:numFmt w:val="bullet"/>
      <w:lvlText w:val=""/>
      <w:lvlJc w:val="left"/>
      <w:pPr>
        <w:ind w:left="5040" w:hanging="360"/>
      </w:pPr>
      <w:rPr>
        <w:rFonts w:ascii="Symbol" w:hAnsi="Symbol" w:hint="default"/>
      </w:rPr>
    </w:lvl>
    <w:lvl w:ilvl="7" w:tplc="0FB85510">
      <w:start w:val="1"/>
      <w:numFmt w:val="bullet"/>
      <w:lvlText w:val="o"/>
      <w:lvlJc w:val="left"/>
      <w:pPr>
        <w:ind w:left="5760" w:hanging="360"/>
      </w:pPr>
      <w:rPr>
        <w:rFonts w:ascii="Courier New" w:hAnsi="Courier New" w:hint="default"/>
      </w:rPr>
    </w:lvl>
    <w:lvl w:ilvl="8" w:tplc="ABDA5ECE">
      <w:start w:val="1"/>
      <w:numFmt w:val="bullet"/>
      <w:lvlText w:val=""/>
      <w:lvlJc w:val="left"/>
      <w:pPr>
        <w:ind w:left="6480" w:hanging="360"/>
      </w:pPr>
      <w:rPr>
        <w:rFonts w:ascii="Wingdings" w:hAnsi="Wingdings" w:hint="default"/>
      </w:rPr>
    </w:lvl>
  </w:abstractNum>
  <w:abstractNum w:abstractNumId="3" w15:restartNumberingAfterBreak="0">
    <w:nsid w:val="1A030E0F"/>
    <w:multiLevelType w:val="hybridMultilevel"/>
    <w:tmpl w:val="0548D708"/>
    <w:lvl w:ilvl="0" w:tplc="FDA65504">
      <w:start w:val="1"/>
      <w:numFmt w:val="bullet"/>
      <w:lvlText w:val=""/>
      <w:lvlJc w:val="left"/>
      <w:pPr>
        <w:ind w:left="720" w:hanging="360"/>
      </w:pPr>
      <w:rPr>
        <w:rFonts w:ascii="Symbol" w:hAnsi="Symbol" w:hint="default"/>
      </w:rPr>
    </w:lvl>
    <w:lvl w:ilvl="1" w:tplc="CFA0D308">
      <w:start w:val="1"/>
      <w:numFmt w:val="bullet"/>
      <w:lvlText w:val="o"/>
      <w:lvlJc w:val="left"/>
      <w:pPr>
        <w:ind w:left="1440" w:hanging="360"/>
      </w:pPr>
      <w:rPr>
        <w:rFonts w:ascii="Courier New" w:hAnsi="Courier New" w:hint="default"/>
      </w:rPr>
    </w:lvl>
    <w:lvl w:ilvl="2" w:tplc="74D6A56E">
      <w:start w:val="1"/>
      <w:numFmt w:val="bullet"/>
      <w:lvlText w:val=""/>
      <w:lvlJc w:val="left"/>
      <w:pPr>
        <w:ind w:left="2160" w:hanging="360"/>
      </w:pPr>
      <w:rPr>
        <w:rFonts w:ascii="Wingdings" w:hAnsi="Wingdings" w:hint="default"/>
      </w:rPr>
    </w:lvl>
    <w:lvl w:ilvl="3" w:tplc="E5F0DE8C">
      <w:start w:val="1"/>
      <w:numFmt w:val="bullet"/>
      <w:lvlText w:val=""/>
      <w:lvlJc w:val="left"/>
      <w:pPr>
        <w:ind w:left="2880" w:hanging="360"/>
      </w:pPr>
      <w:rPr>
        <w:rFonts w:ascii="Symbol" w:hAnsi="Symbol" w:hint="default"/>
      </w:rPr>
    </w:lvl>
    <w:lvl w:ilvl="4" w:tplc="339C434C">
      <w:start w:val="1"/>
      <w:numFmt w:val="bullet"/>
      <w:lvlText w:val="o"/>
      <w:lvlJc w:val="left"/>
      <w:pPr>
        <w:ind w:left="3600" w:hanging="360"/>
      </w:pPr>
      <w:rPr>
        <w:rFonts w:ascii="Courier New" w:hAnsi="Courier New" w:hint="default"/>
      </w:rPr>
    </w:lvl>
    <w:lvl w:ilvl="5" w:tplc="25B02AC2">
      <w:start w:val="1"/>
      <w:numFmt w:val="bullet"/>
      <w:lvlText w:val=""/>
      <w:lvlJc w:val="left"/>
      <w:pPr>
        <w:ind w:left="4320" w:hanging="360"/>
      </w:pPr>
      <w:rPr>
        <w:rFonts w:ascii="Wingdings" w:hAnsi="Wingdings" w:hint="default"/>
      </w:rPr>
    </w:lvl>
    <w:lvl w:ilvl="6" w:tplc="ADDEB8E2">
      <w:start w:val="1"/>
      <w:numFmt w:val="bullet"/>
      <w:lvlText w:val=""/>
      <w:lvlJc w:val="left"/>
      <w:pPr>
        <w:ind w:left="5040" w:hanging="360"/>
      </w:pPr>
      <w:rPr>
        <w:rFonts w:ascii="Symbol" w:hAnsi="Symbol" w:hint="default"/>
      </w:rPr>
    </w:lvl>
    <w:lvl w:ilvl="7" w:tplc="56FC6D74">
      <w:start w:val="1"/>
      <w:numFmt w:val="bullet"/>
      <w:lvlText w:val="o"/>
      <w:lvlJc w:val="left"/>
      <w:pPr>
        <w:ind w:left="5760" w:hanging="360"/>
      </w:pPr>
      <w:rPr>
        <w:rFonts w:ascii="Courier New" w:hAnsi="Courier New" w:hint="default"/>
      </w:rPr>
    </w:lvl>
    <w:lvl w:ilvl="8" w:tplc="61126766">
      <w:start w:val="1"/>
      <w:numFmt w:val="bullet"/>
      <w:lvlText w:val=""/>
      <w:lvlJc w:val="left"/>
      <w:pPr>
        <w:ind w:left="6480" w:hanging="360"/>
      </w:pPr>
      <w:rPr>
        <w:rFonts w:ascii="Wingdings" w:hAnsi="Wingdings" w:hint="default"/>
      </w:rPr>
    </w:lvl>
  </w:abstractNum>
  <w:abstractNum w:abstractNumId="4" w15:restartNumberingAfterBreak="0">
    <w:nsid w:val="2F3B246D"/>
    <w:multiLevelType w:val="hybridMultilevel"/>
    <w:tmpl w:val="FFFFFFFF"/>
    <w:lvl w:ilvl="0" w:tplc="3B50C2AA">
      <w:start w:val="1"/>
      <w:numFmt w:val="bullet"/>
      <w:lvlText w:val=""/>
      <w:lvlJc w:val="left"/>
      <w:pPr>
        <w:ind w:left="720" w:hanging="360"/>
      </w:pPr>
      <w:rPr>
        <w:rFonts w:ascii="Symbol" w:hAnsi="Symbol" w:hint="default"/>
      </w:rPr>
    </w:lvl>
    <w:lvl w:ilvl="1" w:tplc="9CB6845C">
      <w:start w:val="1"/>
      <w:numFmt w:val="bullet"/>
      <w:lvlText w:val="o"/>
      <w:lvlJc w:val="left"/>
      <w:pPr>
        <w:ind w:left="1440" w:hanging="360"/>
      </w:pPr>
      <w:rPr>
        <w:rFonts w:ascii="Courier New" w:hAnsi="Courier New" w:hint="default"/>
      </w:rPr>
    </w:lvl>
    <w:lvl w:ilvl="2" w:tplc="5CA48132">
      <w:start w:val="1"/>
      <w:numFmt w:val="bullet"/>
      <w:lvlText w:val=""/>
      <w:lvlJc w:val="left"/>
      <w:pPr>
        <w:ind w:left="2160" w:hanging="360"/>
      </w:pPr>
      <w:rPr>
        <w:rFonts w:ascii="Wingdings" w:hAnsi="Wingdings" w:hint="default"/>
      </w:rPr>
    </w:lvl>
    <w:lvl w:ilvl="3" w:tplc="D6146412">
      <w:start w:val="1"/>
      <w:numFmt w:val="bullet"/>
      <w:lvlText w:val=""/>
      <w:lvlJc w:val="left"/>
      <w:pPr>
        <w:ind w:left="2880" w:hanging="360"/>
      </w:pPr>
      <w:rPr>
        <w:rFonts w:ascii="Symbol" w:hAnsi="Symbol" w:hint="default"/>
      </w:rPr>
    </w:lvl>
    <w:lvl w:ilvl="4" w:tplc="63D2FD80">
      <w:start w:val="1"/>
      <w:numFmt w:val="bullet"/>
      <w:lvlText w:val="o"/>
      <w:lvlJc w:val="left"/>
      <w:pPr>
        <w:ind w:left="3600" w:hanging="360"/>
      </w:pPr>
      <w:rPr>
        <w:rFonts w:ascii="Courier New" w:hAnsi="Courier New" w:hint="default"/>
      </w:rPr>
    </w:lvl>
    <w:lvl w:ilvl="5" w:tplc="AE962280">
      <w:start w:val="1"/>
      <w:numFmt w:val="bullet"/>
      <w:lvlText w:val=""/>
      <w:lvlJc w:val="left"/>
      <w:pPr>
        <w:ind w:left="4320" w:hanging="360"/>
      </w:pPr>
      <w:rPr>
        <w:rFonts w:ascii="Wingdings" w:hAnsi="Wingdings" w:hint="default"/>
      </w:rPr>
    </w:lvl>
    <w:lvl w:ilvl="6" w:tplc="0C0EDFFE">
      <w:start w:val="1"/>
      <w:numFmt w:val="bullet"/>
      <w:lvlText w:val=""/>
      <w:lvlJc w:val="left"/>
      <w:pPr>
        <w:ind w:left="5040" w:hanging="360"/>
      </w:pPr>
      <w:rPr>
        <w:rFonts w:ascii="Symbol" w:hAnsi="Symbol" w:hint="default"/>
      </w:rPr>
    </w:lvl>
    <w:lvl w:ilvl="7" w:tplc="ABC05FB4">
      <w:start w:val="1"/>
      <w:numFmt w:val="bullet"/>
      <w:lvlText w:val="o"/>
      <w:lvlJc w:val="left"/>
      <w:pPr>
        <w:ind w:left="5760" w:hanging="360"/>
      </w:pPr>
      <w:rPr>
        <w:rFonts w:ascii="Courier New" w:hAnsi="Courier New" w:hint="default"/>
      </w:rPr>
    </w:lvl>
    <w:lvl w:ilvl="8" w:tplc="D5828F3E">
      <w:start w:val="1"/>
      <w:numFmt w:val="bullet"/>
      <w:lvlText w:val=""/>
      <w:lvlJc w:val="left"/>
      <w:pPr>
        <w:ind w:left="6480" w:hanging="360"/>
      </w:pPr>
      <w:rPr>
        <w:rFonts w:ascii="Wingdings" w:hAnsi="Wingdings" w:hint="default"/>
      </w:rPr>
    </w:lvl>
  </w:abstractNum>
  <w:abstractNum w:abstractNumId="5" w15:restartNumberingAfterBreak="0">
    <w:nsid w:val="46F854E9"/>
    <w:multiLevelType w:val="hybridMultilevel"/>
    <w:tmpl w:val="72DAA842"/>
    <w:lvl w:ilvl="0" w:tplc="9210171A">
      <w:start w:val="1"/>
      <w:numFmt w:val="bullet"/>
      <w:lvlText w:val=""/>
      <w:lvlJc w:val="left"/>
      <w:pPr>
        <w:ind w:left="720" w:hanging="360"/>
      </w:pPr>
      <w:rPr>
        <w:rFonts w:ascii="Symbol" w:hAnsi="Symbol" w:hint="default"/>
      </w:rPr>
    </w:lvl>
    <w:lvl w:ilvl="1" w:tplc="8BA0E282">
      <w:start w:val="1"/>
      <w:numFmt w:val="bullet"/>
      <w:lvlText w:val="o"/>
      <w:lvlJc w:val="left"/>
      <w:pPr>
        <w:ind w:left="1440" w:hanging="360"/>
      </w:pPr>
      <w:rPr>
        <w:rFonts w:ascii="Courier New" w:hAnsi="Courier New" w:hint="default"/>
      </w:rPr>
    </w:lvl>
    <w:lvl w:ilvl="2" w:tplc="1FA0AF50">
      <w:start w:val="1"/>
      <w:numFmt w:val="bullet"/>
      <w:lvlText w:val=""/>
      <w:lvlJc w:val="left"/>
      <w:pPr>
        <w:ind w:left="2160" w:hanging="360"/>
      </w:pPr>
      <w:rPr>
        <w:rFonts w:ascii="Wingdings" w:hAnsi="Wingdings" w:hint="default"/>
      </w:rPr>
    </w:lvl>
    <w:lvl w:ilvl="3" w:tplc="0B00566C">
      <w:start w:val="1"/>
      <w:numFmt w:val="bullet"/>
      <w:lvlText w:val=""/>
      <w:lvlJc w:val="left"/>
      <w:pPr>
        <w:ind w:left="2880" w:hanging="360"/>
      </w:pPr>
      <w:rPr>
        <w:rFonts w:ascii="Symbol" w:hAnsi="Symbol" w:hint="default"/>
      </w:rPr>
    </w:lvl>
    <w:lvl w:ilvl="4" w:tplc="DC5EBB6A">
      <w:start w:val="1"/>
      <w:numFmt w:val="bullet"/>
      <w:lvlText w:val="o"/>
      <w:lvlJc w:val="left"/>
      <w:pPr>
        <w:ind w:left="3600" w:hanging="360"/>
      </w:pPr>
      <w:rPr>
        <w:rFonts w:ascii="Courier New" w:hAnsi="Courier New" w:hint="default"/>
      </w:rPr>
    </w:lvl>
    <w:lvl w:ilvl="5" w:tplc="69241AFE">
      <w:start w:val="1"/>
      <w:numFmt w:val="bullet"/>
      <w:lvlText w:val=""/>
      <w:lvlJc w:val="left"/>
      <w:pPr>
        <w:ind w:left="4320" w:hanging="360"/>
      </w:pPr>
      <w:rPr>
        <w:rFonts w:ascii="Wingdings" w:hAnsi="Wingdings" w:hint="default"/>
      </w:rPr>
    </w:lvl>
    <w:lvl w:ilvl="6" w:tplc="CB2001AA">
      <w:start w:val="1"/>
      <w:numFmt w:val="bullet"/>
      <w:lvlText w:val=""/>
      <w:lvlJc w:val="left"/>
      <w:pPr>
        <w:ind w:left="5040" w:hanging="360"/>
      </w:pPr>
      <w:rPr>
        <w:rFonts w:ascii="Symbol" w:hAnsi="Symbol" w:hint="default"/>
      </w:rPr>
    </w:lvl>
    <w:lvl w:ilvl="7" w:tplc="343C4826">
      <w:start w:val="1"/>
      <w:numFmt w:val="bullet"/>
      <w:lvlText w:val="o"/>
      <w:lvlJc w:val="left"/>
      <w:pPr>
        <w:ind w:left="5760" w:hanging="360"/>
      </w:pPr>
      <w:rPr>
        <w:rFonts w:ascii="Courier New" w:hAnsi="Courier New" w:hint="default"/>
      </w:rPr>
    </w:lvl>
    <w:lvl w:ilvl="8" w:tplc="5D761102">
      <w:start w:val="1"/>
      <w:numFmt w:val="bullet"/>
      <w:lvlText w:val=""/>
      <w:lvlJc w:val="left"/>
      <w:pPr>
        <w:ind w:left="6480" w:hanging="360"/>
      </w:pPr>
      <w:rPr>
        <w:rFonts w:ascii="Wingdings" w:hAnsi="Wingdings" w:hint="default"/>
      </w:rPr>
    </w:lvl>
  </w:abstractNum>
  <w:abstractNum w:abstractNumId="6" w15:restartNumberingAfterBreak="0">
    <w:nsid w:val="4D101122"/>
    <w:multiLevelType w:val="hybridMultilevel"/>
    <w:tmpl w:val="FC224F60"/>
    <w:lvl w:ilvl="0" w:tplc="6A9AECE6">
      <w:start w:val="1"/>
      <w:numFmt w:val="bullet"/>
      <w:lvlText w:val=""/>
      <w:lvlJc w:val="left"/>
      <w:pPr>
        <w:ind w:left="720" w:hanging="360"/>
      </w:pPr>
      <w:rPr>
        <w:rFonts w:ascii="Symbol" w:hAnsi="Symbol" w:hint="default"/>
      </w:rPr>
    </w:lvl>
    <w:lvl w:ilvl="1" w:tplc="C7688F36">
      <w:start w:val="1"/>
      <w:numFmt w:val="bullet"/>
      <w:lvlText w:val="o"/>
      <w:lvlJc w:val="left"/>
      <w:pPr>
        <w:ind w:left="1440" w:hanging="360"/>
      </w:pPr>
      <w:rPr>
        <w:rFonts w:ascii="Courier New" w:hAnsi="Courier New" w:hint="default"/>
      </w:rPr>
    </w:lvl>
    <w:lvl w:ilvl="2" w:tplc="8A8ED33C">
      <w:start w:val="1"/>
      <w:numFmt w:val="bullet"/>
      <w:lvlText w:val=""/>
      <w:lvlJc w:val="left"/>
      <w:pPr>
        <w:ind w:left="2160" w:hanging="360"/>
      </w:pPr>
      <w:rPr>
        <w:rFonts w:ascii="Wingdings" w:hAnsi="Wingdings" w:hint="default"/>
      </w:rPr>
    </w:lvl>
    <w:lvl w:ilvl="3" w:tplc="36B06846">
      <w:start w:val="1"/>
      <w:numFmt w:val="bullet"/>
      <w:lvlText w:val=""/>
      <w:lvlJc w:val="left"/>
      <w:pPr>
        <w:ind w:left="2880" w:hanging="360"/>
      </w:pPr>
      <w:rPr>
        <w:rFonts w:ascii="Symbol" w:hAnsi="Symbol" w:hint="default"/>
      </w:rPr>
    </w:lvl>
    <w:lvl w:ilvl="4" w:tplc="A91413D8">
      <w:start w:val="1"/>
      <w:numFmt w:val="bullet"/>
      <w:lvlText w:val="o"/>
      <w:lvlJc w:val="left"/>
      <w:pPr>
        <w:ind w:left="3600" w:hanging="360"/>
      </w:pPr>
      <w:rPr>
        <w:rFonts w:ascii="Courier New" w:hAnsi="Courier New" w:hint="default"/>
      </w:rPr>
    </w:lvl>
    <w:lvl w:ilvl="5" w:tplc="C4A20E66">
      <w:start w:val="1"/>
      <w:numFmt w:val="bullet"/>
      <w:lvlText w:val=""/>
      <w:lvlJc w:val="left"/>
      <w:pPr>
        <w:ind w:left="4320" w:hanging="360"/>
      </w:pPr>
      <w:rPr>
        <w:rFonts w:ascii="Wingdings" w:hAnsi="Wingdings" w:hint="default"/>
      </w:rPr>
    </w:lvl>
    <w:lvl w:ilvl="6" w:tplc="B21E9EC6">
      <w:start w:val="1"/>
      <w:numFmt w:val="bullet"/>
      <w:lvlText w:val=""/>
      <w:lvlJc w:val="left"/>
      <w:pPr>
        <w:ind w:left="5040" w:hanging="360"/>
      </w:pPr>
      <w:rPr>
        <w:rFonts w:ascii="Symbol" w:hAnsi="Symbol" w:hint="default"/>
      </w:rPr>
    </w:lvl>
    <w:lvl w:ilvl="7" w:tplc="97B445A0">
      <w:start w:val="1"/>
      <w:numFmt w:val="bullet"/>
      <w:lvlText w:val="o"/>
      <w:lvlJc w:val="left"/>
      <w:pPr>
        <w:ind w:left="5760" w:hanging="360"/>
      </w:pPr>
      <w:rPr>
        <w:rFonts w:ascii="Courier New" w:hAnsi="Courier New" w:hint="default"/>
      </w:rPr>
    </w:lvl>
    <w:lvl w:ilvl="8" w:tplc="6450C1D8">
      <w:start w:val="1"/>
      <w:numFmt w:val="bullet"/>
      <w:lvlText w:val=""/>
      <w:lvlJc w:val="left"/>
      <w:pPr>
        <w:ind w:left="6480" w:hanging="360"/>
      </w:pPr>
      <w:rPr>
        <w:rFonts w:ascii="Wingdings" w:hAnsi="Wingdings" w:hint="default"/>
      </w:rPr>
    </w:lvl>
  </w:abstractNum>
  <w:abstractNum w:abstractNumId="7" w15:restartNumberingAfterBreak="0">
    <w:nsid w:val="5F255874"/>
    <w:multiLevelType w:val="hybridMultilevel"/>
    <w:tmpl w:val="45EAB900"/>
    <w:lvl w:ilvl="0" w:tplc="D8306504">
      <w:start w:val="1"/>
      <w:numFmt w:val="bullet"/>
      <w:lvlText w:val=""/>
      <w:lvlJc w:val="left"/>
      <w:pPr>
        <w:ind w:left="720" w:hanging="360"/>
      </w:pPr>
      <w:rPr>
        <w:rFonts w:ascii="Symbol" w:hAnsi="Symbol" w:hint="default"/>
      </w:rPr>
    </w:lvl>
    <w:lvl w:ilvl="1" w:tplc="D026DD02">
      <w:start w:val="1"/>
      <w:numFmt w:val="bullet"/>
      <w:lvlText w:val="o"/>
      <w:lvlJc w:val="left"/>
      <w:pPr>
        <w:ind w:left="1440" w:hanging="360"/>
      </w:pPr>
      <w:rPr>
        <w:rFonts w:ascii="Courier New" w:hAnsi="Courier New" w:hint="default"/>
      </w:rPr>
    </w:lvl>
    <w:lvl w:ilvl="2" w:tplc="10BC5F12">
      <w:start w:val="1"/>
      <w:numFmt w:val="bullet"/>
      <w:lvlText w:val=""/>
      <w:lvlJc w:val="left"/>
      <w:pPr>
        <w:ind w:left="2160" w:hanging="360"/>
      </w:pPr>
      <w:rPr>
        <w:rFonts w:ascii="Wingdings" w:hAnsi="Wingdings" w:hint="default"/>
      </w:rPr>
    </w:lvl>
    <w:lvl w:ilvl="3" w:tplc="BE74D870">
      <w:start w:val="1"/>
      <w:numFmt w:val="bullet"/>
      <w:lvlText w:val=""/>
      <w:lvlJc w:val="left"/>
      <w:pPr>
        <w:ind w:left="2880" w:hanging="360"/>
      </w:pPr>
      <w:rPr>
        <w:rFonts w:ascii="Symbol" w:hAnsi="Symbol" w:hint="default"/>
      </w:rPr>
    </w:lvl>
    <w:lvl w:ilvl="4" w:tplc="F3B2B8C0">
      <w:start w:val="1"/>
      <w:numFmt w:val="bullet"/>
      <w:lvlText w:val="o"/>
      <w:lvlJc w:val="left"/>
      <w:pPr>
        <w:ind w:left="3600" w:hanging="360"/>
      </w:pPr>
      <w:rPr>
        <w:rFonts w:ascii="Courier New" w:hAnsi="Courier New" w:hint="default"/>
      </w:rPr>
    </w:lvl>
    <w:lvl w:ilvl="5" w:tplc="11E604EE">
      <w:start w:val="1"/>
      <w:numFmt w:val="bullet"/>
      <w:lvlText w:val=""/>
      <w:lvlJc w:val="left"/>
      <w:pPr>
        <w:ind w:left="4320" w:hanging="360"/>
      </w:pPr>
      <w:rPr>
        <w:rFonts w:ascii="Wingdings" w:hAnsi="Wingdings" w:hint="default"/>
      </w:rPr>
    </w:lvl>
    <w:lvl w:ilvl="6" w:tplc="9278AD94">
      <w:start w:val="1"/>
      <w:numFmt w:val="bullet"/>
      <w:lvlText w:val=""/>
      <w:lvlJc w:val="left"/>
      <w:pPr>
        <w:ind w:left="5040" w:hanging="360"/>
      </w:pPr>
      <w:rPr>
        <w:rFonts w:ascii="Symbol" w:hAnsi="Symbol" w:hint="default"/>
      </w:rPr>
    </w:lvl>
    <w:lvl w:ilvl="7" w:tplc="8AA8F7BE">
      <w:start w:val="1"/>
      <w:numFmt w:val="bullet"/>
      <w:lvlText w:val="o"/>
      <w:lvlJc w:val="left"/>
      <w:pPr>
        <w:ind w:left="5760" w:hanging="360"/>
      </w:pPr>
      <w:rPr>
        <w:rFonts w:ascii="Courier New" w:hAnsi="Courier New" w:hint="default"/>
      </w:rPr>
    </w:lvl>
    <w:lvl w:ilvl="8" w:tplc="D762518A">
      <w:start w:val="1"/>
      <w:numFmt w:val="bullet"/>
      <w:lvlText w:val=""/>
      <w:lvlJc w:val="left"/>
      <w:pPr>
        <w:ind w:left="6480" w:hanging="360"/>
      </w:pPr>
      <w:rPr>
        <w:rFonts w:ascii="Wingdings" w:hAnsi="Wingdings" w:hint="default"/>
      </w:rPr>
    </w:lvl>
  </w:abstractNum>
  <w:abstractNum w:abstractNumId="8" w15:restartNumberingAfterBreak="0">
    <w:nsid w:val="7DF5709A"/>
    <w:multiLevelType w:val="hybridMultilevel"/>
    <w:tmpl w:val="34BA54A2"/>
    <w:lvl w:ilvl="0" w:tplc="1EE207B6">
      <w:start w:val="1"/>
      <w:numFmt w:val="bullet"/>
      <w:lvlText w:val=""/>
      <w:lvlJc w:val="left"/>
      <w:pPr>
        <w:ind w:left="720" w:hanging="360"/>
      </w:pPr>
      <w:rPr>
        <w:rFonts w:ascii="Symbol" w:hAnsi="Symbol" w:hint="default"/>
      </w:rPr>
    </w:lvl>
    <w:lvl w:ilvl="1" w:tplc="38C43A32">
      <w:start w:val="1"/>
      <w:numFmt w:val="bullet"/>
      <w:lvlText w:val="o"/>
      <w:lvlJc w:val="left"/>
      <w:pPr>
        <w:ind w:left="1440" w:hanging="360"/>
      </w:pPr>
      <w:rPr>
        <w:rFonts w:ascii="Courier New" w:hAnsi="Courier New" w:hint="default"/>
      </w:rPr>
    </w:lvl>
    <w:lvl w:ilvl="2" w:tplc="12AA453C">
      <w:start w:val="1"/>
      <w:numFmt w:val="bullet"/>
      <w:lvlText w:val=""/>
      <w:lvlJc w:val="left"/>
      <w:pPr>
        <w:ind w:left="2160" w:hanging="360"/>
      </w:pPr>
      <w:rPr>
        <w:rFonts w:ascii="Wingdings" w:hAnsi="Wingdings" w:hint="default"/>
      </w:rPr>
    </w:lvl>
    <w:lvl w:ilvl="3" w:tplc="8F984744">
      <w:start w:val="1"/>
      <w:numFmt w:val="bullet"/>
      <w:lvlText w:val=""/>
      <w:lvlJc w:val="left"/>
      <w:pPr>
        <w:ind w:left="2880" w:hanging="360"/>
      </w:pPr>
      <w:rPr>
        <w:rFonts w:ascii="Symbol" w:hAnsi="Symbol" w:hint="default"/>
      </w:rPr>
    </w:lvl>
    <w:lvl w:ilvl="4" w:tplc="481CB754">
      <w:start w:val="1"/>
      <w:numFmt w:val="bullet"/>
      <w:lvlText w:val="o"/>
      <w:lvlJc w:val="left"/>
      <w:pPr>
        <w:ind w:left="3600" w:hanging="360"/>
      </w:pPr>
      <w:rPr>
        <w:rFonts w:ascii="Courier New" w:hAnsi="Courier New" w:hint="default"/>
      </w:rPr>
    </w:lvl>
    <w:lvl w:ilvl="5" w:tplc="C5A0233E">
      <w:start w:val="1"/>
      <w:numFmt w:val="bullet"/>
      <w:lvlText w:val=""/>
      <w:lvlJc w:val="left"/>
      <w:pPr>
        <w:ind w:left="4320" w:hanging="360"/>
      </w:pPr>
      <w:rPr>
        <w:rFonts w:ascii="Wingdings" w:hAnsi="Wingdings" w:hint="default"/>
      </w:rPr>
    </w:lvl>
    <w:lvl w:ilvl="6" w:tplc="47501E98">
      <w:start w:val="1"/>
      <w:numFmt w:val="bullet"/>
      <w:lvlText w:val=""/>
      <w:lvlJc w:val="left"/>
      <w:pPr>
        <w:ind w:left="5040" w:hanging="360"/>
      </w:pPr>
      <w:rPr>
        <w:rFonts w:ascii="Symbol" w:hAnsi="Symbol" w:hint="default"/>
      </w:rPr>
    </w:lvl>
    <w:lvl w:ilvl="7" w:tplc="F366577E">
      <w:start w:val="1"/>
      <w:numFmt w:val="bullet"/>
      <w:lvlText w:val="o"/>
      <w:lvlJc w:val="left"/>
      <w:pPr>
        <w:ind w:left="5760" w:hanging="360"/>
      </w:pPr>
      <w:rPr>
        <w:rFonts w:ascii="Courier New" w:hAnsi="Courier New" w:hint="default"/>
      </w:rPr>
    </w:lvl>
    <w:lvl w:ilvl="8" w:tplc="08CCFC1A">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0"/>
  </w:num>
  <w:num w:numId="4">
    <w:abstractNumId w:val="2"/>
  </w:num>
  <w:num w:numId="5">
    <w:abstractNumId w:val="5"/>
  </w:num>
  <w:num w:numId="6">
    <w:abstractNumId w:val="8"/>
  </w:num>
  <w:num w:numId="7">
    <w:abstractNumId w:val="7"/>
  </w:num>
  <w:num w:numId="8">
    <w:abstractNumId w:val="3"/>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E125A89"/>
    <w:rsid w:val="00207FF9"/>
    <w:rsid w:val="003A4B42"/>
    <w:rsid w:val="00522CD7"/>
    <w:rsid w:val="00534CCA"/>
    <w:rsid w:val="00593CF9"/>
    <w:rsid w:val="00656A9B"/>
    <w:rsid w:val="00790453"/>
    <w:rsid w:val="00802967"/>
    <w:rsid w:val="009229D9"/>
    <w:rsid w:val="00997689"/>
    <w:rsid w:val="00A4F27E"/>
    <w:rsid w:val="00A73DA7"/>
    <w:rsid w:val="00B12A94"/>
    <w:rsid w:val="00B2066C"/>
    <w:rsid w:val="00B77D9F"/>
    <w:rsid w:val="00BC714F"/>
    <w:rsid w:val="00CE0EEA"/>
    <w:rsid w:val="00E14F21"/>
    <w:rsid w:val="00F824DA"/>
    <w:rsid w:val="0107AC50"/>
    <w:rsid w:val="0141F42D"/>
    <w:rsid w:val="014226FE"/>
    <w:rsid w:val="01757D74"/>
    <w:rsid w:val="01A85E70"/>
    <w:rsid w:val="01BB2382"/>
    <w:rsid w:val="01DAE73B"/>
    <w:rsid w:val="023C8845"/>
    <w:rsid w:val="0266C43B"/>
    <w:rsid w:val="0275D661"/>
    <w:rsid w:val="02DDA3CB"/>
    <w:rsid w:val="02DDF75F"/>
    <w:rsid w:val="0302BD3C"/>
    <w:rsid w:val="033A583A"/>
    <w:rsid w:val="0344D5E3"/>
    <w:rsid w:val="03460EFE"/>
    <w:rsid w:val="0356F3E3"/>
    <w:rsid w:val="0376B79C"/>
    <w:rsid w:val="03DC58D2"/>
    <w:rsid w:val="03F78C87"/>
    <w:rsid w:val="0429A98B"/>
    <w:rsid w:val="045026C5"/>
    <w:rsid w:val="0479742C"/>
    <w:rsid w:val="049781B3"/>
    <w:rsid w:val="04AD1E36"/>
    <w:rsid w:val="04AEA7FE"/>
    <w:rsid w:val="04D8B05A"/>
    <w:rsid w:val="04E1DF5F"/>
    <w:rsid w:val="052DFF26"/>
    <w:rsid w:val="054CE5A9"/>
    <w:rsid w:val="056E97E5"/>
    <w:rsid w:val="05853CA0"/>
    <w:rsid w:val="05904A7D"/>
    <w:rsid w:val="05CEE1E9"/>
    <w:rsid w:val="05FFC68E"/>
    <w:rsid w:val="060F7103"/>
    <w:rsid w:val="06440EAF"/>
    <w:rsid w:val="06850DEF"/>
    <w:rsid w:val="068DA999"/>
    <w:rsid w:val="068E94A5"/>
    <w:rsid w:val="06BD6AAE"/>
    <w:rsid w:val="0705FF24"/>
    <w:rsid w:val="076B2D9A"/>
    <w:rsid w:val="07966FEE"/>
    <w:rsid w:val="07DE18C2"/>
    <w:rsid w:val="0802CBF6"/>
    <w:rsid w:val="08302CA3"/>
    <w:rsid w:val="08315B93"/>
    <w:rsid w:val="0835E4DC"/>
    <w:rsid w:val="0880E07D"/>
    <w:rsid w:val="0883EEF3"/>
    <w:rsid w:val="08E38269"/>
    <w:rsid w:val="08E863F3"/>
    <w:rsid w:val="0900AA79"/>
    <w:rsid w:val="09480728"/>
    <w:rsid w:val="0960759A"/>
    <w:rsid w:val="096AA2AF"/>
    <w:rsid w:val="09975735"/>
    <w:rsid w:val="09C54A5B"/>
    <w:rsid w:val="09C6EA91"/>
    <w:rsid w:val="09E4FDCA"/>
    <w:rsid w:val="09F644F8"/>
    <w:rsid w:val="0A120E0D"/>
    <w:rsid w:val="0A3D9FE6"/>
    <w:rsid w:val="0A3DC4AB"/>
    <w:rsid w:val="0A553301"/>
    <w:rsid w:val="0ADCF738"/>
    <w:rsid w:val="0B2D5072"/>
    <w:rsid w:val="0B4BEA6A"/>
    <w:rsid w:val="0B5120E3"/>
    <w:rsid w:val="0B627100"/>
    <w:rsid w:val="0B81C981"/>
    <w:rsid w:val="0B914F07"/>
    <w:rsid w:val="0C20F6EC"/>
    <w:rsid w:val="0C2E0DC6"/>
    <w:rsid w:val="0C587B92"/>
    <w:rsid w:val="0C848611"/>
    <w:rsid w:val="0CB014B2"/>
    <w:rsid w:val="0CB8C4F2"/>
    <w:rsid w:val="0CECF144"/>
    <w:rsid w:val="0D8465EB"/>
    <w:rsid w:val="0D9E6ECD"/>
    <w:rsid w:val="0DEE1CDE"/>
    <w:rsid w:val="0E05B172"/>
    <w:rsid w:val="0E3140A0"/>
    <w:rsid w:val="0E487218"/>
    <w:rsid w:val="0E64F134"/>
    <w:rsid w:val="0E66C35C"/>
    <w:rsid w:val="0E9A11C2"/>
    <w:rsid w:val="0EA6D2AF"/>
    <w:rsid w:val="0EC00992"/>
    <w:rsid w:val="0ED7F85F"/>
    <w:rsid w:val="0F5897AE"/>
    <w:rsid w:val="0F897FA3"/>
    <w:rsid w:val="0F8E8B42"/>
    <w:rsid w:val="0F901C54"/>
    <w:rsid w:val="0FBC26D3"/>
    <w:rsid w:val="0FC199D3"/>
    <w:rsid w:val="0FCC5AF3"/>
    <w:rsid w:val="0FE7B574"/>
    <w:rsid w:val="0FEBD597"/>
    <w:rsid w:val="0FEECA26"/>
    <w:rsid w:val="102B97B2"/>
    <w:rsid w:val="103F4508"/>
    <w:rsid w:val="1048D3B5"/>
    <w:rsid w:val="105BD9F3"/>
    <w:rsid w:val="10AF623E"/>
    <w:rsid w:val="111BBB76"/>
    <w:rsid w:val="113F226B"/>
    <w:rsid w:val="1148D2BD"/>
    <w:rsid w:val="115D6A34"/>
    <w:rsid w:val="117539C2"/>
    <w:rsid w:val="11D1B284"/>
    <w:rsid w:val="11D4ABE3"/>
    <w:rsid w:val="12300DCE"/>
    <w:rsid w:val="1230500D"/>
    <w:rsid w:val="12417138"/>
    <w:rsid w:val="127A8449"/>
    <w:rsid w:val="128E6462"/>
    <w:rsid w:val="12903870"/>
    <w:rsid w:val="12953DC6"/>
    <w:rsid w:val="129AFCFD"/>
    <w:rsid w:val="12B78BD7"/>
    <w:rsid w:val="12C18E01"/>
    <w:rsid w:val="13062DD9"/>
    <w:rsid w:val="13110A23"/>
    <w:rsid w:val="1324F2AC"/>
    <w:rsid w:val="1353AC4E"/>
    <w:rsid w:val="13610BD9"/>
    <w:rsid w:val="137D5946"/>
    <w:rsid w:val="13DA7F12"/>
    <w:rsid w:val="1453E0C8"/>
    <w:rsid w:val="14595852"/>
    <w:rsid w:val="1485E0A3"/>
    <w:rsid w:val="148DBE8A"/>
    <w:rsid w:val="148F97F6"/>
    <w:rsid w:val="1497CEF9"/>
    <w:rsid w:val="14C3D6D7"/>
    <w:rsid w:val="14F5A04A"/>
    <w:rsid w:val="150B2297"/>
    <w:rsid w:val="151929A7"/>
    <w:rsid w:val="1542AA92"/>
    <w:rsid w:val="1593C485"/>
    <w:rsid w:val="162286C2"/>
    <w:rsid w:val="162C5903"/>
    <w:rsid w:val="162E0E2D"/>
    <w:rsid w:val="163DCE9B"/>
    <w:rsid w:val="1648AAE5"/>
    <w:rsid w:val="165FA738"/>
    <w:rsid w:val="16712144"/>
    <w:rsid w:val="168F19BB"/>
    <w:rsid w:val="16D53404"/>
    <w:rsid w:val="16E8EBA6"/>
    <w:rsid w:val="17121FD4"/>
    <w:rsid w:val="176AA4E2"/>
    <w:rsid w:val="17BE5723"/>
    <w:rsid w:val="17C15834"/>
    <w:rsid w:val="1840F408"/>
    <w:rsid w:val="1853F94E"/>
    <w:rsid w:val="186335F2"/>
    <w:rsid w:val="189F4F52"/>
    <w:rsid w:val="18AF9ACC"/>
    <w:rsid w:val="18C53408"/>
    <w:rsid w:val="18C62A74"/>
    <w:rsid w:val="18C9DB19"/>
    <w:rsid w:val="18D57D58"/>
    <w:rsid w:val="18D9C86E"/>
    <w:rsid w:val="19067543"/>
    <w:rsid w:val="193A3578"/>
    <w:rsid w:val="19C1C39E"/>
    <w:rsid w:val="19DCC469"/>
    <w:rsid w:val="1A3DA3AF"/>
    <w:rsid w:val="1A542009"/>
    <w:rsid w:val="1A69ABA6"/>
    <w:rsid w:val="1A8466C9"/>
    <w:rsid w:val="1A9BBC64"/>
    <w:rsid w:val="1AA75CE7"/>
    <w:rsid w:val="1B15DB7C"/>
    <w:rsid w:val="1B64C47B"/>
    <w:rsid w:val="1B6C5B27"/>
    <w:rsid w:val="1B73CD62"/>
    <w:rsid w:val="1BF7DE18"/>
    <w:rsid w:val="1C6EDF0A"/>
    <w:rsid w:val="1C94A491"/>
    <w:rsid w:val="1CE1F734"/>
    <w:rsid w:val="1D36A715"/>
    <w:rsid w:val="1D597C3E"/>
    <w:rsid w:val="1D6F70E7"/>
    <w:rsid w:val="1DC61046"/>
    <w:rsid w:val="1DDBCF77"/>
    <w:rsid w:val="1E125A89"/>
    <w:rsid w:val="1E1910F6"/>
    <w:rsid w:val="1E40E011"/>
    <w:rsid w:val="1ED3A759"/>
    <w:rsid w:val="1EE68DE3"/>
    <w:rsid w:val="1EEC03DB"/>
    <w:rsid w:val="1F1114D2"/>
    <w:rsid w:val="1F2F7EDA"/>
    <w:rsid w:val="1F798005"/>
    <w:rsid w:val="1F95E4C0"/>
    <w:rsid w:val="2004B4E4"/>
    <w:rsid w:val="2029035F"/>
    <w:rsid w:val="202B9F9E"/>
    <w:rsid w:val="2061D716"/>
    <w:rsid w:val="206F77BA"/>
    <w:rsid w:val="20A8A609"/>
    <w:rsid w:val="20ACE533"/>
    <w:rsid w:val="20C43424"/>
    <w:rsid w:val="20D54F79"/>
    <w:rsid w:val="20FA4C71"/>
    <w:rsid w:val="210999A2"/>
    <w:rsid w:val="21118728"/>
    <w:rsid w:val="2111D20A"/>
    <w:rsid w:val="21137039"/>
    <w:rsid w:val="211A51B0"/>
    <w:rsid w:val="21650B06"/>
    <w:rsid w:val="21B8ADA7"/>
    <w:rsid w:val="21C1647B"/>
    <w:rsid w:val="21C4D3C0"/>
    <w:rsid w:val="221E2EA5"/>
    <w:rsid w:val="2250EC97"/>
    <w:rsid w:val="22AD5789"/>
    <w:rsid w:val="22C58F55"/>
    <w:rsid w:val="234617C6"/>
    <w:rsid w:val="23470CF2"/>
    <w:rsid w:val="23629E50"/>
    <w:rsid w:val="239CE2EE"/>
    <w:rsid w:val="23B9FF06"/>
    <w:rsid w:val="23ECBCF8"/>
    <w:rsid w:val="242A99C6"/>
    <w:rsid w:val="24389C9C"/>
    <w:rsid w:val="2464CC9A"/>
    <w:rsid w:val="248CE601"/>
    <w:rsid w:val="24F83855"/>
    <w:rsid w:val="2565B156"/>
    <w:rsid w:val="25BD5CDB"/>
    <w:rsid w:val="25C4F118"/>
    <w:rsid w:val="25E4F84B"/>
    <w:rsid w:val="262ED4A7"/>
    <w:rsid w:val="26409812"/>
    <w:rsid w:val="2650B4B2"/>
    <w:rsid w:val="267DB888"/>
    <w:rsid w:val="267F478A"/>
    <w:rsid w:val="26D0CDB8"/>
    <w:rsid w:val="26E05C6F"/>
    <w:rsid w:val="27245DBA"/>
    <w:rsid w:val="274DB93C"/>
    <w:rsid w:val="27623A88"/>
    <w:rsid w:val="2780C8AC"/>
    <w:rsid w:val="27B5A1A6"/>
    <w:rsid w:val="27C486C3"/>
    <w:rsid w:val="27D62591"/>
    <w:rsid w:val="289DD948"/>
    <w:rsid w:val="28A2865C"/>
    <w:rsid w:val="28BC3A6E"/>
    <w:rsid w:val="28BFA735"/>
    <w:rsid w:val="28E41805"/>
    <w:rsid w:val="291C990D"/>
    <w:rsid w:val="293164E2"/>
    <w:rsid w:val="296AD7DE"/>
    <w:rsid w:val="29E37232"/>
    <w:rsid w:val="2A7FE866"/>
    <w:rsid w:val="2AA80B99"/>
    <w:rsid w:val="2AB8696E"/>
    <w:rsid w:val="2AE6AB26"/>
    <w:rsid w:val="2AEADF33"/>
    <w:rsid w:val="2AF37A99"/>
    <w:rsid w:val="2B3CF1E4"/>
    <w:rsid w:val="2B7F4293"/>
    <w:rsid w:val="2B86C15B"/>
    <w:rsid w:val="2BB8E804"/>
    <w:rsid w:val="2BF78560"/>
    <w:rsid w:val="2C2B1CCA"/>
    <w:rsid w:val="2C3EDC6E"/>
    <w:rsid w:val="2C8F4AFA"/>
    <w:rsid w:val="2CD96F2D"/>
    <w:rsid w:val="2CECFA0C"/>
    <w:rsid w:val="2CF23A3B"/>
    <w:rsid w:val="2D1B931F"/>
    <w:rsid w:val="2DA8AAC9"/>
    <w:rsid w:val="2E4BA9F7"/>
    <w:rsid w:val="2E4EF37A"/>
    <w:rsid w:val="2E676E34"/>
    <w:rsid w:val="2EC20D39"/>
    <w:rsid w:val="2EF1B8A9"/>
    <w:rsid w:val="2F17567E"/>
    <w:rsid w:val="2F86403E"/>
    <w:rsid w:val="2FCB8188"/>
    <w:rsid w:val="30033E95"/>
    <w:rsid w:val="3015CC27"/>
    <w:rsid w:val="301C62E9"/>
    <w:rsid w:val="30249ACE"/>
    <w:rsid w:val="302533EC"/>
    <w:rsid w:val="306F1236"/>
    <w:rsid w:val="3077AFFE"/>
    <w:rsid w:val="30808FBB"/>
    <w:rsid w:val="3083AFE5"/>
    <w:rsid w:val="308C5927"/>
    <w:rsid w:val="30C522F9"/>
    <w:rsid w:val="30D223FB"/>
    <w:rsid w:val="3113F440"/>
    <w:rsid w:val="312EAF12"/>
    <w:rsid w:val="3174562C"/>
    <w:rsid w:val="31C06B2F"/>
    <w:rsid w:val="31CACD55"/>
    <w:rsid w:val="31D6BEF7"/>
    <w:rsid w:val="3293183F"/>
    <w:rsid w:val="32C95CDF"/>
    <w:rsid w:val="32CDF8FC"/>
    <w:rsid w:val="3336EFF8"/>
    <w:rsid w:val="33485362"/>
    <w:rsid w:val="33822CF6"/>
    <w:rsid w:val="339E15E9"/>
    <w:rsid w:val="33FCA58B"/>
    <w:rsid w:val="33FEC3F0"/>
    <w:rsid w:val="3417A5F2"/>
    <w:rsid w:val="34214531"/>
    <w:rsid w:val="342E25E6"/>
    <w:rsid w:val="3464995C"/>
    <w:rsid w:val="3475889E"/>
    <w:rsid w:val="34ACFA27"/>
    <w:rsid w:val="34E423C3"/>
    <w:rsid w:val="350E5FB9"/>
    <w:rsid w:val="355852F3"/>
    <w:rsid w:val="357956AF"/>
    <w:rsid w:val="358D85E3"/>
    <w:rsid w:val="359E8869"/>
    <w:rsid w:val="35B5EF6C"/>
    <w:rsid w:val="35E753CD"/>
    <w:rsid w:val="35FE10DF"/>
    <w:rsid w:val="35FEC9B9"/>
    <w:rsid w:val="364151EC"/>
    <w:rsid w:val="367FF424"/>
    <w:rsid w:val="36EF29EA"/>
    <w:rsid w:val="3703563D"/>
    <w:rsid w:val="371F9307"/>
    <w:rsid w:val="3721306D"/>
    <w:rsid w:val="37295644"/>
    <w:rsid w:val="373A3807"/>
    <w:rsid w:val="3758127A"/>
    <w:rsid w:val="3765C6A8"/>
    <w:rsid w:val="37784731"/>
    <w:rsid w:val="37AC05D1"/>
    <w:rsid w:val="37F5281D"/>
    <w:rsid w:val="385DB0EC"/>
    <w:rsid w:val="38699986"/>
    <w:rsid w:val="3871870C"/>
    <w:rsid w:val="387F901D"/>
    <w:rsid w:val="388F143C"/>
    <w:rsid w:val="38C526A5"/>
    <w:rsid w:val="38F5CC6C"/>
    <w:rsid w:val="39207A4E"/>
    <w:rsid w:val="395232DB"/>
    <w:rsid w:val="39C6C2FF"/>
    <w:rsid w:val="39D77F9A"/>
    <w:rsid w:val="39E1D0DC"/>
    <w:rsid w:val="39F9814D"/>
    <w:rsid w:val="39FB8E3A"/>
    <w:rsid w:val="3A6C40B7"/>
    <w:rsid w:val="3A6DDE36"/>
    <w:rsid w:val="3A7A0FCC"/>
    <w:rsid w:val="3ACA8BBA"/>
    <w:rsid w:val="3AE8FAAB"/>
    <w:rsid w:val="3AF89A7A"/>
    <w:rsid w:val="3B08A3CA"/>
    <w:rsid w:val="3B3A02C1"/>
    <w:rsid w:val="3B4C7F3B"/>
    <w:rsid w:val="3BC4CC7E"/>
    <w:rsid w:val="3BD6C760"/>
    <w:rsid w:val="3BF4A190"/>
    <w:rsid w:val="3C081118"/>
    <w:rsid w:val="3C4BB854"/>
    <w:rsid w:val="3C7D728C"/>
    <w:rsid w:val="3C953F6A"/>
    <w:rsid w:val="3CCB2C79"/>
    <w:rsid w:val="3CF038EA"/>
    <w:rsid w:val="3CF7A52B"/>
    <w:rsid w:val="3D0764C7"/>
    <w:rsid w:val="3D13D9A5"/>
    <w:rsid w:val="3D58D094"/>
    <w:rsid w:val="3D5E6B6E"/>
    <w:rsid w:val="3D80095A"/>
    <w:rsid w:val="3D863F2D"/>
    <w:rsid w:val="3D90A4C2"/>
    <w:rsid w:val="3DC0F0B0"/>
    <w:rsid w:val="3DC68A6E"/>
    <w:rsid w:val="3DDDB86C"/>
    <w:rsid w:val="3E482E15"/>
    <w:rsid w:val="3E611B78"/>
    <w:rsid w:val="3E74A859"/>
    <w:rsid w:val="3E8B0609"/>
    <w:rsid w:val="3E92C4DB"/>
    <w:rsid w:val="3F0E6822"/>
    <w:rsid w:val="3F4549EC"/>
    <w:rsid w:val="3F98E7F0"/>
    <w:rsid w:val="3FA62042"/>
    <w:rsid w:val="3FA7D51D"/>
    <w:rsid w:val="3FB5134E"/>
    <w:rsid w:val="3FECB733"/>
    <w:rsid w:val="3FFB9F66"/>
    <w:rsid w:val="401078BA"/>
    <w:rsid w:val="402C0169"/>
    <w:rsid w:val="402E953C"/>
    <w:rsid w:val="404BBA4F"/>
    <w:rsid w:val="404C7D01"/>
    <w:rsid w:val="408C6AD9"/>
    <w:rsid w:val="40D838B8"/>
    <w:rsid w:val="40FD25C2"/>
    <w:rsid w:val="4100F1BA"/>
    <w:rsid w:val="4142B566"/>
    <w:rsid w:val="4144CBB1"/>
    <w:rsid w:val="419A244B"/>
    <w:rsid w:val="41B930E7"/>
    <w:rsid w:val="42C19226"/>
    <w:rsid w:val="42C4872D"/>
    <w:rsid w:val="42DFC540"/>
    <w:rsid w:val="42E10E78"/>
    <w:rsid w:val="42E32D17"/>
    <w:rsid w:val="4309AB44"/>
    <w:rsid w:val="43282F3A"/>
    <w:rsid w:val="43571011"/>
    <w:rsid w:val="4363A22B"/>
    <w:rsid w:val="43AF7C77"/>
    <w:rsid w:val="441322FD"/>
    <w:rsid w:val="44323605"/>
    <w:rsid w:val="44789FC8"/>
    <w:rsid w:val="44B11052"/>
    <w:rsid w:val="44EB681F"/>
    <w:rsid w:val="45023513"/>
    <w:rsid w:val="4536B6BC"/>
    <w:rsid w:val="456CA5BD"/>
    <w:rsid w:val="456CE015"/>
    <w:rsid w:val="45C060C3"/>
    <w:rsid w:val="45CE0666"/>
    <w:rsid w:val="45F088ED"/>
    <w:rsid w:val="46147029"/>
    <w:rsid w:val="46220D1D"/>
    <w:rsid w:val="46307AF2"/>
    <w:rsid w:val="4651B88D"/>
    <w:rsid w:val="4660A171"/>
    <w:rsid w:val="467379AD"/>
    <w:rsid w:val="467A53C7"/>
    <w:rsid w:val="46951EB0"/>
    <w:rsid w:val="469E0574"/>
    <w:rsid w:val="46A2B651"/>
    <w:rsid w:val="46EC2557"/>
    <w:rsid w:val="47280EFD"/>
    <w:rsid w:val="47588103"/>
    <w:rsid w:val="4769D6C7"/>
    <w:rsid w:val="476A1F67"/>
    <w:rsid w:val="477BDAEC"/>
    <w:rsid w:val="47B0408A"/>
    <w:rsid w:val="47EC590B"/>
    <w:rsid w:val="48255E55"/>
    <w:rsid w:val="485CB946"/>
    <w:rsid w:val="48845F75"/>
    <w:rsid w:val="48EE81A6"/>
    <w:rsid w:val="495E4D81"/>
    <w:rsid w:val="4987138B"/>
    <w:rsid w:val="49CA3858"/>
    <w:rsid w:val="49CCBF72"/>
    <w:rsid w:val="4A1D42BF"/>
    <w:rsid w:val="4A826481"/>
    <w:rsid w:val="4B21B4FC"/>
    <w:rsid w:val="4B22E3EC"/>
    <w:rsid w:val="4B3D8632"/>
    <w:rsid w:val="4B5CFF17"/>
    <w:rsid w:val="4B5E03A2"/>
    <w:rsid w:val="4B60132D"/>
    <w:rsid w:val="4B810131"/>
    <w:rsid w:val="4BDBE741"/>
    <w:rsid w:val="4BFBAAFA"/>
    <w:rsid w:val="4C3A535B"/>
    <w:rsid w:val="4C7C7FE5"/>
    <w:rsid w:val="4C86100E"/>
    <w:rsid w:val="4CE8754B"/>
    <w:rsid w:val="4D336C1F"/>
    <w:rsid w:val="4D4DAA60"/>
    <w:rsid w:val="4D7E52FE"/>
    <w:rsid w:val="4DC64C65"/>
    <w:rsid w:val="4DCF509B"/>
    <w:rsid w:val="4DD21352"/>
    <w:rsid w:val="4DD6725E"/>
    <w:rsid w:val="4E19CD9C"/>
    <w:rsid w:val="4E6AA7D0"/>
    <w:rsid w:val="4E949FD9"/>
    <w:rsid w:val="4F1A235F"/>
    <w:rsid w:val="4FA16A66"/>
    <w:rsid w:val="4FF89AD3"/>
    <w:rsid w:val="50547254"/>
    <w:rsid w:val="506B0CE1"/>
    <w:rsid w:val="508848EF"/>
    <w:rsid w:val="509AF523"/>
    <w:rsid w:val="50AFC39C"/>
    <w:rsid w:val="50D651E9"/>
    <w:rsid w:val="50E500F0"/>
    <w:rsid w:val="512FC3E9"/>
    <w:rsid w:val="51406D83"/>
    <w:rsid w:val="514DF6D9"/>
    <w:rsid w:val="515B8E1E"/>
    <w:rsid w:val="5161B6CE"/>
    <w:rsid w:val="516404DB"/>
    <w:rsid w:val="51827419"/>
    <w:rsid w:val="519AF6E3"/>
    <w:rsid w:val="51B102AA"/>
    <w:rsid w:val="51D1D8AD"/>
    <w:rsid w:val="51D8FDCD"/>
    <w:rsid w:val="522E8D1C"/>
    <w:rsid w:val="52320068"/>
    <w:rsid w:val="52323AC0"/>
    <w:rsid w:val="5250E005"/>
    <w:rsid w:val="525821B9"/>
    <w:rsid w:val="52D82E21"/>
    <w:rsid w:val="52FD872F"/>
    <w:rsid w:val="533B6F7A"/>
    <w:rsid w:val="533E7E8C"/>
    <w:rsid w:val="537399FA"/>
    <w:rsid w:val="539C1EFD"/>
    <w:rsid w:val="53C1BFB5"/>
    <w:rsid w:val="53E7645E"/>
    <w:rsid w:val="541DC4C5"/>
    <w:rsid w:val="5431344D"/>
    <w:rsid w:val="54537026"/>
    <w:rsid w:val="54BA1921"/>
    <w:rsid w:val="5509796F"/>
    <w:rsid w:val="555D9016"/>
    <w:rsid w:val="55B2C27B"/>
    <w:rsid w:val="55E86A23"/>
    <w:rsid w:val="55EF4087"/>
    <w:rsid w:val="55FE1BDB"/>
    <w:rsid w:val="5610AC84"/>
    <w:rsid w:val="566648C0"/>
    <w:rsid w:val="56697F88"/>
    <w:rsid w:val="566FCF84"/>
    <w:rsid w:val="568AA4D0"/>
    <w:rsid w:val="568C4236"/>
    <w:rsid w:val="569501FC"/>
    <w:rsid w:val="569FB1BE"/>
    <w:rsid w:val="56D6DC55"/>
    <w:rsid w:val="56EEDF53"/>
    <w:rsid w:val="56F96077"/>
    <w:rsid w:val="5759223C"/>
    <w:rsid w:val="5799EC3C"/>
    <w:rsid w:val="57DCE3B7"/>
    <w:rsid w:val="57FE8027"/>
    <w:rsid w:val="580185D1"/>
    <w:rsid w:val="58021921"/>
    <w:rsid w:val="5824A48A"/>
    <w:rsid w:val="5845F8E4"/>
    <w:rsid w:val="58495134"/>
    <w:rsid w:val="586D2536"/>
    <w:rsid w:val="588E7CDA"/>
    <w:rsid w:val="58B1BD04"/>
    <w:rsid w:val="58ECC179"/>
    <w:rsid w:val="58F8BC1E"/>
    <w:rsid w:val="58F9053A"/>
    <w:rsid w:val="590B6875"/>
    <w:rsid w:val="5920E2CE"/>
    <w:rsid w:val="5935BC9D"/>
    <w:rsid w:val="595105F2"/>
    <w:rsid w:val="59632342"/>
    <w:rsid w:val="59D75280"/>
    <w:rsid w:val="59EAD0C2"/>
    <w:rsid w:val="59FD4240"/>
    <w:rsid w:val="5A090B7F"/>
    <w:rsid w:val="5A169E2C"/>
    <w:rsid w:val="5A2C2D68"/>
    <w:rsid w:val="5A338B97"/>
    <w:rsid w:val="5AB45C4A"/>
    <w:rsid w:val="5ABF1BDE"/>
    <w:rsid w:val="5AD18CFE"/>
    <w:rsid w:val="5B152BCE"/>
    <w:rsid w:val="5B4CB074"/>
    <w:rsid w:val="5B743039"/>
    <w:rsid w:val="5B8E5CB8"/>
    <w:rsid w:val="5BD89FAC"/>
    <w:rsid w:val="5BE46108"/>
    <w:rsid w:val="5BEF3B84"/>
    <w:rsid w:val="5BF541D0"/>
    <w:rsid w:val="5C5A5426"/>
    <w:rsid w:val="5C6234F7"/>
    <w:rsid w:val="5C6DE540"/>
    <w:rsid w:val="5CB054DA"/>
    <w:rsid w:val="5CC540DE"/>
    <w:rsid w:val="5CD0D885"/>
    <w:rsid w:val="5D657697"/>
    <w:rsid w:val="5D6B2C59"/>
    <w:rsid w:val="5D7E7AF1"/>
    <w:rsid w:val="5D803169"/>
    <w:rsid w:val="5DC08BB5"/>
    <w:rsid w:val="5DFBAB54"/>
    <w:rsid w:val="5E26DE11"/>
    <w:rsid w:val="5E6CA8E6"/>
    <w:rsid w:val="5E8C18C8"/>
    <w:rsid w:val="5E9CA658"/>
    <w:rsid w:val="5EAE8249"/>
    <w:rsid w:val="5EB2B129"/>
    <w:rsid w:val="5EDB697C"/>
    <w:rsid w:val="5F06FCBA"/>
    <w:rsid w:val="5F977BB5"/>
    <w:rsid w:val="5FC2AE72"/>
    <w:rsid w:val="5FEC0F8D"/>
    <w:rsid w:val="5FECB25B"/>
    <w:rsid w:val="60005C89"/>
    <w:rsid w:val="6006F93A"/>
    <w:rsid w:val="600C9473"/>
    <w:rsid w:val="6022A765"/>
    <w:rsid w:val="603876B9"/>
    <w:rsid w:val="60B7D22B"/>
    <w:rsid w:val="60BFB09B"/>
    <w:rsid w:val="60D1B843"/>
    <w:rsid w:val="611BEE04"/>
    <w:rsid w:val="615E7ED3"/>
    <w:rsid w:val="6187DFEE"/>
    <w:rsid w:val="61B90833"/>
    <w:rsid w:val="61CDA7A1"/>
    <w:rsid w:val="61D70B1D"/>
    <w:rsid w:val="61EEAB87"/>
    <w:rsid w:val="62504C10"/>
    <w:rsid w:val="625655B2"/>
    <w:rsid w:val="62852994"/>
    <w:rsid w:val="62C0D237"/>
    <w:rsid w:val="62C7A62F"/>
    <w:rsid w:val="62E4109C"/>
    <w:rsid w:val="63130B18"/>
    <w:rsid w:val="633E99FC"/>
    <w:rsid w:val="635ECBC6"/>
    <w:rsid w:val="6396331C"/>
    <w:rsid w:val="63AC1C48"/>
    <w:rsid w:val="63C9C988"/>
    <w:rsid w:val="63EDC2B0"/>
    <w:rsid w:val="63F7515D"/>
    <w:rsid w:val="644CC46D"/>
    <w:rsid w:val="64A636DD"/>
    <w:rsid w:val="64BB1BDD"/>
    <w:rsid w:val="64E1760C"/>
    <w:rsid w:val="650BE7DC"/>
    <w:rsid w:val="650EABDF"/>
    <w:rsid w:val="6521F2AD"/>
    <w:rsid w:val="655E64EC"/>
    <w:rsid w:val="6580302C"/>
    <w:rsid w:val="65DDAD2C"/>
    <w:rsid w:val="65E894CE"/>
    <w:rsid w:val="66308519"/>
    <w:rsid w:val="663D423A"/>
    <w:rsid w:val="667D466D"/>
    <w:rsid w:val="66A9AB3B"/>
    <w:rsid w:val="66AA5386"/>
    <w:rsid w:val="66F1D10F"/>
    <w:rsid w:val="671C008D"/>
    <w:rsid w:val="67525B49"/>
    <w:rsid w:val="67A4E79E"/>
    <w:rsid w:val="67E54B06"/>
    <w:rsid w:val="681916CE"/>
    <w:rsid w:val="682849B7"/>
    <w:rsid w:val="68345E4B"/>
    <w:rsid w:val="68457B9C"/>
    <w:rsid w:val="684E49BE"/>
    <w:rsid w:val="68B7D0EE"/>
    <w:rsid w:val="68EF62CD"/>
    <w:rsid w:val="6915CE6F"/>
    <w:rsid w:val="69B1125E"/>
    <w:rsid w:val="69B4E72F"/>
    <w:rsid w:val="6A109DA7"/>
    <w:rsid w:val="6A9461F0"/>
    <w:rsid w:val="6AB303F2"/>
    <w:rsid w:val="6ABC356E"/>
    <w:rsid w:val="6AE44732"/>
    <w:rsid w:val="6B1CEBC8"/>
    <w:rsid w:val="6B4D9466"/>
    <w:rsid w:val="6B5FEA79"/>
    <w:rsid w:val="6BA93287"/>
    <w:rsid w:val="6BC29DFA"/>
    <w:rsid w:val="6BCC040C"/>
    <w:rsid w:val="6BDB73BB"/>
    <w:rsid w:val="6BDFA5FD"/>
    <w:rsid w:val="6BF46C28"/>
    <w:rsid w:val="6BF8C4FE"/>
    <w:rsid w:val="6C73B1B0"/>
    <w:rsid w:val="6C9DFF58"/>
    <w:rsid w:val="6CAF8D24"/>
    <w:rsid w:val="6CB8BC29"/>
    <w:rsid w:val="6D092C73"/>
    <w:rsid w:val="6D11D95F"/>
    <w:rsid w:val="6D3ECB4E"/>
    <w:rsid w:val="6D4EA819"/>
    <w:rsid w:val="6D5E1BBF"/>
    <w:rsid w:val="6D7940B7"/>
    <w:rsid w:val="6DAE47C9"/>
    <w:rsid w:val="6DE99D5B"/>
    <w:rsid w:val="6E3CED2C"/>
    <w:rsid w:val="6E50C34C"/>
    <w:rsid w:val="6E8BD2FB"/>
    <w:rsid w:val="6EB4EA99"/>
    <w:rsid w:val="6ECCEC00"/>
    <w:rsid w:val="6EEFFF40"/>
    <w:rsid w:val="6EF129F5"/>
    <w:rsid w:val="6F151118"/>
    <w:rsid w:val="6F2DA9B4"/>
    <w:rsid w:val="6F4327BE"/>
    <w:rsid w:val="6F631524"/>
    <w:rsid w:val="6F6EE081"/>
    <w:rsid w:val="6FD5B863"/>
    <w:rsid w:val="70268A97"/>
    <w:rsid w:val="7027A35C"/>
    <w:rsid w:val="702E01A8"/>
    <w:rsid w:val="707930AF"/>
    <w:rsid w:val="70C0DE6B"/>
    <w:rsid w:val="70E2F50B"/>
    <w:rsid w:val="7139A0F4"/>
    <w:rsid w:val="715D4224"/>
    <w:rsid w:val="719304EE"/>
    <w:rsid w:val="71BCD5EA"/>
    <w:rsid w:val="71C26594"/>
    <w:rsid w:val="723DAAD5"/>
    <w:rsid w:val="725EB334"/>
    <w:rsid w:val="72950B8B"/>
    <w:rsid w:val="72964513"/>
    <w:rsid w:val="72C4FC04"/>
    <w:rsid w:val="72E754BA"/>
    <w:rsid w:val="73397415"/>
    <w:rsid w:val="733DA7AE"/>
    <w:rsid w:val="7341C19F"/>
    <w:rsid w:val="7358A64B"/>
    <w:rsid w:val="7381B152"/>
    <w:rsid w:val="739C4616"/>
    <w:rsid w:val="73B18AB1"/>
    <w:rsid w:val="73C234DB"/>
    <w:rsid w:val="73D327B1"/>
    <w:rsid w:val="73D97B36"/>
    <w:rsid w:val="742540C2"/>
    <w:rsid w:val="744FA463"/>
    <w:rsid w:val="74A7C287"/>
    <w:rsid w:val="74AE3B9D"/>
    <w:rsid w:val="74C3CE0E"/>
    <w:rsid w:val="74E21068"/>
    <w:rsid w:val="74F476AC"/>
    <w:rsid w:val="74FB15FB"/>
    <w:rsid w:val="75108872"/>
    <w:rsid w:val="7519DFF1"/>
    <w:rsid w:val="75445D99"/>
    <w:rsid w:val="755014CD"/>
    <w:rsid w:val="75FC9CC6"/>
    <w:rsid w:val="760A4AA6"/>
    <w:rsid w:val="762601D5"/>
    <w:rsid w:val="765BD531"/>
    <w:rsid w:val="765C2013"/>
    <w:rsid w:val="76B13216"/>
    <w:rsid w:val="76D3E6D8"/>
    <w:rsid w:val="77111BF8"/>
    <w:rsid w:val="77301FEF"/>
    <w:rsid w:val="77510382"/>
    <w:rsid w:val="77687CAE"/>
    <w:rsid w:val="77E17353"/>
    <w:rsid w:val="77E7C38A"/>
    <w:rsid w:val="77F897C9"/>
    <w:rsid w:val="781118D1"/>
    <w:rsid w:val="78297FBE"/>
    <w:rsid w:val="782F3A98"/>
    <w:rsid w:val="78582C5B"/>
    <w:rsid w:val="78739E13"/>
    <w:rsid w:val="787BFE5B"/>
    <w:rsid w:val="788BD5B2"/>
    <w:rsid w:val="78A0CE66"/>
    <w:rsid w:val="78FB7F6F"/>
    <w:rsid w:val="7936841B"/>
    <w:rsid w:val="79606994"/>
    <w:rsid w:val="7984EE76"/>
    <w:rsid w:val="79ACE932"/>
    <w:rsid w:val="79CBECD0"/>
    <w:rsid w:val="79F3FCBC"/>
    <w:rsid w:val="7A0F6E74"/>
    <w:rsid w:val="7A3C9EC7"/>
    <w:rsid w:val="7A441080"/>
    <w:rsid w:val="7A48BCBA"/>
    <w:rsid w:val="7A7F4B60"/>
    <w:rsid w:val="7AAB09EB"/>
    <w:rsid w:val="7AC42B93"/>
    <w:rsid w:val="7B6CA945"/>
    <w:rsid w:val="7B8AE61B"/>
    <w:rsid w:val="7BAB3ED5"/>
    <w:rsid w:val="7BFEB9CA"/>
    <w:rsid w:val="7C0DAA28"/>
    <w:rsid w:val="7C24F258"/>
    <w:rsid w:val="7C343B2C"/>
    <w:rsid w:val="7C3F0108"/>
    <w:rsid w:val="7C50A8D9"/>
    <w:rsid w:val="7C6E24DD"/>
    <w:rsid w:val="7C6F7C87"/>
    <w:rsid w:val="7CA5F4AB"/>
    <w:rsid w:val="7D2FB0C4"/>
    <w:rsid w:val="7D5B3548"/>
    <w:rsid w:val="7D743F89"/>
    <w:rsid w:val="7DF3BDF5"/>
    <w:rsid w:val="7E07AEAB"/>
    <w:rsid w:val="7E09AB1F"/>
    <w:rsid w:val="7E09F53E"/>
    <w:rsid w:val="7E181F4E"/>
    <w:rsid w:val="7E3331D6"/>
    <w:rsid w:val="7E43BCEE"/>
    <w:rsid w:val="7E66E716"/>
    <w:rsid w:val="7E706DA9"/>
    <w:rsid w:val="7E729DDA"/>
    <w:rsid w:val="7EA34678"/>
    <w:rsid w:val="7F2F2378"/>
    <w:rsid w:val="7F35580F"/>
    <w:rsid w:val="7F6BDBEE"/>
    <w:rsid w:val="7FA60308"/>
    <w:rsid w:val="7FCD109A"/>
    <w:rsid w:val="7FDF8D4F"/>
    <w:rsid w:val="7FF42FFA"/>
    <w:rsid w:val="7FFD3A8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FFAD41"/>
  <w15:chartTrackingRefBased/>
  <w15:docId w15:val="{55811CDE-C365-4930-AC23-F11FFE0973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6396331C"/>
    <w:rPr>
      <w:lang w:val="en-GB"/>
    </w:rPr>
  </w:style>
  <w:style w:type="paragraph" w:styleId="Heading1">
    <w:name w:val="heading 1"/>
    <w:basedOn w:val="Normal"/>
    <w:next w:val="Normal"/>
    <w:link w:val="Heading1Char"/>
    <w:uiPriority w:val="9"/>
    <w:qFormat/>
    <w:rsid w:val="6396331C"/>
    <w:pPr>
      <w:keepNext/>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6396331C"/>
    <w:pPr>
      <w:keepNext/>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6396331C"/>
    <w:pPr>
      <w:keepNext/>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6396331C"/>
    <w:pPr>
      <w:keepNext/>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6396331C"/>
    <w:pPr>
      <w:keepNext/>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6396331C"/>
    <w:pPr>
      <w:keepNext/>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6396331C"/>
    <w:pPr>
      <w:keepNext/>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6396331C"/>
    <w:pPr>
      <w:keepNext/>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6396331C"/>
    <w:pPr>
      <w:keepNext/>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6396331C"/>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6396331C"/>
    <w:rPr>
      <w:rFonts w:eastAsiaTheme="minorEastAsia"/>
      <w:color w:val="5A5A5A"/>
    </w:rPr>
  </w:style>
  <w:style w:type="paragraph" w:styleId="Quote">
    <w:name w:val="Quote"/>
    <w:basedOn w:val="Normal"/>
    <w:next w:val="Normal"/>
    <w:link w:val="QuoteChar"/>
    <w:uiPriority w:val="29"/>
    <w:qFormat/>
    <w:rsid w:val="6396331C"/>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6396331C"/>
    <w:pPr>
      <w:spacing w:before="360" w:after="360"/>
      <w:ind w:left="864" w:right="864"/>
      <w:jc w:val="center"/>
    </w:pPr>
    <w:rPr>
      <w:i/>
      <w:iCs/>
      <w:color w:val="4472C4" w:themeColor="accent1"/>
    </w:rPr>
  </w:style>
  <w:style w:type="paragraph" w:styleId="ListParagraph">
    <w:name w:val="List Paragraph"/>
    <w:basedOn w:val="Normal"/>
    <w:uiPriority w:val="34"/>
    <w:qFormat/>
    <w:rsid w:val="6396331C"/>
    <w:pPr>
      <w:ind w:left="720"/>
      <w:contextualSpacing/>
    </w:pPr>
  </w:style>
  <w:style w:type="character" w:customStyle="1" w:styleId="Heading1Char">
    <w:name w:val="Heading 1 Char"/>
    <w:basedOn w:val="DefaultParagraphFont"/>
    <w:link w:val="Heading1"/>
    <w:uiPriority w:val="9"/>
    <w:rsid w:val="6396331C"/>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6396331C"/>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6396331C"/>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6396331C"/>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6396331C"/>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6396331C"/>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6396331C"/>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6396331C"/>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6396331C"/>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6396331C"/>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6396331C"/>
    <w:rPr>
      <w:rFonts w:eastAsiaTheme="minorEastAsia"/>
      <w:color w:val="5A5A5A"/>
      <w:lang w:val="en-GB"/>
    </w:rPr>
  </w:style>
  <w:style w:type="character" w:customStyle="1" w:styleId="QuoteChar">
    <w:name w:val="Quote Char"/>
    <w:basedOn w:val="DefaultParagraphFont"/>
    <w:link w:val="Quote"/>
    <w:uiPriority w:val="29"/>
    <w:rsid w:val="6396331C"/>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6396331C"/>
    <w:rPr>
      <w:i/>
      <w:iCs/>
      <w:noProof w:val="0"/>
      <w:color w:val="4472C4" w:themeColor="accent1"/>
      <w:lang w:val="en-GB"/>
    </w:rPr>
  </w:style>
  <w:style w:type="paragraph" w:styleId="TOC1">
    <w:name w:val="toc 1"/>
    <w:basedOn w:val="Normal"/>
    <w:next w:val="Normal"/>
    <w:uiPriority w:val="39"/>
    <w:unhideWhenUsed/>
    <w:rsid w:val="6396331C"/>
    <w:pPr>
      <w:spacing w:after="100"/>
    </w:pPr>
  </w:style>
  <w:style w:type="paragraph" w:styleId="TOC2">
    <w:name w:val="toc 2"/>
    <w:basedOn w:val="Normal"/>
    <w:next w:val="Normal"/>
    <w:uiPriority w:val="39"/>
    <w:unhideWhenUsed/>
    <w:rsid w:val="6396331C"/>
    <w:pPr>
      <w:spacing w:after="100"/>
      <w:ind w:left="220"/>
    </w:pPr>
  </w:style>
  <w:style w:type="paragraph" w:styleId="TOC3">
    <w:name w:val="toc 3"/>
    <w:basedOn w:val="Normal"/>
    <w:next w:val="Normal"/>
    <w:uiPriority w:val="39"/>
    <w:unhideWhenUsed/>
    <w:rsid w:val="6396331C"/>
    <w:pPr>
      <w:spacing w:after="100"/>
      <w:ind w:left="440"/>
    </w:pPr>
  </w:style>
  <w:style w:type="paragraph" w:styleId="TOC4">
    <w:name w:val="toc 4"/>
    <w:basedOn w:val="Normal"/>
    <w:next w:val="Normal"/>
    <w:uiPriority w:val="39"/>
    <w:unhideWhenUsed/>
    <w:rsid w:val="6396331C"/>
    <w:pPr>
      <w:spacing w:after="100"/>
      <w:ind w:left="660"/>
    </w:pPr>
  </w:style>
  <w:style w:type="paragraph" w:styleId="TOC5">
    <w:name w:val="toc 5"/>
    <w:basedOn w:val="Normal"/>
    <w:next w:val="Normal"/>
    <w:uiPriority w:val="39"/>
    <w:unhideWhenUsed/>
    <w:rsid w:val="6396331C"/>
    <w:pPr>
      <w:spacing w:after="100"/>
      <w:ind w:left="880"/>
    </w:pPr>
  </w:style>
  <w:style w:type="paragraph" w:styleId="TOC6">
    <w:name w:val="toc 6"/>
    <w:basedOn w:val="Normal"/>
    <w:next w:val="Normal"/>
    <w:uiPriority w:val="39"/>
    <w:unhideWhenUsed/>
    <w:rsid w:val="6396331C"/>
    <w:pPr>
      <w:spacing w:after="100"/>
      <w:ind w:left="1100"/>
    </w:pPr>
  </w:style>
  <w:style w:type="paragraph" w:styleId="TOC7">
    <w:name w:val="toc 7"/>
    <w:basedOn w:val="Normal"/>
    <w:next w:val="Normal"/>
    <w:uiPriority w:val="39"/>
    <w:unhideWhenUsed/>
    <w:rsid w:val="6396331C"/>
    <w:pPr>
      <w:spacing w:after="100"/>
      <w:ind w:left="1320"/>
    </w:pPr>
  </w:style>
  <w:style w:type="paragraph" w:styleId="TOC8">
    <w:name w:val="toc 8"/>
    <w:basedOn w:val="Normal"/>
    <w:next w:val="Normal"/>
    <w:uiPriority w:val="39"/>
    <w:unhideWhenUsed/>
    <w:rsid w:val="6396331C"/>
    <w:pPr>
      <w:spacing w:after="100"/>
      <w:ind w:left="1540"/>
    </w:pPr>
  </w:style>
  <w:style w:type="paragraph" w:styleId="TOC9">
    <w:name w:val="toc 9"/>
    <w:basedOn w:val="Normal"/>
    <w:next w:val="Normal"/>
    <w:uiPriority w:val="39"/>
    <w:unhideWhenUsed/>
    <w:rsid w:val="6396331C"/>
    <w:pPr>
      <w:spacing w:after="100"/>
      <w:ind w:left="1760"/>
    </w:pPr>
  </w:style>
  <w:style w:type="paragraph" w:styleId="EndnoteText">
    <w:name w:val="endnote text"/>
    <w:basedOn w:val="Normal"/>
    <w:link w:val="EndnoteTextChar"/>
    <w:uiPriority w:val="99"/>
    <w:semiHidden/>
    <w:unhideWhenUsed/>
    <w:rsid w:val="6396331C"/>
    <w:pPr>
      <w:spacing w:after="0"/>
    </w:pPr>
    <w:rPr>
      <w:sz w:val="20"/>
      <w:szCs w:val="20"/>
    </w:rPr>
  </w:style>
  <w:style w:type="character" w:customStyle="1" w:styleId="EndnoteTextChar">
    <w:name w:val="Endnote Text Char"/>
    <w:basedOn w:val="DefaultParagraphFont"/>
    <w:link w:val="EndnoteText"/>
    <w:uiPriority w:val="99"/>
    <w:semiHidden/>
    <w:rsid w:val="6396331C"/>
    <w:rPr>
      <w:noProof w:val="0"/>
      <w:sz w:val="20"/>
      <w:szCs w:val="20"/>
      <w:lang w:val="en-GB"/>
    </w:rPr>
  </w:style>
  <w:style w:type="paragraph" w:styleId="Footer">
    <w:name w:val="footer"/>
    <w:basedOn w:val="Normal"/>
    <w:link w:val="FooterChar"/>
    <w:uiPriority w:val="99"/>
    <w:unhideWhenUsed/>
    <w:rsid w:val="6396331C"/>
    <w:pPr>
      <w:tabs>
        <w:tab w:val="center" w:pos="4680"/>
        <w:tab w:val="right" w:pos="9360"/>
      </w:tabs>
      <w:spacing w:after="0"/>
    </w:pPr>
  </w:style>
  <w:style w:type="character" w:customStyle="1" w:styleId="FooterChar">
    <w:name w:val="Footer Char"/>
    <w:basedOn w:val="DefaultParagraphFont"/>
    <w:link w:val="Footer"/>
    <w:uiPriority w:val="99"/>
    <w:rsid w:val="6396331C"/>
    <w:rPr>
      <w:noProof w:val="0"/>
      <w:lang w:val="en-GB"/>
    </w:rPr>
  </w:style>
  <w:style w:type="paragraph" w:styleId="FootnoteText">
    <w:name w:val="footnote text"/>
    <w:basedOn w:val="Normal"/>
    <w:link w:val="FootnoteTextChar"/>
    <w:uiPriority w:val="99"/>
    <w:semiHidden/>
    <w:unhideWhenUsed/>
    <w:rsid w:val="6396331C"/>
    <w:pPr>
      <w:spacing w:after="0"/>
    </w:pPr>
    <w:rPr>
      <w:sz w:val="20"/>
      <w:szCs w:val="20"/>
    </w:rPr>
  </w:style>
  <w:style w:type="character" w:customStyle="1" w:styleId="FootnoteTextChar">
    <w:name w:val="Footnote Text Char"/>
    <w:basedOn w:val="DefaultParagraphFont"/>
    <w:link w:val="FootnoteText"/>
    <w:uiPriority w:val="99"/>
    <w:semiHidden/>
    <w:rsid w:val="6396331C"/>
    <w:rPr>
      <w:noProof w:val="0"/>
      <w:sz w:val="20"/>
      <w:szCs w:val="20"/>
      <w:lang w:val="en-GB"/>
    </w:rPr>
  </w:style>
  <w:style w:type="paragraph" w:styleId="Header">
    <w:name w:val="header"/>
    <w:basedOn w:val="Normal"/>
    <w:link w:val="HeaderChar"/>
    <w:uiPriority w:val="99"/>
    <w:unhideWhenUsed/>
    <w:rsid w:val="6396331C"/>
    <w:pPr>
      <w:tabs>
        <w:tab w:val="center" w:pos="4680"/>
        <w:tab w:val="right" w:pos="9360"/>
      </w:tabs>
      <w:spacing w:after="0"/>
    </w:pPr>
  </w:style>
  <w:style w:type="character" w:customStyle="1" w:styleId="HeaderChar">
    <w:name w:val="Header Char"/>
    <w:basedOn w:val="DefaultParagraphFont"/>
    <w:link w:val="Header"/>
    <w:uiPriority w:val="99"/>
    <w:rsid w:val="6396331C"/>
    <w:rPr>
      <w:noProof w:val="0"/>
      <w:lang w:val="en-GB"/>
    </w:rPr>
  </w:style>
  <w:style w:type="character" w:styleId="FootnoteReference">
    <w:name w:val="footnote reference"/>
    <w:basedOn w:val="DefaultParagraphFont"/>
    <w:uiPriority w:val="99"/>
    <w:semiHidden/>
    <w:unhideWhenUsed/>
    <w:rPr>
      <w:vertAlign w:val="superscript"/>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563082">
      <w:bodyDiv w:val="1"/>
      <w:marLeft w:val="0"/>
      <w:marRight w:val="0"/>
      <w:marTop w:val="0"/>
      <w:marBottom w:val="0"/>
      <w:divBdr>
        <w:top w:val="none" w:sz="0" w:space="0" w:color="auto"/>
        <w:left w:val="none" w:sz="0" w:space="0" w:color="auto"/>
        <w:bottom w:val="none" w:sz="0" w:space="0" w:color="auto"/>
        <w:right w:val="none" w:sz="0" w:space="0" w:color="auto"/>
      </w:divBdr>
    </w:div>
    <w:div w:id="87312756">
      <w:bodyDiv w:val="1"/>
      <w:marLeft w:val="0"/>
      <w:marRight w:val="0"/>
      <w:marTop w:val="0"/>
      <w:marBottom w:val="0"/>
      <w:divBdr>
        <w:top w:val="none" w:sz="0" w:space="0" w:color="auto"/>
        <w:left w:val="none" w:sz="0" w:space="0" w:color="auto"/>
        <w:bottom w:val="none" w:sz="0" w:space="0" w:color="auto"/>
        <w:right w:val="none" w:sz="0" w:space="0" w:color="auto"/>
      </w:divBdr>
    </w:div>
    <w:div w:id="175925963">
      <w:bodyDiv w:val="1"/>
      <w:marLeft w:val="0"/>
      <w:marRight w:val="0"/>
      <w:marTop w:val="0"/>
      <w:marBottom w:val="0"/>
      <w:divBdr>
        <w:top w:val="none" w:sz="0" w:space="0" w:color="auto"/>
        <w:left w:val="none" w:sz="0" w:space="0" w:color="auto"/>
        <w:bottom w:val="none" w:sz="0" w:space="0" w:color="auto"/>
        <w:right w:val="none" w:sz="0" w:space="0" w:color="auto"/>
      </w:divBdr>
    </w:div>
    <w:div w:id="834035881">
      <w:bodyDiv w:val="1"/>
      <w:marLeft w:val="0"/>
      <w:marRight w:val="0"/>
      <w:marTop w:val="0"/>
      <w:marBottom w:val="0"/>
      <w:divBdr>
        <w:top w:val="none" w:sz="0" w:space="0" w:color="auto"/>
        <w:left w:val="none" w:sz="0" w:space="0" w:color="auto"/>
        <w:bottom w:val="none" w:sz="0" w:space="0" w:color="auto"/>
        <w:right w:val="none" w:sz="0" w:space="0" w:color="auto"/>
      </w:divBdr>
    </w:div>
    <w:div w:id="17032392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nao.org.uk/report/improving-children-and-young-peoples-mental-health-services/" TargetMode="Externa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F19123A-7D07-4C13-B932-EF5B612CEC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2485</Words>
  <Characters>14165</Characters>
  <Application>Microsoft Office Word</Application>
  <DocSecurity>0</DocSecurity>
  <Lines>118</Lines>
  <Paragraphs>33</Paragraphs>
  <ScaleCrop>false</ScaleCrop>
  <Company/>
  <LinksUpToDate>false</LinksUpToDate>
  <CharactersWithSpaces>16617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Reynolds</dc:creator>
  <cp:keywords/>
  <dc:description/>
  <cp:lastModifiedBy>ben reynolds</cp:lastModifiedBy>
  <cp:revision>2</cp:revision>
  <dcterms:created xsi:type="dcterms:W3CDTF">2022-03-08T20:19:00Z</dcterms:created>
  <dcterms:modified xsi:type="dcterms:W3CDTF">2022-03-08T20:19:00Z</dcterms:modified>
</cp:coreProperties>
</file>