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E3D01F" w14:textId="7C99E082" w:rsidR="00B40819" w:rsidRDefault="00FC2AC3" w:rsidP="00FC2AC3">
      <w:pPr>
        <w:pStyle w:val="Heading1"/>
      </w:pPr>
      <w:r>
        <w:t>Examples of successful discussion papers (marked low Distinction or high Merit)</w:t>
      </w:r>
    </w:p>
    <w:p w14:paraId="3646CFF7" w14:textId="55A51092" w:rsidR="00FC2AC3" w:rsidRDefault="00FC2AC3" w:rsidP="00FC2AC3"/>
    <w:p w14:paraId="4F3AAAE0" w14:textId="318D65CD" w:rsidR="00FC2AC3" w:rsidRDefault="00FC2AC3" w:rsidP="00FC2AC3">
      <w:pPr>
        <w:pStyle w:val="Heading2"/>
      </w:pPr>
      <w:r>
        <w:t>Example 1</w:t>
      </w:r>
    </w:p>
    <w:p w14:paraId="0257DAB7" w14:textId="34BCEF72" w:rsidR="00FC2AC3" w:rsidRDefault="00FC2AC3" w:rsidP="00FC2AC3">
      <w:pPr>
        <w:pStyle w:val="Heading3"/>
        <w:spacing w:before="0"/>
      </w:pPr>
      <w:r>
        <w:t>Was Thoth the only deity associated with the scribes' personal piety?</w:t>
      </w:r>
    </w:p>
    <w:p w14:paraId="7A6914FE" w14:textId="77777777" w:rsidR="00FC2AC3" w:rsidRDefault="00FC2AC3" w:rsidP="00FC2AC3">
      <w:pPr>
        <w:pStyle w:val="NormalWeb"/>
        <w:spacing w:before="0" w:beforeAutospacing="0"/>
      </w:pPr>
      <w:r>
        <w:t>Scribes in Ancient Egypt were a fundamental part in the superstructure of the state, fulfilling a variety of roles pertaining – but not dependent on – writing and literacy. Their roles were plentiful and varied; from simple copyists without a required reading ability</w:t>
      </w:r>
      <w:hyperlink r:id="rId5" w:anchor="_ftn1" w:history="1">
        <w:r>
          <w:rPr>
            <w:rStyle w:val="Hyperlink"/>
            <w:color w:val="013E5B"/>
            <w:u w:val="none"/>
          </w:rPr>
          <w:t>[1]</w:t>
        </w:r>
      </w:hyperlink>
      <w:r>
        <w:t>, to high officials in the pharaoh’s court who compaginated their scribal duties with other administrative or religious positions – it is even possible that literacy was required for the highest official ranks</w:t>
      </w:r>
      <w:hyperlink r:id="rId6" w:anchor="_ftn2" w:history="1">
        <w:r>
          <w:rPr>
            <w:rStyle w:val="Hyperlink"/>
            <w:color w:val="013E5B"/>
            <w:u w:val="none"/>
          </w:rPr>
          <w:t>[2]</w:t>
        </w:r>
      </w:hyperlink>
      <w:r>
        <w:t xml:space="preserve">. That is why scribal duty received high praise within the Egyptian society, as the ‘Satire of the Trades’, attributed to </w:t>
      </w:r>
      <w:proofErr w:type="spellStart"/>
      <w:r>
        <w:t>Khety</w:t>
      </w:r>
      <w:proofErr w:type="spellEnd"/>
      <w:r>
        <w:t>, attests; in it, the author encourages his son to pursue a career in writing, for it was the best to be had</w:t>
      </w:r>
      <w:hyperlink r:id="rId7" w:anchor="_ftn3" w:history="1">
        <w:r>
          <w:rPr>
            <w:rStyle w:val="Hyperlink"/>
            <w:color w:val="013E5B"/>
            <w:u w:val="none"/>
          </w:rPr>
          <w:t>[3]</w:t>
        </w:r>
      </w:hyperlink>
      <w:r>
        <w:t>.</w:t>
      </w:r>
    </w:p>
    <w:p w14:paraId="2C57505B" w14:textId="77777777" w:rsidR="00FC2AC3" w:rsidRDefault="00FC2AC3" w:rsidP="00FC2AC3">
      <w:pPr>
        <w:pStyle w:val="NormalWeb"/>
        <w:spacing w:before="0" w:beforeAutospacing="0"/>
      </w:pPr>
      <w:r>
        <w:t>However, the translation of the Egyptian word </w:t>
      </w:r>
      <w:proofErr w:type="spellStart"/>
      <w:r>
        <w:rPr>
          <w:rStyle w:val="Emphasis"/>
        </w:rPr>
        <w:t>zXA.w</w:t>
      </w:r>
      <w:proofErr w:type="spellEnd"/>
      <w:r>
        <w:t xml:space="preserve"> into “scribe” is not without its nuances, for the ancient Egyptian conception of a scribe was wider than our modern idea of it. Following the etymology of the Egyptian term, </w:t>
      </w:r>
      <w:proofErr w:type="spellStart"/>
      <w:r>
        <w:t>zXA.w</w:t>
      </w:r>
      <w:proofErr w:type="spellEnd"/>
      <w:r>
        <w:t xml:space="preserve"> derives from the verb </w:t>
      </w:r>
      <w:proofErr w:type="spellStart"/>
      <w:r>
        <w:t>zXA</w:t>
      </w:r>
      <w:proofErr w:type="spellEnd"/>
      <w:r>
        <w:t>, which meant both “to write” and “to draw”</w:t>
      </w:r>
      <w:hyperlink r:id="rId8" w:anchor="_ftn4" w:history="1">
        <w:r>
          <w:rPr>
            <w:rStyle w:val="Hyperlink"/>
            <w:color w:val="013E5B"/>
            <w:u w:val="none"/>
          </w:rPr>
          <w:t>[4]</w:t>
        </w:r>
      </w:hyperlink>
      <w:r>
        <w:t xml:space="preserve"> and, as such, the term “scribe” should encompass, in Ancient Egyptian contexts, artistic attributions as well. This blurred line between writing and artistry is exemplified in hieroglyphic texts and drawings, which in most cases seem to be one and the same given the pictorial nature of the signs and the essentialist approach that presides all over Egyptian art. This broader scope of scribal connotations elevates some concerns, such as the conception of art and of artists in Ancient Egypt, the internal divisions that must have taken place between the different types of scribes, or – what I aspire to focus in on this assignment –, if there was a common personal piety uniting all of these different capabilities united by the verb </w:t>
      </w:r>
      <w:proofErr w:type="spellStart"/>
      <w:r>
        <w:t>zXA</w:t>
      </w:r>
      <w:proofErr w:type="spellEnd"/>
      <w:r>
        <w:t xml:space="preserve"> and, if that was the case, if there was a unique deity concentrating this religiosity or if there were a multiplicity of divinities scribes could look up to.</w:t>
      </w:r>
    </w:p>
    <w:p w14:paraId="2CB2851B" w14:textId="77777777" w:rsidR="00FC2AC3" w:rsidRDefault="00FC2AC3" w:rsidP="00FC2AC3">
      <w:pPr>
        <w:pStyle w:val="NormalWeb"/>
        <w:spacing w:before="0" w:beforeAutospacing="0"/>
      </w:pPr>
      <w:r>
        <w:t>Personal piety “should be understood as the part of [the closeness to the divine] that focuses on the religious experience of the individual”</w:t>
      </w:r>
      <w:hyperlink r:id="rId9" w:anchor="_ftn5" w:history="1">
        <w:r>
          <w:rPr>
            <w:rStyle w:val="Hyperlink"/>
            <w:color w:val="013E5B"/>
            <w:u w:val="none"/>
          </w:rPr>
          <w:t>[5]</w:t>
        </w:r>
      </w:hyperlink>
      <w:r>
        <w:t> and, in the scribe’s case, their relationship with the divine is almost always seen as being expressed through and to Thoth, as he was known as the scribal god and performed duties akin to the scribes in the mythical sphere, such as recording the ceremony of the weighing of the heart</w:t>
      </w:r>
      <w:hyperlink r:id="rId10" w:anchor="_ftn6" w:history="1">
        <w:r>
          <w:rPr>
            <w:rStyle w:val="Hyperlink"/>
            <w:color w:val="013E5B"/>
            <w:u w:val="none"/>
          </w:rPr>
          <w:t>[6]</w:t>
        </w:r>
      </w:hyperlink>
      <w:r>
        <w:t>, inscribing the King’s name on the </w:t>
      </w:r>
      <w:proofErr w:type="spellStart"/>
      <w:r>
        <w:rPr>
          <w:rStyle w:val="Emphasis"/>
        </w:rPr>
        <w:t>ished</w:t>
      </w:r>
      <w:proofErr w:type="spellEnd"/>
      <w:r>
        <w:t> tree, enforcing the laws of </w:t>
      </w:r>
      <w:proofErr w:type="spellStart"/>
      <w:r>
        <w:rPr>
          <w:rStyle w:val="Emphasis"/>
        </w:rPr>
        <w:t>maat</w:t>
      </w:r>
      <w:proofErr w:type="spellEnd"/>
      <w:r>
        <w:fldChar w:fldCharType="begin"/>
      </w:r>
      <w:r>
        <w:instrText xml:space="preserve"> HYPERLINK "https://moodle.uwtsd.ac.uk/mod/forum/discuss.php?d=83970" \l "_ftn7" \o "" </w:instrText>
      </w:r>
      <w:r>
        <w:fldChar w:fldCharType="separate"/>
      </w:r>
      <w:r>
        <w:rPr>
          <w:rStyle w:val="Strong"/>
          <w:i/>
          <w:iCs/>
          <w:color w:val="013E5B"/>
        </w:rPr>
        <w:t>[7]</w:t>
      </w:r>
      <w:r>
        <w:fldChar w:fldCharType="end"/>
      </w:r>
      <w:r>
        <w:t> or acting as a ‘chief judge’, being identified with the vizier’s duties</w:t>
      </w:r>
      <w:hyperlink r:id="rId11" w:anchor="_ftn8" w:history="1">
        <w:r>
          <w:rPr>
            <w:rStyle w:val="Hyperlink"/>
            <w:color w:val="013E5B"/>
            <w:u w:val="none"/>
          </w:rPr>
          <w:t>[8]</w:t>
        </w:r>
      </w:hyperlink>
      <w:r>
        <w:t>. There should not be stated, however, that Thoth had only these attributions, as he is one of the oldest deities in Egyptian </w:t>
      </w:r>
      <w:hyperlink r:id="rId12" w:tooltip="Religion" w:history="1">
        <w:r>
          <w:rPr>
            <w:rStyle w:val="Hyperlink"/>
            <w:color w:val="013E5B"/>
            <w:u w:val="none"/>
          </w:rPr>
          <w:t>religion</w:t>
        </w:r>
      </w:hyperlink>
      <w:hyperlink r:id="rId13" w:anchor="_ftn9" w:history="1">
        <w:r>
          <w:rPr>
            <w:rStyle w:val="Hyperlink"/>
            <w:color w:val="013E5B"/>
            <w:u w:val="none"/>
          </w:rPr>
          <w:t>[9]</w:t>
        </w:r>
      </w:hyperlink>
      <w:r>
        <w:t> and contains a multitude of forms and designations, being one of the least static deities in the Egyptian cosmos, going from having lunar properties since its very first depictions to being assimilated into the syncretic form of Hermes Trismegistus during the Greco-Roman period</w:t>
      </w:r>
      <w:hyperlink r:id="rId14" w:anchor="_ftn10" w:history="1">
        <w:r>
          <w:rPr>
            <w:rStyle w:val="Hyperlink"/>
            <w:color w:val="013E5B"/>
            <w:u w:val="none"/>
          </w:rPr>
          <w:t>[10]</w:t>
        </w:r>
      </w:hyperlink>
      <w:r>
        <w:t>. As such, it is possible to theorize about the confluence of the scribal attributions of Thoth with his original moon associations, both in time and space. Was his association with writers always a part of his characterization – even if it were in a minor way that needn’t leave traces in a physical form –, or, on the contrary, was it a later evolution in the conception of the god? If the latter was the case, was there an original scribal deity whom the earliest scribes felt connected with that continued to be venerated by them in later times?</w:t>
      </w:r>
    </w:p>
    <w:p w14:paraId="57A932AD" w14:textId="77777777" w:rsidR="00FC2AC3" w:rsidRDefault="00FC2AC3" w:rsidP="00FC2AC3">
      <w:pPr>
        <w:pStyle w:val="NormalWeb"/>
        <w:spacing w:before="0" w:beforeAutospacing="0"/>
      </w:pPr>
      <w:r>
        <w:lastRenderedPageBreak/>
        <w:t>The special relationship between Thoth and scribes has been attested all throughout primal sources, from works of literature like the </w:t>
      </w:r>
      <w:r>
        <w:rPr>
          <w:rStyle w:val="Emphasis"/>
        </w:rPr>
        <w:t>Book of Thoth</w:t>
      </w:r>
      <w:r>
        <w:t> – a dialogue between a wisdom-seeking disciple and a master characterized as Thoth that, according to Quack, could have been the ritual for the initiation to the scribal profession</w:t>
      </w:r>
      <w:hyperlink r:id="rId15" w:anchor="_ftn11" w:history="1">
        <w:r>
          <w:rPr>
            <w:rStyle w:val="Hyperlink"/>
            <w:color w:val="013E5B"/>
            <w:u w:val="none"/>
          </w:rPr>
          <w:t>[11]</w:t>
        </w:r>
      </w:hyperlink>
      <w:r>
        <w:t> – to archaeological findings such as an 18</w:t>
      </w:r>
      <w:r>
        <w:rPr>
          <w:sz w:val="17"/>
          <w:szCs w:val="17"/>
          <w:vertAlign w:val="superscript"/>
        </w:rPr>
        <w:t>th</w:t>
      </w:r>
      <w:r>
        <w:t> Dynasty beautiful votive statuette of Thoth looking over a scribe (Louvre E 1154). There are not, however, many instances of archaeological evidence that attest to scribes interacting in a special way with other divinities, which does not mean that there were not any of them; only that either they have not survived the passage of time, or that they were not expressed in a form or material that could have withstood thousands of centuries. That is why we should look at mythos to try to look for other deities that might have been important to the scribal tradition. For instance, there are two divinities associated with Thoth, each one related to his two main attributes: Khonsu and Seshat.</w:t>
      </w:r>
    </w:p>
    <w:p w14:paraId="1109F6D6" w14:textId="77777777" w:rsidR="00FC2AC3" w:rsidRDefault="00FC2AC3" w:rsidP="00FC2AC3">
      <w:pPr>
        <w:pStyle w:val="NormalWeb"/>
        <w:spacing w:before="0" w:beforeAutospacing="0"/>
      </w:pPr>
      <w:r>
        <w:t>Khonsu was mostly associated with the lunar capacities of Thoth, as he was also a lunar deity. Represented as a falcon-headed man, an anthropomorphic young male wrapped in bandages, or as a human child (as part of the Theban triad</w:t>
      </w:r>
      <w:hyperlink r:id="rId16" w:anchor="_ftn12" w:history="1">
        <w:r>
          <w:rPr>
            <w:rStyle w:val="Hyperlink"/>
            <w:color w:val="013E5B"/>
            <w:u w:val="none"/>
          </w:rPr>
          <w:t>[12]</w:t>
        </w:r>
      </w:hyperlink>
      <w:r>
        <w:t>), he was typically depicted with a headdress in the shape of a full moon above a crescent one. He also appeared as quite a violent deity, especially in early dates as well as in myths and rituals, but later on he became associated with fate, judgement and punishment. Moreover, a baboon form of Khonsu was considered the Keeper of the Book of the End of Year</w:t>
      </w:r>
      <w:hyperlink r:id="rId17" w:anchor="_ftn13" w:history="1">
        <w:r>
          <w:rPr>
            <w:rStyle w:val="Hyperlink"/>
            <w:color w:val="013E5B"/>
            <w:u w:val="none"/>
          </w:rPr>
          <w:t>[13]</w:t>
        </w:r>
      </w:hyperlink>
      <w:r>
        <w:t>. Now, it is quite possible that this later association with more lawful activities, and especially his baboon form, appeared through his association with Thoth, but nevertheless, it does not diminish the fact that scribes, especially those in charge of documents similar to the Book of the End of the year, could have practice especial devotion to this later form.</w:t>
      </w:r>
    </w:p>
    <w:p w14:paraId="464F1701" w14:textId="77777777" w:rsidR="00FC2AC3" w:rsidRDefault="00FC2AC3" w:rsidP="00FC2AC3">
      <w:pPr>
        <w:pStyle w:val="NormalWeb"/>
        <w:spacing w:before="0" w:beforeAutospacing="0"/>
      </w:pPr>
      <w:r>
        <w:t>On the other hand, Seshat was heavily associated with Thoth’s scribal duties, as she was said to be the goddess of writing and measurement, as well as ruler of the books, sharing Thoth’s occupation of divine scribe</w:t>
      </w:r>
      <w:hyperlink r:id="rId18" w:anchor="_ftn14" w:history="1">
        <w:r>
          <w:rPr>
            <w:rStyle w:val="Hyperlink"/>
            <w:color w:val="013E5B"/>
            <w:u w:val="none"/>
          </w:rPr>
          <w:t>[14]</w:t>
        </w:r>
      </w:hyperlink>
      <w:r>
        <w:t> and having a direct relationship to the lunar god, be it as her sister, her spouse or even as her daughter. She was always depicted in human form, with a leopard skin over her dress and a complex headdress that depicted an emblem that resembled a rosette or a seven-pointed star, often below a crescent moon-like symbol akin to downturned horns. She is known as early as the 2</w:t>
      </w:r>
      <w:r>
        <w:rPr>
          <w:sz w:val="17"/>
          <w:szCs w:val="17"/>
          <w:vertAlign w:val="superscript"/>
        </w:rPr>
        <w:t>nd</w:t>
      </w:r>
      <w:r>
        <w:t> dynasty assisting the king in the cord ceremony, and as such she is frequently depicted as patron of builders. She also aided Thoth with the writing of the king’s name in the </w:t>
      </w:r>
      <w:proofErr w:type="spellStart"/>
      <w:r>
        <w:rPr>
          <w:rStyle w:val="Emphasis"/>
        </w:rPr>
        <w:t>ished</w:t>
      </w:r>
      <w:proofErr w:type="spellEnd"/>
      <w:r>
        <w:t xml:space="preserve"> tree, and presided over record keeping, accounting, census taking, as well as </w:t>
      </w:r>
      <w:proofErr w:type="spellStart"/>
      <w:r>
        <w:t>over all</w:t>
      </w:r>
      <w:proofErr w:type="spellEnd"/>
      <w:r>
        <w:t xml:space="preserve"> libraries and collections of texts. Although she did not have any formal cult, she appeared in the foundation ceremony of every building due to her attributions of goddess of measurements and foundations, and as such she was part of all religious buildings as well</w:t>
      </w:r>
      <w:hyperlink r:id="rId19" w:anchor="_ftn15" w:history="1">
        <w:r>
          <w:rPr>
            <w:rStyle w:val="Hyperlink"/>
            <w:color w:val="013E5B"/>
            <w:u w:val="none"/>
          </w:rPr>
          <w:t>[15]</w:t>
        </w:r>
      </w:hyperlink>
      <w:r>
        <w:t>.</w:t>
      </w:r>
    </w:p>
    <w:p w14:paraId="63326218" w14:textId="77777777" w:rsidR="00FC2AC3" w:rsidRDefault="00FC2AC3" w:rsidP="00FC2AC3">
      <w:pPr>
        <w:pStyle w:val="NormalWeb"/>
        <w:spacing w:before="0" w:beforeAutospacing="0"/>
      </w:pPr>
      <w:r>
        <w:t>Given her early depictions and identifications with the written world, I believe it is very likely she was the object of some form of personal piety from scribes. It is also interesting to note that, given her attributions with measurements, she was said to preside over canons</w:t>
      </w:r>
      <w:hyperlink r:id="rId20" w:anchor="_ftn16" w:history="1">
        <w:r>
          <w:rPr>
            <w:rStyle w:val="Hyperlink"/>
            <w:color w:val="013E5B"/>
            <w:u w:val="none"/>
          </w:rPr>
          <w:t>[16]</w:t>
        </w:r>
      </w:hyperlink>
      <w:r>
        <w:t>, not only in architecture but also in art, functioning as a possible goddess for scribes with more ‘artistic’ duties to devote themselves to. Thoth and Seshat were commonly depicted as a duo of deities, and as such, it is not unthinkable of to suspect both divinities received cult with a gender-specific split. There are some, albeit few, instances of women scribes in Egyptian sources</w:t>
      </w:r>
      <w:hyperlink r:id="rId21" w:anchor="_ftn17" w:history="1">
        <w:r>
          <w:rPr>
            <w:rStyle w:val="Hyperlink"/>
            <w:color w:val="013E5B"/>
            <w:u w:val="none"/>
          </w:rPr>
          <w:t>[17]</w:t>
        </w:r>
      </w:hyperlink>
      <w:r>
        <w:t xml:space="preserve">, so we do know this was a possibility. We must mention, however, the implicit gender bias in patriarchal societies, and so it is possible that either piety demonstrations to Seshat were disregarded as unimportant or made in worse materials than those to Thoth. In </w:t>
      </w:r>
      <w:proofErr w:type="spellStart"/>
      <w:r>
        <w:t>Luiselli’s</w:t>
      </w:r>
      <w:proofErr w:type="spellEnd"/>
      <w:r>
        <w:t xml:space="preserve"> words: “Given the fact that the majority of written sources was </w:t>
      </w:r>
      <w:r>
        <w:lastRenderedPageBreak/>
        <w:t>authored by men […] the picture we get of Egyptian personal piety and religious practice is influenced by gender issues of both ancient and modern times</w:t>
      </w:r>
      <w:hyperlink r:id="rId22" w:anchor="_ftn18" w:history="1">
        <w:r>
          <w:rPr>
            <w:rStyle w:val="Hyperlink"/>
            <w:color w:val="013E5B"/>
            <w:u w:val="none"/>
          </w:rPr>
          <w:t>[18]</w:t>
        </w:r>
      </w:hyperlink>
      <w:r>
        <w:t>”.</w:t>
      </w:r>
    </w:p>
    <w:p w14:paraId="1EEA1FAB" w14:textId="77777777" w:rsidR="00FC2AC3" w:rsidRDefault="00FC2AC3" w:rsidP="00FC2AC3">
      <w:pPr>
        <w:pStyle w:val="NormalWeb"/>
        <w:spacing w:before="0" w:beforeAutospacing="0"/>
      </w:pPr>
      <w:r>
        <w:t xml:space="preserve">One last deity I would like to discuss is none other than Isis, as, in a document referred to as the ‘Isis Aretalogy of </w:t>
      </w:r>
      <w:proofErr w:type="spellStart"/>
      <w:r>
        <w:t>Kyme</w:t>
      </w:r>
      <w:proofErr w:type="spellEnd"/>
      <w:r>
        <w:t>-Memphis’, dating to the first or second century BC, she proclaims that “with Hermes [Thoth] I invented letters, both sacred and uncommon”, partnering her with Thoth in the creation of writing. One of the later attributes of Isis was as the goddess of wisdom, and as such, she became intertwined with Thoth in Greco-Roman times</w:t>
      </w:r>
      <w:hyperlink r:id="rId23" w:anchor="_ftn19" w:history="1">
        <w:r>
          <w:rPr>
            <w:rStyle w:val="Hyperlink"/>
            <w:color w:val="013E5B"/>
            <w:u w:val="none"/>
          </w:rPr>
          <w:t>[19]</w:t>
        </w:r>
      </w:hyperlink>
      <w:r>
        <w:t>. Even if the dates are from a time when permeability within the Egyptian </w:t>
      </w:r>
      <w:hyperlink r:id="rId24" w:tooltip="Religion" w:history="1">
        <w:r>
          <w:rPr>
            <w:rStyle w:val="Hyperlink"/>
            <w:color w:val="013E5B"/>
            <w:u w:val="none"/>
          </w:rPr>
          <w:t>religion</w:t>
        </w:r>
      </w:hyperlink>
      <w:r>
        <w:t> was at its highest and scribes and scholars of that time were probably engaged in the worship of not only Thoth but other similar deities from nearby cultures, I still believe it is worth noting it.</w:t>
      </w:r>
    </w:p>
    <w:p w14:paraId="16CD9AA5" w14:textId="77777777" w:rsidR="00FC2AC3" w:rsidRDefault="00FC2AC3" w:rsidP="00FC2AC3">
      <w:pPr>
        <w:pStyle w:val="NormalWeb"/>
        <w:spacing w:before="0" w:beforeAutospacing="0"/>
      </w:pPr>
      <w:r>
        <w:t xml:space="preserve">In conclusion, there is a strong possibility of scribes’ personal piety being directed towards deities other than Thoth – although he undoubtably was the most important divinity in that sphere –, and the further research of depictions of these other gods in Egyptian sources as well as a closer look at known scribes – starting from the ones depicted in </w:t>
      </w:r>
      <w:proofErr w:type="spellStart"/>
      <w:r>
        <w:t>Allon</w:t>
      </w:r>
      <w:proofErr w:type="spellEnd"/>
      <w:r>
        <w:t xml:space="preserve"> &amp; </w:t>
      </w:r>
      <w:proofErr w:type="spellStart"/>
      <w:r>
        <w:t>Navralitova’s</w:t>
      </w:r>
      <w:proofErr w:type="spellEnd"/>
      <w:r>
        <w:t xml:space="preserve"> – will help depict a better understanding of the personal beliefs and religiosity of the backbone of Ancient Egypt’s state machine.</w:t>
      </w:r>
    </w:p>
    <w:p w14:paraId="68B27645" w14:textId="77777777" w:rsidR="00FC2AC3" w:rsidRDefault="00FC2AC3" w:rsidP="00FC2AC3">
      <w:pPr>
        <w:pStyle w:val="NormalWeb"/>
        <w:spacing w:before="0" w:beforeAutospacing="0"/>
      </w:pPr>
      <w:r>
        <w:t> </w:t>
      </w:r>
    </w:p>
    <w:p w14:paraId="2170161A" w14:textId="77777777" w:rsidR="00FC2AC3" w:rsidRDefault="00FC2AC3" w:rsidP="00FC2AC3">
      <w:pPr>
        <w:pStyle w:val="NormalWeb"/>
        <w:spacing w:before="0" w:beforeAutospacing="0"/>
      </w:pPr>
      <w:r>
        <w:rPr>
          <w:rStyle w:val="Strong"/>
        </w:rPr>
        <w:t>Bibliography</w:t>
      </w:r>
    </w:p>
    <w:p w14:paraId="640C9F89" w14:textId="77777777" w:rsidR="00FC2AC3" w:rsidRDefault="00FC2AC3" w:rsidP="00FC2AC3">
      <w:pPr>
        <w:pStyle w:val="NormalWeb"/>
        <w:spacing w:before="0" w:beforeAutospacing="0"/>
      </w:pPr>
      <w:proofErr w:type="spellStart"/>
      <w:r>
        <w:t>Allon</w:t>
      </w:r>
      <w:proofErr w:type="spellEnd"/>
      <w:r>
        <w:t xml:space="preserve">, Niv; </w:t>
      </w:r>
      <w:proofErr w:type="spellStart"/>
      <w:r>
        <w:t>Navralitova</w:t>
      </w:r>
      <w:proofErr w:type="spellEnd"/>
      <w:r>
        <w:t>, Hana (2017) </w:t>
      </w:r>
      <w:r>
        <w:rPr>
          <w:rStyle w:val="Emphasis"/>
        </w:rPr>
        <w:t>Ancient Egyptian Scribes: A Cultural Exploration</w:t>
      </w:r>
      <w:r>
        <w:t>. London: Bloomsbury.</w:t>
      </w:r>
    </w:p>
    <w:p w14:paraId="53513E88" w14:textId="77777777" w:rsidR="00FC2AC3" w:rsidRDefault="00FC2AC3" w:rsidP="00FC2AC3">
      <w:pPr>
        <w:pStyle w:val="NormalWeb"/>
        <w:spacing w:before="0" w:beforeAutospacing="0"/>
      </w:pPr>
      <w:r>
        <w:t xml:space="preserve">Cannon-Brown, </w:t>
      </w:r>
      <w:proofErr w:type="spellStart"/>
      <w:r>
        <w:t>Giulie</w:t>
      </w:r>
      <w:proofErr w:type="spellEnd"/>
      <w:r>
        <w:t xml:space="preserve"> (2009) </w:t>
      </w:r>
      <w:r>
        <w:rPr>
          <w:rStyle w:val="Emphasis"/>
        </w:rPr>
        <w:t>Seshat</w:t>
      </w:r>
      <w:r>
        <w:t>. In Kete Molefi Asante, Ama Mazama (eds.) </w:t>
      </w:r>
      <w:proofErr w:type="spellStart"/>
      <w:r>
        <w:rPr>
          <w:rStyle w:val="Emphasis"/>
        </w:rPr>
        <w:t>Enciclopedia</w:t>
      </w:r>
      <w:proofErr w:type="spellEnd"/>
      <w:r>
        <w:rPr>
          <w:rStyle w:val="Emphasis"/>
        </w:rPr>
        <w:t xml:space="preserve"> of African </w:t>
      </w:r>
      <w:hyperlink r:id="rId25" w:tooltip="Religion" w:history="1">
        <w:r>
          <w:rPr>
            <w:rStyle w:val="Hyperlink"/>
            <w:i/>
            <w:iCs/>
            <w:color w:val="013E5B"/>
            <w:u w:val="none"/>
          </w:rPr>
          <w:t>Religion</w:t>
        </w:r>
      </w:hyperlink>
      <w:r>
        <w:t>. Thousand Oaks: SAGE.</w:t>
      </w:r>
    </w:p>
    <w:p w14:paraId="6ED8D998" w14:textId="77777777" w:rsidR="00FC2AC3" w:rsidRDefault="00FC2AC3" w:rsidP="00FC2AC3">
      <w:pPr>
        <w:pStyle w:val="NormalWeb"/>
        <w:spacing w:before="0" w:beforeAutospacing="0"/>
      </w:pPr>
      <w:proofErr w:type="spellStart"/>
      <w:r>
        <w:t>Chapinal</w:t>
      </w:r>
      <w:proofErr w:type="spellEnd"/>
      <w:r>
        <w:t xml:space="preserve"> Heras, Diego (2011) </w:t>
      </w:r>
      <w:r>
        <w:rPr>
          <w:rStyle w:val="Emphasis"/>
        </w:rPr>
        <w:t xml:space="preserve">El </w:t>
      </w:r>
      <w:proofErr w:type="spellStart"/>
      <w:r>
        <w:rPr>
          <w:rStyle w:val="Emphasis"/>
        </w:rPr>
        <w:t>Escriba</w:t>
      </w:r>
      <w:proofErr w:type="spellEnd"/>
      <w:r>
        <w:rPr>
          <w:rStyle w:val="Emphasis"/>
        </w:rPr>
        <w:t xml:space="preserve"> </w:t>
      </w:r>
      <w:proofErr w:type="spellStart"/>
      <w:r>
        <w:rPr>
          <w:rStyle w:val="Emphasis"/>
        </w:rPr>
        <w:t>en</w:t>
      </w:r>
      <w:proofErr w:type="spellEnd"/>
      <w:r>
        <w:rPr>
          <w:rStyle w:val="Emphasis"/>
        </w:rPr>
        <w:t xml:space="preserve"> </w:t>
      </w:r>
      <w:proofErr w:type="spellStart"/>
      <w:r>
        <w:rPr>
          <w:rStyle w:val="Emphasis"/>
        </w:rPr>
        <w:t>Egipto</w:t>
      </w:r>
      <w:proofErr w:type="spellEnd"/>
      <w:r>
        <w:t> [The Scribe in Egypt]. In </w:t>
      </w:r>
      <w:r>
        <w:rPr>
          <w:rStyle w:val="Emphasis"/>
        </w:rPr>
        <w:t>Ab Initio</w:t>
      </w:r>
      <w:r>
        <w:t>, num. 3, pp. 3-22.</w:t>
      </w:r>
    </w:p>
    <w:p w14:paraId="10209588" w14:textId="77777777" w:rsidR="00FC2AC3" w:rsidRDefault="00FC2AC3" w:rsidP="00FC2AC3">
      <w:pPr>
        <w:pStyle w:val="NormalWeb"/>
        <w:spacing w:before="0" w:beforeAutospacing="0"/>
      </w:pPr>
      <w:r>
        <w:t>Curnow, Trevor (2010) </w:t>
      </w:r>
      <w:r>
        <w:rPr>
          <w:rStyle w:val="Emphasis"/>
        </w:rPr>
        <w:t>Wisdom in the Ancient World</w:t>
      </w:r>
      <w:r>
        <w:t>. London: Bloomsbury.</w:t>
      </w:r>
    </w:p>
    <w:p w14:paraId="4D1538E1" w14:textId="77777777" w:rsidR="00FC2AC3" w:rsidRDefault="00FC2AC3" w:rsidP="00FC2AC3">
      <w:pPr>
        <w:pStyle w:val="NormalWeb"/>
        <w:spacing w:before="0" w:beforeAutospacing="0"/>
      </w:pPr>
      <w:r>
        <w:t xml:space="preserve">Ismail, </w:t>
      </w:r>
      <w:proofErr w:type="spellStart"/>
      <w:r>
        <w:t>Sbaza</w:t>
      </w:r>
      <w:proofErr w:type="spellEnd"/>
      <w:r>
        <w:t xml:space="preserve"> </w:t>
      </w:r>
      <w:proofErr w:type="spellStart"/>
      <w:r>
        <w:t>Gamail</w:t>
      </w:r>
      <w:proofErr w:type="spellEnd"/>
      <w:r>
        <w:t xml:space="preserve"> (2009) </w:t>
      </w:r>
      <w:r>
        <w:rPr>
          <w:rStyle w:val="Emphasis"/>
        </w:rPr>
        <w:t>Thoth</w:t>
      </w:r>
      <w:r>
        <w:t>. In Kete Molefi Asante, Ama Mazama (eds.) </w:t>
      </w:r>
      <w:proofErr w:type="spellStart"/>
      <w:r>
        <w:rPr>
          <w:rStyle w:val="Emphasis"/>
        </w:rPr>
        <w:t>Enciclopedia</w:t>
      </w:r>
      <w:proofErr w:type="spellEnd"/>
      <w:r>
        <w:rPr>
          <w:rStyle w:val="Emphasis"/>
        </w:rPr>
        <w:t xml:space="preserve"> of African </w:t>
      </w:r>
      <w:hyperlink r:id="rId26" w:tooltip="Religion" w:history="1">
        <w:r>
          <w:rPr>
            <w:rStyle w:val="Hyperlink"/>
            <w:i/>
            <w:iCs/>
            <w:color w:val="013E5B"/>
            <w:u w:val="none"/>
          </w:rPr>
          <w:t>Religion</w:t>
        </w:r>
      </w:hyperlink>
      <w:r>
        <w:t>. Thousand Oaks: SAGE.</w:t>
      </w:r>
    </w:p>
    <w:p w14:paraId="4233EB9A" w14:textId="77777777" w:rsidR="00FC2AC3" w:rsidRDefault="00FC2AC3" w:rsidP="00FC2AC3">
      <w:pPr>
        <w:pStyle w:val="NormalWeb"/>
        <w:spacing w:before="0" w:beforeAutospacing="0"/>
      </w:pPr>
      <w:proofErr w:type="spellStart"/>
      <w:r>
        <w:t>Luiselli</w:t>
      </w:r>
      <w:proofErr w:type="spellEnd"/>
      <w:r>
        <w:t xml:space="preserve">, Maria </w:t>
      </w:r>
      <w:proofErr w:type="spellStart"/>
      <w:r>
        <w:t>Michelli</w:t>
      </w:r>
      <w:proofErr w:type="spellEnd"/>
      <w:r>
        <w:t xml:space="preserve"> (2014) </w:t>
      </w:r>
      <w:r>
        <w:rPr>
          <w:rStyle w:val="Emphasis"/>
        </w:rPr>
        <w:t>Personal Piety in Ancient Egypt</w:t>
      </w:r>
      <w:r>
        <w:t>. In </w:t>
      </w:r>
      <w:hyperlink r:id="rId27" w:tooltip="Religion" w:history="1">
        <w:r>
          <w:rPr>
            <w:rStyle w:val="Hyperlink"/>
            <w:i/>
            <w:iCs/>
            <w:color w:val="013E5B"/>
            <w:u w:val="none"/>
          </w:rPr>
          <w:t>Religion</w:t>
        </w:r>
      </w:hyperlink>
      <w:r>
        <w:rPr>
          <w:rStyle w:val="Emphasis"/>
        </w:rPr>
        <w:t> Compass</w:t>
      </w:r>
      <w:r>
        <w:t>, 8/4, pp. 105-116.</w:t>
      </w:r>
    </w:p>
    <w:p w14:paraId="5CE240F2" w14:textId="77777777" w:rsidR="00FC2AC3" w:rsidRDefault="00FC2AC3" w:rsidP="00FC2AC3">
      <w:pPr>
        <w:pStyle w:val="NormalWeb"/>
        <w:spacing w:before="0" w:beforeAutospacing="0"/>
      </w:pPr>
      <w:r>
        <w:t>Pinch, Geraldine (2003) </w:t>
      </w:r>
      <w:r>
        <w:rPr>
          <w:rStyle w:val="Emphasis"/>
        </w:rPr>
        <w:t>Handbook of Egyptian Mythology</w:t>
      </w:r>
      <w:r>
        <w:t>. Santa Barbara, CA: ABC-Clio.</w:t>
      </w:r>
    </w:p>
    <w:p w14:paraId="6EE2611F" w14:textId="77777777" w:rsidR="00FC2AC3" w:rsidRDefault="00FC2AC3" w:rsidP="00FC2AC3">
      <w:pPr>
        <w:pStyle w:val="NormalWeb"/>
        <w:spacing w:before="0" w:beforeAutospacing="0"/>
      </w:pPr>
      <w:r>
        <w:t>Stadler, Martin A (2012) </w:t>
      </w:r>
      <w:r>
        <w:rPr>
          <w:rStyle w:val="Emphasis"/>
        </w:rPr>
        <w:t>Thoth</w:t>
      </w:r>
      <w:r>
        <w:t xml:space="preserve">. In </w:t>
      </w:r>
      <w:proofErr w:type="spellStart"/>
      <w:r>
        <w:t>Jacco</w:t>
      </w:r>
      <w:proofErr w:type="spellEnd"/>
      <w:r>
        <w:t xml:space="preserve"> Dieleman, Willeke Wendrich (eds.) </w:t>
      </w:r>
      <w:r>
        <w:rPr>
          <w:rStyle w:val="Emphasis"/>
        </w:rPr>
        <w:t xml:space="preserve">UCLA </w:t>
      </w:r>
      <w:proofErr w:type="spellStart"/>
      <w:r>
        <w:rPr>
          <w:rStyle w:val="Emphasis"/>
        </w:rPr>
        <w:t>Encyclopedia</w:t>
      </w:r>
      <w:proofErr w:type="spellEnd"/>
      <w:r>
        <w:rPr>
          <w:rStyle w:val="Emphasis"/>
        </w:rPr>
        <w:t xml:space="preserve"> of Egyptology, 1</w:t>
      </w:r>
      <w:r>
        <w:t>. Los Angeles: UCLA.</w:t>
      </w:r>
    </w:p>
    <w:p w14:paraId="7DB4E0F6" w14:textId="77777777" w:rsidR="00FC2AC3" w:rsidRDefault="00FC2AC3" w:rsidP="00FC2AC3">
      <w:pPr>
        <w:pStyle w:val="NormalWeb"/>
        <w:spacing w:before="0" w:beforeAutospacing="0"/>
      </w:pPr>
      <w:r>
        <w:t>Wilkinson, Richard H. (2003) </w:t>
      </w:r>
      <w:r>
        <w:rPr>
          <w:rStyle w:val="Emphasis"/>
        </w:rPr>
        <w:t>The Complete Gods and Goddesses of Ancient Egypt</w:t>
      </w:r>
      <w:r>
        <w:t>. London: Thames &amp; Hudson.</w:t>
      </w:r>
    </w:p>
    <w:p w14:paraId="1F274391" w14:textId="77777777" w:rsidR="00FC2AC3" w:rsidRDefault="00FC2AC3" w:rsidP="00FC2AC3">
      <w:r>
        <w:lastRenderedPageBreak/>
        <w:br w:type="textWrapping" w:clear="all"/>
      </w:r>
    </w:p>
    <w:p w14:paraId="4057D171" w14:textId="77777777" w:rsidR="00FC2AC3" w:rsidRDefault="00FC2AC3" w:rsidP="00FC2AC3">
      <w:r>
        <w:pict w14:anchorId="044C68A9">
          <v:rect id="_x0000_i1025" style="width:154.45pt;height:0" o:hrpct="330" o:hrstd="t" o:hr="t" fillcolor="#a0a0a0" stroked="f"/>
        </w:pict>
      </w:r>
    </w:p>
    <w:p w14:paraId="040AA5A2" w14:textId="77777777" w:rsidR="00FC2AC3" w:rsidRDefault="00FC2AC3" w:rsidP="00FC2AC3">
      <w:pPr>
        <w:pStyle w:val="NormalWeb"/>
        <w:spacing w:before="0" w:beforeAutospacing="0"/>
      </w:pPr>
      <w:hyperlink r:id="rId28" w:anchor="_ftnref1" w:history="1">
        <w:r>
          <w:rPr>
            <w:rStyle w:val="Hyperlink"/>
            <w:color w:val="013E5B"/>
            <w:u w:val="none"/>
          </w:rPr>
          <w:t>[1]</w:t>
        </w:r>
      </w:hyperlink>
      <w:r>
        <w:t> </w:t>
      </w:r>
      <w:proofErr w:type="spellStart"/>
      <w:r>
        <w:t>Chapinal</w:t>
      </w:r>
      <w:proofErr w:type="spellEnd"/>
      <w:r>
        <w:t xml:space="preserve"> Heras, 2011, p. 13.</w:t>
      </w:r>
    </w:p>
    <w:p w14:paraId="2780F991" w14:textId="77777777" w:rsidR="00FC2AC3" w:rsidRDefault="00FC2AC3" w:rsidP="00FC2AC3">
      <w:pPr>
        <w:pStyle w:val="NormalWeb"/>
        <w:spacing w:before="0" w:beforeAutospacing="0"/>
      </w:pPr>
      <w:hyperlink r:id="rId29" w:anchor="_ftnref2" w:history="1">
        <w:r>
          <w:rPr>
            <w:rStyle w:val="Hyperlink"/>
            <w:color w:val="013E5B"/>
            <w:u w:val="none"/>
          </w:rPr>
          <w:t>[2]</w:t>
        </w:r>
      </w:hyperlink>
      <w:r>
        <w:t> </w:t>
      </w:r>
      <w:proofErr w:type="spellStart"/>
      <w:r>
        <w:t>Chapinal</w:t>
      </w:r>
      <w:proofErr w:type="spellEnd"/>
      <w:r>
        <w:t xml:space="preserve"> Heras, 2011, p. 13.</w:t>
      </w:r>
    </w:p>
    <w:p w14:paraId="19F2EE9E" w14:textId="77777777" w:rsidR="00FC2AC3" w:rsidRDefault="00FC2AC3" w:rsidP="00FC2AC3">
      <w:pPr>
        <w:pStyle w:val="NormalWeb"/>
        <w:spacing w:before="0" w:beforeAutospacing="0"/>
      </w:pPr>
      <w:hyperlink r:id="rId30" w:anchor="_ftnref3" w:history="1">
        <w:r>
          <w:rPr>
            <w:rStyle w:val="Hyperlink"/>
            <w:color w:val="013E5B"/>
            <w:u w:val="none"/>
          </w:rPr>
          <w:t>[3]</w:t>
        </w:r>
      </w:hyperlink>
      <w:r>
        <w:t> Curnow, 2010, p. 116.</w:t>
      </w:r>
    </w:p>
    <w:p w14:paraId="17B8ED0E" w14:textId="77777777" w:rsidR="00FC2AC3" w:rsidRDefault="00FC2AC3" w:rsidP="00FC2AC3">
      <w:pPr>
        <w:pStyle w:val="NormalWeb"/>
        <w:spacing w:before="0" w:beforeAutospacing="0"/>
      </w:pPr>
      <w:hyperlink r:id="rId31" w:anchor="_ftnref4" w:history="1">
        <w:r>
          <w:rPr>
            <w:rStyle w:val="Hyperlink"/>
            <w:color w:val="013E5B"/>
            <w:u w:val="none"/>
          </w:rPr>
          <w:t>[4]</w:t>
        </w:r>
      </w:hyperlink>
      <w:r>
        <w:t> </w:t>
      </w:r>
      <w:proofErr w:type="spellStart"/>
      <w:r>
        <w:t>Allon</w:t>
      </w:r>
      <w:proofErr w:type="spellEnd"/>
      <w:r>
        <w:t xml:space="preserve"> &amp; </w:t>
      </w:r>
      <w:proofErr w:type="spellStart"/>
      <w:r>
        <w:t>Navralitova</w:t>
      </w:r>
      <w:proofErr w:type="spellEnd"/>
      <w:r>
        <w:t>, 2017, p. 1.</w:t>
      </w:r>
    </w:p>
    <w:p w14:paraId="2C6AFAC5" w14:textId="77777777" w:rsidR="00FC2AC3" w:rsidRDefault="00FC2AC3" w:rsidP="00FC2AC3">
      <w:pPr>
        <w:pStyle w:val="NormalWeb"/>
        <w:spacing w:before="0" w:beforeAutospacing="0"/>
      </w:pPr>
      <w:hyperlink r:id="rId32" w:anchor="_ftnref5" w:history="1">
        <w:r>
          <w:rPr>
            <w:rStyle w:val="Hyperlink"/>
            <w:color w:val="013E5B"/>
            <w:u w:val="none"/>
          </w:rPr>
          <w:t>[5]</w:t>
        </w:r>
      </w:hyperlink>
      <w:r>
        <w:t> </w:t>
      </w:r>
      <w:proofErr w:type="spellStart"/>
      <w:r>
        <w:t>Luiselli</w:t>
      </w:r>
      <w:proofErr w:type="spellEnd"/>
      <w:r>
        <w:t>, 2014, p. 105.</w:t>
      </w:r>
    </w:p>
    <w:p w14:paraId="1F231263" w14:textId="77777777" w:rsidR="00FC2AC3" w:rsidRDefault="00FC2AC3" w:rsidP="00FC2AC3">
      <w:pPr>
        <w:pStyle w:val="NormalWeb"/>
        <w:spacing w:before="0" w:beforeAutospacing="0"/>
      </w:pPr>
      <w:hyperlink r:id="rId33" w:anchor="_ftnref6" w:history="1">
        <w:r>
          <w:rPr>
            <w:rStyle w:val="Hyperlink"/>
            <w:color w:val="013E5B"/>
            <w:u w:val="none"/>
          </w:rPr>
          <w:t>[6]</w:t>
        </w:r>
      </w:hyperlink>
      <w:r>
        <w:t> Ismail, 2009, p. 660.</w:t>
      </w:r>
    </w:p>
    <w:p w14:paraId="1F8529FF" w14:textId="77777777" w:rsidR="00FC2AC3" w:rsidRDefault="00FC2AC3" w:rsidP="00FC2AC3">
      <w:pPr>
        <w:pStyle w:val="NormalWeb"/>
        <w:spacing w:before="0" w:beforeAutospacing="0"/>
      </w:pPr>
      <w:hyperlink r:id="rId34" w:anchor="_ftnref7" w:history="1">
        <w:r>
          <w:rPr>
            <w:rStyle w:val="Hyperlink"/>
            <w:color w:val="013E5B"/>
            <w:u w:val="none"/>
          </w:rPr>
          <w:t>[7]</w:t>
        </w:r>
      </w:hyperlink>
      <w:r>
        <w:t> Pinch, 2003, p. 210.</w:t>
      </w:r>
    </w:p>
    <w:p w14:paraId="52A8E0CB" w14:textId="77777777" w:rsidR="00FC2AC3" w:rsidRPr="00FC2AC3" w:rsidRDefault="00FC2AC3" w:rsidP="00FC2AC3">
      <w:pPr>
        <w:pStyle w:val="NormalWeb"/>
        <w:spacing w:before="0" w:beforeAutospacing="0"/>
        <w:rPr>
          <w:lang w:val="de-DE"/>
        </w:rPr>
      </w:pPr>
      <w:hyperlink r:id="rId35" w:anchor="_ftnref8" w:history="1">
        <w:r w:rsidRPr="00FC2AC3">
          <w:rPr>
            <w:rStyle w:val="Hyperlink"/>
            <w:color w:val="013E5B"/>
            <w:u w:val="none"/>
            <w:lang w:val="de-DE"/>
          </w:rPr>
          <w:t>[8]</w:t>
        </w:r>
      </w:hyperlink>
      <w:r w:rsidRPr="00FC2AC3">
        <w:rPr>
          <w:lang w:val="de-DE"/>
        </w:rPr>
        <w:t> Stadler, 2012, p. 8.</w:t>
      </w:r>
    </w:p>
    <w:p w14:paraId="33C4BEB0" w14:textId="77777777" w:rsidR="00FC2AC3" w:rsidRPr="00FC2AC3" w:rsidRDefault="00FC2AC3" w:rsidP="00FC2AC3">
      <w:pPr>
        <w:pStyle w:val="NormalWeb"/>
        <w:spacing w:before="0" w:beforeAutospacing="0"/>
        <w:rPr>
          <w:lang w:val="de-DE"/>
        </w:rPr>
      </w:pPr>
      <w:hyperlink r:id="rId36" w:anchor="_ftnref9" w:history="1">
        <w:r w:rsidRPr="00FC2AC3">
          <w:rPr>
            <w:rStyle w:val="Hyperlink"/>
            <w:color w:val="013E5B"/>
            <w:u w:val="none"/>
            <w:lang w:val="de-DE"/>
          </w:rPr>
          <w:t>[9]</w:t>
        </w:r>
      </w:hyperlink>
      <w:r w:rsidRPr="00FC2AC3">
        <w:rPr>
          <w:lang w:val="de-DE"/>
        </w:rPr>
        <w:t> Stadler, 2012, p. 2.</w:t>
      </w:r>
    </w:p>
    <w:p w14:paraId="1DD431D8" w14:textId="77777777" w:rsidR="00FC2AC3" w:rsidRPr="00FC2AC3" w:rsidRDefault="00FC2AC3" w:rsidP="00FC2AC3">
      <w:pPr>
        <w:pStyle w:val="NormalWeb"/>
        <w:spacing w:before="0" w:beforeAutospacing="0"/>
        <w:rPr>
          <w:lang w:val="de-DE"/>
        </w:rPr>
      </w:pPr>
      <w:hyperlink r:id="rId37" w:anchor="_ftnref10" w:history="1">
        <w:r w:rsidRPr="00FC2AC3">
          <w:rPr>
            <w:rStyle w:val="Hyperlink"/>
            <w:color w:val="013E5B"/>
            <w:u w:val="none"/>
            <w:lang w:val="de-DE"/>
          </w:rPr>
          <w:t>[10]</w:t>
        </w:r>
      </w:hyperlink>
      <w:r w:rsidRPr="00FC2AC3">
        <w:rPr>
          <w:lang w:val="de-DE"/>
        </w:rPr>
        <w:t> Stadler, 2012, p. 1.</w:t>
      </w:r>
    </w:p>
    <w:p w14:paraId="7088DF04" w14:textId="77777777" w:rsidR="00FC2AC3" w:rsidRDefault="00FC2AC3" w:rsidP="00FC2AC3">
      <w:pPr>
        <w:pStyle w:val="NormalWeb"/>
        <w:spacing w:before="0" w:beforeAutospacing="0"/>
      </w:pPr>
      <w:hyperlink r:id="rId38" w:anchor="_ftnref11" w:history="1">
        <w:r>
          <w:rPr>
            <w:rStyle w:val="Hyperlink"/>
            <w:color w:val="013E5B"/>
            <w:u w:val="none"/>
          </w:rPr>
          <w:t>[11]</w:t>
        </w:r>
      </w:hyperlink>
      <w:r>
        <w:t> Stadler, 2012, p. 11.</w:t>
      </w:r>
    </w:p>
    <w:p w14:paraId="4DE09B75" w14:textId="77777777" w:rsidR="00FC2AC3" w:rsidRDefault="00FC2AC3" w:rsidP="00FC2AC3">
      <w:pPr>
        <w:pStyle w:val="NormalWeb"/>
        <w:spacing w:before="0" w:beforeAutospacing="0"/>
      </w:pPr>
      <w:hyperlink r:id="rId39" w:anchor="_ftnref12" w:history="1">
        <w:r>
          <w:rPr>
            <w:rStyle w:val="Hyperlink"/>
            <w:color w:val="013E5B"/>
            <w:u w:val="none"/>
          </w:rPr>
          <w:t>[12]</w:t>
        </w:r>
      </w:hyperlink>
      <w:r>
        <w:t> Wilkinson, 2003, p. 113.</w:t>
      </w:r>
    </w:p>
    <w:p w14:paraId="3CB8ACD9" w14:textId="77777777" w:rsidR="00FC2AC3" w:rsidRDefault="00FC2AC3" w:rsidP="00FC2AC3">
      <w:pPr>
        <w:pStyle w:val="NormalWeb"/>
        <w:spacing w:before="0" w:beforeAutospacing="0"/>
      </w:pPr>
      <w:hyperlink r:id="rId40" w:anchor="_ftnref13" w:history="1">
        <w:r>
          <w:rPr>
            <w:rStyle w:val="Hyperlink"/>
            <w:color w:val="013E5B"/>
            <w:u w:val="none"/>
          </w:rPr>
          <w:t>[13]</w:t>
        </w:r>
      </w:hyperlink>
      <w:r>
        <w:t> Pinch, 2003, p. 155.</w:t>
      </w:r>
    </w:p>
    <w:p w14:paraId="13CBD667" w14:textId="77777777" w:rsidR="00FC2AC3" w:rsidRDefault="00FC2AC3" w:rsidP="00FC2AC3">
      <w:pPr>
        <w:pStyle w:val="NormalWeb"/>
        <w:spacing w:before="0" w:beforeAutospacing="0"/>
      </w:pPr>
      <w:hyperlink r:id="rId41" w:anchor="_ftnref14" w:history="1">
        <w:r>
          <w:rPr>
            <w:rStyle w:val="Hyperlink"/>
            <w:color w:val="013E5B"/>
            <w:u w:val="none"/>
          </w:rPr>
          <w:t>[14]</w:t>
        </w:r>
      </w:hyperlink>
      <w:r>
        <w:t> Cannon-Brown, 2009, p.608.</w:t>
      </w:r>
    </w:p>
    <w:p w14:paraId="0DECF188" w14:textId="77777777" w:rsidR="00FC2AC3" w:rsidRDefault="00FC2AC3" w:rsidP="00FC2AC3">
      <w:pPr>
        <w:pStyle w:val="NormalWeb"/>
        <w:spacing w:before="0" w:beforeAutospacing="0"/>
      </w:pPr>
      <w:hyperlink r:id="rId42" w:anchor="_ftnref15" w:history="1">
        <w:r>
          <w:rPr>
            <w:rStyle w:val="Hyperlink"/>
            <w:color w:val="013E5B"/>
            <w:u w:val="none"/>
          </w:rPr>
          <w:t>[15]</w:t>
        </w:r>
      </w:hyperlink>
      <w:r>
        <w:t> Wilkinson, 2003, pp. 166-7.</w:t>
      </w:r>
    </w:p>
    <w:p w14:paraId="55FAA627" w14:textId="77777777" w:rsidR="00FC2AC3" w:rsidRDefault="00FC2AC3" w:rsidP="00FC2AC3">
      <w:pPr>
        <w:pStyle w:val="NormalWeb"/>
        <w:spacing w:before="0" w:beforeAutospacing="0"/>
      </w:pPr>
      <w:hyperlink r:id="rId43" w:anchor="_ftnref16" w:history="1">
        <w:r>
          <w:rPr>
            <w:rStyle w:val="Hyperlink"/>
            <w:color w:val="013E5B"/>
            <w:u w:val="none"/>
          </w:rPr>
          <w:t>[16]</w:t>
        </w:r>
      </w:hyperlink>
      <w:r>
        <w:t> Cannon-Brown, 2009, p.608.</w:t>
      </w:r>
    </w:p>
    <w:p w14:paraId="0BC50568" w14:textId="77777777" w:rsidR="00FC2AC3" w:rsidRDefault="00FC2AC3" w:rsidP="00FC2AC3">
      <w:pPr>
        <w:pStyle w:val="NormalWeb"/>
        <w:spacing w:before="0" w:beforeAutospacing="0"/>
      </w:pPr>
      <w:hyperlink r:id="rId44" w:anchor="_ftnref17" w:history="1">
        <w:r>
          <w:rPr>
            <w:rStyle w:val="Hyperlink"/>
            <w:color w:val="013E5B"/>
            <w:u w:val="none"/>
          </w:rPr>
          <w:t>[17]</w:t>
        </w:r>
      </w:hyperlink>
      <w:r>
        <w:t> </w:t>
      </w:r>
      <w:proofErr w:type="spellStart"/>
      <w:r>
        <w:t>Chapinal</w:t>
      </w:r>
      <w:proofErr w:type="spellEnd"/>
      <w:r>
        <w:t xml:space="preserve"> Heras, 2011, p. 8.</w:t>
      </w:r>
    </w:p>
    <w:p w14:paraId="206D1517" w14:textId="77777777" w:rsidR="00FC2AC3" w:rsidRDefault="00FC2AC3" w:rsidP="00FC2AC3">
      <w:pPr>
        <w:pStyle w:val="NormalWeb"/>
        <w:spacing w:before="0" w:beforeAutospacing="0"/>
      </w:pPr>
      <w:hyperlink r:id="rId45" w:anchor="_ftnref18" w:history="1">
        <w:r>
          <w:rPr>
            <w:rStyle w:val="Hyperlink"/>
            <w:color w:val="013E5B"/>
            <w:u w:val="none"/>
          </w:rPr>
          <w:t>[18]</w:t>
        </w:r>
      </w:hyperlink>
      <w:r>
        <w:t> </w:t>
      </w:r>
      <w:proofErr w:type="spellStart"/>
      <w:r>
        <w:t>Luiselli</w:t>
      </w:r>
      <w:proofErr w:type="spellEnd"/>
      <w:r>
        <w:t>, 2014, p. 109.</w:t>
      </w:r>
    </w:p>
    <w:p w14:paraId="13CED093" w14:textId="77777777" w:rsidR="00FC2AC3" w:rsidRDefault="00FC2AC3" w:rsidP="00FC2AC3">
      <w:pPr>
        <w:pStyle w:val="NormalWeb"/>
        <w:spacing w:before="0" w:beforeAutospacing="0"/>
      </w:pPr>
      <w:hyperlink r:id="rId46" w:anchor="_ftnref19" w:history="1">
        <w:r>
          <w:rPr>
            <w:rStyle w:val="Hyperlink"/>
            <w:color w:val="013E5B"/>
            <w:u w:val="none"/>
          </w:rPr>
          <w:t>[19]</w:t>
        </w:r>
      </w:hyperlink>
      <w:r>
        <w:t> Curnow, 2010, pp. 23-24.</w:t>
      </w:r>
    </w:p>
    <w:p w14:paraId="387982B6" w14:textId="188740D7" w:rsidR="00FC2AC3" w:rsidRDefault="00FC2AC3" w:rsidP="00FC2AC3"/>
    <w:p w14:paraId="17CF4A01" w14:textId="41D48883" w:rsidR="00FC2AC3" w:rsidRDefault="00FC2AC3">
      <w:r>
        <w:br w:type="page"/>
      </w:r>
    </w:p>
    <w:p w14:paraId="4B81B579" w14:textId="5878845F" w:rsidR="00FC2AC3" w:rsidRDefault="00FC2AC3" w:rsidP="00FC2AC3">
      <w:pPr>
        <w:pStyle w:val="Heading2"/>
      </w:pPr>
      <w:r>
        <w:lastRenderedPageBreak/>
        <w:t>Example 2</w:t>
      </w:r>
    </w:p>
    <w:p w14:paraId="5C2B5231" w14:textId="2436480C" w:rsidR="00FC2AC3" w:rsidRDefault="00FC2AC3" w:rsidP="00FC2AC3">
      <w:pPr>
        <w:pStyle w:val="NormalWeb"/>
        <w:shd w:val="clear" w:color="auto" w:fill="FBF7F5"/>
        <w:spacing w:before="0" w:beforeAutospacing="0"/>
        <w:rPr>
          <w:rFonts w:ascii="Segoe UI" w:hAnsi="Segoe UI" w:cs="Segoe UI"/>
          <w:color w:val="373A3C"/>
          <w:sz w:val="23"/>
          <w:szCs w:val="23"/>
        </w:rPr>
      </w:pPr>
    </w:p>
    <w:p w14:paraId="04FD0562" w14:textId="77777777" w:rsidR="00FC2AC3" w:rsidRDefault="00FC2AC3" w:rsidP="00FC2AC3">
      <w:pPr>
        <w:pStyle w:val="NormalWeb"/>
        <w:shd w:val="clear" w:color="auto" w:fill="FBF7F5"/>
        <w:spacing w:before="0" w:beforeAutospacing="0"/>
        <w:rPr>
          <w:rFonts w:ascii="Segoe UI" w:hAnsi="Segoe UI" w:cs="Segoe UI"/>
          <w:color w:val="373A3C"/>
          <w:sz w:val="23"/>
          <w:szCs w:val="23"/>
        </w:rPr>
      </w:pPr>
      <w:r>
        <w:rPr>
          <w:rFonts w:ascii="Segoe UI" w:hAnsi="Segoe UI" w:cs="Segoe UI"/>
          <w:color w:val="373A3C"/>
          <w:sz w:val="23"/>
          <w:szCs w:val="23"/>
        </w:rPr>
        <w:t>Is Atenism Monotheistic?</w:t>
      </w:r>
    </w:p>
    <w:p w14:paraId="79C4436F" w14:textId="77777777" w:rsidR="00FC2AC3" w:rsidRDefault="00FC2AC3" w:rsidP="00FC2AC3">
      <w:pPr>
        <w:pStyle w:val="NormalWeb"/>
        <w:shd w:val="clear" w:color="auto" w:fill="FBF7F5"/>
        <w:spacing w:before="0" w:beforeAutospacing="0"/>
        <w:rPr>
          <w:rFonts w:ascii="Segoe UI" w:hAnsi="Segoe UI" w:cs="Segoe UI"/>
          <w:color w:val="373A3C"/>
          <w:sz w:val="23"/>
          <w:szCs w:val="23"/>
        </w:rPr>
      </w:pPr>
      <w:r>
        <w:rPr>
          <w:rFonts w:ascii="Segoe UI" w:hAnsi="Segoe UI" w:cs="Segoe UI"/>
          <w:color w:val="373A3C"/>
          <w:sz w:val="23"/>
          <w:szCs w:val="23"/>
        </w:rPr>
        <w:t>After finishing this paper, it came to my attention that the day after this paper is submitted for the purpose of discussion, the class will be focused upon the topic of Atenism and if it is or is not a monotheistic </w:t>
      </w:r>
      <w:hyperlink r:id="rId47" w:tooltip="Religion" w:history="1">
        <w:r>
          <w:rPr>
            <w:rStyle w:val="Hyperlink"/>
            <w:rFonts w:ascii="Segoe UI" w:hAnsi="Segoe UI" w:cs="Segoe UI"/>
            <w:color w:val="013E5B"/>
            <w:sz w:val="23"/>
            <w:szCs w:val="23"/>
            <w:u w:val="none"/>
          </w:rPr>
          <w:t>religion</w:t>
        </w:r>
      </w:hyperlink>
      <w:r>
        <w:rPr>
          <w:rFonts w:ascii="Segoe UI" w:hAnsi="Segoe UI" w:cs="Segoe UI"/>
          <w:color w:val="373A3C"/>
          <w:sz w:val="23"/>
          <w:szCs w:val="23"/>
        </w:rPr>
        <w:t>. As such, I hope that this paper will give some additional guidance and information in order to foster further discussion on this hotly contested question.</w:t>
      </w:r>
    </w:p>
    <w:p w14:paraId="795BFA6C" w14:textId="77777777" w:rsidR="00FC2AC3" w:rsidRDefault="00FC2AC3" w:rsidP="00FC2AC3">
      <w:pPr>
        <w:pStyle w:val="NormalWeb"/>
        <w:shd w:val="clear" w:color="auto" w:fill="FBF7F5"/>
        <w:spacing w:before="0" w:beforeAutospacing="0"/>
        <w:rPr>
          <w:rFonts w:ascii="Segoe UI" w:hAnsi="Segoe UI" w:cs="Segoe UI"/>
          <w:color w:val="373A3C"/>
          <w:sz w:val="23"/>
          <w:szCs w:val="23"/>
        </w:rPr>
      </w:pPr>
      <w:r>
        <w:rPr>
          <w:rFonts w:ascii="Segoe UI" w:hAnsi="Segoe UI" w:cs="Segoe UI"/>
          <w:color w:val="373A3C"/>
          <w:sz w:val="23"/>
          <w:szCs w:val="23"/>
        </w:rPr>
        <w:t xml:space="preserve">In order to determine if Atenism is monotheistic, however, a definition must be agreed upon for what it means to be “monotheistic”. As is noted by </w:t>
      </w:r>
      <w:proofErr w:type="spellStart"/>
      <w:r>
        <w:rPr>
          <w:rFonts w:ascii="Segoe UI" w:hAnsi="Segoe UI" w:cs="Segoe UI"/>
          <w:color w:val="373A3C"/>
          <w:sz w:val="23"/>
          <w:szCs w:val="23"/>
        </w:rPr>
        <w:t>Herberner</w:t>
      </w:r>
      <w:proofErr w:type="spellEnd"/>
      <w:r>
        <w:rPr>
          <w:rFonts w:ascii="Segoe UI" w:hAnsi="Segoe UI" w:cs="Segoe UI"/>
          <w:color w:val="373A3C"/>
          <w:sz w:val="23"/>
          <w:szCs w:val="23"/>
        </w:rPr>
        <w:t xml:space="preserve"> (2013: 617) in their article titled “On the Term ‘Monotheism’”, the term of “monotheism” does not have a single, agreed upon definition, being able to refer to the belief in the existence of a single divine entity, the belief in a sovereign deity presiding over a pantheon, and the belief in a range of deities that are all manifestations of a single other deity. Due to all of these possible definitions, there are very few religious beliefs that one would not fit broadly into the category of “monotheism”. In order to solve this problem of the broad application of “monotheism”, </w:t>
      </w:r>
      <w:proofErr w:type="spellStart"/>
      <w:r>
        <w:rPr>
          <w:rFonts w:ascii="Segoe UI" w:hAnsi="Segoe UI" w:cs="Segoe UI"/>
          <w:color w:val="373A3C"/>
          <w:sz w:val="23"/>
          <w:szCs w:val="23"/>
        </w:rPr>
        <w:t>Herberner</w:t>
      </w:r>
      <w:proofErr w:type="spellEnd"/>
      <w:r>
        <w:rPr>
          <w:rFonts w:ascii="Segoe UI" w:hAnsi="Segoe UI" w:cs="Segoe UI"/>
          <w:color w:val="373A3C"/>
          <w:sz w:val="23"/>
          <w:szCs w:val="23"/>
        </w:rPr>
        <w:t xml:space="preserve"> (2013: 641) suggests the defining of “monotheism” as “the belief in one true god, and the implicit or explicit exclusion of other gods as non-existent, demons, or the like.” As this definition fits the general description of the primary, non-Egyptian </w:t>
      </w:r>
      <w:hyperlink r:id="rId48" w:tooltip="Religion" w:history="1">
        <w:r>
          <w:rPr>
            <w:rStyle w:val="Hyperlink"/>
            <w:rFonts w:ascii="Segoe UI" w:hAnsi="Segoe UI" w:cs="Segoe UI"/>
            <w:color w:val="013E5B"/>
            <w:sz w:val="23"/>
            <w:szCs w:val="23"/>
            <w:u w:val="none"/>
          </w:rPr>
          <w:t>religion</w:t>
        </w:r>
      </w:hyperlink>
      <w:r>
        <w:rPr>
          <w:rFonts w:ascii="Segoe UI" w:hAnsi="Segoe UI" w:cs="Segoe UI"/>
          <w:color w:val="373A3C"/>
          <w:sz w:val="23"/>
          <w:szCs w:val="23"/>
        </w:rPr>
        <w:t> often placed beside Atenism–that </w:t>
      </w:r>
      <w:hyperlink r:id="rId49" w:tooltip="Religion" w:history="1">
        <w:r>
          <w:rPr>
            <w:rStyle w:val="Hyperlink"/>
            <w:rFonts w:ascii="Segoe UI" w:hAnsi="Segoe UI" w:cs="Segoe UI"/>
            <w:color w:val="013E5B"/>
            <w:sz w:val="23"/>
            <w:szCs w:val="23"/>
            <w:u w:val="none"/>
          </w:rPr>
          <w:t>religion</w:t>
        </w:r>
      </w:hyperlink>
      <w:r>
        <w:rPr>
          <w:rFonts w:ascii="Segoe UI" w:hAnsi="Segoe UI" w:cs="Segoe UI"/>
          <w:color w:val="373A3C"/>
          <w:sz w:val="23"/>
          <w:szCs w:val="23"/>
        </w:rPr>
        <w:t> being Judaism–I believe this definition to be the most beneficial to the discussion of if Atenism is monotheistic.</w:t>
      </w:r>
    </w:p>
    <w:p w14:paraId="58A3003D" w14:textId="77777777" w:rsidR="00FC2AC3" w:rsidRDefault="00FC2AC3" w:rsidP="00FC2AC3">
      <w:pPr>
        <w:pStyle w:val="NormalWeb"/>
        <w:shd w:val="clear" w:color="auto" w:fill="FBF7F5"/>
        <w:spacing w:before="0" w:beforeAutospacing="0"/>
        <w:rPr>
          <w:rFonts w:ascii="Segoe UI" w:hAnsi="Segoe UI" w:cs="Segoe UI"/>
          <w:color w:val="373A3C"/>
          <w:sz w:val="23"/>
          <w:szCs w:val="23"/>
        </w:rPr>
      </w:pPr>
      <w:r>
        <w:rPr>
          <w:rFonts w:ascii="Segoe UI" w:hAnsi="Segoe UI" w:cs="Segoe UI"/>
          <w:color w:val="373A3C"/>
          <w:sz w:val="23"/>
          <w:szCs w:val="23"/>
        </w:rPr>
        <w:t>With the definition of “monotheism” distinguished for the purposes of this discussion, information both for and against Atenism as a monotheistic </w:t>
      </w:r>
      <w:hyperlink r:id="rId50" w:tooltip="Religion" w:history="1">
        <w:r>
          <w:rPr>
            <w:rStyle w:val="Hyperlink"/>
            <w:rFonts w:ascii="Segoe UI" w:hAnsi="Segoe UI" w:cs="Segoe UI"/>
            <w:color w:val="013E5B"/>
            <w:sz w:val="23"/>
            <w:szCs w:val="23"/>
            <w:u w:val="none"/>
          </w:rPr>
          <w:t>religion</w:t>
        </w:r>
      </w:hyperlink>
      <w:r>
        <w:rPr>
          <w:rFonts w:ascii="Segoe UI" w:hAnsi="Segoe UI" w:cs="Segoe UI"/>
          <w:color w:val="373A3C"/>
          <w:sz w:val="23"/>
          <w:szCs w:val="23"/>
        </w:rPr>
        <w:t> can be presented. Hoffmeier (2015) directly addresses this question in a chapter of his book Akhenaten and the Origins of Monotheism entitled “Is Atenism Monotheism?”, which I have found to function as a concentrated form of the multiple arguments for Atenism as monotheism. In this chapter, Hoffmeier argues that Atenism is monotheistic based upon evidence of the persecution of the cults to other deities during the period of Akhenaten’s reign. This, according to Hoffmeier (2015: 2), is best seen in the treatment of images of and </w:t>
      </w:r>
      <w:hyperlink r:id="rId51" w:tooltip="Temples" w:history="1">
        <w:r>
          <w:rPr>
            <w:rStyle w:val="Hyperlink"/>
            <w:rFonts w:ascii="Segoe UI" w:hAnsi="Segoe UI" w:cs="Segoe UI"/>
            <w:color w:val="013E5B"/>
            <w:sz w:val="23"/>
            <w:szCs w:val="23"/>
            <w:u w:val="none"/>
          </w:rPr>
          <w:t>temples</w:t>
        </w:r>
      </w:hyperlink>
      <w:r>
        <w:rPr>
          <w:rFonts w:ascii="Segoe UI" w:hAnsi="Segoe UI" w:cs="Segoe UI"/>
          <w:color w:val="373A3C"/>
          <w:sz w:val="23"/>
          <w:szCs w:val="23"/>
        </w:rPr>
        <w:t> to Amun, who was considered the chief deity of Egypt at the time. Hoffmeier (2015: 3) suggests that when the pharaoh changed his name from Amenhotep IV–a name that references Amun–to Akhenaten–a name that references Aten–in order to signal a change that does not appear in the historical record where Akhenaten banned the worship of deities other than Aten. This, according to Hoffmeier (2015: 4) is further supported by a stela of Akhenaten’s successor suggesting that the </w:t>
      </w:r>
      <w:hyperlink r:id="rId52" w:tooltip="Temples" w:history="1">
        <w:r>
          <w:rPr>
            <w:rStyle w:val="Hyperlink"/>
            <w:rFonts w:ascii="Segoe UI" w:hAnsi="Segoe UI" w:cs="Segoe UI"/>
            <w:color w:val="013E5B"/>
            <w:sz w:val="23"/>
            <w:szCs w:val="23"/>
            <w:u w:val="none"/>
          </w:rPr>
          <w:t>temples</w:t>
        </w:r>
      </w:hyperlink>
      <w:r>
        <w:rPr>
          <w:rFonts w:ascii="Segoe UI" w:hAnsi="Segoe UI" w:cs="Segoe UI"/>
          <w:color w:val="373A3C"/>
          <w:sz w:val="23"/>
          <w:szCs w:val="23"/>
        </w:rPr>
        <w:t> to the gods had fallen into ruin and the gods had abandoned Egypt, thus leading to the necessity for their restoration, often using the materials that had been previously used to build </w:t>
      </w:r>
      <w:hyperlink r:id="rId53" w:tooltip="Temples" w:history="1">
        <w:r>
          <w:rPr>
            <w:rStyle w:val="Hyperlink"/>
            <w:rFonts w:ascii="Segoe UI" w:hAnsi="Segoe UI" w:cs="Segoe UI"/>
            <w:color w:val="013E5B"/>
            <w:sz w:val="23"/>
            <w:szCs w:val="23"/>
            <w:u w:val="none"/>
          </w:rPr>
          <w:t>temples</w:t>
        </w:r>
      </w:hyperlink>
      <w:r>
        <w:rPr>
          <w:rFonts w:ascii="Segoe UI" w:hAnsi="Segoe UI" w:cs="Segoe UI"/>
          <w:color w:val="373A3C"/>
          <w:sz w:val="23"/>
          <w:szCs w:val="23"/>
        </w:rPr>
        <w:t> to Aten. The name change was also accompanied by the replacing of Akhenaten’s old name with his new name on </w:t>
      </w:r>
      <w:hyperlink r:id="rId54" w:tooltip="Temples" w:history="1">
        <w:r>
          <w:rPr>
            <w:rStyle w:val="Hyperlink"/>
            <w:rFonts w:ascii="Segoe UI" w:hAnsi="Segoe UI" w:cs="Segoe UI"/>
            <w:color w:val="013E5B"/>
            <w:sz w:val="23"/>
            <w:szCs w:val="23"/>
            <w:u w:val="none"/>
          </w:rPr>
          <w:t>temples</w:t>
        </w:r>
      </w:hyperlink>
      <w:r>
        <w:rPr>
          <w:rFonts w:ascii="Segoe UI" w:hAnsi="Segoe UI" w:cs="Segoe UI"/>
          <w:color w:val="373A3C"/>
          <w:sz w:val="23"/>
          <w:szCs w:val="23"/>
        </w:rPr>
        <w:t>. Hoffmeier (2015) ultimately argues that it is irrelevant if the </w:t>
      </w:r>
      <w:hyperlink r:id="rId55" w:tooltip="Temples" w:history="1">
        <w:r>
          <w:rPr>
            <w:rStyle w:val="Hyperlink"/>
            <w:rFonts w:ascii="Segoe UI" w:hAnsi="Segoe UI" w:cs="Segoe UI"/>
            <w:color w:val="013E5B"/>
            <w:sz w:val="23"/>
            <w:szCs w:val="23"/>
            <w:u w:val="none"/>
          </w:rPr>
          <w:t>temples</w:t>
        </w:r>
      </w:hyperlink>
      <w:r>
        <w:rPr>
          <w:rFonts w:ascii="Segoe UI" w:hAnsi="Segoe UI" w:cs="Segoe UI"/>
          <w:color w:val="373A3C"/>
          <w:sz w:val="23"/>
          <w:szCs w:val="23"/>
        </w:rPr>
        <w:t xml:space="preserve"> to deities other than Aten were shut down by </w:t>
      </w:r>
      <w:r>
        <w:rPr>
          <w:rFonts w:ascii="Segoe UI" w:hAnsi="Segoe UI" w:cs="Segoe UI"/>
          <w:color w:val="373A3C"/>
          <w:sz w:val="23"/>
          <w:szCs w:val="23"/>
        </w:rPr>
        <w:lastRenderedPageBreak/>
        <w:t>order of Akhenaten or if they fell into ruin due to the withdrawal of royal financing, the fact that they were allowed to fall to ruin is proof that they were suppressed under the rule of Akhenaten.</w:t>
      </w:r>
    </w:p>
    <w:p w14:paraId="004CF982" w14:textId="77777777" w:rsidR="00FC2AC3" w:rsidRDefault="00FC2AC3" w:rsidP="00FC2AC3">
      <w:pPr>
        <w:pStyle w:val="NormalWeb"/>
        <w:shd w:val="clear" w:color="auto" w:fill="FBF7F5"/>
        <w:spacing w:before="0" w:beforeAutospacing="0"/>
        <w:rPr>
          <w:rFonts w:ascii="Segoe UI" w:hAnsi="Segoe UI" w:cs="Segoe UI"/>
          <w:color w:val="373A3C"/>
          <w:sz w:val="23"/>
          <w:szCs w:val="23"/>
        </w:rPr>
      </w:pPr>
      <w:r>
        <w:rPr>
          <w:rFonts w:ascii="Segoe UI" w:hAnsi="Segoe UI" w:cs="Segoe UI"/>
          <w:color w:val="373A3C"/>
          <w:sz w:val="23"/>
          <w:szCs w:val="23"/>
        </w:rPr>
        <w:t xml:space="preserve">In direct discussion of the treatment of Amun as a show of </w:t>
      </w:r>
      <w:proofErr w:type="spellStart"/>
      <w:r>
        <w:rPr>
          <w:rFonts w:ascii="Segoe UI" w:hAnsi="Segoe UI" w:cs="Segoe UI"/>
          <w:color w:val="373A3C"/>
          <w:sz w:val="23"/>
          <w:szCs w:val="23"/>
        </w:rPr>
        <w:t>Atenism’s</w:t>
      </w:r>
      <w:proofErr w:type="spellEnd"/>
      <w:r>
        <w:rPr>
          <w:rFonts w:ascii="Segoe UI" w:hAnsi="Segoe UI" w:cs="Segoe UI"/>
          <w:color w:val="373A3C"/>
          <w:sz w:val="23"/>
          <w:szCs w:val="23"/>
        </w:rPr>
        <w:t xml:space="preserve"> non-acceptance of other deities, Hoffmeier (2015: 2) says that the penis on a depiction of Min, a fertility deity, was mutilated in Karnak, which Hoffmeier suggests was an anti-Amun act. There is no explanation, however, of why the mutilation of a depiction of a different deity would be done in order to protest the position of a different deity. In more direct attacks, there is evidence Tell </w:t>
      </w:r>
      <w:proofErr w:type="spellStart"/>
      <w:r>
        <w:rPr>
          <w:rFonts w:ascii="Segoe UI" w:hAnsi="Segoe UI" w:cs="Segoe UI"/>
          <w:color w:val="373A3C"/>
          <w:sz w:val="23"/>
          <w:szCs w:val="23"/>
        </w:rPr>
        <w:t>el</w:t>
      </w:r>
      <w:proofErr w:type="spellEnd"/>
      <w:r>
        <w:rPr>
          <w:rFonts w:ascii="Segoe UI" w:hAnsi="Segoe UI" w:cs="Segoe UI"/>
          <w:color w:val="373A3C"/>
          <w:sz w:val="23"/>
          <w:szCs w:val="23"/>
        </w:rPr>
        <w:t xml:space="preserve">-Borg and several sites in Nubia that the name of Amun was </w:t>
      </w:r>
      <w:proofErr w:type="spellStart"/>
      <w:r>
        <w:rPr>
          <w:rFonts w:ascii="Segoe UI" w:hAnsi="Segoe UI" w:cs="Segoe UI"/>
          <w:color w:val="373A3C"/>
          <w:sz w:val="23"/>
          <w:szCs w:val="23"/>
        </w:rPr>
        <w:t>chiseled</w:t>
      </w:r>
      <w:proofErr w:type="spellEnd"/>
      <w:r>
        <w:rPr>
          <w:rFonts w:ascii="Segoe UI" w:hAnsi="Segoe UI" w:cs="Segoe UI"/>
          <w:color w:val="373A3C"/>
          <w:sz w:val="23"/>
          <w:szCs w:val="23"/>
        </w:rPr>
        <w:t xml:space="preserve"> off of </w:t>
      </w:r>
      <w:hyperlink r:id="rId56" w:tooltip="Temples" w:history="1">
        <w:r>
          <w:rPr>
            <w:rStyle w:val="Hyperlink"/>
            <w:rFonts w:ascii="Segoe UI" w:hAnsi="Segoe UI" w:cs="Segoe UI"/>
            <w:color w:val="013E5B"/>
            <w:sz w:val="23"/>
            <w:szCs w:val="23"/>
            <w:u w:val="none"/>
          </w:rPr>
          <w:t>temples</w:t>
        </w:r>
      </w:hyperlink>
      <w:r>
        <w:rPr>
          <w:rFonts w:ascii="Segoe UI" w:hAnsi="Segoe UI" w:cs="Segoe UI"/>
          <w:color w:val="373A3C"/>
          <w:sz w:val="23"/>
          <w:szCs w:val="23"/>
        </w:rPr>
        <w:t xml:space="preserve"> and stelae (Hoffmeier 2015). At the Gebel </w:t>
      </w:r>
      <w:proofErr w:type="spellStart"/>
      <w:r>
        <w:rPr>
          <w:rFonts w:ascii="Segoe UI" w:hAnsi="Segoe UI" w:cs="Segoe UI"/>
          <w:color w:val="373A3C"/>
          <w:sz w:val="23"/>
          <w:szCs w:val="23"/>
        </w:rPr>
        <w:t>Barkal</w:t>
      </w:r>
      <w:proofErr w:type="spellEnd"/>
      <w:r>
        <w:rPr>
          <w:rFonts w:ascii="Segoe UI" w:hAnsi="Segoe UI" w:cs="Segoe UI"/>
          <w:color w:val="373A3C"/>
          <w:sz w:val="23"/>
          <w:szCs w:val="23"/>
        </w:rPr>
        <w:t xml:space="preserve"> Stela of Thutmose III in Nubia it is noted that the only name that was removed was that of Amun while the names of other deities were not damaged. It is noted that the names of other deities were removed at other sites, usually when being referred to in the plural, though Hoffmeier (2015) states that there does not seem to be a consistent application as to when names were allowed or removed. Hoffmeier (2015) also notes that many instances of Amun or references to deities such as Re that were allowed to remain still saw the removal of a hieroglyph (</w:t>
      </w:r>
      <w:r>
        <w:rPr>
          <w:rFonts w:ascii="Segoe UI Historic" w:hAnsi="Segoe UI Historic" w:cs="Segoe UI Historic"/>
          <w:color w:val="373A3C"/>
          <w:sz w:val="23"/>
          <w:szCs w:val="23"/>
        </w:rPr>
        <w:t>𓀭</w:t>
      </w:r>
      <w:r>
        <w:rPr>
          <w:rFonts w:ascii="Segoe UI" w:hAnsi="Segoe UI" w:cs="Segoe UI"/>
          <w:color w:val="373A3C"/>
          <w:sz w:val="23"/>
          <w:szCs w:val="23"/>
        </w:rPr>
        <w:t>) that indicates the incarnated form of a deity as an attack upon the idea of deities having incarnated forms in contrast to Aten, which was only portrayed as the disk of the sun by the end of Akhenaten’s reign. Finally, it is claimed that violence against ‘pagan’ worship is a hallmark of monotheistic belief (Hoffmeier 2015). It may be noted that I did not include this in the discussion of the definition of monotheism that opened this discussion–and perhaps that in itself is worthy of discussion–due to my belief that while monotheism is often accompanied by violence against non-monotheistic religions, it is not required in order for a </w:t>
      </w:r>
      <w:hyperlink r:id="rId57" w:tooltip="Religion" w:history="1">
        <w:r>
          <w:rPr>
            <w:rStyle w:val="Hyperlink"/>
            <w:rFonts w:ascii="Segoe UI" w:hAnsi="Segoe UI" w:cs="Segoe UI"/>
            <w:color w:val="013E5B"/>
            <w:sz w:val="23"/>
            <w:szCs w:val="23"/>
            <w:u w:val="none"/>
          </w:rPr>
          <w:t>religion</w:t>
        </w:r>
      </w:hyperlink>
      <w:r>
        <w:rPr>
          <w:rFonts w:ascii="Segoe UI" w:hAnsi="Segoe UI" w:cs="Segoe UI"/>
          <w:color w:val="373A3C"/>
          <w:sz w:val="23"/>
          <w:szCs w:val="23"/>
        </w:rPr>
        <w:t> to be monotheistic.</w:t>
      </w:r>
    </w:p>
    <w:p w14:paraId="240C9F6F" w14:textId="77777777" w:rsidR="00FC2AC3" w:rsidRDefault="00FC2AC3" w:rsidP="00FC2AC3">
      <w:pPr>
        <w:pStyle w:val="NormalWeb"/>
        <w:shd w:val="clear" w:color="auto" w:fill="FBF7F5"/>
        <w:spacing w:before="0" w:beforeAutospacing="0"/>
        <w:rPr>
          <w:rFonts w:ascii="Segoe UI" w:hAnsi="Segoe UI" w:cs="Segoe UI"/>
          <w:color w:val="373A3C"/>
          <w:sz w:val="23"/>
          <w:szCs w:val="23"/>
        </w:rPr>
      </w:pPr>
      <w:r>
        <w:rPr>
          <w:rFonts w:ascii="Segoe UI" w:hAnsi="Segoe UI" w:cs="Segoe UI"/>
          <w:color w:val="373A3C"/>
          <w:sz w:val="23"/>
          <w:szCs w:val="23"/>
        </w:rPr>
        <w:t>With the argument for Atenism as monotheistic laid out, the argument against this belief can be discussed. This portion of the paper can be considered my argument for the purposes of discussion, as I find the primary points of the argument for Atenism as monotheism to be ill-founded or broadly speculative. Beginning with the first point I made note of by Hoffmeier (2015) regarding the changing of the pharaoh’s name from Amenhotep IV to Akhenaten, there is no question that this naming change occurred. It is also beyond question that </w:t>
      </w:r>
      <w:hyperlink r:id="rId58" w:tooltip="Temples" w:history="1">
        <w:r>
          <w:rPr>
            <w:rStyle w:val="Hyperlink"/>
            <w:rFonts w:ascii="Segoe UI" w:hAnsi="Segoe UI" w:cs="Segoe UI"/>
            <w:color w:val="013E5B"/>
            <w:sz w:val="23"/>
            <w:szCs w:val="23"/>
            <w:u w:val="none"/>
          </w:rPr>
          <w:t>temples</w:t>
        </w:r>
      </w:hyperlink>
      <w:r>
        <w:rPr>
          <w:rFonts w:ascii="Segoe UI" w:hAnsi="Segoe UI" w:cs="Segoe UI"/>
          <w:color w:val="373A3C"/>
          <w:sz w:val="23"/>
          <w:szCs w:val="23"/>
        </w:rPr>
        <w:t> that were built prior to the change in name were corrected with Akhenaten’s new moniker, but the evidence presented by Hoffmeier to support this event signifying the suppression of deities that were not Aten is not present. Hoffmeier (2015) supports this claim through the suggestion that while no edict survives declaring other religions illegal, the defacing of the </w:t>
      </w:r>
      <w:hyperlink r:id="rId59" w:tooltip="Temples" w:history="1">
        <w:r>
          <w:rPr>
            <w:rStyle w:val="Hyperlink"/>
            <w:rFonts w:ascii="Segoe UI" w:hAnsi="Segoe UI" w:cs="Segoe UI"/>
            <w:color w:val="013E5B"/>
            <w:sz w:val="23"/>
            <w:szCs w:val="23"/>
            <w:u w:val="none"/>
          </w:rPr>
          <w:t>temples</w:t>
        </w:r>
      </w:hyperlink>
      <w:r>
        <w:rPr>
          <w:rFonts w:ascii="Segoe UI" w:hAnsi="Segoe UI" w:cs="Segoe UI"/>
          <w:color w:val="373A3C"/>
          <w:sz w:val="23"/>
          <w:szCs w:val="23"/>
        </w:rPr>
        <w:t> of Amun is proof enough. At this point, before continuing further with my refutation of Hoffmeier, it becomes important to note that I do not disagree with the assertion that the worship of Amun was suppressed, though I do disagree with the premise that the suppression of one deity is enough to infer an overall of suppression of worship of deities to the point of making Atenism a monotheistic </w:t>
      </w:r>
      <w:hyperlink r:id="rId60" w:tooltip="Religion" w:history="1">
        <w:r>
          <w:rPr>
            <w:rStyle w:val="Hyperlink"/>
            <w:rFonts w:ascii="Segoe UI" w:hAnsi="Segoe UI" w:cs="Segoe UI"/>
            <w:color w:val="013E5B"/>
            <w:sz w:val="23"/>
            <w:szCs w:val="23"/>
            <w:u w:val="none"/>
          </w:rPr>
          <w:t>religion</w:t>
        </w:r>
      </w:hyperlink>
      <w:r>
        <w:rPr>
          <w:rFonts w:ascii="Segoe UI" w:hAnsi="Segoe UI" w:cs="Segoe UI"/>
          <w:color w:val="373A3C"/>
          <w:sz w:val="23"/>
          <w:szCs w:val="23"/>
        </w:rPr>
        <w:t>. It is, in my opinion, more likely that Akhenaten did not intend to create a monotheistic </w:t>
      </w:r>
      <w:hyperlink r:id="rId61" w:tooltip="Religion" w:history="1">
        <w:r>
          <w:rPr>
            <w:rStyle w:val="Hyperlink"/>
            <w:rFonts w:ascii="Segoe UI" w:hAnsi="Segoe UI" w:cs="Segoe UI"/>
            <w:color w:val="013E5B"/>
            <w:sz w:val="23"/>
            <w:szCs w:val="23"/>
            <w:u w:val="none"/>
          </w:rPr>
          <w:t>religion</w:t>
        </w:r>
      </w:hyperlink>
      <w:r>
        <w:rPr>
          <w:rFonts w:ascii="Segoe UI" w:hAnsi="Segoe UI" w:cs="Segoe UI"/>
          <w:color w:val="373A3C"/>
          <w:sz w:val="23"/>
          <w:szCs w:val="23"/>
        </w:rPr>
        <w:t xml:space="preserve"> but to create a new chief deity that placed greater authority within the role of pharaoh. Wilkinson (2003: 238) states that the </w:t>
      </w:r>
      <w:r>
        <w:rPr>
          <w:rFonts w:ascii="Segoe UI" w:hAnsi="Segoe UI" w:cs="Segoe UI"/>
          <w:color w:val="373A3C"/>
          <w:sz w:val="23"/>
          <w:szCs w:val="23"/>
        </w:rPr>
        <w:lastRenderedPageBreak/>
        <w:t>pharaoh Akhenaten placed himself as the sole individual with access to Aten, going so far as to see that the highest ranking priest of Aten was called the priest of Akhenaten, indicating an elevated position of the pharaoh in Akhenaten’s </w:t>
      </w:r>
      <w:hyperlink r:id="rId62" w:tooltip="Religion" w:history="1">
        <w:r>
          <w:rPr>
            <w:rStyle w:val="Hyperlink"/>
            <w:rFonts w:ascii="Segoe UI" w:hAnsi="Segoe UI" w:cs="Segoe UI"/>
            <w:color w:val="013E5B"/>
            <w:sz w:val="23"/>
            <w:szCs w:val="23"/>
            <w:u w:val="none"/>
          </w:rPr>
          <w:t>religion</w:t>
        </w:r>
      </w:hyperlink>
      <w:r>
        <w:rPr>
          <w:rFonts w:ascii="Segoe UI" w:hAnsi="Segoe UI" w:cs="Segoe UI"/>
          <w:color w:val="373A3C"/>
          <w:sz w:val="23"/>
          <w:szCs w:val="23"/>
        </w:rPr>
        <w:t> of Atenism. With this explained, I am able to return to Hoffmeier (2015) and explain why the defacing of the </w:t>
      </w:r>
      <w:hyperlink r:id="rId63" w:tooltip="Temples" w:history="1">
        <w:r>
          <w:rPr>
            <w:rStyle w:val="Hyperlink"/>
            <w:rFonts w:ascii="Segoe UI" w:hAnsi="Segoe UI" w:cs="Segoe UI"/>
            <w:color w:val="013E5B"/>
            <w:sz w:val="23"/>
            <w:szCs w:val="23"/>
            <w:u w:val="none"/>
          </w:rPr>
          <w:t>temples</w:t>
        </w:r>
      </w:hyperlink>
      <w:r>
        <w:rPr>
          <w:rFonts w:ascii="Segoe UI" w:hAnsi="Segoe UI" w:cs="Segoe UI"/>
          <w:color w:val="373A3C"/>
          <w:sz w:val="23"/>
          <w:szCs w:val="23"/>
        </w:rPr>
        <w:t xml:space="preserve"> of Amun is not proof enough of Akhenaten and </w:t>
      </w:r>
      <w:proofErr w:type="spellStart"/>
      <w:r>
        <w:rPr>
          <w:rFonts w:ascii="Segoe UI" w:hAnsi="Segoe UI" w:cs="Segoe UI"/>
          <w:color w:val="373A3C"/>
          <w:sz w:val="23"/>
          <w:szCs w:val="23"/>
        </w:rPr>
        <w:t>Atenism’s</w:t>
      </w:r>
      <w:proofErr w:type="spellEnd"/>
      <w:r>
        <w:rPr>
          <w:rFonts w:ascii="Segoe UI" w:hAnsi="Segoe UI" w:cs="Segoe UI"/>
          <w:color w:val="373A3C"/>
          <w:sz w:val="23"/>
          <w:szCs w:val="23"/>
        </w:rPr>
        <w:t xml:space="preserve"> hostility towards the wider pantheon of Egyptian deities. The primary proof of this is the inconsistent application of the destruction of the names of gods other than Amun, with the name </w:t>
      </w:r>
      <w:proofErr w:type="spellStart"/>
      <w:r>
        <w:rPr>
          <w:rFonts w:ascii="Segoe UI" w:hAnsi="Segoe UI" w:cs="Segoe UI"/>
          <w:color w:val="373A3C"/>
          <w:sz w:val="23"/>
          <w:szCs w:val="23"/>
        </w:rPr>
        <w:t>Montu</w:t>
      </w:r>
      <w:proofErr w:type="spellEnd"/>
      <w:r>
        <w:rPr>
          <w:rFonts w:ascii="Segoe UI" w:hAnsi="Segoe UI" w:cs="Segoe UI"/>
          <w:color w:val="373A3C"/>
          <w:sz w:val="23"/>
          <w:szCs w:val="23"/>
        </w:rPr>
        <w:t xml:space="preserve">–a name for Thoth–being untouched at the Gebel </w:t>
      </w:r>
      <w:proofErr w:type="spellStart"/>
      <w:r>
        <w:rPr>
          <w:rFonts w:ascii="Segoe UI" w:hAnsi="Segoe UI" w:cs="Segoe UI"/>
          <w:color w:val="373A3C"/>
          <w:sz w:val="23"/>
          <w:szCs w:val="23"/>
        </w:rPr>
        <w:t>Barkal</w:t>
      </w:r>
      <w:proofErr w:type="spellEnd"/>
      <w:r>
        <w:rPr>
          <w:rFonts w:ascii="Segoe UI" w:hAnsi="Segoe UI" w:cs="Segoe UI"/>
          <w:color w:val="373A3C"/>
          <w:sz w:val="23"/>
          <w:szCs w:val="23"/>
        </w:rPr>
        <w:t xml:space="preserve"> Stela of Thutmose III, as well as the same name along with Horus, Re, and other gods being left untouched at the temple of Amun-Re in Karnak. Even the destruction of the hieroglyphic suggesting an incarnated god can also be interpreted as suggesting the Amun portion of Amun-Re, as the sun disk representing Re is left intact while the anthropomorphic deity sign is removed. The basic question that must be asked, which causes the whole argument to fall apart in my opinion, is why would one deity–Amun–be so thoroughly targeted for removal from all sites and other deities be allowed to remain. The simple reason is stated by Wilkinson (2003: 238) that these other deities were not suppressed, as is suggested by Hoffmeier (2015) and the only deity that was suppressed was Amun. The sparse cases where other deities were removed can be considered proof that no edict was sent out by the pharaoh Akhenaten to order the removal of all other deities from Egyptian </w:t>
      </w:r>
      <w:hyperlink r:id="rId64" w:tooltip="Religion" w:history="1">
        <w:r>
          <w:rPr>
            <w:rStyle w:val="Hyperlink"/>
            <w:rFonts w:ascii="Segoe UI" w:hAnsi="Segoe UI" w:cs="Segoe UI"/>
            <w:color w:val="013E5B"/>
            <w:sz w:val="23"/>
            <w:szCs w:val="23"/>
            <w:u w:val="none"/>
          </w:rPr>
          <w:t>religion</w:t>
        </w:r>
      </w:hyperlink>
      <w:r>
        <w:rPr>
          <w:rFonts w:ascii="Segoe UI" w:hAnsi="Segoe UI" w:cs="Segoe UI"/>
          <w:color w:val="373A3C"/>
          <w:sz w:val="23"/>
          <w:szCs w:val="23"/>
        </w:rPr>
        <w:t>, but that there may have been some such order regarding Amun. As for why the other deities were removed in some cases, it is not clear, though it may have either been due to orders being unclear or simply by mistake, but the only deity that can be considered to have been targeted directly is Amun.</w:t>
      </w:r>
    </w:p>
    <w:p w14:paraId="134D2970" w14:textId="77777777" w:rsidR="00FC2AC3" w:rsidRDefault="00FC2AC3" w:rsidP="00FC2AC3">
      <w:pPr>
        <w:pStyle w:val="NormalWeb"/>
        <w:shd w:val="clear" w:color="auto" w:fill="FBF7F5"/>
        <w:spacing w:before="0" w:beforeAutospacing="0"/>
        <w:rPr>
          <w:rFonts w:ascii="Segoe UI" w:hAnsi="Segoe UI" w:cs="Segoe UI"/>
          <w:color w:val="373A3C"/>
          <w:sz w:val="23"/>
          <w:szCs w:val="23"/>
        </w:rPr>
      </w:pPr>
      <w:r>
        <w:rPr>
          <w:rFonts w:ascii="Segoe UI" w:hAnsi="Segoe UI" w:cs="Segoe UI"/>
          <w:color w:val="373A3C"/>
          <w:sz w:val="23"/>
          <w:szCs w:val="23"/>
        </w:rPr>
        <w:t>As for why the stela of Akhenaten’s successor would have focused upon a great deal of negatives concerning Akhenaten, it is well recorded that the worship of Aten quickly declined after Akhenaten’s death and the orthodox priesthood quickly regained control of Egypt’s religious systems (</w:t>
      </w:r>
      <w:hyperlink r:id="rId65" w:tooltip="Wilkinson 2003" w:history="1">
        <w:r>
          <w:rPr>
            <w:rStyle w:val="Hyperlink"/>
            <w:rFonts w:ascii="Segoe UI" w:hAnsi="Segoe UI" w:cs="Segoe UI"/>
            <w:color w:val="013E5B"/>
            <w:sz w:val="23"/>
            <w:szCs w:val="23"/>
            <w:u w:val="none"/>
          </w:rPr>
          <w:t>Wilkinson 2003</w:t>
        </w:r>
      </w:hyperlink>
      <w:r>
        <w:rPr>
          <w:rFonts w:ascii="Segoe UI" w:hAnsi="Segoe UI" w:cs="Segoe UI"/>
          <w:color w:val="373A3C"/>
          <w:sz w:val="23"/>
          <w:szCs w:val="23"/>
        </w:rPr>
        <w:t>). As such, it is not unreasonable to assume that the next pharaoh would not have wanted to challenge the priesthood for control while Egypt was still adjusting from the previous change in power and attempt at shifting the </w:t>
      </w:r>
      <w:hyperlink r:id="rId66" w:tooltip="Religion" w:history="1">
        <w:r>
          <w:rPr>
            <w:rStyle w:val="Hyperlink"/>
            <w:rFonts w:ascii="Segoe UI" w:hAnsi="Segoe UI" w:cs="Segoe UI"/>
            <w:color w:val="013E5B"/>
            <w:sz w:val="23"/>
            <w:szCs w:val="23"/>
            <w:u w:val="none"/>
          </w:rPr>
          <w:t>religion</w:t>
        </w:r>
      </w:hyperlink>
      <w:r>
        <w:rPr>
          <w:rFonts w:ascii="Segoe UI" w:hAnsi="Segoe UI" w:cs="Segoe UI"/>
          <w:color w:val="373A3C"/>
          <w:sz w:val="23"/>
          <w:szCs w:val="23"/>
        </w:rPr>
        <w:t> of Egypt.</w:t>
      </w:r>
    </w:p>
    <w:p w14:paraId="123B73D3" w14:textId="77777777" w:rsidR="00FC2AC3" w:rsidRDefault="00FC2AC3" w:rsidP="00FC2AC3">
      <w:pPr>
        <w:pStyle w:val="NormalWeb"/>
        <w:shd w:val="clear" w:color="auto" w:fill="FBF7F5"/>
        <w:spacing w:before="0" w:beforeAutospacing="0"/>
        <w:rPr>
          <w:rFonts w:ascii="Segoe UI" w:hAnsi="Segoe UI" w:cs="Segoe UI"/>
          <w:color w:val="373A3C"/>
          <w:sz w:val="23"/>
          <w:szCs w:val="23"/>
        </w:rPr>
      </w:pPr>
      <w:r>
        <w:rPr>
          <w:rFonts w:ascii="Segoe UI" w:hAnsi="Segoe UI" w:cs="Segoe UI"/>
          <w:color w:val="373A3C"/>
          <w:sz w:val="23"/>
          <w:szCs w:val="23"/>
        </w:rPr>
        <w:t>Overall, it is my opinion that Atenism was not monotheistic by the definition given at the beginning of the paper, and while it may have focused upon Aten as the chief deity and made some unique claims within Egyptian </w:t>
      </w:r>
      <w:hyperlink r:id="rId67" w:tooltip="Religion" w:history="1">
        <w:r>
          <w:rPr>
            <w:rStyle w:val="Hyperlink"/>
            <w:rFonts w:ascii="Segoe UI" w:hAnsi="Segoe UI" w:cs="Segoe UI"/>
            <w:color w:val="013E5B"/>
            <w:sz w:val="23"/>
            <w:szCs w:val="23"/>
            <w:u w:val="none"/>
          </w:rPr>
          <w:t>religion</w:t>
        </w:r>
      </w:hyperlink>
      <w:r>
        <w:rPr>
          <w:rFonts w:ascii="Segoe UI" w:hAnsi="Segoe UI" w:cs="Segoe UI"/>
          <w:color w:val="373A3C"/>
          <w:sz w:val="23"/>
          <w:szCs w:val="23"/>
        </w:rPr>
        <w:t>–by way of Aten having no humanoid or animal form–it was not intended to usher in the worship of a single deity and spurn all others.</w:t>
      </w:r>
    </w:p>
    <w:p w14:paraId="0DD719BB" w14:textId="77777777" w:rsidR="00FC2AC3" w:rsidRDefault="00FC2AC3" w:rsidP="00FC2AC3">
      <w:pPr>
        <w:pStyle w:val="NormalWeb"/>
        <w:shd w:val="clear" w:color="auto" w:fill="FBF7F5"/>
        <w:spacing w:before="0" w:beforeAutospacing="0"/>
        <w:rPr>
          <w:rFonts w:ascii="Segoe UI" w:hAnsi="Segoe UI" w:cs="Segoe UI"/>
          <w:color w:val="373A3C"/>
          <w:sz w:val="23"/>
          <w:szCs w:val="23"/>
        </w:rPr>
      </w:pPr>
      <w:r>
        <w:rPr>
          <w:rFonts w:ascii="Segoe UI" w:hAnsi="Segoe UI" w:cs="Segoe UI"/>
          <w:color w:val="373A3C"/>
          <w:sz w:val="23"/>
          <w:szCs w:val="23"/>
        </w:rPr>
        <w:t> </w:t>
      </w:r>
    </w:p>
    <w:p w14:paraId="1002D7A1" w14:textId="77777777" w:rsidR="00FC2AC3" w:rsidRDefault="00FC2AC3" w:rsidP="00FC2AC3">
      <w:pPr>
        <w:pStyle w:val="NormalWeb"/>
        <w:shd w:val="clear" w:color="auto" w:fill="FBF7F5"/>
        <w:spacing w:before="0" w:beforeAutospacing="0"/>
        <w:rPr>
          <w:rFonts w:ascii="Segoe UI" w:hAnsi="Segoe UI" w:cs="Segoe UI"/>
          <w:color w:val="373A3C"/>
          <w:sz w:val="23"/>
          <w:szCs w:val="23"/>
        </w:rPr>
      </w:pPr>
      <w:r>
        <w:rPr>
          <w:rFonts w:ascii="Segoe UI" w:hAnsi="Segoe UI" w:cs="Segoe UI"/>
          <w:color w:val="373A3C"/>
          <w:sz w:val="23"/>
          <w:szCs w:val="23"/>
        </w:rPr>
        <w:t>References</w:t>
      </w:r>
    </w:p>
    <w:p w14:paraId="5816F3E8" w14:textId="77777777" w:rsidR="00FC2AC3" w:rsidRDefault="00FC2AC3" w:rsidP="00FC2AC3">
      <w:pPr>
        <w:pStyle w:val="NormalWeb"/>
        <w:shd w:val="clear" w:color="auto" w:fill="FBF7F5"/>
        <w:spacing w:before="0" w:beforeAutospacing="0"/>
        <w:rPr>
          <w:rFonts w:ascii="Segoe UI" w:hAnsi="Segoe UI" w:cs="Segoe UI"/>
          <w:color w:val="373A3C"/>
          <w:sz w:val="23"/>
          <w:szCs w:val="23"/>
        </w:rPr>
      </w:pPr>
      <w:proofErr w:type="spellStart"/>
      <w:r>
        <w:rPr>
          <w:rFonts w:ascii="Segoe UI" w:hAnsi="Segoe UI" w:cs="Segoe UI"/>
          <w:color w:val="373A3C"/>
          <w:sz w:val="23"/>
          <w:szCs w:val="23"/>
        </w:rPr>
        <w:t>Herbener</w:t>
      </w:r>
      <w:proofErr w:type="spellEnd"/>
      <w:r>
        <w:rPr>
          <w:rFonts w:ascii="Segoe UI" w:hAnsi="Segoe UI" w:cs="Segoe UI"/>
          <w:color w:val="373A3C"/>
          <w:sz w:val="23"/>
          <w:szCs w:val="23"/>
        </w:rPr>
        <w:t>, J.A. 2013. On the Term “Monotheism”. Numen 60(5/6): 616-468.</w:t>
      </w:r>
    </w:p>
    <w:p w14:paraId="039802DF" w14:textId="77777777" w:rsidR="00FC2AC3" w:rsidRDefault="00FC2AC3" w:rsidP="00FC2AC3">
      <w:pPr>
        <w:pStyle w:val="NormalWeb"/>
        <w:shd w:val="clear" w:color="auto" w:fill="FBF7F5"/>
        <w:spacing w:before="0" w:beforeAutospacing="0"/>
        <w:rPr>
          <w:rFonts w:ascii="Segoe UI" w:hAnsi="Segoe UI" w:cs="Segoe UI"/>
          <w:color w:val="373A3C"/>
          <w:sz w:val="23"/>
          <w:szCs w:val="23"/>
        </w:rPr>
      </w:pPr>
      <w:r>
        <w:rPr>
          <w:rFonts w:ascii="Segoe UI" w:hAnsi="Segoe UI" w:cs="Segoe UI"/>
          <w:color w:val="373A3C"/>
          <w:sz w:val="23"/>
          <w:szCs w:val="23"/>
        </w:rPr>
        <w:t> </w:t>
      </w:r>
    </w:p>
    <w:p w14:paraId="79B2D497" w14:textId="77777777" w:rsidR="00FC2AC3" w:rsidRDefault="00FC2AC3" w:rsidP="00FC2AC3">
      <w:pPr>
        <w:pStyle w:val="NormalWeb"/>
        <w:shd w:val="clear" w:color="auto" w:fill="FBF7F5"/>
        <w:spacing w:before="0" w:beforeAutospacing="0"/>
        <w:rPr>
          <w:rFonts w:ascii="Segoe UI" w:hAnsi="Segoe UI" w:cs="Segoe UI"/>
          <w:color w:val="373A3C"/>
          <w:sz w:val="23"/>
          <w:szCs w:val="23"/>
        </w:rPr>
      </w:pPr>
      <w:r>
        <w:rPr>
          <w:rFonts w:ascii="Segoe UI" w:hAnsi="Segoe UI" w:cs="Segoe UI"/>
          <w:color w:val="373A3C"/>
          <w:sz w:val="23"/>
          <w:szCs w:val="23"/>
        </w:rPr>
        <w:lastRenderedPageBreak/>
        <w:t>Hoffmeier, J. 2015. Akhenaten and the Origins of Monotheism. Oxford: Oxford University Press.</w:t>
      </w:r>
    </w:p>
    <w:p w14:paraId="5C928BCE" w14:textId="77777777" w:rsidR="00FC2AC3" w:rsidRDefault="00FC2AC3" w:rsidP="00FC2AC3">
      <w:pPr>
        <w:pStyle w:val="NormalWeb"/>
        <w:shd w:val="clear" w:color="auto" w:fill="FBF7F5"/>
        <w:spacing w:before="0" w:beforeAutospacing="0"/>
        <w:rPr>
          <w:rFonts w:ascii="Segoe UI" w:hAnsi="Segoe UI" w:cs="Segoe UI"/>
          <w:color w:val="373A3C"/>
          <w:sz w:val="23"/>
          <w:szCs w:val="23"/>
        </w:rPr>
      </w:pPr>
      <w:r>
        <w:rPr>
          <w:rFonts w:ascii="Segoe UI" w:hAnsi="Segoe UI" w:cs="Segoe UI"/>
          <w:color w:val="373A3C"/>
          <w:sz w:val="23"/>
          <w:szCs w:val="23"/>
        </w:rPr>
        <w:t> </w:t>
      </w:r>
    </w:p>
    <w:p w14:paraId="7D0A4DDA" w14:textId="77777777" w:rsidR="00FC2AC3" w:rsidRDefault="00FC2AC3" w:rsidP="00FC2AC3">
      <w:pPr>
        <w:pStyle w:val="NormalWeb"/>
        <w:shd w:val="clear" w:color="auto" w:fill="FBF7F5"/>
        <w:spacing w:before="0" w:beforeAutospacing="0"/>
        <w:rPr>
          <w:rFonts w:ascii="Segoe UI" w:hAnsi="Segoe UI" w:cs="Segoe UI"/>
          <w:color w:val="373A3C"/>
          <w:sz w:val="23"/>
          <w:szCs w:val="23"/>
        </w:rPr>
      </w:pPr>
      <w:r>
        <w:rPr>
          <w:rFonts w:ascii="Segoe UI" w:hAnsi="Segoe UI" w:cs="Segoe UI"/>
          <w:color w:val="373A3C"/>
          <w:sz w:val="23"/>
          <w:szCs w:val="23"/>
        </w:rPr>
        <w:t>Wilkinson, R. 2003. The Complete Gods and Goddesses of Ancient Egypt. London: Thames &amp; Hudson Ltd.</w:t>
      </w:r>
    </w:p>
    <w:p w14:paraId="0F59933E" w14:textId="77777777" w:rsidR="00FC2AC3" w:rsidRDefault="00FC2AC3" w:rsidP="00FC2AC3">
      <w:pPr>
        <w:pStyle w:val="NormalWeb"/>
        <w:shd w:val="clear" w:color="auto" w:fill="FBF7F5"/>
        <w:spacing w:before="0" w:beforeAutospacing="0"/>
        <w:rPr>
          <w:rFonts w:ascii="Segoe UI" w:hAnsi="Segoe UI" w:cs="Segoe UI"/>
          <w:color w:val="373A3C"/>
          <w:sz w:val="23"/>
          <w:szCs w:val="23"/>
        </w:rPr>
      </w:pPr>
      <w:r>
        <w:rPr>
          <w:rFonts w:ascii="Segoe UI" w:hAnsi="Segoe UI" w:cs="Segoe UI"/>
          <w:color w:val="373A3C"/>
          <w:sz w:val="23"/>
          <w:szCs w:val="23"/>
        </w:rPr>
        <w:t> </w:t>
      </w:r>
    </w:p>
    <w:p w14:paraId="227B2806" w14:textId="77777777" w:rsidR="00FC2AC3" w:rsidRPr="00FC2AC3" w:rsidRDefault="00FC2AC3" w:rsidP="00FC2AC3"/>
    <w:sectPr w:rsidR="00FC2AC3" w:rsidRPr="00FC2A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A23C39"/>
    <w:multiLevelType w:val="multilevel"/>
    <w:tmpl w:val="16D43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84508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AC3"/>
    <w:rsid w:val="00B40819"/>
    <w:rsid w:val="00FC2AC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D5AEA"/>
  <w15:chartTrackingRefBased/>
  <w15:docId w15:val="{E081A334-41B0-4623-8D1B-2CD7D4087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2A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C2AC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C2AC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2AC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C2AC3"/>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semiHidden/>
    <w:unhideWhenUsed/>
    <w:rsid w:val="00FC2AC3"/>
    <w:rPr>
      <w:color w:val="0000FF"/>
      <w:u w:val="single"/>
    </w:rPr>
  </w:style>
  <w:style w:type="character" w:customStyle="1" w:styleId="sr-only">
    <w:name w:val="sr-only"/>
    <w:basedOn w:val="DefaultParagraphFont"/>
    <w:rsid w:val="00FC2AC3"/>
  </w:style>
  <w:style w:type="paragraph" w:styleId="NormalWeb">
    <w:name w:val="Normal (Web)"/>
    <w:basedOn w:val="Normal"/>
    <w:uiPriority w:val="99"/>
    <w:semiHidden/>
    <w:unhideWhenUsed/>
    <w:rsid w:val="00FC2AC3"/>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C2AC3"/>
    <w:rPr>
      <w:i/>
      <w:iCs/>
    </w:rPr>
  </w:style>
  <w:style w:type="character" w:styleId="Strong">
    <w:name w:val="Strong"/>
    <w:basedOn w:val="DefaultParagraphFont"/>
    <w:uiPriority w:val="22"/>
    <w:qFormat/>
    <w:rsid w:val="00FC2AC3"/>
    <w:rPr>
      <w:b/>
      <w:bCs/>
    </w:rPr>
  </w:style>
  <w:style w:type="paragraph" w:customStyle="1" w:styleId="prev-discussion">
    <w:name w:val="prev-discussion"/>
    <w:basedOn w:val="Normal"/>
    <w:rsid w:val="00FC2AC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ext-discussion">
    <w:name w:val="next-discussion"/>
    <w:basedOn w:val="Normal"/>
    <w:rsid w:val="00FC2AC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FC2AC3"/>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511322">
      <w:bodyDiv w:val="1"/>
      <w:marLeft w:val="0"/>
      <w:marRight w:val="0"/>
      <w:marTop w:val="0"/>
      <w:marBottom w:val="0"/>
      <w:divBdr>
        <w:top w:val="none" w:sz="0" w:space="0" w:color="auto"/>
        <w:left w:val="none" w:sz="0" w:space="0" w:color="auto"/>
        <w:bottom w:val="none" w:sz="0" w:space="0" w:color="auto"/>
        <w:right w:val="none" w:sz="0" w:space="0" w:color="auto"/>
      </w:divBdr>
      <w:divsChild>
        <w:div w:id="1910340315">
          <w:marLeft w:val="0"/>
          <w:marRight w:val="0"/>
          <w:marTop w:val="0"/>
          <w:marBottom w:val="0"/>
          <w:divBdr>
            <w:top w:val="none" w:sz="0" w:space="0" w:color="auto"/>
            <w:left w:val="none" w:sz="0" w:space="0" w:color="auto"/>
            <w:bottom w:val="none" w:sz="0" w:space="0" w:color="auto"/>
            <w:right w:val="none" w:sz="0" w:space="0" w:color="auto"/>
          </w:divBdr>
          <w:divsChild>
            <w:div w:id="1137265375">
              <w:marLeft w:val="0"/>
              <w:marRight w:val="0"/>
              <w:marTop w:val="0"/>
              <w:marBottom w:val="0"/>
              <w:divBdr>
                <w:top w:val="none" w:sz="0" w:space="0" w:color="auto"/>
                <w:left w:val="none" w:sz="0" w:space="0" w:color="auto"/>
                <w:bottom w:val="none" w:sz="0" w:space="0" w:color="auto"/>
                <w:right w:val="none" w:sz="0" w:space="0" w:color="auto"/>
              </w:divBdr>
            </w:div>
          </w:divsChild>
        </w:div>
        <w:div w:id="2121871891">
          <w:marLeft w:val="0"/>
          <w:marRight w:val="0"/>
          <w:marTop w:val="0"/>
          <w:marBottom w:val="0"/>
          <w:divBdr>
            <w:top w:val="none" w:sz="0" w:space="0" w:color="auto"/>
            <w:left w:val="none" w:sz="0" w:space="0" w:color="auto"/>
            <w:bottom w:val="none" w:sz="0" w:space="0" w:color="auto"/>
            <w:right w:val="none" w:sz="0" w:space="0" w:color="auto"/>
          </w:divBdr>
          <w:divsChild>
            <w:div w:id="111648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079492">
      <w:bodyDiv w:val="1"/>
      <w:marLeft w:val="0"/>
      <w:marRight w:val="0"/>
      <w:marTop w:val="0"/>
      <w:marBottom w:val="0"/>
      <w:divBdr>
        <w:top w:val="none" w:sz="0" w:space="0" w:color="auto"/>
        <w:left w:val="none" w:sz="0" w:space="0" w:color="auto"/>
        <w:bottom w:val="none" w:sz="0" w:space="0" w:color="auto"/>
        <w:right w:val="none" w:sz="0" w:space="0" w:color="auto"/>
      </w:divBdr>
      <w:divsChild>
        <w:div w:id="1916890450">
          <w:marLeft w:val="0"/>
          <w:marRight w:val="0"/>
          <w:marTop w:val="0"/>
          <w:marBottom w:val="0"/>
          <w:divBdr>
            <w:top w:val="none" w:sz="0" w:space="0" w:color="auto"/>
            <w:left w:val="none" w:sz="0" w:space="0" w:color="auto"/>
            <w:bottom w:val="none" w:sz="0" w:space="0" w:color="auto"/>
            <w:right w:val="none" w:sz="0" w:space="0" w:color="auto"/>
          </w:divBdr>
          <w:divsChild>
            <w:div w:id="1721857215">
              <w:marLeft w:val="0"/>
              <w:marRight w:val="0"/>
              <w:marTop w:val="0"/>
              <w:marBottom w:val="0"/>
              <w:divBdr>
                <w:top w:val="none" w:sz="0" w:space="0" w:color="auto"/>
                <w:left w:val="none" w:sz="0" w:space="0" w:color="auto"/>
                <w:bottom w:val="none" w:sz="0" w:space="0" w:color="auto"/>
                <w:right w:val="none" w:sz="0" w:space="0" w:color="auto"/>
              </w:divBdr>
              <w:divsChild>
                <w:div w:id="170141318">
                  <w:marLeft w:val="0"/>
                  <w:marRight w:val="0"/>
                  <w:marTop w:val="0"/>
                  <w:marBottom w:val="0"/>
                  <w:divBdr>
                    <w:top w:val="single" w:sz="6" w:space="5" w:color="DEE2E6"/>
                    <w:left w:val="single" w:sz="6" w:space="5" w:color="DEE2E6"/>
                    <w:bottom w:val="single" w:sz="6" w:space="5" w:color="DEE2E6"/>
                    <w:right w:val="single" w:sz="6" w:space="5" w:color="DEE2E6"/>
                  </w:divBdr>
                  <w:divsChild>
                    <w:div w:id="1888758590">
                      <w:marLeft w:val="0"/>
                      <w:marRight w:val="0"/>
                      <w:marTop w:val="0"/>
                      <w:marBottom w:val="0"/>
                      <w:divBdr>
                        <w:top w:val="none" w:sz="0" w:space="0" w:color="auto"/>
                        <w:left w:val="none" w:sz="0" w:space="0" w:color="auto"/>
                        <w:bottom w:val="none" w:sz="0" w:space="0" w:color="auto"/>
                        <w:right w:val="none" w:sz="0" w:space="0" w:color="auto"/>
                      </w:divBdr>
                      <w:divsChild>
                        <w:div w:id="110906669">
                          <w:marLeft w:val="0"/>
                          <w:marRight w:val="0"/>
                          <w:marTop w:val="0"/>
                          <w:marBottom w:val="0"/>
                          <w:divBdr>
                            <w:top w:val="none" w:sz="0" w:space="0" w:color="auto"/>
                            <w:left w:val="none" w:sz="0" w:space="0" w:color="auto"/>
                            <w:bottom w:val="none" w:sz="0" w:space="0" w:color="auto"/>
                            <w:right w:val="none" w:sz="0" w:space="0" w:color="auto"/>
                          </w:divBdr>
                          <w:divsChild>
                            <w:div w:id="440691166">
                              <w:marLeft w:val="0"/>
                              <w:marRight w:val="0"/>
                              <w:marTop w:val="0"/>
                              <w:marBottom w:val="0"/>
                              <w:divBdr>
                                <w:top w:val="none" w:sz="0" w:space="0" w:color="auto"/>
                                <w:left w:val="none" w:sz="0" w:space="0" w:color="auto"/>
                                <w:bottom w:val="none" w:sz="0" w:space="0" w:color="auto"/>
                                <w:right w:val="none" w:sz="0" w:space="0" w:color="auto"/>
                              </w:divBdr>
                            </w:div>
                          </w:divsChild>
                        </w:div>
                        <w:div w:id="645477746">
                          <w:marLeft w:val="0"/>
                          <w:marRight w:val="0"/>
                          <w:marTop w:val="0"/>
                          <w:marBottom w:val="0"/>
                          <w:divBdr>
                            <w:top w:val="none" w:sz="0" w:space="0" w:color="auto"/>
                            <w:left w:val="none" w:sz="0" w:space="0" w:color="auto"/>
                            <w:bottom w:val="none" w:sz="0" w:space="0" w:color="auto"/>
                            <w:right w:val="none" w:sz="0" w:space="0" w:color="auto"/>
                          </w:divBdr>
                          <w:divsChild>
                            <w:div w:id="589194415">
                              <w:marLeft w:val="0"/>
                              <w:marRight w:val="0"/>
                              <w:marTop w:val="0"/>
                              <w:marBottom w:val="0"/>
                              <w:divBdr>
                                <w:top w:val="none" w:sz="0" w:space="0" w:color="auto"/>
                                <w:left w:val="none" w:sz="0" w:space="0" w:color="auto"/>
                                <w:bottom w:val="none" w:sz="0" w:space="0" w:color="auto"/>
                                <w:right w:val="none" w:sz="0" w:space="0" w:color="auto"/>
                              </w:divBdr>
                              <w:divsChild>
                                <w:div w:id="13922716">
                                  <w:marLeft w:val="0"/>
                                  <w:marRight w:val="0"/>
                                  <w:marTop w:val="0"/>
                                  <w:marBottom w:val="0"/>
                                  <w:divBdr>
                                    <w:top w:val="none" w:sz="0" w:space="0" w:color="auto"/>
                                    <w:left w:val="none" w:sz="0" w:space="0" w:color="auto"/>
                                    <w:bottom w:val="none" w:sz="0" w:space="0" w:color="auto"/>
                                    <w:right w:val="none" w:sz="0" w:space="0" w:color="auto"/>
                                  </w:divBdr>
                                  <w:divsChild>
                                    <w:div w:id="914587190">
                                      <w:marLeft w:val="0"/>
                                      <w:marRight w:val="0"/>
                                      <w:marTop w:val="0"/>
                                      <w:marBottom w:val="0"/>
                                      <w:divBdr>
                                        <w:top w:val="none" w:sz="0" w:space="0" w:color="auto"/>
                                        <w:left w:val="none" w:sz="0" w:space="0" w:color="auto"/>
                                        <w:bottom w:val="none" w:sz="0" w:space="0" w:color="auto"/>
                                        <w:right w:val="none" w:sz="0" w:space="0" w:color="auto"/>
                                      </w:divBdr>
                                      <w:divsChild>
                                        <w:div w:id="1667710575">
                                          <w:marLeft w:val="0"/>
                                          <w:marRight w:val="0"/>
                                          <w:marTop w:val="0"/>
                                          <w:marBottom w:val="0"/>
                                          <w:divBdr>
                                            <w:top w:val="none" w:sz="0" w:space="0" w:color="auto"/>
                                            <w:left w:val="none" w:sz="0" w:space="0" w:color="auto"/>
                                            <w:bottom w:val="none" w:sz="0" w:space="0" w:color="auto"/>
                                            <w:right w:val="none" w:sz="0" w:space="0" w:color="auto"/>
                                          </w:divBdr>
                                        </w:div>
                                        <w:div w:id="880870836">
                                          <w:marLeft w:val="0"/>
                                          <w:marRight w:val="0"/>
                                          <w:marTop w:val="0"/>
                                          <w:marBottom w:val="0"/>
                                          <w:divBdr>
                                            <w:top w:val="none" w:sz="0" w:space="0" w:color="auto"/>
                                            <w:left w:val="none" w:sz="0" w:space="0" w:color="auto"/>
                                            <w:bottom w:val="none" w:sz="0" w:space="0" w:color="auto"/>
                                            <w:right w:val="none" w:sz="0" w:space="0" w:color="auto"/>
                                          </w:divBdr>
                                        </w:div>
                                        <w:div w:id="1693458121">
                                          <w:marLeft w:val="0"/>
                                          <w:marRight w:val="0"/>
                                          <w:marTop w:val="0"/>
                                          <w:marBottom w:val="0"/>
                                          <w:divBdr>
                                            <w:top w:val="none" w:sz="0" w:space="0" w:color="auto"/>
                                            <w:left w:val="none" w:sz="0" w:space="0" w:color="auto"/>
                                            <w:bottom w:val="none" w:sz="0" w:space="0" w:color="auto"/>
                                            <w:right w:val="none" w:sz="0" w:space="0" w:color="auto"/>
                                          </w:divBdr>
                                        </w:div>
                                        <w:div w:id="681010271">
                                          <w:marLeft w:val="0"/>
                                          <w:marRight w:val="0"/>
                                          <w:marTop w:val="0"/>
                                          <w:marBottom w:val="0"/>
                                          <w:divBdr>
                                            <w:top w:val="none" w:sz="0" w:space="0" w:color="auto"/>
                                            <w:left w:val="none" w:sz="0" w:space="0" w:color="auto"/>
                                            <w:bottom w:val="none" w:sz="0" w:space="0" w:color="auto"/>
                                            <w:right w:val="none" w:sz="0" w:space="0" w:color="auto"/>
                                          </w:divBdr>
                                        </w:div>
                                        <w:div w:id="735009597">
                                          <w:marLeft w:val="0"/>
                                          <w:marRight w:val="0"/>
                                          <w:marTop w:val="0"/>
                                          <w:marBottom w:val="0"/>
                                          <w:divBdr>
                                            <w:top w:val="none" w:sz="0" w:space="0" w:color="auto"/>
                                            <w:left w:val="none" w:sz="0" w:space="0" w:color="auto"/>
                                            <w:bottom w:val="none" w:sz="0" w:space="0" w:color="auto"/>
                                            <w:right w:val="none" w:sz="0" w:space="0" w:color="auto"/>
                                          </w:divBdr>
                                        </w:div>
                                        <w:div w:id="1708486104">
                                          <w:marLeft w:val="0"/>
                                          <w:marRight w:val="0"/>
                                          <w:marTop w:val="0"/>
                                          <w:marBottom w:val="0"/>
                                          <w:divBdr>
                                            <w:top w:val="none" w:sz="0" w:space="0" w:color="auto"/>
                                            <w:left w:val="none" w:sz="0" w:space="0" w:color="auto"/>
                                            <w:bottom w:val="none" w:sz="0" w:space="0" w:color="auto"/>
                                            <w:right w:val="none" w:sz="0" w:space="0" w:color="auto"/>
                                          </w:divBdr>
                                        </w:div>
                                        <w:div w:id="839076260">
                                          <w:marLeft w:val="0"/>
                                          <w:marRight w:val="0"/>
                                          <w:marTop w:val="0"/>
                                          <w:marBottom w:val="0"/>
                                          <w:divBdr>
                                            <w:top w:val="none" w:sz="0" w:space="0" w:color="auto"/>
                                            <w:left w:val="none" w:sz="0" w:space="0" w:color="auto"/>
                                            <w:bottom w:val="none" w:sz="0" w:space="0" w:color="auto"/>
                                            <w:right w:val="none" w:sz="0" w:space="0" w:color="auto"/>
                                          </w:divBdr>
                                        </w:div>
                                        <w:div w:id="1092429203">
                                          <w:marLeft w:val="0"/>
                                          <w:marRight w:val="0"/>
                                          <w:marTop w:val="0"/>
                                          <w:marBottom w:val="0"/>
                                          <w:divBdr>
                                            <w:top w:val="none" w:sz="0" w:space="0" w:color="auto"/>
                                            <w:left w:val="none" w:sz="0" w:space="0" w:color="auto"/>
                                            <w:bottom w:val="none" w:sz="0" w:space="0" w:color="auto"/>
                                            <w:right w:val="none" w:sz="0" w:space="0" w:color="auto"/>
                                          </w:divBdr>
                                        </w:div>
                                        <w:div w:id="427888923">
                                          <w:marLeft w:val="0"/>
                                          <w:marRight w:val="0"/>
                                          <w:marTop w:val="0"/>
                                          <w:marBottom w:val="0"/>
                                          <w:divBdr>
                                            <w:top w:val="none" w:sz="0" w:space="0" w:color="auto"/>
                                            <w:left w:val="none" w:sz="0" w:space="0" w:color="auto"/>
                                            <w:bottom w:val="none" w:sz="0" w:space="0" w:color="auto"/>
                                            <w:right w:val="none" w:sz="0" w:space="0" w:color="auto"/>
                                          </w:divBdr>
                                        </w:div>
                                        <w:div w:id="1324897469">
                                          <w:marLeft w:val="0"/>
                                          <w:marRight w:val="0"/>
                                          <w:marTop w:val="0"/>
                                          <w:marBottom w:val="0"/>
                                          <w:divBdr>
                                            <w:top w:val="none" w:sz="0" w:space="0" w:color="auto"/>
                                            <w:left w:val="none" w:sz="0" w:space="0" w:color="auto"/>
                                            <w:bottom w:val="none" w:sz="0" w:space="0" w:color="auto"/>
                                            <w:right w:val="none" w:sz="0" w:space="0" w:color="auto"/>
                                          </w:divBdr>
                                        </w:div>
                                        <w:div w:id="1967393587">
                                          <w:marLeft w:val="0"/>
                                          <w:marRight w:val="0"/>
                                          <w:marTop w:val="0"/>
                                          <w:marBottom w:val="0"/>
                                          <w:divBdr>
                                            <w:top w:val="none" w:sz="0" w:space="0" w:color="auto"/>
                                            <w:left w:val="none" w:sz="0" w:space="0" w:color="auto"/>
                                            <w:bottom w:val="none" w:sz="0" w:space="0" w:color="auto"/>
                                            <w:right w:val="none" w:sz="0" w:space="0" w:color="auto"/>
                                          </w:divBdr>
                                        </w:div>
                                        <w:div w:id="1064448679">
                                          <w:marLeft w:val="0"/>
                                          <w:marRight w:val="0"/>
                                          <w:marTop w:val="0"/>
                                          <w:marBottom w:val="0"/>
                                          <w:divBdr>
                                            <w:top w:val="none" w:sz="0" w:space="0" w:color="auto"/>
                                            <w:left w:val="none" w:sz="0" w:space="0" w:color="auto"/>
                                            <w:bottom w:val="none" w:sz="0" w:space="0" w:color="auto"/>
                                            <w:right w:val="none" w:sz="0" w:space="0" w:color="auto"/>
                                          </w:divBdr>
                                        </w:div>
                                        <w:div w:id="973488327">
                                          <w:marLeft w:val="0"/>
                                          <w:marRight w:val="0"/>
                                          <w:marTop w:val="0"/>
                                          <w:marBottom w:val="0"/>
                                          <w:divBdr>
                                            <w:top w:val="none" w:sz="0" w:space="0" w:color="auto"/>
                                            <w:left w:val="none" w:sz="0" w:space="0" w:color="auto"/>
                                            <w:bottom w:val="none" w:sz="0" w:space="0" w:color="auto"/>
                                            <w:right w:val="none" w:sz="0" w:space="0" w:color="auto"/>
                                          </w:divBdr>
                                        </w:div>
                                        <w:div w:id="485560213">
                                          <w:marLeft w:val="0"/>
                                          <w:marRight w:val="0"/>
                                          <w:marTop w:val="0"/>
                                          <w:marBottom w:val="0"/>
                                          <w:divBdr>
                                            <w:top w:val="none" w:sz="0" w:space="0" w:color="auto"/>
                                            <w:left w:val="none" w:sz="0" w:space="0" w:color="auto"/>
                                            <w:bottom w:val="none" w:sz="0" w:space="0" w:color="auto"/>
                                            <w:right w:val="none" w:sz="0" w:space="0" w:color="auto"/>
                                          </w:divBdr>
                                        </w:div>
                                        <w:div w:id="1089540065">
                                          <w:marLeft w:val="0"/>
                                          <w:marRight w:val="0"/>
                                          <w:marTop w:val="0"/>
                                          <w:marBottom w:val="0"/>
                                          <w:divBdr>
                                            <w:top w:val="none" w:sz="0" w:space="0" w:color="auto"/>
                                            <w:left w:val="none" w:sz="0" w:space="0" w:color="auto"/>
                                            <w:bottom w:val="none" w:sz="0" w:space="0" w:color="auto"/>
                                            <w:right w:val="none" w:sz="0" w:space="0" w:color="auto"/>
                                          </w:divBdr>
                                        </w:div>
                                        <w:div w:id="1048381197">
                                          <w:marLeft w:val="0"/>
                                          <w:marRight w:val="0"/>
                                          <w:marTop w:val="0"/>
                                          <w:marBottom w:val="0"/>
                                          <w:divBdr>
                                            <w:top w:val="none" w:sz="0" w:space="0" w:color="auto"/>
                                            <w:left w:val="none" w:sz="0" w:space="0" w:color="auto"/>
                                            <w:bottom w:val="none" w:sz="0" w:space="0" w:color="auto"/>
                                            <w:right w:val="none" w:sz="0" w:space="0" w:color="auto"/>
                                          </w:divBdr>
                                        </w:div>
                                        <w:div w:id="1972250754">
                                          <w:marLeft w:val="0"/>
                                          <w:marRight w:val="0"/>
                                          <w:marTop w:val="0"/>
                                          <w:marBottom w:val="0"/>
                                          <w:divBdr>
                                            <w:top w:val="none" w:sz="0" w:space="0" w:color="auto"/>
                                            <w:left w:val="none" w:sz="0" w:space="0" w:color="auto"/>
                                            <w:bottom w:val="none" w:sz="0" w:space="0" w:color="auto"/>
                                            <w:right w:val="none" w:sz="0" w:space="0" w:color="auto"/>
                                          </w:divBdr>
                                        </w:div>
                                        <w:div w:id="81996491">
                                          <w:marLeft w:val="0"/>
                                          <w:marRight w:val="0"/>
                                          <w:marTop w:val="0"/>
                                          <w:marBottom w:val="0"/>
                                          <w:divBdr>
                                            <w:top w:val="none" w:sz="0" w:space="0" w:color="auto"/>
                                            <w:left w:val="none" w:sz="0" w:space="0" w:color="auto"/>
                                            <w:bottom w:val="none" w:sz="0" w:space="0" w:color="auto"/>
                                            <w:right w:val="none" w:sz="0" w:space="0" w:color="auto"/>
                                          </w:divBdr>
                                        </w:div>
                                        <w:div w:id="922180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304200">
                                  <w:marLeft w:val="0"/>
                                  <w:marRight w:val="0"/>
                                  <w:marTop w:val="0"/>
                                  <w:marBottom w:val="0"/>
                                  <w:divBdr>
                                    <w:top w:val="none" w:sz="0" w:space="0" w:color="auto"/>
                                    <w:left w:val="none" w:sz="0" w:space="0" w:color="auto"/>
                                    <w:bottom w:val="none" w:sz="0" w:space="0" w:color="auto"/>
                                    <w:right w:val="none" w:sz="0" w:space="0" w:color="auto"/>
                                  </w:divBdr>
                                  <w:divsChild>
                                    <w:div w:id="448553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3842402">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 w:id="1747150340">
      <w:bodyDiv w:val="1"/>
      <w:marLeft w:val="0"/>
      <w:marRight w:val="0"/>
      <w:marTop w:val="0"/>
      <w:marBottom w:val="0"/>
      <w:divBdr>
        <w:top w:val="none" w:sz="0" w:space="0" w:color="auto"/>
        <w:left w:val="none" w:sz="0" w:space="0" w:color="auto"/>
        <w:bottom w:val="none" w:sz="0" w:space="0" w:color="auto"/>
        <w:right w:val="none" w:sz="0" w:space="0" w:color="auto"/>
      </w:divBdr>
      <w:divsChild>
        <w:div w:id="1632396843">
          <w:marLeft w:val="0"/>
          <w:marRight w:val="0"/>
          <w:marTop w:val="0"/>
          <w:marBottom w:val="0"/>
          <w:divBdr>
            <w:top w:val="none" w:sz="0" w:space="0" w:color="auto"/>
            <w:left w:val="none" w:sz="0" w:space="0" w:color="auto"/>
            <w:bottom w:val="none" w:sz="0" w:space="0" w:color="auto"/>
            <w:right w:val="none" w:sz="0" w:space="0" w:color="auto"/>
          </w:divBdr>
          <w:divsChild>
            <w:div w:id="1708721979">
              <w:marLeft w:val="0"/>
              <w:marRight w:val="0"/>
              <w:marTop w:val="0"/>
              <w:marBottom w:val="0"/>
              <w:divBdr>
                <w:top w:val="none" w:sz="0" w:space="0" w:color="auto"/>
                <w:left w:val="none" w:sz="0" w:space="0" w:color="auto"/>
                <w:bottom w:val="none" w:sz="0" w:space="0" w:color="auto"/>
                <w:right w:val="none" w:sz="0" w:space="0" w:color="auto"/>
              </w:divBdr>
            </w:div>
          </w:divsChild>
        </w:div>
        <w:div w:id="35745032">
          <w:marLeft w:val="0"/>
          <w:marRight w:val="0"/>
          <w:marTop w:val="0"/>
          <w:marBottom w:val="0"/>
          <w:divBdr>
            <w:top w:val="none" w:sz="0" w:space="0" w:color="auto"/>
            <w:left w:val="none" w:sz="0" w:space="0" w:color="auto"/>
            <w:bottom w:val="none" w:sz="0" w:space="0" w:color="auto"/>
            <w:right w:val="none" w:sz="0" w:space="0" w:color="auto"/>
          </w:divBdr>
          <w:divsChild>
            <w:div w:id="516699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090309">
      <w:bodyDiv w:val="1"/>
      <w:marLeft w:val="0"/>
      <w:marRight w:val="0"/>
      <w:marTop w:val="0"/>
      <w:marBottom w:val="0"/>
      <w:divBdr>
        <w:top w:val="none" w:sz="0" w:space="0" w:color="auto"/>
        <w:left w:val="none" w:sz="0" w:space="0" w:color="auto"/>
        <w:bottom w:val="none" w:sz="0" w:space="0" w:color="auto"/>
        <w:right w:val="none" w:sz="0" w:space="0" w:color="auto"/>
      </w:divBdr>
      <w:divsChild>
        <w:div w:id="104496926">
          <w:marLeft w:val="0"/>
          <w:marRight w:val="0"/>
          <w:marTop w:val="0"/>
          <w:marBottom w:val="0"/>
          <w:divBdr>
            <w:top w:val="none" w:sz="0" w:space="0" w:color="auto"/>
            <w:left w:val="none" w:sz="0" w:space="0" w:color="auto"/>
            <w:bottom w:val="none" w:sz="0" w:space="0" w:color="auto"/>
            <w:right w:val="none" w:sz="0" w:space="0" w:color="auto"/>
          </w:divBdr>
          <w:divsChild>
            <w:div w:id="2095280383">
              <w:marLeft w:val="0"/>
              <w:marRight w:val="0"/>
              <w:marTop w:val="0"/>
              <w:marBottom w:val="0"/>
              <w:divBdr>
                <w:top w:val="none" w:sz="0" w:space="0" w:color="auto"/>
                <w:left w:val="none" w:sz="0" w:space="0" w:color="auto"/>
                <w:bottom w:val="none" w:sz="0" w:space="0" w:color="auto"/>
                <w:right w:val="none" w:sz="0" w:space="0" w:color="auto"/>
              </w:divBdr>
            </w:div>
          </w:divsChild>
        </w:div>
        <w:div w:id="1403524704">
          <w:marLeft w:val="0"/>
          <w:marRight w:val="0"/>
          <w:marTop w:val="0"/>
          <w:marBottom w:val="0"/>
          <w:divBdr>
            <w:top w:val="none" w:sz="0" w:space="0" w:color="auto"/>
            <w:left w:val="none" w:sz="0" w:space="0" w:color="auto"/>
            <w:bottom w:val="none" w:sz="0" w:space="0" w:color="auto"/>
            <w:right w:val="none" w:sz="0" w:space="0" w:color="auto"/>
          </w:divBdr>
          <w:divsChild>
            <w:div w:id="1203900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moodle.uwtsd.ac.uk/mod/resource/view.php?id=143682" TargetMode="External"/><Relationship Id="rId21" Type="http://schemas.openxmlformats.org/officeDocument/2006/relationships/hyperlink" Target="https://moodle.uwtsd.ac.uk/mod/forum/discuss.php?d=83970" TargetMode="External"/><Relationship Id="rId42" Type="http://schemas.openxmlformats.org/officeDocument/2006/relationships/hyperlink" Target="https://moodle.uwtsd.ac.uk/mod/forum/discuss.php?d=83970" TargetMode="External"/><Relationship Id="rId47" Type="http://schemas.openxmlformats.org/officeDocument/2006/relationships/hyperlink" Target="https://moodle.uwtsd.ac.uk/mod/resource/view.php?id=143682" TargetMode="External"/><Relationship Id="rId63" Type="http://schemas.openxmlformats.org/officeDocument/2006/relationships/hyperlink" Target="https://moodle.uwtsd.ac.uk/mod/resource/view.php?id=143683" TargetMode="External"/><Relationship Id="rId68" Type="http://schemas.openxmlformats.org/officeDocument/2006/relationships/fontTable" Target="fontTable.xml"/><Relationship Id="rId7" Type="http://schemas.openxmlformats.org/officeDocument/2006/relationships/hyperlink" Target="https://moodle.uwtsd.ac.uk/mod/forum/discuss.php?d=83970" TargetMode="External"/><Relationship Id="rId2" Type="http://schemas.openxmlformats.org/officeDocument/2006/relationships/styles" Target="styles.xml"/><Relationship Id="rId16" Type="http://schemas.openxmlformats.org/officeDocument/2006/relationships/hyperlink" Target="https://moodle.uwtsd.ac.uk/mod/forum/discuss.php?d=83970" TargetMode="External"/><Relationship Id="rId29" Type="http://schemas.openxmlformats.org/officeDocument/2006/relationships/hyperlink" Target="https://moodle.uwtsd.ac.uk/mod/forum/discuss.php?d=83970" TargetMode="External"/><Relationship Id="rId11" Type="http://schemas.openxmlformats.org/officeDocument/2006/relationships/hyperlink" Target="https://moodle.uwtsd.ac.uk/mod/forum/discuss.php?d=83970" TargetMode="External"/><Relationship Id="rId24" Type="http://schemas.openxmlformats.org/officeDocument/2006/relationships/hyperlink" Target="https://moodle.uwtsd.ac.uk/mod/resource/view.php?id=143682" TargetMode="External"/><Relationship Id="rId32" Type="http://schemas.openxmlformats.org/officeDocument/2006/relationships/hyperlink" Target="https://moodle.uwtsd.ac.uk/mod/forum/discuss.php?d=83970" TargetMode="External"/><Relationship Id="rId37" Type="http://schemas.openxmlformats.org/officeDocument/2006/relationships/hyperlink" Target="https://moodle.uwtsd.ac.uk/mod/forum/discuss.php?d=83970" TargetMode="External"/><Relationship Id="rId40" Type="http://schemas.openxmlformats.org/officeDocument/2006/relationships/hyperlink" Target="https://moodle.uwtsd.ac.uk/mod/forum/discuss.php?d=83970" TargetMode="External"/><Relationship Id="rId45" Type="http://schemas.openxmlformats.org/officeDocument/2006/relationships/hyperlink" Target="https://moodle.uwtsd.ac.uk/mod/forum/discuss.php?d=83970" TargetMode="External"/><Relationship Id="rId53" Type="http://schemas.openxmlformats.org/officeDocument/2006/relationships/hyperlink" Target="https://moodle.uwtsd.ac.uk/mod/resource/view.php?id=143683" TargetMode="External"/><Relationship Id="rId58" Type="http://schemas.openxmlformats.org/officeDocument/2006/relationships/hyperlink" Target="https://moodle.uwtsd.ac.uk/mod/resource/view.php?id=143683" TargetMode="External"/><Relationship Id="rId66" Type="http://schemas.openxmlformats.org/officeDocument/2006/relationships/hyperlink" Target="https://moodle.uwtsd.ac.uk/mod/resource/view.php?id=143682" TargetMode="External"/><Relationship Id="rId5" Type="http://schemas.openxmlformats.org/officeDocument/2006/relationships/hyperlink" Target="https://moodle.uwtsd.ac.uk/mod/forum/discuss.php?d=83970" TargetMode="External"/><Relationship Id="rId61" Type="http://schemas.openxmlformats.org/officeDocument/2006/relationships/hyperlink" Target="https://moodle.uwtsd.ac.uk/mod/resource/view.php?id=143682" TargetMode="External"/><Relationship Id="rId19" Type="http://schemas.openxmlformats.org/officeDocument/2006/relationships/hyperlink" Target="https://moodle.uwtsd.ac.uk/mod/forum/discuss.php?d=83970" TargetMode="External"/><Relationship Id="rId14" Type="http://schemas.openxmlformats.org/officeDocument/2006/relationships/hyperlink" Target="https://moodle.uwtsd.ac.uk/mod/forum/discuss.php?d=83970" TargetMode="External"/><Relationship Id="rId22" Type="http://schemas.openxmlformats.org/officeDocument/2006/relationships/hyperlink" Target="https://moodle.uwtsd.ac.uk/mod/forum/discuss.php?d=83970" TargetMode="External"/><Relationship Id="rId27" Type="http://schemas.openxmlformats.org/officeDocument/2006/relationships/hyperlink" Target="https://moodle.uwtsd.ac.uk/mod/resource/view.php?id=143682" TargetMode="External"/><Relationship Id="rId30" Type="http://schemas.openxmlformats.org/officeDocument/2006/relationships/hyperlink" Target="https://moodle.uwtsd.ac.uk/mod/forum/discuss.php?d=83970" TargetMode="External"/><Relationship Id="rId35" Type="http://schemas.openxmlformats.org/officeDocument/2006/relationships/hyperlink" Target="https://moodle.uwtsd.ac.uk/mod/forum/discuss.php?d=83970" TargetMode="External"/><Relationship Id="rId43" Type="http://schemas.openxmlformats.org/officeDocument/2006/relationships/hyperlink" Target="https://moodle.uwtsd.ac.uk/mod/forum/discuss.php?d=83970" TargetMode="External"/><Relationship Id="rId48" Type="http://schemas.openxmlformats.org/officeDocument/2006/relationships/hyperlink" Target="https://moodle.uwtsd.ac.uk/mod/resource/view.php?id=143682" TargetMode="External"/><Relationship Id="rId56" Type="http://schemas.openxmlformats.org/officeDocument/2006/relationships/hyperlink" Target="https://moodle.uwtsd.ac.uk/mod/resource/view.php?id=143683" TargetMode="External"/><Relationship Id="rId64" Type="http://schemas.openxmlformats.org/officeDocument/2006/relationships/hyperlink" Target="https://moodle.uwtsd.ac.uk/mod/resource/view.php?id=143682" TargetMode="External"/><Relationship Id="rId69" Type="http://schemas.openxmlformats.org/officeDocument/2006/relationships/theme" Target="theme/theme1.xml"/><Relationship Id="rId8" Type="http://schemas.openxmlformats.org/officeDocument/2006/relationships/hyperlink" Target="https://moodle.uwtsd.ac.uk/mod/forum/discuss.php?d=83970" TargetMode="External"/><Relationship Id="rId51" Type="http://schemas.openxmlformats.org/officeDocument/2006/relationships/hyperlink" Target="https://moodle.uwtsd.ac.uk/mod/resource/view.php?id=143683" TargetMode="External"/><Relationship Id="rId3" Type="http://schemas.openxmlformats.org/officeDocument/2006/relationships/settings" Target="settings.xml"/><Relationship Id="rId12" Type="http://schemas.openxmlformats.org/officeDocument/2006/relationships/hyperlink" Target="https://moodle.uwtsd.ac.uk/mod/resource/view.php?id=143682" TargetMode="External"/><Relationship Id="rId17" Type="http://schemas.openxmlformats.org/officeDocument/2006/relationships/hyperlink" Target="https://moodle.uwtsd.ac.uk/mod/forum/discuss.php?d=83970" TargetMode="External"/><Relationship Id="rId25" Type="http://schemas.openxmlformats.org/officeDocument/2006/relationships/hyperlink" Target="https://moodle.uwtsd.ac.uk/mod/resource/view.php?id=143682" TargetMode="External"/><Relationship Id="rId33" Type="http://schemas.openxmlformats.org/officeDocument/2006/relationships/hyperlink" Target="https://moodle.uwtsd.ac.uk/mod/forum/discuss.php?d=83970" TargetMode="External"/><Relationship Id="rId38" Type="http://schemas.openxmlformats.org/officeDocument/2006/relationships/hyperlink" Target="https://moodle.uwtsd.ac.uk/mod/forum/discuss.php?d=83970" TargetMode="External"/><Relationship Id="rId46" Type="http://schemas.openxmlformats.org/officeDocument/2006/relationships/hyperlink" Target="https://moodle.uwtsd.ac.uk/mod/forum/discuss.php?d=83970" TargetMode="External"/><Relationship Id="rId59" Type="http://schemas.openxmlformats.org/officeDocument/2006/relationships/hyperlink" Target="https://moodle.uwtsd.ac.uk/mod/resource/view.php?id=143683" TargetMode="External"/><Relationship Id="rId67" Type="http://schemas.openxmlformats.org/officeDocument/2006/relationships/hyperlink" Target="https://moodle.uwtsd.ac.uk/mod/resource/view.php?id=143682" TargetMode="External"/><Relationship Id="rId20" Type="http://schemas.openxmlformats.org/officeDocument/2006/relationships/hyperlink" Target="https://moodle.uwtsd.ac.uk/mod/forum/discuss.php?d=83970" TargetMode="External"/><Relationship Id="rId41" Type="http://schemas.openxmlformats.org/officeDocument/2006/relationships/hyperlink" Target="https://moodle.uwtsd.ac.uk/mod/forum/discuss.php?d=83970" TargetMode="External"/><Relationship Id="rId54" Type="http://schemas.openxmlformats.org/officeDocument/2006/relationships/hyperlink" Target="https://moodle.uwtsd.ac.uk/mod/resource/view.php?id=143683" TargetMode="External"/><Relationship Id="rId62" Type="http://schemas.openxmlformats.org/officeDocument/2006/relationships/hyperlink" Target="https://moodle.uwtsd.ac.uk/mod/resource/view.php?id=143682" TargetMode="External"/><Relationship Id="rId1" Type="http://schemas.openxmlformats.org/officeDocument/2006/relationships/numbering" Target="numbering.xml"/><Relationship Id="rId6" Type="http://schemas.openxmlformats.org/officeDocument/2006/relationships/hyperlink" Target="https://moodle.uwtsd.ac.uk/mod/forum/discuss.php?d=83970" TargetMode="External"/><Relationship Id="rId15" Type="http://schemas.openxmlformats.org/officeDocument/2006/relationships/hyperlink" Target="https://moodle.uwtsd.ac.uk/mod/forum/discuss.php?d=83970" TargetMode="External"/><Relationship Id="rId23" Type="http://schemas.openxmlformats.org/officeDocument/2006/relationships/hyperlink" Target="https://moodle.uwtsd.ac.uk/mod/forum/discuss.php?d=83970" TargetMode="External"/><Relationship Id="rId28" Type="http://schemas.openxmlformats.org/officeDocument/2006/relationships/hyperlink" Target="https://moodle.uwtsd.ac.uk/mod/forum/discuss.php?d=83970" TargetMode="External"/><Relationship Id="rId36" Type="http://schemas.openxmlformats.org/officeDocument/2006/relationships/hyperlink" Target="https://moodle.uwtsd.ac.uk/mod/forum/discuss.php?d=83970" TargetMode="External"/><Relationship Id="rId49" Type="http://schemas.openxmlformats.org/officeDocument/2006/relationships/hyperlink" Target="https://moodle.uwtsd.ac.uk/mod/resource/view.php?id=143682" TargetMode="External"/><Relationship Id="rId57" Type="http://schemas.openxmlformats.org/officeDocument/2006/relationships/hyperlink" Target="https://moodle.uwtsd.ac.uk/mod/resource/view.php?id=143682" TargetMode="External"/><Relationship Id="rId10" Type="http://schemas.openxmlformats.org/officeDocument/2006/relationships/hyperlink" Target="https://moodle.uwtsd.ac.uk/mod/forum/discuss.php?d=83970" TargetMode="External"/><Relationship Id="rId31" Type="http://schemas.openxmlformats.org/officeDocument/2006/relationships/hyperlink" Target="https://moodle.uwtsd.ac.uk/mod/forum/discuss.php?d=83970" TargetMode="External"/><Relationship Id="rId44" Type="http://schemas.openxmlformats.org/officeDocument/2006/relationships/hyperlink" Target="https://moodle.uwtsd.ac.uk/mod/forum/discuss.php?d=83970" TargetMode="External"/><Relationship Id="rId52" Type="http://schemas.openxmlformats.org/officeDocument/2006/relationships/hyperlink" Target="https://moodle.uwtsd.ac.uk/mod/resource/view.php?id=143683" TargetMode="External"/><Relationship Id="rId60" Type="http://schemas.openxmlformats.org/officeDocument/2006/relationships/hyperlink" Target="https://moodle.uwtsd.ac.uk/mod/resource/view.php?id=143682" TargetMode="External"/><Relationship Id="rId65" Type="http://schemas.openxmlformats.org/officeDocument/2006/relationships/hyperlink" Target="https://moodle.uwtsd.ac.uk/mod/folder/view.php?id=331576" TargetMode="External"/><Relationship Id="rId4" Type="http://schemas.openxmlformats.org/officeDocument/2006/relationships/webSettings" Target="webSettings.xml"/><Relationship Id="rId9" Type="http://schemas.openxmlformats.org/officeDocument/2006/relationships/hyperlink" Target="https://moodle.uwtsd.ac.uk/mod/forum/discuss.php?d=83970" TargetMode="External"/><Relationship Id="rId13" Type="http://schemas.openxmlformats.org/officeDocument/2006/relationships/hyperlink" Target="https://moodle.uwtsd.ac.uk/mod/forum/discuss.php?d=83970" TargetMode="External"/><Relationship Id="rId18" Type="http://schemas.openxmlformats.org/officeDocument/2006/relationships/hyperlink" Target="https://moodle.uwtsd.ac.uk/mod/forum/discuss.php?d=83970" TargetMode="External"/><Relationship Id="rId39" Type="http://schemas.openxmlformats.org/officeDocument/2006/relationships/hyperlink" Target="https://moodle.uwtsd.ac.uk/mod/forum/discuss.php?d=83970" TargetMode="External"/><Relationship Id="rId34" Type="http://schemas.openxmlformats.org/officeDocument/2006/relationships/hyperlink" Target="https://moodle.uwtsd.ac.uk/mod/forum/discuss.php?d=83970" TargetMode="External"/><Relationship Id="rId50" Type="http://schemas.openxmlformats.org/officeDocument/2006/relationships/hyperlink" Target="https://moodle.uwtsd.ac.uk/mod/resource/view.php?id=143682" TargetMode="External"/><Relationship Id="rId55" Type="http://schemas.openxmlformats.org/officeDocument/2006/relationships/hyperlink" Target="https://moodle.uwtsd.ac.uk/mod/resource/view.php?id=1436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3950</Words>
  <Characters>22521</Characters>
  <Application>Microsoft Office Word</Application>
  <DocSecurity>0</DocSecurity>
  <Lines>187</Lines>
  <Paragraphs>52</Paragraphs>
  <ScaleCrop>false</ScaleCrop>
  <Company/>
  <LinksUpToDate>false</LinksUpToDate>
  <CharactersWithSpaces>26419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Katharina Zinn</dc:creator>
  <cp:keywords/>
  <dc:description/>
  <cp:lastModifiedBy>Katharina Zinn</cp:lastModifiedBy>
  <cp:revision>1</cp:revision>
  <dcterms:created xsi:type="dcterms:W3CDTF">2023-03-08T20:18:00Z</dcterms:created>
  <dcterms:modified xsi:type="dcterms:W3CDTF">2023-03-08T20:22:00Z</dcterms:modified>
</cp:coreProperties>
</file>