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ascii="Times New Roman" w:hAnsi="Times New Roman" w:eastAsia="Times New Roman" w:cs="Times New Roman"/>
          <w:b/>
          <w:color w:val="000000"/>
          <w:sz w:val="32"/>
          <w:szCs w:val="32"/>
        </w:rPr>
      </w:pPr>
    </w:p>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hint="default" w:ascii="Times New Roman" w:hAnsi="Times New Roman" w:eastAsia="Times New Roman" w:cs="Times New Roman"/>
          <w:b/>
          <w:color w:val="000000"/>
          <w:sz w:val="32"/>
          <w:szCs w:val="32"/>
          <w:lang w:val="en-IN"/>
        </w:rPr>
      </w:pPr>
      <w:r>
        <w:rPr>
          <w:rFonts w:hint="default" w:ascii="Times New Roman" w:hAnsi="Times New Roman" w:eastAsia="Times New Roman" w:cs="Times New Roman"/>
          <w:b/>
          <w:color w:val="000000"/>
          <w:sz w:val="32"/>
          <w:szCs w:val="32"/>
          <w:lang w:val="en-IN"/>
        </w:rPr>
        <w:drawing>
          <wp:inline distT="0" distB="0" distL="114300" distR="114300">
            <wp:extent cx="4017010" cy="1943100"/>
            <wp:effectExtent l="0" t="0" r="2540" b="0"/>
            <wp:docPr id="1" name="Picture 1" descr="default-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fault-logo"/>
                    <pic:cNvPicPr>
                      <a:picLocks noChangeAspect="1"/>
                    </pic:cNvPicPr>
                  </pic:nvPicPr>
                  <pic:blipFill>
                    <a:blip r:embed="rId8"/>
                    <a:stretch>
                      <a:fillRect/>
                    </a:stretch>
                  </pic:blipFill>
                  <pic:spPr>
                    <a:xfrm>
                      <a:off x="0" y="0"/>
                      <a:ext cx="4017010" cy="1943100"/>
                    </a:xfrm>
                    <a:prstGeom prst="rect">
                      <a:avLst/>
                    </a:prstGeom>
                  </pic:spPr>
                </pic:pic>
              </a:graphicData>
            </a:graphic>
          </wp:inline>
        </w:drawing>
      </w:r>
    </w:p>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ascii="Times New Roman" w:hAnsi="Times New Roman" w:eastAsia="Times New Roman" w:cs="Times New Roman"/>
          <w:b/>
          <w:color w:val="000000"/>
          <w:sz w:val="32"/>
          <w:szCs w:val="32"/>
        </w:rPr>
      </w:pPr>
    </w:p>
    <w:p>
      <w:p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sz w:val="32"/>
          <w:szCs w:val="32"/>
        </w:rPr>
      </w:pPr>
      <w:bookmarkStart w:id="10" w:name="_GoBack"/>
      <w:bookmarkEnd w:id="10"/>
    </w:p>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hint="default" w:ascii="Times New Roman" w:hAnsi="Times New Roman" w:eastAsia="Times New Roman" w:cs="Times New Roman"/>
          <w:b/>
          <w:color w:val="000000"/>
          <w:sz w:val="32"/>
          <w:szCs w:val="32"/>
          <w:lang w:val="en-IN"/>
        </w:rPr>
      </w:pPr>
      <w:r>
        <w:rPr>
          <w:rFonts w:ascii="Times New Roman" w:hAnsi="Times New Roman" w:eastAsia="Times New Roman" w:cs="Times New Roman"/>
          <w:b/>
          <w:color w:val="000000"/>
          <w:sz w:val="32"/>
          <w:szCs w:val="32"/>
        </w:rPr>
        <w:t>Name of the Student:</w:t>
      </w:r>
      <w:r>
        <w:rPr>
          <w:rFonts w:hint="default" w:ascii="Times New Roman" w:hAnsi="Times New Roman" w:eastAsia="Times New Roman" w:cs="Times New Roman"/>
          <w:b/>
          <w:color w:val="000000"/>
          <w:sz w:val="32"/>
          <w:szCs w:val="32"/>
          <w:lang w:val="en-IN"/>
        </w:rPr>
        <w:t xml:space="preserve"> OM THAKKAR</w:t>
      </w:r>
    </w:p>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hint="default" w:ascii="Times New Roman" w:hAnsi="Times New Roman" w:eastAsia="Times New Roman" w:cs="Times New Roman"/>
          <w:b/>
          <w:color w:val="000000"/>
          <w:sz w:val="32"/>
          <w:szCs w:val="32"/>
          <w:lang w:val="en-IN"/>
        </w:rPr>
      </w:pPr>
      <w:r>
        <w:rPr>
          <w:rFonts w:ascii="Times New Roman" w:hAnsi="Times New Roman" w:eastAsia="Times New Roman" w:cs="Times New Roman"/>
          <w:b/>
          <w:color w:val="000000"/>
          <w:sz w:val="32"/>
          <w:szCs w:val="32"/>
        </w:rPr>
        <w:t>Student Id:</w:t>
      </w:r>
      <w:r>
        <w:rPr>
          <w:rFonts w:hint="default" w:ascii="Times New Roman" w:hAnsi="Times New Roman" w:eastAsia="Times New Roman" w:cs="Times New Roman"/>
          <w:b/>
          <w:color w:val="000000"/>
          <w:sz w:val="32"/>
          <w:szCs w:val="32"/>
          <w:lang w:val="en-IN"/>
        </w:rPr>
        <w:t xml:space="preserve"> 2244452</w:t>
      </w:r>
    </w:p>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hint="default" w:ascii="Times New Roman" w:hAnsi="Times New Roman" w:eastAsia="Times New Roman" w:cs="Times New Roman"/>
          <w:b/>
          <w:color w:val="000000"/>
          <w:sz w:val="32"/>
          <w:szCs w:val="32"/>
          <w:lang w:val="en-IN"/>
        </w:rPr>
      </w:pPr>
      <w:r>
        <w:rPr>
          <w:rFonts w:ascii="Times New Roman" w:hAnsi="Times New Roman" w:eastAsia="Times New Roman" w:cs="Times New Roman"/>
          <w:b/>
          <w:color w:val="000000"/>
          <w:sz w:val="32"/>
          <w:szCs w:val="32"/>
        </w:rPr>
        <w:t>Module Name:</w:t>
      </w:r>
      <w:r>
        <w:rPr>
          <w:rFonts w:hint="default" w:ascii="Times New Roman" w:hAnsi="Times New Roman" w:eastAsia="Times New Roman" w:cs="Times New Roman"/>
          <w:b/>
          <w:color w:val="000000"/>
          <w:sz w:val="32"/>
          <w:szCs w:val="32"/>
          <w:lang w:val="en-IN"/>
        </w:rPr>
        <w:t xml:space="preserve"> Entrepreneurship</w:t>
      </w:r>
    </w:p>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ascii="Times New Roman" w:hAnsi="Times New Roman" w:eastAsia="Times New Roman" w:cs="Times New Roman"/>
          <w:b/>
          <w:color w:val="000000"/>
          <w:sz w:val="32"/>
          <w:szCs w:val="32"/>
        </w:rPr>
      </w:pPr>
      <w:r>
        <w:rPr>
          <w:rFonts w:hint="default" w:ascii="Times New Roman" w:hAnsi="Times New Roman" w:cs="Times New Roman"/>
          <w:b/>
          <w:bCs/>
          <w:sz w:val="32"/>
          <w:szCs w:val="32"/>
          <w:lang w:val="en-IN"/>
        </w:rPr>
        <w:t>Module Code : LCMB7004</w:t>
      </w:r>
      <w:r>
        <w:br w:type="page"/>
      </w:r>
    </w:p>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ascii="Times New Roman" w:hAnsi="Times New Roman" w:eastAsia="Times New Roman" w:cs="Times New Roman"/>
          <w:color w:val="000000"/>
          <w:sz w:val="32"/>
          <w:szCs w:val="32"/>
        </w:rPr>
      </w:pPr>
      <w:r>
        <w:rPr>
          <w:rFonts w:ascii="Times New Roman" w:hAnsi="Times New Roman" w:eastAsia="Times New Roman" w:cs="Times New Roman"/>
          <w:b/>
          <w:color w:val="000000"/>
          <w:sz w:val="32"/>
          <w:szCs w:val="32"/>
        </w:rPr>
        <w:t xml:space="preserve">Table of Contents </w:t>
      </w:r>
    </w:p>
    <w:sdt>
      <w:sdtPr>
        <w:id w:val="-754044078"/>
        <w:docPartObj>
          <w:docPartGallery w:val="Table of Contents"/>
          <w:docPartUnique/>
        </w:docPartObj>
      </w:sdtPr>
      <w:sdtContent>
        <w:p>
          <w:pPr>
            <w:widowControl w:val="0"/>
            <w:pBdr>
              <w:top w:val="none" w:color="auto" w:sz="0" w:space="0"/>
              <w:left w:val="none" w:color="auto" w:sz="0" w:space="0"/>
              <w:bottom w:val="none" w:color="auto" w:sz="0" w:space="0"/>
              <w:right w:val="none" w:color="auto" w:sz="0" w:space="0"/>
              <w:between w:val="none" w:color="auto" w:sz="0" w:space="0"/>
            </w:pBdr>
            <w:tabs>
              <w:tab w:val="right" w:pos="9025"/>
            </w:tabs>
            <w:spacing w:before="60" w:line="480" w:lineRule="auto"/>
            <w:jc w:val="both"/>
            <w:rPr>
              <w:rFonts w:ascii="Times New Roman" w:hAnsi="Times New Roman" w:eastAsia="Times New Roman" w:cs="Times New Roman"/>
              <w:color w:val="000000"/>
              <w:sz w:val="24"/>
              <w:szCs w:val="24"/>
            </w:rPr>
          </w:pPr>
          <w:r>
            <w:fldChar w:fldCharType="begin"/>
          </w:r>
          <w:r>
            <w:instrText xml:space="preserve"> TOC \h \u \z \t "Heading 1,1,Heading 2,2,Heading 3,3,Heading 4,4,Heading 5,5,Heading 6,6,"</w:instrText>
          </w:r>
          <w:r>
            <w:fldChar w:fldCharType="separate"/>
          </w:r>
          <w:r>
            <w:fldChar w:fldCharType="begin"/>
          </w:r>
          <w:r>
            <w:instrText xml:space="preserve"> HYPERLINK \l "_heading=h.gjdgxs" \h </w:instrText>
          </w:r>
          <w:r>
            <w:fldChar w:fldCharType="separate"/>
          </w:r>
          <w:r>
            <w:rPr>
              <w:rFonts w:ascii="Times New Roman" w:hAnsi="Times New Roman" w:eastAsia="Times New Roman" w:cs="Times New Roman"/>
              <w:color w:val="000000"/>
              <w:sz w:val="24"/>
              <w:szCs w:val="24"/>
            </w:rPr>
            <w:t>Introduction</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_heading=h.gjdgxs \h </w:instrText>
          </w:r>
          <w:r>
            <w:fldChar w:fldCharType="separate"/>
          </w:r>
          <w:r>
            <w:rPr>
              <w:color w:val="000000"/>
            </w:rPr>
            <w:t>2</w:t>
          </w:r>
          <w:r>
            <w:fldChar w:fldCharType="begin"/>
          </w:r>
          <w:r>
            <w:instrText xml:space="preserve"> HYPERLINK \l "_heading=h.gjdgxs" </w:instrText>
          </w:r>
          <w:r>
            <w:fldChar w:fldCharType="separate"/>
          </w:r>
          <w:r>
            <w:fldChar w:fldCharType="end"/>
          </w:r>
        </w:p>
        <w:p>
          <w:pPr>
            <w:widowControl w:val="0"/>
            <w:pBdr>
              <w:top w:val="none" w:color="auto" w:sz="0" w:space="0"/>
              <w:left w:val="none" w:color="auto" w:sz="0" w:space="0"/>
              <w:bottom w:val="none" w:color="auto" w:sz="0" w:space="0"/>
              <w:right w:val="none" w:color="auto" w:sz="0" w:space="0"/>
              <w:between w:val="none" w:color="auto" w:sz="0" w:space="0"/>
            </w:pBdr>
            <w:tabs>
              <w:tab w:val="right" w:pos="9025"/>
            </w:tabs>
            <w:spacing w:before="60" w:line="480" w:lineRule="auto"/>
            <w:jc w:val="both"/>
            <w:rPr>
              <w:rFonts w:ascii="Times New Roman" w:hAnsi="Times New Roman" w:eastAsia="Times New Roman" w:cs="Times New Roman"/>
              <w:color w:val="000000"/>
              <w:sz w:val="24"/>
              <w:szCs w:val="24"/>
            </w:rPr>
          </w:pPr>
          <w:r>
            <w:fldChar w:fldCharType="end"/>
          </w:r>
          <w:r>
            <w:fldChar w:fldCharType="begin"/>
          </w:r>
          <w:r>
            <w:instrText xml:space="preserve"> HYPERLINK \l "_heading=h.30j0zll" \h </w:instrText>
          </w:r>
          <w:r>
            <w:fldChar w:fldCharType="separate"/>
          </w:r>
          <w:r>
            <w:rPr>
              <w:rFonts w:ascii="Times New Roman" w:hAnsi="Times New Roman" w:eastAsia="Times New Roman" w:cs="Times New Roman"/>
              <w:color w:val="000000"/>
              <w:sz w:val="24"/>
              <w:szCs w:val="24"/>
            </w:rPr>
            <w:t>Business Idea Overview</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_heading=h.30j0zll \h </w:instrText>
          </w:r>
          <w:r>
            <w:fldChar w:fldCharType="separate"/>
          </w:r>
          <w:r>
            <w:rPr>
              <w:color w:val="000000"/>
            </w:rPr>
            <w:t>2</w:t>
          </w:r>
          <w:r>
            <w:fldChar w:fldCharType="begin"/>
          </w:r>
          <w:r>
            <w:instrText xml:space="preserve"> HYPERLINK \l "_heading=h.30j0zll" </w:instrText>
          </w:r>
          <w:r>
            <w:fldChar w:fldCharType="separate"/>
          </w:r>
          <w:r>
            <w:fldChar w:fldCharType="end"/>
          </w:r>
        </w:p>
        <w:p>
          <w:pPr>
            <w:widowControl w:val="0"/>
            <w:pBdr>
              <w:top w:val="none" w:color="auto" w:sz="0" w:space="0"/>
              <w:left w:val="none" w:color="auto" w:sz="0" w:space="0"/>
              <w:bottom w:val="none" w:color="auto" w:sz="0" w:space="0"/>
              <w:right w:val="none" w:color="auto" w:sz="0" w:space="0"/>
              <w:between w:val="none" w:color="auto" w:sz="0" w:space="0"/>
            </w:pBdr>
            <w:tabs>
              <w:tab w:val="right" w:pos="9025"/>
            </w:tabs>
            <w:spacing w:before="60" w:line="480" w:lineRule="auto"/>
            <w:jc w:val="both"/>
            <w:rPr>
              <w:rFonts w:ascii="Times New Roman" w:hAnsi="Times New Roman" w:eastAsia="Times New Roman" w:cs="Times New Roman"/>
              <w:color w:val="000000"/>
              <w:sz w:val="24"/>
              <w:szCs w:val="24"/>
            </w:rPr>
          </w:pPr>
          <w:r>
            <w:fldChar w:fldCharType="end"/>
          </w:r>
          <w:r>
            <w:fldChar w:fldCharType="begin"/>
          </w:r>
          <w:r>
            <w:instrText xml:space="preserve"> HYPERLINK \l "_heading=h.1fob9te" \h </w:instrText>
          </w:r>
          <w:r>
            <w:fldChar w:fldCharType="separate"/>
          </w:r>
          <w:r>
            <w:rPr>
              <w:rFonts w:ascii="Times New Roman" w:hAnsi="Times New Roman" w:eastAsia="Times New Roman" w:cs="Times New Roman"/>
              <w:color w:val="000000"/>
              <w:sz w:val="24"/>
              <w:szCs w:val="24"/>
            </w:rPr>
            <w:t>Market Gap Identification</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_heading=h.1fob9te \h </w:instrText>
          </w:r>
          <w:r>
            <w:fldChar w:fldCharType="separate"/>
          </w:r>
          <w:r>
            <w:rPr>
              <w:color w:val="000000"/>
            </w:rPr>
            <w:t>4</w:t>
          </w:r>
          <w:r>
            <w:fldChar w:fldCharType="begin"/>
          </w:r>
          <w:r>
            <w:instrText xml:space="preserve"> HYPERLINK \l "_heading=h.1fob9te" </w:instrText>
          </w:r>
          <w:r>
            <w:fldChar w:fldCharType="separate"/>
          </w:r>
          <w:r>
            <w:fldChar w:fldCharType="end"/>
          </w:r>
        </w:p>
        <w:p>
          <w:pPr>
            <w:widowControl w:val="0"/>
            <w:pBdr>
              <w:top w:val="none" w:color="auto" w:sz="0" w:space="0"/>
              <w:left w:val="none" w:color="auto" w:sz="0" w:space="0"/>
              <w:bottom w:val="none" w:color="auto" w:sz="0" w:space="0"/>
              <w:right w:val="none" w:color="auto" w:sz="0" w:space="0"/>
              <w:between w:val="none" w:color="auto" w:sz="0" w:space="0"/>
            </w:pBdr>
            <w:tabs>
              <w:tab w:val="right" w:pos="9025"/>
            </w:tabs>
            <w:spacing w:before="60" w:line="480" w:lineRule="auto"/>
            <w:jc w:val="both"/>
            <w:rPr>
              <w:rFonts w:ascii="Times New Roman" w:hAnsi="Times New Roman" w:eastAsia="Times New Roman" w:cs="Times New Roman"/>
              <w:color w:val="000000"/>
              <w:sz w:val="24"/>
              <w:szCs w:val="24"/>
            </w:rPr>
          </w:pPr>
          <w:r>
            <w:fldChar w:fldCharType="end"/>
          </w:r>
          <w:r>
            <w:fldChar w:fldCharType="begin"/>
          </w:r>
          <w:r>
            <w:instrText xml:space="preserve"> HYPERLINK \l "_heading=h.3znysh7" \h </w:instrText>
          </w:r>
          <w:r>
            <w:fldChar w:fldCharType="separate"/>
          </w:r>
          <w:r>
            <w:rPr>
              <w:rFonts w:ascii="Times New Roman" w:hAnsi="Times New Roman" w:eastAsia="Times New Roman" w:cs="Times New Roman"/>
              <w:color w:val="000000"/>
              <w:sz w:val="24"/>
              <w:szCs w:val="24"/>
            </w:rPr>
            <w:t>Business Location and Legal Entity</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_heading=h.3znysh7 \h </w:instrText>
          </w:r>
          <w:r>
            <w:fldChar w:fldCharType="separate"/>
          </w:r>
          <w:r>
            <w:rPr>
              <w:color w:val="000000"/>
            </w:rPr>
            <w:t>5</w:t>
          </w:r>
          <w:r>
            <w:fldChar w:fldCharType="begin"/>
          </w:r>
          <w:r>
            <w:instrText xml:space="preserve"> HYPERLINK \l "_heading=h.3znysh7" </w:instrText>
          </w:r>
          <w:r>
            <w:fldChar w:fldCharType="separate"/>
          </w:r>
          <w:r>
            <w:fldChar w:fldCharType="end"/>
          </w:r>
        </w:p>
        <w:p>
          <w:pPr>
            <w:widowControl w:val="0"/>
            <w:pBdr>
              <w:top w:val="none" w:color="auto" w:sz="0" w:space="0"/>
              <w:left w:val="none" w:color="auto" w:sz="0" w:space="0"/>
              <w:bottom w:val="none" w:color="auto" w:sz="0" w:space="0"/>
              <w:right w:val="none" w:color="auto" w:sz="0" w:space="0"/>
              <w:between w:val="none" w:color="auto" w:sz="0" w:space="0"/>
            </w:pBdr>
            <w:tabs>
              <w:tab w:val="right" w:pos="9025"/>
            </w:tabs>
            <w:spacing w:before="60" w:line="480" w:lineRule="auto"/>
            <w:jc w:val="both"/>
            <w:rPr>
              <w:rFonts w:ascii="Times New Roman" w:hAnsi="Times New Roman" w:eastAsia="Times New Roman" w:cs="Times New Roman"/>
              <w:color w:val="000000"/>
              <w:sz w:val="24"/>
              <w:szCs w:val="24"/>
            </w:rPr>
          </w:pPr>
          <w:r>
            <w:fldChar w:fldCharType="end"/>
          </w:r>
          <w:r>
            <w:fldChar w:fldCharType="begin"/>
          </w:r>
          <w:r>
            <w:instrText xml:space="preserve"> HYPERLINK \l "_heading=h.2et92p0" \h </w:instrText>
          </w:r>
          <w:r>
            <w:fldChar w:fldCharType="separate"/>
          </w:r>
          <w:r>
            <w:rPr>
              <w:rFonts w:ascii="Times New Roman" w:hAnsi="Times New Roman" w:eastAsia="Times New Roman" w:cs="Times New Roman"/>
              <w:color w:val="000000"/>
              <w:sz w:val="24"/>
              <w:szCs w:val="24"/>
            </w:rPr>
            <w:t>SWOT Analysis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_heading=h.2et92p0 \h </w:instrText>
          </w:r>
          <w:r>
            <w:fldChar w:fldCharType="separate"/>
          </w:r>
          <w:r>
            <w:rPr>
              <w:color w:val="000000"/>
            </w:rPr>
            <w:t>7</w:t>
          </w:r>
          <w:r>
            <w:fldChar w:fldCharType="begin"/>
          </w:r>
          <w:r>
            <w:instrText xml:space="preserve"> HYPERLINK \l "_heading=h.2et92p0" </w:instrText>
          </w:r>
          <w:r>
            <w:fldChar w:fldCharType="separate"/>
          </w:r>
          <w:r>
            <w:fldChar w:fldCharType="end"/>
          </w:r>
        </w:p>
        <w:p>
          <w:pPr>
            <w:widowControl w:val="0"/>
            <w:pBdr>
              <w:top w:val="none" w:color="auto" w:sz="0" w:space="0"/>
              <w:left w:val="none" w:color="auto" w:sz="0" w:space="0"/>
              <w:bottom w:val="none" w:color="auto" w:sz="0" w:space="0"/>
              <w:right w:val="none" w:color="auto" w:sz="0" w:space="0"/>
              <w:between w:val="none" w:color="auto" w:sz="0" w:space="0"/>
            </w:pBdr>
            <w:tabs>
              <w:tab w:val="right" w:pos="9025"/>
            </w:tabs>
            <w:spacing w:before="60" w:line="480" w:lineRule="auto"/>
            <w:jc w:val="both"/>
            <w:rPr>
              <w:rFonts w:ascii="Times New Roman" w:hAnsi="Times New Roman" w:eastAsia="Times New Roman" w:cs="Times New Roman"/>
              <w:color w:val="000000"/>
              <w:sz w:val="24"/>
              <w:szCs w:val="24"/>
            </w:rPr>
          </w:pPr>
          <w:r>
            <w:fldChar w:fldCharType="end"/>
          </w:r>
          <w:r>
            <w:fldChar w:fldCharType="begin"/>
          </w:r>
          <w:r>
            <w:instrText xml:space="preserve"> HYPERLINK \l "_heading=h.tyjcwt" \h </w:instrText>
          </w:r>
          <w:r>
            <w:fldChar w:fldCharType="separate"/>
          </w:r>
          <w:r>
            <w:rPr>
              <w:rFonts w:ascii="Times New Roman" w:hAnsi="Times New Roman" w:eastAsia="Times New Roman" w:cs="Times New Roman"/>
              <w:color w:val="000000"/>
              <w:sz w:val="24"/>
              <w:szCs w:val="24"/>
            </w:rPr>
            <w:t>Target Market and Marketing Strategies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_heading=h.tyjcwt \h </w:instrText>
          </w:r>
          <w:r>
            <w:fldChar w:fldCharType="separate"/>
          </w:r>
          <w:r>
            <w:rPr>
              <w:color w:val="000000"/>
            </w:rPr>
            <w:t>9</w:t>
          </w:r>
          <w:r>
            <w:fldChar w:fldCharType="begin"/>
          </w:r>
          <w:r>
            <w:instrText xml:space="preserve"> HYPERLINK \l "_heading=h.tyjcwt" </w:instrText>
          </w:r>
          <w:r>
            <w:fldChar w:fldCharType="separate"/>
          </w:r>
          <w:r>
            <w:fldChar w:fldCharType="end"/>
          </w:r>
        </w:p>
        <w:p>
          <w:pPr>
            <w:widowControl w:val="0"/>
            <w:pBdr>
              <w:top w:val="none" w:color="auto" w:sz="0" w:space="0"/>
              <w:left w:val="none" w:color="auto" w:sz="0" w:space="0"/>
              <w:bottom w:val="none" w:color="auto" w:sz="0" w:space="0"/>
              <w:right w:val="none" w:color="auto" w:sz="0" w:space="0"/>
              <w:between w:val="none" w:color="auto" w:sz="0" w:space="0"/>
            </w:pBdr>
            <w:tabs>
              <w:tab w:val="right" w:pos="9025"/>
            </w:tabs>
            <w:spacing w:before="60" w:line="480" w:lineRule="auto"/>
            <w:jc w:val="both"/>
            <w:rPr>
              <w:rFonts w:ascii="Times New Roman" w:hAnsi="Times New Roman" w:eastAsia="Times New Roman" w:cs="Times New Roman"/>
              <w:color w:val="000000"/>
              <w:sz w:val="24"/>
              <w:szCs w:val="24"/>
            </w:rPr>
          </w:pPr>
          <w:r>
            <w:fldChar w:fldCharType="end"/>
          </w:r>
          <w:r>
            <w:fldChar w:fldCharType="begin"/>
          </w:r>
          <w:r>
            <w:instrText xml:space="preserve"> HYPERLINK \l "_heading=h.3dy6vkm" \h </w:instrText>
          </w:r>
          <w:r>
            <w:fldChar w:fldCharType="separate"/>
          </w:r>
          <w:r>
            <w:rPr>
              <w:rFonts w:ascii="Times New Roman" w:hAnsi="Times New Roman" w:eastAsia="Times New Roman" w:cs="Times New Roman"/>
              <w:color w:val="000000"/>
              <w:sz w:val="24"/>
              <w:szCs w:val="24"/>
            </w:rPr>
            <w:t>Financial Plan and Funding Requirements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_heading=h.3dy6vkm \h </w:instrText>
          </w:r>
          <w:r>
            <w:fldChar w:fldCharType="separate"/>
          </w:r>
          <w:r>
            <w:rPr>
              <w:color w:val="000000"/>
            </w:rPr>
            <w:t>10</w:t>
          </w:r>
          <w:r>
            <w:fldChar w:fldCharType="begin"/>
          </w:r>
          <w:r>
            <w:instrText xml:space="preserve"> HYPERLINK \l "_heading=h.3dy6vkm" </w:instrText>
          </w:r>
          <w:r>
            <w:fldChar w:fldCharType="separate"/>
          </w:r>
          <w:r>
            <w:fldChar w:fldCharType="end"/>
          </w:r>
        </w:p>
        <w:p>
          <w:pPr>
            <w:widowControl w:val="0"/>
            <w:pBdr>
              <w:top w:val="none" w:color="auto" w:sz="0" w:space="0"/>
              <w:left w:val="none" w:color="auto" w:sz="0" w:space="0"/>
              <w:bottom w:val="none" w:color="auto" w:sz="0" w:space="0"/>
              <w:right w:val="none" w:color="auto" w:sz="0" w:space="0"/>
              <w:between w:val="none" w:color="auto" w:sz="0" w:space="0"/>
            </w:pBdr>
            <w:tabs>
              <w:tab w:val="right" w:pos="9025"/>
            </w:tabs>
            <w:spacing w:before="60" w:line="480" w:lineRule="auto"/>
            <w:jc w:val="both"/>
            <w:rPr>
              <w:rFonts w:ascii="Times New Roman" w:hAnsi="Times New Roman" w:eastAsia="Times New Roman" w:cs="Times New Roman"/>
              <w:color w:val="000000"/>
              <w:sz w:val="24"/>
              <w:szCs w:val="24"/>
            </w:rPr>
          </w:pPr>
          <w:r>
            <w:fldChar w:fldCharType="end"/>
          </w:r>
          <w:r>
            <w:fldChar w:fldCharType="begin"/>
          </w:r>
          <w:r>
            <w:instrText xml:space="preserve"> HYPERLINK \l "_heading=h.4d34og8" \h </w:instrText>
          </w:r>
          <w:r>
            <w:fldChar w:fldCharType="separate"/>
          </w:r>
          <w:r>
            <w:rPr>
              <w:rFonts w:ascii="Times New Roman" w:hAnsi="Times New Roman" w:eastAsia="Times New Roman" w:cs="Times New Roman"/>
              <w:color w:val="000000"/>
              <w:sz w:val="24"/>
              <w:szCs w:val="24"/>
            </w:rPr>
            <w:t>Conclusion</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_heading=h.4d34og8 \h </w:instrText>
          </w:r>
          <w:r>
            <w:fldChar w:fldCharType="separate"/>
          </w:r>
          <w:r>
            <w:rPr>
              <w:color w:val="000000"/>
            </w:rPr>
            <w:t>12</w:t>
          </w:r>
          <w:r>
            <w:fldChar w:fldCharType="begin"/>
          </w:r>
          <w:r>
            <w:instrText xml:space="preserve"> HYPERLINK \l "_heading=h.4d34og8" </w:instrText>
          </w:r>
          <w:r>
            <w:fldChar w:fldCharType="separate"/>
          </w:r>
          <w:r>
            <w:fldChar w:fldCharType="end"/>
          </w:r>
        </w:p>
        <w:p>
          <w:pPr>
            <w:widowControl w:val="0"/>
            <w:pBdr>
              <w:top w:val="none" w:color="auto" w:sz="0" w:space="0"/>
              <w:left w:val="none" w:color="auto" w:sz="0" w:space="0"/>
              <w:bottom w:val="none" w:color="auto" w:sz="0" w:space="0"/>
              <w:right w:val="none" w:color="auto" w:sz="0" w:space="0"/>
              <w:between w:val="none" w:color="auto" w:sz="0" w:space="0"/>
            </w:pBdr>
            <w:tabs>
              <w:tab w:val="right" w:pos="9025"/>
            </w:tabs>
            <w:spacing w:before="60" w:line="480" w:lineRule="auto"/>
            <w:jc w:val="both"/>
            <w:rPr>
              <w:rFonts w:ascii="Times New Roman" w:hAnsi="Times New Roman" w:eastAsia="Times New Roman" w:cs="Times New Roman"/>
              <w:color w:val="000000"/>
              <w:sz w:val="24"/>
              <w:szCs w:val="24"/>
            </w:rPr>
          </w:pPr>
          <w:r>
            <w:fldChar w:fldCharType="end"/>
          </w:r>
          <w:r>
            <w:fldChar w:fldCharType="begin"/>
          </w:r>
          <w:r>
            <w:instrText xml:space="preserve"> HYPERLINK \l "_heading=h.2s8eyo1" \h </w:instrText>
          </w:r>
          <w:r>
            <w:fldChar w:fldCharType="separate"/>
          </w:r>
          <w:r>
            <w:rPr>
              <w:rFonts w:ascii="Times New Roman" w:hAnsi="Times New Roman" w:eastAsia="Times New Roman" w:cs="Times New Roman"/>
              <w:color w:val="000000"/>
              <w:sz w:val="24"/>
              <w:szCs w:val="24"/>
            </w:rPr>
            <w:t>References</w:t>
          </w:r>
          <w:r>
            <w:rPr>
              <w:rFonts w:ascii="Times New Roman" w:hAnsi="Times New Roman" w:eastAsia="Times New Roman" w:cs="Times New Roman"/>
              <w:color w:val="000000"/>
              <w:sz w:val="24"/>
              <w:szCs w:val="24"/>
            </w:rPr>
            <w:tab/>
          </w:r>
          <w:r>
            <w:rPr>
              <w:rFonts w:ascii="Times New Roman" w:hAnsi="Times New Roman" w:eastAsia="Times New Roman" w:cs="Times New Roman"/>
              <w:color w:val="000000"/>
              <w:sz w:val="24"/>
              <w:szCs w:val="24"/>
            </w:rPr>
            <w:fldChar w:fldCharType="end"/>
          </w:r>
          <w:r>
            <w:fldChar w:fldCharType="begin"/>
          </w:r>
          <w:r>
            <w:instrText xml:space="preserve"> PAGEREF _heading=h.2s8eyo1 \h </w:instrText>
          </w:r>
          <w:r>
            <w:fldChar w:fldCharType="separate"/>
          </w:r>
          <w:r>
            <w:rPr>
              <w:color w:val="000000"/>
            </w:rPr>
            <w:t>14</w:t>
          </w:r>
          <w:r>
            <w:fldChar w:fldCharType="end"/>
          </w:r>
          <w:r>
            <w:fldChar w:fldCharType="end"/>
          </w:r>
        </w:p>
      </w:sdtContent>
    </w:sdt>
    <w:p>
      <w:pPr>
        <w:pBdr>
          <w:top w:val="none" w:color="auto" w:sz="0" w:space="0"/>
          <w:left w:val="none" w:color="auto" w:sz="0" w:space="0"/>
          <w:bottom w:val="none" w:color="auto" w:sz="0" w:space="0"/>
          <w:right w:val="none" w:color="auto" w:sz="0" w:space="0"/>
          <w:between w:val="none" w:color="auto" w:sz="0" w:space="0"/>
        </w:pBdr>
        <w:spacing w:line="480" w:lineRule="auto"/>
        <w:rPr>
          <w:rFonts w:ascii="Times New Roman" w:hAnsi="Times New Roman" w:eastAsia="Times New Roman" w:cs="Times New Roman"/>
          <w:b/>
          <w:color w:val="000000"/>
          <w:sz w:val="32"/>
          <w:szCs w:val="32"/>
        </w:rPr>
      </w:pPr>
      <w:r>
        <w:br w:type="page"/>
      </w:r>
    </w:p>
    <w:p>
      <w:pPr>
        <w:pStyle w:val="2"/>
        <w:spacing w:before="240" w:after="240" w:line="480" w:lineRule="auto"/>
        <w:jc w:val="both"/>
        <w:rPr>
          <w:rFonts w:ascii="Times New Roman" w:hAnsi="Times New Roman" w:eastAsia="Times New Roman" w:cs="Times New Roman"/>
          <w:b/>
          <w:sz w:val="24"/>
          <w:szCs w:val="24"/>
        </w:rPr>
      </w:pPr>
      <w:bookmarkStart w:id="0" w:name="_heading=h.gjdgxs" w:colFirst="0" w:colLast="0"/>
      <w:bookmarkEnd w:id="0"/>
      <w:r>
        <w:rPr>
          <w:rFonts w:ascii="Times New Roman" w:hAnsi="Times New Roman" w:eastAsia="Times New Roman" w:cs="Times New Roman"/>
          <w:b/>
          <w:sz w:val="24"/>
          <w:szCs w:val="24"/>
        </w:rPr>
        <w:t>Introduction</w:t>
      </w:r>
    </w:p>
    <w:p>
      <w:p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In recent years, the escalating global warming crisis has highlighted the urgency to transition towards renewable energy sources, manifesting in devastating natural disasters worldwide (Zhao </w:t>
      </w:r>
      <w:r>
        <w:rPr>
          <w:rFonts w:ascii="Times New Roman" w:hAnsi="Times New Roman" w:eastAsia="Times New Roman" w:cs="Times New Roman"/>
          <w:i/>
          <w:color w:val="000000"/>
          <w:sz w:val="24"/>
          <w:szCs w:val="24"/>
        </w:rPr>
        <w:t>et al.</w:t>
      </w:r>
      <w:r>
        <w:rPr>
          <w:rFonts w:ascii="Times New Roman" w:hAnsi="Times New Roman" w:eastAsia="Times New Roman" w:cs="Times New Roman"/>
          <w:color w:val="000000"/>
          <w:sz w:val="24"/>
          <w:szCs w:val="24"/>
        </w:rPr>
        <w:t xml:space="preserve"> 2022). Amidst this dire backdrop, innovative renewable energy ventures are pivotal in combating climate change. One such initiative is the Community Solar Garden (CSG) model, designed to democratise solar energy access. This essay delineates a comprehensive business plan for establishing a CSG in Bristol, UK, a locale known for its progressive environmental ethos. The proposed business plan encapsulates a detailed overview of the CSG model, market analysis, legal structuring, financial blueprint, and strategic marketing approach aimed at fostering community engagement and advancing solar energy adoption. By providing a thorough understanding of the operational, financial, and marketing facets of the CSG venture, this essay endeavours to present a viable pathway for promoting renewable energy, reducing carbon emissions, and contributing towards the UK's ambitious goal of achieving net-zero emissions by 2050.</w:t>
      </w:r>
    </w:p>
    <w:p>
      <w:pPr>
        <w:pStyle w:val="2"/>
        <w:spacing w:before="240" w:after="240" w:line="480" w:lineRule="auto"/>
        <w:jc w:val="both"/>
        <w:rPr>
          <w:rFonts w:ascii="Times New Roman" w:hAnsi="Times New Roman" w:eastAsia="Times New Roman" w:cs="Times New Roman"/>
          <w:b/>
          <w:sz w:val="24"/>
          <w:szCs w:val="24"/>
        </w:rPr>
      </w:pPr>
      <w:bookmarkStart w:id="1" w:name="_heading=h.30j0zll" w:colFirst="0" w:colLast="0"/>
      <w:bookmarkEnd w:id="1"/>
      <w:r>
        <w:rPr>
          <w:rFonts w:ascii="Times New Roman" w:hAnsi="Times New Roman" w:eastAsia="Times New Roman" w:cs="Times New Roman"/>
          <w:b/>
          <w:sz w:val="24"/>
          <w:szCs w:val="24"/>
        </w:rPr>
        <w:t xml:space="preserve">Business Idea Overview </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FF0000"/>
          <w:sz w:val="24"/>
          <w:szCs w:val="24"/>
        </w:rPr>
      </w:pPr>
      <w:r>
        <w:rPr>
          <w:rFonts w:ascii="Times New Roman" w:hAnsi="Times New Roman" w:eastAsia="Times New Roman" w:cs="Times New Roman"/>
          <w:color w:val="000000"/>
          <w:sz w:val="24"/>
          <w:szCs w:val="24"/>
        </w:rPr>
        <w:t xml:space="preserve">The transition towards renewable energy sources is imperative to curbing global warming and creating a sustainable future (Qazi </w:t>
      </w:r>
      <w:r>
        <w:rPr>
          <w:rFonts w:ascii="Times New Roman" w:hAnsi="Times New Roman" w:eastAsia="Times New Roman" w:cs="Times New Roman"/>
          <w:i/>
          <w:color w:val="000000"/>
          <w:sz w:val="24"/>
          <w:szCs w:val="24"/>
        </w:rPr>
        <w:t>et al.</w:t>
      </w:r>
      <w:r>
        <w:rPr>
          <w:rFonts w:ascii="Times New Roman" w:hAnsi="Times New Roman" w:eastAsia="Times New Roman" w:cs="Times New Roman"/>
          <w:color w:val="000000"/>
          <w:sz w:val="24"/>
          <w:szCs w:val="24"/>
        </w:rPr>
        <w:t xml:space="preserve"> 2019). Solar energy stands out among the plethora of renewable energy alternatives due to its abundance and accessibility. </w:t>
      </w:r>
      <w:r>
        <w:rPr>
          <w:rFonts w:ascii="Times New Roman" w:hAnsi="Times New Roman" w:eastAsia="Times New Roman" w:cs="Times New Roman"/>
          <w:color w:val="FF0000"/>
          <w:sz w:val="24"/>
          <w:szCs w:val="24"/>
        </w:rPr>
        <w:t>The proposed business idea revolves around establishing a Community Solar Garden (CSG) in Bristol, United Kingdom to bridge the solar accessibility gap among various segments of society.</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A Community Solar Garden is a collaborative model that enables individuals and businesses to buy or lease solar panels installed in a communal area (Michaud, 2020). The unique aspect of this model is that the electricity generated from these solar panels is credited to the utility bills of the participants, thereby providing a direct financial benefit and an opportunity to support renewable energy. This setup is especially beneficial for those who need more suitable conditions or the requisite space on their premises for solar installations (Heeter </w:t>
      </w:r>
      <w:r>
        <w:rPr>
          <w:rFonts w:ascii="Times New Roman" w:hAnsi="Times New Roman" w:eastAsia="Times New Roman" w:cs="Times New Roman"/>
          <w:i/>
          <w:color w:val="000000"/>
          <w:sz w:val="24"/>
          <w:szCs w:val="24"/>
        </w:rPr>
        <w:t>et al.</w:t>
      </w:r>
      <w:r>
        <w:rPr>
          <w:rFonts w:ascii="Times New Roman" w:hAnsi="Times New Roman" w:eastAsia="Times New Roman" w:cs="Times New Roman"/>
          <w:color w:val="000000"/>
          <w:sz w:val="24"/>
          <w:szCs w:val="24"/>
        </w:rPr>
        <w:t xml:space="preserve"> 2020). The community-centric approach democratises solar energy access and cultivates a shared responsibility towards a greener environment.</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drawing>
          <wp:inline distT="114300" distB="114300" distL="114300" distR="114300">
            <wp:extent cx="2792095" cy="625094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9"/>
                    <a:srcRect/>
                    <a:stretch>
                      <a:fillRect/>
                    </a:stretch>
                  </pic:blipFill>
                  <pic:spPr>
                    <a:xfrm>
                      <a:off x="0" y="0"/>
                      <a:ext cx="2792655" cy="6250957"/>
                    </a:xfrm>
                    <a:prstGeom prst="rect">
                      <a:avLst/>
                    </a:prstGeom>
                  </pic:spPr>
                </pic:pic>
              </a:graphicData>
            </a:graphic>
          </wp:inline>
        </w:drawing>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center"/>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Figure 1: The Community Solar Garden Works</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Source: (Lindo, 2022)</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United Kingdom, with its progressive renewable energy policies and a community that is increasingly environmentally conscious, presents a fertile ground for the inception and growth of a Community Solar Garden venture. The city of Bristol, in particular, is renowned for its sustainable initiatives and could serve as the pioneering site for the CSG.</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relevance of the Community Solar Garden model extends beyond mere renewable energy generation. It represents a proactive step in combating global warming by reducing the reliance on fossil fuels for electricity generation. The CSG cultivates a culture of environmental stewardship by fostering a community of individuals and businesses actively participating in renewable energy solutions. Furthermore, it significantly contributes to the local economy by creating jobs and fostering technological innovation in the renewable energy sector.</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Moreover, the CSG model aligns seamlessly with the UK's ambitious goals to achieve net-zero carbon emissions by 2050. It serves as a practical, communal solution to accelerate the transition towards cleaner solar energy, thereby playing a pivotal role in mitigating the adverse impacts of global warming. Through the Community Solar Garden, the renewable energy landscape in the UK is not only diversifying but also embedding the principles of community and sustainability in the path towards a carbon-neutral future.</w:t>
      </w:r>
    </w:p>
    <w:p>
      <w:pPr>
        <w:pStyle w:val="2"/>
        <w:spacing w:before="240" w:after="240" w:line="480" w:lineRule="auto"/>
        <w:jc w:val="both"/>
        <w:rPr>
          <w:rFonts w:ascii="Times New Roman" w:hAnsi="Times New Roman" w:eastAsia="Times New Roman" w:cs="Times New Roman"/>
          <w:b/>
          <w:sz w:val="24"/>
          <w:szCs w:val="24"/>
        </w:rPr>
      </w:pPr>
      <w:bookmarkStart w:id="2" w:name="_heading=h.1fob9te" w:colFirst="0" w:colLast="0"/>
      <w:bookmarkEnd w:id="2"/>
      <w:r>
        <w:rPr>
          <w:rFonts w:ascii="Times New Roman" w:hAnsi="Times New Roman" w:eastAsia="Times New Roman" w:cs="Times New Roman"/>
          <w:b/>
          <w:sz w:val="24"/>
          <w:szCs w:val="24"/>
        </w:rPr>
        <w:t>Market Gap Identification</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FF0000"/>
          <w:sz w:val="24"/>
          <w:szCs w:val="24"/>
        </w:rPr>
      </w:pPr>
      <w:r>
        <w:rPr>
          <w:rFonts w:ascii="Times New Roman" w:hAnsi="Times New Roman" w:eastAsia="Times New Roman" w:cs="Times New Roman"/>
          <w:color w:val="000000"/>
          <w:sz w:val="24"/>
          <w:szCs w:val="24"/>
        </w:rPr>
        <w:t xml:space="preserve">The quest for renewable energy sources is gathering momentum globally, and the United Kingdom is no exception. </w:t>
      </w:r>
      <w:r>
        <w:rPr>
          <w:rFonts w:ascii="Times New Roman" w:hAnsi="Times New Roman" w:eastAsia="Times New Roman" w:cs="Times New Roman"/>
          <w:color w:val="FF0000"/>
          <w:sz w:val="24"/>
          <w:szCs w:val="24"/>
        </w:rPr>
        <w:t>However, a significant gap hinders the widespread adoption of solar energy—limited accessibility for individuals and businesses without suitable rooftops or those living in rented or shared properties. Traditional solar installations require a certain level of ownership, suitable rooftop conditions, and substantial upfront costs, which poses a barrier for many interested in transitioning to solar energy (Phuangpornpitak and Tia, 2013). Therefore, the challenge lies in providing solar access to this underserved population segment.</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FF0000"/>
          <w:sz w:val="24"/>
          <w:szCs w:val="24"/>
        </w:rPr>
      </w:pPr>
      <w:r>
        <w:rPr>
          <w:rFonts w:ascii="Times New Roman" w:hAnsi="Times New Roman" w:eastAsia="Times New Roman" w:cs="Times New Roman"/>
          <w:color w:val="FF0000"/>
          <w:sz w:val="24"/>
          <w:szCs w:val="24"/>
        </w:rPr>
        <w:t>The proposed Community Solar Garden (CSG) venture is tailored to address this market gap. By establishing a communal solar facility, the CSG model eradicates the necessity of owning a suitable rooftop for solar panel installation. Individuals and businesses can buy or lease solar panels within the community solar setup and benefit from the electricity generated through a credit on their utility bills without altering their living or working premises (O'Connor, 2018). This model drastically lowers the entry barriers to solar energy adoption, making it a feasible option for a broader community, including renters, small business owners, and others who may find personal solar installations impractical or unaffordable.</w:t>
      </w:r>
    </w:p>
    <w:p>
      <w:pPr>
        <w:pBdr>
          <w:top w:val="none" w:color="auto" w:sz="0" w:space="0"/>
          <w:left w:val="none" w:color="auto" w:sz="0" w:space="0"/>
          <w:bottom w:val="none" w:color="auto" w:sz="0" w:space="0"/>
          <w:right w:val="none" w:color="auto" w:sz="0" w:space="0"/>
          <w:between w:val="none" w:color="auto" w:sz="0" w:space="0"/>
        </w:pBdr>
        <w:spacing w:before="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Furthermore, the Community Solar Garden fosters a sense of collective responsibility and shared benefits among the participants. It creates a platform where community members have a stake in solar installation and share the common goal of promoting renewable energy and reducing carbon emissions. By providing an alternative and more accessible avenue to utilise solar energy, the CSG venture significantly contributes towards filling the existing market gap, propelling the UK closer to its renewable energy and carbon neutrality ambitions.</w:t>
      </w:r>
    </w:p>
    <w:p>
      <w:pPr>
        <w:pStyle w:val="2"/>
        <w:spacing w:before="240" w:after="240" w:line="480" w:lineRule="auto"/>
        <w:jc w:val="both"/>
        <w:rPr>
          <w:rFonts w:ascii="Times New Roman" w:hAnsi="Times New Roman" w:eastAsia="Times New Roman" w:cs="Times New Roman"/>
          <w:b/>
          <w:sz w:val="24"/>
          <w:szCs w:val="24"/>
        </w:rPr>
      </w:pPr>
      <w:bookmarkStart w:id="3" w:name="_heading=h.3znysh7" w:colFirst="0" w:colLast="0"/>
      <w:bookmarkEnd w:id="3"/>
      <w:r>
        <w:rPr>
          <w:rFonts w:ascii="Times New Roman" w:hAnsi="Times New Roman" w:eastAsia="Times New Roman" w:cs="Times New Roman"/>
          <w:b/>
          <w:sz w:val="24"/>
          <w:szCs w:val="24"/>
        </w:rPr>
        <w:t xml:space="preserve">Business Location and Legal Entity </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The choice of location is pivotal for the success of the Community Solar Garden (CSG) venture. Bristol, UK, emerges as a suitable candidate owing to its supportive policies towards renewable energy and a community progressively inclined towards sustainable practices. The city has a rich history of championing environmental causes and has been recognised nationally for its green initiatives. Moreover, Bristol's local government has exhibited a robust commitment to achieving carbon neutrality, which aligns harmoniously with the objectives of the CSG venture. A favourable policy environment and community support for sustainability combine to form the ideal conditions for the CSG's success and serve as a model that could be replicated elsewhere. Bristol also is on the verge of achieving net zero by 2030. Therefore, installing CSGs can further help Bristol achieve its sustainability goals. </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drawing>
          <wp:inline distT="114300" distB="114300" distL="114300" distR="114300">
            <wp:extent cx="3931920" cy="245681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10"/>
                    <a:srcRect/>
                    <a:stretch>
                      <a:fillRect/>
                    </a:stretch>
                  </pic:blipFill>
                  <pic:spPr>
                    <a:xfrm>
                      <a:off x="0" y="0"/>
                      <a:ext cx="3932481" cy="2457099"/>
                    </a:xfrm>
                    <a:prstGeom prst="rect">
                      <a:avLst/>
                    </a:prstGeom>
                  </pic:spPr>
                </pic:pic>
              </a:graphicData>
            </a:graphic>
          </wp:inline>
        </w:drawing>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center"/>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Figure 2: Evidence Base of Bristol Achieving Net Zero by 2030</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Source: (Roberts, 2020)</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sz w:val="24"/>
          <w:szCs w:val="24"/>
        </w:rPr>
      </w:pPr>
      <w:r>
        <w:rPr>
          <w:rFonts w:ascii="Times New Roman" w:hAnsi="Times New Roman" w:eastAsia="Times New Roman" w:cs="Times New Roman"/>
          <w:color w:val="000000"/>
          <w:sz w:val="24"/>
          <w:szCs w:val="24"/>
        </w:rPr>
        <w:t>Legally structuring the Community Solar Garden as a Limited Liability Company (LLC) has proven most advantageous due to the increased liability protection and tax treatment it affords its owners in the UK. An LLC protects individual assets from business debts and liabilities while offering flexibility in operational ease and ease of management - important aspects for collaborative ventures like Community Solar Gardens. Furthermore, an LLC's tax pass-through feature means profits only have to be taxed once at the owners' income tax rate instead of double taxation, which is typical with other corporate structures (Marakova</w:t>
      </w:r>
      <w:r>
        <w:rPr>
          <w:rFonts w:ascii="Times New Roman" w:hAnsi="Times New Roman" w:eastAsia="Times New Roman" w:cs="Times New Roman"/>
          <w:i/>
          <w:color w:val="000000"/>
          <w:sz w:val="24"/>
          <w:szCs w:val="24"/>
        </w:rPr>
        <w:t xml:space="preserve"> et al.</w:t>
      </w:r>
      <w:r>
        <w:rPr>
          <w:rFonts w:ascii="Times New Roman" w:hAnsi="Times New Roman" w:eastAsia="Times New Roman" w:cs="Times New Roman"/>
          <w:color w:val="000000"/>
          <w:sz w:val="24"/>
          <w:szCs w:val="24"/>
        </w:rPr>
        <w:t xml:space="preserve"> 2021).</w:t>
      </w:r>
    </w:p>
    <w:p>
      <w:pPr>
        <w:pBdr>
          <w:top w:val="none" w:color="auto" w:sz="0" w:space="0"/>
          <w:left w:val="none" w:color="auto" w:sz="0" w:space="0"/>
          <w:bottom w:val="none" w:color="auto" w:sz="0" w:space="0"/>
          <w:right w:val="none" w:color="auto" w:sz="0" w:space="0"/>
          <w:between w:val="none" w:color="auto" w:sz="0" w:space="0"/>
        </w:pBdr>
        <w:spacing w:before="300" w:line="480" w:lineRule="auto"/>
        <w:jc w:val="both"/>
        <w:rPr>
          <w:rFonts w:ascii="Times New Roman" w:hAnsi="Times New Roman" w:eastAsia="Times New Roman" w:cs="Times New Roman"/>
          <w:color w:val="FF0000"/>
          <w:sz w:val="24"/>
          <w:szCs w:val="24"/>
        </w:rPr>
      </w:pPr>
      <w:r>
        <w:rPr>
          <w:rFonts w:ascii="Times New Roman" w:hAnsi="Times New Roman" w:eastAsia="Times New Roman" w:cs="Times New Roman"/>
          <w:color w:val="FF0000"/>
          <w:sz w:val="24"/>
          <w:szCs w:val="24"/>
        </w:rPr>
        <w:t>Additionally, executing the CSG venture necessitates several legal authorizations including governmental permits for land use and solar installations, local council approvals, and possibly an environmental impact assessment. Engaging local communities and obtaining their endorsement is crucial, alongside ensuring compliance with the UK’s renewable energy regulations and grid connection standards. Establishing partnerships with local authorities can facilitate the navigation through the regulatory landscape and accelerate the project's initiation.</w:t>
      </w:r>
    </w:p>
    <w:p>
      <w:pPr>
        <w:pStyle w:val="2"/>
        <w:spacing w:before="240" w:after="240" w:line="480" w:lineRule="auto"/>
        <w:jc w:val="both"/>
        <w:rPr>
          <w:rFonts w:ascii="Times New Roman" w:hAnsi="Times New Roman" w:eastAsia="Times New Roman" w:cs="Times New Roman"/>
          <w:b/>
          <w:sz w:val="24"/>
          <w:szCs w:val="24"/>
        </w:rPr>
      </w:pPr>
      <w:bookmarkStart w:id="4" w:name="_heading=h.2et92p0" w:colFirst="0" w:colLast="0"/>
      <w:bookmarkEnd w:id="4"/>
      <w:r>
        <w:rPr>
          <w:rFonts w:ascii="Times New Roman" w:hAnsi="Times New Roman" w:eastAsia="Times New Roman" w:cs="Times New Roman"/>
          <w:b/>
          <w:sz w:val="24"/>
          <w:szCs w:val="24"/>
        </w:rPr>
        <w:t xml:space="preserve">SWOT Analysis </w:t>
      </w:r>
    </w:p>
    <w:p>
      <w:pPr>
        <w:pBdr>
          <w:top w:val="none" w:color="auto" w:sz="0" w:space="0"/>
          <w:left w:val="none" w:color="auto" w:sz="0" w:space="0"/>
          <w:bottom w:val="none" w:color="auto" w:sz="0" w:space="0"/>
          <w:right w:val="none" w:color="auto" w:sz="0" w:space="0"/>
          <w:between w:val="none" w:color="auto" w:sz="0" w:space="0"/>
        </w:pBdr>
        <w:jc w:val="center"/>
        <w:rPr>
          <w:color w:val="000000"/>
        </w:rPr>
      </w:pPr>
    </w:p>
    <w:tbl>
      <w:tblPr>
        <w:tblStyle w:val="15"/>
        <w:tblW w:w="9029"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514"/>
        <w:gridCol w:w="4515"/>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4" w:type="dxa"/>
            <w:shd w:val="clear" w:color="auto" w:fill="D5A6BD"/>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Strengths</w:t>
            </w:r>
          </w:p>
          <w:p>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Community Engagement </w:t>
            </w:r>
          </w:p>
          <w:p>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Lower Entry Barriers</w:t>
            </w:r>
          </w:p>
          <w:p>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Alignment with Government Policies</w:t>
            </w:r>
          </w:p>
          <w:p>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sz w:val="24"/>
                <w:szCs w:val="24"/>
              </w:rPr>
              <w:t xml:space="preserve">Local Support and Participation </w:t>
            </w:r>
          </w:p>
          <w:p>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sz w:val="24"/>
                <w:szCs w:val="24"/>
              </w:rPr>
              <w:t xml:space="preserve">Scalable Model </w:t>
            </w:r>
          </w:p>
        </w:tc>
        <w:tc>
          <w:tcPr>
            <w:tcW w:w="4515" w:type="dxa"/>
            <w:shd w:val="clear" w:color="auto" w:fill="D5A6BD"/>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Weaknesses</w:t>
            </w:r>
          </w:p>
          <w:p>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color w:val="000000"/>
                <w:sz w:val="24"/>
                <w:szCs w:val="24"/>
              </w:rPr>
              <w:t>Initial Capital Requirement</w:t>
            </w:r>
          </w:p>
          <w:p>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color w:val="000000"/>
                <w:sz w:val="24"/>
                <w:szCs w:val="24"/>
              </w:rPr>
              <w:t>Dependency on Weather Conditions</w:t>
            </w:r>
          </w:p>
          <w:p>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Potential Technical Challenges</w:t>
            </w:r>
          </w:p>
          <w:p>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Land Acquisition Complexity</w:t>
            </w:r>
          </w:p>
          <w:p>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Community Misunderstandings or Opposition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jc w:val="center"/>
        </w:trPr>
        <w:tc>
          <w:tcPr>
            <w:tcW w:w="4514" w:type="dxa"/>
            <w:shd w:val="clear" w:color="auto" w:fill="D5A6BD"/>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 xml:space="preserve">Opportunities </w:t>
            </w:r>
          </w:p>
          <w:p>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Expansion to Other Regions </w:t>
            </w:r>
          </w:p>
          <w:p>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Technological Advancements </w:t>
            </w:r>
          </w:p>
          <w:p>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Collaboration with Local Authorities and Organisations</w:t>
            </w:r>
          </w:p>
          <w:p>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sz w:val="24"/>
                <w:szCs w:val="24"/>
              </w:rPr>
              <w:t>Educational Outreach</w:t>
            </w:r>
          </w:p>
          <w:p>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sz w:val="24"/>
                <w:szCs w:val="24"/>
              </w:rPr>
              <w:t xml:space="preserve">Green Job Creation </w:t>
            </w:r>
          </w:p>
        </w:tc>
        <w:tc>
          <w:tcPr>
            <w:tcW w:w="4515" w:type="dxa"/>
            <w:shd w:val="clear" w:color="auto" w:fill="D5A6BD"/>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Threats</w:t>
            </w:r>
          </w:p>
          <w:p>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Policy Changes </w:t>
            </w:r>
          </w:p>
          <w:p>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Competition from Traditional and Other Renewable Energy Sources </w:t>
            </w:r>
          </w:p>
          <w:p>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Economic Downturn</w:t>
            </w:r>
          </w:p>
          <w:p>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sz w:val="24"/>
                <w:szCs w:val="24"/>
              </w:rPr>
              <w:t xml:space="preserve">Vandalism or Theft </w:t>
            </w:r>
          </w:p>
          <w:p>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sz w:val="24"/>
                <w:szCs w:val="24"/>
              </w:rPr>
              <w:t xml:space="preserve">Changes in Energy Prices </w:t>
            </w:r>
          </w:p>
        </w:tc>
      </w:tr>
    </w:tbl>
    <w:p>
      <w:pPr>
        <w:pBdr>
          <w:top w:val="none" w:color="auto" w:sz="0" w:space="0"/>
          <w:left w:val="none" w:color="auto" w:sz="0" w:space="0"/>
          <w:bottom w:val="none" w:color="auto" w:sz="0" w:space="0"/>
          <w:right w:val="none" w:color="auto" w:sz="0" w:space="0"/>
          <w:between w:val="none" w:color="auto" w:sz="0" w:space="0"/>
        </w:pBdr>
        <w:jc w:val="center"/>
        <w:rPr>
          <w:color w:val="000000"/>
        </w:rPr>
      </w:pPr>
    </w:p>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 xml:space="preserve">Table 1: SWOT Analysis </w:t>
      </w:r>
    </w:p>
    <w:p>
      <w:pPr>
        <w:pBdr>
          <w:top w:val="none" w:color="auto" w:sz="0" w:space="0"/>
          <w:left w:val="none" w:color="auto" w:sz="0" w:space="0"/>
          <w:bottom w:val="none" w:color="auto" w:sz="0" w:space="0"/>
          <w:right w:val="none" w:color="auto" w:sz="0" w:space="0"/>
          <w:between w:val="none" w:color="auto" w:sz="0" w:space="0"/>
        </w:pBdr>
        <w:spacing w:line="480" w:lineRule="auto"/>
        <w:jc w:val="center"/>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Source: (By the Author)</w:t>
      </w:r>
    </w:p>
    <w:p>
      <w:p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b/>
          <w:color w:val="000000"/>
          <w:sz w:val="24"/>
          <w:szCs w:val="24"/>
        </w:rPr>
        <w:t>Analysis</w:t>
      </w:r>
      <w:r>
        <w:rPr>
          <w:rFonts w:ascii="Times New Roman" w:hAnsi="Times New Roman" w:eastAsia="Times New Roman" w:cs="Times New Roman"/>
          <w:color w:val="000000"/>
          <w:sz w:val="24"/>
          <w:szCs w:val="24"/>
        </w:rPr>
        <w:t xml:space="preserve"> </w:t>
      </w:r>
    </w:p>
    <w:p>
      <w:pPr>
        <w:pBdr>
          <w:top w:val="none" w:color="auto" w:sz="0" w:space="0"/>
          <w:left w:val="none" w:color="auto" w:sz="0" w:space="0"/>
          <w:bottom w:val="none" w:color="auto" w:sz="0" w:space="0"/>
          <w:right w:val="none" w:color="auto" w:sz="0" w:space="0"/>
          <w:between w:val="none" w:color="auto" w:sz="0" w:space="0"/>
        </w:pBdr>
        <w:spacing w:after="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SWOT analysis paints a comprehensive picture of the multifaceted environment in which the Community Solar Garden (CSG) venture operates.</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b/>
          <w:i/>
          <w:color w:val="000000"/>
          <w:sz w:val="24"/>
          <w:szCs w:val="24"/>
        </w:rPr>
        <w:t>Strengths</w:t>
      </w:r>
      <w:r>
        <w:rPr>
          <w:rFonts w:ascii="Times New Roman" w:hAnsi="Times New Roman" w:eastAsia="Times New Roman" w:cs="Times New Roman"/>
          <w:color w:val="000000"/>
          <w:sz w:val="24"/>
          <w:szCs w:val="24"/>
        </w:rPr>
        <w:t xml:space="preserve"> such as community engagement, lower entry barriers to solar energy adoption, and alignment with government renewable energy policies lay a robust foundation for the venture (Bouzguenda</w:t>
      </w:r>
      <w:r>
        <w:rPr>
          <w:rFonts w:ascii="Times New Roman" w:hAnsi="Times New Roman" w:eastAsia="Times New Roman" w:cs="Times New Roman"/>
          <w:i/>
          <w:color w:val="000000"/>
          <w:sz w:val="24"/>
          <w:szCs w:val="24"/>
        </w:rPr>
        <w:t xml:space="preserve"> et al.</w:t>
      </w:r>
      <w:r>
        <w:rPr>
          <w:rFonts w:ascii="Times New Roman" w:hAnsi="Times New Roman" w:eastAsia="Times New Roman" w:cs="Times New Roman"/>
          <w:color w:val="000000"/>
          <w:sz w:val="24"/>
          <w:szCs w:val="24"/>
        </w:rPr>
        <w:t xml:space="preserve"> 2019). They reflect the inherent advantages of the CSG model and its alignment with broader environmental and governmental objectives, which is crucial for garnering support and achieving long-term sustainability.</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On the flip side, areas for improvement, such as substantial initial capital requirements and dependency on weather conditions, could pose significant hurdles (Zluwa and Pitha, 2021). The initial capital requirement may necessitate a rigorous fundraising campaign. At the same time, the dependency on weather conditions underscores unpredictability in energy generation and financial returns, which could deter investors and participants.</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The landscape also presents ample </w:t>
      </w:r>
      <w:r>
        <w:rPr>
          <w:rFonts w:ascii="Times New Roman" w:hAnsi="Times New Roman" w:eastAsia="Times New Roman" w:cs="Times New Roman"/>
          <w:b/>
          <w:i/>
          <w:color w:val="000000"/>
          <w:sz w:val="24"/>
          <w:szCs w:val="24"/>
        </w:rPr>
        <w:t>opportunities</w:t>
      </w:r>
      <w:r>
        <w:rPr>
          <w:rFonts w:ascii="Times New Roman" w:hAnsi="Times New Roman" w:eastAsia="Times New Roman" w:cs="Times New Roman"/>
          <w:color w:val="000000"/>
          <w:sz w:val="24"/>
          <w:szCs w:val="24"/>
        </w:rPr>
        <w:t xml:space="preserve"> for growth and collaboration. The potential for expansion to other regions, technological advancements in solar energy, and collaborations with local authorities and organisations could significantly propel the venture forward. If harnessed effectively, these opportunities could not only scale the impact of the CSG but also contribute to a more sustainable and collaborative renewable energy ecosystem.</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Lastly, </w:t>
      </w:r>
      <w:r>
        <w:rPr>
          <w:rFonts w:ascii="Times New Roman" w:hAnsi="Times New Roman" w:eastAsia="Times New Roman" w:cs="Times New Roman"/>
          <w:b/>
          <w:i/>
          <w:color w:val="000000"/>
          <w:sz w:val="24"/>
          <w:szCs w:val="24"/>
        </w:rPr>
        <w:t>threats</w:t>
      </w:r>
      <w:r>
        <w:rPr>
          <w:rFonts w:ascii="Times New Roman" w:hAnsi="Times New Roman" w:eastAsia="Times New Roman" w:cs="Times New Roman"/>
          <w:color w:val="000000"/>
          <w:sz w:val="24"/>
          <w:szCs w:val="24"/>
        </w:rPr>
        <w:t xml:space="preserve"> such as policy changes, competition from traditional and other renewable energy sources, and economic downturns could impede the venture's progress. Policy changes could alter the regulatory and funding landscape, while competition could siphon off potential customers (Guangul and Chala, 2019). Economic downturns could also tighten funding opportunities and reduce participants' ability to invest in the CSG.</w:t>
      </w:r>
    </w:p>
    <w:p>
      <w:pPr>
        <w:pBdr>
          <w:top w:val="none" w:color="auto" w:sz="0" w:space="0"/>
          <w:left w:val="none" w:color="auto" w:sz="0" w:space="0"/>
          <w:bottom w:val="none" w:color="auto" w:sz="0" w:space="0"/>
          <w:right w:val="none" w:color="auto" w:sz="0" w:space="0"/>
          <w:between w:val="none" w:color="auto" w:sz="0" w:space="0"/>
        </w:pBdr>
        <w:spacing w:before="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SWOT analysis elucidates the nuanced landscape within which the CSG venture operates. It underscores the necessity of a well-thought-out strategy to mitigate the highlighted weaknesses and threats while leveraging the strengths and opportunities to drive the venture towards success and significant contributions to the UK's renewable energy goals.</w:t>
      </w:r>
    </w:p>
    <w:p>
      <w:pPr>
        <w:pBdr>
          <w:top w:val="none" w:color="auto" w:sz="0" w:space="0"/>
          <w:left w:val="none" w:color="auto" w:sz="0" w:space="0"/>
          <w:bottom w:val="none" w:color="auto" w:sz="0" w:space="0"/>
          <w:right w:val="none" w:color="auto" w:sz="0" w:space="0"/>
          <w:between w:val="none" w:color="auto" w:sz="0" w:space="0"/>
        </w:pBdr>
        <w:rPr>
          <w:color w:val="000000"/>
        </w:rPr>
      </w:pPr>
    </w:p>
    <w:p>
      <w:pPr>
        <w:pStyle w:val="2"/>
        <w:spacing w:before="240" w:after="240" w:line="480" w:lineRule="auto"/>
        <w:jc w:val="both"/>
        <w:rPr>
          <w:rFonts w:ascii="Times New Roman" w:hAnsi="Times New Roman" w:eastAsia="Times New Roman" w:cs="Times New Roman"/>
          <w:b/>
          <w:sz w:val="24"/>
          <w:szCs w:val="24"/>
        </w:rPr>
      </w:pPr>
      <w:bookmarkStart w:id="5" w:name="_heading=h.tyjcwt" w:colFirst="0" w:colLast="0"/>
      <w:bookmarkEnd w:id="5"/>
      <w:r>
        <w:rPr>
          <w:rFonts w:ascii="Times New Roman" w:hAnsi="Times New Roman" w:eastAsia="Times New Roman" w:cs="Times New Roman"/>
          <w:b/>
          <w:sz w:val="24"/>
          <w:szCs w:val="24"/>
        </w:rPr>
        <w:t xml:space="preserve">Target Market and Marketing Strategies </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FF0000"/>
          <w:sz w:val="24"/>
          <w:szCs w:val="24"/>
        </w:rPr>
        <w:t xml:space="preserve">Identifying a precise target market is fundamental for the success of the Community Solar Garden (CSG) venture. The core target market for the CSG encompasses the entire population of Bristol which includes homeowners, renters, and businesses (707,000 people) needing more rooftop space or facing unsuitable conditions for solar installations (Fox and </w:t>
      </w:r>
      <w:r>
        <w:rPr>
          <w:rFonts w:ascii="Times New Roman" w:hAnsi="Times New Roman" w:eastAsia="Times New Roman" w:cs="Times New Roman"/>
          <w:color w:val="FF0000"/>
          <w:sz w:val="24"/>
          <w:szCs w:val="24"/>
          <w:highlight w:val="white"/>
        </w:rPr>
        <w:t>Macleod, 2023)</w:t>
      </w:r>
      <w:r>
        <w:rPr>
          <w:rFonts w:ascii="Times New Roman" w:hAnsi="Times New Roman" w:eastAsia="Times New Roman" w:cs="Times New Roman"/>
          <w:color w:val="FF0000"/>
          <w:sz w:val="24"/>
          <w:szCs w:val="24"/>
        </w:rPr>
        <w:t xml:space="preserve">. </w:t>
      </w:r>
      <w:r>
        <w:rPr>
          <w:rFonts w:ascii="Times New Roman" w:hAnsi="Times New Roman" w:eastAsia="Times New Roman" w:cs="Times New Roman"/>
          <w:color w:val="000000"/>
          <w:sz w:val="24"/>
          <w:szCs w:val="24"/>
        </w:rPr>
        <w:t>This segment represents a substantial market opportunity as it consists of individuals and entities eager to transition to solar energy but need help with logistical constraints (Kemper and Ballantine, 2019). The unique proposition of the CSG model caters directly to these unmet needs, offering a viable solution to harness solar energy without needing personal infrastructure.</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To effectively capture this target market, a blend of marketing strategies is proposed:</w:t>
      </w:r>
    </w:p>
    <w:p>
      <w:pPr>
        <w:numPr>
          <w:ilvl w:val="0"/>
          <w:numId w:val="5"/>
        </w:numPr>
        <w:pBdr>
          <w:top w:val="none" w:color="auto" w:sz="0" w:space="0"/>
          <w:left w:val="none" w:color="auto" w:sz="0" w:space="0"/>
          <w:bottom w:val="none" w:color="auto" w:sz="0" w:space="0"/>
          <w:right w:val="none" w:color="auto" w:sz="0" w:space="0"/>
          <w:between w:val="none" w:color="auto" w:sz="0" w:space="0"/>
        </w:pBdr>
        <w:spacing w:before="600" w:line="480" w:lineRule="auto"/>
        <w:jc w:val="both"/>
        <w:rPr>
          <w:rFonts w:ascii="Times New Roman" w:hAnsi="Times New Roman" w:eastAsia="Times New Roman" w:cs="Times New Roman"/>
          <w:b/>
          <w:color w:val="000000"/>
        </w:rPr>
      </w:pPr>
      <w:r>
        <w:rPr>
          <w:rFonts w:ascii="Times New Roman" w:hAnsi="Times New Roman" w:eastAsia="Times New Roman" w:cs="Times New Roman"/>
          <w:b/>
          <w:color w:val="000000"/>
          <w:sz w:val="24"/>
          <w:szCs w:val="24"/>
        </w:rPr>
        <w:t>Online Marketing:</w:t>
      </w:r>
    </w:p>
    <w:p>
      <w:pPr>
        <w:numPr>
          <w:ilvl w:val="0"/>
          <w:numId w:val="6"/>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sz w:val="24"/>
          <w:szCs w:val="24"/>
        </w:rPr>
        <w:t>Using social media and search engine optimisation (SEO) techniques to increase online visibility and educate the target market on the benefits of CSG services and offerings.</w:t>
      </w:r>
    </w:p>
    <w:p>
      <w:pPr>
        <w:numPr>
          <w:ilvl w:val="0"/>
          <w:numId w:val="6"/>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sz w:val="24"/>
          <w:szCs w:val="24"/>
        </w:rPr>
        <w:t>An intuitive website designed for easy user navigation with comprehensive information, testimonials, and an efficient system for inquiries and registrations is a crucial first step towards business growth.</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rPr>
      </w:pPr>
      <w:r>
        <w:rPr>
          <w:rFonts w:ascii="Times New Roman" w:hAnsi="Times New Roman" w:eastAsia="Times New Roman" w:cs="Times New Roman"/>
          <w:b/>
          <w:color w:val="000000"/>
          <w:sz w:val="24"/>
          <w:szCs w:val="24"/>
        </w:rPr>
        <w:t>Community Workshops:</w:t>
      </w:r>
    </w:p>
    <w:p>
      <w:pPr>
        <w:numPr>
          <w:ilvl w:val="0"/>
          <w:numId w:val="7"/>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sz w:val="24"/>
          <w:szCs w:val="24"/>
        </w:rPr>
        <w:t xml:space="preserve">Organising community workshops to educate the public on the advantages and implementation of community solar gardens could serve as a platform for raising awareness, answering queries, and developing community trust (Mccoy </w:t>
      </w:r>
      <w:r>
        <w:rPr>
          <w:rFonts w:ascii="Times New Roman" w:hAnsi="Times New Roman" w:eastAsia="Times New Roman" w:cs="Times New Roman"/>
          <w:i/>
          <w:color w:val="000000"/>
          <w:sz w:val="24"/>
          <w:szCs w:val="24"/>
        </w:rPr>
        <w:t>et al.</w:t>
      </w:r>
      <w:r>
        <w:rPr>
          <w:rFonts w:ascii="Times New Roman" w:hAnsi="Times New Roman" w:eastAsia="Times New Roman" w:cs="Times New Roman"/>
          <w:color w:val="000000"/>
          <w:sz w:val="24"/>
          <w:szCs w:val="24"/>
        </w:rPr>
        <w:t xml:space="preserve"> 2020).</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rPr>
      </w:pPr>
      <w:r>
        <w:rPr>
          <w:rFonts w:ascii="Times New Roman" w:hAnsi="Times New Roman" w:eastAsia="Times New Roman" w:cs="Times New Roman"/>
          <w:b/>
          <w:color w:val="000000"/>
          <w:sz w:val="24"/>
          <w:szCs w:val="24"/>
        </w:rPr>
        <w:t>Partnerships with Local Authorities and Environmental Organizations:</w:t>
      </w:r>
    </w:p>
    <w:p>
      <w:pPr>
        <w:numPr>
          <w:ilvl w:val="0"/>
          <w:numId w:val="8"/>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sz w:val="24"/>
          <w:szCs w:val="24"/>
        </w:rPr>
        <w:t>Establish partnerships with local authorities and environmental organisations to exploit their networks and gain endorsements.</w:t>
      </w:r>
    </w:p>
    <w:p>
      <w:pPr>
        <w:numPr>
          <w:ilvl w:val="0"/>
          <w:numId w:val="8"/>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sz w:val="24"/>
          <w:szCs w:val="24"/>
        </w:rPr>
        <w:t>These partnerships could also facilitate collaborative events and campaigns, further boosting the credibility and reach of the CSG venture.</w:t>
      </w:r>
    </w:p>
    <w:p>
      <w:pPr>
        <w:numPr>
          <w:ilvl w:val="0"/>
          <w:numId w:val="5"/>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b/>
          <w:color w:val="000000"/>
        </w:rPr>
      </w:pPr>
      <w:r>
        <w:rPr>
          <w:rFonts w:ascii="Times New Roman" w:hAnsi="Times New Roman" w:eastAsia="Times New Roman" w:cs="Times New Roman"/>
          <w:b/>
          <w:color w:val="000000"/>
          <w:sz w:val="24"/>
          <w:szCs w:val="24"/>
        </w:rPr>
        <w:t>Localised Advertising:</w:t>
      </w:r>
    </w:p>
    <w:p>
      <w:pPr>
        <w:numPr>
          <w:ilvl w:val="0"/>
          <w:numId w:val="9"/>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sz w:val="24"/>
          <w:szCs w:val="24"/>
        </w:rPr>
        <w:t>Engaging in localised advertising in newspapers, radio, and community bulletins to reach a broader audience within the target market.</w:t>
      </w:r>
    </w:p>
    <w:p>
      <w:pPr>
        <w:numPr>
          <w:ilvl w:val="0"/>
          <w:numId w:val="9"/>
        </w:numPr>
        <w:pBdr>
          <w:top w:val="none" w:color="auto" w:sz="0" w:space="0"/>
          <w:left w:val="none" w:color="auto" w:sz="0" w:space="0"/>
          <w:bottom w:val="none" w:color="auto" w:sz="0" w:space="0"/>
          <w:right w:val="none" w:color="auto" w:sz="0" w:space="0"/>
          <w:between w:val="none" w:color="auto" w:sz="0" w:space="0"/>
        </w:pBdr>
        <w:spacing w:after="600" w:line="48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sz w:val="24"/>
          <w:szCs w:val="24"/>
        </w:rPr>
        <w:t xml:space="preserve">Tailoring messages to address the specific benefits of the CSG for homeowners, renters, and businesses, demonstrating how the CSG model resolves their unique challenges in accessing solar energy (Ozcan </w:t>
      </w:r>
      <w:r>
        <w:rPr>
          <w:rFonts w:ascii="Times New Roman" w:hAnsi="Times New Roman" w:eastAsia="Times New Roman" w:cs="Times New Roman"/>
          <w:i/>
          <w:color w:val="000000"/>
          <w:sz w:val="24"/>
          <w:szCs w:val="24"/>
        </w:rPr>
        <w:t>et al.</w:t>
      </w:r>
      <w:r>
        <w:rPr>
          <w:rFonts w:ascii="Times New Roman" w:hAnsi="Times New Roman" w:eastAsia="Times New Roman" w:cs="Times New Roman"/>
          <w:color w:val="000000"/>
          <w:sz w:val="24"/>
          <w:szCs w:val="24"/>
        </w:rPr>
        <w:t xml:space="preserve"> 2021).</w:t>
      </w:r>
    </w:p>
    <w:p>
      <w:pPr>
        <w:pBdr>
          <w:top w:val="none" w:color="auto" w:sz="0" w:space="0"/>
          <w:left w:val="none" w:color="auto" w:sz="0" w:space="0"/>
          <w:bottom w:val="none" w:color="auto" w:sz="0" w:space="0"/>
          <w:right w:val="none" w:color="auto" w:sz="0" w:space="0"/>
          <w:between w:val="none" w:color="auto" w:sz="0" w:space="0"/>
        </w:pBdr>
        <w:spacing w:before="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Together, these marketing strategies aim to create a cohesive campaign that resonates with the target market, educates them on the unique solution provided by the CSG, and compels them to participate. By intertwining educational and promotional efforts, the marketing campaign is designed to drive awareness, foster community engagement, and accelerate the Community Solar Garden venture adoption, propelling it closer to its mission of expanding solar energy accessibility in the UK.</w:t>
      </w:r>
    </w:p>
    <w:p>
      <w:pPr>
        <w:pBdr>
          <w:top w:val="none" w:color="auto" w:sz="0" w:space="0"/>
          <w:left w:val="none" w:color="auto" w:sz="0" w:space="0"/>
          <w:bottom w:val="none" w:color="auto" w:sz="0" w:space="0"/>
          <w:right w:val="none" w:color="auto" w:sz="0" w:space="0"/>
          <w:between w:val="none" w:color="auto" w:sz="0" w:space="0"/>
        </w:pBdr>
        <w:rPr>
          <w:color w:val="000000"/>
        </w:rPr>
      </w:pPr>
    </w:p>
    <w:p>
      <w:pPr>
        <w:pStyle w:val="2"/>
        <w:spacing w:before="240" w:after="240" w:line="480" w:lineRule="auto"/>
        <w:jc w:val="both"/>
        <w:rPr>
          <w:rFonts w:ascii="Times New Roman" w:hAnsi="Times New Roman" w:eastAsia="Times New Roman" w:cs="Times New Roman"/>
          <w:b/>
          <w:sz w:val="24"/>
          <w:szCs w:val="24"/>
        </w:rPr>
      </w:pPr>
      <w:bookmarkStart w:id="6" w:name="_heading=h.3dy6vkm" w:colFirst="0" w:colLast="0"/>
      <w:bookmarkEnd w:id="6"/>
      <w:r>
        <w:rPr>
          <w:rFonts w:ascii="Times New Roman" w:hAnsi="Times New Roman" w:eastAsia="Times New Roman" w:cs="Times New Roman"/>
          <w:b/>
          <w:sz w:val="24"/>
          <w:szCs w:val="24"/>
        </w:rPr>
        <w:t>Financial Plan and Funding Requirements</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financial roadmap of the Community Solar Garden (CSG) venture is instrumental for its successful inception, operation, and eventual sustainability. This section delineates the budget estimation, funding requisites, and potential external sources.</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i/>
          <w:color w:val="000000"/>
          <w:sz w:val="24"/>
          <w:szCs w:val="24"/>
        </w:rPr>
        <w:t>A. Budget Estimation</w:t>
      </w:r>
      <w:r>
        <w:rPr>
          <w:rFonts w:ascii="Times New Roman" w:hAnsi="Times New Roman" w:eastAsia="Times New Roman" w:cs="Times New Roman"/>
          <w:b/>
          <w:color w:val="000000"/>
          <w:sz w:val="24"/>
          <w:szCs w:val="24"/>
        </w:rPr>
        <w:t>:</w:t>
      </w:r>
    </w:p>
    <w:p>
      <w:pPr>
        <w:numPr>
          <w:ilvl w:val="0"/>
          <w:numId w:val="10"/>
        </w:numPr>
        <w:pBdr>
          <w:top w:val="none" w:color="auto" w:sz="0" w:space="0"/>
          <w:left w:val="none" w:color="auto" w:sz="0" w:space="0"/>
          <w:bottom w:val="none" w:color="auto" w:sz="0" w:space="0"/>
          <w:right w:val="none" w:color="auto" w:sz="0" w:space="0"/>
          <w:between w:val="none" w:color="auto" w:sz="0" w:space="0"/>
        </w:pBdr>
        <w:spacing w:before="600" w:line="480" w:lineRule="auto"/>
        <w:jc w:val="both"/>
        <w:rPr>
          <w:rFonts w:ascii="Times New Roman" w:hAnsi="Times New Roman" w:eastAsia="Times New Roman" w:cs="Times New Roman"/>
          <w:color w:val="000000"/>
        </w:rPr>
      </w:pPr>
      <w:r>
        <w:rPr>
          <w:rFonts w:ascii="Times New Roman" w:hAnsi="Times New Roman" w:eastAsia="Times New Roman" w:cs="Times New Roman"/>
          <w:b/>
          <w:color w:val="000000"/>
          <w:sz w:val="24"/>
          <w:szCs w:val="24"/>
        </w:rPr>
        <w:t>Establishment Costs:</w:t>
      </w:r>
      <w:r>
        <w:rPr>
          <w:rFonts w:ascii="Times New Roman" w:hAnsi="Times New Roman" w:eastAsia="Times New Roman" w:cs="Times New Roman"/>
          <w:color w:val="000000"/>
          <w:sz w:val="24"/>
          <w:szCs w:val="24"/>
        </w:rPr>
        <w:t xml:space="preserve"> The initial setup costs include land acquisition, solar panel procurement and installation, infrastructure development, and legal and administrative expenses. A preliminary estimation pegs these costs at around £2 million.</w:t>
      </w:r>
    </w:p>
    <w:p>
      <w:pPr>
        <w:numPr>
          <w:ilvl w:val="0"/>
          <w:numId w:val="10"/>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rPr>
      </w:pPr>
      <w:r>
        <w:rPr>
          <w:rFonts w:ascii="Times New Roman" w:hAnsi="Times New Roman" w:eastAsia="Times New Roman" w:cs="Times New Roman"/>
          <w:b/>
          <w:color w:val="000000"/>
          <w:sz w:val="24"/>
          <w:szCs w:val="24"/>
        </w:rPr>
        <w:t>Operational Expenses:</w:t>
      </w:r>
      <w:r>
        <w:rPr>
          <w:rFonts w:ascii="Times New Roman" w:hAnsi="Times New Roman" w:eastAsia="Times New Roman" w:cs="Times New Roman"/>
          <w:color w:val="000000"/>
          <w:sz w:val="24"/>
          <w:szCs w:val="24"/>
        </w:rPr>
        <w:t xml:space="preserve"> These encompass maintenance, staff salaries, marketing, and other recurring expenses estimated to be around £200,000 annually.</w:t>
      </w:r>
    </w:p>
    <w:p>
      <w:pPr>
        <w:numPr>
          <w:ilvl w:val="0"/>
          <w:numId w:val="10"/>
        </w:numPr>
        <w:pBdr>
          <w:top w:val="none" w:color="auto" w:sz="0" w:space="0"/>
          <w:left w:val="none" w:color="auto" w:sz="0" w:space="0"/>
          <w:bottom w:val="none" w:color="auto" w:sz="0" w:space="0"/>
          <w:right w:val="none" w:color="auto" w:sz="0" w:space="0"/>
          <w:between w:val="none" w:color="auto" w:sz="0" w:space="0"/>
        </w:pBdr>
        <w:spacing w:after="600" w:line="480" w:lineRule="auto"/>
        <w:jc w:val="both"/>
        <w:rPr>
          <w:rFonts w:ascii="Times New Roman" w:hAnsi="Times New Roman" w:eastAsia="Times New Roman" w:cs="Times New Roman"/>
          <w:color w:val="000000"/>
        </w:rPr>
      </w:pPr>
      <w:r>
        <w:rPr>
          <w:rFonts w:ascii="Times New Roman" w:hAnsi="Times New Roman" w:eastAsia="Times New Roman" w:cs="Times New Roman"/>
          <w:b/>
          <w:color w:val="000000"/>
          <w:sz w:val="24"/>
          <w:szCs w:val="24"/>
        </w:rPr>
        <w:t xml:space="preserve">Projected Revenues: </w:t>
      </w:r>
      <w:r>
        <w:rPr>
          <w:rFonts w:ascii="Times New Roman" w:hAnsi="Times New Roman" w:eastAsia="Times New Roman" w:cs="Times New Roman"/>
          <w:color w:val="000000"/>
          <w:sz w:val="24"/>
          <w:szCs w:val="24"/>
        </w:rPr>
        <w:t>Revenue generation primarily from solar energy sales and leasing of solar panels is projected to commence from the first year, with an estimated revenue of £300,000 in the first year, with a 10% annual increment as the community grows and additional panels are leased.</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i/>
          <w:color w:val="000000"/>
          <w:sz w:val="24"/>
          <w:szCs w:val="24"/>
        </w:rPr>
        <w:t>B. Funding Requirements</w:t>
      </w:r>
      <w:r>
        <w:rPr>
          <w:rFonts w:ascii="Times New Roman" w:hAnsi="Times New Roman" w:eastAsia="Times New Roman" w:cs="Times New Roman"/>
          <w:b/>
          <w:color w:val="000000"/>
          <w:sz w:val="24"/>
          <w:szCs w:val="24"/>
        </w:rPr>
        <w:t>:</w:t>
      </w:r>
    </w:p>
    <w:p>
      <w:pPr>
        <w:numPr>
          <w:ilvl w:val="0"/>
          <w:numId w:val="11"/>
        </w:numPr>
        <w:pBdr>
          <w:top w:val="none" w:color="auto" w:sz="0" w:space="0"/>
          <w:left w:val="none" w:color="auto" w:sz="0" w:space="0"/>
          <w:bottom w:val="none" w:color="auto" w:sz="0" w:space="0"/>
          <w:right w:val="none" w:color="auto" w:sz="0" w:space="0"/>
          <w:between w:val="none" w:color="auto" w:sz="0" w:space="0"/>
        </w:pBdr>
        <w:spacing w:before="600" w:line="480" w:lineRule="auto"/>
        <w:jc w:val="both"/>
        <w:rPr>
          <w:rFonts w:ascii="Times New Roman" w:hAnsi="Times New Roman" w:eastAsia="Times New Roman" w:cs="Times New Roman"/>
          <w:color w:val="000000"/>
        </w:rPr>
      </w:pPr>
      <w:r>
        <w:rPr>
          <w:rFonts w:ascii="Times New Roman" w:hAnsi="Times New Roman" w:eastAsia="Times New Roman" w:cs="Times New Roman"/>
          <w:b/>
          <w:color w:val="000000"/>
          <w:sz w:val="24"/>
          <w:szCs w:val="24"/>
        </w:rPr>
        <w:t>Kickstart Fund:</w:t>
      </w:r>
      <w:r>
        <w:rPr>
          <w:rFonts w:ascii="Times New Roman" w:hAnsi="Times New Roman" w:eastAsia="Times New Roman" w:cs="Times New Roman"/>
          <w:color w:val="000000"/>
          <w:sz w:val="24"/>
          <w:szCs w:val="24"/>
        </w:rPr>
        <w:t xml:space="preserve"> An initial fund of approximately £2.5 million is required to cover the establishment costs and operational expenses for the first year.</w:t>
      </w:r>
    </w:p>
    <w:p>
      <w:pPr>
        <w:numPr>
          <w:ilvl w:val="0"/>
          <w:numId w:val="11"/>
        </w:numPr>
        <w:pBdr>
          <w:top w:val="none" w:color="auto" w:sz="0" w:space="0"/>
          <w:left w:val="none" w:color="auto" w:sz="0" w:space="0"/>
          <w:bottom w:val="none" w:color="auto" w:sz="0" w:space="0"/>
          <w:right w:val="none" w:color="auto" w:sz="0" w:space="0"/>
          <w:between w:val="none" w:color="auto" w:sz="0" w:space="0"/>
        </w:pBdr>
        <w:spacing w:after="600" w:line="480" w:lineRule="auto"/>
        <w:jc w:val="both"/>
        <w:rPr>
          <w:rFonts w:ascii="Times New Roman" w:hAnsi="Times New Roman" w:eastAsia="Times New Roman" w:cs="Times New Roman"/>
          <w:color w:val="000000"/>
        </w:rPr>
      </w:pPr>
      <w:r>
        <w:rPr>
          <w:rFonts w:ascii="Times New Roman" w:hAnsi="Times New Roman" w:eastAsia="Times New Roman" w:cs="Times New Roman"/>
          <w:b/>
          <w:color w:val="000000"/>
          <w:sz w:val="24"/>
          <w:szCs w:val="24"/>
        </w:rPr>
        <w:t>Phased Funding:</w:t>
      </w:r>
      <w:r>
        <w:rPr>
          <w:rFonts w:ascii="Times New Roman" w:hAnsi="Times New Roman" w:eastAsia="Times New Roman" w:cs="Times New Roman"/>
          <w:color w:val="000000"/>
          <w:sz w:val="24"/>
          <w:szCs w:val="24"/>
        </w:rPr>
        <w:t xml:space="preserve"> Subsequent funding may be needed in phases for expansion, technological upgrades, and unforeseen contingencies.</w:t>
      </w:r>
    </w:p>
    <w:p>
      <w:pPr>
        <w:pBdr>
          <w:top w:val="none" w:color="auto" w:sz="0" w:space="0"/>
          <w:left w:val="none" w:color="auto" w:sz="0" w:space="0"/>
          <w:bottom w:val="none" w:color="auto" w:sz="0" w:space="0"/>
          <w:right w:val="none" w:color="auto" w:sz="0" w:space="0"/>
          <w:between w:val="none" w:color="auto" w:sz="0" w:space="0"/>
        </w:pBdr>
        <w:spacing w:before="300" w:after="300" w:line="48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i/>
          <w:color w:val="000000"/>
          <w:sz w:val="24"/>
          <w:szCs w:val="24"/>
        </w:rPr>
        <w:t>C. Potential External Funding Sources</w:t>
      </w:r>
      <w:r>
        <w:rPr>
          <w:rFonts w:ascii="Times New Roman" w:hAnsi="Times New Roman" w:eastAsia="Times New Roman" w:cs="Times New Roman"/>
          <w:b/>
          <w:color w:val="000000"/>
          <w:sz w:val="24"/>
          <w:szCs w:val="24"/>
        </w:rPr>
        <w:t>:</w:t>
      </w:r>
    </w:p>
    <w:p>
      <w:pPr>
        <w:numPr>
          <w:ilvl w:val="0"/>
          <w:numId w:val="12"/>
        </w:numPr>
        <w:pBdr>
          <w:top w:val="none" w:color="auto" w:sz="0" w:space="0"/>
          <w:left w:val="none" w:color="auto" w:sz="0" w:space="0"/>
          <w:bottom w:val="none" w:color="auto" w:sz="0" w:space="0"/>
          <w:right w:val="none" w:color="auto" w:sz="0" w:space="0"/>
          <w:between w:val="none" w:color="auto" w:sz="0" w:space="0"/>
        </w:pBdr>
        <w:spacing w:before="600" w:line="480" w:lineRule="auto"/>
        <w:jc w:val="both"/>
        <w:rPr>
          <w:rFonts w:ascii="Times New Roman" w:hAnsi="Times New Roman" w:eastAsia="Times New Roman" w:cs="Times New Roman"/>
          <w:color w:val="000000"/>
        </w:rPr>
      </w:pPr>
      <w:r>
        <w:rPr>
          <w:rFonts w:ascii="Times New Roman" w:hAnsi="Times New Roman" w:eastAsia="Times New Roman" w:cs="Times New Roman"/>
          <w:b/>
          <w:color w:val="000000"/>
          <w:sz w:val="24"/>
          <w:szCs w:val="24"/>
        </w:rPr>
        <w:t>Governmental Renewable Energy Grants:</w:t>
      </w:r>
      <w:r>
        <w:rPr>
          <w:rFonts w:ascii="Times New Roman" w:hAnsi="Times New Roman" w:eastAsia="Times New Roman" w:cs="Times New Roman"/>
          <w:color w:val="000000"/>
          <w:sz w:val="24"/>
          <w:szCs w:val="24"/>
        </w:rPr>
        <w:t xml:space="preserve"> These grants are attractive due to their non-repayable nature and align with the venture's objective of promoting renewable energy.</w:t>
      </w:r>
    </w:p>
    <w:p>
      <w:pPr>
        <w:numPr>
          <w:ilvl w:val="0"/>
          <w:numId w:val="12"/>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rPr>
      </w:pPr>
      <w:r>
        <w:rPr>
          <w:rFonts w:ascii="Times New Roman" w:hAnsi="Times New Roman" w:eastAsia="Times New Roman" w:cs="Times New Roman"/>
          <w:b/>
          <w:color w:val="000000"/>
          <w:sz w:val="24"/>
          <w:szCs w:val="24"/>
        </w:rPr>
        <w:t xml:space="preserve">Green Financing Institutions: </w:t>
      </w:r>
      <w:r>
        <w:rPr>
          <w:rFonts w:ascii="Times New Roman" w:hAnsi="Times New Roman" w:eastAsia="Times New Roman" w:cs="Times New Roman"/>
          <w:color w:val="000000"/>
          <w:sz w:val="24"/>
          <w:szCs w:val="24"/>
        </w:rPr>
        <w:t>Loans from institutions specialising in green financing appeal due to their favourable terms and understanding of renewable energy projects.</w:t>
      </w:r>
    </w:p>
    <w:p>
      <w:pPr>
        <w:numPr>
          <w:ilvl w:val="0"/>
          <w:numId w:val="12"/>
        </w:num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rPr>
      </w:pPr>
      <w:r>
        <w:rPr>
          <w:rFonts w:ascii="Times New Roman" w:hAnsi="Times New Roman" w:eastAsia="Times New Roman" w:cs="Times New Roman"/>
          <w:b/>
          <w:color w:val="000000"/>
          <w:sz w:val="24"/>
          <w:szCs w:val="24"/>
        </w:rPr>
        <w:t xml:space="preserve">Crowdfunding: </w:t>
      </w:r>
      <w:r>
        <w:rPr>
          <w:rFonts w:ascii="Times New Roman" w:hAnsi="Times New Roman" w:eastAsia="Times New Roman" w:cs="Times New Roman"/>
          <w:color w:val="000000"/>
          <w:sz w:val="24"/>
          <w:szCs w:val="24"/>
        </w:rPr>
        <w:t>Engaging the community through crowdfunding platforms raises funds and fosters community involvement and awareness.</w:t>
      </w:r>
    </w:p>
    <w:p>
      <w:pPr>
        <w:numPr>
          <w:ilvl w:val="0"/>
          <w:numId w:val="12"/>
        </w:numPr>
        <w:pBdr>
          <w:top w:val="none" w:color="auto" w:sz="0" w:space="0"/>
          <w:left w:val="none" w:color="auto" w:sz="0" w:space="0"/>
          <w:bottom w:val="none" w:color="auto" w:sz="0" w:space="0"/>
          <w:right w:val="none" w:color="auto" w:sz="0" w:space="0"/>
          <w:between w:val="none" w:color="auto" w:sz="0" w:space="0"/>
        </w:pBdr>
        <w:spacing w:after="600" w:line="480" w:lineRule="auto"/>
        <w:jc w:val="both"/>
        <w:rPr>
          <w:rFonts w:ascii="Times New Roman" w:hAnsi="Times New Roman" w:eastAsia="Times New Roman" w:cs="Times New Roman"/>
          <w:color w:val="000000"/>
        </w:rPr>
      </w:pPr>
      <w:r>
        <w:rPr>
          <w:rFonts w:ascii="Times New Roman" w:hAnsi="Times New Roman" w:eastAsia="Times New Roman" w:cs="Times New Roman"/>
          <w:b/>
          <w:color w:val="000000"/>
          <w:sz w:val="24"/>
          <w:szCs w:val="24"/>
        </w:rPr>
        <w:t xml:space="preserve">Investors and Partnerships: </w:t>
      </w:r>
      <w:r>
        <w:rPr>
          <w:rFonts w:ascii="Times New Roman" w:hAnsi="Times New Roman" w:eastAsia="Times New Roman" w:cs="Times New Roman"/>
          <w:color w:val="000000"/>
          <w:sz w:val="24"/>
          <w:szCs w:val="24"/>
        </w:rPr>
        <w:t>Attracting investors or forming partnerships with established entities in the renewable energy sector could provide significant funding and expertise.</w:t>
      </w:r>
    </w:p>
    <w:p>
      <w:pPr>
        <w:pBdr>
          <w:top w:val="none" w:color="auto" w:sz="0" w:space="0"/>
          <w:left w:val="none" w:color="auto" w:sz="0" w:space="0"/>
          <w:bottom w:val="none" w:color="auto" w:sz="0" w:space="0"/>
          <w:right w:val="none" w:color="auto" w:sz="0" w:space="0"/>
          <w:between w:val="none" w:color="auto" w:sz="0" w:space="0"/>
        </w:pBdr>
        <w:spacing w:before="300" w:line="480" w:lineRule="auto"/>
        <w:jc w:val="both"/>
        <w:rPr>
          <w:rFonts w:ascii="Times New Roman" w:hAnsi="Times New Roman" w:eastAsia="Times New Roman" w:cs="Times New Roman"/>
          <w:color w:val="000000"/>
          <w:sz w:val="24"/>
          <w:szCs w:val="24"/>
        </w:rPr>
      </w:pPr>
      <w:bookmarkStart w:id="7" w:name="_heading=h.1t3h5sf" w:colFirst="0" w:colLast="0"/>
      <w:bookmarkEnd w:id="7"/>
      <w:r>
        <w:rPr>
          <w:rFonts w:ascii="Times New Roman" w:hAnsi="Times New Roman" w:eastAsia="Times New Roman" w:cs="Times New Roman"/>
          <w:color w:val="000000"/>
          <w:sz w:val="24"/>
          <w:szCs w:val="24"/>
        </w:rPr>
        <w:t>The chosen funding sources align with the CSG’s ethos of community engagement and environmental sustainability. Government grants, green loans, and crowdfunding encapsulate a mix of non-repayable funds, low-interest loans, and community involvement, which is critical for the venture's success. This financial plan aims to ensure a solid financial footing for the CSG venture, enabling it to navigate the initial challenges and set on a trajectory of self-sustainability while contributing significantly towards the renewable energy transition in the UK.</w:t>
      </w:r>
    </w:p>
    <w:p>
      <w:pPr>
        <w:pBdr>
          <w:top w:val="none" w:color="auto" w:sz="0" w:space="0"/>
          <w:left w:val="none" w:color="auto" w:sz="0" w:space="0"/>
          <w:bottom w:val="none" w:color="auto" w:sz="0" w:space="0"/>
          <w:right w:val="none" w:color="auto" w:sz="0" w:space="0"/>
          <w:between w:val="none" w:color="auto" w:sz="0" w:space="0"/>
        </w:pBdr>
        <w:rPr>
          <w:color w:val="000000"/>
        </w:rPr>
      </w:pPr>
    </w:p>
    <w:p>
      <w:pPr>
        <w:pStyle w:val="2"/>
        <w:spacing w:before="240" w:after="240" w:line="480" w:lineRule="auto"/>
        <w:jc w:val="both"/>
        <w:rPr>
          <w:rFonts w:ascii="Times New Roman" w:hAnsi="Times New Roman" w:eastAsia="Times New Roman" w:cs="Times New Roman"/>
          <w:b/>
          <w:sz w:val="24"/>
          <w:szCs w:val="24"/>
        </w:rPr>
      </w:pPr>
      <w:bookmarkStart w:id="8" w:name="_heading=h.4d34og8" w:colFirst="0" w:colLast="0"/>
      <w:bookmarkEnd w:id="8"/>
      <w:r>
        <w:rPr>
          <w:rFonts w:ascii="Times New Roman" w:hAnsi="Times New Roman" w:eastAsia="Times New Roman" w:cs="Times New Roman"/>
          <w:b/>
          <w:sz w:val="24"/>
          <w:szCs w:val="24"/>
        </w:rPr>
        <w:t xml:space="preserve">Conclusion </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b/>
          <w:color w:val="000000"/>
        </w:rPr>
      </w:pPr>
      <w:r>
        <w:rPr>
          <w:rFonts w:ascii="Times New Roman" w:hAnsi="Times New Roman" w:eastAsia="Times New Roman" w:cs="Times New Roman"/>
          <w:color w:val="000000"/>
          <w:sz w:val="24"/>
          <w:szCs w:val="24"/>
        </w:rPr>
        <w:t xml:space="preserve">The inexorable march of climate change underscores an urgent call to action for renewable energy solutions. The proposed Community Solar Garden (CSG) venture presents a robust response to this call, offering a viable pathway for enhancing solar energy accessibility and community engagement in the renewable energy discourse. Through a meticulously crafted business plan, this essay elucidates the multiple facets of launching and operating a CSG venture in Bristol, UK, a region synonymous with sustainability aspirations. The plan delineates the operational model, market analysis, SWOT analysis, legal structuring, financial blueprint, and a strategic marketing approach, each tailored to address the unique challenges and leverage the opportunities inherent in the renewable energy sector. The CSG venture not only aligns with the </w:t>
      </w:r>
      <w:r>
        <w:rPr>
          <w:rFonts w:ascii="Times New Roman" w:hAnsi="Times New Roman" w:eastAsia="Times New Roman" w:cs="Times New Roman"/>
          <w:sz w:val="24"/>
          <w:szCs w:val="24"/>
        </w:rPr>
        <w:t>Bristol</w:t>
      </w:r>
      <w:r>
        <w:rPr>
          <w:rFonts w:ascii="Times New Roman" w:hAnsi="Times New Roman" w:eastAsia="Times New Roman" w:cs="Times New Roman"/>
          <w:color w:val="000000"/>
          <w:sz w:val="24"/>
          <w:szCs w:val="24"/>
        </w:rPr>
        <w:t xml:space="preserve">'s overarching goal of achieving net-zero emissions by </w:t>
      </w:r>
      <w:r>
        <w:rPr>
          <w:rFonts w:ascii="Times New Roman" w:hAnsi="Times New Roman" w:eastAsia="Times New Roman" w:cs="Times New Roman"/>
          <w:sz w:val="24"/>
          <w:szCs w:val="24"/>
        </w:rPr>
        <w:t>2030</w:t>
      </w:r>
      <w:r>
        <w:rPr>
          <w:rFonts w:ascii="Times New Roman" w:hAnsi="Times New Roman" w:eastAsia="Times New Roman" w:cs="Times New Roman"/>
          <w:color w:val="000000"/>
          <w:sz w:val="24"/>
          <w:szCs w:val="24"/>
        </w:rPr>
        <w:t xml:space="preserve"> but also fosters a community-centric model that could serve as a blueprint for similar initiatives across the globe. The collaborative ethos of the CSG model encapsulates a forward-thinking approach to renewable energy adoption, transcending traditional barriers and fostering a collective responsibility towards a sustainable future. As global warming challenges our planet's equilibrium, initiatives like the CSG venture emerge as beacons of hope, epitomising the potent synergy of community engagement and renewable energy innovation in mitigating climate change.</w:t>
      </w:r>
      <w:r>
        <w:br w:type="page"/>
      </w:r>
    </w:p>
    <w:p>
      <w:pPr>
        <w:pStyle w:val="2"/>
        <w:spacing w:before="240" w:after="240" w:line="480" w:lineRule="auto"/>
        <w:jc w:val="both"/>
        <w:rPr>
          <w:rFonts w:ascii="Times New Roman" w:hAnsi="Times New Roman" w:eastAsia="Times New Roman" w:cs="Times New Roman"/>
          <w:b/>
          <w:sz w:val="24"/>
          <w:szCs w:val="24"/>
        </w:rPr>
      </w:pPr>
      <w:bookmarkStart w:id="9" w:name="_heading=h.2s8eyo1" w:colFirst="0" w:colLast="0"/>
      <w:bookmarkEnd w:id="9"/>
      <w:r>
        <w:rPr>
          <w:rFonts w:ascii="Times New Roman" w:hAnsi="Times New Roman" w:eastAsia="Times New Roman" w:cs="Times New Roman"/>
          <w:b/>
          <w:sz w:val="24"/>
          <w:szCs w:val="24"/>
        </w:rPr>
        <w:t xml:space="preserve">References </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sz w:val="24"/>
          <w:szCs w:val="24"/>
        </w:rPr>
      </w:pPr>
      <w:r>
        <w:rPr>
          <w:rFonts w:ascii="Times New Roman" w:hAnsi="Times New Roman" w:eastAsia="Times New Roman" w:cs="Times New Roman"/>
          <w:color w:val="000000"/>
          <w:sz w:val="24"/>
          <w:szCs w:val="24"/>
        </w:rPr>
        <w:t xml:space="preserve">Bouzguenda, I., Alalouch, C. and Fava, N., 2019. Towards smart sustainable cities: A review of the role digital citizen participation could play in advancing social sustainability. </w:t>
      </w:r>
      <w:r>
        <w:rPr>
          <w:rFonts w:ascii="Times New Roman" w:hAnsi="Times New Roman" w:eastAsia="Times New Roman" w:cs="Times New Roman"/>
          <w:i/>
          <w:color w:val="000000"/>
          <w:sz w:val="24"/>
          <w:szCs w:val="24"/>
        </w:rPr>
        <w:t>Sustainable Cities and Society, 50</w:t>
      </w:r>
      <w:r>
        <w:rPr>
          <w:rFonts w:ascii="Times New Roman" w:hAnsi="Times New Roman" w:eastAsia="Times New Roman" w:cs="Times New Roman"/>
          <w:color w:val="000000"/>
          <w:sz w:val="24"/>
          <w:szCs w:val="24"/>
        </w:rPr>
        <w:t>, p.101627.</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Fox, S. and Macleod, A., 2023. Localizing the SDGs in cities: reflections from an action research project in Bristol, UK. </w:t>
      </w:r>
      <w:r>
        <w:rPr>
          <w:rFonts w:ascii="Times New Roman" w:hAnsi="Times New Roman" w:eastAsia="Times New Roman" w:cs="Times New Roman"/>
          <w:i/>
          <w:color w:val="222222"/>
          <w:sz w:val="24"/>
          <w:szCs w:val="24"/>
        </w:rPr>
        <w:t>Urban Geography</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rPr>
        <w:t>44</w:t>
      </w:r>
      <w:r>
        <w:rPr>
          <w:rFonts w:ascii="Times New Roman" w:hAnsi="Times New Roman" w:eastAsia="Times New Roman" w:cs="Times New Roman"/>
          <w:color w:val="222222"/>
          <w:sz w:val="24"/>
          <w:szCs w:val="24"/>
          <w:highlight w:val="white"/>
        </w:rPr>
        <w:t>(3), pp.517-537.</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Guangul, F.M. and Chala, G.T., 2019, January. Solar energy as renewable energy source: SWOT analysis. </w:t>
      </w:r>
      <w:r>
        <w:rPr>
          <w:rFonts w:ascii="Times New Roman" w:hAnsi="Times New Roman" w:eastAsia="Times New Roman" w:cs="Times New Roman"/>
          <w:i/>
          <w:color w:val="000000"/>
          <w:sz w:val="24"/>
          <w:szCs w:val="24"/>
        </w:rPr>
        <w:t>In 2019 4th MEC international conference on big data and smart city (ICBDSC)</w:t>
      </w:r>
      <w:r>
        <w:rPr>
          <w:rFonts w:ascii="Times New Roman" w:hAnsi="Times New Roman" w:eastAsia="Times New Roman" w:cs="Times New Roman"/>
          <w:color w:val="000000"/>
          <w:sz w:val="24"/>
          <w:szCs w:val="24"/>
        </w:rPr>
        <w:t xml:space="preserve"> (pp. 1-5). IEEE.</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Heeter, J., O'Shaughnessy, E. and Chan, G., 2020. </w:t>
      </w:r>
      <w:r>
        <w:rPr>
          <w:rFonts w:ascii="Times New Roman" w:hAnsi="Times New Roman" w:eastAsia="Times New Roman" w:cs="Times New Roman"/>
          <w:i/>
          <w:color w:val="000000"/>
          <w:sz w:val="24"/>
          <w:szCs w:val="24"/>
        </w:rPr>
        <w:t>Sharing the Sun: Understanding Community Solar Deployment and Subscriptions</w:t>
      </w:r>
      <w:r>
        <w:rPr>
          <w:rFonts w:ascii="Times New Roman" w:hAnsi="Times New Roman" w:eastAsia="Times New Roman" w:cs="Times New Roman"/>
          <w:color w:val="000000"/>
          <w:sz w:val="24"/>
          <w:szCs w:val="24"/>
        </w:rPr>
        <w:t xml:space="preserve"> (No. NREL/PR-6A20-76853). National Renewable Energy Lab.(NREL), Golden, CO (United States).</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Kemper, J.A. and Ballantine, P.W., 2019. What do we mean by sustainability marketing?. </w:t>
      </w:r>
      <w:r>
        <w:rPr>
          <w:rFonts w:ascii="Times New Roman" w:hAnsi="Times New Roman" w:eastAsia="Times New Roman" w:cs="Times New Roman"/>
          <w:i/>
          <w:color w:val="000000"/>
          <w:sz w:val="24"/>
          <w:szCs w:val="24"/>
        </w:rPr>
        <w:t>Journal of Marketing Management, 35</w:t>
      </w:r>
      <w:r>
        <w:rPr>
          <w:rFonts w:ascii="Times New Roman" w:hAnsi="Times New Roman" w:eastAsia="Times New Roman" w:cs="Times New Roman"/>
          <w:color w:val="000000"/>
          <w:sz w:val="24"/>
          <w:szCs w:val="24"/>
        </w:rPr>
        <w:t xml:space="preserve">(3-4), pp.277-309. </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Lindo, P. (2022) Community solar archives - impact power solutions, IPS. Available at: https://ips-solar.com/news/category/community-solar/ (Accessed: 26 October 2023).  </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i/>
          <w:color w:val="000000"/>
          <w:sz w:val="24"/>
          <w:szCs w:val="24"/>
        </w:rPr>
      </w:pPr>
      <w:r>
        <w:rPr>
          <w:rFonts w:ascii="Times New Roman" w:hAnsi="Times New Roman" w:eastAsia="Times New Roman" w:cs="Times New Roman"/>
          <w:color w:val="000000"/>
          <w:sz w:val="24"/>
          <w:szCs w:val="24"/>
        </w:rPr>
        <w:t xml:space="preserve">Marakova, V., Wolak-Tuzimek, A. and Tučková, Z., 2021. Corporate social responsibility as a source of competitive advantage in large enterprises. </w:t>
      </w:r>
      <w:r>
        <w:rPr>
          <w:rFonts w:ascii="Times New Roman" w:hAnsi="Times New Roman" w:eastAsia="Times New Roman" w:cs="Times New Roman"/>
          <w:i/>
          <w:color w:val="000000"/>
          <w:sz w:val="24"/>
          <w:szCs w:val="24"/>
        </w:rPr>
        <w:t>Journal of Competitiveness.</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Mccoy, M., Mommsen, T.P., Farrell, J. and Liem, K., 2020. Community Solar: Strategies and Implementation for Sustainability. </w:t>
      </w:r>
      <w:r>
        <w:rPr>
          <w:rFonts w:ascii="Times New Roman" w:hAnsi="Times New Roman" w:eastAsia="Times New Roman" w:cs="Times New Roman"/>
          <w:i/>
          <w:color w:val="000000"/>
          <w:sz w:val="24"/>
          <w:szCs w:val="24"/>
        </w:rPr>
        <w:t>Encyclopedia of the UN Sustainable Development Goals Affordable and Clean Energy</w:t>
      </w:r>
      <w:r>
        <w:rPr>
          <w:rFonts w:ascii="Times New Roman" w:hAnsi="Times New Roman" w:eastAsia="Times New Roman" w:cs="Times New Roman"/>
          <w:color w:val="000000"/>
          <w:sz w:val="24"/>
          <w:szCs w:val="24"/>
        </w:rPr>
        <w:t xml:space="preserve">, pp.1-18. </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Michaud, G., 2020. Perspectives on community solar policy adoption across the United States. </w:t>
      </w:r>
      <w:r>
        <w:rPr>
          <w:rFonts w:ascii="Times New Roman" w:hAnsi="Times New Roman" w:eastAsia="Times New Roman" w:cs="Times New Roman"/>
          <w:i/>
          <w:color w:val="000000"/>
          <w:sz w:val="24"/>
          <w:szCs w:val="24"/>
        </w:rPr>
        <w:t>Renewable Energy Focus, 33</w:t>
      </w:r>
      <w:r>
        <w:rPr>
          <w:rFonts w:ascii="Times New Roman" w:hAnsi="Times New Roman" w:eastAsia="Times New Roman" w:cs="Times New Roman"/>
          <w:color w:val="000000"/>
          <w:sz w:val="24"/>
          <w:szCs w:val="24"/>
        </w:rPr>
        <w:t>, pp.1-15.</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O'Connor, M., 2018. All in the community: Using community solar gardens to bring the benefits of renewable energy to low-income communities. Geo. </w:t>
      </w:r>
      <w:r>
        <w:rPr>
          <w:rFonts w:ascii="Times New Roman" w:hAnsi="Times New Roman" w:eastAsia="Times New Roman" w:cs="Times New Roman"/>
          <w:i/>
          <w:color w:val="000000"/>
          <w:sz w:val="24"/>
          <w:szCs w:val="24"/>
        </w:rPr>
        <w:t>Envtl. L. Rev., 31</w:t>
      </w:r>
      <w:r>
        <w:rPr>
          <w:rFonts w:ascii="Times New Roman" w:hAnsi="Times New Roman" w:eastAsia="Times New Roman" w:cs="Times New Roman"/>
          <w:color w:val="000000"/>
          <w:sz w:val="24"/>
          <w:szCs w:val="24"/>
        </w:rPr>
        <w:t>, p.391.</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Ozcan, S., Suloglu, M., Sakar, C.O. and Chatufale, S., 2021. Social media mining for ideation: Identification of sustainable solutions and opinions. </w:t>
      </w:r>
      <w:r>
        <w:rPr>
          <w:rFonts w:ascii="Times New Roman" w:hAnsi="Times New Roman" w:eastAsia="Times New Roman" w:cs="Times New Roman"/>
          <w:i/>
          <w:color w:val="000000"/>
          <w:sz w:val="24"/>
          <w:szCs w:val="24"/>
        </w:rPr>
        <w:t>Technovation, 107</w:t>
      </w:r>
      <w:r>
        <w:rPr>
          <w:rFonts w:ascii="Times New Roman" w:hAnsi="Times New Roman" w:eastAsia="Times New Roman" w:cs="Times New Roman"/>
          <w:color w:val="000000"/>
          <w:sz w:val="24"/>
          <w:szCs w:val="24"/>
        </w:rPr>
        <w:t xml:space="preserve">, p.102322. </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Phuangpornpitak, N. and Tia, S., 2013. Opportunities and challenges of integrating renewable energy in smart grid system. </w:t>
      </w:r>
      <w:r>
        <w:rPr>
          <w:rFonts w:ascii="Times New Roman" w:hAnsi="Times New Roman" w:eastAsia="Times New Roman" w:cs="Times New Roman"/>
          <w:i/>
          <w:color w:val="000000"/>
          <w:sz w:val="24"/>
          <w:szCs w:val="24"/>
        </w:rPr>
        <w:t>Energy Procedia, 34</w:t>
      </w:r>
      <w:r>
        <w:rPr>
          <w:rFonts w:ascii="Times New Roman" w:hAnsi="Times New Roman" w:eastAsia="Times New Roman" w:cs="Times New Roman"/>
          <w:color w:val="000000"/>
          <w:sz w:val="24"/>
          <w:szCs w:val="24"/>
        </w:rPr>
        <w:t xml:space="preserve">, pp.282-290. </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Qazi, A., Hussain, F., Rahim, N.A., Hardaker, G., Alghazzawi, D., Shaban, K. and Haruna, K., 2019. Towards sustainable energy: a systematic review of renewable energy sources, technologies, and public opinions. </w:t>
      </w:r>
      <w:r>
        <w:rPr>
          <w:rFonts w:ascii="Times New Roman" w:hAnsi="Times New Roman" w:eastAsia="Times New Roman" w:cs="Times New Roman"/>
          <w:i/>
          <w:color w:val="000000"/>
          <w:sz w:val="24"/>
          <w:szCs w:val="24"/>
        </w:rPr>
        <w:t>IEEE access, 7</w:t>
      </w:r>
      <w:r>
        <w:rPr>
          <w:rFonts w:ascii="Times New Roman" w:hAnsi="Times New Roman" w:eastAsia="Times New Roman" w:cs="Times New Roman"/>
          <w:color w:val="000000"/>
          <w:sz w:val="24"/>
          <w:szCs w:val="24"/>
        </w:rPr>
        <w:t>, pp.63837-63851.</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Roberts, S. (2020) Bristol One city. Available at: https://www.bristolonecity.com/wp-content/uploads/2020/02/Bristol-net-zero-for-direct-emissions.pdf (Accessed: 26 October 2023). </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i/>
          <w:color w:val="000000"/>
          <w:sz w:val="24"/>
          <w:szCs w:val="24"/>
        </w:rPr>
      </w:pPr>
      <w:r>
        <w:rPr>
          <w:rFonts w:ascii="Times New Roman" w:hAnsi="Times New Roman" w:eastAsia="Times New Roman" w:cs="Times New Roman"/>
          <w:color w:val="000000"/>
          <w:sz w:val="24"/>
          <w:szCs w:val="24"/>
        </w:rPr>
        <w:t xml:space="preserve">Zhao, X.X., Zheng, M. and Fu, Q., 2022. How natural disasters affect energy innovation? The perspective of environmental sustainability. </w:t>
      </w:r>
      <w:r>
        <w:rPr>
          <w:rFonts w:ascii="Times New Roman" w:hAnsi="Times New Roman" w:eastAsia="Times New Roman" w:cs="Times New Roman"/>
          <w:i/>
          <w:color w:val="000000"/>
          <w:sz w:val="24"/>
          <w:szCs w:val="24"/>
        </w:rPr>
        <w:t>Energy Economics, 109, p.105992.</w:t>
      </w:r>
    </w:p>
    <w:p>
      <w:pPr>
        <w:pBdr>
          <w:top w:val="none" w:color="auto" w:sz="0" w:space="0"/>
          <w:left w:val="none" w:color="auto" w:sz="0" w:space="0"/>
          <w:bottom w:val="none" w:color="auto" w:sz="0" w:space="0"/>
          <w:right w:val="none" w:color="auto" w:sz="0" w:space="0"/>
          <w:between w:val="none" w:color="auto" w:sz="0" w:space="0"/>
        </w:pBdr>
        <w:spacing w:before="240" w:after="240" w:line="48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Zluwa, I. and Pitha, U., 2021. The combination of building greenery and photovoltaic energy production—A discussion of challenges and opportunities in design. </w:t>
      </w:r>
      <w:r>
        <w:rPr>
          <w:rFonts w:ascii="Times New Roman" w:hAnsi="Times New Roman" w:eastAsia="Times New Roman" w:cs="Times New Roman"/>
          <w:i/>
          <w:color w:val="000000"/>
          <w:sz w:val="24"/>
          <w:szCs w:val="24"/>
        </w:rPr>
        <w:t>Sustainability, 13</w:t>
      </w:r>
      <w:r>
        <w:rPr>
          <w:rFonts w:ascii="Times New Roman" w:hAnsi="Times New Roman" w:eastAsia="Times New Roman" w:cs="Times New Roman"/>
          <w:color w:val="000000"/>
          <w:sz w:val="24"/>
          <w:szCs w:val="24"/>
        </w:rPr>
        <w:t xml:space="preserve">(3), p.1537. </w:t>
      </w:r>
    </w:p>
    <w:p>
      <w:pPr>
        <w:pBdr>
          <w:top w:val="none" w:color="auto" w:sz="0" w:space="0"/>
          <w:left w:val="none" w:color="auto" w:sz="0" w:space="0"/>
          <w:bottom w:val="none" w:color="auto" w:sz="0" w:space="0"/>
          <w:right w:val="none" w:color="auto" w:sz="0" w:space="0"/>
          <w:between w:val="none" w:color="auto" w:sz="0" w:space="0"/>
        </w:pBdr>
        <w:spacing w:line="480" w:lineRule="auto"/>
        <w:jc w:val="both"/>
        <w:rPr>
          <w:rFonts w:ascii="Times New Roman" w:hAnsi="Times New Roman" w:eastAsia="Times New Roman" w:cs="Times New Roman"/>
          <w:color w:val="000000"/>
          <w:sz w:val="24"/>
          <w:szCs w:val="24"/>
        </w:rPr>
      </w:pPr>
    </w:p>
    <w:sectPr>
      <w:footerReference r:id="rId6" w:type="first"/>
      <w:footerReference r:id="rId5" w:type="default"/>
      <w:pgSz w:w="11909" w:h="16834"/>
      <w:pgMar w:top="1440" w:right="1440" w:bottom="1440" w:left="1440" w:header="720" w:footer="720" w:gutter="0"/>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Noto Sans Symbols">
    <w:altName w:val="Yu Gothic UI"/>
    <w:panose1 w:val="020B0502040504020204"/>
    <w:charset w:val="00"/>
    <w:family w:val="swiss"/>
    <w:pitch w:val="default"/>
    <w:sig w:usb0="00000000" w:usb1="00000000" w:usb2="03040000" w:usb3="00000000" w:csb0="00000001" w:csb1="00000000"/>
  </w:font>
  <w:font w:name="Yu Gothic UI">
    <w:panose1 w:val="020B0500000000000000"/>
    <w:charset w:val="80"/>
    <w:family w:val="auto"/>
    <w:pitch w:val="default"/>
    <w:sig w:usb0="E00002FF" w:usb1="2AC7FDFF" w:usb2="00000016" w:usb3="00000000" w:csb0="2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Bdr>
        <w:top w:val="none" w:color="auto" w:sz="0" w:space="0"/>
        <w:left w:val="none" w:color="auto" w:sz="0" w:space="0"/>
        <w:bottom w:val="none" w:color="auto" w:sz="0" w:space="0"/>
        <w:right w:val="none" w:color="auto" w:sz="0" w:space="0"/>
        <w:between w:val="none" w:color="auto" w:sz="0" w:space="0"/>
      </w:pBdr>
      <w:spacing w:line="480" w:lineRule="auto"/>
      <w:jc w:val="right"/>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fldChar w:fldCharType="begin"/>
    </w:r>
    <w:r>
      <w:rPr>
        <w:rFonts w:ascii="Times New Roman" w:hAnsi="Times New Roman" w:eastAsia="Times New Roman" w:cs="Times New Roman"/>
        <w:color w:val="000000"/>
        <w:sz w:val="24"/>
        <w:szCs w:val="24"/>
      </w:rPr>
      <w:instrText xml:space="preserve">PAGE</w:instrText>
    </w:r>
    <w:r>
      <w:rPr>
        <w:rFonts w:ascii="Times New Roman" w:hAnsi="Times New Roman" w:eastAsia="Times New Roman" w:cs="Times New Roman"/>
        <w:color w:val="000000"/>
        <w:sz w:val="24"/>
        <w:szCs w:val="24"/>
      </w:rPr>
      <w:fldChar w:fldCharType="separate"/>
    </w:r>
    <w:r>
      <w:rPr>
        <w:rFonts w:ascii="Times New Roman" w:hAnsi="Times New Roman" w:eastAsia="Times New Roman" w:cs="Times New Roman"/>
        <w:color w:val="000000"/>
        <w:sz w:val="24"/>
        <w:szCs w:val="24"/>
      </w:rPr>
      <w:t>1</w:t>
    </w:r>
    <w:r>
      <w:rPr>
        <w:rFonts w:ascii="Times New Roman" w:hAnsi="Times New Roman" w:eastAsia="Times New Roman" w:cs="Times New Roman"/>
        <w:color w:val="000000"/>
        <w:sz w:val="24"/>
        <w:szCs w:val="24"/>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Bdr>
        <w:top w:val="none" w:color="auto" w:sz="0" w:space="0"/>
        <w:left w:val="none" w:color="auto" w:sz="0" w:space="0"/>
        <w:bottom w:val="none" w:color="auto" w:sz="0" w:space="0"/>
        <w:right w:val="none" w:color="auto" w:sz="0" w:space="0"/>
        <w:between w:val="none" w:color="auto" w:sz="0" w:space="0"/>
      </w:pBdr>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0066C97"/>
    <w:multiLevelType w:val="multilevel"/>
    <w:tmpl w:val="10066C97"/>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11D70E0A"/>
    <w:multiLevelType w:val="multilevel"/>
    <w:tmpl w:val="11D70E0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19521D2C"/>
    <w:multiLevelType w:val="multilevel"/>
    <w:tmpl w:val="19521D2C"/>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nsid w:val="1CBD3EA3"/>
    <w:multiLevelType w:val="multilevel"/>
    <w:tmpl w:val="1CBD3EA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22902B13"/>
    <w:multiLevelType w:val="multilevel"/>
    <w:tmpl w:val="22902B13"/>
    <w:lvl w:ilvl="0" w:tentative="0">
      <w:start w:val="1"/>
      <w:numFmt w:val="decimal"/>
      <w:lvlText w:val="%1."/>
      <w:lvlJc w:val="left"/>
      <w:pPr>
        <w:ind w:left="720" w:hanging="360"/>
      </w:pPr>
      <w:rPr>
        <w:rFonts w:ascii="Arial" w:hAnsi="Arial" w:eastAsia="Arial" w:cs="Arial"/>
        <w:b w:val="0"/>
        <w:i w:val="0"/>
        <w:smallCaps w:val="0"/>
        <w:strike w:val="0"/>
        <w:color w:val="000000"/>
        <w:sz w:val="24"/>
        <w:szCs w:val="24"/>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5">
    <w:nsid w:val="24563B2E"/>
    <w:multiLevelType w:val="multilevel"/>
    <w:tmpl w:val="24563B2E"/>
    <w:lvl w:ilvl="0" w:tentative="0">
      <w:start w:val="1"/>
      <w:numFmt w:val="bullet"/>
      <w:lvlText w:val="●"/>
      <w:lvlJc w:val="left"/>
      <w:pPr>
        <w:ind w:left="1800" w:hanging="360"/>
      </w:pPr>
      <w:rPr>
        <w:rFonts w:ascii="Noto Sans Symbols" w:hAnsi="Noto Sans Symbols" w:eastAsia="Noto Sans Symbols" w:cs="Noto Sans Symbols"/>
      </w:rPr>
    </w:lvl>
    <w:lvl w:ilvl="1" w:tentative="0">
      <w:start w:val="1"/>
      <w:numFmt w:val="bullet"/>
      <w:lvlText w:val="o"/>
      <w:lvlJc w:val="left"/>
      <w:pPr>
        <w:ind w:left="2520" w:hanging="360"/>
      </w:pPr>
      <w:rPr>
        <w:rFonts w:ascii="Courier New" w:hAnsi="Courier New" w:eastAsia="Courier New" w:cs="Courier New"/>
      </w:rPr>
    </w:lvl>
    <w:lvl w:ilvl="2" w:tentative="0">
      <w:start w:val="1"/>
      <w:numFmt w:val="bullet"/>
      <w:lvlText w:val="▪"/>
      <w:lvlJc w:val="left"/>
      <w:pPr>
        <w:ind w:left="3240" w:hanging="360"/>
      </w:pPr>
      <w:rPr>
        <w:rFonts w:ascii="Noto Sans Symbols" w:hAnsi="Noto Sans Symbols" w:eastAsia="Noto Sans Symbols" w:cs="Noto Sans Symbols"/>
      </w:rPr>
    </w:lvl>
    <w:lvl w:ilvl="3" w:tentative="0">
      <w:start w:val="1"/>
      <w:numFmt w:val="bullet"/>
      <w:lvlText w:val="●"/>
      <w:lvlJc w:val="left"/>
      <w:pPr>
        <w:ind w:left="3960" w:hanging="360"/>
      </w:pPr>
      <w:rPr>
        <w:rFonts w:ascii="Noto Sans Symbols" w:hAnsi="Noto Sans Symbols" w:eastAsia="Noto Sans Symbols" w:cs="Noto Sans Symbols"/>
      </w:rPr>
    </w:lvl>
    <w:lvl w:ilvl="4" w:tentative="0">
      <w:start w:val="1"/>
      <w:numFmt w:val="bullet"/>
      <w:lvlText w:val="o"/>
      <w:lvlJc w:val="left"/>
      <w:pPr>
        <w:ind w:left="4680" w:hanging="360"/>
      </w:pPr>
      <w:rPr>
        <w:rFonts w:ascii="Courier New" w:hAnsi="Courier New" w:eastAsia="Courier New" w:cs="Courier New"/>
      </w:rPr>
    </w:lvl>
    <w:lvl w:ilvl="5" w:tentative="0">
      <w:start w:val="1"/>
      <w:numFmt w:val="bullet"/>
      <w:lvlText w:val="▪"/>
      <w:lvlJc w:val="left"/>
      <w:pPr>
        <w:ind w:left="5400" w:hanging="360"/>
      </w:pPr>
      <w:rPr>
        <w:rFonts w:ascii="Noto Sans Symbols" w:hAnsi="Noto Sans Symbols" w:eastAsia="Noto Sans Symbols" w:cs="Noto Sans Symbols"/>
      </w:rPr>
    </w:lvl>
    <w:lvl w:ilvl="6" w:tentative="0">
      <w:start w:val="1"/>
      <w:numFmt w:val="bullet"/>
      <w:lvlText w:val="●"/>
      <w:lvlJc w:val="left"/>
      <w:pPr>
        <w:ind w:left="6120" w:hanging="360"/>
      </w:pPr>
      <w:rPr>
        <w:rFonts w:ascii="Noto Sans Symbols" w:hAnsi="Noto Sans Symbols" w:eastAsia="Noto Sans Symbols" w:cs="Noto Sans Symbols"/>
      </w:rPr>
    </w:lvl>
    <w:lvl w:ilvl="7" w:tentative="0">
      <w:start w:val="1"/>
      <w:numFmt w:val="bullet"/>
      <w:lvlText w:val="o"/>
      <w:lvlJc w:val="left"/>
      <w:pPr>
        <w:ind w:left="6840" w:hanging="360"/>
      </w:pPr>
      <w:rPr>
        <w:rFonts w:ascii="Courier New" w:hAnsi="Courier New" w:eastAsia="Courier New" w:cs="Courier New"/>
      </w:rPr>
    </w:lvl>
    <w:lvl w:ilvl="8" w:tentative="0">
      <w:start w:val="1"/>
      <w:numFmt w:val="bullet"/>
      <w:lvlText w:val="▪"/>
      <w:lvlJc w:val="left"/>
      <w:pPr>
        <w:ind w:left="7560" w:hanging="360"/>
      </w:pPr>
      <w:rPr>
        <w:rFonts w:ascii="Noto Sans Symbols" w:hAnsi="Noto Sans Symbols" w:eastAsia="Noto Sans Symbols" w:cs="Noto Sans Symbols"/>
      </w:rPr>
    </w:lvl>
  </w:abstractNum>
  <w:abstractNum w:abstractNumId="6">
    <w:nsid w:val="2A4C6CB4"/>
    <w:multiLevelType w:val="multilevel"/>
    <w:tmpl w:val="2A4C6CB4"/>
    <w:lvl w:ilvl="0" w:tentative="0">
      <w:start w:val="1"/>
      <w:numFmt w:val="decimal"/>
      <w:lvlText w:val="%1."/>
      <w:lvlJc w:val="left"/>
      <w:pPr>
        <w:ind w:left="720" w:hanging="360"/>
      </w:pPr>
      <w:rPr>
        <w:rFonts w:ascii="Arial" w:hAnsi="Arial" w:eastAsia="Arial" w:cs="Arial"/>
        <w:b w:val="0"/>
        <w:i w:val="0"/>
        <w:smallCaps w:val="0"/>
        <w:strike w:val="0"/>
        <w:color w:val="000000"/>
        <w:sz w:val="24"/>
        <w:szCs w:val="24"/>
        <w:u w:val="none"/>
      </w:rPr>
    </w:lvl>
    <w:lvl w:ilvl="1" w:tentative="0">
      <w:start w:val="1"/>
      <w:numFmt w:val="bullet"/>
      <w:lvlText w:val="○"/>
      <w:lvlJc w:val="left"/>
      <w:pPr>
        <w:ind w:left="1440" w:hanging="360"/>
      </w:pPr>
      <w:rPr>
        <w:rFonts w:ascii="Arial" w:hAnsi="Arial" w:eastAsia="Arial" w:cs="Arial"/>
        <w:b w:val="0"/>
        <w:i w:val="0"/>
        <w:smallCaps w:val="0"/>
        <w:strike w:val="0"/>
        <w:color w:val="000000"/>
        <w:sz w:val="24"/>
        <w:szCs w:val="24"/>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7">
    <w:nsid w:val="38514800"/>
    <w:multiLevelType w:val="multilevel"/>
    <w:tmpl w:val="38514800"/>
    <w:lvl w:ilvl="0" w:tentative="0">
      <w:start w:val="1"/>
      <w:numFmt w:val="bullet"/>
      <w:lvlText w:val="●"/>
      <w:lvlJc w:val="left"/>
      <w:pPr>
        <w:ind w:left="1440" w:hanging="360"/>
      </w:pPr>
      <w:rPr>
        <w:rFonts w:ascii="Noto Sans Symbols" w:hAnsi="Noto Sans Symbols" w:eastAsia="Noto Sans Symbols" w:cs="Noto Sans Symbols"/>
      </w:rPr>
    </w:lvl>
    <w:lvl w:ilvl="1" w:tentative="0">
      <w:start w:val="1"/>
      <w:numFmt w:val="bullet"/>
      <w:lvlText w:val="o"/>
      <w:lvlJc w:val="left"/>
      <w:pPr>
        <w:ind w:left="2160" w:hanging="360"/>
      </w:pPr>
      <w:rPr>
        <w:rFonts w:ascii="Courier New" w:hAnsi="Courier New" w:eastAsia="Courier New" w:cs="Courier New"/>
      </w:rPr>
    </w:lvl>
    <w:lvl w:ilvl="2" w:tentative="0">
      <w:start w:val="1"/>
      <w:numFmt w:val="bullet"/>
      <w:lvlText w:val="▪"/>
      <w:lvlJc w:val="left"/>
      <w:pPr>
        <w:ind w:left="2880" w:hanging="360"/>
      </w:pPr>
      <w:rPr>
        <w:rFonts w:ascii="Noto Sans Symbols" w:hAnsi="Noto Sans Symbols" w:eastAsia="Noto Sans Symbols" w:cs="Noto Sans Symbols"/>
      </w:rPr>
    </w:lvl>
    <w:lvl w:ilvl="3" w:tentative="0">
      <w:start w:val="1"/>
      <w:numFmt w:val="bullet"/>
      <w:lvlText w:val="●"/>
      <w:lvlJc w:val="left"/>
      <w:pPr>
        <w:ind w:left="3600" w:hanging="360"/>
      </w:pPr>
      <w:rPr>
        <w:rFonts w:ascii="Noto Sans Symbols" w:hAnsi="Noto Sans Symbols" w:eastAsia="Noto Sans Symbols" w:cs="Noto Sans Symbols"/>
      </w:rPr>
    </w:lvl>
    <w:lvl w:ilvl="4" w:tentative="0">
      <w:start w:val="1"/>
      <w:numFmt w:val="bullet"/>
      <w:lvlText w:val="o"/>
      <w:lvlJc w:val="left"/>
      <w:pPr>
        <w:ind w:left="4320" w:hanging="360"/>
      </w:pPr>
      <w:rPr>
        <w:rFonts w:ascii="Courier New" w:hAnsi="Courier New" w:eastAsia="Courier New" w:cs="Courier New"/>
      </w:rPr>
    </w:lvl>
    <w:lvl w:ilvl="5" w:tentative="0">
      <w:start w:val="1"/>
      <w:numFmt w:val="bullet"/>
      <w:lvlText w:val="▪"/>
      <w:lvlJc w:val="left"/>
      <w:pPr>
        <w:ind w:left="5040" w:hanging="360"/>
      </w:pPr>
      <w:rPr>
        <w:rFonts w:ascii="Noto Sans Symbols" w:hAnsi="Noto Sans Symbols" w:eastAsia="Noto Sans Symbols" w:cs="Noto Sans Symbols"/>
      </w:rPr>
    </w:lvl>
    <w:lvl w:ilvl="6" w:tentative="0">
      <w:start w:val="1"/>
      <w:numFmt w:val="bullet"/>
      <w:lvlText w:val="●"/>
      <w:lvlJc w:val="left"/>
      <w:pPr>
        <w:ind w:left="5760" w:hanging="360"/>
      </w:pPr>
      <w:rPr>
        <w:rFonts w:ascii="Noto Sans Symbols" w:hAnsi="Noto Sans Symbols" w:eastAsia="Noto Sans Symbols" w:cs="Noto Sans Symbols"/>
      </w:rPr>
    </w:lvl>
    <w:lvl w:ilvl="7" w:tentative="0">
      <w:start w:val="1"/>
      <w:numFmt w:val="bullet"/>
      <w:lvlText w:val="o"/>
      <w:lvlJc w:val="left"/>
      <w:pPr>
        <w:ind w:left="6480" w:hanging="360"/>
      </w:pPr>
      <w:rPr>
        <w:rFonts w:ascii="Courier New" w:hAnsi="Courier New" w:eastAsia="Courier New" w:cs="Courier New"/>
      </w:rPr>
    </w:lvl>
    <w:lvl w:ilvl="8" w:tentative="0">
      <w:start w:val="1"/>
      <w:numFmt w:val="bullet"/>
      <w:lvlText w:val="▪"/>
      <w:lvlJc w:val="left"/>
      <w:pPr>
        <w:ind w:left="7200" w:hanging="360"/>
      </w:pPr>
      <w:rPr>
        <w:rFonts w:ascii="Noto Sans Symbols" w:hAnsi="Noto Sans Symbols" w:eastAsia="Noto Sans Symbols" w:cs="Noto Sans Symbols"/>
      </w:rPr>
    </w:lvl>
  </w:abstractNum>
  <w:abstractNum w:abstractNumId="8">
    <w:nsid w:val="42876B9F"/>
    <w:multiLevelType w:val="multilevel"/>
    <w:tmpl w:val="42876B9F"/>
    <w:lvl w:ilvl="0" w:tentative="0">
      <w:start w:val="1"/>
      <w:numFmt w:val="bullet"/>
      <w:lvlText w:val="●"/>
      <w:lvlJc w:val="left"/>
      <w:pPr>
        <w:ind w:left="1440" w:hanging="360"/>
      </w:pPr>
      <w:rPr>
        <w:rFonts w:ascii="Noto Sans Symbols" w:hAnsi="Noto Sans Symbols" w:eastAsia="Noto Sans Symbols" w:cs="Noto Sans Symbols"/>
      </w:rPr>
    </w:lvl>
    <w:lvl w:ilvl="1" w:tentative="0">
      <w:start w:val="1"/>
      <w:numFmt w:val="bullet"/>
      <w:lvlText w:val="o"/>
      <w:lvlJc w:val="left"/>
      <w:pPr>
        <w:ind w:left="2160" w:hanging="360"/>
      </w:pPr>
      <w:rPr>
        <w:rFonts w:ascii="Courier New" w:hAnsi="Courier New" w:eastAsia="Courier New" w:cs="Courier New"/>
      </w:rPr>
    </w:lvl>
    <w:lvl w:ilvl="2" w:tentative="0">
      <w:start w:val="1"/>
      <w:numFmt w:val="bullet"/>
      <w:lvlText w:val="▪"/>
      <w:lvlJc w:val="left"/>
      <w:pPr>
        <w:ind w:left="2880" w:hanging="360"/>
      </w:pPr>
      <w:rPr>
        <w:rFonts w:ascii="Noto Sans Symbols" w:hAnsi="Noto Sans Symbols" w:eastAsia="Noto Sans Symbols" w:cs="Noto Sans Symbols"/>
      </w:rPr>
    </w:lvl>
    <w:lvl w:ilvl="3" w:tentative="0">
      <w:start w:val="1"/>
      <w:numFmt w:val="bullet"/>
      <w:lvlText w:val="●"/>
      <w:lvlJc w:val="left"/>
      <w:pPr>
        <w:ind w:left="3600" w:hanging="360"/>
      </w:pPr>
      <w:rPr>
        <w:rFonts w:ascii="Noto Sans Symbols" w:hAnsi="Noto Sans Symbols" w:eastAsia="Noto Sans Symbols" w:cs="Noto Sans Symbols"/>
      </w:rPr>
    </w:lvl>
    <w:lvl w:ilvl="4" w:tentative="0">
      <w:start w:val="1"/>
      <w:numFmt w:val="bullet"/>
      <w:lvlText w:val="o"/>
      <w:lvlJc w:val="left"/>
      <w:pPr>
        <w:ind w:left="4320" w:hanging="360"/>
      </w:pPr>
      <w:rPr>
        <w:rFonts w:ascii="Courier New" w:hAnsi="Courier New" w:eastAsia="Courier New" w:cs="Courier New"/>
      </w:rPr>
    </w:lvl>
    <w:lvl w:ilvl="5" w:tentative="0">
      <w:start w:val="1"/>
      <w:numFmt w:val="bullet"/>
      <w:lvlText w:val="▪"/>
      <w:lvlJc w:val="left"/>
      <w:pPr>
        <w:ind w:left="5040" w:hanging="360"/>
      </w:pPr>
      <w:rPr>
        <w:rFonts w:ascii="Noto Sans Symbols" w:hAnsi="Noto Sans Symbols" w:eastAsia="Noto Sans Symbols" w:cs="Noto Sans Symbols"/>
      </w:rPr>
    </w:lvl>
    <w:lvl w:ilvl="6" w:tentative="0">
      <w:start w:val="1"/>
      <w:numFmt w:val="bullet"/>
      <w:lvlText w:val="●"/>
      <w:lvlJc w:val="left"/>
      <w:pPr>
        <w:ind w:left="5760" w:hanging="360"/>
      </w:pPr>
      <w:rPr>
        <w:rFonts w:ascii="Noto Sans Symbols" w:hAnsi="Noto Sans Symbols" w:eastAsia="Noto Sans Symbols" w:cs="Noto Sans Symbols"/>
      </w:rPr>
    </w:lvl>
    <w:lvl w:ilvl="7" w:tentative="0">
      <w:start w:val="1"/>
      <w:numFmt w:val="bullet"/>
      <w:lvlText w:val="o"/>
      <w:lvlJc w:val="left"/>
      <w:pPr>
        <w:ind w:left="6480" w:hanging="360"/>
      </w:pPr>
      <w:rPr>
        <w:rFonts w:ascii="Courier New" w:hAnsi="Courier New" w:eastAsia="Courier New" w:cs="Courier New"/>
      </w:rPr>
    </w:lvl>
    <w:lvl w:ilvl="8" w:tentative="0">
      <w:start w:val="1"/>
      <w:numFmt w:val="bullet"/>
      <w:lvlText w:val="▪"/>
      <w:lvlJc w:val="left"/>
      <w:pPr>
        <w:ind w:left="7200" w:hanging="360"/>
      </w:pPr>
      <w:rPr>
        <w:rFonts w:ascii="Noto Sans Symbols" w:hAnsi="Noto Sans Symbols" w:eastAsia="Noto Sans Symbols" w:cs="Noto Sans Symbols"/>
      </w:rPr>
    </w:lvl>
  </w:abstractNum>
  <w:abstractNum w:abstractNumId="9">
    <w:nsid w:val="43FC604C"/>
    <w:multiLevelType w:val="multilevel"/>
    <w:tmpl w:val="43FC604C"/>
    <w:lvl w:ilvl="0" w:tentative="0">
      <w:start w:val="1"/>
      <w:numFmt w:val="decimal"/>
      <w:lvlText w:val="%1."/>
      <w:lvlJc w:val="left"/>
      <w:pPr>
        <w:ind w:left="720" w:hanging="360"/>
      </w:pPr>
      <w:rPr>
        <w:rFonts w:ascii="Arial" w:hAnsi="Arial" w:eastAsia="Arial" w:cs="Arial"/>
        <w:b w:val="0"/>
        <w:i w:val="0"/>
        <w:smallCaps w:val="0"/>
        <w:strike w:val="0"/>
        <w:color w:val="000000"/>
        <w:sz w:val="24"/>
        <w:szCs w:val="24"/>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10">
    <w:nsid w:val="4E153EA0"/>
    <w:multiLevelType w:val="multilevel"/>
    <w:tmpl w:val="4E153EA0"/>
    <w:lvl w:ilvl="0" w:tentative="0">
      <w:start w:val="1"/>
      <w:numFmt w:val="decimal"/>
      <w:lvlText w:val="%1."/>
      <w:lvlJc w:val="left"/>
      <w:pPr>
        <w:ind w:left="720" w:hanging="360"/>
      </w:pPr>
      <w:rPr>
        <w:rFonts w:ascii="Arial" w:hAnsi="Arial" w:eastAsia="Arial" w:cs="Arial"/>
        <w:b w:val="0"/>
        <w:i w:val="0"/>
        <w:smallCaps w:val="0"/>
        <w:strike w:val="0"/>
        <w:color w:val="000000"/>
        <w:sz w:val="24"/>
        <w:szCs w:val="24"/>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11">
    <w:nsid w:val="5C4F135A"/>
    <w:multiLevelType w:val="multilevel"/>
    <w:tmpl w:val="5C4F135A"/>
    <w:lvl w:ilvl="0" w:tentative="0">
      <w:start w:val="1"/>
      <w:numFmt w:val="bullet"/>
      <w:lvlText w:val="●"/>
      <w:lvlJc w:val="left"/>
      <w:pPr>
        <w:ind w:left="1440" w:hanging="360"/>
      </w:pPr>
      <w:rPr>
        <w:rFonts w:ascii="Noto Sans Symbols" w:hAnsi="Noto Sans Symbols" w:eastAsia="Noto Sans Symbols" w:cs="Noto Sans Symbols"/>
      </w:rPr>
    </w:lvl>
    <w:lvl w:ilvl="1" w:tentative="0">
      <w:start w:val="1"/>
      <w:numFmt w:val="bullet"/>
      <w:lvlText w:val="o"/>
      <w:lvlJc w:val="left"/>
      <w:pPr>
        <w:ind w:left="2160" w:hanging="360"/>
      </w:pPr>
      <w:rPr>
        <w:rFonts w:ascii="Courier New" w:hAnsi="Courier New" w:eastAsia="Courier New" w:cs="Courier New"/>
      </w:rPr>
    </w:lvl>
    <w:lvl w:ilvl="2" w:tentative="0">
      <w:start w:val="1"/>
      <w:numFmt w:val="bullet"/>
      <w:lvlText w:val="▪"/>
      <w:lvlJc w:val="left"/>
      <w:pPr>
        <w:ind w:left="2880" w:hanging="360"/>
      </w:pPr>
      <w:rPr>
        <w:rFonts w:ascii="Noto Sans Symbols" w:hAnsi="Noto Sans Symbols" w:eastAsia="Noto Sans Symbols" w:cs="Noto Sans Symbols"/>
      </w:rPr>
    </w:lvl>
    <w:lvl w:ilvl="3" w:tentative="0">
      <w:start w:val="1"/>
      <w:numFmt w:val="bullet"/>
      <w:lvlText w:val="●"/>
      <w:lvlJc w:val="left"/>
      <w:pPr>
        <w:ind w:left="3600" w:hanging="360"/>
      </w:pPr>
      <w:rPr>
        <w:rFonts w:ascii="Noto Sans Symbols" w:hAnsi="Noto Sans Symbols" w:eastAsia="Noto Sans Symbols" w:cs="Noto Sans Symbols"/>
      </w:rPr>
    </w:lvl>
    <w:lvl w:ilvl="4" w:tentative="0">
      <w:start w:val="1"/>
      <w:numFmt w:val="bullet"/>
      <w:lvlText w:val="o"/>
      <w:lvlJc w:val="left"/>
      <w:pPr>
        <w:ind w:left="4320" w:hanging="360"/>
      </w:pPr>
      <w:rPr>
        <w:rFonts w:ascii="Courier New" w:hAnsi="Courier New" w:eastAsia="Courier New" w:cs="Courier New"/>
      </w:rPr>
    </w:lvl>
    <w:lvl w:ilvl="5" w:tentative="0">
      <w:start w:val="1"/>
      <w:numFmt w:val="bullet"/>
      <w:lvlText w:val="▪"/>
      <w:lvlJc w:val="left"/>
      <w:pPr>
        <w:ind w:left="5040" w:hanging="360"/>
      </w:pPr>
      <w:rPr>
        <w:rFonts w:ascii="Noto Sans Symbols" w:hAnsi="Noto Sans Symbols" w:eastAsia="Noto Sans Symbols" w:cs="Noto Sans Symbols"/>
      </w:rPr>
    </w:lvl>
    <w:lvl w:ilvl="6" w:tentative="0">
      <w:start w:val="1"/>
      <w:numFmt w:val="bullet"/>
      <w:lvlText w:val="●"/>
      <w:lvlJc w:val="left"/>
      <w:pPr>
        <w:ind w:left="5760" w:hanging="360"/>
      </w:pPr>
      <w:rPr>
        <w:rFonts w:ascii="Noto Sans Symbols" w:hAnsi="Noto Sans Symbols" w:eastAsia="Noto Sans Symbols" w:cs="Noto Sans Symbols"/>
      </w:rPr>
    </w:lvl>
    <w:lvl w:ilvl="7" w:tentative="0">
      <w:start w:val="1"/>
      <w:numFmt w:val="bullet"/>
      <w:lvlText w:val="o"/>
      <w:lvlJc w:val="left"/>
      <w:pPr>
        <w:ind w:left="6480" w:hanging="360"/>
      </w:pPr>
      <w:rPr>
        <w:rFonts w:ascii="Courier New" w:hAnsi="Courier New" w:eastAsia="Courier New" w:cs="Courier New"/>
      </w:rPr>
    </w:lvl>
    <w:lvl w:ilvl="8" w:tentative="0">
      <w:start w:val="1"/>
      <w:numFmt w:val="bullet"/>
      <w:lvlText w:val="▪"/>
      <w:lvlJc w:val="left"/>
      <w:pPr>
        <w:ind w:left="7200" w:hanging="360"/>
      </w:pPr>
      <w:rPr>
        <w:rFonts w:ascii="Noto Sans Symbols" w:hAnsi="Noto Sans Symbols" w:eastAsia="Noto Sans Symbols" w:cs="Noto Sans Symbols"/>
      </w:rPr>
    </w:lvl>
  </w:abstractNum>
  <w:num w:numId="1">
    <w:abstractNumId w:val="3"/>
  </w:num>
  <w:num w:numId="2">
    <w:abstractNumId w:val="1"/>
  </w:num>
  <w:num w:numId="3">
    <w:abstractNumId w:val="0"/>
  </w:num>
  <w:num w:numId="4">
    <w:abstractNumId w:val="2"/>
  </w:num>
  <w:num w:numId="5">
    <w:abstractNumId w:val="6"/>
  </w:num>
  <w:num w:numId="6">
    <w:abstractNumId w:val="7"/>
  </w:num>
  <w:num w:numId="7">
    <w:abstractNumId w:val="5"/>
  </w:num>
  <w:num w:numId="8">
    <w:abstractNumId w:val="8"/>
  </w:num>
  <w:num w:numId="9">
    <w:abstractNumId w:val="11"/>
  </w:num>
  <w:num w:numId="10">
    <w:abstractNumId w:val="4"/>
  </w:num>
  <w:num w:numId="11">
    <w:abstractNumId w:val="10"/>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25A"/>
    <w:rsid w:val="0060225A"/>
    <w:rsid w:val="008E7218"/>
    <w:rsid w:val="08A1156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zh-CN" w:eastAsia="en-US" w:bidi="ar-SA"/>
    </w:rPr>
  </w:style>
  <w:style w:type="paragraph" w:styleId="2">
    <w:name w:val="heading 1"/>
    <w:basedOn w:val="3"/>
    <w:next w:val="3"/>
    <w:qFormat/>
    <w:uiPriority w:val="9"/>
    <w:pPr>
      <w:keepNext/>
      <w:keepLines/>
      <w:spacing w:before="400" w:after="120"/>
      <w:outlineLvl w:val="0"/>
    </w:pPr>
    <w:rPr>
      <w:sz w:val="40"/>
      <w:szCs w:val="40"/>
    </w:rPr>
  </w:style>
  <w:style w:type="paragraph" w:styleId="4">
    <w:name w:val="heading 2"/>
    <w:basedOn w:val="3"/>
    <w:next w:val="3"/>
    <w:semiHidden/>
    <w:unhideWhenUsed/>
    <w:qFormat/>
    <w:uiPriority w:val="9"/>
    <w:pPr>
      <w:keepNext/>
      <w:keepLines/>
      <w:spacing w:before="360" w:after="120"/>
      <w:outlineLvl w:val="1"/>
    </w:pPr>
    <w:rPr>
      <w:sz w:val="32"/>
      <w:szCs w:val="32"/>
    </w:rPr>
  </w:style>
  <w:style w:type="paragraph" w:styleId="5">
    <w:name w:val="heading 3"/>
    <w:basedOn w:val="3"/>
    <w:next w:val="3"/>
    <w:semiHidden/>
    <w:unhideWhenUsed/>
    <w:qFormat/>
    <w:uiPriority w:val="9"/>
    <w:pPr>
      <w:keepNext/>
      <w:keepLines/>
      <w:spacing w:before="320" w:after="80"/>
      <w:outlineLvl w:val="2"/>
    </w:pPr>
    <w:rPr>
      <w:color w:val="434343"/>
      <w:sz w:val="28"/>
      <w:szCs w:val="28"/>
    </w:rPr>
  </w:style>
  <w:style w:type="paragraph" w:styleId="6">
    <w:name w:val="heading 4"/>
    <w:basedOn w:val="3"/>
    <w:next w:val="3"/>
    <w:semiHidden/>
    <w:unhideWhenUsed/>
    <w:qFormat/>
    <w:uiPriority w:val="9"/>
    <w:pPr>
      <w:keepNext/>
      <w:keepLines/>
      <w:spacing w:before="280" w:after="80"/>
      <w:outlineLvl w:val="3"/>
    </w:pPr>
    <w:rPr>
      <w:color w:val="666666"/>
      <w:sz w:val="24"/>
      <w:szCs w:val="24"/>
    </w:rPr>
  </w:style>
  <w:style w:type="paragraph" w:styleId="7">
    <w:name w:val="heading 5"/>
    <w:basedOn w:val="3"/>
    <w:next w:val="3"/>
    <w:semiHidden/>
    <w:unhideWhenUsed/>
    <w:qFormat/>
    <w:uiPriority w:val="9"/>
    <w:pPr>
      <w:keepNext/>
      <w:keepLines/>
      <w:spacing w:before="240" w:after="80"/>
      <w:outlineLvl w:val="4"/>
    </w:pPr>
    <w:rPr>
      <w:color w:val="666666"/>
    </w:rPr>
  </w:style>
  <w:style w:type="paragraph" w:styleId="8">
    <w:name w:val="heading 6"/>
    <w:basedOn w:val="3"/>
    <w:next w:val="3"/>
    <w:semiHidden/>
    <w:unhideWhenUsed/>
    <w:qFormat/>
    <w:uiPriority w:val="9"/>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zh-CN" w:eastAsia="en-US" w:bidi="ar-SA"/>
    </w:rPr>
  </w:style>
  <w:style w:type="paragraph" w:styleId="11">
    <w:name w:val="Subtitle"/>
    <w:basedOn w:val="1"/>
    <w:next w:val="1"/>
    <w:qFormat/>
    <w:uiPriority w:val="11"/>
    <w:pPr>
      <w:keepNext/>
      <w:keepLines/>
      <w:pBdr>
        <w:top w:val="none" w:color="auto" w:sz="0" w:space="0"/>
        <w:left w:val="none" w:color="auto" w:sz="0" w:space="0"/>
        <w:bottom w:val="none" w:color="auto" w:sz="0" w:space="0"/>
        <w:right w:val="none" w:color="auto" w:sz="0" w:space="0"/>
        <w:between w:val="none" w:color="auto" w:sz="0" w:space="0"/>
      </w:pBdr>
      <w:spacing w:after="320"/>
    </w:pPr>
    <w:rPr>
      <w:color w:val="666666"/>
      <w:sz w:val="30"/>
      <w:szCs w:val="30"/>
    </w:rPr>
  </w:style>
  <w:style w:type="paragraph" w:styleId="12">
    <w:name w:val="Title"/>
    <w:basedOn w:val="3"/>
    <w:next w:val="3"/>
    <w:qFormat/>
    <w:uiPriority w:val="10"/>
    <w:pPr>
      <w:keepNext/>
      <w:keepLines/>
      <w:spacing w:after="60"/>
    </w:pPr>
    <w:rPr>
      <w:sz w:val="52"/>
      <w:szCs w:val="52"/>
    </w:rPr>
  </w:style>
  <w:style w:type="table" w:customStyle="1" w:styleId="13">
    <w:name w:val="Table Normal1"/>
    <w:uiPriority w:val="0"/>
    <w:tblPr>
      <w:tblCellMar>
        <w:top w:w="0" w:type="dxa"/>
        <w:left w:w="0" w:type="dxa"/>
        <w:bottom w:w="0" w:type="dxa"/>
        <w:right w:w="0" w:type="dxa"/>
      </w:tblCellMar>
    </w:tblPr>
  </w:style>
  <w:style w:type="table" w:customStyle="1" w:styleId="14">
    <w:name w:val="Table1"/>
    <w:basedOn w:val="13"/>
    <w:uiPriority w:val="0"/>
    <w:tblPr>
      <w:tblCellMar>
        <w:top w:w="100" w:type="dxa"/>
        <w:left w:w="100" w:type="dxa"/>
        <w:bottom w:w="100" w:type="dxa"/>
        <w:right w:w="100" w:type="dxa"/>
      </w:tblCellMar>
    </w:tblPr>
  </w:style>
  <w:style w:type="table" w:customStyle="1" w:styleId="15">
    <w:name w:val="_Style 14"/>
    <w:basedOn w:val="10"/>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nH2Znz5wSNmgW0nZHTYrl0U+GQ==">CgMxLjAyCGguZ2pkZ3hzMgloLjMwajB6bGwyCWguMWZvYjl0ZTIJaC4zem55c2g3MgloLjJldDkycDAyCGgudHlqY3d0MgloLjNkeTZ2a20yCWguMXQzaDVzZjIJaC40ZDM0b2c4MgloLjJzOGV5bzE4AHIhMUtRdWd3R1lmekRka1dYN3JpODBMYmhwOG9lNC0zaDJ3</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16</Pages>
  <Words>3281</Words>
  <Characters>18702</Characters>
  <Lines>155</Lines>
  <Paragraphs>43</Paragraphs>
  <TotalTime>29</TotalTime>
  <ScaleCrop>false</ScaleCrop>
  <LinksUpToDate>false</LinksUpToDate>
  <CharactersWithSpaces>21940</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2023-10-27T17:48:00Z</dcterms:created>
  <dc:creator>Aakshay</dc:creator>
  <cp:lastModifiedBy>Aakshay</cp:lastModifiedBy>
  <dcterms:modified xsi:type="dcterms:W3CDTF">2023-10-29T16:52:28Z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D83C16A4722D4D08929ECA1F6751A6C7</vt:lpwstr>
  </property>
</Properties>
</file>