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40A41" w14:textId="406396F3" w:rsidR="002A2021" w:rsidRDefault="002A2021" w:rsidP="00A05EDA">
      <w:pPr>
        <w:jc w:val="center"/>
        <w:rPr>
          <w:b/>
          <w:bCs/>
          <w:sz w:val="32"/>
          <w:szCs w:val="28"/>
        </w:rPr>
      </w:pPr>
      <w:r>
        <w:rPr>
          <w:b/>
          <w:bCs/>
          <w:noProof/>
          <w:sz w:val="32"/>
          <w:szCs w:val="28"/>
        </w:rPr>
        <w:drawing>
          <wp:inline distT="0" distB="0" distL="0" distR="0" wp14:anchorId="5A8168D4" wp14:editId="54485553">
            <wp:extent cx="1612265" cy="643133"/>
            <wp:effectExtent l="0" t="0" r="698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20946" cy="646596"/>
                    </a:xfrm>
                    <a:prstGeom prst="rect">
                      <a:avLst/>
                    </a:prstGeom>
                    <a:noFill/>
                  </pic:spPr>
                </pic:pic>
              </a:graphicData>
            </a:graphic>
          </wp:inline>
        </w:drawing>
      </w:r>
    </w:p>
    <w:p w14:paraId="3AF4D089" w14:textId="77777777" w:rsidR="00D91EBB" w:rsidRDefault="00D91EBB" w:rsidP="00085E50">
      <w:pPr>
        <w:spacing w:before="0" w:after="200" w:line="276" w:lineRule="auto"/>
        <w:jc w:val="left"/>
        <w:rPr>
          <w:rFonts w:cs="Arial"/>
          <w:b/>
          <w:bCs/>
          <w:sz w:val="32"/>
          <w:szCs w:val="32"/>
        </w:rPr>
      </w:pPr>
      <w:bookmarkStart w:id="0" w:name="_Toc143537317"/>
      <w:bookmarkEnd w:id="0"/>
    </w:p>
    <w:p w14:paraId="2191896F" w14:textId="77777777" w:rsidR="00D91EBB" w:rsidRDefault="00D91EBB" w:rsidP="00085E50">
      <w:pPr>
        <w:spacing w:before="0" w:after="200" w:line="276" w:lineRule="auto"/>
        <w:jc w:val="left"/>
        <w:rPr>
          <w:rFonts w:cs="Arial"/>
          <w:b/>
          <w:bCs/>
          <w:sz w:val="32"/>
          <w:szCs w:val="32"/>
        </w:rPr>
      </w:pPr>
    </w:p>
    <w:p w14:paraId="55F763D5" w14:textId="77777777" w:rsidR="00D91EBB" w:rsidRDefault="00D91EBB" w:rsidP="00085E50">
      <w:pPr>
        <w:spacing w:before="0" w:after="200" w:line="276" w:lineRule="auto"/>
        <w:jc w:val="left"/>
        <w:rPr>
          <w:rFonts w:cs="Arial"/>
          <w:b/>
          <w:bCs/>
          <w:sz w:val="32"/>
          <w:szCs w:val="32"/>
        </w:rPr>
      </w:pPr>
    </w:p>
    <w:p w14:paraId="7D996C55" w14:textId="675228E2" w:rsidR="00085E50" w:rsidRPr="00085E50" w:rsidRDefault="00085E50" w:rsidP="00085E50">
      <w:pPr>
        <w:spacing w:before="0" w:after="200" w:line="276" w:lineRule="auto"/>
        <w:jc w:val="left"/>
      </w:pPr>
      <w:r w:rsidRPr="00EA627E">
        <w:rPr>
          <w:rFonts w:cs="Arial"/>
          <w:b/>
          <w:bCs/>
          <w:sz w:val="32"/>
          <w:szCs w:val="32"/>
        </w:rPr>
        <w:t>Module name</w:t>
      </w:r>
      <w:r w:rsidRPr="00EA627E">
        <w:rPr>
          <w:rFonts w:cs="Arial"/>
          <w:sz w:val="32"/>
          <w:szCs w:val="32"/>
        </w:rPr>
        <w:t>: Children, Young People, and Families</w:t>
      </w:r>
    </w:p>
    <w:p w14:paraId="01DE01B4" w14:textId="77777777" w:rsidR="00085E50" w:rsidRPr="00EA627E" w:rsidRDefault="00085E50" w:rsidP="00085E50">
      <w:pPr>
        <w:tabs>
          <w:tab w:val="left" w:pos="6540"/>
        </w:tabs>
        <w:rPr>
          <w:rFonts w:cs="Arial"/>
          <w:b/>
          <w:bCs/>
          <w:sz w:val="32"/>
          <w:szCs w:val="32"/>
        </w:rPr>
      </w:pPr>
      <w:r w:rsidRPr="00EA627E">
        <w:rPr>
          <w:rFonts w:cs="Arial"/>
          <w:b/>
          <w:bCs/>
          <w:sz w:val="32"/>
          <w:szCs w:val="32"/>
        </w:rPr>
        <w:t>Module code</w:t>
      </w:r>
      <w:r w:rsidRPr="00EA627E">
        <w:rPr>
          <w:rFonts w:cs="Arial"/>
          <w:sz w:val="32"/>
          <w:szCs w:val="32"/>
        </w:rPr>
        <w:t>: BMHP5004</w:t>
      </w:r>
    </w:p>
    <w:p w14:paraId="3CF3FD94" w14:textId="77777777" w:rsidR="00085E50" w:rsidRPr="00EA627E" w:rsidRDefault="00085E50" w:rsidP="00085E50">
      <w:pPr>
        <w:tabs>
          <w:tab w:val="left" w:pos="6540"/>
        </w:tabs>
        <w:rPr>
          <w:rFonts w:cs="Arial"/>
          <w:b/>
          <w:bCs/>
          <w:sz w:val="32"/>
          <w:szCs w:val="32"/>
        </w:rPr>
      </w:pPr>
      <w:r w:rsidRPr="00EA627E">
        <w:rPr>
          <w:rFonts w:cs="Arial"/>
          <w:b/>
          <w:bCs/>
          <w:sz w:val="32"/>
          <w:szCs w:val="32"/>
        </w:rPr>
        <w:t xml:space="preserve">Lecture name: </w:t>
      </w:r>
      <w:r w:rsidRPr="00EA627E">
        <w:rPr>
          <w:rFonts w:cs="Arial"/>
          <w:sz w:val="32"/>
          <w:szCs w:val="32"/>
        </w:rPr>
        <w:t>Jolly Nwankwo</w:t>
      </w:r>
    </w:p>
    <w:p w14:paraId="7753F087" w14:textId="77777777" w:rsidR="00085E50" w:rsidRPr="00EA627E" w:rsidRDefault="00085E50" w:rsidP="00085E50">
      <w:pPr>
        <w:tabs>
          <w:tab w:val="left" w:pos="6540"/>
        </w:tabs>
        <w:rPr>
          <w:rFonts w:cs="Arial"/>
          <w:sz w:val="32"/>
          <w:szCs w:val="32"/>
        </w:rPr>
      </w:pPr>
      <w:r w:rsidRPr="00EA627E">
        <w:rPr>
          <w:rFonts w:cs="Arial"/>
          <w:b/>
          <w:bCs/>
          <w:sz w:val="32"/>
          <w:szCs w:val="32"/>
        </w:rPr>
        <w:t xml:space="preserve">Student Name: </w:t>
      </w:r>
      <w:r w:rsidRPr="00EA627E">
        <w:rPr>
          <w:rFonts w:cs="Arial"/>
          <w:sz w:val="32"/>
          <w:szCs w:val="32"/>
        </w:rPr>
        <w:t>Portia Boateng Turkson</w:t>
      </w:r>
    </w:p>
    <w:p w14:paraId="6A3F731C" w14:textId="77777777" w:rsidR="00085E50" w:rsidRPr="00EA627E" w:rsidRDefault="00085E50" w:rsidP="00085E50">
      <w:pPr>
        <w:tabs>
          <w:tab w:val="left" w:pos="6540"/>
        </w:tabs>
        <w:rPr>
          <w:rFonts w:cs="Arial"/>
          <w:sz w:val="32"/>
          <w:szCs w:val="32"/>
        </w:rPr>
      </w:pPr>
      <w:r w:rsidRPr="00EA627E">
        <w:rPr>
          <w:rFonts w:cs="Arial"/>
          <w:b/>
          <w:bCs/>
          <w:sz w:val="32"/>
          <w:szCs w:val="32"/>
        </w:rPr>
        <w:t xml:space="preserve">Student ID: </w:t>
      </w:r>
      <w:r w:rsidRPr="00EA627E">
        <w:rPr>
          <w:rFonts w:cs="Arial"/>
          <w:sz w:val="32"/>
          <w:szCs w:val="32"/>
        </w:rPr>
        <w:t>2122363</w:t>
      </w:r>
    </w:p>
    <w:p w14:paraId="51219FCD" w14:textId="77777777" w:rsidR="00E9092E" w:rsidRDefault="00E9092E" w:rsidP="004F6418">
      <w:pPr>
        <w:pStyle w:val="Heading1"/>
        <w:rPr>
          <w:color w:val="252525"/>
        </w:rPr>
        <w:sectPr w:rsidR="00E9092E">
          <w:footerReference w:type="default" r:id="rId8"/>
          <w:pgSz w:w="12240" w:h="15840"/>
          <w:pgMar w:top="1440" w:right="1440" w:bottom="1440" w:left="1440" w:header="720" w:footer="720" w:gutter="0"/>
          <w:cols w:space="720"/>
          <w:docGrid w:linePitch="360"/>
        </w:sectPr>
      </w:pPr>
    </w:p>
    <w:p w14:paraId="183EB919" w14:textId="77777777" w:rsidR="004F6418" w:rsidRDefault="004F6418" w:rsidP="004F6418">
      <w:pPr>
        <w:pStyle w:val="Heading1"/>
        <w:rPr>
          <w:rFonts w:ascii="Times New Roman" w:hAnsi="Times New Roman"/>
          <w:color w:val="252525"/>
        </w:rPr>
      </w:pPr>
      <w:r>
        <w:rPr>
          <w:color w:val="252525"/>
        </w:rPr>
        <w:lastRenderedPageBreak/>
        <w:t>Introduction</w:t>
      </w:r>
    </w:p>
    <w:p w14:paraId="394FA982" w14:textId="078A8578" w:rsidR="004F6418" w:rsidRPr="00E3502D" w:rsidRDefault="004F6418" w:rsidP="004F6418">
      <w:pPr>
        <w:pStyle w:val="NormalWeb"/>
        <w:spacing w:line="360" w:lineRule="auto"/>
        <w:jc w:val="both"/>
        <w:rPr>
          <w:rFonts w:ascii="Arial" w:hAnsi="Arial" w:cs="Arial"/>
          <w:color w:val="252525"/>
          <w:sz w:val="28"/>
          <w:szCs w:val="28"/>
        </w:rPr>
      </w:pPr>
      <w:r w:rsidRPr="00E3502D">
        <w:rPr>
          <w:rFonts w:ascii="Arial" w:hAnsi="Arial" w:cs="Arial"/>
          <w:color w:val="252525"/>
          <w:sz w:val="28"/>
          <w:szCs w:val="28"/>
        </w:rPr>
        <w:t>Family and childhood have had a large influence on stories about human growth in a constantly evolving social setting. With a focus on the United Kingdom, this essay begins an investigation into the problematic aspects of family life and the historical construction of childhood (</w:t>
      </w:r>
      <w:proofErr w:type="spellStart"/>
      <w:r w:rsidRPr="00E3502D">
        <w:rPr>
          <w:rFonts w:ascii="Arial" w:hAnsi="Arial" w:cs="Arial"/>
          <w:color w:val="252525"/>
          <w:sz w:val="28"/>
          <w:szCs w:val="28"/>
        </w:rPr>
        <w:t>Kehily</w:t>
      </w:r>
      <w:proofErr w:type="spellEnd"/>
      <w:r w:rsidRPr="00E3502D">
        <w:rPr>
          <w:rFonts w:ascii="Arial" w:hAnsi="Arial" w:cs="Arial"/>
          <w:color w:val="252525"/>
          <w:sz w:val="28"/>
          <w:szCs w:val="28"/>
        </w:rPr>
        <w:t xml:space="preserve">, 2010). This discussion will go into detail on how these beliefs have evolved in society, how they interact with government regulations, and how they have influenced families, children, and young people. The progress of the essay addresses </w:t>
      </w:r>
      <w:r w:rsidR="00085E50" w:rsidRPr="00E3502D">
        <w:rPr>
          <w:rFonts w:ascii="Arial" w:hAnsi="Arial" w:cs="Arial"/>
          <w:color w:val="252525"/>
          <w:sz w:val="28"/>
          <w:szCs w:val="28"/>
        </w:rPr>
        <w:t>several</w:t>
      </w:r>
      <w:r w:rsidRPr="00E3502D">
        <w:rPr>
          <w:rFonts w:ascii="Arial" w:hAnsi="Arial" w:cs="Arial"/>
          <w:color w:val="252525"/>
          <w:sz w:val="28"/>
          <w:szCs w:val="28"/>
        </w:rPr>
        <w:t xml:space="preserve"> important issues. It will begin by reviewing the essential features of this developmental stage and defining childhood. In this context, it will be explored how essential family life is to the construction and contextualization of early memories (Reiss, 1981). The historical growth of children will then be rigorously investigated, demonstrating historical shifts in societal attitudes and family structures, supported by modifications to social norms and legal reforms. The conversation that follows delves deeply into the profound effects that these historical undercurrents have had on British families, kids, and teens (Rogers and Smith, 1991). The use of various policy options to improve </w:t>
      </w:r>
      <w:r w:rsidR="00E3502D" w:rsidRPr="00E3502D">
        <w:rPr>
          <w:rFonts w:ascii="Arial" w:hAnsi="Arial" w:cs="Arial"/>
          <w:color w:val="252525"/>
          <w:sz w:val="28"/>
          <w:szCs w:val="28"/>
        </w:rPr>
        <w:t>well-being</w:t>
      </w:r>
      <w:r w:rsidRPr="00E3502D">
        <w:rPr>
          <w:rFonts w:ascii="Arial" w:hAnsi="Arial" w:cs="Arial"/>
          <w:color w:val="252525"/>
          <w:sz w:val="28"/>
          <w:szCs w:val="28"/>
        </w:rPr>
        <w:t xml:space="preserve"> and address inequities in healthcare and social services will be thoroughly examined. The essay will also analyse current programmes that support underprivileged individuals and families and offer a critical evaluation of how well they work to reduce inequality and promote positive results.</w:t>
      </w:r>
    </w:p>
    <w:p w14:paraId="4026A742" w14:textId="77777777" w:rsidR="004F6418" w:rsidRDefault="004F6418" w:rsidP="004F6418">
      <w:pPr>
        <w:pStyle w:val="Heading1"/>
        <w:rPr>
          <w:color w:val="252525"/>
        </w:rPr>
      </w:pPr>
      <w:r>
        <w:rPr>
          <w:color w:val="252525"/>
        </w:rPr>
        <w:lastRenderedPageBreak/>
        <w:t>Definition of childhood and key elements of family life and childhood</w:t>
      </w:r>
    </w:p>
    <w:p w14:paraId="25EB704F" w14:textId="0FCF4501" w:rsidR="004F6418" w:rsidRPr="00E3502D" w:rsidRDefault="004F6418" w:rsidP="004F6418">
      <w:pPr>
        <w:pStyle w:val="NormalWeb"/>
        <w:spacing w:line="360" w:lineRule="auto"/>
        <w:jc w:val="both"/>
        <w:rPr>
          <w:rFonts w:ascii="Arial" w:hAnsi="Arial" w:cs="Arial"/>
          <w:color w:val="252525"/>
          <w:sz w:val="28"/>
          <w:szCs w:val="28"/>
        </w:rPr>
      </w:pPr>
      <w:r w:rsidRPr="00E3502D">
        <w:rPr>
          <w:rFonts w:ascii="Arial" w:hAnsi="Arial" w:cs="Arial"/>
          <w:color w:val="252525"/>
          <w:sz w:val="28"/>
          <w:szCs w:val="28"/>
        </w:rPr>
        <w:t xml:space="preserve">To define childhood, one must capture the essence of a crucial period of human growth and development that is characterised by learning, growth, and the gradual emergence of identity (Montgomery, 2011). Children are said to be innocent and curious during this time, and their play and exploration set the groundwork for their future endeavours. Additionally, childhood is a time of vulnerability and reliance when people are nourished by the encompassing protection of their families and carers (Starns and Flynn, 2004). Childhood experiences are anchored by family life, which is crucial in forming children's perceptions, values, and goals. Children form their first relationships, pick up the foundational social skills they need for healthy growth, and receive the emotional support they need from their families. Young minds learn to comprehend their place in the world and develop a sense of belonging in families because they provide a supportive environment. Children's immediate well-being and long-term trajectories are both influenced by the interactions, customs, and routines inside families. Key aspects of family life are intricately intertwined with early experiences. Care, affection, and stability within families promote emotional security and self-esteem in children (Scott and Ward, 2005). Family communication habits influence language development and cognitive growth. Routines and customs in the family provide structure and predictability, providing a sense of safety and security. Furthermore, families serve as socialising agents for children, introducing them to cultural norms, beliefs, and social expectations that form their perspective of </w:t>
      </w:r>
      <w:r w:rsidR="00E50DEE" w:rsidRPr="00E3502D">
        <w:rPr>
          <w:rFonts w:ascii="Arial" w:hAnsi="Arial" w:cs="Arial"/>
          <w:color w:val="252525"/>
          <w:sz w:val="28"/>
          <w:szCs w:val="28"/>
        </w:rPr>
        <w:t>society</w:t>
      </w:r>
      <w:r w:rsidRPr="00E3502D">
        <w:rPr>
          <w:rFonts w:ascii="Arial" w:hAnsi="Arial" w:cs="Arial"/>
          <w:color w:val="252525"/>
          <w:sz w:val="28"/>
          <w:szCs w:val="28"/>
        </w:rPr>
        <w:t>.</w:t>
      </w:r>
    </w:p>
    <w:p w14:paraId="54405EAA" w14:textId="4020FE45" w:rsidR="004F6418" w:rsidRDefault="00E50DEE" w:rsidP="004F6418">
      <w:pPr>
        <w:pStyle w:val="Heading1"/>
        <w:rPr>
          <w:color w:val="252525"/>
        </w:rPr>
      </w:pPr>
      <w:bookmarkStart w:id="1" w:name="_Toc143537319"/>
      <w:bookmarkEnd w:id="1"/>
      <w:r>
        <w:rPr>
          <w:color w:val="252525"/>
        </w:rPr>
        <w:lastRenderedPageBreak/>
        <w:t>The historical</w:t>
      </w:r>
      <w:r w:rsidR="004F6418">
        <w:rPr>
          <w:color w:val="252525"/>
        </w:rPr>
        <w:t xml:space="preserve"> construction of childhood</w:t>
      </w:r>
    </w:p>
    <w:p w14:paraId="447C830A" w14:textId="7DF888F2" w:rsidR="004F6418" w:rsidRDefault="004F6418" w:rsidP="004F6418">
      <w:pPr>
        <w:pStyle w:val="NormalWeb"/>
        <w:spacing w:line="360" w:lineRule="auto"/>
        <w:jc w:val="both"/>
        <w:rPr>
          <w:color w:val="252525"/>
        </w:rPr>
      </w:pPr>
      <w:r w:rsidRPr="00030C3E">
        <w:rPr>
          <w:rFonts w:ascii="Arial" w:hAnsi="Arial" w:cs="Arial"/>
          <w:color w:val="252525"/>
          <w:sz w:val="28"/>
          <w:szCs w:val="28"/>
        </w:rPr>
        <w:t>The historical creation of childhood is an enthralling trip that shows the shifting perspectives, societal norms, and legislative reforms that have redefined childhood and transformed family interactions throughout history. From ancient civilizations to the present, a variety of influences have shaped how infancy is regarded and experienced within the context of families (Horne, 2016). Children were forced to contribute to family livelihoods at a young age due to economic need, blurring the distinctions between childhood and maturity. Legislative reforms, such as the Factory Acts in nineteenth-century Britain, represented a watershed moment by restricting child labour and campaigning for better living and working conditions for young people (Harrison and Hutchins, 2013). Educational innovations refined the boundaries of infancy as cultures advanced. Compulsory education became a defining feature of childhood, emphasising the isolation of childhood from the world of work. This transformation coincided with shifting societal attitudes that emphasised the caring and protecting qualities of childhood. The establishment of child psychology as a science in the late nineteenth and early twentieth centuries emphasised the need</w:t>
      </w:r>
      <w:r>
        <w:rPr>
          <w:color w:val="252525"/>
        </w:rPr>
        <w:t xml:space="preserve"> </w:t>
      </w:r>
      <w:r w:rsidRPr="00030C3E">
        <w:rPr>
          <w:rFonts w:ascii="Arial" w:hAnsi="Arial" w:cs="Arial"/>
          <w:color w:val="252525"/>
          <w:sz w:val="28"/>
          <w:szCs w:val="28"/>
        </w:rPr>
        <w:t xml:space="preserve">for understanding and catering to children's specific needs (Moss, 2013). Policy interventions have continued to impact the social construction of children in the modern era. Legal frameworks, such as child protection legislation and anti-child labour restrictions, demonstrate society's commitment to protecting children's rights and well-being. The United Nations established the Convention on the Rights of the Child in 1989, which enshrined children's rights to survival, protection, development, and participation. Communication and information access have been revolutionised by technological </w:t>
      </w:r>
      <w:r w:rsidRPr="00030C3E">
        <w:rPr>
          <w:rFonts w:ascii="Arial" w:hAnsi="Arial" w:cs="Arial"/>
          <w:color w:val="252525"/>
          <w:sz w:val="28"/>
          <w:szCs w:val="28"/>
        </w:rPr>
        <w:lastRenderedPageBreak/>
        <w:t>improvements, altering how children learn, socialise, and interact (Jakubowicz, 2011). Traditional family structures have given way to a greater range of arrangements, including single-parent households, same-sex families, and blended families, as families have become more diverse and flexible.</w:t>
      </w:r>
    </w:p>
    <w:p w14:paraId="77BBE3F5" w14:textId="77777777" w:rsidR="004F6418" w:rsidRDefault="004F6418" w:rsidP="004F6418">
      <w:pPr>
        <w:pStyle w:val="Heading1"/>
        <w:rPr>
          <w:color w:val="252525"/>
        </w:rPr>
      </w:pPr>
      <w:r>
        <w:rPr>
          <w:color w:val="252525"/>
        </w:rPr>
        <w:t>Impact of the factors on children, young people, and families</w:t>
      </w:r>
    </w:p>
    <w:p w14:paraId="7E251939" w14:textId="6C462224" w:rsidR="004F6418" w:rsidRPr="00030C3E" w:rsidRDefault="004F6418" w:rsidP="004F6418">
      <w:pPr>
        <w:pStyle w:val="NormalWeb"/>
        <w:spacing w:line="360" w:lineRule="auto"/>
        <w:jc w:val="both"/>
        <w:rPr>
          <w:rFonts w:ascii="Arial" w:hAnsi="Arial" w:cs="Arial"/>
          <w:color w:val="252525"/>
          <w:sz w:val="28"/>
          <w:szCs w:val="28"/>
        </w:rPr>
      </w:pPr>
      <w:r w:rsidRPr="00030C3E">
        <w:rPr>
          <w:rFonts w:ascii="Arial" w:hAnsi="Arial" w:cs="Arial"/>
          <w:color w:val="252525"/>
          <w:sz w:val="28"/>
          <w:szCs w:val="28"/>
        </w:rPr>
        <w:t>The numerous factors that have historically shaped the social construction of childhood and family relations have had a tremendous impact on the lives of children, adolescents, and families. These characteristics have significantly improved well-being while also playing an important role in eliminating inequities in health and social care service provision (</w:t>
      </w:r>
      <w:proofErr w:type="spellStart"/>
      <w:r w:rsidRPr="00030C3E">
        <w:rPr>
          <w:rFonts w:ascii="Arial" w:hAnsi="Arial" w:cs="Arial"/>
          <w:color w:val="252525"/>
          <w:sz w:val="28"/>
          <w:szCs w:val="28"/>
        </w:rPr>
        <w:t>Redsell</w:t>
      </w:r>
      <w:proofErr w:type="spellEnd"/>
      <w:r w:rsidRPr="00030C3E">
        <w:rPr>
          <w:rFonts w:ascii="Arial" w:hAnsi="Arial" w:cs="Arial"/>
          <w:color w:val="252525"/>
          <w:sz w:val="28"/>
          <w:szCs w:val="28"/>
        </w:rPr>
        <w:t xml:space="preserve"> and Hastings, 2016). Legislative improvements, such as the Factory Acts and subsequent child labour legislation, have improved children's lives by limiting exploitative work </w:t>
      </w:r>
      <w:r w:rsidR="00132B4C">
        <w:rPr>
          <w:rFonts w:ascii="Arial" w:hAnsi="Arial" w:cs="Arial"/>
          <w:color w:val="252525"/>
          <w:sz w:val="28"/>
          <w:szCs w:val="28"/>
        </w:rPr>
        <w:t>practices</w:t>
      </w:r>
      <w:r w:rsidRPr="00030C3E">
        <w:rPr>
          <w:rFonts w:ascii="Arial" w:hAnsi="Arial" w:cs="Arial"/>
          <w:color w:val="252525"/>
          <w:sz w:val="28"/>
          <w:szCs w:val="28"/>
        </w:rPr>
        <w:t xml:space="preserve"> and ensuring access to school. These measures not only protected children from dangerous working conditions but also prepared the road for their intellectual and personal development. As a result, today's children and young people </w:t>
      </w:r>
      <w:r w:rsidR="00E50DEE" w:rsidRPr="00030C3E">
        <w:rPr>
          <w:rFonts w:ascii="Arial" w:hAnsi="Arial" w:cs="Arial"/>
          <w:color w:val="252525"/>
          <w:sz w:val="28"/>
          <w:szCs w:val="28"/>
        </w:rPr>
        <w:t>can</w:t>
      </w:r>
      <w:r w:rsidRPr="00030C3E">
        <w:rPr>
          <w:rFonts w:ascii="Arial" w:hAnsi="Arial" w:cs="Arial"/>
          <w:color w:val="252525"/>
          <w:sz w:val="28"/>
          <w:szCs w:val="28"/>
        </w:rPr>
        <w:t xml:space="preserve"> grow up in a safe and supportive environment, with chances for education and personal development that were previously unavailable (Groundwater-Smith </w:t>
      </w:r>
      <w:r w:rsidRPr="00030C3E">
        <w:rPr>
          <w:rFonts w:ascii="Arial" w:hAnsi="Arial" w:cs="Arial"/>
          <w:i/>
          <w:iCs/>
          <w:color w:val="252525"/>
          <w:sz w:val="28"/>
          <w:szCs w:val="28"/>
        </w:rPr>
        <w:t>et al</w:t>
      </w:r>
      <w:r w:rsidRPr="00030C3E">
        <w:rPr>
          <w:rFonts w:ascii="Arial" w:hAnsi="Arial" w:cs="Arial"/>
          <w:color w:val="252525"/>
          <w:sz w:val="28"/>
          <w:szCs w:val="28"/>
        </w:rPr>
        <w:t xml:space="preserve">., 2014). Furthermore, society's commitment to ensuring the physical, emotional, and psychological well-being of children has grown </w:t>
      </w:r>
      <w:r w:rsidR="00E50DEE" w:rsidRPr="00030C3E">
        <w:rPr>
          <w:rFonts w:ascii="Arial" w:hAnsi="Arial" w:cs="Arial"/>
          <w:color w:val="252525"/>
          <w:sz w:val="28"/>
          <w:szCs w:val="28"/>
        </w:rPr>
        <w:t>because of</w:t>
      </w:r>
      <w:r w:rsidRPr="00030C3E">
        <w:rPr>
          <w:rFonts w:ascii="Arial" w:hAnsi="Arial" w:cs="Arial"/>
          <w:color w:val="252525"/>
          <w:sz w:val="28"/>
          <w:szCs w:val="28"/>
        </w:rPr>
        <w:t xml:space="preserve"> the adoption of comprehensive child protection legislation and human rights frameworks, such as the Convention on the Rights of the Child. Families are becoming more conscious of their obligations to support the complete development of their children. This emphasis on loving care rather than </w:t>
      </w:r>
      <w:r w:rsidRPr="00030C3E">
        <w:rPr>
          <w:rFonts w:ascii="Arial" w:hAnsi="Arial" w:cs="Arial"/>
          <w:color w:val="252525"/>
          <w:sz w:val="28"/>
          <w:szCs w:val="28"/>
        </w:rPr>
        <w:lastRenderedPageBreak/>
        <w:t xml:space="preserve">monetary contributions has reinforced family ties and created an environment where children and teens can flourish (Tisdall, 2008). These factors have an impact on healthcare and social care services. </w:t>
      </w:r>
      <w:proofErr w:type="spellStart"/>
      <w:r w:rsidR="005978D3">
        <w:rPr>
          <w:rFonts w:ascii="Arial" w:hAnsi="Arial" w:cs="Arial"/>
          <w:color w:val="252525"/>
          <w:sz w:val="28"/>
          <w:szCs w:val="28"/>
        </w:rPr>
        <w:t>Pediatric</w:t>
      </w:r>
      <w:proofErr w:type="spellEnd"/>
      <w:r w:rsidRPr="00030C3E">
        <w:rPr>
          <w:rFonts w:ascii="Arial" w:hAnsi="Arial" w:cs="Arial"/>
          <w:color w:val="252525"/>
          <w:sz w:val="28"/>
          <w:szCs w:val="28"/>
        </w:rPr>
        <w:t xml:space="preserve"> care, mental health assistance, and educational interventions have all been improved to address the unique issues that these age groups confront. </w:t>
      </w:r>
    </w:p>
    <w:p w14:paraId="70459D36" w14:textId="079EB096" w:rsidR="004F6418" w:rsidRPr="00030C3E" w:rsidRDefault="004F6418" w:rsidP="004F6418">
      <w:pPr>
        <w:pStyle w:val="NormalWeb"/>
        <w:spacing w:line="360" w:lineRule="auto"/>
        <w:jc w:val="both"/>
        <w:rPr>
          <w:rFonts w:ascii="Arial" w:hAnsi="Arial" w:cs="Arial"/>
          <w:color w:val="252525"/>
          <w:sz w:val="28"/>
          <w:szCs w:val="28"/>
        </w:rPr>
      </w:pPr>
      <w:r w:rsidRPr="00030C3E">
        <w:rPr>
          <w:rFonts w:ascii="Arial" w:hAnsi="Arial" w:cs="Arial"/>
          <w:color w:val="252525"/>
          <w:sz w:val="28"/>
          <w:szCs w:val="28"/>
        </w:rPr>
        <w:t xml:space="preserve">Interventions such as family support </w:t>
      </w:r>
      <w:r w:rsidR="008E25FE">
        <w:rPr>
          <w:rFonts w:ascii="Arial" w:hAnsi="Arial" w:cs="Arial"/>
          <w:color w:val="252525"/>
          <w:sz w:val="28"/>
          <w:szCs w:val="28"/>
        </w:rPr>
        <w:t>programs</w:t>
      </w:r>
      <w:r w:rsidRPr="00030C3E">
        <w:rPr>
          <w:rFonts w:ascii="Arial" w:hAnsi="Arial" w:cs="Arial"/>
          <w:color w:val="252525"/>
          <w:sz w:val="28"/>
          <w:szCs w:val="28"/>
        </w:rPr>
        <w:t xml:space="preserve">, parenting education, and community engagement efforts have increased families' capacities to create secure and nurturing settings for their children in the context of social care services. These </w:t>
      </w:r>
      <w:r w:rsidR="008E25FE">
        <w:rPr>
          <w:rFonts w:ascii="Arial" w:hAnsi="Arial" w:cs="Arial"/>
          <w:color w:val="252525"/>
          <w:sz w:val="28"/>
          <w:szCs w:val="28"/>
        </w:rPr>
        <w:t>programs</w:t>
      </w:r>
      <w:r w:rsidRPr="00030C3E">
        <w:rPr>
          <w:rFonts w:ascii="Arial" w:hAnsi="Arial" w:cs="Arial"/>
          <w:color w:val="252525"/>
          <w:sz w:val="28"/>
          <w:szCs w:val="28"/>
        </w:rPr>
        <w:t xml:space="preserve"> have helped to interrupt the cycle of disadvantage and inequality by addressing underlying socioeconomic issues. The transforming impact of historical circumstances on childhood and family constructions has ushered in a new era of child and adolescent awareness and protection (Shonkoff and Meisels, 2000). Legislative reforms and shifting societal norms have improved childhood experiences, while specialised healthcare and social care services have </w:t>
      </w:r>
      <w:proofErr w:type="spellStart"/>
      <w:r w:rsidR="008E25FE">
        <w:rPr>
          <w:rFonts w:ascii="Arial" w:hAnsi="Arial" w:cs="Arial"/>
          <w:color w:val="252525"/>
          <w:sz w:val="28"/>
          <w:szCs w:val="28"/>
        </w:rPr>
        <w:t>leveled</w:t>
      </w:r>
      <w:proofErr w:type="spellEnd"/>
      <w:r w:rsidRPr="00030C3E">
        <w:rPr>
          <w:rFonts w:ascii="Arial" w:hAnsi="Arial" w:cs="Arial"/>
          <w:color w:val="252525"/>
          <w:sz w:val="28"/>
          <w:szCs w:val="28"/>
        </w:rPr>
        <w:t xml:space="preserve"> the playing field for vulnerable groups. </w:t>
      </w:r>
    </w:p>
    <w:p w14:paraId="39AD040C" w14:textId="67D2E859" w:rsidR="004F6418" w:rsidRDefault="004F6418" w:rsidP="004F6418">
      <w:pPr>
        <w:pStyle w:val="Heading1"/>
        <w:rPr>
          <w:color w:val="252525"/>
        </w:rPr>
      </w:pPr>
      <w:r>
        <w:rPr>
          <w:color w:val="252525"/>
        </w:rPr>
        <w:t xml:space="preserve">Approaches and interventions to support vulnerable children, young people, and </w:t>
      </w:r>
      <w:r w:rsidR="00E50DEE">
        <w:rPr>
          <w:color w:val="252525"/>
        </w:rPr>
        <w:t>families.</w:t>
      </w:r>
    </w:p>
    <w:p w14:paraId="3D811BB3" w14:textId="7305E046" w:rsidR="004F6418" w:rsidRPr="00030C3E" w:rsidRDefault="004F6418" w:rsidP="004F6418">
      <w:pPr>
        <w:pStyle w:val="NormalWeb"/>
        <w:spacing w:line="360" w:lineRule="auto"/>
        <w:jc w:val="both"/>
        <w:rPr>
          <w:rFonts w:ascii="Arial" w:hAnsi="Arial" w:cs="Arial"/>
          <w:color w:val="252525"/>
          <w:sz w:val="28"/>
          <w:szCs w:val="28"/>
        </w:rPr>
      </w:pPr>
      <w:r w:rsidRPr="00030C3E">
        <w:rPr>
          <w:rFonts w:ascii="Arial" w:hAnsi="Arial" w:cs="Arial"/>
          <w:color w:val="252525"/>
          <w:sz w:val="28"/>
          <w:szCs w:val="28"/>
        </w:rPr>
        <w:t xml:space="preserve">A varied range of techniques and interventions have arisen in the modern landscape, each thoughtfully crafted to provide critical support to vulnerable children, young people, and families, resonating with their individual needs and circumstances. These efforts play an important role in addressing injustices and developing diversity, laying the groundwork for a more just and compassionate society (Shapiro and Browne, 2016). Several ways stand out among the numerous techniques that stand out for their dedication to </w:t>
      </w:r>
      <w:r w:rsidR="00E50DEE" w:rsidRPr="00030C3E">
        <w:rPr>
          <w:rFonts w:ascii="Arial" w:hAnsi="Arial" w:cs="Arial"/>
          <w:color w:val="252525"/>
          <w:sz w:val="28"/>
          <w:szCs w:val="28"/>
        </w:rPr>
        <w:lastRenderedPageBreak/>
        <w:t>uplifting</w:t>
      </w:r>
      <w:r w:rsidRPr="00030C3E">
        <w:rPr>
          <w:rFonts w:ascii="Arial" w:hAnsi="Arial" w:cs="Arial"/>
          <w:color w:val="252525"/>
          <w:sz w:val="28"/>
          <w:szCs w:val="28"/>
        </w:rPr>
        <w:t xml:space="preserve"> those who encounter adversity. Early intervention projects, underpinned by a thorough grasp of the important formative years, focus their efforts on detecting and addressing developmental issues in children. These programmes provide targeted and comprehensive help to families with infants and young children, including topics such as health and nutrition as well as early childhood education. These programmes efficiently prevent possible impediments from taking root and map a road towards holistic growth by acting during these critical times. Respecting the basic importance of families in developing children's well-being, family support programmes assist families facing a variety of issues (Gadsden </w:t>
      </w:r>
      <w:r w:rsidRPr="00030C3E">
        <w:rPr>
          <w:rFonts w:ascii="Arial" w:hAnsi="Arial" w:cs="Arial"/>
          <w:i/>
          <w:iCs/>
          <w:color w:val="252525"/>
          <w:sz w:val="28"/>
          <w:szCs w:val="28"/>
        </w:rPr>
        <w:t>et al</w:t>
      </w:r>
      <w:r w:rsidRPr="00030C3E">
        <w:rPr>
          <w:rFonts w:ascii="Arial" w:hAnsi="Arial" w:cs="Arial"/>
          <w:color w:val="252525"/>
          <w:sz w:val="28"/>
          <w:szCs w:val="28"/>
        </w:rPr>
        <w:t xml:space="preserve">., 2016). From financial poverty and housing insecurity to substance misuse and domestic violence, these organisations offer </w:t>
      </w:r>
      <w:proofErr w:type="spellStart"/>
      <w:r w:rsidR="00132B4C">
        <w:rPr>
          <w:rFonts w:ascii="Arial" w:hAnsi="Arial" w:cs="Arial"/>
          <w:color w:val="252525"/>
          <w:sz w:val="28"/>
          <w:szCs w:val="28"/>
        </w:rPr>
        <w:t>counseling</w:t>
      </w:r>
      <w:proofErr w:type="spellEnd"/>
      <w:r w:rsidRPr="00030C3E">
        <w:rPr>
          <w:rFonts w:ascii="Arial" w:hAnsi="Arial" w:cs="Arial"/>
          <w:color w:val="252525"/>
          <w:sz w:val="28"/>
          <w:szCs w:val="28"/>
        </w:rPr>
        <w:t>, parenting instruction, and access to critical social resources. These interventions emphasise the importance of a stable family unit in encouraging positive development by assisting parents in developing a caring environment. Recognising the significant influence of mental health on overall well-being, interventions in this area address the emotional and psychological needs of vulnerable children and adolescents. These programmes establish safe settings for treating difficulties such as trauma, anxiety, and depression</w:t>
      </w:r>
      <w:r>
        <w:rPr>
          <w:color w:val="252525"/>
        </w:rPr>
        <w:t xml:space="preserve"> </w:t>
      </w:r>
      <w:r w:rsidRPr="00030C3E">
        <w:rPr>
          <w:rFonts w:ascii="Arial" w:hAnsi="Arial" w:cs="Arial"/>
          <w:color w:val="252525"/>
          <w:sz w:val="28"/>
          <w:szCs w:val="28"/>
        </w:rPr>
        <w:t xml:space="preserve">through counselling, therapy, and support groups (McCool, 2023). These interventions foster resilience and empower individuals to negotiate life's difficulties by de-stigmatising mental health challenges and providing appropriate care. Education-focused treatments give tailored assistance to children and adolescents who are in danger of falling behind academically due to a variety of factors (Saracho, 2021). These programmes teach children beyond the classroom through tutoring, after-school programmes, </w:t>
      </w:r>
      <w:r w:rsidRPr="00030C3E">
        <w:rPr>
          <w:rFonts w:ascii="Arial" w:hAnsi="Arial" w:cs="Arial"/>
          <w:color w:val="252525"/>
          <w:sz w:val="28"/>
          <w:szCs w:val="28"/>
        </w:rPr>
        <w:lastRenderedPageBreak/>
        <w:t>and vocational training. These interventions increase academic performance and skill acquisition, giving them confidence and future opportunities.</w:t>
      </w:r>
    </w:p>
    <w:p w14:paraId="1D10659D" w14:textId="5481A62B" w:rsidR="004F6418" w:rsidRDefault="004F6418" w:rsidP="004F6418">
      <w:pPr>
        <w:pStyle w:val="NormalWeb"/>
        <w:spacing w:line="360" w:lineRule="auto"/>
        <w:jc w:val="both"/>
        <w:rPr>
          <w:color w:val="252525"/>
        </w:rPr>
      </w:pPr>
      <w:r w:rsidRPr="00030C3E">
        <w:rPr>
          <w:rFonts w:ascii="Arial" w:hAnsi="Arial" w:cs="Arial"/>
          <w:color w:val="252525"/>
          <w:sz w:val="28"/>
          <w:szCs w:val="28"/>
        </w:rPr>
        <w:t xml:space="preserve">Foster care and adoption services provide safe and supportive situations for children who cannot live with their relatives. Adoption or foster care </w:t>
      </w:r>
      <w:r w:rsidR="00085E50" w:rsidRPr="00030C3E">
        <w:rPr>
          <w:rFonts w:ascii="Arial" w:hAnsi="Arial" w:cs="Arial"/>
          <w:color w:val="252525"/>
          <w:sz w:val="28"/>
          <w:szCs w:val="28"/>
        </w:rPr>
        <w:t>provides</w:t>
      </w:r>
      <w:r w:rsidRPr="00030C3E">
        <w:rPr>
          <w:rFonts w:ascii="Arial" w:hAnsi="Arial" w:cs="Arial"/>
          <w:color w:val="252525"/>
          <w:sz w:val="28"/>
          <w:szCs w:val="28"/>
        </w:rPr>
        <w:t xml:space="preserve"> stability and assistance for vulnerable youngsters. These activities prioritise their well-being to break cycles of instability and create excellent futures. Community-based projects link vulnerable families to resources, social services, and networks (Bishop and Corkery, 2017). These interventions help youth build self-esteem, set goals, and make good life choices (Bennett </w:t>
      </w:r>
      <w:r w:rsidRPr="00030C3E">
        <w:rPr>
          <w:rStyle w:val="Emphasis"/>
          <w:rFonts w:ascii="Arial" w:hAnsi="Arial" w:cs="Arial"/>
          <w:color w:val="252525"/>
          <w:sz w:val="28"/>
          <w:szCs w:val="28"/>
        </w:rPr>
        <w:t>et al</w:t>
      </w:r>
      <w:r w:rsidRPr="00030C3E">
        <w:rPr>
          <w:rFonts w:ascii="Arial" w:hAnsi="Arial" w:cs="Arial"/>
          <w:color w:val="252525"/>
          <w:sz w:val="28"/>
          <w:szCs w:val="28"/>
        </w:rPr>
        <w:t>., 2022). These programmes support their agency and help them become resilient and determined adults. These interventions protect children from abuse, neglect, and exploitation by advocating for their best interests and creating a safe environment. Reconsidering these interventions shows that they transform society. These programmes remove barriers, provide targeted support, and elevate often-unheard voices to promote fairness, empathy, and advancement (Edwards, 2019). However, adaptive techniques and regular evaluation are needed to maintain efficacy as susceptibility changes in a dynamic context.</w:t>
      </w:r>
    </w:p>
    <w:p w14:paraId="19170BBC" w14:textId="77777777" w:rsidR="004F6418" w:rsidRDefault="004F6418" w:rsidP="004F6418">
      <w:pPr>
        <w:pStyle w:val="Heading1"/>
        <w:rPr>
          <w:color w:val="252525"/>
        </w:rPr>
      </w:pPr>
      <w:bookmarkStart w:id="2" w:name="_Toc143537322"/>
      <w:bookmarkEnd w:id="2"/>
      <w:r>
        <w:rPr>
          <w:color w:val="252525"/>
        </w:rPr>
        <w:t>Evaluation and recommendations</w:t>
      </w:r>
    </w:p>
    <w:p w14:paraId="2429DAA7" w14:textId="4C02F89F" w:rsidR="004F6418" w:rsidRPr="00030C3E" w:rsidRDefault="004F6418" w:rsidP="004F6418">
      <w:pPr>
        <w:pStyle w:val="NormalWeb"/>
        <w:spacing w:line="360" w:lineRule="auto"/>
        <w:jc w:val="both"/>
        <w:rPr>
          <w:rFonts w:ascii="Arial" w:hAnsi="Arial" w:cs="Arial"/>
          <w:color w:val="252525"/>
          <w:sz w:val="28"/>
          <w:szCs w:val="28"/>
        </w:rPr>
      </w:pPr>
      <w:r w:rsidRPr="00030C3E">
        <w:rPr>
          <w:rFonts w:ascii="Arial" w:hAnsi="Arial" w:cs="Arial"/>
          <w:color w:val="252525"/>
          <w:sz w:val="28"/>
          <w:szCs w:val="28"/>
        </w:rPr>
        <w:t xml:space="preserve">The full examination of </w:t>
      </w:r>
      <w:r w:rsidR="00E50DEE" w:rsidRPr="00030C3E">
        <w:rPr>
          <w:rFonts w:ascii="Arial" w:hAnsi="Arial" w:cs="Arial"/>
          <w:color w:val="252525"/>
          <w:sz w:val="28"/>
          <w:szCs w:val="28"/>
        </w:rPr>
        <w:t>several</w:t>
      </w:r>
      <w:r w:rsidRPr="00030C3E">
        <w:rPr>
          <w:rFonts w:ascii="Arial" w:hAnsi="Arial" w:cs="Arial"/>
          <w:color w:val="252525"/>
          <w:sz w:val="28"/>
          <w:szCs w:val="28"/>
        </w:rPr>
        <w:t xml:space="preserve"> methods and interventions to support vulnerable children, youth, and families shows progress and places for improvement. Early intervention initiatives show promise for addressing developmental inequities (Stewart, 2021). They clearly identified and addressed issues during these crucial years. However, they must deliberately improve accessibility to reach all corners of society. Healthcare </w:t>
      </w:r>
      <w:r w:rsidRPr="00030C3E">
        <w:rPr>
          <w:rFonts w:ascii="Arial" w:hAnsi="Arial" w:cs="Arial"/>
          <w:color w:val="252525"/>
          <w:sz w:val="28"/>
          <w:szCs w:val="28"/>
        </w:rPr>
        <w:lastRenderedPageBreak/>
        <w:t xml:space="preserve">experts, educational institutions, and community organisations can work together to expand these programmes and help vulnerable children in underserved areas. Family support services help families with numerous issues (Pinkerton </w:t>
      </w:r>
      <w:r w:rsidRPr="00030C3E">
        <w:rPr>
          <w:rFonts w:ascii="Arial" w:hAnsi="Arial" w:cs="Arial"/>
          <w:i/>
          <w:iCs/>
          <w:color w:val="252525"/>
          <w:sz w:val="28"/>
          <w:szCs w:val="28"/>
        </w:rPr>
        <w:t>et al</w:t>
      </w:r>
      <w:r w:rsidRPr="00030C3E">
        <w:rPr>
          <w:rFonts w:ascii="Arial" w:hAnsi="Arial" w:cs="Arial"/>
          <w:color w:val="252525"/>
          <w:sz w:val="28"/>
          <w:szCs w:val="28"/>
        </w:rPr>
        <w:t xml:space="preserve">., 2006). Personalisation is needed to optimise their effectiveness. These programmes can better meet multiple needs by tailoring interventions to each household. Service providers will also get continuing cultural competency and sensitivity training, creating an environment where diverse families feel understood and supported. Mental health interventions have reduced emotional well-being stigma, although issues remain (Evans </w:t>
      </w:r>
      <w:r w:rsidRPr="00030C3E">
        <w:rPr>
          <w:rStyle w:val="Emphasis"/>
          <w:rFonts w:ascii="Arial" w:hAnsi="Arial" w:cs="Arial"/>
          <w:color w:val="252525"/>
          <w:sz w:val="28"/>
          <w:szCs w:val="28"/>
        </w:rPr>
        <w:t>et al</w:t>
      </w:r>
      <w:r w:rsidRPr="00030C3E">
        <w:rPr>
          <w:rFonts w:ascii="Arial" w:hAnsi="Arial" w:cs="Arial"/>
          <w:color w:val="252525"/>
          <w:sz w:val="28"/>
          <w:szCs w:val="28"/>
        </w:rPr>
        <w:t>., 2019). Multiple strategies are needed to optimise their influence. A more comprehensive plan is needed to combat socioeconomic disparity. Beyond academic</w:t>
      </w:r>
      <w:r>
        <w:rPr>
          <w:color w:val="252525"/>
        </w:rPr>
        <w:t xml:space="preserve"> </w:t>
      </w:r>
      <w:r w:rsidRPr="00030C3E">
        <w:rPr>
          <w:rFonts w:ascii="Arial" w:hAnsi="Arial" w:cs="Arial"/>
          <w:color w:val="252525"/>
          <w:sz w:val="28"/>
          <w:szCs w:val="28"/>
        </w:rPr>
        <w:t>support, addressing core needs and providing a safety net can help children and teens succeed in school.</w:t>
      </w:r>
    </w:p>
    <w:p w14:paraId="74B60AB6" w14:textId="449BF74A" w:rsidR="004F6418" w:rsidRPr="00030C3E" w:rsidRDefault="004F6418" w:rsidP="004F6418">
      <w:pPr>
        <w:pStyle w:val="NormalWeb"/>
        <w:spacing w:line="360" w:lineRule="auto"/>
        <w:jc w:val="both"/>
        <w:rPr>
          <w:rFonts w:ascii="Arial" w:hAnsi="Arial" w:cs="Arial"/>
          <w:color w:val="252525"/>
          <w:sz w:val="28"/>
          <w:szCs w:val="28"/>
        </w:rPr>
      </w:pPr>
      <w:r w:rsidRPr="00030C3E">
        <w:rPr>
          <w:rFonts w:ascii="Arial" w:hAnsi="Arial" w:cs="Arial"/>
          <w:color w:val="252525"/>
          <w:sz w:val="28"/>
          <w:szCs w:val="28"/>
        </w:rPr>
        <w:t xml:space="preserve">Foster care and adoption offer immeasurable stability. </w:t>
      </w:r>
      <w:r w:rsidR="00085E50" w:rsidRPr="00030C3E">
        <w:rPr>
          <w:rFonts w:ascii="Arial" w:hAnsi="Arial" w:cs="Arial"/>
          <w:color w:val="252525"/>
          <w:sz w:val="28"/>
          <w:szCs w:val="28"/>
        </w:rPr>
        <w:t>They must commit to ongoing monitoring and help to increase their long-term influence</w:t>
      </w:r>
      <w:r w:rsidRPr="00030C3E">
        <w:rPr>
          <w:rFonts w:ascii="Arial" w:hAnsi="Arial" w:cs="Arial"/>
          <w:color w:val="252525"/>
          <w:sz w:val="28"/>
          <w:szCs w:val="28"/>
        </w:rPr>
        <w:t xml:space="preserve">. Strengthening post-placement services like mental health and educational assistance helps children and families thrive and overcome challenges holistically (Bennett </w:t>
      </w:r>
      <w:r w:rsidRPr="00030C3E">
        <w:rPr>
          <w:rStyle w:val="Emphasis"/>
          <w:rFonts w:ascii="Arial" w:hAnsi="Arial" w:cs="Arial"/>
          <w:color w:val="252525"/>
          <w:sz w:val="28"/>
          <w:szCs w:val="28"/>
        </w:rPr>
        <w:t>et al</w:t>
      </w:r>
      <w:r w:rsidRPr="00030C3E">
        <w:rPr>
          <w:rFonts w:ascii="Arial" w:hAnsi="Arial" w:cs="Arial"/>
          <w:color w:val="252525"/>
          <w:sz w:val="28"/>
          <w:szCs w:val="28"/>
        </w:rPr>
        <w:t xml:space="preserve">., 2022). Resource access has improved with community-based programmes. The key to their success is cultural resonance. Empowering youth has far-reaching effects, yet barriers to education and employment require new solutions (Edwards, 2019). By extending vocational training and partnering with businesses, young people can learn job-ready and flexible skills. This helps them become adults and pursue their own paths. Legal advocacy and child protection are essential to protecting rights. However, legal resource inequalities continue. Legal clinics </w:t>
      </w:r>
      <w:r w:rsidRPr="00030C3E">
        <w:rPr>
          <w:rFonts w:ascii="Arial" w:hAnsi="Arial" w:cs="Arial"/>
          <w:color w:val="252525"/>
          <w:sz w:val="28"/>
          <w:szCs w:val="28"/>
        </w:rPr>
        <w:lastRenderedPageBreak/>
        <w:t>and pro bono services can help make legal protection a right for vulnerable children and families, not a privilege.</w:t>
      </w:r>
    </w:p>
    <w:p w14:paraId="06C5E45A" w14:textId="77777777" w:rsidR="004F6418" w:rsidRPr="00132B4C" w:rsidRDefault="004F6418" w:rsidP="004F6418">
      <w:pPr>
        <w:pStyle w:val="NormalWeb"/>
        <w:spacing w:line="360" w:lineRule="auto"/>
        <w:jc w:val="both"/>
        <w:rPr>
          <w:rFonts w:ascii="Arial" w:hAnsi="Arial" w:cs="Arial"/>
          <w:color w:val="252525"/>
          <w:sz w:val="28"/>
          <w:szCs w:val="28"/>
        </w:rPr>
      </w:pPr>
      <w:r w:rsidRPr="00132B4C">
        <w:rPr>
          <w:rStyle w:val="Strong"/>
          <w:rFonts w:ascii="Arial" w:hAnsi="Arial" w:cs="Arial"/>
          <w:color w:val="252525"/>
          <w:sz w:val="28"/>
          <w:szCs w:val="28"/>
        </w:rPr>
        <w:t>Potential Impact and Benefits</w:t>
      </w:r>
    </w:p>
    <w:p w14:paraId="70D60A76" w14:textId="16DC67AB" w:rsidR="004F6418" w:rsidRPr="00030C3E" w:rsidRDefault="004F6418" w:rsidP="004F6418">
      <w:pPr>
        <w:pStyle w:val="NormalWeb"/>
        <w:spacing w:line="360" w:lineRule="auto"/>
        <w:jc w:val="both"/>
        <w:rPr>
          <w:rFonts w:ascii="Arial" w:hAnsi="Arial" w:cs="Arial"/>
          <w:color w:val="252525"/>
          <w:sz w:val="28"/>
          <w:szCs w:val="28"/>
        </w:rPr>
      </w:pPr>
      <w:r w:rsidRPr="00030C3E">
        <w:rPr>
          <w:rFonts w:ascii="Arial" w:hAnsi="Arial" w:cs="Arial"/>
          <w:color w:val="252525"/>
          <w:sz w:val="28"/>
          <w:szCs w:val="28"/>
        </w:rPr>
        <w:t xml:space="preserve">These interventions, when combined, provide a comprehensive tapestry with the ability to dramatically transform the trajectories of vulnerable individuals and families. They act as powerful conduits for promoting a more inclusive and compassionate society by chipping away at disparities. The cumulative effect of increased early interventions is a generation of children who begin their school journeys with greater preparedness, resulting in better life outcomes (Gadsden </w:t>
      </w:r>
      <w:r w:rsidRPr="00030C3E">
        <w:rPr>
          <w:rFonts w:ascii="Arial" w:hAnsi="Arial" w:cs="Arial"/>
          <w:i/>
          <w:iCs/>
          <w:color w:val="252525"/>
          <w:sz w:val="28"/>
          <w:szCs w:val="28"/>
        </w:rPr>
        <w:t>et al</w:t>
      </w:r>
      <w:r w:rsidRPr="00030C3E">
        <w:rPr>
          <w:rFonts w:ascii="Arial" w:hAnsi="Arial" w:cs="Arial"/>
          <w:color w:val="252525"/>
          <w:sz w:val="28"/>
          <w:szCs w:val="28"/>
        </w:rPr>
        <w:t>., 2016). Armed with education, support, and mental health resources, empowered families and people spread good influences throughout their communities, building a network of resilience and shared upliftment. Youth empowerment emerges as a keystone in this tapestry, allowing young people to overcome adversity and reach their full potential (Horne, 2016). Together, these interventions lead to a more equitable society in which every child</w:t>
      </w:r>
      <w:r w:rsidR="00132B4C">
        <w:rPr>
          <w:rFonts w:ascii="Arial" w:hAnsi="Arial" w:cs="Arial"/>
          <w:color w:val="252525"/>
          <w:sz w:val="28"/>
          <w:szCs w:val="28"/>
        </w:rPr>
        <w:t>.</w:t>
      </w:r>
    </w:p>
    <w:p w14:paraId="5E5C52CB" w14:textId="77777777" w:rsidR="004F6418" w:rsidRDefault="004F6418" w:rsidP="004F6418">
      <w:pPr>
        <w:pStyle w:val="Heading1"/>
        <w:rPr>
          <w:color w:val="252525"/>
        </w:rPr>
      </w:pPr>
      <w:bookmarkStart w:id="3" w:name="_Toc143537323"/>
      <w:bookmarkEnd w:id="3"/>
      <w:r>
        <w:rPr>
          <w:color w:val="252525"/>
        </w:rPr>
        <w:t>Conclusion</w:t>
      </w:r>
    </w:p>
    <w:p w14:paraId="16E10E64" w14:textId="77777777" w:rsidR="004F6418" w:rsidRPr="00030C3E" w:rsidRDefault="004F6418" w:rsidP="004F6418">
      <w:pPr>
        <w:pStyle w:val="NormalWeb"/>
        <w:spacing w:line="360" w:lineRule="auto"/>
        <w:jc w:val="both"/>
        <w:rPr>
          <w:rFonts w:ascii="Arial" w:hAnsi="Arial" w:cs="Arial"/>
          <w:color w:val="252525"/>
          <w:sz w:val="28"/>
          <w:szCs w:val="28"/>
        </w:rPr>
      </w:pPr>
      <w:r w:rsidRPr="00030C3E">
        <w:rPr>
          <w:rFonts w:ascii="Arial" w:hAnsi="Arial" w:cs="Arial"/>
          <w:color w:val="252525"/>
          <w:sz w:val="28"/>
          <w:szCs w:val="28"/>
        </w:rPr>
        <w:t>This investigation uncovers a subtle tapestry that has grown over time by covering the historical emergence of childhood and its deep linkages to family dynamics. Societal structures have transformed the lives of children, young people, and families, from blurring lines between labour and innocence to the present emphasis on protection and holistic development (</w:t>
      </w:r>
      <w:proofErr w:type="spellStart"/>
      <w:r w:rsidRPr="00030C3E">
        <w:rPr>
          <w:rFonts w:ascii="Arial" w:hAnsi="Arial" w:cs="Arial"/>
          <w:color w:val="252525"/>
          <w:sz w:val="28"/>
          <w:szCs w:val="28"/>
        </w:rPr>
        <w:t>Kehily</w:t>
      </w:r>
      <w:proofErr w:type="spellEnd"/>
      <w:r w:rsidRPr="00030C3E">
        <w:rPr>
          <w:rFonts w:ascii="Arial" w:hAnsi="Arial" w:cs="Arial"/>
          <w:color w:val="252525"/>
          <w:sz w:val="28"/>
          <w:szCs w:val="28"/>
        </w:rPr>
        <w:t xml:space="preserve">, 2010). We see a concentrated effort to minimise inequities, empower disadvantaged individuals, and develop routes to equitable opportunities </w:t>
      </w:r>
      <w:r w:rsidRPr="00030C3E">
        <w:rPr>
          <w:rFonts w:ascii="Arial" w:hAnsi="Arial" w:cs="Arial"/>
          <w:color w:val="252525"/>
          <w:sz w:val="28"/>
          <w:szCs w:val="28"/>
        </w:rPr>
        <w:lastRenderedPageBreak/>
        <w:t>through a variety of initiatives. These initiatives serve as beacons of hope as we navigate the present and envision the future, shaping a society that embraces the potential of every child, nurtures their growth within families, and champions inclusivity—a testament to the enduring commitment to securing a brighter, more compassionate future for all (</w:t>
      </w:r>
      <w:proofErr w:type="spellStart"/>
      <w:r w:rsidRPr="00030C3E">
        <w:rPr>
          <w:rFonts w:ascii="Arial" w:hAnsi="Arial" w:cs="Arial"/>
          <w:color w:val="252525"/>
          <w:sz w:val="28"/>
          <w:szCs w:val="28"/>
        </w:rPr>
        <w:t>Redsell</w:t>
      </w:r>
      <w:proofErr w:type="spellEnd"/>
      <w:r w:rsidRPr="00030C3E">
        <w:rPr>
          <w:rFonts w:ascii="Arial" w:hAnsi="Arial" w:cs="Arial"/>
          <w:color w:val="252525"/>
          <w:sz w:val="28"/>
          <w:szCs w:val="28"/>
        </w:rPr>
        <w:t xml:space="preserve"> and Hastings, 2016).</w:t>
      </w:r>
    </w:p>
    <w:p w14:paraId="18A11945" w14:textId="6AF32713" w:rsidR="00A05EDA" w:rsidRPr="00AD722E" w:rsidRDefault="00A05EDA" w:rsidP="00AD722E">
      <w:pPr>
        <w:pStyle w:val="Heading1"/>
        <w:rPr>
          <w:sz w:val="22"/>
          <w:szCs w:val="22"/>
        </w:rPr>
      </w:pPr>
      <w:r>
        <w:br w:type="page"/>
      </w:r>
      <w:bookmarkStart w:id="4" w:name="_Toc143537324"/>
      <w:r>
        <w:lastRenderedPageBreak/>
        <w:t>Reference</w:t>
      </w:r>
      <w:bookmarkEnd w:id="4"/>
    </w:p>
    <w:p w14:paraId="2CEA754C" w14:textId="047ED4C1" w:rsidR="003169D3" w:rsidRPr="00030C3E" w:rsidRDefault="00B560DC" w:rsidP="003169D3">
      <w:pPr>
        <w:shd w:val="clear" w:color="auto" w:fill="FFFFFF"/>
        <w:spacing w:before="0" w:after="0" w:line="270" w:lineRule="atLeast"/>
        <w:jc w:val="left"/>
        <w:rPr>
          <w:rFonts w:cs="Arial"/>
          <w:color w:val="333333"/>
          <w:sz w:val="28"/>
          <w:szCs w:val="28"/>
        </w:rPr>
      </w:pPr>
      <w:r w:rsidRPr="00030C3E">
        <w:rPr>
          <w:rFonts w:cs="Arial"/>
          <w:sz w:val="28"/>
          <w:szCs w:val="28"/>
        </w:rPr>
        <w:t xml:space="preserve">Bennett, S., Myles-Hooton, P., Schleider, J. and Shafran, R. (2022). Oxford Guide to Brief and </w:t>
      </w:r>
      <w:r w:rsidR="00E50DEE" w:rsidRPr="00030C3E">
        <w:rPr>
          <w:rFonts w:cs="Arial"/>
          <w:sz w:val="28"/>
          <w:szCs w:val="28"/>
        </w:rPr>
        <w:t>Low-Intensity</w:t>
      </w:r>
      <w:r w:rsidRPr="00030C3E">
        <w:rPr>
          <w:rFonts w:cs="Arial"/>
          <w:sz w:val="28"/>
          <w:szCs w:val="28"/>
        </w:rPr>
        <w:t xml:space="preserve"> Interventions for Children and Young People. </w:t>
      </w:r>
      <w:r w:rsidRPr="00030C3E">
        <w:rPr>
          <w:rFonts w:cs="Arial"/>
          <w:i/>
          <w:iCs/>
          <w:sz w:val="28"/>
          <w:szCs w:val="28"/>
        </w:rPr>
        <w:t xml:space="preserve">Oxford University </w:t>
      </w:r>
      <w:r w:rsidR="003169D3" w:rsidRPr="00030C3E">
        <w:rPr>
          <w:rFonts w:cs="Arial"/>
          <w:i/>
          <w:iCs/>
          <w:sz w:val="28"/>
          <w:szCs w:val="28"/>
        </w:rPr>
        <w:t>Press</w:t>
      </w:r>
      <w:r w:rsidR="003169D3" w:rsidRPr="00030C3E">
        <w:rPr>
          <w:rFonts w:cs="Arial"/>
          <w:sz w:val="28"/>
          <w:szCs w:val="28"/>
        </w:rPr>
        <w:t>.</w:t>
      </w:r>
      <w:r w:rsidR="003169D3" w:rsidRPr="00030C3E">
        <w:rPr>
          <w:rFonts w:cs="Arial"/>
          <w:b/>
          <w:bCs/>
          <w:sz w:val="28"/>
          <w:szCs w:val="28"/>
          <w:bdr w:val="none" w:sz="0" w:space="0" w:color="auto" w:frame="1"/>
          <w:shd w:val="clear" w:color="auto" w:fill="FFFFFF"/>
        </w:rPr>
        <w:t xml:space="preserve"> </w:t>
      </w:r>
    </w:p>
    <w:p w14:paraId="019756D0" w14:textId="39A2BBD4" w:rsidR="003169D3" w:rsidRPr="00030C3E" w:rsidRDefault="003169D3" w:rsidP="003169D3">
      <w:pPr>
        <w:jc w:val="left"/>
        <w:rPr>
          <w:rFonts w:cs="Arial"/>
          <w:sz w:val="28"/>
          <w:szCs w:val="28"/>
        </w:rPr>
      </w:pPr>
      <w:hyperlink r:id="rId9" w:tgtFrame="_blank" w:history="1">
        <w:r w:rsidRPr="00030C3E">
          <w:rPr>
            <w:rStyle w:val="Hyperlink"/>
            <w:rFonts w:cs="Arial"/>
            <w:b/>
            <w:bCs/>
            <w:color w:val="00799E"/>
            <w:sz w:val="28"/>
            <w:szCs w:val="28"/>
            <w:bdr w:val="none" w:sz="0" w:space="0" w:color="auto" w:frame="1"/>
            <w:shd w:val="clear" w:color="auto" w:fill="FFFFFF"/>
          </w:rPr>
          <w:t>https://psycnet.apa.org/record/2023-25447-001</w:t>
        </w:r>
      </w:hyperlink>
    </w:p>
    <w:p w14:paraId="5FD88698" w14:textId="77777777" w:rsidR="00B560DC" w:rsidRPr="00030C3E" w:rsidRDefault="00B560DC" w:rsidP="00A05EDA">
      <w:pPr>
        <w:rPr>
          <w:rFonts w:cs="Arial"/>
          <w:sz w:val="28"/>
          <w:szCs w:val="28"/>
        </w:rPr>
      </w:pPr>
      <w:r w:rsidRPr="00030C3E">
        <w:rPr>
          <w:rFonts w:cs="Arial"/>
          <w:sz w:val="28"/>
          <w:szCs w:val="28"/>
        </w:rPr>
        <w:t xml:space="preserve">Bishop, K. and Corkery, L. (2017). Designing cities with children and young people: beyond playgrounds and skate parks. </w:t>
      </w:r>
      <w:r w:rsidRPr="00030C3E">
        <w:rPr>
          <w:rFonts w:cs="Arial"/>
          <w:i/>
          <w:iCs/>
          <w:sz w:val="28"/>
          <w:szCs w:val="28"/>
        </w:rPr>
        <w:t>New York, NY: Routledge, Taylor &amp; Francis Group</w:t>
      </w:r>
      <w:r w:rsidRPr="00030C3E">
        <w:rPr>
          <w:rFonts w:cs="Arial"/>
          <w:sz w:val="28"/>
          <w:szCs w:val="28"/>
        </w:rPr>
        <w:t>.</w:t>
      </w:r>
    </w:p>
    <w:p w14:paraId="061AE8E9" w14:textId="73DF1D78" w:rsidR="003169D3" w:rsidRPr="00030C3E" w:rsidRDefault="003169D3" w:rsidP="003169D3">
      <w:pPr>
        <w:shd w:val="clear" w:color="auto" w:fill="FFFFFF"/>
        <w:spacing w:before="0" w:after="0" w:line="270" w:lineRule="atLeast"/>
        <w:jc w:val="left"/>
        <w:rPr>
          <w:rFonts w:cs="Arial"/>
          <w:color w:val="333333"/>
          <w:sz w:val="28"/>
          <w:szCs w:val="28"/>
        </w:rPr>
      </w:pPr>
      <w:r w:rsidRPr="00030C3E">
        <w:rPr>
          <w:rFonts w:cs="Arial"/>
          <w:color w:val="333333"/>
          <w:sz w:val="28"/>
          <w:szCs w:val="28"/>
        </w:rPr>
        <w:t xml:space="preserve"> </w:t>
      </w:r>
      <w:hyperlink r:id="rId10" w:history="1">
        <w:r w:rsidRPr="00030C3E">
          <w:rPr>
            <w:rStyle w:val="Hyperlink"/>
            <w:rFonts w:cs="Arial"/>
            <w:b/>
            <w:bCs/>
            <w:sz w:val="28"/>
            <w:szCs w:val="28"/>
            <w:bdr w:val="none" w:sz="0" w:space="0" w:color="auto" w:frame="1"/>
            <w:shd w:val="clear" w:color="auto" w:fill="FFFFFF"/>
          </w:rPr>
          <w:t>https://www.routledge.com/Designing-Cities-with-Children-and-Young-People-Beyond...</w:t>
        </w:r>
      </w:hyperlink>
    </w:p>
    <w:p w14:paraId="5F5BCB12" w14:textId="6BD9D867" w:rsidR="006417BB" w:rsidRPr="00030C3E" w:rsidRDefault="00B560DC" w:rsidP="006417BB">
      <w:pPr>
        <w:shd w:val="clear" w:color="auto" w:fill="FFFFFF"/>
        <w:spacing w:before="0" w:after="0" w:line="270" w:lineRule="atLeast"/>
        <w:jc w:val="left"/>
        <w:rPr>
          <w:rFonts w:cs="Arial"/>
          <w:color w:val="333333"/>
          <w:sz w:val="28"/>
          <w:szCs w:val="28"/>
        </w:rPr>
      </w:pPr>
      <w:r w:rsidRPr="00030C3E">
        <w:rPr>
          <w:rFonts w:cs="Arial"/>
          <w:sz w:val="28"/>
          <w:szCs w:val="28"/>
        </w:rPr>
        <w:t>Edwards, L. (20</w:t>
      </w:r>
      <w:r w:rsidR="0087351D" w:rsidRPr="00030C3E">
        <w:rPr>
          <w:rFonts w:cs="Arial"/>
          <w:sz w:val="28"/>
          <w:szCs w:val="28"/>
        </w:rPr>
        <w:t>20</w:t>
      </w:r>
      <w:r w:rsidRPr="00030C3E">
        <w:rPr>
          <w:rFonts w:cs="Arial"/>
          <w:sz w:val="28"/>
          <w:szCs w:val="28"/>
        </w:rPr>
        <w:t xml:space="preserve">). </w:t>
      </w:r>
      <w:r w:rsidRPr="00030C3E">
        <w:rPr>
          <w:rFonts w:cs="Arial"/>
          <w:i/>
          <w:iCs/>
          <w:sz w:val="28"/>
          <w:szCs w:val="28"/>
        </w:rPr>
        <w:t xml:space="preserve">Anti-Bias Education </w:t>
      </w:r>
      <w:r w:rsidR="00E50DEE" w:rsidRPr="00030C3E">
        <w:rPr>
          <w:rFonts w:cs="Arial"/>
          <w:i/>
          <w:iCs/>
          <w:sz w:val="28"/>
          <w:szCs w:val="28"/>
        </w:rPr>
        <w:t>for</w:t>
      </w:r>
      <w:r w:rsidRPr="00030C3E">
        <w:rPr>
          <w:rFonts w:cs="Arial"/>
          <w:i/>
          <w:iCs/>
          <w:sz w:val="28"/>
          <w:szCs w:val="28"/>
        </w:rPr>
        <w:t xml:space="preserve"> Young Children </w:t>
      </w:r>
      <w:r w:rsidR="00085E50" w:rsidRPr="00030C3E">
        <w:rPr>
          <w:rFonts w:cs="Arial"/>
          <w:i/>
          <w:iCs/>
          <w:sz w:val="28"/>
          <w:szCs w:val="28"/>
        </w:rPr>
        <w:t>and</w:t>
      </w:r>
      <w:r w:rsidRPr="00030C3E">
        <w:rPr>
          <w:rFonts w:cs="Arial"/>
          <w:i/>
          <w:iCs/>
          <w:sz w:val="28"/>
          <w:szCs w:val="28"/>
        </w:rPr>
        <w:t xml:space="preserve"> Ourselves</w:t>
      </w:r>
      <w:r w:rsidRPr="00030C3E">
        <w:rPr>
          <w:rFonts w:cs="Arial"/>
          <w:sz w:val="28"/>
          <w:szCs w:val="28"/>
        </w:rPr>
        <w:t>. S.L.: National Association For.</w:t>
      </w:r>
    </w:p>
    <w:p w14:paraId="10B050C9" w14:textId="5F8A629B" w:rsidR="00B560DC" w:rsidRPr="00030C3E" w:rsidRDefault="006417BB" w:rsidP="006417BB">
      <w:pPr>
        <w:rPr>
          <w:rFonts w:cs="Arial"/>
          <w:sz w:val="28"/>
          <w:szCs w:val="28"/>
        </w:rPr>
      </w:pPr>
      <w:hyperlink r:id="rId11" w:tgtFrame="_blank" w:history="1">
        <w:r w:rsidRPr="00030C3E">
          <w:rPr>
            <w:rStyle w:val="Hyperlink"/>
            <w:rFonts w:cs="Arial"/>
            <w:b/>
            <w:bCs/>
            <w:color w:val="00799E"/>
            <w:sz w:val="28"/>
            <w:szCs w:val="28"/>
            <w:bdr w:val="none" w:sz="0" w:space="0" w:color="auto" w:frame="1"/>
            <w:shd w:val="clear" w:color="auto" w:fill="FFFFFF"/>
          </w:rPr>
          <w:t>https://books.google.com/books/about/Anti_Bias_Education_for_Young_Children_a.html?id=...</w:t>
        </w:r>
      </w:hyperlink>
    </w:p>
    <w:p w14:paraId="5717E125" w14:textId="52CB94A3" w:rsidR="00B560DC" w:rsidRPr="00030C3E" w:rsidRDefault="00B560DC" w:rsidP="00343275">
      <w:pPr>
        <w:jc w:val="left"/>
        <w:rPr>
          <w:rFonts w:cs="Arial"/>
          <w:sz w:val="28"/>
          <w:szCs w:val="28"/>
        </w:rPr>
      </w:pPr>
      <w:r w:rsidRPr="00030C3E">
        <w:rPr>
          <w:rFonts w:cs="Arial"/>
          <w:sz w:val="28"/>
          <w:szCs w:val="28"/>
        </w:rPr>
        <w:t xml:space="preserve">Evans, S.W., Owens, J.S., Bradshaw, C.P. and Weist, M.D. (2019). Handbook of School Mental Health. </w:t>
      </w:r>
      <w:r w:rsidRPr="00030C3E">
        <w:rPr>
          <w:rFonts w:cs="Arial"/>
          <w:i/>
          <w:iCs/>
          <w:sz w:val="28"/>
          <w:szCs w:val="28"/>
        </w:rPr>
        <w:t>Springer Nature</w:t>
      </w:r>
      <w:r w:rsidRPr="00030C3E">
        <w:rPr>
          <w:rFonts w:cs="Arial"/>
          <w:sz w:val="28"/>
          <w:szCs w:val="28"/>
        </w:rPr>
        <w:t>.</w:t>
      </w:r>
      <w:r w:rsidR="00343275" w:rsidRPr="00030C3E">
        <w:rPr>
          <w:rFonts w:cs="Arial"/>
          <w:sz w:val="28"/>
          <w:szCs w:val="28"/>
        </w:rPr>
        <w:t xml:space="preserve"> </w:t>
      </w:r>
      <w:r w:rsidR="00343275" w:rsidRPr="00030C3E">
        <w:rPr>
          <w:rFonts w:cs="Arial"/>
          <w:sz w:val="28"/>
          <w:szCs w:val="28"/>
        </w:rPr>
        <w:br/>
      </w:r>
      <w:r w:rsidR="00343275" w:rsidRPr="00030C3E">
        <w:rPr>
          <w:rFonts w:cs="Arial"/>
          <w:b/>
          <w:bCs/>
          <w:color w:val="00799E"/>
          <w:sz w:val="28"/>
          <w:szCs w:val="28"/>
          <w:shd w:val="clear" w:color="auto" w:fill="FFFFFF"/>
        </w:rPr>
        <w:t>https://prism.librarymanagementcloud.co.uk/yorksj/items/453726</w:t>
      </w:r>
    </w:p>
    <w:p w14:paraId="25A63A95" w14:textId="77777777" w:rsidR="005D2E3A" w:rsidRPr="00030C3E" w:rsidRDefault="00B560DC" w:rsidP="005D2E3A">
      <w:pPr>
        <w:shd w:val="clear" w:color="auto" w:fill="FFFFFF"/>
        <w:spacing w:before="0" w:after="0" w:line="270" w:lineRule="atLeast"/>
        <w:jc w:val="left"/>
        <w:rPr>
          <w:rFonts w:cs="Arial"/>
          <w:color w:val="333333"/>
          <w:sz w:val="28"/>
          <w:szCs w:val="28"/>
        </w:rPr>
      </w:pPr>
      <w:r w:rsidRPr="00030C3E">
        <w:rPr>
          <w:rFonts w:cs="Arial"/>
          <w:sz w:val="28"/>
          <w:szCs w:val="28"/>
        </w:rPr>
        <w:t xml:space="preserve">Gadsden, V.L., Ford, M.A. and Breiner, H. (2016). Parenting matters: supporting parents of children ages 0-8. </w:t>
      </w:r>
      <w:r w:rsidRPr="00030C3E">
        <w:rPr>
          <w:rFonts w:cs="Arial"/>
          <w:i/>
          <w:iCs/>
          <w:sz w:val="28"/>
          <w:szCs w:val="28"/>
        </w:rPr>
        <w:t xml:space="preserve">Washington, </w:t>
      </w:r>
      <w:r w:rsidR="00C959CA" w:rsidRPr="00030C3E">
        <w:rPr>
          <w:rFonts w:cs="Arial"/>
          <w:i/>
          <w:iCs/>
          <w:sz w:val="28"/>
          <w:szCs w:val="28"/>
        </w:rPr>
        <w:t>DC</w:t>
      </w:r>
      <w:r w:rsidRPr="00030C3E">
        <w:rPr>
          <w:rFonts w:cs="Arial"/>
          <w:i/>
          <w:iCs/>
          <w:sz w:val="28"/>
          <w:szCs w:val="28"/>
        </w:rPr>
        <w:t>: The National Academies Press</w:t>
      </w:r>
      <w:r w:rsidRPr="00030C3E">
        <w:rPr>
          <w:rFonts w:cs="Arial"/>
          <w:sz w:val="28"/>
          <w:szCs w:val="28"/>
        </w:rPr>
        <w:t>.</w:t>
      </w:r>
      <w:r w:rsidR="005D2E3A" w:rsidRPr="00030C3E">
        <w:rPr>
          <w:rFonts w:cs="Arial"/>
          <w:sz w:val="28"/>
          <w:szCs w:val="28"/>
        </w:rPr>
        <w:t xml:space="preserve"> </w:t>
      </w:r>
      <w:r w:rsidR="005D2E3A" w:rsidRPr="00030C3E">
        <w:rPr>
          <w:rFonts w:cs="Arial"/>
          <w:color w:val="333333"/>
          <w:sz w:val="28"/>
          <w:szCs w:val="28"/>
        </w:rPr>
        <w:t>l</w:t>
      </w:r>
    </w:p>
    <w:p w14:paraId="4A253623" w14:textId="75222BE2" w:rsidR="00B560DC" w:rsidRPr="00030C3E" w:rsidRDefault="005D2E3A" w:rsidP="005D2E3A">
      <w:pPr>
        <w:rPr>
          <w:rFonts w:cs="Arial"/>
          <w:sz w:val="28"/>
          <w:szCs w:val="28"/>
        </w:rPr>
      </w:pPr>
      <w:hyperlink r:id="rId12" w:tgtFrame="_blank" w:history="1">
        <w:r w:rsidRPr="00030C3E">
          <w:rPr>
            <w:rStyle w:val="Hyperlink"/>
            <w:rFonts w:cs="Arial"/>
            <w:b/>
            <w:bCs/>
            <w:color w:val="00799E"/>
            <w:sz w:val="28"/>
            <w:szCs w:val="28"/>
            <w:bdr w:val="none" w:sz="0" w:space="0" w:color="auto" w:frame="1"/>
            <w:shd w:val="clear" w:color="auto" w:fill="FFFFFF"/>
          </w:rPr>
          <w:t>https://nap.nationalacademies.org/read/21868</w:t>
        </w:r>
      </w:hyperlink>
    </w:p>
    <w:p w14:paraId="109AB38F" w14:textId="34FA1286" w:rsidR="00B560DC" w:rsidRPr="00030C3E" w:rsidRDefault="00B560DC" w:rsidP="005D2E3A">
      <w:pPr>
        <w:jc w:val="left"/>
        <w:rPr>
          <w:rFonts w:cs="Arial"/>
          <w:sz w:val="28"/>
          <w:szCs w:val="28"/>
        </w:rPr>
      </w:pPr>
      <w:r w:rsidRPr="00030C3E">
        <w:rPr>
          <w:rFonts w:cs="Arial"/>
          <w:sz w:val="28"/>
          <w:szCs w:val="28"/>
        </w:rPr>
        <w:t xml:space="preserve">Groundwater-Smith, S., Dockett, S. and Bottrell, D. (2014). Participatory Research with Children and Young People. </w:t>
      </w:r>
      <w:r w:rsidRPr="00030C3E">
        <w:rPr>
          <w:rFonts w:cs="Arial"/>
          <w:i/>
          <w:iCs/>
          <w:sz w:val="28"/>
          <w:szCs w:val="28"/>
        </w:rPr>
        <w:t>SAGE</w:t>
      </w:r>
      <w:r w:rsidRPr="00030C3E">
        <w:rPr>
          <w:rFonts w:cs="Arial"/>
          <w:sz w:val="28"/>
          <w:szCs w:val="28"/>
        </w:rPr>
        <w:t>.</w:t>
      </w:r>
      <w:r w:rsidR="005D2E3A" w:rsidRPr="00030C3E">
        <w:rPr>
          <w:rFonts w:cs="Arial"/>
          <w:sz w:val="28"/>
          <w:szCs w:val="28"/>
        </w:rPr>
        <w:t xml:space="preserve"> </w:t>
      </w:r>
      <w:r w:rsidR="005D2E3A" w:rsidRPr="00030C3E">
        <w:rPr>
          <w:rFonts w:cs="Arial"/>
          <w:sz w:val="28"/>
          <w:szCs w:val="28"/>
        </w:rPr>
        <w:br/>
      </w:r>
      <w:r w:rsidR="005D2E3A" w:rsidRPr="00030C3E">
        <w:rPr>
          <w:rFonts w:cs="Arial"/>
          <w:b/>
          <w:bCs/>
          <w:color w:val="00799E"/>
          <w:sz w:val="28"/>
          <w:szCs w:val="28"/>
          <w:u w:val="single"/>
          <w:shd w:val="clear" w:color="auto" w:fill="FFFFFF"/>
        </w:rPr>
        <w:t>https://openlibrary.org/.../Participatory_Research_with_Children_and_Young_People</w:t>
      </w:r>
    </w:p>
    <w:p w14:paraId="19E73C6F" w14:textId="12D4BF28" w:rsidR="00B560DC" w:rsidRPr="00030C3E" w:rsidRDefault="00B560DC" w:rsidP="00A05EDA">
      <w:pPr>
        <w:rPr>
          <w:rFonts w:cs="Arial"/>
          <w:sz w:val="28"/>
          <w:szCs w:val="28"/>
        </w:rPr>
      </w:pPr>
      <w:r w:rsidRPr="00030C3E">
        <w:rPr>
          <w:rFonts w:cs="Arial"/>
          <w:sz w:val="28"/>
          <w:szCs w:val="28"/>
        </w:rPr>
        <w:lastRenderedPageBreak/>
        <w:t xml:space="preserve">Harrison, </w:t>
      </w:r>
      <w:r w:rsidR="00D658BC" w:rsidRPr="00030C3E">
        <w:rPr>
          <w:rFonts w:cs="Arial"/>
          <w:sz w:val="28"/>
          <w:szCs w:val="28"/>
        </w:rPr>
        <w:t>A.,</w:t>
      </w:r>
      <w:r w:rsidRPr="00030C3E">
        <w:rPr>
          <w:rFonts w:cs="Arial"/>
          <w:sz w:val="28"/>
          <w:szCs w:val="28"/>
        </w:rPr>
        <w:t xml:space="preserve"> and Hutchins, B.L. (2013). A History of Factory Legislation. </w:t>
      </w:r>
      <w:r w:rsidRPr="00030C3E">
        <w:rPr>
          <w:rFonts w:cs="Arial"/>
          <w:i/>
          <w:iCs/>
          <w:sz w:val="28"/>
          <w:szCs w:val="28"/>
        </w:rPr>
        <w:t>Routledge</w:t>
      </w:r>
      <w:r w:rsidRPr="00030C3E">
        <w:rPr>
          <w:rFonts w:cs="Arial"/>
          <w:sz w:val="28"/>
          <w:szCs w:val="28"/>
        </w:rPr>
        <w:t>.</w:t>
      </w:r>
    </w:p>
    <w:p w14:paraId="2BFAD6BB" w14:textId="2CD13DCC" w:rsidR="005D2E3A" w:rsidRPr="00030C3E" w:rsidRDefault="005D2E3A" w:rsidP="00A05EDA">
      <w:pPr>
        <w:rPr>
          <w:rFonts w:cs="Arial"/>
          <w:sz w:val="28"/>
          <w:szCs w:val="28"/>
        </w:rPr>
      </w:pPr>
      <w:r w:rsidRPr="00030C3E">
        <w:rPr>
          <w:rFonts w:cs="Arial"/>
          <w:b/>
          <w:bCs/>
          <w:color w:val="00799E"/>
          <w:sz w:val="28"/>
          <w:szCs w:val="28"/>
          <w:u w:val="single"/>
          <w:shd w:val="clear" w:color="auto" w:fill="FFFFFF"/>
        </w:rPr>
        <w:t>https://lawcat.berkeley.edu/record/1201418</w:t>
      </w:r>
    </w:p>
    <w:p w14:paraId="57062CBD" w14:textId="7A377666" w:rsidR="00B560DC" w:rsidRPr="00030C3E" w:rsidRDefault="00B560DC" w:rsidP="00A05EDA">
      <w:pPr>
        <w:rPr>
          <w:rFonts w:cs="Arial"/>
          <w:sz w:val="28"/>
          <w:szCs w:val="28"/>
        </w:rPr>
      </w:pPr>
      <w:r w:rsidRPr="00030C3E">
        <w:rPr>
          <w:rFonts w:cs="Arial"/>
          <w:sz w:val="28"/>
          <w:szCs w:val="28"/>
        </w:rPr>
        <w:t xml:space="preserve">Horne, J.C. (2016). History and the Construction of the Child in Early British Children’s Literature. </w:t>
      </w:r>
      <w:r w:rsidRPr="00030C3E">
        <w:rPr>
          <w:rFonts w:cs="Arial"/>
          <w:i/>
          <w:iCs/>
          <w:sz w:val="28"/>
          <w:szCs w:val="28"/>
        </w:rPr>
        <w:t>Routledge</w:t>
      </w:r>
      <w:r w:rsidRPr="00030C3E">
        <w:rPr>
          <w:rFonts w:cs="Arial"/>
          <w:sz w:val="28"/>
          <w:szCs w:val="28"/>
        </w:rPr>
        <w:t>.</w:t>
      </w:r>
      <w:r w:rsidR="000E3FC8" w:rsidRPr="00030C3E">
        <w:rPr>
          <w:rFonts w:cs="Arial"/>
          <w:sz w:val="28"/>
          <w:szCs w:val="28"/>
        </w:rPr>
        <w:t xml:space="preserve"> </w:t>
      </w:r>
      <w:r w:rsidR="000E3FC8" w:rsidRPr="00030C3E">
        <w:rPr>
          <w:rFonts w:cs="Arial"/>
          <w:sz w:val="28"/>
          <w:szCs w:val="28"/>
        </w:rPr>
        <w:br/>
      </w:r>
      <w:r w:rsidR="000E3FC8" w:rsidRPr="00030C3E">
        <w:rPr>
          <w:rFonts w:cs="Arial"/>
          <w:b/>
          <w:bCs/>
          <w:color w:val="00799E"/>
          <w:sz w:val="28"/>
          <w:szCs w:val="28"/>
          <w:u w:val="single"/>
          <w:shd w:val="clear" w:color="auto" w:fill="FFFFFF"/>
        </w:rPr>
        <w:t>https://www.routledge.com/History-and-the-Construction-of-the-Child-in-Early-British...</w:t>
      </w:r>
    </w:p>
    <w:p w14:paraId="6F7557D6" w14:textId="3369B822" w:rsidR="000E3FC8" w:rsidRPr="00030C3E" w:rsidRDefault="00B560DC" w:rsidP="000E3FC8">
      <w:pPr>
        <w:shd w:val="clear" w:color="auto" w:fill="FFFFFF"/>
        <w:spacing w:before="0" w:after="0" w:line="270" w:lineRule="atLeast"/>
        <w:jc w:val="left"/>
        <w:rPr>
          <w:rFonts w:cs="Arial"/>
          <w:color w:val="333333"/>
          <w:sz w:val="28"/>
          <w:szCs w:val="28"/>
        </w:rPr>
      </w:pPr>
      <w:r w:rsidRPr="00030C3E">
        <w:rPr>
          <w:rFonts w:cs="Arial"/>
          <w:sz w:val="28"/>
          <w:szCs w:val="28"/>
        </w:rPr>
        <w:t xml:space="preserve">Jakubowicz, K. (2011). </w:t>
      </w:r>
      <w:r w:rsidRPr="00030C3E">
        <w:rPr>
          <w:rFonts w:cs="Arial"/>
          <w:i/>
          <w:iCs/>
          <w:sz w:val="28"/>
          <w:szCs w:val="28"/>
        </w:rPr>
        <w:t>Media revolution in Europe: ahead of the curve</w:t>
      </w:r>
      <w:r w:rsidRPr="00030C3E">
        <w:rPr>
          <w:rFonts w:cs="Arial"/>
          <w:sz w:val="28"/>
          <w:szCs w:val="28"/>
        </w:rPr>
        <w:t xml:space="preserve">. Strasbourg: Council </w:t>
      </w:r>
      <w:r w:rsidR="00D658BC" w:rsidRPr="00030C3E">
        <w:rPr>
          <w:rFonts w:cs="Arial"/>
          <w:sz w:val="28"/>
          <w:szCs w:val="28"/>
        </w:rPr>
        <w:t>of</w:t>
      </w:r>
      <w:r w:rsidRPr="00030C3E">
        <w:rPr>
          <w:rFonts w:cs="Arial"/>
          <w:sz w:val="28"/>
          <w:szCs w:val="28"/>
        </w:rPr>
        <w:t xml:space="preserve"> Europe Publishing.</w:t>
      </w:r>
      <w:r w:rsidR="000E3FC8" w:rsidRPr="00030C3E">
        <w:rPr>
          <w:rFonts w:cs="Arial"/>
          <w:sz w:val="28"/>
          <w:szCs w:val="28"/>
        </w:rPr>
        <w:t xml:space="preserve"> </w:t>
      </w:r>
    </w:p>
    <w:p w14:paraId="22EF3444" w14:textId="03B7A05C" w:rsidR="00B560DC" w:rsidRPr="00030C3E" w:rsidRDefault="000E3FC8" w:rsidP="000E3FC8">
      <w:pPr>
        <w:rPr>
          <w:rFonts w:cs="Arial"/>
          <w:sz w:val="28"/>
          <w:szCs w:val="28"/>
        </w:rPr>
      </w:pPr>
      <w:hyperlink r:id="rId13" w:tgtFrame="_blank" w:history="1">
        <w:r w:rsidRPr="00030C3E">
          <w:rPr>
            <w:rStyle w:val="Hyperlink"/>
            <w:rFonts w:cs="Arial"/>
            <w:b/>
            <w:bCs/>
            <w:color w:val="00799E"/>
            <w:sz w:val="28"/>
            <w:szCs w:val="28"/>
            <w:bdr w:val="none" w:sz="0" w:space="0" w:color="auto" w:frame="1"/>
            <w:shd w:val="clear" w:color="auto" w:fill="FFFFFF"/>
          </w:rPr>
          <w:t>https://www.europeansources.info/record/media-revolution-in-europe-ahead-of-the-curve</w:t>
        </w:r>
      </w:hyperlink>
    </w:p>
    <w:p w14:paraId="0B72C069" w14:textId="2BDAA359" w:rsidR="00A17A74" w:rsidRPr="00030C3E" w:rsidRDefault="00B560DC" w:rsidP="00A17A74">
      <w:pPr>
        <w:shd w:val="clear" w:color="auto" w:fill="FFFFFF"/>
        <w:spacing w:before="0" w:after="0" w:line="270" w:lineRule="atLeast"/>
        <w:jc w:val="left"/>
        <w:rPr>
          <w:rFonts w:cs="Arial"/>
          <w:color w:val="333333"/>
          <w:sz w:val="28"/>
          <w:szCs w:val="28"/>
        </w:rPr>
      </w:pPr>
      <w:proofErr w:type="spellStart"/>
      <w:r w:rsidRPr="00030C3E">
        <w:rPr>
          <w:rFonts w:cs="Arial"/>
          <w:sz w:val="28"/>
          <w:szCs w:val="28"/>
        </w:rPr>
        <w:t>Kehily</w:t>
      </w:r>
      <w:proofErr w:type="spellEnd"/>
      <w:r w:rsidRPr="00030C3E">
        <w:rPr>
          <w:rFonts w:cs="Arial"/>
          <w:sz w:val="28"/>
          <w:szCs w:val="28"/>
        </w:rPr>
        <w:t xml:space="preserve">, M.J. (2010). </w:t>
      </w:r>
      <w:r w:rsidRPr="00030C3E">
        <w:rPr>
          <w:rFonts w:cs="Arial"/>
          <w:i/>
          <w:iCs/>
          <w:sz w:val="28"/>
          <w:szCs w:val="28"/>
        </w:rPr>
        <w:t>An introduction to childhood studies</w:t>
      </w:r>
      <w:r w:rsidRPr="00030C3E">
        <w:rPr>
          <w:rFonts w:cs="Arial"/>
          <w:sz w:val="28"/>
          <w:szCs w:val="28"/>
        </w:rPr>
        <w:t xml:space="preserve">. Maidenhead; New York: </w:t>
      </w:r>
      <w:r w:rsidR="00D658BC" w:rsidRPr="00030C3E">
        <w:rPr>
          <w:rFonts w:cs="Arial"/>
          <w:sz w:val="28"/>
          <w:szCs w:val="28"/>
        </w:rPr>
        <w:t>McGraw-Hill</w:t>
      </w:r>
      <w:r w:rsidRPr="00030C3E">
        <w:rPr>
          <w:rFonts w:cs="Arial"/>
          <w:sz w:val="28"/>
          <w:szCs w:val="28"/>
        </w:rPr>
        <w:t xml:space="preserve"> Education, Open University Press.</w:t>
      </w:r>
      <w:r w:rsidR="00A17A74" w:rsidRPr="00030C3E">
        <w:rPr>
          <w:rFonts w:cs="Arial"/>
          <w:sz w:val="28"/>
          <w:szCs w:val="28"/>
        </w:rPr>
        <w:t xml:space="preserve"> </w:t>
      </w:r>
    </w:p>
    <w:p w14:paraId="4DB4D3DE" w14:textId="4C4C3623" w:rsidR="00B560DC" w:rsidRPr="00030C3E" w:rsidRDefault="00A17A74" w:rsidP="00A17A74">
      <w:pPr>
        <w:rPr>
          <w:rFonts w:cs="Arial"/>
          <w:sz w:val="28"/>
          <w:szCs w:val="28"/>
        </w:rPr>
      </w:pPr>
      <w:hyperlink r:id="rId14" w:tgtFrame="_blank" w:history="1">
        <w:r w:rsidRPr="00030C3E">
          <w:rPr>
            <w:rStyle w:val="Hyperlink"/>
            <w:rFonts w:cs="Arial"/>
            <w:b/>
            <w:bCs/>
            <w:color w:val="00799E"/>
            <w:sz w:val="28"/>
            <w:szCs w:val="28"/>
            <w:bdr w:val="none" w:sz="0" w:space="0" w:color="auto" w:frame="1"/>
            <w:shd w:val="clear" w:color="auto" w:fill="FFFFFF"/>
          </w:rPr>
          <w:t>https://oro.open.ac.uk/view/person/mjk94.default.html</w:t>
        </w:r>
      </w:hyperlink>
    </w:p>
    <w:p w14:paraId="2D30CA36" w14:textId="4CE3F035" w:rsidR="00B560DC" w:rsidRPr="00030C3E" w:rsidRDefault="00B560DC" w:rsidP="00A17A74">
      <w:pPr>
        <w:jc w:val="left"/>
        <w:rPr>
          <w:rFonts w:cs="Arial"/>
          <w:sz w:val="28"/>
          <w:szCs w:val="28"/>
        </w:rPr>
      </w:pPr>
      <w:r w:rsidRPr="00030C3E">
        <w:rPr>
          <w:rFonts w:cs="Arial"/>
          <w:sz w:val="28"/>
          <w:szCs w:val="28"/>
        </w:rPr>
        <w:t>McCool, S. (2023). Working with Child and Adolescent Mental Health: The Central Role of</w:t>
      </w:r>
      <w:r w:rsidRPr="00A05EDA">
        <w:t xml:space="preserve"> </w:t>
      </w:r>
      <w:r w:rsidRPr="00030C3E">
        <w:rPr>
          <w:rFonts w:cs="Arial"/>
          <w:sz w:val="28"/>
          <w:szCs w:val="28"/>
        </w:rPr>
        <w:t xml:space="preserve">Language and Communication. </w:t>
      </w:r>
      <w:r w:rsidRPr="00030C3E">
        <w:rPr>
          <w:rFonts w:cs="Arial"/>
          <w:i/>
          <w:iCs/>
          <w:sz w:val="28"/>
          <w:szCs w:val="28"/>
        </w:rPr>
        <w:t>Taylor &amp; Francis</w:t>
      </w:r>
      <w:r w:rsidRPr="00030C3E">
        <w:rPr>
          <w:rFonts w:cs="Arial"/>
          <w:sz w:val="28"/>
          <w:szCs w:val="28"/>
        </w:rPr>
        <w:t>.</w:t>
      </w:r>
      <w:r w:rsidR="00A17A74" w:rsidRPr="00030C3E">
        <w:rPr>
          <w:rFonts w:cs="Arial"/>
          <w:sz w:val="28"/>
          <w:szCs w:val="28"/>
        </w:rPr>
        <w:t xml:space="preserve"> </w:t>
      </w:r>
      <w:r w:rsidR="00300E94" w:rsidRPr="00030C3E">
        <w:rPr>
          <w:rFonts w:cs="Arial"/>
          <w:sz w:val="28"/>
          <w:szCs w:val="28"/>
        </w:rPr>
        <w:br/>
      </w:r>
      <w:r w:rsidR="00300E94" w:rsidRPr="00030C3E">
        <w:rPr>
          <w:rFonts w:cs="Arial"/>
          <w:b/>
          <w:bCs/>
          <w:color w:val="00799E"/>
          <w:sz w:val="28"/>
          <w:szCs w:val="28"/>
          <w:u w:val="single"/>
          <w:shd w:val="clear" w:color="auto" w:fill="FFFFFF"/>
        </w:rPr>
        <w:t>https://www.routledge.com/Working-With/book-series/SMWW</w:t>
      </w:r>
    </w:p>
    <w:p w14:paraId="3A47EB24" w14:textId="7C83B3DD" w:rsidR="00300E94" w:rsidRPr="00030C3E" w:rsidRDefault="00B560DC" w:rsidP="00300E94">
      <w:pPr>
        <w:shd w:val="clear" w:color="auto" w:fill="FFFFFF"/>
        <w:spacing w:before="0" w:after="0" w:line="270" w:lineRule="atLeast"/>
        <w:jc w:val="left"/>
        <w:rPr>
          <w:rFonts w:cs="Arial"/>
          <w:color w:val="333333"/>
          <w:sz w:val="28"/>
          <w:szCs w:val="28"/>
        </w:rPr>
      </w:pPr>
      <w:r w:rsidRPr="00030C3E">
        <w:rPr>
          <w:rFonts w:cs="Arial"/>
          <w:sz w:val="28"/>
          <w:szCs w:val="28"/>
        </w:rPr>
        <w:t xml:space="preserve">Montgomery, H. (2011). </w:t>
      </w:r>
      <w:r w:rsidRPr="00030C3E">
        <w:rPr>
          <w:rFonts w:cs="Arial"/>
          <w:i/>
          <w:iCs/>
          <w:sz w:val="28"/>
          <w:szCs w:val="28"/>
        </w:rPr>
        <w:t>An Introduction to Childhood</w:t>
      </w:r>
      <w:r w:rsidRPr="00030C3E">
        <w:rPr>
          <w:rFonts w:cs="Arial"/>
          <w:sz w:val="28"/>
          <w:szCs w:val="28"/>
        </w:rPr>
        <w:t>. John Wiley &amp; Sons.</w:t>
      </w:r>
    </w:p>
    <w:p w14:paraId="43CA35EF" w14:textId="741496DF" w:rsidR="00B560DC" w:rsidRPr="00030C3E" w:rsidRDefault="00300E94" w:rsidP="00300E94">
      <w:pPr>
        <w:rPr>
          <w:rFonts w:cs="Arial"/>
          <w:sz w:val="28"/>
          <w:szCs w:val="28"/>
        </w:rPr>
      </w:pPr>
      <w:hyperlink r:id="rId15" w:tgtFrame="_blank" w:history="1">
        <w:r w:rsidRPr="00030C3E">
          <w:rPr>
            <w:rStyle w:val="Hyperlink"/>
            <w:rFonts w:cs="Arial"/>
            <w:b/>
            <w:bCs/>
            <w:color w:val="00799E"/>
            <w:sz w:val="28"/>
            <w:szCs w:val="28"/>
            <w:bdr w:val="none" w:sz="0" w:space="0" w:color="auto" w:frame="1"/>
            <w:shd w:val="clear" w:color="auto" w:fill="FFFFFF"/>
          </w:rPr>
          <w:t>https://anthrosource.onlinelibrary.wiley.com/doi/abs/10.1111/j.1548-1352.2011.01202.x</w:t>
        </w:r>
      </w:hyperlink>
    </w:p>
    <w:p w14:paraId="687ADDF2" w14:textId="752ECE8C" w:rsidR="00300E94" w:rsidRPr="00030C3E" w:rsidRDefault="00B560DC" w:rsidP="00300E94">
      <w:pPr>
        <w:shd w:val="clear" w:color="auto" w:fill="FFFFFF"/>
        <w:spacing w:before="0" w:after="0" w:line="270" w:lineRule="atLeast"/>
        <w:jc w:val="left"/>
        <w:rPr>
          <w:rFonts w:cs="Arial"/>
          <w:color w:val="333333"/>
          <w:sz w:val="28"/>
          <w:szCs w:val="28"/>
        </w:rPr>
      </w:pPr>
      <w:r w:rsidRPr="00030C3E">
        <w:rPr>
          <w:rFonts w:cs="Arial"/>
          <w:sz w:val="28"/>
          <w:szCs w:val="28"/>
        </w:rPr>
        <w:t xml:space="preserve">Moss, P. (2013). </w:t>
      </w:r>
      <w:r w:rsidRPr="00030C3E">
        <w:rPr>
          <w:rFonts w:cs="Arial"/>
          <w:i/>
          <w:iCs/>
          <w:sz w:val="28"/>
          <w:szCs w:val="28"/>
        </w:rPr>
        <w:t xml:space="preserve">Early childhood and compulsory education: </w:t>
      </w:r>
      <w:r w:rsidR="00D658BC" w:rsidRPr="00030C3E">
        <w:rPr>
          <w:rFonts w:cs="Arial"/>
          <w:i/>
          <w:iCs/>
          <w:sz w:val="28"/>
          <w:szCs w:val="28"/>
        </w:rPr>
        <w:t>reconceptualizing</w:t>
      </w:r>
      <w:r w:rsidRPr="00030C3E">
        <w:rPr>
          <w:rFonts w:cs="Arial"/>
          <w:i/>
          <w:iCs/>
          <w:sz w:val="28"/>
          <w:szCs w:val="28"/>
        </w:rPr>
        <w:t xml:space="preserve"> the relationship</w:t>
      </w:r>
      <w:r w:rsidRPr="00030C3E">
        <w:rPr>
          <w:rFonts w:cs="Arial"/>
          <w:sz w:val="28"/>
          <w:szCs w:val="28"/>
        </w:rPr>
        <w:t>. Milton Park, Abingdon, Oxon; New York: Routledge.</w:t>
      </w:r>
      <w:r w:rsidR="00300E94" w:rsidRPr="00030C3E">
        <w:rPr>
          <w:rFonts w:cs="Arial"/>
          <w:sz w:val="28"/>
          <w:szCs w:val="28"/>
        </w:rPr>
        <w:t xml:space="preserve"> </w:t>
      </w:r>
    </w:p>
    <w:p w14:paraId="3F83F421" w14:textId="4CA16D32" w:rsidR="00B560DC" w:rsidRPr="00030C3E" w:rsidRDefault="00300E94" w:rsidP="00300E94">
      <w:pPr>
        <w:rPr>
          <w:rFonts w:cs="Arial"/>
          <w:sz w:val="28"/>
          <w:szCs w:val="28"/>
        </w:rPr>
      </w:pPr>
      <w:hyperlink r:id="rId16" w:tgtFrame="_blank" w:history="1">
        <w:r w:rsidRPr="00030C3E">
          <w:rPr>
            <w:rStyle w:val="Hyperlink"/>
            <w:rFonts w:cs="Arial"/>
            <w:b/>
            <w:bCs/>
            <w:color w:val="00799E"/>
            <w:sz w:val="28"/>
            <w:szCs w:val="28"/>
            <w:bdr w:val="none" w:sz="0" w:space="0" w:color="auto" w:frame="1"/>
            <w:shd w:val="clear" w:color="auto" w:fill="FFFFFF"/>
          </w:rPr>
          <w:t>https://www.amazon.co.uk/Early-Childhood-Compulsory-Education-Contesting/dp/0415687748</w:t>
        </w:r>
      </w:hyperlink>
    </w:p>
    <w:p w14:paraId="04C9390B" w14:textId="7CA96DD6" w:rsidR="00300E94" w:rsidRPr="00030C3E" w:rsidRDefault="00B560DC" w:rsidP="00300E94">
      <w:pPr>
        <w:shd w:val="clear" w:color="auto" w:fill="FFFFFF"/>
        <w:spacing w:before="0" w:after="0" w:line="270" w:lineRule="atLeast"/>
        <w:jc w:val="left"/>
        <w:rPr>
          <w:rFonts w:cs="Arial"/>
          <w:color w:val="333333"/>
          <w:sz w:val="28"/>
          <w:szCs w:val="28"/>
        </w:rPr>
      </w:pPr>
      <w:r w:rsidRPr="00030C3E">
        <w:rPr>
          <w:rFonts w:cs="Arial"/>
          <w:sz w:val="28"/>
          <w:szCs w:val="28"/>
        </w:rPr>
        <w:lastRenderedPageBreak/>
        <w:t xml:space="preserve">Pinkerton, J., Canavan, J. and Dolan, P. (2006). </w:t>
      </w:r>
      <w:r w:rsidRPr="00030C3E">
        <w:rPr>
          <w:rFonts w:cs="Arial"/>
          <w:i/>
          <w:iCs/>
          <w:sz w:val="28"/>
          <w:szCs w:val="28"/>
        </w:rPr>
        <w:t>Family support as reflective practice</w:t>
      </w:r>
      <w:r w:rsidRPr="00030C3E">
        <w:rPr>
          <w:rFonts w:cs="Arial"/>
          <w:sz w:val="28"/>
          <w:szCs w:val="28"/>
        </w:rPr>
        <w:t>. London: Jessica Kingsley Publishers.</w:t>
      </w:r>
    </w:p>
    <w:p w14:paraId="44397BD1" w14:textId="369E1B6F" w:rsidR="00B560DC" w:rsidRPr="00030C3E" w:rsidRDefault="00300E94" w:rsidP="00300E94">
      <w:pPr>
        <w:rPr>
          <w:rFonts w:cs="Arial"/>
          <w:sz w:val="28"/>
          <w:szCs w:val="28"/>
        </w:rPr>
      </w:pPr>
      <w:hyperlink r:id="rId17" w:tgtFrame="_blank" w:history="1">
        <w:r w:rsidRPr="00030C3E">
          <w:rPr>
            <w:rStyle w:val="Hyperlink"/>
            <w:rFonts w:cs="Arial"/>
            <w:b/>
            <w:bCs/>
            <w:color w:val="00799E"/>
            <w:sz w:val="28"/>
            <w:szCs w:val="28"/>
            <w:bdr w:val="none" w:sz="0" w:space="0" w:color="auto" w:frame="1"/>
            <w:shd w:val="clear" w:color="auto" w:fill="FFFFFF"/>
          </w:rPr>
          <w:t>https://books.google.com/books/about/Family_Support_as_Reflective_Practice.html?id=Vu4...</w:t>
        </w:r>
      </w:hyperlink>
    </w:p>
    <w:p w14:paraId="6C4FD4FE" w14:textId="4A75777A" w:rsidR="00B560DC" w:rsidRPr="00030C3E" w:rsidRDefault="00B560DC" w:rsidP="00273194">
      <w:pPr>
        <w:jc w:val="left"/>
        <w:rPr>
          <w:rFonts w:cs="Arial"/>
          <w:sz w:val="28"/>
          <w:szCs w:val="28"/>
        </w:rPr>
      </w:pPr>
      <w:proofErr w:type="spellStart"/>
      <w:r w:rsidRPr="00030C3E">
        <w:rPr>
          <w:rFonts w:cs="Arial"/>
          <w:sz w:val="28"/>
          <w:szCs w:val="28"/>
        </w:rPr>
        <w:t>Redsell</w:t>
      </w:r>
      <w:proofErr w:type="spellEnd"/>
      <w:r w:rsidRPr="00030C3E">
        <w:rPr>
          <w:rFonts w:cs="Arial"/>
          <w:sz w:val="28"/>
          <w:szCs w:val="28"/>
        </w:rPr>
        <w:t xml:space="preserve">, S. and Hastings, A. (2016). Listening to Children and Young People in Healthcare Consultations. </w:t>
      </w:r>
      <w:r w:rsidRPr="00030C3E">
        <w:rPr>
          <w:rFonts w:cs="Arial"/>
          <w:i/>
          <w:iCs/>
          <w:sz w:val="28"/>
          <w:szCs w:val="28"/>
        </w:rPr>
        <w:t>Boca Raton: CRC Press</w:t>
      </w:r>
      <w:r w:rsidRPr="00030C3E">
        <w:rPr>
          <w:rFonts w:cs="Arial"/>
          <w:sz w:val="28"/>
          <w:szCs w:val="28"/>
        </w:rPr>
        <w:t>.</w:t>
      </w:r>
      <w:r w:rsidR="00273194" w:rsidRPr="00030C3E">
        <w:rPr>
          <w:rFonts w:cs="Arial"/>
          <w:sz w:val="28"/>
          <w:szCs w:val="28"/>
        </w:rPr>
        <w:t xml:space="preserve"> </w:t>
      </w:r>
      <w:r w:rsidR="00273194" w:rsidRPr="00030C3E">
        <w:rPr>
          <w:rFonts w:cs="Arial"/>
          <w:sz w:val="28"/>
          <w:szCs w:val="28"/>
        </w:rPr>
        <w:br/>
      </w:r>
      <w:r w:rsidR="00273194" w:rsidRPr="00030C3E">
        <w:rPr>
          <w:rFonts w:cs="Arial"/>
          <w:b/>
          <w:bCs/>
          <w:color w:val="00799E"/>
          <w:sz w:val="28"/>
          <w:szCs w:val="28"/>
          <w:u w:val="single"/>
          <w:shd w:val="clear" w:color="auto" w:fill="FFFFFF"/>
        </w:rPr>
        <w:t>https://www.taylorfrancis.com/books/edit/10.1201/b21784/listening-children-young...</w:t>
      </w:r>
    </w:p>
    <w:p w14:paraId="4DAB0CD5" w14:textId="0906A0F5" w:rsidR="00B560DC" w:rsidRPr="00030C3E" w:rsidRDefault="00B560DC" w:rsidP="00273194">
      <w:pPr>
        <w:jc w:val="left"/>
        <w:rPr>
          <w:rFonts w:cs="Arial"/>
          <w:sz w:val="28"/>
          <w:szCs w:val="28"/>
        </w:rPr>
      </w:pPr>
      <w:r w:rsidRPr="00030C3E">
        <w:rPr>
          <w:rFonts w:cs="Arial"/>
          <w:sz w:val="28"/>
          <w:szCs w:val="28"/>
        </w:rPr>
        <w:t xml:space="preserve">Reiss, D. (1981). The Family’s Construction of Reality. </w:t>
      </w:r>
      <w:r w:rsidRPr="00030C3E">
        <w:rPr>
          <w:rFonts w:cs="Arial"/>
          <w:i/>
          <w:iCs/>
          <w:sz w:val="28"/>
          <w:szCs w:val="28"/>
        </w:rPr>
        <w:t>Harvard University Press</w:t>
      </w:r>
      <w:r w:rsidRPr="00030C3E">
        <w:rPr>
          <w:rFonts w:cs="Arial"/>
          <w:sz w:val="28"/>
          <w:szCs w:val="28"/>
        </w:rPr>
        <w:t>.</w:t>
      </w:r>
      <w:r w:rsidR="00273194" w:rsidRPr="00030C3E">
        <w:rPr>
          <w:rFonts w:cs="Arial"/>
          <w:sz w:val="28"/>
          <w:szCs w:val="28"/>
        </w:rPr>
        <w:t xml:space="preserve"> </w:t>
      </w:r>
      <w:r w:rsidR="00273194" w:rsidRPr="00030C3E">
        <w:rPr>
          <w:rFonts w:cs="Arial"/>
          <w:sz w:val="28"/>
          <w:szCs w:val="28"/>
        </w:rPr>
        <w:br/>
      </w:r>
      <w:r w:rsidR="00273194" w:rsidRPr="00030C3E">
        <w:rPr>
          <w:rFonts w:cs="Arial"/>
          <w:b/>
          <w:bCs/>
          <w:color w:val="00799E"/>
          <w:sz w:val="28"/>
          <w:szCs w:val="28"/>
          <w:u w:val="single"/>
          <w:shd w:val="clear" w:color="auto" w:fill="FFFFFF"/>
        </w:rPr>
        <w:t>https://books.google.com/books/about/The_Family_s_Construction_of_Reality.html?id=...</w:t>
      </w:r>
    </w:p>
    <w:p w14:paraId="4189EB29" w14:textId="5243F710" w:rsidR="00273194" w:rsidRPr="00030C3E" w:rsidRDefault="00B560DC" w:rsidP="00273194">
      <w:pPr>
        <w:shd w:val="clear" w:color="auto" w:fill="FFFFFF"/>
        <w:spacing w:before="0" w:after="0" w:line="270" w:lineRule="atLeast"/>
        <w:jc w:val="left"/>
        <w:rPr>
          <w:rFonts w:cs="Arial"/>
          <w:color w:val="333333"/>
          <w:sz w:val="28"/>
          <w:szCs w:val="28"/>
        </w:rPr>
      </w:pPr>
      <w:r w:rsidRPr="00030C3E">
        <w:rPr>
          <w:rFonts w:cs="Arial"/>
          <w:sz w:val="28"/>
          <w:szCs w:val="28"/>
        </w:rPr>
        <w:t xml:space="preserve">Rogers, </w:t>
      </w:r>
      <w:r w:rsidR="00273194" w:rsidRPr="00030C3E">
        <w:rPr>
          <w:rFonts w:cs="Arial"/>
          <w:sz w:val="28"/>
          <w:szCs w:val="28"/>
        </w:rPr>
        <w:t>C.D.,</w:t>
      </w:r>
      <w:r w:rsidRPr="00030C3E">
        <w:rPr>
          <w:rFonts w:cs="Arial"/>
          <w:sz w:val="28"/>
          <w:szCs w:val="28"/>
        </w:rPr>
        <w:t xml:space="preserve"> and Smith, J.H. (1991). Local Family History in England. </w:t>
      </w:r>
      <w:r w:rsidRPr="00030C3E">
        <w:rPr>
          <w:rFonts w:cs="Arial"/>
          <w:i/>
          <w:iCs/>
          <w:sz w:val="28"/>
          <w:szCs w:val="28"/>
        </w:rPr>
        <w:t>Manchester University Press</w:t>
      </w:r>
      <w:r w:rsidRPr="00030C3E">
        <w:rPr>
          <w:rFonts w:cs="Arial"/>
          <w:sz w:val="28"/>
          <w:szCs w:val="28"/>
        </w:rPr>
        <w:t>.</w:t>
      </w:r>
    </w:p>
    <w:p w14:paraId="36182B42" w14:textId="630F5C15" w:rsidR="00B560DC" w:rsidRPr="00030C3E" w:rsidRDefault="00273194" w:rsidP="00273194">
      <w:pPr>
        <w:rPr>
          <w:rFonts w:cs="Arial"/>
          <w:sz w:val="28"/>
          <w:szCs w:val="28"/>
        </w:rPr>
      </w:pPr>
      <w:hyperlink r:id="rId18" w:tgtFrame="_blank" w:history="1">
        <w:r w:rsidRPr="00030C3E">
          <w:rPr>
            <w:rStyle w:val="Hyperlink"/>
            <w:rFonts w:cs="Arial"/>
            <w:b/>
            <w:bCs/>
            <w:color w:val="00799E"/>
            <w:sz w:val="28"/>
            <w:szCs w:val="28"/>
            <w:bdr w:val="none" w:sz="0" w:space="0" w:color="auto" w:frame="1"/>
            <w:shd w:val="clear" w:color="auto" w:fill="FFFFFF"/>
          </w:rPr>
          <w:t>https://www.amazon.co.uk/Local-Family-History-England-Rogers/dp/0719032016</w:t>
        </w:r>
      </w:hyperlink>
    </w:p>
    <w:p w14:paraId="6262A2DC" w14:textId="435D6CB8" w:rsidR="00A66C2A" w:rsidRPr="00030C3E" w:rsidRDefault="00B560DC" w:rsidP="00A66C2A">
      <w:pPr>
        <w:shd w:val="clear" w:color="auto" w:fill="FFFFFF"/>
        <w:spacing w:before="0" w:after="0" w:line="270" w:lineRule="atLeast"/>
        <w:jc w:val="left"/>
        <w:rPr>
          <w:rFonts w:cs="Arial"/>
          <w:color w:val="333333"/>
          <w:sz w:val="28"/>
          <w:szCs w:val="28"/>
        </w:rPr>
      </w:pPr>
      <w:r w:rsidRPr="00030C3E">
        <w:rPr>
          <w:rFonts w:cs="Arial"/>
          <w:sz w:val="28"/>
          <w:szCs w:val="28"/>
        </w:rPr>
        <w:t xml:space="preserve">Saracho, O.N. (2021). </w:t>
      </w:r>
      <w:r w:rsidRPr="00030C3E">
        <w:rPr>
          <w:rFonts w:cs="Arial"/>
          <w:i/>
          <w:iCs/>
          <w:sz w:val="28"/>
          <w:szCs w:val="28"/>
        </w:rPr>
        <w:t xml:space="preserve">Contemporary perspectives on research on </w:t>
      </w:r>
      <w:r w:rsidR="00D658BC" w:rsidRPr="00030C3E">
        <w:rPr>
          <w:rFonts w:cs="Arial"/>
          <w:i/>
          <w:iCs/>
          <w:sz w:val="28"/>
          <w:szCs w:val="28"/>
        </w:rPr>
        <w:t>childcare</w:t>
      </w:r>
      <w:r w:rsidRPr="00030C3E">
        <w:rPr>
          <w:rFonts w:cs="Arial"/>
          <w:i/>
          <w:iCs/>
          <w:sz w:val="28"/>
          <w:szCs w:val="28"/>
        </w:rPr>
        <w:t xml:space="preserve"> in early childhood education</w:t>
      </w:r>
      <w:r w:rsidRPr="00030C3E">
        <w:rPr>
          <w:rFonts w:cs="Arial"/>
          <w:sz w:val="28"/>
          <w:szCs w:val="28"/>
        </w:rPr>
        <w:t>. Charlotte, NC: INFORMATION AGE PUBLISHING, INC.</w:t>
      </w:r>
    </w:p>
    <w:p w14:paraId="584061AF" w14:textId="7D0EB7BF" w:rsidR="00B560DC" w:rsidRPr="00030C3E" w:rsidRDefault="00A66C2A" w:rsidP="00A66C2A">
      <w:pPr>
        <w:rPr>
          <w:rFonts w:cs="Arial"/>
          <w:sz w:val="28"/>
          <w:szCs w:val="28"/>
        </w:rPr>
      </w:pPr>
      <w:hyperlink r:id="rId19" w:tgtFrame="_blank" w:history="1">
        <w:r w:rsidRPr="00030C3E">
          <w:rPr>
            <w:rStyle w:val="Hyperlink"/>
            <w:rFonts w:cs="Arial"/>
            <w:b/>
            <w:bCs/>
            <w:color w:val="00799E"/>
            <w:sz w:val="28"/>
            <w:szCs w:val="28"/>
            <w:bdr w:val="none" w:sz="0" w:space="0" w:color="auto" w:frame="1"/>
            <w:shd w:val="clear" w:color="auto" w:fill="FFFFFF"/>
          </w:rPr>
          <w:t>https://www.infoagepub.com/products/Contemporary-Perspectives-on-Research-on-Child...</w:t>
        </w:r>
      </w:hyperlink>
    </w:p>
    <w:p w14:paraId="0311CF55" w14:textId="4E260060" w:rsidR="00A66C2A" w:rsidRPr="00030C3E" w:rsidRDefault="00B560DC" w:rsidP="00A66C2A">
      <w:pPr>
        <w:shd w:val="clear" w:color="auto" w:fill="FFFFFF"/>
        <w:spacing w:before="0" w:after="0" w:line="270" w:lineRule="atLeast"/>
        <w:jc w:val="left"/>
        <w:rPr>
          <w:rFonts w:cs="Arial"/>
          <w:color w:val="333333"/>
          <w:sz w:val="28"/>
          <w:szCs w:val="28"/>
        </w:rPr>
      </w:pPr>
      <w:r w:rsidRPr="00030C3E">
        <w:rPr>
          <w:rFonts w:cs="Arial"/>
          <w:sz w:val="28"/>
          <w:szCs w:val="28"/>
        </w:rPr>
        <w:t xml:space="preserve">Scott, J. and Ward, H. (2005). Safeguarding and Promoting the Well-being of Children, Families and Communities. </w:t>
      </w:r>
      <w:r w:rsidRPr="00030C3E">
        <w:rPr>
          <w:rFonts w:cs="Arial"/>
          <w:i/>
          <w:iCs/>
          <w:sz w:val="28"/>
          <w:szCs w:val="28"/>
        </w:rPr>
        <w:t xml:space="preserve">London Jessica Kingsley Publishers Ann Arbor, Michigan </w:t>
      </w:r>
      <w:r w:rsidR="00A66C2A" w:rsidRPr="00030C3E">
        <w:rPr>
          <w:rFonts w:cs="Arial"/>
          <w:i/>
          <w:iCs/>
          <w:sz w:val="28"/>
          <w:szCs w:val="28"/>
        </w:rPr>
        <w:t>ProQuest</w:t>
      </w:r>
      <w:r w:rsidRPr="00030C3E">
        <w:rPr>
          <w:rFonts w:cs="Arial"/>
          <w:sz w:val="28"/>
          <w:szCs w:val="28"/>
        </w:rPr>
        <w:t>.</w:t>
      </w:r>
    </w:p>
    <w:p w14:paraId="38F06731" w14:textId="5D4BA3F4" w:rsidR="00B560DC" w:rsidRPr="00030C3E" w:rsidRDefault="00A66C2A" w:rsidP="00A66C2A">
      <w:pPr>
        <w:rPr>
          <w:rFonts w:cs="Arial"/>
          <w:sz w:val="28"/>
          <w:szCs w:val="28"/>
        </w:rPr>
      </w:pPr>
      <w:hyperlink r:id="rId20" w:tgtFrame="_blank" w:history="1">
        <w:r w:rsidRPr="00030C3E">
          <w:rPr>
            <w:rStyle w:val="Hyperlink"/>
            <w:rFonts w:cs="Arial"/>
            <w:b/>
            <w:bCs/>
            <w:color w:val="00799E"/>
            <w:sz w:val="28"/>
            <w:szCs w:val="28"/>
            <w:bdr w:val="none" w:sz="0" w:space="0" w:color="auto" w:frame="1"/>
            <w:shd w:val="clear" w:color="auto" w:fill="FFFFFF"/>
          </w:rPr>
          <w:t>https://www.cambridge.org/core/services/aop-cambridge-core/content/view...</w:t>
        </w:r>
      </w:hyperlink>
    </w:p>
    <w:p w14:paraId="06BD9B03" w14:textId="3B178CA3" w:rsidR="00A66C2A" w:rsidRPr="00030C3E" w:rsidRDefault="00B560DC" w:rsidP="00A66C2A">
      <w:pPr>
        <w:shd w:val="clear" w:color="auto" w:fill="FFFFFF"/>
        <w:spacing w:before="0" w:after="0" w:line="270" w:lineRule="atLeast"/>
        <w:jc w:val="left"/>
        <w:rPr>
          <w:rFonts w:cs="Arial"/>
          <w:color w:val="333333"/>
          <w:sz w:val="28"/>
          <w:szCs w:val="28"/>
        </w:rPr>
      </w:pPr>
      <w:r w:rsidRPr="00030C3E">
        <w:rPr>
          <w:rFonts w:cs="Arial"/>
          <w:sz w:val="28"/>
          <w:szCs w:val="28"/>
        </w:rPr>
        <w:lastRenderedPageBreak/>
        <w:t xml:space="preserve">Shapiro, C.J. and Browne, C.H. (2016). Innovative Approaches to Supporting Families of Young Children. </w:t>
      </w:r>
      <w:r w:rsidRPr="00030C3E">
        <w:rPr>
          <w:rFonts w:cs="Arial"/>
          <w:i/>
          <w:iCs/>
          <w:sz w:val="28"/>
          <w:szCs w:val="28"/>
        </w:rPr>
        <w:t>Cham Springer International Publishing</w:t>
      </w:r>
      <w:r w:rsidRPr="00030C3E">
        <w:rPr>
          <w:rFonts w:cs="Arial"/>
          <w:sz w:val="28"/>
          <w:szCs w:val="28"/>
        </w:rPr>
        <w:t>.</w:t>
      </w:r>
    </w:p>
    <w:p w14:paraId="79B39CDD" w14:textId="32F0733E" w:rsidR="00B560DC" w:rsidRPr="00030C3E" w:rsidRDefault="00A66C2A" w:rsidP="00A66C2A">
      <w:pPr>
        <w:rPr>
          <w:rFonts w:cs="Arial"/>
          <w:sz w:val="28"/>
          <w:szCs w:val="28"/>
        </w:rPr>
      </w:pPr>
      <w:hyperlink r:id="rId21" w:tgtFrame="_blank" w:history="1">
        <w:r w:rsidRPr="00030C3E">
          <w:rPr>
            <w:rStyle w:val="Hyperlink"/>
            <w:rFonts w:cs="Arial"/>
            <w:b/>
            <w:bCs/>
            <w:color w:val="00799E"/>
            <w:sz w:val="28"/>
            <w:szCs w:val="28"/>
            <w:bdr w:val="none" w:sz="0" w:space="0" w:color="auto" w:frame="1"/>
            <w:shd w:val="clear" w:color="auto" w:fill="FFFFFF"/>
          </w:rPr>
          <w:t>https://psycnet.apa.org/record/2016-43804-001</w:t>
        </w:r>
      </w:hyperlink>
    </w:p>
    <w:p w14:paraId="7A95B0DC" w14:textId="17AEAC58" w:rsidR="00B560DC" w:rsidRPr="00030C3E" w:rsidRDefault="00B560DC" w:rsidP="001068A5">
      <w:pPr>
        <w:jc w:val="left"/>
        <w:rPr>
          <w:rFonts w:cs="Arial"/>
          <w:sz w:val="28"/>
          <w:szCs w:val="28"/>
        </w:rPr>
      </w:pPr>
      <w:r w:rsidRPr="00030C3E">
        <w:rPr>
          <w:rFonts w:cs="Arial"/>
          <w:sz w:val="28"/>
          <w:szCs w:val="28"/>
        </w:rPr>
        <w:t xml:space="preserve">Shonkoff, J.P. and Meisels, S.J. (2000). Handbook of Early Childhood Intervention. </w:t>
      </w:r>
      <w:r w:rsidRPr="00030C3E">
        <w:rPr>
          <w:rFonts w:cs="Arial"/>
          <w:i/>
          <w:iCs/>
          <w:sz w:val="28"/>
          <w:szCs w:val="28"/>
        </w:rPr>
        <w:t>Cambridge University Press</w:t>
      </w:r>
      <w:r w:rsidRPr="00030C3E">
        <w:rPr>
          <w:rFonts w:cs="Arial"/>
          <w:sz w:val="28"/>
          <w:szCs w:val="28"/>
        </w:rPr>
        <w:t>.</w:t>
      </w:r>
      <w:r w:rsidR="001068A5" w:rsidRPr="00030C3E">
        <w:rPr>
          <w:rFonts w:cs="Arial"/>
          <w:sz w:val="28"/>
          <w:szCs w:val="28"/>
        </w:rPr>
        <w:t xml:space="preserve"> </w:t>
      </w:r>
      <w:r w:rsidR="001068A5" w:rsidRPr="00030C3E">
        <w:rPr>
          <w:rFonts w:cs="Arial"/>
          <w:sz w:val="28"/>
          <w:szCs w:val="28"/>
        </w:rPr>
        <w:br/>
      </w:r>
      <w:r w:rsidR="001068A5" w:rsidRPr="00030C3E">
        <w:rPr>
          <w:rFonts w:cs="Arial"/>
          <w:b/>
          <w:bCs/>
          <w:color w:val="00799E"/>
          <w:sz w:val="28"/>
          <w:szCs w:val="28"/>
          <w:shd w:val="clear" w:color="auto" w:fill="FFFFFF"/>
        </w:rPr>
        <w:t>https://psycnet.apa.org/record/2001-06693-000</w:t>
      </w:r>
    </w:p>
    <w:p w14:paraId="5BAEDB63" w14:textId="0D7FD63C" w:rsidR="00B560DC" w:rsidRPr="00030C3E" w:rsidRDefault="00B560DC" w:rsidP="001068A5">
      <w:pPr>
        <w:jc w:val="left"/>
        <w:rPr>
          <w:rFonts w:cs="Arial"/>
          <w:sz w:val="28"/>
          <w:szCs w:val="28"/>
        </w:rPr>
      </w:pPr>
      <w:r w:rsidRPr="00030C3E">
        <w:rPr>
          <w:rFonts w:cs="Arial"/>
          <w:sz w:val="28"/>
          <w:szCs w:val="28"/>
        </w:rPr>
        <w:t xml:space="preserve">Starns, B. and Flynn, H. (2004). </w:t>
      </w:r>
      <w:r w:rsidRPr="00030C3E">
        <w:rPr>
          <w:rFonts w:cs="Arial"/>
          <w:i/>
          <w:iCs/>
          <w:sz w:val="28"/>
          <w:szCs w:val="28"/>
        </w:rPr>
        <w:t>Child protection</w:t>
      </w:r>
      <w:r w:rsidRPr="00030C3E">
        <w:rPr>
          <w:rFonts w:cs="Arial"/>
          <w:sz w:val="28"/>
          <w:szCs w:val="28"/>
        </w:rPr>
        <w:t>. London: Heinemann.</w:t>
      </w:r>
      <w:r w:rsidR="001068A5" w:rsidRPr="00030C3E">
        <w:rPr>
          <w:rFonts w:cs="Arial"/>
          <w:sz w:val="28"/>
          <w:szCs w:val="28"/>
        </w:rPr>
        <w:t xml:space="preserve"> </w:t>
      </w:r>
      <w:r w:rsidR="001068A5" w:rsidRPr="00030C3E">
        <w:rPr>
          <w:rFonts w:cs="Arial"/>
          <w:sz w:val="28"/>
          <w:szCs w:val="28"/>
        </w:rPr>
        <w:br/>
      </w:r>
      <w:r w:rsidR="001068A5" w:rsidRPr="00030C3E">
        <w:rPr>
          <w:rFonts w:cs="Arial"/>
          <w:b/>
          <w:bCs/>
          <w:color w:val="00799E"/>
          <w:sz w:val="28"/>
          <w:szCs w:val="28"/>
          <w:u w:val="single"/>
          <w:shd w:val="clear" w:color="auto" w:fill="FFFFFF"/>
        </w:rPr>
        <w:t>https://books.google.com/books/about/Protecting_Children.html?id=qLhfFNjzaTwC</w:t>
      </w:r>
    </w:p>
    <w:p w14:paraId="5E233B5B" w14:textId="7DF07034" w:rsidR="00B560DC" w:rsidRPr="00030C3E" w:rsidRDefault="00B560DC" w:rsidP="001068A5">
      <w:pPr>
        <w:jc w:val="left"/>
        <w:rPr>
          <w:rFonts w:cs="Arial"/>
          <w:sz w:val="28"/>
          <w:szCs w:val="28"/>
        </w:rPr>
      </w:pPr>
      <w:r w:rsidRPr="00030C3E">
        <w:rPr>
          <w:rFonts w:cs="Arial"/>
          <w:sz w:val="28"/>
          <w:szCs w:val="28"/>
        </w:rPr>
        <w:t xml:space="preserve">Stewart, M.J. (2021). Supporting Children and Their Families Facing Health Inequities in Canada. </w:t>
      </w:r>
      <w:r w:rsidRPr="00030C3E">
        <w:rPr>
          <w:rFonts w:cs="Arial"/>
          <w:i/>
          <w:iCs/>
          <w:sz w:val="28"/>
          <w:szCs w:val="28"/>
        </w:rPr>
        <w:t>University of Toronto Press</w:t>
      </w:r>
      <w:r w:rsidRPr="00030C3E">
        <w:rPr>
          <w:rFonts w:cs="Arial"/>
          <w:sz w:val="28"/>
          <w:szCs w:val="28"/>
        </w:rPr>
        <w:t>.</w:t>
      </w:r>
      <w:r w:rsidR="001068A5" w:rsidRPr="00030C3E">
        <w:rPr>
          <w:rFonts w:cs="Arial"/>
          <w:sz w:val="28"/>
          <w:szCs w:val="28"/>
        </w:rPr>
        <w:t xml:space="preserve"> </w:t>
      </w:r>
      <w:r w:rsidR="001068A5" w:rsidRPr="00030C3E">
        <w:rPr>
          <w:rFonts w:cs="Arial"/>
          <w:sz w:val="28"/>
          <w:szCs w:val="28"/>
        </w:rPr>
        <w:br/>
      </w:r>
      <w:r w:rsidR="001068A5" w:rsidRPr="00030C3E">
        <w:rPr>
          <w:rFonts w:cs="Arial"/>
          <w:b/>
          <w:bCs/>
          <w:color w:val="00799E"/>
          <w:sz w:val="28"/>
          <w:szCs w:val="28"/>
          <w:shd w:val="clear" w:color="auto" w:fill="FFFFFF"/>
        </w:rPr>
        <w:t>https://www.iberlibro.com/9781487524074/Supporting-Children-Families-Facing-Health...</w:t>
      </w:r>
    </w:p>
    <w:p w14:paraId="7409953C" w14:textId="603D91A0" w:rsidR="001068A5" w:rsidRPr="00030C3E" w:rsidRDefault="00B560DC" w:rsidP="001068A5">
      <w:pPr>
        <w:shd w:val="clear" w:color="auto" w:fill="FFFFFF"/>
        <w:spacing w:before="0" w:after="0" w:line="270" w:lineRule="atLeast"/>
        <w:jc w:val="left"/>
        <w:rPr>
          <w:rFonts w:cs="Arial"/>
          <w:color w:val="333333"/>
          <w:sz w:val="28"/>
          <w:szCs w:val="28"/>
        </w:rPr>
      </w:pPr>
      <w:r w:rsidRPr="00030C3E">
        <w:rPr>
          <w:rFonts w:cs="Arial"/>
          <w:sz w:val="28"/>
          <w:szCs w:val="28"/>
        </w:rPr>
        <w:t xml:space="preserve">Tisdall, K.M. (2008). </w:t>
      </w:r>
      <w:r w:rsidRPr="00030C3E">
        <w:rPr>
          <w:rFonts w:cs="Arial"/>
          <w:i/>
          <w:iCs/>
          <w:sz w:val="28"/>
          <w:szCs w:val="28"/>
        </w:rPr>
        <w:t xml:space="preserve">Children, young </w:t>
      </w:r>
      <w:r w:rsidR="00D658BC" w:rsidRPr="00030C3E">
        <w:rPr>
          <w:rFonts w:cs="Arial"/>
          <w:i/>
          <w:iCs/>
          <w:sz w:val="28"/>
          <w:szCs w:val="28"/>
        </w:rPr>
        <w:t>people,</w:t>
      </w:r>
      <w:r w:rsidRPr="00030C3E">
        <w:rPr>
          <w:rFonts w:cs="Arial"/>
          <w:i/>
          <w:iCs/>
          <w:sz w:val="28"/>
          <w:szCs w:val="28"/>
        </w:rPr>
        <w:t xml:space="preserve"> and social inclusion: participation for what? Bristol: The Policy Press</w:t>
      </w:r>
      <w:r w:rsidRPr="00030C3E">
        <w:rPr>
          <w:rFonts w:cs="Arial"/>
          <w:sz w:val="28"/>
          <w:szCs w:val="28"/>
        </w:rPr>
        <w:t>.</w:t>
      </w:r>
    </w:p>
    <w:p w14:paraId="08A8FC76" w14:textId="2EAF085F" w:rsidR="00B560DC" w:rsidRPr="00030C3E" w:rsidRDefault="001068A5" w:rsidP="001068A5">
      <w:pPr>
        <w:rPr>
          <w:rFonts w:cs="Arial"/>
          <w:sz w:val="28"/>
          <w:szCs w:val="28"/>
        </w:rPr>
      </w:pPr>
      <w:hyperlink r:id="rId22" w:tgtFrame="_blank" w:history="1">
        <w:r w:rsidRPr="00030C3E">
          <w:rPr>
            <w:rStyle w:val="Hyperlink"/>
            <w:rFonts w:cs="Arial"/>
            <w:b/>
            <w:bCs/>
            <w:color w:val="00799E"/>
            <w:sz w:val="28"/>
            <w:szCs w:val="28"/>
            <w:bdr w:val="none" w:sz="0" w:space="0" w:color="auto" w:frame="1"/>
            <w:shd w:val="clear" w:color="auto" w:fill="FFFFFF"/>
          </w:rPr>
          <w:t>https://journals.sagepub.com/doi/10.1177/0907568207088425</w:t>
        </w:r>
      </w:hyperlink>
    </w:p>
    <w:p w14:paraId="0CA42EB0" w14:textId="77777777" w:rsidR="00CF2B8F" w:rsidRPr="00CF2B8F" w:rsidRDefault="00CF2B8F" w:rsidP="0047375E"/>
    <w:sectPr w:rsidR="00CF2B8F" w:rsidRPr="00CF2B8F" w:rsidSect="00E9092E">
      <w:footerReference w:type="default" r:id="rId2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EA85A" w14:textId="77777777" w:rsidR="00EF3DB1" w:rsidRDefault="00EF3DB1" w:rsidP="00A05EDA">
      <w:pPr>
        <w:spacing w:before="0" w:after="0" w:line="240" w:lineRule="auto"/>
      </w:pPr>
      <w:r>
        <w:separator/>
      </w:r>
    </w:p>
  </w:endnote>
  <w:endnote w:type="continuationSeparator" w:id="0">
    <w:p w14:paraId="469FEE42" w14:textId="77777777" w:rsidR="00EF3DB1" w:rsidRDefault="00EF3DB1" w:rsidP="00A05ED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A36A2" w14:textId="0F8D1742" w:rsidR="00A05EDA" w:rsidRDefault="00A05EDA">
    <w:pPr>
      <w:pStyle w:val="Footer"/>
      <w:jc w:val="right"/>
    </w:pPr>
  </w:p>
  <w:p w14:paraId="39158DFC" w14:textId="77777777" w:rsidR="00A05EDA" w:rsidRDefault="00A05E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1304384"/>
      <w:docPartObj>
        <w:docPartGallery w:val="Page Numbers (Bottom of Page)"/>
        <w:docPartUnique/>
      </w:docPartObj>
    </w:sdtPr>
    <w:sdtEndPr>
      <w:rPr>
        <w:noProof/>
      </w:rPr>
    </w:sdtEndPr>
    <w:sdtContent>
      <w:p w14:paraId="7C3EE155" w14:textId="1EAB411A" w:rsidR="00E9092E" w:rsidRDefault="00E909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8A452C" w14:textId="77777777" w:rsidR="00E9092E" w:rsidRDefault="00E909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3D8BC" w14:textId="77777777" w:rsidR="00EF3DB1" w:rsidRDefault="00EF3DB1" w:rsidP="00A05EDA">
      <w:pPr>
        <w:spacing w:before="0" w:after="0" w:line="240" w:lineRule="auto"/>
      </w:pPr>
      <w:r>
        <w:separator/>
      </w:r>
    </w:p>
  </w:footnote>
  <w:footnote w:type="continuationSeparator" w:id="0">
    <w:p w14:paraId="5FFC8498" w14:textId="77777777" w:rsidR="00EF3DB1" w:rsidRDefault="00EF3DB1" w:rsidP="00A05EDA">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77"/>
    <w:rsid w:val="00030C3E"/>
    <w:rsid w:val="00085E50"/>
    <w:rsid w:val="000E3FC8"/>
    <w:rsid w:val="00104DA4"/>
    <w:rsid w:val="001068A5"/>
    <w:rsid w:val="00132B4C"/>
    <w:rsid w:val="00140002"/>
    <w:rsid w:val="00273194"/>
    <w:rsid w:val="002A2021"/>
    <w:rsid w:val="00300E94"/>
    <w:rsid w:val="003169D3"/>
    <w:rsid w:val="00343275"/>
    <w:rsid w:val="004368EC"/>
    <w:rsid w:val="00461B77"/>
    <w:rsid w:val="0047375E"/>
    <w:rsid w:val="004F6418"/>
    <w:rsid w:val="00535E61"/>
    <w:rsid w:val="0056228E"/>
    <w:rsid w:val="005978D3"/>
    <w:rsid w:val="005D2E3A"/>
    <w:rsid w:val="00630570"/>
    <w:rsid w:val="006417BB"/>
    <w:rsid w:val="00654D3B"/>
    <w:rsid w:val="006A6145"/>
    <w:rsid w:val="00792A40"/>
    <w:rsid w:val="008010EC"/>
    <w:rsid w:val="0087351D"/>
    <w:rsid w:val="008D122F"/>
    <w:rsid w:val="008E25FE"/>
    <w:rsid w:val="00940A2B"/>
    <w:rsid w:val="00965B64"/>
    <w:rsid w:val="00983972"/>
    <w:rsid w:val="009C7ABB"/>
    <w:rsid w:val="00A05EDA"/>
    <w:rsid w:val="00A06589"/>
    <w:rsid w:val="00A106F1"/>
    <w:rsid w:val="00A17A74"/>
    <w:rsid w:val="00A66C2A"/>
    <w:rsid w:val="00A77003"/>
    <w:rsid w:val="00AD722E"/>
    <w:rsid w:val="00B560DC"/>
    <w:rsid w:val="00C22833"/>
    <w:rsid w:val="00C43CE7"/>
    <w:rsid w:val="00C959CA"/>
    <w:rsid w:val="00CB2967"/>
    <w:rsid w:val="00CF2B8F"/>
    <w:rsid w:val="00CF3D3E"/>
    <w:rsid w:val="00CF473F"/>
    <w:rsid w:val="00D658BC"/>
    <w:rsid w:val="00D91EBB"/>
    <w:rsid w:val="00E0021C"/>
    <w:rsid w:val="00E02B8E"/>
    <w:rsid w:val="00E164B3"/>
    <w:rsid w:val="00E17364"/>
    <w:rsid w:val="00E3502D"/>
    <w:rsid w:val="00E50DEE"/>
    <w:rsid w:val="00E9092E"/>
    <w:rsid w:val="00EE4D83"/>
    <w:rsid w:val="00EF3DB1"/>
    <w:rsid w:val="00F23A0F"/>
    <w:rsid w:val="00F57364"/>
    <w:rsid w:val="00FD1F07"/>
    <w:rsid w:val="00FE16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9D47C"/>
  <w15:chartTrackingRefBased/>
  <w15:docId w15:val="{63A034AB-78AF-4B8E-8577-C6DF8D0E9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5EDA"/>
    <w:pPr>
      <w:spacing w:before="240" w:after="120" w:line="360" w:lineRule="auto"/>
      <w:jc w:val="both"/>
    </w:pPr>
    <w:rPr>
      <w:rFonts w:ascii="Arial" w:hAnsi="Arial"/>
    </w:rPr>
  </w:style>
  <w:style w:type="paragraph" w:styleId="Heading1">
    <w:name w:val="heading 1"/>
    <w:basedOn w:val="Normal"/>
    <w:next w:val="Normal"/>
    <w:link w:val="Heading1Char"/>
    <w:uiPriority w:val="9"/>
    <w:qFormat/>
    <w:rsid w:val="00654D3B"/>
    <w:pPr>
      <w:keepNext/>
      <w:keepLines/>
      <w:spacing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4D3B"/>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A05EDA"/>
    <w:pPr>
      <w:spacing w:line="259" w:lineRule="auto"/>
      <w:jc w:val="left"/>
      <w:outlineLvl w:val="9"/>
    </w:pPr>
    <w:rPr>
      <w:rFonts w:asciiTheme="majorHAnsi" w:hAnsiTheme="majorHAnsi"/>
      <w:b w:val="0"/>
      <w:color w:val="365F91" w:themeColor="accent1" w:themeShade="BF"/>
      <w:kern w:val="0"/>
      <w14:ligatures w14:val="none"/>
    </w:rPr>
  </w:style>
  <w:style w:type="paragraph" w:styleId="TOC1">
    <w:name w:val="toc 1"/>
    <w:basedOn w:val="Normal"/>
    <w:next w:val="Normal"/>
    <w:autoRedefine/>
    <w:uiPriority w:val="39"/>
    <w:unhideWhenUsed/>
    <w:rsid w:val="00A05EDA"/>
    <w:pPr>
      <w:spacing w:after="100"/>
    </w:pPr>
  </w:style>
  <w:style w:type="character" w:styleId="Hyperlink">
    <w:name w:val="Hyperlink"/>
    <w:basedOn w:val="DefaultParagraphFont"/>
    <w:uiPriority w:val="99"/>
    <w:unhideWhenUsed/>
    <w:rsid w:val="00A05EDA"/>
    <w:rPr>
      <w:color w:val="0000FF" w:themeColor="hyperlink"/>
      <w:u w:val="single"/>
    </w:rPr>
  </w:style>
  <w:style w:type="paragraph" w:styleId="Header">
    <w:name w:val="header"/>
    <w:basedOn w:val="Normal"/>
    <w:link w:val="HeaderChar"/>
    <w:uiPriority w:val="99"/>
    <w:unhideWhenUsed/>
    <w:rsid w:val="00A05ED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05EDA"/>
    <w:rPr>
      <w:rFonts w:ascii="Times New Roman" w:hAnsi="Times New Roman"/>
      <w:sz w:val="24"/>
    </w:rPr>
  </w:style>
  <w:style w:type="paragraph" w:styleId="Footer">
    <w:name w:val="footer"/>
    <w:basedOn w:val="Normal"/>
    <w:link w:val="FooterChar"/>
    <w:uiPriority w:val="99"/>
    <w:unhideWhenUsed/>
    <w:rsid w:val="00A05ED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05EDA"/>
    <w:rPr>
      <w:rFonts w:ascii="Times New Roman" w:hAnsi="Times New Roman"/>
      <w:sz w:val="24"/>
    </w:rPr>
  </w:style>
  <w:style w:type="paragraph" w:styleId="NormalWeb">
    <w:name w:val="Normal (Web)"/>
    <w:basedOn w:val="Normal"/>
    <w:uiPriority w:val="99"/>
    <w:semiHidden/>
    <w:unhideWhenUsed/>
    <w:rsid w:val="004F6418"/>
    <w:pPr>
      <w:spacing w:before="100" w:beforeAutospacing="1" w:after="100" w:afterAutospacing="1" w:line="240" w:lineRule="auto"/>
      <w:jc w:val="left"/>
    </w:pPr>
    <w:rPr>
      <w:rFonts w:ascii="Times New Roman" w:eastAsia="Times New Roman" w:hAnsi="Times New Roman" w:cs="Times New Roman"/>
      <w:kern w:val="0"/>
      <w:sz w:val="24"/>
      <w:szCs w:val="24"/>
      <w:lang w:val="en-GB" w:eastAsia="en-GB"/>
      <w14:ligatures w14:val="none"/>
    </w:rPr>
  </w:style>
  <w:style w:type="character" w:styleId="Emphasis">
    <w:name w:val="Emphasis"/>
    <w:basedOn w:val="DefaultParagraphFont"/>
    <w:uiPriority w:val="20"/>
    <w:qFormat/>
    <w:rsid w:val="004F6418"/>
    <w:rPr>
      <w:i/>
      <w:iCs/>
    </w:rPr>
  </w:style>
  <w:style w:type="character" w:styleId="Strong">
    <w:name w:val="Strong"/>
    <w:basedOn w:val="DefaultParagraphFont"/>
    <w:uiPriority w:val="22"/>
    <w:qFormat/>
    <w:rsid w:val="004F6418"/>
    <w:rPr>
      <w:b/>
      <w:bCs/>
    </w:rPr>
  </w:style>
  <w:style w:type="character" w:styleId="UnresolvedMention">
    <w:name w:val="Unresolved Mention"/>
    <w:basedOn w:val="DefaultParagraphFont"/>
    <w:uiPriority w:val="99"/>
    <w:semiHidden/>
    <w:unhideWhenUsed/>
    <w:rsid w:val="003169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3892">
      <w:bodyDiv w:val="1"/>
      <w:marLeft w:val="0"/>
      <w:marRight w:val="0"/>
      <w:marTop w:val="0"/>
      <w:marBottom w:val="0"/>
      <w:divBdr>
        <w:top w:val="none" w:sz="0" w:space="0" w:color="auto"/>
        <w:left w:val="none" w:sz="0" w:space="0" w:color="auto"/>
        <w:bottom w:val="none" w:sz="0" w:space="0" w:color="auto"/>
        <w:right w:val="none" w:sz="0" w:space="0" w:color="auto"/>
      </w:divBdr>
    </w:div>
    <w:div w:id="39673791">
      <w:bodyDiv w:val="1"/>
      <w:marLeft w:val="0"/>
      <w:marRight w:val="0"/>
      <w:marTop w:val="0"/>
      <w:marBottom w:val="0"/>
      <w:divBdr>
        <w:top w:val="none" w:sz="0" w:space="0" w:color="auto"/>
        <w:left w:val="none" w:sz="0" w:space="0" w:color="auto"/>
        <w:bottom w:val="none" w:sz="0" w:space="0" w:color="auto"/>
        <w:right w:val="none" w:sz="0" w:space="0" w:color="auto"/>
      </w:divBdr>
      <w:divsChild>
        <w:div w:id="1070229915">
          <w:marLeft w:val="0"/>
          <w:marRight w:val="0"/>
          <w:marTop w:val="150"/>
          <w:marBottom w:val="0"/>
          <w:divBdr>
            <w:top w:val="none" w:sz="0" w:space="0" w:color="auto"/>
            <w:left w:val="none" w:sz="0" w:space="0" w:color="auto"/>
            <w:bottom w:val="none" w:sz="0" w:space="0" w:color="auto"/>
            <w:right w:val="none" w:sz="0" w:space="0" w:color="auto"/>
          </w:divBdr>
        </w:div>
      </w:divsChild>
    </w:div>
    <w:div w:id="178205125">
      <w:bodyDiv w:val="1"/>
      <w:marLeft w:val="0"/>
      <w:marRight w:val="0"/>
      <w:marTop w:val="0"/>
      <w:marBottom w:val="0"/>
      <w:divBdr>
        <w:top w:val="none" w:sz="0" w:space="0" w:color="auto"/>
        <w:left w:val="none" w:sz="0" w:space="0" w:color="auto"/>
        <w:bottom w:val="none" w:sz="0" w:space="0" w:color="auto"/>
        <w:right w:val="none" w:sz="0" w:space="0" w:color="auto"/>
      </w:divBdr>
    </w:div>
    <w:div w:id="201869641">
      <w:bodyDiv w:val="1"/>
      <w:marLeft w:val="0"/>
      <w:marRight w:val="0"/>
      <w:marTop w:val="0"/>
      <w:marBottom w:val="0"/>
      <w:divBdr>
        <w:top w:val="none" w:sz="0" w:space="0" w:color="auto"/>
        <w:left w:val="none" w:sz="0" w:space="0" w:color="auto"/>
        <w:bottom w:val="none" w:sz="0" w:space="0" w:color="auto"/>
        <w:right w:val="none" w:sz="0" w:space="0" w:color="auto"/>
      </w:divBdr>
      <w:divsChild>
        <w:div w:id="489367632">
          <w:marLeft w:val="0"/>
          <w:marRight w:val="0"/>
          <w:marTop w:val="150"/>
          <w:marBottom w:val="0"/>
          <w:divBdr>
            <w:top w:val="none" w:sz="0" w:space="0" w:color="auto"/>
            <w:left w:val="none" w:sz="0" w:space="0" w:color="auto"/>
            <w:bottom w:val="none" w:sz="0" w:space="0" w:color="auto"/>
            <w:right w:val="none" w:sz="0" w:space="0" w:color="auto"/>
          </w:divBdr>
        </w:div>
      </w:divsChild>
    </w:div>
    <w:div w:id="206722764">
      <w:bodyDiv w:val="1"/>
      <w:marLeft w:val="0"/>
      <w:marRight w:val="0"/>
      <w:marTop w:val="0"/>
      <w:marBottom w:val="0"/>
      <w:divBdr>
        <w:top w:val="none" w:sz="0" w:space="0" w:color="auto"/>
        <w:left w:val="none" w:sz="0" w:space="0" w:color="auto"/>
        <w:bottom w:val="none" w:sz="0" w:space="0" w:color="auto"/>
        <w:right w:val="none" w:sz="0" w:space="0" w:color="auto"/>
      </w:divBdr>
      <w:divsChild>
        <w:div w:id="361590665">
          <w:marLeft w:val="0"/>
          <w:marRight w:val="0"/>
          <w:marTop w:val="150"/>
          <w:marBottom w:val="0"/>
          <w:divBdr>
            <w:top w:val="none" w:sz="0" w:space="0" w:color="auto"/>
            <w:left w:val="none" w:sz="0" w:space="0" w:color="auto"/>
            <w:bottom w:val="none" w:sz="0" w:space="0" w:color="auto"/>
            <w:right w:val="none" w:sz="0" w:space="0" w:color="auto"/>
          </w:divBdr>
        </w:div>
      </w:divsChild>
    </w:div>
    <w:div w:id="220947061">
      <w:bodyDiv w:val="1"/>
      <w:marLeft w:val="0"/>
      <w:marRight w:val="0"/>
      <w:marTop w:val="0"/>
      <w:marBottom w:val="0"/>
      <w:divBdr>
        <w:top w:val="none" w:sz="0" w:space="0" w:color="auto"/>
        <w:left w:val="none" w:sz="0" w:space="0" w:color="auto"/>
        <w:bottom w:val="none" w:sz="0" w:space="0" w:color="auto"/>
        <w:right w:val="none" w:sz="0" w:space="0" w:color="auto"/>
      </w:divBdr>
      <w:divsChild>
        <w:div w:id="1834711346">
          <w:marLeft w:val="0"/>
          <w:marRight w:val="0"/>
          <w:marTop w:val="150"/>
          <w:marBottom w:val="0"/>
          <w:divBdr>
            <w:top w:val="none" w:sz="0" w:space="0" w:color="auto"/>
            <w:left w:val="none" w:sz="0" w:space="0" w:color="auto"/>
            <w:bottom w:val="none" w:sz="0" w:space="0" w:color="auto"/>
            <w:right w:val="none" w:sz="0" w:space="0" w:color="auto"/>
          </w:divBdr>
        </w:div>
      </w:divsChild>
    </w:div>
    <w:div w:id="231552586">
      <w:bodyDiv w:val="1"/>
      <w:marLeft w:val="0"/>
      <w:marRight w:val="0"/>
      <w:marTop w:val="0"/>
      <w:marBottom w:val="0"/>
      <w:divBdr>
        <w:top w:val="none" w:sz="0" w:space="0" w:color="auto"/>
        <w:left w:val="none" w:sz="0" w:space="0" w:color="auto"/>
        <w:bottom w:val="none" w:sz="0" w:space="0" w:color="auto"/>
        <w:right w:val="none" w:sz="0" w:space="0" w:color="auto"/>
      </w:divBdr>
    </w:div>
    <w:div w:id="257951445">
      <w:bodyDiv w:val="1"/>
      <w:marLeft w:val="0"/>
      <w:marRight w:val="0"/>
      <w:marTop w:val="0"/>
      <w:marBottom w:val="0"/>
      <w:divBdr>
        <w:top w:val="none" w:sz="0" w:space="0" w:color="auto"/>
        <w:left w:val="none" w:sz="0" w:space="0" w:color="auto"/>
        <w:bottom w:val="none" w:sz="0" w:space="0" w:color="auto"/>
        <w:right w:val="none" w:sz="0" w:space="0" w:color="auto"/>
      </w:divBdr>
      <w:divsChild>
        <w:div w:id="614098451">
          <w:marLeft w:val="0"/>
          <w:marRight w:val="0"/>
          <w:marTop w:val="150"/>
          <w:marBottom w:val="0"/>
          <w:divBdr>
            <w:top w:val="none" w:sz="0" w:space="0" w:color="auto"/>
            <w:left w:val="none" w:sz="0" w:space="0" w:color="auto"/>
            <w:bottom w:val="none" w:sz="0" w:space="0" w:color="auto"/>
            <w:right w:val="none" w:sz="0" w:space="0" w:color="auto"/>
          </w:divBdr>
        </w:div>
      </w:divsChild>
    </w:div>
    <w:div w:id="380835542">
      <w:bodyDiv w:val="1"/>
      <w:marLeft w:val="0"/>
      <w:marRight w:val="0"/>
      <w:marTop w:val="0"/>
      <w:marBottom w:val="0"/>
      <w:divBdr>
        <w:top w:val="none" w:sz="0" w:space="0" w:color="auto"/>
        <w:left w:val="none" w:sz="0" w:space="0" w:color="auto"/>
        <w:bottom w:val="none" w:sz="0" w:space="0" w:color="auto"/>
        <w:right w:val="none" w:sz="0" w:space="0" w:color="auto"/>
      </w:divBdr>
    </w:div>
    <w:div w:id="421998337">
      <w:bodyDiv w:val="1"/>
      <w:marLeft w:val="0"/>
      <w:marRight w:val="0"/>
      <w:marTop w:val="0"/>
      <w:marBottom w:val="0"/>
      <w:divBdr>
        <w:top w:val="none" w:sz="0" w:space="0" w:color="auto"/>
        <w:left w:val="none" w:sz="0" w:space="0" w:color="auto"/>
        <w:bottom w:val="none" w:sz="0" w:space="0" w:color="auto"/>
        <w:right w:val="none" w:sz="0" w:space="0" w:color="auto"/>
      </w:divBdr>
    </w:div>
    <w:div w:id="511722266">
      <w:bodyDiv w:val="1"/>
      <w:marLeft w:val="0"/>
      <w:marRight w:val="0"/>
      <w:marTop w:val="0"/>
      <w:marBottom w:val="0"/>
      <w:divBdr>
        <w:top w:val="none" w:sz="0" w:space="0" w:color="auto"/>
        <w:left w:val="none" w:sz="0" w:space="0" w:color="auto"/>
        <w:bottom w:val="none" w:sz="0" w:space="0" w:color="auto"/>
        <w:right w:val="none" w:sz="0" w:space="0" w:color="auto"/>
      </w:divBdr>
    </w:div>
    <w:div w:id="574315737">
      <w:bodyDiv w:val="1"/>
      <w:marLeft w:val="0"/>
      <w:marRight w:val="0"/>
      <w:marTop w:val="0"/>
      <w:marBottom w:val="0"/>
      <w:divBdr>
        <w:top w:val="none" w:sz="0" w:space="0" w:color="auto"/>
        <w:left w:val="none" w:sz="0" w:space="0" w:color="auto"/>
        <w:bottom w:val="none" w:sz="0" w:space="0" w:color="auto"/>
        <w:right w:val="none" w:sz="0" w:space="0" w:color="auto"/>
      </w:divBdr>
      <w:divsChild>
        <w:div w:id="788819826">
          <w:marLeft w:val="0"/>
          <w:marRight w:val="0"/>
          <w:marTop w:val="150"/>
          <w:marBottom w:val="0"/>
          <w:divBdr>
            <w:top w:val="none" w:sz="0" w:space="0" w:color="auto"/>
            <w:left w:val="none" w:sz="0" w:space="0" w:color="auto"/>
            <w:bottom w:val="none" w:sz="0" w:space="0" w:color="auto"/>
            <w:right w:val="none" w:sz="0" w:space="0" w:color="auto"/>
          </w:divBdr>
        </w:div>
      </w:divsChild>
    </w:div>
    <w:div w:id="638612426">
      <w:bodyDiv w:val="1"/>
      <w:marLeft w:val="0"/>
      <w:marRight w:val="0"/>
      <w:marTop w:val="0"/>
      <w:marBottom w:val="0"/>
      <w:divBdr>
        <w:top w:val="none" w:sz="0" w:space="0" w:color="auto"/>
        <w:left w:val="none" w:sz="0" w:space="0" w:color="auto"/>
        <w:bottom w:val="none" w:sz="0" w:space="0" w:color="auto"/>
        <w:right w:val="none" w:sz="0" w:space="0" w:color="auto"/>
      </w:divBdr>
      <w:divsChild>
        <w:div w:id="563419025">
          <w:marLeft w:val="0"/>
          <w:marRight w:val="0"/>
          <w:marTop w:val="150"/>
          <w:marBottom w:val="0"/>
          <w:divBdr>
            <w:top w:val="none" w:sz="0" w:space="0" w:color="auto"/>
            <w:left w:val="none" w:sz="0" w:space="0" w:color="auto"/>
            <w:bottom w:val="none" w:sz="0" w:space="0" w:color="auto"/>
            <w:right w:val="none" w:sz="0" w:space="0" w:color="auto"/>
          </w:divBdr>
        </w:div>
      </w:divsChild>
    </w:div>
    <w:div w:id="669409389">
      <w:bodyDiv w:val="1"/>
      <w:marLeft w:val="0"/>
      <w:marRight w:val="0"/>
      <w:marTop w:val="0"/>
      <w:marBottom w:val="0"/>
      <w:divBdr>
        <w:top w:val="none" w:sz="0" w:space="0" w:color="auto"/>
        <w:left w:val="none" w:sz="0" w:space="0" w:color="auto"/>
        <w:bottom w:val="none" w:sz="0" w:space="0" w:color="auto"/>
        <w:right w:val="none" w:sz="0" w:space="0" w:color="auto"/>
      </w:divBdr>
      <w:divsChild>
        <w:div w:id="743454595">
          <w:marLeft w:val="0"/>
          <w:marRight w:val="0"/>
          <w:marTop w:val="150"/>
          <w:marBottom w:val="0"/>
          <w:divBdr>
            <w:top w:val="none" w:sz="0" w:space="0" w:color="auto"/>
            <w:left w:val="none" w:sz="0" w:space="0" w:color="auto"/>
            <w:bottom w:val="none" w:sz="0" w:space="0" w:color="auto"/>
            <w:right w:val="none" w:sz="0" w:space="0" w:color="auto"/>
          </w:divBdr>
        </w:div>
      </w:divsChild>
    </w:div>
    <w:div w:id="855117659">
      <w:bodyDiv w:val="1"/>
      <w:marLeft w:val="0"/>
      <w:marRight w:val="0"/>
      <w:marTop w:val="0"/>
      <w:marBottom w:val="0"/>
      <w:divBdr>
        <w:top w:val="none" w:sz="0" w:space="0" w:color="auto"/>
        <w:left w:val="none" w:sz="0" w:space="0" w:color="auto"/>
        <w:bottom w:val="none" w:sz="0" w:space="0" w:color="auto"/>
        <w:right w:val="none" w:sz="0" w:space="0" w:color="auto"/>
      </w:divBdr>
      <w:divsChild>
        <w:div w:id="1722440138">
          <w:marLeft w:val="0"/>
          <w:marRight w:val="0"/>
          <w:marTop w:val="150"/>
          <w:marBottom w:val="0"/>
          <w:divBdr>
            <w:top w:val="none" w:sz="0" w:space="0" w:color="auto"/>
            <w:left w:val="none" w:sz="0" w:space="0" w:color="auto"/>
            <w:bottom w:val="none" w:sz="0" w:space="0" w:color="auto"/>
            <w:right w:val="none" w:sz="0" w:space="0" w:color="auto"/>
          </w:divBdr>
        </w:div>
      </w:divsChild>
    </w:div>
    <w:div w:id="1266301358">
      <w:bodyDiv w:val="1"/>
      <w:marLeft w:val="0"/>
      <w:marRight w:val="0"/>
      <w:marTop w:val="0"/>
      <w:marBottom w:val="0"/>
      <w:divBdr>
        <w:top w:val="none" w:sz="0" w:space="0" w:color="auto"/>
        <w:left w:val="none" w:sz="0" w:space="0" w:color="auto"/>
        <w:bottom w:val="none" w:sz="0" w:space="0" w:color="auto"/>
        <w:right w:val="none" w:sz="0" w:space="0" w:color="auto"/>
      </w:divBdr>
      <w:divsChild>
        <w:div w:id="1722440282">
          <w:marLeft w:val="0"/>
          <w:marRight w:val="0"/>
          <w:marTop w:val="150"/>
          <w:marBottom w:val="0"/>
          <w:divBdr>
            <w:top w:val="none" w:sz="0" w:space="0" w:color="auto"/>
            <w:left w:val="none" w:sz="0" w:space="0" w:color="auto"/>
            <w:bottom w:val="none" w:sz="0" w:space="0" w:color="auto"/>
            <w:right w:val="none" w:sz="0" w:space="0" w:color="auto"/>
          </w:divBdr>
        </w:div>
      </w:divsChild>
    </w:div>
    <w:div w:id="1270626480">
      <w:bodyDiv w:val="1"/>
      <w:marLeft w:val="0"/>
      <w:marRight w:val="0"/>
      <w:marTop w:val="0"/>
      <w:marBottom w:val="0"/>
      <w:divBdr>
        <w:top w:val="none" w:sz="0" w:space="0" w:color="auto"/>
        <w:left w:val="none" w:sz="0" w:space="0" w:color="auto"/>
        <w:bottom w:val="none" w:sz="0" w:space="0" w:color="auto"/>
        <w:right w:val="none" w:sz="0" w:space="0" w:color="auto"/>
      </w:divBdr>
      <w:divsChild>
        <w:div w:id="1712879313">
          <w:marLeft w:val="0"/>
          <w:marRight w:val="0"/>
          <w:marTop w:val="150"/>
          <w:marBottom w:val="0"/>
          <w:divBdr>
            <w:top w:val="none" w:sz="0" w:space="0" w:color="auto"/>
            <w:left w:val="none" w:sz="0" w:space="0" w:color="auto"/>
            <w:bottom w:val="none" w:sz="0" w:space="0" w:color="auto"/>
            <w:right w:val="none" w:sz="0" w:space="0" w:color="auto"/>
          </w:divBdr>
        </w:div>
      </w:divsChild>
    </w:div>
    <w:div w:id="1291328450">
      <w:bodyDiv w:val="1"/>
      <w:marLeft w:val="0"/>
      <w:marRight w:val="0"/>
      <w:marTop w:val="0"/>
      <w:marBottom w:val="0"/>
      <w:divBdr>
        <w:top w:val="none" w:sz="0" w:space="0" w:color="auto"/>
        <w:left w:val="none" w:sz="0" w:space="0" w:color="auto"/>
        <w:bottom w:val="none" w:sz="0" w:space="0" w:color="auto"/>
        <w:right w:val="none" w:sz="0" w:space="0" w:color="auto"/>
      </w:divBdr>
    </w:div>
    <w:div w:id="1609892280">
      <w:bodyDiv w:val="1"/>
      <w:marLeft w:val="0"/>
      <w:marRight w:val="0"/>
      <w:marTop w:val="0"/>
      <w:marBottom w:val="0"/>
      <w:divBdr>
        <w:top w:val="none" w:sz="0" w:space="0" w:color="auto"/>
        <w:left w:val="none" w:sz="0" w:space="0" w:color="auto"/>
        <w:bottom w:val="none" w:sz="0" w:space="0" w:color="auto"/>
        <w:right w:val="none" w:sz="0" w:space="0" w:color="auto"/>
      </w:divBdr>
      <w:divsChild>
        <w:div w:id="1757551901">
          <w:marLeft w:val="0"/>
          <w:marRight w:val="0"/>
          <w:marTop w:val="150"/>
          <w:marBottom w:val="0"/>
          <w:divBdr>
            <w:top w:val="none" w:sz="0" w:space="0" w:color="auto"/>
            <w:left w:val="none" w:sz="0" w:space="0" w:color="auto"/>
            <w:bottom w:val="none" w:sz="0" w:space="0" w:color="auto"/>
            <w:right w:val="none" w:sz="0" w:space="0" w:color="auto"/>
          </w:divBdr>
        </w:div>
      </w:divsChild>
    </w:div>
    <w:div w:id="1679916862">
      <w:bodyDiv w:val="1"/>
      <w:marLeft w:val="0"/>
      <w:marRight w:val="0"/>
      <w:marTop w:val="0"/>
      <w:marBottom w:val="0"/>
      <w:divBdr>
        <w:top w:val="none" w:sz="0" w:space="0" w:color="auto"/>
        <w:left w:val="none" w:sz="0" w:space="0" w:color="auto"/>
        <w:bottom w:val="none" w:sz="0" w:space="0" w:color="auto"/>
        <w:right w:val="none" w:sz="0" w:space="0" w:color="auto"/>
      </w:divBdr>
      <w:divsChild>
        <w:div w:id="1018695483">
          <w:marLeft w:val="0"/>
          <w:marRight w:val="0"/>
          <w:marTop w:val="150"/>
          <w:marBottom w:val="0"/>
          <w:divBdr>
            <w:top w:val="none" w:sz="0" w:space="0" w:color="auto"/>
            <w:left w:val="none" w:sz="0" w:space="0" w:color="auto"/>
            <w:bottom w:val="none" w:sz="0" w:space="0" w:color="auto"/>
            <w:right w:val="none" w:sz="0" w:space="0" w:color="auto"/>
          </w:divBdr>
        </w:div>
      </w:divsChild>
    </w:div>
    <w:div w:id="1749769837">
      <w:bodyDiv w:val="1"/>
      <w:marLeft w:val="0"/>
      <w:marRight w:val="0"/>
      <w:marTop w:val="0"/>
      <w:marBottom w:val="0"/>
      <w:divBdr>
        <w:top w:val="none" w:sz="0" w:space="0" w:color="auto"/>
        <w:left w:val="none" w:sz="0" w:space="0" w:color="auto"/>
        <w:bottom w:val="none" w:sz="0" w:space="0" w:color="auto"/>
        <w:right w:val="none" w:sz="0" w:space="0" w:color="auto"/>
      </w:divBdr>
      <w:divsChild>
        <w:div w:id="806977034">
          <w:marLeft w:val="0"/>
          <w:marRight w:val="0"/>
          <w:marTop w:val="150"/>
          <w:marBottom w:val="0"/>
          <w:divBdr>
            <w:top w:val="none" w:sz="0" w:space="0" w:color="auto"/>
            <w:left w:val="none" w:sz="0" w:space="0" w:color="auto"/>
            <w:bottom w:val="none" w:sz="0" w:space="0" w:color="auto"/>
            <w:right w:val="none" w:sz="0" w:space="0" w:color="auto"/>
          </w:divBdr>
        </w:div>
      </w:divsChild>
    </w:div>
    <w:div w:id="2040084653">
      <w:bodyDiv w:val="1"/>
      <w:marLeft w:val="0"/>
      <w:marRight w:val="0"/>
      <w:marTop w:val="0"/>
      <w:marBottom w:val="0"/>
      <w:divBdr>
        <w:top w:val="none" w:sz="0" w:space="0" w:color="auto"/>
        <w:left w:val="none" w:sz="0" w:space="0" w:color="auto"/>
        <w:bottom w:val="none" w:sz="0" w:space="0" w:color="auto"/>
        <w:right w:val="none" w:sz="0" w:space="0" w:color="auto"/>
      </w:divBdr>
      <w:divsChild>
        <w:div w:id="824855247">
          <w:marLeft w:val="0"/>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europeansources.info/record/media-revolution-in-europe-ahead-of-the-curve/" TargetMode="External"/><Relationship Id="rId18" Type="http://schemas.openxmlformats.org/officeDocument/2006/relationships/hyperlink" Target="https://www.amazon.co.uk/Local-Family-History-England-Rogers/dp/0719032016" TargetMode="External"/><Relationship Id="rId3" Type="http://schemas.openxmlformats.org/officeDocument/2006/relationships/settings" Target="settings.xml"/><Relationship Id="rId21" Type="http://schemas.openxmlformats.org/officeDocument/2006/relationships/hyperlink" Target="https://psycnet.apa.org/record/2016-43804-001" TargetMode="External"/><Relationship Id="rId7" Type="http://schemas.openxmlformats.org/officeDocument/2006/relationships/image" Target="media/image1.png"/><Relationship Id="rId12" Type="http://schemas.openxmlformats.org/officeDocument/2006/relationships/hyperlink" Target="https://nap.nationalacademies.org/read/21868/chapter/1" TargetMode="External"/><Relationship Id="rId17" Type="http://schemas.openxmlformats.org/officeDocument/2006/relationships/hyperlink" Target="https://books.google.com/books/about/Family_Support_as_Reflective_Practice.html?id=Vu4WYa40fvoC"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mazon.co.uk/Early-Childhood-Compulsory-Education-Contesting/dp/0415687748" TargetMode="External"/><Relationship Id="rId20" Type="http://schemas.openxmlformats.org/officeDocument/2006/relationships/hyperlink" Target="https://www.cambridge.org/core/services/aop-cambridge-core/content/view/3A70DE70693ECE3D57B618F4F5B62E17/S0047279407281024a.pdf/scott-j-and-ward-h-eds-2005-safeguarding-and-promoting-the-well-being-of-children-families-and-communities-london-jessica-kingsley-pp-304-pound3999-hbk.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ooks.google.com/books/about/Anti_Bias_Education_for_Young_Children_a.html?id=jm6OwgEACAAJ"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anthrosource.onlinelibrary.wiley.com/doi/abs/10.1111/j.1548-1352.2011.01202.x" TargetMode="External"/><Relationship Id="rId23" Type="http://schemas.openxmlformats.org/officeDocument/2006/relationships/footer" Target="footer2.xml"/><Relationship Id="rId10" Type="http://schemas.openxmlformats.org/officeDocument/2006/relationships/hyperlink" Target="https://www.routledge.com/Designing-Cities-with-Children-and-Young-People-Beyond..." TargetMode="External"/><Relationship Id="rId19" Type="http://schemas.openxmlformats.org/officeDocument/2006/relationships/hyperlink" Target="https://www.infoagepub.com/products/Contemporary-Perspectives-on-Research-on-Child-Care-in-Early-Childhood-Education" TargetMode="External"/><Relationship Id="rId4" Type="http://schemas.openxmlformats.org/officeDocument/2006/relationships/webSettings" Target="webSettings.xml"/><Relationship Id="rId9" Type="http://schemas.openxmlformats.org/officeDocument/2006/relationships/hyperlink" Target="https://psycnet.apa.org/record/2023-25447-001" TargetMode="External"/><Relationship Id="rId14" Type="http://schemas.openxmlformats.org/officeDocument/2006/relationships/hyperlink" Target="https://oro.open.ac.uk/view/person/mjk94.default.html" TargetMode="External"/><Relationship Id="rId22" Type="http://schemas.openxmlformats.org/officeDocument/2006/relationships/hyperlink" Target="https://journals.sagepub.com/doi/10.1177/09075682070884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B3CEF-F782-4F6A-93EE-3F02A092B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3143</TotalTime>
  <Pages>15</Pages>
  <Words>3366</Words>
  <Characters>19191</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Portia</cp:lastModifiedBy>
  <cp:revision>16</cp:revision>
  <dcterms:created xsi:type="dcterms:W3CDTF">2023-08-22T18:01:00Z</dcterms:created>
  <dcterms:modified xsi:type="dcterms:W3CDTF">2023-08-30T12:22:00Z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b56ed9af63d6a5ce1e623d8404c86c6b661357dd3bda9c26eba644f7ca4df899</vt:lpwstr>
  </property>
</Properties>
</file>