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D0AA16" w14:textId="77777777" w:rsidR="00F843C2" w:rsidRPr="00A51A36" w:rsidRDefault="00A51A36">
      <w:pPr>
        <w:rPr>
          <w:rFonts w:ascii="Times New Roman" w:hAnsi="Times New Roman" w:cs="Times New Roman"/>
          <w:b/>
          <w:i/>
          <w:sz w:val="24"/>
          <w:u w:val="single"/>
        </w:rPr>
      </w:pPr>
      <w:r w:rsidRPr="00A51A36">
        <w:rPr>
          <w:rFonts w:ascii="Times New Roman" w:hAnsi="Times New Roman" w:cs="Times New Roman"/>
          <w:b/>
          <w:i/>
          <w:sz w:val="40"/>
          <w:u w:val="single"/>
        </w:rPr>
        <w:t xml:space="preserve">A critical analysis of the relationship between teacher subject knowledge and effective learning and teaching in the primary school  </w:t>
      </w:r>
    </w:p>
    <w:p w14:paraId="3119C42B" w14:textId="77777777" w:rsidR="00A51A36" w:rsidRDefault="00A51A36">
      <w:pPr>
        <w:rPr>
          <w:rFonts w:ascii="Times New Roman" w:hAnsi="Times New Roman" w:cs="Times New Roman"/>
          <w:sz w:val="24"/>
        </w:rPr>
      </w:pPr>
    </w:p>
    <w:p w14:paraId="4487659C" w14:textId="77777777" w:rsidR="00A51A36" w:rsidRDefault="00A51A36">
      <w:pPr>
        <w:rPr>
          <w:rFonts w:ascii="Times New Roman" w:hAnsi="Times New Roman" w:cs="Times New Roman"/>
          <w:sz w:val="24"/>
        </w:rPr>
      </w:pPr>
      <w:r>
        <w:rPr>
          <w:rFonts w:ascii="Times New Roman" w:hAnsi="Times New Roman" w:cs="Times New Roman"/>
          <w:sz w:val="24"/>
        </w:rPr>
        <w:t xml:space="preserve">The purpose of this piece is primarily to explore the direct impact teacher subject knowledge has on the effectiveness of one’s own teaching as well as the learning which takes place. This will be completed by critically evaluating the literature surrounding the subject area through </w:t>
      </w:r>
      <w:proofErr w:type="gramStart"/>
      <w:r>
        <w:rPr>
          <w:rFonts w:ascii="Times New Roman" w:hAnsi="Times New Roman" w:cs="Times New Roman"/>
          <w:sz w:val="24"/>
        </w:rPr>
        <w:t>comparing and contrasting</w:t>
      </w:r>
      <w:proofErr w:type="gramEnd"/>
      <w:r>
        <w:rPr>
          <w:rFonts w:ascii="Times New Roman" w:hAnsi="Times New Roman" w:cs="Times New Roman"/>
          <w:sz w:val="24"/>
        </w:rPr>
        <w:t xml:space="preserve"> pre-existing ideas and concepts regarding the topic</w:t>
      </w:r>
      <w:r w:rsidR="000B08E0">
        <w:rPr>
          <w:rFonts w:ascii="Times New Roman" w:hAnsi="Times New Roman" w:cs="Times New Roman"/>
          <w:sz w:val="24"/>
        </w:rPr>
        <w:t xml:space="preserve"> in the form of a literature review</w:t>
      </w:r>
      <w:r>
        <w:rPr>
          <w:rFonts w:ascii="Times New Roman" w:hAnsi="Times New Roman" w:cs="Times New Roman"/>
          <w:sz w:val="24"/>
        </w:rPr>
        <w:t xml:space="preserve">. More specifically </w:t>
      </w:r>
      <w:r w:rsidR="000B08E0">
        <w:rPr>
          <w:rFonts w:ascii="Times New Roman" w:hAnsi="Times New Roman" w:cs="Times New Roman"/>
          <w:sz w:val="24"/>
        </w:rPr>
        <w:t xml:space="preserve">looking at how these ideas may sculpt modern day teaching or teaching methods going forward. </w:t>
      </w:r>
      <w:r w:rsidR="000A62F0">
        <w:rPr>
          <w:rFonts w:ascii="Times New Roman" w:hAnsi="Times New Roman" w:cs="Times New Roman"/>
          <w:sz w:val="24"/>
        </w:rPr>
        <w:t xml:space="preserve">Following the literature review I will look at how some of these ideas inform and play out in my own teaching experiences. I will analyse the relationship between my own subject knowledge and how this impacted effective learning and teaching within the </w:t>
      </w:r>
      <w:r w:rsidR="00D52744">
        <w:rPr>
          <w:rFonts w:ascii="Times New Roman" w:hAnsi="Times New Roman" w:cs="Times New Roman"/>
          <w:sz w:val="24"/>
        </w:rPr>
        <w:t xml:space="preserve">classroom. I will use the findings of this analysis to formulate an overview of the value of subject knowledge within my own teaching as well as any future improvements and goals the analysis may provide. This section will be embedded in personal experience and evidence will be largely anecdotal however may provide a personal insight into </w:t>
      </w:r>
      <w:r w:rsidR="00D63F82">
        <w:rPr>
          <w:rFonts w:ascii="Times New Roman" w:hAnsi="Times New Roman" w:cs="Times New Roman"/>
          <w:sz w:val="24"/>
        </w:rPr>
        <w:t>my own per</w:t>
      </w:r>
      <w:r w:rsidR="00AF44E1">
        <w:rPr>
          <w:rFonts w:ascii="Times New Roman" w:hAnsi="Times New Roman" w:cs="Times New Roman"/>
          <w:sz w:val="24"/>
        </w:rPr>
        <w:t>sonal development as a teacher.</w:t>
      </w:r>
    </w:p>
    <w:p w14:paraId="1951F029" w14:textId="77777777" w:rsidR="00AF44E1" w:rsidRDefault="00AF44E1">
      <w:pPr>
        <w:rPr>
          <w:rFonts w:ascii="Times New Roman" w:hAnsi="Times New Roman" w:cs="Times New Roman"/>
          <w:sz w:val="24"/>
        </w:rPr>
      </w:pPr>
    </w:p>
    <w:p w14:paraId="77770A3E" w14:textId="77777777" w:rsidR="00AF44E1" w:rsidRDefault="00AF44E1">
      <w:pPr>
        <w:rPr>
          <w:rFonts w:ascii="Times New Roman" w:hAnsi="Times New Roman" w:cs="Times New Roman"/>
          <w:sz w:val="24"/>
        </w:rPr>
      </w:pPr>
      <w:r>
        <w:rPr>
          <w:rFonts w:ascii="Times New Roman" w:hAnsi="Times New Roman" w:cs="Times New Roman"/>
          <w:b/>
          <w:sz w:val="24"/>
          <w:u w:val="single"/>
        </w:rPr>
        <w:t>Literature review</w:t>
      </w:r>
    </w:p>
    <w:p w14:paraId="2CD0D2F4" w14:textId="6769B0AE" w:rsidR="00AF44E1" w:rsidRDefault="00AF44E1">
      <w:pPr>
        <w:rPr>
          <w:rFonts w:ascii="Times New Roman" w:hAnsi="Times New Roman" w:cs="Times New Roman"/>
          <w:sz w:val="24"/>
        </w:rPr>
      </w:pPr>
      <w:r>
        <w:rPr>
          <w:rFonts w:ascii="Times New Roman" w:hAnsi="Times New Roman" w:cs="Times New Roman"/>
          <w:sz w:val="24"/>
        </w:rPr>
        <w:t xml:space="preserve">This section will focus directly upon the literature regarding the relationship between teacher subject knowledge and children’s learning. </w:t>
      </w:r>
      <w:r w:rsidR="00952208">
        <w:rPr>
          <w:rFonts w:ascii="Times New Roman" w:hAnsi="Times New Roman" w:cs="Times New Roman"/>
          <w:sz w:val="24"/>
        </w:rPr>
        <w:t xml:space="preserve">Firstly, how much importance should the education system and by extension its learners place upon a teacher’s subject knowledge? Should we expect teachers to be masterful in every aspect of the relevant curriculum? To some extent this is rhetorical in that of course no teacher has a perfect repertoire of curriculum knowledge but where there are gaps in knowledge to what end does this impact the learning process? </w:t>
      </w:r>
    </w:p>
    <w:p w14:paraId="5CAC00B7" w14:textId="3AC27641" w:rsidR="00F77D16" w:rsidRDefault="00F77D16">
      <w:pPr>
        <w:rPr>
          <w:rFonts w:ascii="Times New Roman" w:hAnsi="Times New Roman" w:cs="Times New Roman"/>
          <w:sz w:val="24"/>
        </w:rPr>
      </w:pPr>
      <w:r>
        <w:rPr>
          <w:rFonts w:ascii="Times New Roman" w:hAnsi="Times New Roman" w:cs="Times New Roman"/>
          <w:sz w:val="24"/>
        </w:rPr>
        <w:t>According to Shulman (1987, p1) teaching reform should be sculpted around a ‘knowledge-based’ approach. By this he refers specifically to a system which ‘</w:t>
      </w:r>
      <w:r w:rsidRPr="00F77D16">
        <w:rPr>
          <w:rFonts w:ascii="Times New Roman" w:hAnsi="Times New Roman" w:cs="Times New Roman"/>
          <w:sz w:val="24"/>
        </w:rPr>
        <w:t>emphasizes comprehension and reasoning, transformation and reflection</w:t>
      </w:r>
      <w:r>
        <w:rPr>
          <w:rFonts w:ascii="Times New Roman" w:hAnsi="Times New Roman" w:cs="Times New Roman"/>
          <w:sz w:val="24"/>
        </w:rPr>
        <w:t xml:space="preserve">’ on the teacher’s part. Interestingly Shulman in his case studies notes an appreciation of how a teacher’s content knowledge stating how one teacher would use key episodic lessons for different pedagogical reasons and approaches (Shulman, 1987, p2). In this case we see a direct example of how content knowledge can influence a teacher’s approach. An experienced teacher utilising their </w:t>
      </w:r>
      <w:r w:rsidR="0020564D">
        <w:rPr>
          <w:rFonts w:ascii="Times New Roman" w:hAnsi="Times New Roman" w:cs="Times New Roman"/>
          <w:sz w:val="24"/>
        </w:rPr>
        <w:t>in-depth</w:t>
      </w:r>
      <w:r>
        <w:rPr>
          <w:rFonts w:ascii="Times New Roman" w:hAnsi="Times New Roman" w:cs="Times New Roman"/>
          <w:sz w:val="24"/>
        </w:rPr>
        <w:t xml:space="preserve"> knowledge of a </w:t>
      </w:r>
      <w:proofErr w:type="gramStart"/>
      <w:r>
        <w:rPr>
          <w:rFonts w:ascii="Times New Roman" w:hAnsi="Times New Roman" w:cs="Times New Roman"/>
          <w:sz w:val="24"/>
        </w:rPr>
        <w:t>particular subject</w:t>
      </w:r>
      <w:proofErr w:type="gramEnd"/>
      <w:r>
        <w:rPr>
          <w:rFonts w:ascii="Times New Roman" w:hAnsi="Times New Roman" w:cs="Times New Roman"/>
          <w:sz w:val="24"/>
        </w:rPr>
        <w:t xml:space="preserve"> or topic to craft and be flexible in the learning experience they provide to the learner a flexibility that perhaps may not have been afforded without the requisite knowledge of the topic. This exact situation is realised in a separate case study of a teacher who had limited subject knowledge on the area they were teaching with Shulman (1987, p20) noting</w:t>
      </w:r>
      <w:r w:rsidR="00940D05">
        <w:rPr>
          <w:rFonts w:ascii="Times New Roman" w:hAnsi="Times New Roman" w:cs="Times New Roman"/>
          <w:sz w:val="24"/>
        </w:rPr>
        <w:t xml:space="preserve"> students were</w:t>
      </w:r>
      <w:r>
        <w:rPr>
          <w:rFonts w:ascii="Times New Roman" w:hAnsi="Times New Roman" w:cs="Times New Roman"/>
          <w:sz w:val="24"/>
        </w:rPr>
        <w:t xml:space="preserve"> ‘</w:t>
      </w:r>
      <w:r w:rsidRPr="00F77D16">
        <w:rPr>
          <w:rFonts w:ascii="Times New Roman" w:hAnsi="Times New Roman" w:cs="Times New Roman"/>
          <w:sz w:val="24"/>
        </w:rPr>
        <w:t>not given opportunities to raise questions or offer alternative views</w:t>
      </w:r>
      <w:r>
        <w:rPr>
          <w:rFonts w:ascii="Times New Roman" w:hAnsi="Times New Roman" w:cs="Times New Roman"/>
          <w:sz w:val="24"/>
        </w:rPr>
        <w:t>’ and as a result of this the teacher adapted their teaching style to ‘allay anxiety’ resulting in Shulman concluding that in this particular case a flexible and more interactive teaching style is directly bound to the depth of the teachers knowledge or in this case a lack thereof.</w:t>
      </w:r>
      <w:r w:rsidR="00C72CBB">
        <w:rPr>
          <w:rFonts w:ascii="Times New Roman" w:hAnsi="Times New Roman" w:cs="Times New Roman"/>
          <w:sz w:val="24"/>
        </w:rPr>
        <w:t xml:space="preserve"> </w:t>
      </w:r>
      <w:r w:rsidR="001B5A4B">
        <w:rPr>
          <w:rFonts w:ascii="Times New Roman" w:hAnsi="Times New Roman" w:cs="Times New Roman"/>
          <w:sz w:val="24"/>
        </w:rPr>
        <w:t xml:space="preserve">Whilst </w:t>
      </w:r>
      <w:r w:rsidR="001B5A4B">
        <w:rPr>
          <w:rFonts w:ascii="Times New Roman" w:hAnsi="Times New Roman" w:cs="Times New Roman"/>
          <w:sz w:val="24"/>
        </w:rPr>
        <w:lastRenderedPageBreak/>
        <w:t>this does not represent Shulman’s views in their entirety</w:t>
      </w:r>
      <w:r w:rsidR="00832760">
        <w:rPr>
          <w:rFonts w:ascii="Times New Roman" w:hAnsi="Times New Roman" w:cs="Times New Roman"/>
          <w:sz w:val="24"/>
        </w:rPr>
        <w:t>,</w:t>
      </w:r>
      <w:r w:rsidR="001B5A4B">
        <w:rPr>
          <w:rFonts w:ascii="Times New Roman" w:hAnsi="Times New Roman" w:cs="Times New Roman"/>
          <w:sz w:val="24"/>
        </w:rPr>
        <w:t xml:space="preserve"> it is evident he places significant importance on a teacher having strong content knowledge. This ideology</w:t>
      </w:r>
      <w:r w:rsidR="003E08D5">
        <w:rPr>
          <w:rFonts w:ascii="Times New Roman" w:hAnsi="Times New Roman" w:cs="Times New Roman"/>
          <w:sz w:val="24"/>
        </w:rPr>
        <w:t xml:space="preserve"> </w:t>
      </w:r>
      <w:r w:rsidR="001B5A4B">
        <w:rPr>
          <w:rFonts w:ascii="Times New Roman" w:hAnsi="Times New Roman" w:cs="Times New Roman"/>
          <w:sz w:val="24"/>
        </w:rPr>
        <w:t xml:space="preserve">that subject knowledge influences pedagogy is shared by </w:t>
      </w:r>
      <w:r w:rsidR="00661BFA">
        <w:rPr>
          <w:rFonts w:ascii="Times New Roman" w:hAnsi="Times New Roman" w:cs="Times New Roman"/>
          <w:sz w:val="24"/>
        </w:rPr>
        <w:t>Rowland et al (2003</w:t>
      </w:r>
      <w:r w:rsidR="003E08D5">
        <w:rPr>
          <w:rFonts w:ascii="Times New Roman" w:hAnsi="Times New Roman" w:cs="Times New Roman"/>
          <w:sz w:val="24"/>
        </w:rPr>
        <w:t>, p97</w:t>
      </w:r>
      <w:r w:rsidR="00661BFA">
        <w:rPr>
          <w:rFonts w:ascii="Times New Roman" w:hAnsi="Times New Roman" w:cs="Times New Roman"/>
          <w:sz w:val="24"/>
        </w:rPr>
        <w:t>) as when referring to the foundational area of ‘The Know</w:t>
      </w:r>
      <w:r w:rsidR="003E08D5">
        <w:rPr>
          <w:rFonts w:ascii="Times New Roman" w:hAnsi="Times New Roman" w:cs="Times New Roman"/>
          <w:sz w:val="24"/>
        </w:rPr>
        <w:t>ledge Quartet’ they state that ‘</w:t>
      </w:r>
      <w:r w:rsidR="003E08D5" w:rsidRPr="003E08D5">
        <w:rPr>
          <w:rFonts w:ascii="Times New Roman" w:hAnsi="Times New Roman" w:cs="Times New Roman"/>
          <w:sz w:val="24"/>
        </w:rPr>
        <w:t>knowledge and beliefs inform pedagogical choices and strategies in a fundamental way</w:t>
      </w:r>
      <w:r w:rsidR="003E08D5">
        <w:rPr>
          <w:rFonts w:ascii="Times New Roman" w:hAnsi="Times New Roman" w:cs="Times New Roman"/>
          <w:sz w:val="24"/>
        </w:rPr>
        <w:t>’. Further compounding Shulman’s findings in his case study</w:t>
      </w:r>
      <w:r w:rsidR="00940D05">
        <w:rPr>
          <w:rFonts w:ascii="Times New Roman" w:hAnsi="Times New Roman" w:cs="Times New Roman"/>
          <w:sz w:val="24"/>
        </w:rPr>
        <w:t>,</w:t>
      </w:r>
      <w:r w:rsidR="003E08D5">
        <w:rPr>
          <w:rFonts w:ascii="Times New Roman" w:hAnsi="Times New Roman" w:cs="Times New Roman"/>
          <w:sz w:val="24"/>
        </w:rPr>
        <w:t xml:space="preserve"> </w:t>
      </w:r>
      <w:r w:rsidR="003E08D5" w:rsidRPr="003E08D5">
        <w:rPr>
          <w:rFonts w:ascii="Times New Roman" w:hAnsi="Times New Roman" w:cs="Times New Roman"/>
          <w:sz w:val="24"/>
        </w:rPr>
        <w:t>Brown and Wragg (1993</w:t>
      </w:r>
      <w:r w:rsidR="003E08D5">
        <w:rPr>
          <w:rFonts w:ascii="Times New Roman" w:hAnsi="Times New Roman" w:cs="Times New Roman"/>
          <w:sz w:val="24"/>
        </w:rPr>
        <w:t>, p20</w:t>
      </w:r>
      <w:r w:rsidR="003E08D5" w:rsidRPr="003E08D5">
        <w:rPr>
          <w:rFonts w:ascii="Times New Roman" w:hAnsi="Times New Roman" w:cs="Times New Roman"/>
          <w:sz w:val="24"/>
        </w:rPr>
        <w:t xml:space="preserve">) </w:t>
      </w:r>
      <w:r w:rsidR="003E08D5">
        <w:rPr>
          <w:rFonts w:ascii="Times New Roman" w:hAnsi="Times New Roman" w:cs="Times New Roman"/>
          <w:sz w:val="24"/>
        </w:rPr>
        <w:t>state</w:t>
      </w:r>
      <w:r w:rsidR="003E08D5" w:rsidRPr="003E08D5">
        <w:rPr>
          <w:rFonts w:ascii="Times New Roman" w:hAnsi="Times New Roman" w:cs="Times New Roman"/>
          <w:sz w:val="24"/>
        </w:rPr>
        <w:t xml:space="preserve"> that </w:t>
      </w:r>
      <w:r w:rsidR="003E08D5">
        <w:rPr>
          <w:rFonts w:ascii="Times New Roman" w:hAnsi="Times New Roman" w:cs="Times New Roman"/>
          <w:sz w:val="24"/>
        </w:rPr>
        <w:t>‘</w:t>
      </w:r>
      <w:r w:rsidR="003E08D5" w:rsidRPr="003E08D5">
        <w:rPr>
          <w:rFonts w:ascii="Times New Roman" w:hAnsi="Times New Roman" w:cs="Times New Roman"/>
          <w:sz w:val="24"/>
        </w:rPr>
        <w:t>our capacity to listen diminishes with anxiety</w:t>
      </w:r>
      <w:r w:rsidR="003E08D5">
        <w:rPr>
          <w:rFonts w:ascii="Times New Roman" w:hAnsi="Times New Roman" w:cs="Times New Roman"/>
          <w:sz w:val="24"/>
        </w:rPr>
        <w:t>’ as seen in the teacher whom had limited content knowledge. It would therefore seem that content knowledge holds a significant if not vital role if one wishes to teach</w:t>
      </w:r>
      <w:r w:rsidR="00940D05">
        <w:rPr>
          <w:rFonts w:ascii="Times New Roman" w:hAnsi="Times New Roman" w:cs="Times New Roman"/>
          <w:sz w:val="24"/>
        </w:rPr>
        <w:t xml:space="preserve"> effectively.</w:t>
      </w:r>
      <w:r w:rsidR="00832760">
        <w:rPr>
          <w:rFonts w:ascii="Times New Roman" w:hAnsi="Times New Roman" w:cs="Times New Roman"/>
          <w:sz w:val="24"/>
        </w:rPr>
        <w:t xml:space="preserve"> Coe et al (2014, p1) go as far to implicitly state ‘</w:t>
      </w:r>
      <w:r w:rsidR="00832760" w:rsidRPr="00832760">
        <w:rPr>
          <w:rFonts w:ascii="Times New Roman" w:hAnsi="Times New Roman" w:cs="Times New Roman"/>
          <w:sz w:val="24"/>
        </w:rPr>
        <w:t>The most effective teachers have deep knowledge of the subjects they teach</w:t>
      </w:r>
      <w:r w:rsidR="00832760">
        <w:rPr>
          <w:rFonts w:ascii="Times New Roman" w:hAnsi="Times New Roman" w:cs="Times New Roman"/>
          <w:sz w:val="24"/>
        </w:rPr>
        <w:t xml:space="preserve">’ as if to state a lack of subject knowledge would be an inexcusable failure to the learning process. </w:t>
      </w:r>
    </w:p>
    <w:p w14:paraId="623999CE" w14:textId="7AC357E1" w:rsidR="00756A54" w:rsidRDefault="007D009B">
      <w:pPr>
        <w:rPr>
          <w:rFonts w:ascii="Times New Roman" w:hAnsi="Times New Roman" w:cs="Times New Roman"/>
          <w:sz w:val="24"/>
        </w:rPr>
      </w:pPr>
      <w:r>
        <w:rPr>
          <w:rFonts w:ascii="Times New Roman" w:hAnsi="Times New Roman" w:cs="Times New Roman"/>
          <w:sz w:val="24"/>
        </w:rPr>
        <w:t xml:space="preserve">Whilst it would seem, at least at the surface, that content knowledge would be imperative to effective learning and teaching some research and scholars oppose the above stated ideologies entirely. </w:t>
      </w:r>
      <w:r w:rsidR="00141234">
        <w:rPr>
          <w:rFonts w:ascii="Times New Roman" w:hAnsi="Times New Roman" w:cs="Times New Roman"/>
          <w:sz w:val="24"/>
        </w:rPr>
        <w:t xml:space="preserve">John Hattie’s meta-analysis </w:t>
      </w:r>
      <w:r w:rsidR="0088369E">
        <w:rPr>
          <w:rFonts w:ascii="Times New Roman" w:hAnsi="Times New Roman" w:cs="Times New Roman"/>
          <w:sz w:val="24"/>
        </w:rPr>
        <w:t>of factors impacting the learning process is one such example which puts forth the notion that teacher content knowledge has very little impact on the learning process (Hattie, 20</w:t>
      </w:r>
      <w:r w:rsidR="0045188D">
        <w:rPr>
          <w:rFonts w:ascii="Times New Roman" w:hAnsi="Times New Roman" w:cs="Times New Roman"/>
          <w:sz w:val="24"/>
        </w:rPr>
        <w:t>11</w:t>
      </w:r>
      <w:r w:rsidR="0088369E">
        <w:rPr>
          <w:rFonts w:ascii="Times New Roman" w:hAnsi="Times New Roman" w:cs="Times New Roman"/>
          <w:sz w:val="24"/>
        </w:rPr>
        <w:t>)</w:t>
      </w:r>
      <w:r w:rsidR="0045188D">
        <w:rPr>
          <w:rFonts w:ascii="Times New Roman" w:hAnsi="Times New Roman" w:cs="Times New Roman"/>
          <w:sz w:val="24"/>
        </w:rPr>
        <w:t xml:space="preserve">. This stance is shared, though much more neutrally by </w:t>
      </w:r>
      <w:proofErr w:type="spellStart"/>
      <w:r w:rsidR="0045188D">
        <w:rPr>
          <w:rFonts w:ascii="Times New Roman" w:hAnsi="Times New Roman" w:cs="Times New Roman"/>
          <w:sz w:val="24"/>
        </w:rPr>
        <w:t>Heggart</w:t>
      </w:r>
      <w:proofErr w:type="spellEnd"/>
      <w:r w:rsidR="0045188D">
        <w:rPr>
          <w:rFonts w:ascii="Times New Roman" w:hAnsi="Times New Roman" w:cs="Times New Roman"/>
          <w:sz w:val="24"/>
        </w:rPr>
        <w:t xml:space="preserve"> (2016) as he states that ‘</w:t>
      </w:r>
      <w:r w:rsidR="0045188D" w:rsidRPr="0045188D">
        <w:rPr>
          <w:rFonts w:ascii="Times New Roman" w:hAnsi="Times New Roman" w:cs="Times New Roman"/>
          <w:sz w:val="24"/>
        </w:rPr>
        <w:t>there is much less correlation between teacher subject knowledge and student achievement than one might reasonably expect</w:t>
      </w:r>
      <w:r w:rsidR="0045188D">
        <w:rPr>
          <w:rFonts w:ascii="Times New Roman" w:hAnsi="Times New Roman" w:cs="Times New Roman"/>
          <w:sz w:val="24"/>
        </w:rPr>
        <w:t xml:space="preserve">’. </w:t>
      </w:r>
      <w:r w:rsidR="00940D05">
        <w:rPr>
          <w:rFonts w:ascii="Times New Roman" w:hAnsi="Times New Roman" w:cs="Times New Roman"/>
          <w:sz w:val="24"/>
        </w:rPr>
        <w:t xml:space="preserve">However, despite his stance </w:t>
      </w:r>
      <w:proofErr w:type="spellStart"/>
      <w:r w:rsidR="00940D05">
        <w:rPr>
          <w:rFonts w:ascii="Times New Roman" w:hAnsi="Times New Roman" w:cs="Times New Roman"/>
          <w:sz w:val="24"/>
        </w:rPr>
        <w:t>Heggart</w:t>
      </w:r>
      <w:proofErr w:type="spellEnd"/>
      <w:r w:rsidR="00940D05">
        <w:rPr>
          <w:rFonts w:ascii="Times New Roman" w:hAnsi="Times New Roman" w:cs="Times New Roman"/>
          <w:sz w:val="24"/>
        </w:rPr>
        <w:t xml:space="preserve"> does criticise the ‘isolation of independent factors’ in Hattie’s analysis believing this to have led to misinterpretation from the educators. </w:t>
      </w:r>
      <w:r w:rsidR="00BF3917">
        <w:rPr>
          <w:rFonts w:ascii="Times New Roman" w:hAnsi="Times New Roman" w:cs="Times New Roman"/>
          <w:sz w:val="24"/>
        </w:rPr>
        <w:t xml:space="preserve">Moreover, despite earlier acknowledgement of the impact subject knowledge has on pedagogy, Rowland et al </w:t>
      </w:r>
      <w:r w:rsidR="00C34BDE">
        <w:rPr>
          <w:rFonts w:ascii="Times New Roman" w:hAnsi="Times New Roman" w:cs="Times New Roman"/>
          <w:sz w:val="24"/>
        </w:rPr>
        <w:t>(</w:t>
      </w:r>
      <w:r w:rsidR="00D24AF3">
        <w:rPr>
          <w:rFonts w:ascii="Times New Roman" w:hAnsi="Times New Roman" w:cs="Times New Roman"/>
          <w:sz w:val="24"/>
        </w:rPr>
        <w:t xml:space="preserve">2003) </w:t>
      </w:r>
      <w:r w:rsidR="00BF3917">
        <w:rPr>
          <w:rFonts w:ascii="Times New Roman" w:hAnsi="Times New Roman" w:cs="Times New Roman"/>
          <w:sz w:val="24"/>
        </w:rPr>
        <w:t>also state that teaching performance and thus by extension the learning process is directly affected by</w:t>
      </w:r>
      <w:r w:rsidR="00BF3917" w:rsidRPr="00BF3917">
        <w:rPr>
          <w:rFonts w:ascii="Times New Roman" w:hAnsi="Times New Roman" w:cs="Times New Roman"/>
          <w:sz w:val="24"/>
        </w:rPr>
        <w:t xml:space="preserve"> </w:t>
      </w:r>
      <w:r w:rsidR="00BF3917">
        <w:rPr>
          <w:rFonts w:ascii="Times New Roman" w:hAnsi="Times New Roman" w:cs="Times New Roman"/>
          <w:sz w:val="24"/>
        </w:rPr>
        <w:t>‘</w:t>
      </w:r>
      <w:r w:rsidR="00BF3917" w:rsidRPr="00BF3917">
        <w:rPr>
          <w:rFonts w:ascii="Times New Roman" w:hAnsi="Times New Roman" w:cs="Times New Roman"/>
          <w:sz w:val="24"/>
        </w:rPr>
        <w:t>factors other than their subject content knowledge</w:t>
      </w:r>
      <w:r w:rsidR="00BF3917">
        <w:rPr>
          <w:rFonts w:ascii="Times New Roman" w:hAnsi="Times New Roman" w:cs="Times New Roman"/>
          <w:sz w:val="24"/>
        </w:rPr>
        <w:t>’. It can therefore be deduced that whilst subject knowledge is somewhat important, to what degree is still a topic of contention, in its isolation it is not as imperative as one might assume to the learning process. As with many things in education nothing is settled and if it is then it is often only in that state temporarily. It however is interesting that in practice and what was directly observed by Shulman seemed to differ to that which proceeded him</w:t>
      </w:r>
      <w:r w:rsidR="00D206EA">
        <w:rPr>
          <w:rFonts w:ascii="Times New Roman" w:hAnsi="Times New Roman" w:cs="Times New Roman"/>
          <w:sz w:val="24"/>
        </w:rPr>
        <w:t xml:space="preserve">; more specifically the findings of John Hattie. </w:t>
      </w:r>
    </w:p>
    <w:p w14:paraId="02F0EE41" w14:textId="712E3490" w:rsidR="00D206EA" w:rsidRDefault="00D206EA">
      <w:pPr>
        <w:rPr>
          <w:rFonts w:ascii="Times New Roman" w:hAnsi="Times New Roman" w:cs="Times New Roman"/>
          <w:sz w:val="24"/>
        </w:rPr>
      </w:pPr>
      <w:r>
        <w:rPr>
          <w:rFonts w:ascii="Times New Roman" w:hAnsi="Times New Roman" w:cs="Times New Roman"/>
          <w:sz w:val="24"/>
        </w:rPr>
        <w:t xml:space="preserve">However, </w:t>
      </w:r>
      <w:proofErr w:type="gramStart"/>
      <w:r>
        <w:rPr>
          <w:rFonts w:ascii="Times New Roman" w:hAnsi="Times New Roman" w:cs="Times New Roman"/>
          <w:sz w:val="24"/>
        </w:rPr>
        <w:t>the vast majority of</w:t>
      </w:r>
      <w:proofErr w:type="gramEnd"/>
      <w:r>
        <w:rPr>
          <w:rFonts w:ascii="Times New Roman" w:hAnsi="Times New Roman" w:cs="Times New Roman"/>
          <w:sz w:val="24"/>
        </w:rPr>
        <w:t xml:space="preserve"> the aforementioned studies and scholars undertook their observations under a curriculum with set boundaries with very little fluidity within each subject. For example, though one may be teaching science if one does not possess a strong grasp of mathematical knowledge for use in the scientific context</w:t>
      </w:r>
      <w:r w:rsidR="00832760">
        <w:rPr>
          <w:rFonts w:ascii="Times New Roman" w:hAnsi="Times New Roman" w:cs="Times New Roman"/>
          <w:sz w:val="24"/>
        </w:rPr>
        <w:t>,</w:t>
      </w:r>
      <w:r>
        <w:rPr>
          <w:rFonts w:ascii="Times New Roman" w:hAnsi="Times New Roman" w:cs="Times New Roman"/>
          <w:sz w:val="24"/>
        </w:rPr>
        <w:t xml:space="preserve"> are they therefore inadequate to teach science? </w:t>
      </w:r>
      <w:r w:rsidR="00832760">
        <w:rPr>
          <w:rFonts w:ascii="Times New Roman" w:hAnsi="Times New Roman" w:cs="Times New Roman"/>
          <w:sz w:val="24"/>
        </w:rPr>
        <w:t xml:space="preserve">Whilst the </w:t>
      </w:r>
      <w:proofErr w:type="gramStart"/>
      <w:r w:rsidR="00832760">
        <w:rPr>
          <w:rFonts w:ascii="Times New Roman" w:hAnsi="Times New Roman" w:cs="Times New Roman"/>
          <w:sz w:val="24"/>
        </w:rPr>
        <w:t>aforementioned studies</w:t>
      </w:r>
      <w:proofErr w:type="gramEnd"/>
      <w:r w:rsidR="00832760">
        <w:rPr>
          <w:rFonts w:ascii="Times New Roman" w:hAnsi="Times New Roman" w:cs="Times New Roman"/>
          <w:sz w:val="24"/>
        </w:rPr>
        <w:t xml:space="preserve"> refer to content knowledge within the singular subject, they do not refer to the interwoven nature of some subjects and how that relationship effects or is affected by content knowledge. With an impending switch to Donaldson’s areas of learning rather than </w:t>
      </w:r>
      <w:r w:rsidR="003D75E3">
        <w:rPr>
          <w:rFonts w:ascii="Times New Roman" w:hAnsi="Times New Roman" w:cs="Times New Roman"/>
          <w:sz w:val="24"/>
        </w:rPr>
        <w:t xml:space="preserve">a </w:t>
      </w:r>
      <w:r w:rsidR="00832760">
        <w:rPr>
          <w:rFonts w:ascii="Times New Roman" w:hAnsi="Times New Roman" w:cs="Times New Roman"/>
          <w:sz w:val="24"/>
        </w:rPr>
        <w:t>subject specific</w:t>
      </w:r>
      <w:r w:rsidR="003D75E3">
        <w:rPr>
          <w:rFonts w:ascii="Times New Roman" w:hAnsi="Times New Roman" w:cs="Times New Roman"/>
          <w:sz w:val="24"/>
        </w:rPr>
        <w:t xml:space="preserve"> curriculum</w:t>
      </w:r>
      <w:r w:rsidR="00832760">
        <w:rPr>
          <w:rFonts w:ascii="Times New Roman" w:hAnsi="Times New Roman" w:cs="Times New Roman"/>
          <w:sz w:val="24"/>
        </w:rPr>
        <w:t xml:space="preserve"> will specialist content knowledge be of a lesser value in favour of a more generalist pool of knowledge? </w:t>
      </w:r>
    </w:p>
    <w:p w14:paraId="14A37E83" w14:textId="29C25E06" w:rsidR="008C745A" w:rsidRDefault="008C745A">
      <w:pPr>
        <w:rPr>
          <w:rFonts w:ascii="Times New Roman" w:hAnsi="Times New Roman" w:cs="Times New Roman"/>
          <w:sz w:val="24"/>
        </w:rPr>
      </w:pPr>
      <w:r>
        <w:rPr>
          <w:rFonts w:ascii="Times New Roman" w:hAnsi="Times New Roman" w:cs="Times New Roman"/>
          <w:sz w:val="24"/>
        </w:rPr>
        <w:t xml:space="preserve">In this we see somewhat of consensus amongst most scholars of education. </w:t>
      </w:r>
      <w:proofErr w:type="gramStart"/>
      <w:r>
        <w:rPr>
          <w:rFonts w:ascii="Times New Roman" w:hAnsi="Times New Roman" w:cs="Times New Roman"/>
          <w:sz w:val="24"/>
        </w:rPr>
        <w:t>In spite of</w:t>
      </w:r>
      <w:proofErr w:type="gramEnd"/>
      <w:r>
        <w:rPr>
          <w:rFonts w:ascii="Times New Roman" w:hAnsi="Times New Roman" w:cs="Times New Roman"/>
          <w:sz w:val="24"/>
        </w:rPr>
        <w:t xml:space="preserve"> Shulman’s initial findings on subject knowledge he nevertheless concluded the following. ‘</w:t>
      </w:r>
      <w:r w:rsidRPr="008C745A">
        <w:rPr>
          <w:rFonts w:ascii="Times New Roman" w:hAnsi="Times New Roman" w:cs="Times New Roman"/>
          <w:sz w:val="24"/>
        </w:rPr>
        <w:t>To understand what a pupil understands will require a deep grasp of both the material to be taught and the processes of learnin</w:t>
      </w:r>
      <w:r>
        <w:rPr>
          <w:rFonts w:ascii="Times New Roman" w:hAnsi="Times New Roman" w:cs="Times New Roman"/>
          <w:sz w:val="24"/>
        </w:rPr>
        <w:t xml:space="preserve">g.’ Shulman (1987, p21). Moreover, several other scholars including those who disagree directly with his earlier findings come to similar more neutral positions when referring to content knowledge.  </w:t>
      </w:r>
      <w:proofErr w:type="spellStart"/>
      <w:r>
        <w:rPr>
          <w:rFonts w:ascii="Times New Roman" w:hAnsi="Times New Roman" w:cs="Times New Roman"/>
          <w:sz w:val="24"/>
        </w:rPr>
        <w:t>Heggart</w:t>
      </w:r>
      <w:proofErr w:type="spellEnd"/>
      <w:r>
        <w:rPr>
          <w:rFonts w:ascii="Times New Roman" w:hAnsi="Times New Roman" w:cs="Times New Roman"/>
          <w:sz w:val="24"/>
        </w:rPr>
        <w:t xml:space="preserve"> (2016) states that teachers require </w:t>
      </w:r>
      <w:r w:rsidRPr="008C745A">
        <w:rPr>
          <w:rFonts w:ascii="Times New Roman" w:hAnsi="Times New Roman" w:cs="Times New Roman"/>
          <w:sz w:val="24"/>
        </w:rPr>
        <w:t xml:space="preserve">‘a wide range of different skills and attitudes if they are to assist their students achieve high </w:t>
      </w:r>
      <w:r w:rsidRPr="008C745A">
        <w:rPr>
          <w:rFonts w:ascii="Times New Roman" w:hAnsi="Times New Roman" w:cs="Times New Roman"/>
          <w:sz w:val="24"/>
        </w:rPr>
        <w:lastRenderedPageBreak/>
        <w:t>outcomes</w:t>
      </w:r>
      <w:r>
        <w:rPr>
          <w:rFonts w:ascii="Times New Roman" w:hAnsi="Times New Roman" w:cs="Times New Roman"/>
          <w:sz w:val="24"/>
        </w:rPr>
        <w:t xml:space="preserve">.’ </w:t>
      </w:r>
      <w:r w:rsidR="00711AD2">
        <w:rPr>
          <w:rFonts w:ascii="Times New Roman" w:hAnsi="Times New Roman" w:cs="Times New Roman"/>
          <w:sz w:val="24"/>
        </w:rPr>
        <w:t xml:space="preserve">Coe et al (2014, p102) also acknowledge that teachers are affected and ‘constrained by factors other than content knowledge’. This is suggestive that the </w:t>
      </w:r>
      <w:proofErr w:type="gramStart"/>
      <w:r w:rsidR="00711AD2">
        <w:rPr>
          <w:rFonts w:ascii="Times New Roman" w:hAnsi="Times New Roman" w:cs="Times New Roman"/>
          <w:sz w:val="24"/>
        </w:rPr>
        <w:t>general consensus</w:t>
      </w:r>
      <w:proofErr w:type="gramEnd"/>
      <w:r w:rsidR="00711AD2">
        <w:rPr>
          <w:rFonts w:ascii="Times New Roman" w:hAnsi="Times New Roman" w:cs="Times New Roman"/>
          <w:sz w:val="24"/>
        </w:rPr>
        <w:t xml:space="preserve"> is that subject knowledge is merely a cog in a much larger machine albeit a rather important cog. </w:t>
      </w:r>
    </w:p>
    <w:p w14:paraId="209DE293" w14:textId="64F4CA47" w:rsidR="00711AD2" w:rsidRDefault="00711AD2">
      <w:pPr>
        <w:rPr>
          <w:rFonts w:ascii="Times New Roman" w:hAnsi="Times New Roman" w:cs="Times New Roman"/>
          <w:sz w:val="24"/>
        </w:rPr>
      </w:pPr>
      <w:r>
        <w:rPr>
          <w:rFonts w:ascii="Times New Roman" w:hAnsi="Times New Roman" w:cs="Times New Roman"/>
          <w:sz w:val="24"/>
        </w:rPr>
        <w:t xml:space="preserve">The literature surrounding teacher content knowledge does however present a cautionary note to the educator seemingly regardless of stance on content knowledge. </w:t>
      </w:r>
      <w:proofErr w:type="gramStart"/>
      <w:r>
        <w:rPr>
          <w:rFonts w:ascii="Times New Roman" w:hAnsi="Times New Roman" w:cs="Times New Roman"/>
          <w:sz w:val="24"/>
        </w:rPr>
        <w:t>Similar to</w:t>
      </w:r>
      <w:proofErr w:type="gramEnd"/>
      <w:r>
        <w:rPr>
          <w:rFonts w:ascii="Times New Roman" w:hAnsi="Times New Roman" w:cs="Times New Roman"/>
          <w:sz w:val="24"/>
        </w:rPr>
        <w:t xml:space="preserve"> the criticism of Hattie’s work, the literature seems to point out the danger of isolating individual factors in this case teacher content knowledge. Shulman (1987) states than </w:t>
      </w:r>
      <w:proofErr w:type="gramStart"/>
      <w:r>
        <w:rPr>
          <w:rFonts w:ascii="Times New Roman" w:hAnsi="Times New Roman" w:cs="Times New Roman"/>
          <w:sz w:val="24"/>
        </w:rPr>
        <w:t>in order for</w:t>
      </w:r>
      <w:proofErr w:type="gramEnd"/>
      <w:r>
        <w:rPr>
          <w:rFonts w:ascii="Times New Roman" w:hAnsi="Times New Roman" w:cs="Times New Roman"/>
          <w:sz w:val="24"/>
        </w:rPr>
        <w:t xml:space="preserve"> a positive change to occur in terms of the learning process teacher training can longer confine itself solely ‘</w:t>
      </w:r>
      <w:r w:rsidRPr="00711AD2">
        <w:rPr>
          <w:rFonts w:ascii="Times New Roman" w:hAnsi="Times New Roman" w:cs="Times New Roman"/>
          <w:sz w:val="24"/>
        </w:rPr>
        <w:t>to the content-free domains of pedagogy and supervision.</w:t>
      </w:r>
      <w:r>
        <w:rPr>
          <w:rFonts w:ascii="Times New Roman" w:hAnsi="Times New Roman" w:cs="Times New Roman"/>
          <w:sz w:val="24"/>
        </w:rPr>
        <w:t>’ He even goes as far to say such a focus</w:t>
      </w:r>
      <w:r w:rsidRPr="00711AD2">
        <w:rPr>
          <w:rFonts w:ascii="Times New Roman" w:hAnsi="Times New Roman" w:cs="Times New Roman"/>
          <w:sz w:val="24"/>
        </w:rPr>
        <w:t xml:space="preserve"> </w:t>
      </w:r>
      <w:r>
        <w:rPr>
          <w:rFonts w:ascii="Times New Roman" w:hAnsi="Times New Roman" w:cs="Times New Roman"/>
          <w:sz w:val="24"/>
        </w:rPr>
        <w:t>‘</w:t>
      </w:r>
      <w:r w:rsidRPr="00711AD2">
        <w:rPr>
          <w:rFonts w:ascii="Times New Roman" w:hAnsi="Times New Roman" w:cs="Times New Roman"/>
          <w:sz w:val="24"/>
        </w:rPr>
        <w:t>would permeate the teacher preparation curriculum</w:t>
      </w:r>
      <w:r>
        <w:rPr>
          <w:rFonts w:ascii="Times New Roman" w:hAnsi="Times New Roman" w:cs="Times New Roman"/>
          <w:sz w:val="24"/>
        </w:rPr>
        <w:t xml:space="preserve">’ thus compromising the learning process for future students and teachers alike. </w:t>
      </w:r>
      <w:proofErr w:type="spellStart"/>
      <w:r w:rsidR="00823964">
        <w:rPr>
          <w:rFonts w:ascii="Times New Roman" w:hAnsi="Times New Roman" w:cs="Times New Roman"/>
          <w:sz w:val="24"/>
        </w:rPr>
        <w:t>Heggart</w:t>
      </w:r>
      <w:proofErr w:type="spellEnd"/>
      <w:r w:rsidR="00823964">
        <w:rPr>
          <w:rFonts w:ascii="Times New Roman" w:hAnsi="Times New Roman" w:cs="Times New Roman"/>
          <w:sz w:val="24"/>
        </w:rPr>
        <w:t xml:space="preserve"> (2016) shares a similar position arguing that ‘</w:t>
      </w:r>
      <w:r w:rsidR="00823964" w:rsidRPr="00823964">
        <w:rPr>
          <w:rFonts w:ascii="Times New Roman" w:hAnsi="Times New Roman" w:cs="Times New Roman"/>
          <w:sz w:val="24"/>
        </w:rPr>
        <w:t>it would be foolish to isolate one of these skills to the exclusion of all others</w:t>
      </w:r>
      <w:r w:rsidR="00823964">
        <w:rPr>
          <w:rFonts w:ascii="Times New Roman" w:hAnsi="Times New Roman" w:cs="Times New Roman"/>
          <w:sz w:val="24"/>
        </w:rPr>
        <w:t xml:space="preserve">.’ Despite this, Shulman also dictates that whilst some focus on building a knowledge base in tandem with pedagogical knowledge would be beneficial the educational community must be wary not to focus to heavily solely on content knowledge in fear of becoming almost medicinal in practice thus losing the humanitarian aspects of what is it to teach and to craft the learning process. It is evident that for future curriculums or concepts to succeed that they must at the very least hold some value for subject knowledge but instead of enshrining it solely on its own but to instead see a bigger picture of which content knowledge is a part of. This can be modelled to some extent </w:t>
      </w:r>
      <w:r w:rsidR="008B48D8">
        <w:rPr>
          <w:rFonts w:ascii="Times New Roman" w:hAnsi="Times New Roman" w:cs="Times New Roman"/>
          <w:sz w:val="24"/>
        </w:rPr>
        <w:t xml:space="preserve">within The Knowledge Quartet which serves as an amalgamation of both subject matter knowledge (SMK) as discussed above, and pedagogical content knowledge (PCK). Within the knowledge we see how subject matter knowledge an important role in foundational knowledge informing beliefs on the topic area has but also how subject matter knowledge effects ‘contingency’ described as the ability ‘to think on one’s feet’ as noted earlier in some of Shulman’s case studies. Not only this but The Knowledge Quartet models how ‘transformation’ described as ‘the act of teaching’ and ‘connection’ described as ‘the planning or teaching across an episode’ is informed heavily by pedagogical content knowledge. In synchronisation this forms The Knowledge Quartet, as mentioned by both Shulman and </w:t>
      </w:r>
      <w:proofErr w:type="spellStart"/>
      <w:r w:rsidR="008B48D8">
        <w:rPr>
          <w:rFonts w:ascii="Times New Roman" w:hAnsi="Times New Roman" w:cs="Times New Roman"/>
          <w:sz w:val="24"/>
        </w:rPr>
        <w:t>Heggart</w:t>
      </w:r>
      <w:proofErr w:type="spellEnd"/>
      <w:r w:rsidR="008B48D8">
        <w:rPr>
          <w:rFonts w:ascii="Times New Roman" w:hAnsi="Times New Roman" w:cs="Times New Roman"/>
          <w:sz w:val="24"/>
        </w:rPr>
        <w:t xml:space="preserve"> this notes the issues surrounding focusing on just subject or pedagogical content knowledge</w:t>
      </w:r>
      <w:r w:rsidR="00D20A7A">
        <w:rPr>
          <w:rFonts w:ascii="Times New Roman" w:hAnsi="Times New Roman" w:cs="Times New Roman"/>
          <w:sz w:val="24"/>
        </w:rPr>
        <w:t xml:space="preserve"> and opts to utilise both together to inform both the teaching and learning processes. </w:t>
      </w:r>
    </w:p>
    <w:p w14:paraId="1E00EC4C" w14:textId="7A71C561" w:rsidR="00D20A7A" w:rsidRDefault="00D20A7A">
      <w:pPr>
        <w:rPr>
          <w:rFonts w:ascii="Times New Roman" w:hAnsi="Times New Roman" w:cs="Times New Roman"/>
          <w:sz w:val="24"/>
        </w:rPr>
      </w:pPr>
      <w:r>
        <w:rPr>
          <w:rFonts w:ascii="Times New Roman" w:hAnsi="Times New Roman" w:cs="Times New Roman"/>
          <w:sz w:val="24"/>
        </w:rPr>
        <w:t xml:space="preserve">In conclusion, the literature, whilst sharing differing opinions on the magnitude of importance that subject content knowledge deserves, seems to achieve a more </w:t>
      </w:r>
      <w:proofErr w:type="gramStart"/>
      <w:r>
        <w:rPr>
          <w:rFonts w:ascii="Times New Roman" w:hAnsi="Times New Roman" w:cs="Times New Roman"/>
          <w:sz w:val="24"/>
        </w:rPr>
        <w:t>general consensus</w:t>
      </w:r>
      <w:proofErr w:type="gramEnd"/>
      <w:r>
        <w:rPr>
          <w:rFonts w:ascii="Times New Roman" w:hAnsi="Times New Roman" w:cs="Times New Roman"/>
          <w:sz w:val="24"/>
        </w:rPr>
        <w:t xml:space="preserve"> amongst the education community. The notion that any one factor should dictate or sculpt the learning process </w:t>
      </w:r>
      <w:r w:rsidR="00134661">
        <w:rPr>
          <w:rFonts w:ascii="Times New Roman" w:hAnsi="Times New Roman" w:cs="Times New Roman"/>
          <w:sz w:val="24"/>
        </w:rPr>
        <w:t xml:space="preserve">is short sighted at best. It is evident that whilst subject matter knowledge is of value, most scholars believe it is a part of a good learning process but certainly not the deciding factor. If Donaldson’s new curriculum is to </w:t>
      </w:r>
      <w:r w:rsidR="00A8754D">
        <w:rPr>
          <w:rFonts w:ascii="Times New Roman" w:hAnsi="Times New Roman" w:cs="Times New Roman"/>
          <w:sz w:val="24"/>
        </w:rPr>
        <w:t xml:space="preserve">bring about effective learning and teaching it will need to do so on more than the merits of subject matter knowledge alone. In short subject matter knowledge certainly has a positive effect on effective learning, even by Hattie’s findings this is confirmed, </w:t>
      </w:r>
      <w:r w:rsidR="0011424B">
        <w:rPr>
          <w:rFonts w:ascii="Times New Roman" w:hAnsi="Times New Roman" w:cs="Times New Roman"/>
          <w:sz w:val="24"/>
        </w:rPr>
        <w:t>however it is not until we see it paired with pedagogical content knowledge that we see the desired outcome; effective learning and effective teachers.</w:t>
      </w:r>
    </w:p>
    <w:p w14:paraId="71EF1BE8" w14:textId="79AE0143" w:rsidR="0011424B" w:rsidRDefault="0011424B" w:rsidP="0011424B">
      <w:pPr>
        <w:ind w:left="720"/>
        <w:rPr>
          <w:rFonts w:ascii="Times New Roman" w:hAnsi="Times New Roman" w:cs="Times New Roman"/>
          <w:i/>
          <w:sz w:val="24"/>
        </w:rPr>
      </w:pPr>
      <w:r w:rsidRPr="0011424B">
        <w:rPr>
          <w:rFonts w:ascii="Times New Roman" w:hAnsi="Times New Roman" w:cs="Times New Roman"/>
          <w:i/>
          <w:sz w:val="24"/>
        </w:rPr>
        <w:t>‘A proper understanding of the knowledge base of teaching, the sources for that knowledge, and the complexities of the pedagogical process will make the emergence of such teachers more likely.’ (Shulman, 1987, p22)</w:t>
      </w:r>
    </w:p>
    <w:p w14:paraId="23735E41" w14:textId="4BD679A2" w:rsidR="0011424B" w:rsidRDefault="004B79A2" w:rsidP="0011424B">
      <w:pPr>
        <w:rPr>
          <w:rFonts w:ascii="Times New Roman" w:hAnsi="Times New Roman" w:cs="Times New Roman"/>
          <w:sz w:val="24"/>
        </w:rPr>
      </w:pPr>
      <w:r>
        <w:rPr>
          <w:rFonts w:ascii="Times New Roman" w:hAnsi="Times New Roman" w:cs="Times New Roman"/>
          <w:b/>
          <w:sz w:val="24"/>
          <w:u w:val="single"/>
        </w:rPr>
        <w:lastRenderedPageBreak/>
        <w:t>Analysis of subject knowledge on my professional teaching experience</w:t>
      </w:r>
    </w:p>
    <w:p w14:paraId="7E052499" w14:textId="728FF558" w:rsidR="004B79A2" w:rsidRDefault="006A7913" w:rsidP="0011424B">
      <w:pPr>
        <w:rPr>
          <w:rFonts w:ascii="Times New Roman" w:hAnsi="Times New Roman" w:cs="Times New Roman"/>
          <w:sz w:val="24"/>
        </w:rPr>
      </w:pPr>
      <w:r>
        <w:rPr>
          <w:rFonts w:ascii="Times New Roman" w:hAnsi="Times New Roman" w:cs="Times New Roman"/>
          <w:sz w:val="24"/>
        </w:rPr>
        <w:t>This section will refer specifically to my personal experiences regarding subject content knowledge and the relationship it has with effective learning and teaching on my professional teaching experience. In this section I will put forth my thoughts and any anecdotal evidence regarding how subject content knowledge affected my teaching and the learning process.</w:t>
      </w:r>
      <w:r w:rsidR="003B1A25">
        <w:rPr>
          <w:rFonts w:ascii="Times New Roman" w:hAnsi="Times New Roman" w:cs="Times New Roman"/>
          <w:sz w:val="24"/>
        </w:rPr>
        <w:t xml:space="preserve"> I will then relate this to any appropriate literature surrounding the topic area if indeed my experience matches </w:t>
      </w:r>
      <w:r w:rsidR="00E44D93">
        <w:rPr>
          <w:rFonts w:ascii="Times New Roman" w:hAnsi="Times New Roman" w:cs="Times New Roman"/>
          <w:sz w:val="24"/>
        </w:rPr>
        <w:t>any credible research or findings.</w:t>
      </w:r>
    </w:p>
    <w:p w14:paraId="17C422F0" w14:textId="7ED3A5B7" w:rsidR="00E44D93" w:rsidRDefault="00E44D93" w:rsidP="0011424B">
      <w:pPr>
        <w:rPr>
          <w:rFonts w:ascii="Times New Roman" w:hAnsi="Times New Roman" w:cs="Times New Roman"/>
          <w:sz w:val="24"/>
        </w:rPr>
      </w:pPr>
      <w:r>
        <w:rPr>
          <w:rFonts w:ascii="Times New Roman" w:hAnsi="Times New Roman" w:cs="Times New Roman"/>
          <w:sz w:val="24"/>
        </w:rPr>
        <w:t>For contextual purposes, I taught a year 4 class comprised predominantly of boys, there were several ALN students within the class also. Over the course of my experience at the school although I had the opportunity to teach most subjects on the current curriculum, the focus was largely on mathematics, more specifically money handling and related functions such as subtraction and addition, science in which the children explored mummification and decay in relation to their Ancient Egypt topic and also teaching welsh although this was very basic.</w:t>
      </w:r>
    </w:p>
    <w:p w14:paraId="234365EE" w14:textId="77F5C52D" w:rsidR="006A7913" w:rsidRDefault="00E44D93" w:rsidP="0011424B">
      <w:pPr>
        <w:rPr>
          <w:rFonts w:ascii="Times New Roman" w:hAnsi="Times New Roman" w:cs="Times New Roman"/>
          <w:sz w:val="24"/>
        </w:rPr>
      </w:pPr>
      <w:r>
        <w:rPr>
          <w:rFonts w:ascii="Times New Roman" w:hAnsi="Times New Roman" w:cs="Times New Roman"/>
          <w:sz w:val="24"/>
        </w:rPr>
        <w:t xml:space="preserve">I will first refer to the sessions on Welsh that were taught. The sessions themselves were for approximately 20 minutes a day </w:t>
      </w:r>
      <w:r w:rsidR="002D1411">
        <w:rPr>
          <w:rFonts w:ascii="Times New Roman" w:hAnsi="Times New Roman" w:cs="Times New Roman"/>
          <w:sz w:val="24"/>
        </w:rPr>
        <w:t>every day for two weeks</w:t>
      </w:r>
      <w:r w:rsidR="00523B2F">
        <w:rPr>
          <w:rFonts w:ascii="Times New Roman" w:hAnsi="Times New Roman" w:cs="Times New Roman"/>
          <w:sz w:val="24"/>
        </w:rPr>
        <w:t xml:space="preserve"> towards the end of my placement. The topics covered were very basic such as colours and describing yourself. As a non-welsh speaker who grew up in England welsh is certainly not a subject, I can consider myself to have a good grasp of subject knowledge on. It is here where it is apparent subject knowledge impacted my teaching style but also by extension the learning process. As mentioned above how ‘knowledge and beliefs’ inform pedagogical choices (Rowland et al, 2003, p97) </w:t>
      </w:r>
      <w:r w:rsidR="00D24AF3">
        <w:rPr>
          <w:rFonts w:ascii="Times New Roman" w:hAnsi="Times New Roman" w:cs="Times New Roman"/>
          <w:sz w:val="24"/>
        </w:rPr>
        <w:t>and i</w:t>
      </w:r>
      <w:r w:rsidR="00523B2F">
        <w:rPr>
          <w:rFonts w:ascii="Times New Roman" w:hAnsi="Times New Roman" w:cs="Times New Roman"/>
          <w:sz w:val="24"/>
        </w:rPr>
        <w:t xml:space="preserve">n place of a more interactive teaching style I became much more rigged and anxious for a variety of reasons. I noted that I engaged less with questioning from students as I knew I did not have the requisite knowledge to respond or even formulate a basic understanding. As a result of this I believe the learning suffered as I was unable to extend any learner beyond what was immediately available to me. </w:t>
      </w:r>
      <w:r w:rsidR="00B95ADF">
        <w:rPr>
          <w:rFonts w:ascii="Times New Roman" w:hAnsi="Times New Roman" w:cs="Times New Roman"/>
          <w:sz w:val="24"/>
        </w:rPr>
        <w:t>Moreover, because I did not have access to the appropriate subject content knowledge and therefore the ability to engage in questioning, I lost an important tool for feedback and assessment. Therefore, in this instance I believe that not only did my lack of subject content knowledge inform my pedagogical choices but instead forced me into them and adopting a teaching style I would otherwise have avoided. According to Hall (2016) questioning is one of the primary means by which teachers</w:t>
      </w:r>
      <w:r w:rsidR="00B95ADF" w:rsidRPr="00B95ADF">
        <w:rPr>
          <w:rFonts w:ascii="Times New Roman" w:hAnsi="Times New Roman" w:cs="Times New Roman"/>
          <w:sz w:val="24"/>
        </w:rPr>
        <w:t xml:space="preserve"> </w:t>
      </w:r>
      <w:r w:rsidR="00B95ADF">
        <w:rPr>
          <w:rFonts w:ascii="Times New Roman" w:hAnsi="Times New Roman" w:cs="Times New Roman"/>
          <w:sz w:val="24"/>
        </w:rPr>
        <w:t>‘</w:t>
      </w:r>
      <w:r w:rsidR="00B95ADF" w:rsidRPr="00B95ADF">
        <w:rPr>
          <w:rFonts w:ascii="Times New Roman" w:hAnsi="Times New Roman" w:cs="Times New Roman"/>
          <w:sz w:val="24"/>
        </w:rPr>
        <w:t>identify gaps in knowledge and understanding</w:t>
      </w:r>
      <w:r w:rsidR="00B95ADF">
        <w:rPr>
          <w:rFonts w:ascii="Times New Roman" w:hAnsi="Times New Roman" w:cs="Times New Roman"/>
          <w:sz w:val="24"/>
        </w:rPr>
        <w:t>’</w:t>
      </w:r>
      <w:r w:rsidR="00B95ADF" w:rsidRPr="00B95ADF">
        <w:rPr>
          <w:rFonts w:ascii="Times New Roman" w:hAnsi="Times New Roman" w:cs="Times New Roman"/>
          <w:sz w:val="24"/>
        </w:rPr>
        <w:t xml:space="preserve"> and </w:t>
      </w:r>
      <w:r w:rsidR="00B95ADF">
        <w:rPr>
          <w:rFonts w:ascii="Times New Roman" w:hAnsi="Times New Roman" w:cs="Times New Roman"/>
          <w:sz w:val="24"/>
        </w:rPr>
        <w:t xml:space="preserve">respond by scaffolding what they know to bridge the gap towards their aims and targets. This notion would indeed ratify my belief that due to my lack of subject knowledge the learning suffered. Perhaps most interestingly </w:t>
      </w:r>
      <w:r w:rsidR="00B66578">
        <w:rPr>
          <w:rFonts w:ascii="Times New Roman" w:hAnsi="Times New Roman" w:cs="Times New Roman"/>
          <w:sz w:val="24"/>
        </w:rPr>
        <w:t>are</w:t>
      </w:r>
      <w:r w:rsidR="00B95ADF">
        <w:rPr>
          <w:rFonts w:ascii="Times New Roman" w:hAnsi="Times New Roman" w:cs="Times New Roman"/>
          <w:sz w:val="24"/>
        </w:rPr>
        <w:t xml:space="preserve"> the similarities </w:t>
      </w:r>
      <w:r w:rsidR="001B0715">
        <w:rPr>
          <w:rFonts w:ascii="Times New Roman" w:hAnsi="Times New Roman" w:cs="Times New Roman"/>
          <w:sz w:val="24"/>
        </w:rPr>
        <w:t>I could see from my welsh sessions and Schulman’s case study involving a teacher who did not possess the relevant subject knowledge.</w:t>
      </w:r>
      <w:r w:rsidR="00B66578">
        <w:rPr>
          <w:rFonts w:ascii="Times New Roman" w:hAnsi="Times New Roman" w:cs="Times New Roman"/>
          <w:sz w:val="24"/>
        </w:rPr>
        <w:t xml:space="preserve"> According to Shulman (1987, p20) ‘</w:t>
      </w:r>
      <w:r w:rsidR="00B66578" w:rsidRPr="00B66578">
        <w:rPr>
          <w:rFonts w:ascii="Times New Roman" w:hAnsi="Times New Roman" w:cs="Times New Roman"/>
          <w:sz w:val="24"/>
        </w:rPr>
        <w:t>Her interactive style evaporated. In its place was a highly didactic, teacher-directed, swiftly paced combination of lecture and tightly-controlled recitation</w:t>
      </w:r>
      <w:r w:rsidR="00B66578">
        <w:rPr>
          <w:rFonts w:ascii="Times New Roman" w:hAnsi="Times New Roman" w:cs="Times New Roman"/>
          <w:sz w:val="24"/>
        </w:rPr>
        <w:t>’. This largely mirrored the pedagogy that took place during the welsh sessions. Whilst this is not something that I’m proud of it highlighted to me not only the significance of subject matter knowledge in terms of my pedagogical choices but also how it can indirectly affect other aspects of the learning process such as questioning. It is evident I will have to continue to develop my understanding of the welsh language so that I may appropriately engage with my students on the subject matter in the classroom.</w:t>
      </w:r>
    </w:p>
    <w:p w14:paraId="63EA259E" w14:textId="594A764F" w:rsidR="00B66578" w:rsidRPr="004B79A2" w:rsidRDefault="00B66578" w:rsidP="0011424B">
      <w:pPr>
        <w:rPr>
          <w:rFonts w:ascii="Times New Roman" w:hAnsi="Times New Roman" w:cs="Times New Roman"/>
          <w:sz w:val="24"/>
        </w:rPr>
      </w:pPr>
      <w:r>
        <w:rPr>
          <w:rFonts w:ascii="Times New Roman" w:hAnsi="Times New Roman" w:cs="Times New Roman"/>
          <w:sz w:val="24"/>
        </w:rPr>
        <w:lastRenderedPageBreak/>
        <w:t xml:space="preserve">In contrast to my experiences in Welsh </w:t>
      </w:r>
      <w:r w:rsidR="003037F9">
        <w:rPr>
          <w:rFonts w:ascii="Times New Roman" w:hAnsi="Times New Roman" w:cs="Times New Roman"/>
          <w:sz w:val="24"/>
        </w:rPr>
        <w:t>sessions my teaching of science provided a significantly different and hopefully improved experience for the learner and therefore the learning process. For context please see appendices for the science lesson plan in question.</w:t>
      </w:r>
      <w:r w:rsidR="00551E02">
        <w:rPr>
          <w:rFonts w:ascii="Times New Roman" w:hAnsi="Times New Roman" w:cs="Times New Roman"/>
          <w:sz w:val="24"/>
        </w:rPr>
        <w:t xml:space="preserve"> Throughout the session I noted a significant difference in my pedagogical approach. I was notably more interactive, welcomed questions and actively sought to encourage them. Moreover, as a result of attempting to develop scientific enquiry and evidenced based questioning in this instance it could be argued that the requisite subject knowledge is imperative as without it, I could not engage properly in questioning as noted by Shulman. Not only this but my demeanour switched from reserved to one of confidence. Though this is only anecdotal and cannot be proved retrospectively, it could be argued that as a result of this</w:t>
      </w:r>
      <w:r w:rsidR="00AC2CC4">
        <w:rPr>
          <w:rFonts w:ascii="Times New Roman" w:hAnsi="Times New Roman" w:cs="Times New Roman"/>
          <w:sz w:val="24"/>
        </w:rPr>
        <w:t>,</w:t>
      </w:r>
      <w:r w:rsidR="00551E02">
        <w:rPr>
          <w:rFonts w:ascii="Times New Roman" w:hAnsi="Times New Roman" w:cs="Times New Roman"/>
          <w:sz w:val="24"/>
        </w:rPr>
        <w:t xml:space="preserve"> my classroom management will have improved as the students could engage at a greater depth.</w:t>
      </w:r>
      <w:r w:rsidR="00D24AF3">
        <w:rPr>
          <w:rFonts w:ascii="Times New Roman" w:hAnsi="Times New Roman" w:cs="Times New Roman"/>
          <w:sz w:val="24"/>
        </w:rPr>
        <w:t xml:space="preserve"> Furthermore, as a result of having a better understanding of the topic area I could be more flexible in my approach should plans need amending on the spot. For example</w:t>
      </w:r>
      <w:r w:rsidR="00A75B2E">
        <w:rPr>
          <w:rFonts w:ascii="Times New Roman" w:hAnsi="Times New Roman" w:cs="Times New Roman"/>
          <w:sz w:val="24"/>
        </w:rPr>
        <w:t>,</w:t>
      </w:r>
      <w:r w:rsidR="00D24AF3">
        <w:rPr>
          <w:rFonts w:ascii="Times New Roman" w:hAnsi="Times New Roman" w:cs="Times New Roman"/>
          <w:sz w:val="24"/>
        </w:rPr>
        <w:t xml:space="preserve"> should a child present an idea, question or perhaps simply not engage with the work I had the ability to explore other means or methods as a result of having better foundational knowledge which in turn allowed for better contingency as shown by ‘The Knowledge Quartet’ (Rowland et al, 2003). </w:t>
      </w:r>
      <w:r w:rsidR="00A75B2E">
        <w:rPr>
          <w:rFonts w:ascii="Times New Roman" w:hAnsi="Times New Roman" w:cs="Times New Roman"/>
          <w:sz w:val="24"/>
        </w:rPr>
        <w:t xml:space="preserve">As noted by my mentor at the time, the main beneficiaries of having a better foundational knowledge, at least in this instance, were those with additional learning needs </w:t>
      </w:r>
      <w:proofErr w:type="gramStart"/>
      <w:r w:rsidR="00A75B2E">
        <w:rPr>
          <w:rFonts w:ascii="Times New Roman" w:hAnsi="Times New Roman" w:cs="Times New Roman"/>
          <w:sz w:val="24"/>
        </w:rPr>
        <w:t>and also</w:t>
      </w:r>
      <w:proofErr w:type="gramEnd"/>
      <w:r w:rsidR="00A75B2E">
        <w:rPr>
          <w:rFonts w:ascii="Times New Roman" w:hAnsi="Times New Roman" w:cs="Times New Roman"/>
          <w:sz w:val="24"/>
        </w:rPr>
        <w:t xml:space="preserve"> the more able and talented students. When referring to those with additional learning needs, with a better subject knowledge of mummification/ decay I could conceptualise the lesson better and offer different examples at a more appropriate level for them. As a result, they typically engaged better across sessions. By contrast, those who could be deemed more able and talented benefited from being able to engage not only in higher order questioning but also being able to explore predictions, hypothesis that otherwise may have been brushed aside. This concept is noted by Shulman (1987, p15) as he </w:t>
      </w:r>
      <w:r w:rsidR="00AC2CC4">
        <w:rPr>
          <w:rFonts w:ascii="Times New Roman" w:hAnsi="Times New Roman" w:cs="Times New Roman"/>
          <w:sz w:val="24"/>
        </w:rPr>
        <w:t>states that</w:t>
      </w:r>
      <w:r w:rsidR="00A75B2E">
        <w:rPr>
          <w:rFonts w:ascii="Times New Roman" w:hAnsi="Times New Roman" w:cs="Times New Roman"/>
          <w:sz w:val="24"/>
        </w:rPr>
        <w:t xml:space="preserve"> the knowledge basis for teaching is ‘</w:t>
      </w:r>
      <w:r w:rsidR="00A75B2E" w:rsidRPr="00A75B2E">
        <w:rPr>
          <w:rFonts w:ascii="Times New Roman" w:hAnsi="Times New Roman" w:cs="Times New Roman"/>
          <w:sz w:val="24"/>
        </w:rPr>
        <w:t>the capacity of a teacher to transform the content knowledge he or she possesses into forms that are pedagogically powerful</w:t>
      </w:r>
      <w:r w:rsidR="00A75B2E">
        <w:rPr>
          <w:rFonts w:ascii="Times New Roman" w:hAnsi="Times New Roman" w:cs="Times New Roman"/>
          <w:sz w:val="24"/>
        </w:rPr>
        <w:t>’.</w:t>
      </w:r>
      <w:r w:rsidR="00C314E7">
        <w:rPr>
          <w:rFonts w:ascii="Times New Roman" w:hAnsi="Times New Roman" w:cs="Times New Roman"/>
          <w:sz w:val="24"/>
        </w:rPr>
        <w:t xml:space="preserve"> I found that with greater subject matter knowledge I could respond better to students work giving more critical feedback for them to engage in. Whereas before it might have been a simple tick and a comment, I could now respond posing questions that I might feel would extend the learner in their thinking. In my experience, albeit in two extremes of competency, subject knowledge was crucial to me and my teaching and I believe </w:t>
      </w:r>
      <w:r w:rsidR="00DD5EB6">
        <w:rPr>
          <w:rFonts w:ascii="Times New Roman" w:hAnsi="Times New Roman" w:cs="Times New Roman"/>
          <w:sz w:val="24"/>
        </w:rPr>
        <w:t xml:space="preserve">it held a significant role in the learning process for the students. </w:t>
      </w:r>
    </w:p>
    <w:p w14:paraId="344F6675" w14:textId="37462CBE" w:rsidR="0009597F" w:rsidRDefault="000A0A28">
      <w:pPr>
        <w:rPr>
          <w:rFonts w:ascii="Times New Roman" w:hAnsi="Times New Roman" w:cs="Times New Roman"/>
          <w:sz w:val="24"/>
        </w:rPr>
      </w:pPr>
      <w:r>
        <w:rPr>
          <w:rFonts w:ascii="Times New Roman" w:hAnsi="Times New Roman" w:cs="Times New Roman"/>
          <w:sz w:val="24"/>
        </w:rPr>
        <w:t xml:space="preserve">As far as teaching mathematics was concerned the experience was largely </w:t>
      </w:r>
      <w:proofErr w:type="gramStart"/>
      <w:r>
        <w:rPr>
          <w:rFonts w:ascii="Times New Roman" w:hAnsi="Times New Roman" w:cs="Times New Roman"/>
          <w:sz w:val="24"/>
        </w:rPr>
        <w:t>similar to</w:t>
      </w:r>
      <w:proofErr w:type="gramEnd"/>
      <w:r>
        <w:rPr>
          <w:rFonts w:ascii="Times New Roman" w:hAnsi="Times New Roman" w:cs="Times New Roman"/>
          <w:sz w:val="24"/>
        </w:rPr>
        <w:t xml:space="preserve"> that of teaching science. However, in this instance I noticed a further development in how subject knowledge impacted my teaching and development of pedagogical knowledge. Due to having significantly more experience teaching science, whilst there is certainly more to learn, I felt my pedagogical knowledge was stronger when teaching science. As a result of this, throughout teaching mathematics over the course of the six weeks, with having a good subject matter knowledge, I could </w:t>
      </w:r>
      <w:r w:rsidR="00E50714">
        <w:rPr>
          <w:rFonts w:ascii="Times New Roman" w:hAnsi="Times New Roman" w:cs="Times New Roman"/>
          <w:sz w:val="24"/>
        </w:rPr>
        <w:t xml:space="preserve">focus, scrutinise and develop my pedagogical knowledge in maths much more critically. One such example was liaising with the teaching assistant to ensure that the needs of lower ability children were met. Initially, they struggled with the earlier sessions as I eventually discovered that the level at which the lesson/s were pitched was inaccessible to the lowest ability groups. </w:t>
      </w:r>
      <w:r w:rsidR="0009597F">
        <w:rPr>
          <w:rFonts w:ascii="Times New Roman" w:hAnsi="Times New Roman" w:cs="Times New Roman"/>
          <w:sz w:val="24"/>
        </w:rPr>
        <w:t>This may have been down to inexperience in teaching maths at this level or even an over reliance upon my subject knowledge in place of a lack in pedagogical knowledge. However, f</w:t>
      </w:r>
      <w:r w:rsidR="00E50714">
        <w:rPr>
          <w:rFonts w:ascii="Times New Roman" w:hAnsi="Times New Roman" w:cs="Times New Roman"/>
          <w:sz w:val="24"/>
        </w:rPr>
        <w:t xml:space="preserve">ollowing feedback and conversation with the teaching assistant, measures such as physical examples of coins, notes and more were used to </w:t>
      </w:r>
      <w:r w:rsidR="00E50714">
        <w:rPr>
          <w:rFonts w:ascii="Times New Roman" w:hAnsi="Times New Roman" w:cs="Times New Roman"/>
          <w:sz w:val="24"/>
        </w:rPr>
        <w:lastRenderedPageBreak/>
        <w:t>help conceptualise the lesson being taught. In this scenario I found that because I had a good subject knowledge, I could focus my efforts elsewhere developing my pedagogical approach and preparing resources which reflect these developments. This was largely beneficial, and I believe allowed me to progress significantly as a teaching professional. What I had undertaken as a result of building upon my subject content knowledge was the connection sequence of The Knowledge Quartet. This is defined as ‘</w:t>
      </w:r>
      <w:r w:rsidR="00E50714" w:rsidRPr="00E50714">
        <w:rPr>
          <w:rFonts w:ascii="Times New Roman" w:hAnsi="Times New Roman" w:cs="Times New Roman"/>
          <w:sz w:val="24"/>
        </w:rPr>
        <w:t>the sequencing of topics of instruction within and between lessons</w:t>
      </w:r>
      <w:r w:rsidR="00E50714">
        <w:rPr>
          <w:rFonts w:ascii="Times New Roman" w:hAnsi="Times New Roman" w:cs="Times New Roman"/>
          <w:sz w:val="24"/>
        </w:rPr>
        <w:t>’ including how tasks are ordered and put forth with deliberate intent ‘</w:t>
      </w:r>
      <w:r w:rsidR="00E50714" w:rsidRPr="00E50714">
        <w:rPr>
          <w:rFonts w:ascii="Times New Roman" w:hAnsi="Times New Roman" w:cs="Times New Roman"/>
          <w:sz w:val="24"/>
        </w:rPr>
        <w:t xml:space="preserve">entailing both knowledge of structural connections within mathematics and an awareness of the relative cognitive demands of different topics and </w:t>
      </w:r>
      <w:r w:rsidR="002F5ADF" w:rsidRPr="00E50714">
        <w:rPr>
          <w:rFonts w:ascii="Times New Roman" w:hAnsi="Times New Roman" w:cs="Times New Roman"/>
          <w:sz w:val="24"/>
        </w:rPr>
        <w:t>tasks</w:t>
      </w:r>
      <w:r w:rsidR="002F5ADF">
        <w:rPr>
          <w:rFonts w:ascii="Times New Roman" w:hAnsi="Times New Roman" w:cs="Times New Roman"/>
          <w:sz w:val="24"/>
        </w:rPr>
        <w:t>’ (Rowland et al, 2003, p98). It was apparent to me that as a result of a good topic understanding, I could utilise my subject knowledge to better other areas of the learning process for my students. Whilst this would be in direct contradiction to the findings of John Hattie</w:t>
      </w:r>
      <w:r w:rsidR="0009597F">
        <w:rPr>
          <w:rFonts w:ascii="Times New Roman" w:hAnsi="Times New Roman" w:cs="Times New Roman"/>
          <w:sz w:val="24"/>
        </w:rPr>
        <w:t xml:space="preserve"> as mentioned above</w:t>
      </w:r>
      <w:r w:rsidR="002F5ADF">
        <w:rPr>
          <w:rFonts w:ascii="Times New Roman" w:hAnsi="Times New Roman" w:cs="Times New Roman"/>
          <w:sz w:val="24"/>
        </w:rPr>
        <w:t xml:space="preserve">, I found that subject knowledge had many beneficial secondary and tertiary effects on other aspects of the learning process. In this I share a similar sentiment to Shulman and </w:t>
      </w:r>
      <w:proofErr w:type="spellStart"/>
      <w:r w:rsidR="002F5ADF">
        <w:rPr>
          <w:rFonts w:ascii="Times New Roman" w:hAnsi="Times New Roman" w:cs="Times New Roman"/>
          <w:sz w:val="24"/>
        </w:rPr>
        <w:t>Heggart</w:t>
      </w:r>
      <w:proofErr w:type="spellEnd"/>
      <w:r w:rsidR="00983287">
        <w:rPr>
          <w:rFonts w:ascii="Times New Roman" w:hAnsi="Times New Roman" w:cs="Times New Roman"/>
          <w:sz w:val="24"/>
        </w:rPr>
        <w:t>,</w:t>
      </w:r>
      <w:r w:rsidR="002F5ADF">
        <w:rPr>
          <w:rFonts w:ascii="Times New Roman" w:hAnsi="Times New Roman" w:cs="Times New Roman"/>
          <w:sz w:val="24"/>
        </w:rPr>
        <w:t xml:space="preserve"> in that subject knowledge is integral to the role of being an effective teacher and therefore </w:t>
      </w:r>
      <w:r w:rsidR="0009597F">
        <w:rPr>
          <w:rFonts w:ascii="Times New Roman" w:hAnsi="Times New Roman" w:cs="Times New Roman"/>
          <w:sz w:val="24"/>
        </w:rPr>
        <w:t>crucial to effective learning and student attainment. As warned by Shulman</w:t>
      </w:r>
      <w:r w:rsidR="00983287">
        <w:rPr>
          <w:rFonts w:ascii="Times New Roman" w:hAnsi="Times New Roman" w:cs="Times New Roman"/>
          <w:sz w:val="24"/>
        </w:rPr>
        <w:t xml:space="preserve"> (1987, p22) I</w:t>
      </w:r>
      <w:r w:rsidR="0009597F">
        <w:rPr>
          <w:rFonts w:ascii="Times New Roman" w:hAnsi="Times New Roman" w:cs="Times New Roman"/>
          <w:sz w:val="24"/>
        </w:rPr>
        <w:t xml:space="preserve"> cannot limit my own approach to ‘the content-free domains of pedagogy’ nor must I take an ‘overly technical’ approach through an over reliance on subject matter knowledge. With a new curriculum soon to be implemented it is evident that, as noted by several scholars mentioned above, that the modern teacher will require an array of skills with no one skill in isolation proving effective but instead the amalgamation of both subject content knowledge </w:t>
      </w:r>
      <w:r w:rsidR="00983287">
        <w:rPr>
          <w:rFonts w:ascii="Times New Roman" w:hAnsi="Times New Roman" w:cs="Times New Roman"/>
          <w:sz w:val="24"/>
        </w:rPr>
        <w:t>and pedagogical content knowledge.</w:t>
      </w:r>
    </w:p>
    <w:p w14:paraId="411BBA8C" w14:textId="1465CCFE" w:rsidR="00B95ADF" w:rsidRDefault="00983287">
      <w:pPr>
        <w:rPr>
          <w:rFonts w:ascii="Times New Roman" w:hAnsi="Times New Roman" w:cs="Times New Roman"/>
          <w:sz w:val="24"/>
        </w:rPr>
      </w:pPr>
      <w:r>
        <w:rPr>
          <w:rFonts w:ascii="Times New Roman" w:hAnsi="Times New Roman" w:cs="Times New Roman"/>
          <w:sz w:val="24"/>
        </w:rPr>
        <w:t xml:space="preserve">In conclusion, subject matter knowledge in complete isolation is perhaps useful but not imperative to the learning process. Despite this, through my own experiences as well as the beliefs and findings of several scholars, subject matter knowledge forms an integral part of the learning process and is certainly not to be overlooked. The relationship between subject matter knowledge and effective teaching and learning in the primary school setting is perhaps less direct and obvious than one might expect, however it certainly seems to prop up aid several other facets of the learning process as discussed above most notably the pedagogical approach of the teacher. Whilst subject matter knowledge may not be of the utmost importance, it is certainly something all teachers should strive for, not only to develop knowledge of the curriculum but also to build personal confidence in the classroom. As far as my own personal targets go, </w:t>
      </w:r>
      <w:r w:rsidR="00F33721">
        <w:rPr>
          <w:rFonts w:ascii="Times New Roman" w:hAnsi="Times New Roman" w:cs="Times New Roman"/>
          <w:sz w:val="24"/>
        </w:rPr>
        <w:t>I will seek to address my lack of understanding in Welsh through engaging in sessions at university, completing extra-curricular tasks on the topic as well as seeking advice where necessary. By continuing to teach welsh within the classroom I aim to develop content knowledge alongside the students and eventually utilise my bettered content knowledge to begin to develop my pedagogical knowledge where Welsh is concerned. Moreover, in other subject areas in which I am proficient I will seek to use those opportunities to hone other skills related to pedagogical approaches in the hope of making my skillset in relation to effective learning and teaching well rounded as mentioned above. Lastly, in topic areas in which I feel confident I must continue to communicate with additional staff members to ensure the accessibility of those sessions for all as well as ensuring I do not become over dependent on subject matter knowledge.</w:t>
      </w:r>
    </w:p>
    <w:p w14:paraId="02F9569F" w14:textId="77777777" w:rsidR="00F33721" w:rsidRDefault="00F33721">
      <w:pPr>
        <w:rPr>
          <w:rFonts w:ascii="Times New Roman" w:hAnsi="Times New Roman" w:cs="Times New Roman"/>
          <w:sz w:val="24"/>
        </w:rPr>
      </w:pPr>
    </w:p>
    <w:p w14:paraId="75406282" w14:textId="77777777" w:rsidR="00F33721" w:rsidRDefault="00F33721">
      <w:pPr>
        <w:rPr>
          <w:rFonts w:ascii="Times New Roman" w:hAnsi="Times New Roman" w:cs="Times New Roman"/>
          <w:sz w:val="24"/>
        </w:rPr>
      </w:pPr>
    </w:p>
    <w:p w14:paraId="2075E944" w14:textId="52443D12" w:rsidR="00F33721" w:rsidRDefault="00F33721">
      <w:pPr>
        <w:rPr>
          <w:rFonts w:ascii="Times New Roman" w:hAnsi="Times New Roman" w:cs="Times New Roman"/>
          <w:sz w:val="24"/>
        </w:rPr>
      </w:pPr>
      <w:r>
        <w:rPr>
          <w:rFonts w:ascii="Times New Roman" w:hAnsi="Times New Roman" w:cs="Times New Roman"/>
          <w:sz w:val="24"/>
        </w:rPr>
        <w:lastRenderedPageBreak/>
        <w:t>Appendi</w:t>
      </w:r>
      <w:r w:rsidR="00A73A7E">
        <w:rPr>
          <w:rFonts w:ascii="Times New Roman" w:hAnsi="Times New Roman" w:cs="Times New Roman"/>
          <w:sz w:val="24"/>
        </w:rPr>
        <w:t>x</w:t>
      </w:r>
      <w:r>
        <w:rPr>
          <w:rFonts w:ascii="Times New Roman" w:hAnsi="Times New Roman" w:cs="Times New Roman"/>
          <w:sz w:val="24"/>
        </w:rPr>
        <w:t xml:space="preserve">: </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F33721" w:rsidRPr="00F33721" w14:paraId="15A20EDC" w14:textId="77777777" w:rsidTr="00F33721">
        <w:tc>
          <w:tcPr>
            <w:tcW w:w="8613" w:type="dxa"/>
            <w:gridSpan w:val="11"/>
          </w:tcPr>
          <w:p w14:paraId="02D820B7" w14:textId="10B130EA" w:rsidR="00F33721" w:rsidRPr="00F33721" w:rsidRDefault="00F33721" w:rsidP="00F33721">
            <w:pPr>
              <w:rPr>
                <w:rFonts w:ascii="Times New Roman" w:hAnsi="Times New Roman" w:cs="Times New Roman"/>
                <w:b/>
                <w:bCs/>
                <w:sz w:val="24"/>
                <w:lang w:val="x-none"/>
              </w:rPr>
            </w:pPr>
            <w:r w:rsidRPr="00F33721">
              <w:rPr>
                <w:rFonts w:ascii="Times New Roman" w:hAnsi="Times New Roman" w:cs="Times New Roman"/>
                <w:b/>
                <w:bCs/>
                <w:sz w:val="24"/>
                <w:lang w:val="en-US"/>
              </w:rPr>
              <w:drawing>
                <wp:anchor distT="0" distB="0" distL="114300" distR="114300" simplePos="0" relativeHeight="251659264" behindDoc="1" locked="0" layoutInCell="1" allowOverlap="1" wp14:anchorId="0503EE43" wp14:editId="4C4BBD7D">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386BAB94" w14:textId="77777777" w:rsidR="00F33721" w:rsidRPr="00F33721" w:rsidRDefault="00F33721" w:rsidP="00F33721">
            <w:pPr>
              <w:rPr>
                <w:rFonts w:ascii="Times New Roman" w:hAnsi="Times New Roman" w:cs="Times New Roman"/>
                <w:bCs/>
                <w:sz w:val="24"/>
                <w:lang w:val="x-none"/>
              </w:rPr>
            </w:pPr>
            <w:r w:rsidRPr="00F33721">
              <w:rPr>
                <w:rFonts w:ascii="Times New Roman" w:hAnsi="Times New Roman" w:cs="Times New Roman"/>
                <w:b/>
                <w:bCs/>
                <w:sz w:val="24"/>
                <w:lang w:val="x-none"/>
              </w:rPr>
              <w:t>1B</w:t>
            </w:r>
          </w:p>
        </w:tc>
      </w:tr>
      <w:tr w:rsidR="00F33721" w:rsidRPr="00F33721" w14:paraId="538BA487" w14:textId="77777777" w:rsidTr="00F33721">
        <w:tc>
          <w:tcPr>
            <w:tcW w:w="9747" w:type="dxa"/>
            <w:gridSpan w:val="12"/>
          </w:tcPr>
          <w:p w14:paraId="0520B9FC" w14:textId="77777777" w:rsidR="00F33721" w:rsidRPr="00F33721" w:rsidRDefault="00F33721" w:rsidP="00F33721">
            <w:pPr>
              <w:rPr>
                <w:rFonts w:ascii="Times New Roman" w:hAnsi="Times New Roman" w:cs="Times New Roman"/>
                <w:b/>
                <w:bCs/>
                <w:sz w:val="24"/>
                <w:lang w:val="x-none"/>
              </w:rPr>
            </w:pPr>
            <w:r w:rsidRPr="00F33721">
              <w:rPr>
                <w:rFonts w:ascii="Times New Roman" w:hAnsi="Times New Roman" w:cs="Times New Roman"/>
                <w:b/>
                <w:bCs/>
                <w:sz w:val="24"/>
                <w:lang w:val="x-none"/>
              </w:rPr>
              <w:t>Session Plan – Key Stage 2</w:t>
            </w:r>
          </w:p>
        </w:tc>
      </w:tr>
      <w:tr w:rsidR="00F33721" w:rsidRPr="00F33721" w14:paraId="72207BEA" w14:textId="77777777" w:rsidTr="00F33721">
        <w:tc>
          <w:tcPr>
            <w:tcW w:w="1809" w:type="dxa"/>
            <w:gridSpan w:val="2"/>
            <w:tcBorders>
              <w:right w:val="nil"/>
            </w:tcBorders>
          </w:tcPr>
          <w:p w14:paraId="2F33C0C9"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Name of trainee:</w:t>
            </w:r>
          </w:p>
        </w:tc>
        <w:tc>
          <w:tcPr>
            <w:tcW w:w="3064" w:type="dxa"/>
            <w:gridSpan w:val="4"/>
            <w:tcBorders>
              <w:left w:val="nil"/>
            </w:tcBorders>
          </w:tcPr>
          <w:p w14:paraId="6F77AE84"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                    Ryan Friend      </w:t>
            </w:r>
          </w:p>
        </w:tc>
        <w:tc>
          <w:tcPr>
            <w:tcW w:w="1331" w:type="dxa"/>
            <w:gridSpan w:val="3"/>
            <w:tcBorders>
              <w:right w:val="nil"/>
            </w:tcBorders>
          </w:tcPr>
          <w:p w14:paraId="5D6EF370"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Session ref:</w:t>
            </w:r>
          </w:p>
        </w:tc>
        <w:tc>
          <w:tcPr>
            <w:tcW w:w="3543" w:type="dxa"/>
            <w:gridSpan w:val="3"/>
            <w:tcBorders>
              <w:left w:val="nil"/>
            </w:tcBorders>
          </w:tcPr>
          <w:p w14:paraId="047E08B3"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KS2</w:t>
            </w:r>
          </w:p>
        </w:tc>
      </w:tr>
      <w:tr w:rsidR="00F33721" w:rsidRPr="00F33721" w14:paraId="55D62049" w14:textId="77777777" w:rsidTr="00F33721">
        <w:tc>
          <w:tcPr>
            <w:tcW w:w="3510" w:type="dxa"/>
            <w:gridSpan w:val="4"/>
            <w:tcBorders>
              <w:bottom w:val="single" w:sz="4" w:space="0" w:color="auto"/>
              <w:right w:val="nil"/>
            </w:tcBorders>
          </w:tcPr>
          <w:p w14:paraId="633EA562"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Personal target(s) in relation to QTS: </w:t>
            </w:r>
          </w:p>
        </w:tc>
        <w:tc>
          <w:tcPr>
            <w:tcW w:w="6237" w:type="dxa"/>
            <w:gridSpan w:val="8"/>
            <w:tcBorders>
              <w:left w:val="nil"/>
              <w:bottom w:val="single" w:sz="4" w:space="0" w:color="auto"/>
            </w:tcBorders>
          </w:tcPr>
          <w:p w14:paraId="755B97A9"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S2.5 They know how to use ICT effectively, both to teach their subject and support their wider professional role.</w:t>
            </w:r>
          </w:p>
        </w:tc>
      </w:tr>
      <w:tr w:rsidR="00F33721" w:rsidRPr="00F33721" w14:paraId="49B132A5" w14:textId="77777777" w:rsidTr="00F33721">
        <w:tc>
          <w:tcPr>
            <w:tcW w:w="1384" w:type="dxa"/>
            <w:tcBorders>
              <w:left w:val="single" w:sz="4" w:space="0" w:color="auto"/>
              <w:right w:val="nil"/>
            </w:tcBorders>
            <w:shd w:val="clear" w:color="auto" w:fill="auto"/>
          </w:tcPr>
          <w:p w14:paraId="12A16DF5"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Year group:</w:t>
            </w:r>
          </w:p>
        </w:tc>
        <w:tc>
          <w:tcPr>
            <w:tcW w:w="1052" w:type="dxa"/>
            <w:gridSpan w:val="2"/>
            <w:tcBorders>
              <w:left w:val="nil"/>
            </w:tcBorders>
            <w:shd w:val="clear" w:color="auto" w:fill="auto"/>
          </w:tcPr>
          <w:p w14:paraId="560416E3"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4</w:t>
            </w:r>
          </w:p>
        </w:tc>
        <w:tc>
          <w:tcPr>
            <w:tcW w:w="1641" w:type="dxa"/>
            <w:gridSpan w:val="2"/>
            <w:tcBorders>
              <w:right w:val="nil"/>
            </w:tcBorders>
            <w:shd w:val="clear" w:color="auto" w:fill="auto"/>
          </w:tcPr>
          <w:p w14:paraId="75EED5DB"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No. of learners:</w:t>
            </w:r>
          </w:p>
        </w:tc>
        <w:tc>
          <w:tcPr>
            <w:tcW w:w="1134" w:type="dxa"/>
            <w:gridSpan w:val="2"/>
            <w:tcBorders>
              <w:left w:val="nil"/>
            </w:tcBorders>
            <w:shd w:val="clear" w:color="auto" w:fill="auto"/>
          </w:tcPr>
          <w:p w14:paraId="668F3921"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30</w:t>
            </w:r>
          </w:p>
        </w:tc>
        <w:tc>
          <w:tcPr>
            <w:tcW w:w="851" w:type="dxa"/>
            <w:tcBorders>
              <w:right w:val="nil"/>
            </w:tcBorders>
            <w:shd w:val="clear" w:color="auto" w:fill="auto"/>
          </w:tcPr>
          <w:p w14:paraId="1F8F8985"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i/>
                <w:sz w:val="24"/>
              </w:rPr>
              <w:t>ALN:</w:t>
            </w:r>
            <w:r w:rsidRPr="00F33721">
              <w:rPr>
                <w:rFonts w:ascii="Times New Roman" w:hAnsi="Times New Roman" w:cs="Times New Roman"/>
                <w:sz w:val="24"/>
              </w:rPr>
              <w:t xml:space="preserve"> </w:t>
            </w:r>
          </w:p>
        </w:tc>
        <w:tc>
          <w:tcPr>
            <w:tcW w:w="3685" w:type="dxa"/>
            <w:gridSpan w:val="4"/>
            <w:tcBorders>
              <w:left w:val="nil"/>
            </w:tcBorders>
            <w:shd w:val="clear" w:color="auto" w:fill="auto"/>
          </w:tcPr>
          <w:p w14:paraId="609B87AF"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Differentiation of support</w:t>
            </w:r>
          </w:p>
        </w:tc>
      </w:tr>
      <w:tr w:rsidR="00F33721" w:rsidRPr="00F33721" w14:paraId="2A403A6B" w14:textId="77777777" w:rsidTr="00F33721">
        <w:tc>
          <w:tcPr>
            <w:tcW w:w="2436" w:type="dxa"/>
            <w:gridSpan w:val="3"/>
            <w:shd w:val="clear" w:color="auto" w:fill="auto"/>
          </w:tcPr>
          <w:p w14:paraId="2DF0B743"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Additional Adults: </w:t>
            </w:r>
          </w:p>
        </w:tc>
        <w:tc>
          <w:tcPr>
            <w:tcW w:w="7311" w:type="dxa"/>
            <w:gridSpan w:val="9"/>
            <w:shd w:val="clear" w:color="auto" w:fill="auto"/>
          </w:tcPr>
          <w:p w14:paraId="06B35E95"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1</w:t>
            </w:r>
          </w:p>
        </w:tc>
      </w:tr>
      <w:tr w:rsidR="00F33721" w:rsidRPr="00F33721" w14:paraId="633F41F8" w14:textId="77777777" w:rsidTr="00F33721">
        <w:tc>
          <w:tcPr>
            <w:tcW w:w="5211" w:type="dxa"/>
            <w:gridSpan w:val="7"/>
          </w:tcPr>
          <w:p w14:paraId="7D0DEEDD"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Learning objective(s): To complete an investigation on mummification. </w:t>
            </w:r>
          </w:p>
        </w:tc>
        <w:tc>
          <w:tcPr>
            <w:tcW w:w="4536" w:type="dxa"/>
            <w:gridSpan w:val="5"/>
          </w:tcPr>
          <w:p w14:paraId="1A9185E1"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Success criteria: I can successfully engage in scientific enquiry.</w:t>
            </w:r>
          </w:p>
          <w:p w14:paraId="5BC9CA4D"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I can identify variables in an experiment. </w:t>
            </w:r>
          </w:p>
          <w:p w14:paraId="6762C356"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I understand the importance of fair testing.</w:t>
            </w:r>
          </w:p>
          <w:p w14:paraId="52ECB280"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I can make educated predictions about my work.</w:t>
            </w:r>
          </w:p>
          <w:p w14:paraId="5D88C6CB" w14:textId="77777777" w:rsidR="00F33721" w:rsidRPr="00F33721" w:rsidRDefault="00F33721" w:rsidP="00F33721">
            <w:pPr>
              <w:rPr>
                <w:rFonts w:ascii="Times New Roman" w:hAnsi="Times New Roman" w:cs="Times New Roman"/>
                <w:sz w:val="24"/>
              </w:rPr>
            </w:pPr>
          </w:p>
        </w:tc>
      </w:tr>
      <w:tr w:rsidR="00F33721" w:rsidRPr="00F33721" w14:paraId="0B4336A8" w14:textId="77777777" w:rsidTr="00F33721">
        <w:tc>
          <w:tcPr>
            <w:tcW w:w="9747" w:type="dxa"/>
            <w:gridSpan w:val="12"/>
          </w:tcPr>
          <w:p w14:paraId="0CD2BA56"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Links to previous learning:  Links to topic of Ancient Egypt and mummification, links to prior scientific investigation regarding scientific concepts.</w:t>
            </w:r>
          </w:p>
        </w:tc>
      </w:tr>
      <w:tr w:rsidR="00F33721" w:rsidRPr="00F33721" w14:paraId="5B670F8C" w14:textId="77777777" w:rsidTr="00F33721">
        <w:tc>
          <w:tcPr>
            <w:tcW w:w="9747" w:type="dxa"/>
            <w:gridSpan w:val="12"/>
          </w:tcPr>
          <w:p w14:paraId="2C949476"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Curriculum coverage (range, skills)</w:t>
            </w:r>
          </w:p>
          <w:p w14:paraId="5B104D01"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Fair test, embalming, mummification, Ancient Egypt, variables</w:t>
            </w:r>
          </w:p>
          <w:p w14:paraId="1B670CE9" w14:textId="77777777" w:rsidR="00F33721" w:rsidRPr="00F33721" w:rsidRDefault="00F33721" w:rsidP="00F33721">
            <w:pPr>
              <w:rPr>
                <w:rFonts w:ascii="Times New Roman" w:hAnsi="Times New Roman" w:cs="Times New Roman"/>
                <w:sz w:val="24"/>
              </w:rPr>
            </w:pPr>
          </w:p>
        </w:tc>
      </w:tr>
      <w:tr w:rsidR="00F33721" w:rsidRPr="00F33721" w14:paraId="41120D86" w14:textId="77777777" w:rsidTr="00F33721">
        <w:trPr>
          <w:trHeight w:val="444"/>
        </w:trPr>
        <w:tc>
          <w:tcPr>
            <w:tcW w:w="4873" w:type="dxa"/>
            <w:gridSpan w:val="6"/>
          </w:tcPr>
          <w:p w14:paraId="1BCC63F3" w14:textId="77777777" w:rsidR="00F33721" w:rsidRPr="00F33721" w:rsidRDefault="00F33721" w:rsidP="00F33721">
            <w:pPr>
              <w:rPr>
                <w:rFonts w:ascii="Times New Roman" w:hAnsi="Times New Roman" w:cs="Times New Roman"/>
                <w:i/>
                <w:sz w:val="24"/>
              </w:rPr>
            </w:pPr>
            <w:proofErr w:type="gramStart"/>
            <w:r w:rsidRPr="00F33721">
              <w:rPr>
                <w:rFonts w:ascii="Times New Roman" w:hAnsi="Times New Roman" w:cs="Times New Roman"/>
                <w:i/>
                <w:sz w:val="24"/>
              </w:rPr>
              <w:t>Literacy(</w:t>
            </w:r>
            <w:proofErr w:type="gramEnd"/>
            <w:r w:rsidRPr="00F33721">
              <w:rPr>
                <w:rFonts w:ascii="Times New Roman" w:hAnsi="Times New Roman" w:cs="Times New Roman"/>
                <w:i/>
                <w:sz w:val="24"/>
              </w:rPr>
              <w:t>LNF)</w:t>
            </w:r>
          </w:p>
          <w:p w14:paraId="0B231EF2"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contribute to group discussion and help everyone take part</w:t>
            </w:r>
          </w:p>
          <w:p w14:paraId="5D66F032"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use specific structures in writing, e.g. tables, questionnaires</w:t>
            </w:r>
          </w:p>
          <w:p w14:paraId="5119968A"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write an introduction, develop a series of ideas and a conclusion</w:t>
            </w:r>
          </w:p>
          <w:p w14:paraId="5DB106F2" w14:textId="77777777" w:rsidR="00F33721" w:rsidRPr="00F33721" w:rsidRDefault="00F33721" w:rsidP="00F33721">
            <w:pPr>
              <w:rPr>
                <w:rFonts w:ascii="Times New Roman" w:hAnsi="Times New Roman" w:cs="Times New Roman"/>
                <w:i/>
                <w:sz w:val="24"/>
              </w:rPr>
            </w:pPr>
          </w:p>
        </w:tc>
        <w:tc>
          <w:tcPr>
            <w:tcW w:w="4874" w:type="dxa"/>
            <w:gridSpan w:val="6"/>
          </w:tcPr>
          <w:p w14:paraId="6B645172"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Numeracy (LNF)</w:t>
            </w:r>
          </w:p>
          <w:p w14:paraId="029572F6"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explain results and procedures clearly using mathematical language</w:t>
            </w:r>
          </w:p>
          <w:p w14:paraId="3A67F440"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use appropriate notation, symbols and units of measurement</w:t>
            </w:r>
          </w:p>
        </w:tc>
      </w:tr>
      <w:tr w:rsidR="00F33721" w:rsidRPr="00F33721" w14:paraId="7D334BD3" w14:textId="77777777" w:rsidTr="00F33721">
        <w:trPr>
          <w:trHeight w:val="444"/>
        </w:trPr>
        <w:tc>
          <w:tcPr>
            <w:tcW w:w="2436" w:type="dxa"/>
            <w:gridSpan w:val="3"/>
          </w:tcPr>
          <w:p w14:paraId="6C9DA917"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DCF</w:t>
            </w:r>
          </w:p>
        </w:tc>
        <w:tc>
          <w:tcPr>
            <w:tcW w:w="2437" w:type="dxa"/>
            <w:gridSpan w:val="3"/>
          </w:tcPr>
          <w:p w14:paraId="776CC845"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Thinking</w:t>
            </w:r>
          </w:p>
          <w:p w14:paraId="234BF515"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 xml:space="preserve">How might each tomato react </w:t>
            </w:r>
            <w:r w:rsidRPr="00F33721">
              <w:rPr>
                <w:rFonts w:ascii="Times New Roman" w:hAnsi="Times New Roman" w:cs="Times New Roman"/>
                <w:i/>
                <w:sz w:val="24"/>
              </w:rPr>
              <w:lastRenderedPageBreak/>
              <w:t>differently to each environment?</w:t>
            </w:r>
          </w:p>
          <w:p w14:paraId="3405DD67"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 xml:space="preserve">How might I adapt this experiment? </w:t>
            </w:r>
          </w:p>
          <w:p w14:paraId="600B89CA"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Is what I’m doing maintaining a fair test.</w:t>
            </w:r>
          </w:p>
        </w:tc>
        <w:tc>
          <w:tcPr>
            <w:tcW w:w="2437" w:type="dxa"/>
            <w:gridSpan w:val="4"/>
          </w:tcPr>
          <w:p w14:paraId="35B1EE43"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lastRenderedPageBreak/>
              <w:t>ESDGC</w:t>
            </w:r>
          </w:p>
          <w:p w14:paraId="060E5F0E"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 xml:space="preserve">Understanding the role of mummification </w:t>
            </w:r>
            <w:r w:rsidRPr="00F33721">
              <w:rPr>
                <w:rFonts w:ascii="Times New Roman" w:hAnsi="Times New Roman" w:cs="Times New Roman"/>
                <w:i/>
                <w:sz w:val="24"/>
              </w:rPr>
              <w:lastRenderedPageBreak/>
              <w:t>and its place in Ancient Egyptian culture and beliefs.</w:t>
            </w:r>
          </w:p>
        </w:tc>
        <w:tc>
          <w:tcPr>
            <w:tcW w:w="2437" w:type="dxa"/>
            <w:gridSpan w:val="2"/>
          </w:tcPr>
          <w:p w14:paraId="70613FF9"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lastRenderedPageBreak/>
              <w:t>YCC</w:t>
            </w:r>
          </w:p>
          <w:p w14:paraId="5DE033E2"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Use of incidental welsh.</w:t>
            </w:r>
          </w:p>
        </w:tc>
      </w:tr>
      <w:tr w:rsidR="00F33721" w:rsidRPr="00F33721" w14:paraId="34BB2FB4" w14:textId="77777777" w:rsidTr="00F33721">
        <w:tc>
          <w:tcPr>
            <w:tcW w:w="9747" w:type="dxa"/>
            <w:gridSpan w:val="12"/>
          </w:tcPr>
          <w:p w14:paraId="33F0DEFB"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 xml:space="preserve">Key </w:t>
            </w:r>
            <w:proofErr w:type="gramStart"/>
            <w:r w:rsidRPr="00F33721">
              <w:rPr>
                <w:rFonts w:ascii="Times New Roman" w:hAnsi="Times New Roman" w:cs="Times New Roman"/>
                <w:i/>
                <w:sz w:val="24"/>
              </w:rPr>
              <w:t>vocabulary(</w:t>
            </w:r>
            <w:proofErr w:type="gramEnd"/>
            <w:r w:rsidRPr="00F33721">
              <w:rPr>
                <w:rFonts w:ascii="Times New Roman" w:hAnsi="Times New Roman" w:cs="Times New Roman"/>
                <w:i/>
                <w:sz w:val="24"/>
              </w:rPr>
              <w:t>English/Welsh):</w:t>
            </w:r>
          </w:p>
          <w:p w14:paraId="3AA70A71" w14:textId="77777777" w:rsidR="00F33721" w:rsidRPr="00F33721" w:rsidRDefault="00F33721" w:rsidP="00F33721">
            <w:pPr>
              <w:rPr>
                <w:rFonts w:ascii="Times New Roman" w:hAnsi="Times New Roman" w:cs="Times New Roman"/>
                <w:i/>
                <w:sz w:val="24"/>
              </w:rPr>
            </w:pPr>
            <w:r w:rsidRPr="00F33721">
              <w:rPr>
                <w:rFonts w:ascii="Times New Roman" w:hAnsi="Times New Roman" w:cs="Times New Roman"/>
                <w:i/>
                <w:sz w:val="24"/>
              </w:rPr>
              <w:t>Embalming, fair test, results, variables, scientific enquiry, data, Ancient Egypt, mummification</w:t>
            </w:r>
          </w:p>
          <w:p w14:paraId="354860ED" w14:textId="77777777" w:rsidR="00F33721" w:rsidRPr="00F33721" w:rsidRDefault="00F33721" w:rsidP="00F33721">
            <w:pPr>
              <w:rPr>
                <w:rFonts w:ascii="Times New Roman" w:hAnsi="Times New Roman" w:cs="Times New Roman"/>
                <w:sz w:val="24"/>
              </w:rPr>
            </w:pPr>
          </w:p>
        </w:tc>
      </w:tr>
    </w:tbl>
    <w:p w14:paraId="0C21CA6F" w14:textId="77777777" w:rsidR="00F33721" w:rsidRPr="00F33721" w:rsidRDefault="00F33721" w:rsidP="00F33721">
      <w:pPr>
        <w:rPr>
          <w:rFonts w:ascii="Times New Roman" w:hAnsi="Times New Roman" w:cs="Times New Roman"/>
          <w:vanish/>
          <w:sz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6"/>
        <w:gridCol w:w="5556"/>
        <w:gridCol w:w="11"/>
        <w:gridCol w:w="3204"/>
      </w:tblGrid>
      <w:tr w:rsidR="00F33721" w:rsidRPr="00F33721" w14:paraId="08B885BA" w14:textId="77777777" w:rsidTr="00F33721">
        <w:trPr>
          <w:trHeight w:val="434"/>
        </w:trPr>
        <w:tc>
          <w:tcPr>
            <w:tcW w:w="817" w:type="dxa"/>
          </w:tcPr>
          <w:p w14:paraId="075FC717"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Time</w:t>
            </w:r>
          </w:p>
          <w:p w14:paraId="00656AC4" w14:textId="77777777" w:rsidR="00F33721" w:rsidRPr="00F33721" w:rsidRDefault="00F33721" w:rsidP="00F33721">
            <w:pPr>
              <w:rPr>
                <w:rFonts w:ascii="Times New Roman" w:hAnsi="Times New Roman" w:cs="Times New Roman"/>
                <w:sz w:val="24"/>
              </w:rPr>
            </w:pPr>
          </w:p>
        </w:tc>
        <w:tc>
          <w:tcPr>
            <w:tcW w:w="5670" w:type="dxa"/>
            <w:tcBorders>
              <w:bottom w:val="single" w:sz="4" w:space="0" w:color="auto"/>
            </w:tcBorders>
          </w:tcPr>
          <w:p w14:paraId="4DBD9787"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Session activities, organisation and management</w:t>
            </w:r>
          </w:p>
        </w:tc>
        <w:tc>
          <w:tcPr>
            <w:tcW w:w="3260" w:type="dxa"/>
            <w:gridSpan w:val="2"/>
          </w:tcPr>
          <w:p w14:paraId="7D6AE3F7"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Key questions &amp; Assessment for Learning opportunities  </w:t>
            </w:r>
          </w:p>
        </w:tc>
      </w:tr>
      <w:tr w:rsidR="00F33721" w:rsidRPr="00F33721" w14:paraId="738C4A27" w14:textId="77777777" w:rsidTr="00F33721">
        <w:trPr>
          <w:trHeight w:val="272"/>
        </w:trPr>
        <w:tc>
          <w:tcPr>
            <w:tcW w:w="817" w:type="dxa"/>
            <w:vMerge w:val="restart"/>
            <w:vAlign w:val="center"/>
          </w:tcPr>
          <w:p w14:paraId="29EEE1F3"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10 minutes</w:t>
            </w:r>
          </w:p>
        </w:tc>
        <w:tc>
          <w:tcPr>
            <w:tcW w:w="5681" w:type="dxa"/>
            <w:gridSpan w:val="2"/>
            <w:tcBorders>
              <w:bottom w:val="nil"/>
            </w:tcBorders>
          </w:tcPr>
          <w:p w14:paraId="4C5EF5A7"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Introduction</w:t>
            </w:r>
          </w:p>
        </w:tc>
        <w:tc>
          <w:tcPr>
            <w:tcW w:w="3249" w:type="dxa"/>
            <w:tcBorders>
              <w:bottom w:val="nil"/>
            </w:tcBorders>
          </w:tcPr>
          <w:p w14:paraId="7202E15B" w14:textId="77777777" w:rsidR="00F33721" w:rsidRPr="00F33721" w:rsidRDefault="00F33721" w:rsidP="00F33721">
            <w:pPr>
              <w:rPr>
                <w:rFonts w:ascii="Times New Roman" w:hAnsi="Times New Roman" w:cs="Times New Roman"/>
                <w:sz w:val="24"/>
              </w:rPr>
            </w:pPr>
          </w:p>
        </w:tc>
      </w:tr>
      <w:tr w:rsidR="00F33721" w:rsidRPr="00F33721" w14:paraId="3A452862" w14:textId="77777777" w:rsidTr="00F33721">
        <w:trPr>
          <w:trHeight w:val="256"/>
        </w:trPr>
        <w:tc>
          <w:tcPr>
            <w:tcW w:w="817" w:type="dxa"/>
            <w:vMerge/>
            <w:vAlign w:val="center"/>
          </w:tcPr>
          <w:p w14:paraId="6805C229" w14:textId="77777777" w:rsidR="00F33721" w:rsidRPr="00F33721" w:rsidRDefault="00F33721" w:rsidP="00F33721">
            <w:pPr>
              <w:rPr>
                <w:rFonts w:ascii="Times New Roman" w:hAnsi="Times New Roman" w:cs="Times New Roman"/>
                <w:sz w:val="24"/>
              </w:rPr>
            </w:pPr>
          </w:p>
        </w:tc>
        <w:tc>
          <w:tcPr>
            <w:tcW w:w="5681" w:type="dxa"/>
            <w:gridSpan w:val="2"/>
            <w:vMerge w:val="restart"/>
            <w:tcBorders>
              <w:top w:val="nil"/>
            </w:tcBorders>
          </w:tcPr>
          <w:p w14:paraId="3FF692CF" w14:textId="77777777" w:rsidR="00F33721" w:rsidRPr="00F33721" w:rsidRDefault="00F33721" w:rsidP="00F33721">
            <w:pPr>
              <w:rPr>
                <w:rFonts w:ascii="Times New Roman" w:hAnsi="Times New Roman" w:cs="Times New Roman"/>
                <w:sz w:val="24"/>
              </w:rPr>
            </w:pPr>
          </w:p>
          <w:p w14:paraId="716AE8F6" w14:textId="77777777" w:rsidR="00F33721" w:rsidRPr="00F33721" w:rsidRDefault="00F33721" w:rsidP="00F33721">
            <w:pPr>
              <w:rPr>
                <w:rFonts w:ascii="Times New Roman" w:hAnsi="Times New Roman" w:cs="Times New Roman"/>
                <w:sz w:val="24"/>
              </w:rPr>
            </w:pPr>
          </w:p>
          <w:p w14:paraId="2D78166F" w14:textId="77777777" w:rsidR="00F33721" w:rsidRPr="00F33721" w:rsidRDefault="00F33721" w:rsidP="00F33721">
            <w:pPr>
              <w:rPr>
                <w:rFonts w:ascii="Times New Roman" w:hAnsi="Times New Roman" w:cs="Times New Roman"/>
                <w:sz w:val="24"/>
              </w:rPr>
            </w:pPr>
          </w:p>
          <w:p w14:paraId="73017DE8"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Students to be briefed on task ahead as well as exploring PowerPoint laying out structure of investigation as well as the scientific perspective on mummification and preservation. This will be linked back to previous topics covered throughout humanities lessons on mummification and preservation. Expectations of student behaviour regarding task to be laid out to set out understanding of task. </w:t>
            </w:r>
          </w:p>
        </w:tc>
        <w:tc>
          <w:tcPr>
            <w:tcW w:w="3249" w:type="dxa"/>
            <w:tcBorders>
              <w:top w:val="nil"/>
              <w:bottom w:val="nil"/>
            </w:tcBorders>
          </w:tcPr>
          <w:p w14:paraId="1B482877" w14:textId="77777777" w:rsidR="00F33721" w:rsidRPr="00F33721" w:rsidRDefault="00F33721" w:rsidP="00F33721">
            <w:pPr>
              <w:rPr>
                <w:rFonts w:ascii="Times New Roman" w:hAnsi="Times New Roman" w:cs="Times New Roman"/>
                <w:sz w:val="24"/>
              </w:rPr>
            </w:pPr>
          </w:p>
        </w:tc>
      </w:tr>
      <w:tr w:rsidR="00F33721" w:rsidRPr="00F33721" w14:paraId="262BA65F" w14:textId="77777777" w:rsidTr="00F33721">
        <w:trPr>
          <w:trHeight w:val="256"/>
        </w:trPr>
        <w:tc>
          <w:tcPr>
            <w:tcW w:w="817" w:type="dxa"/>
            <w:vMerge/>
            <w:vAlign w:val="center"/>
          </w:tcPr>
          <w:p w14:paraId="0A2B1890" w14:textId="77777777" w:rsidR="00F33721" w:rsidRPr="00F33721" w:rsidRDefault="00F33721" w:rsidP="00F33721">
            <w:pPr>
              <w:rPr>
                <w:rFonts w:ascii="Times New Roman" w:hAnsi="Times New Roman" w:cs="Times New Roman"/>
                <w:sz w:val="24"/>
              </w:rPr>
            </w:pPr>
          </w:p>
        </w:tc>
        <w:tc>
          <w:tcPr>
            <w:tcW w:w="5681" w:type="dxa"/>
            <w:gridSpan w:val="2"/>
            <w:vMerge/>
          </w:tcPr>
          <w:p w14:paraId="325A0170"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41F5F736"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AFL- Opportunity to traffic light learning objective as well as present their ideas to the class and rationalise/ extend their own thinking. </w:t>
            </w:r>
          </w:p>
          <w:p w14:paraId="14199E13" w14:textId="77777777" w:rsidR="00F33721" w:rsidRPr="00F33721" w:rsidRDefault="00F33721" w:rsidP="00F33721">
            <w:pPr>
              <w:rPr>
                <w:rFonts w:ascii="Times New Roman" w:hAnsi="Times New Roman" w:cs="Times New Roman"/>
                <w:sz w:val="24"/>
              </w:rPr>
            </w:pPr>
          </w:p>
          <w:p w14:paraId="35D1EF02"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Is my test both fair and reliable?</w:t>
            </w:r>
          </w:p>
          <w:p w14:paraId="51CAEABB"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Why is a fair test important?</w:t>
            </w:r>
          </w:p>
          <w:p w14:paraId="709BDAF4"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What comparisons can I draw from the mummification of Pharaohs to this investigation.</w:t>
            </w:r>
          </w:p>
        </w:tc>
      </w:tr>
      <w:tr w:rsidR="00F33721" w:rsidRPr="00F33721" w14:paraId="1905A8C5" w14:textId="77777777" w:rsidTr="00F33721">
        <w:trPr>
          <w:trHeight w:val="256"/>
        </w:trPr>
        <w:tc>
          <w:tcPr>
            <w:tcW w:w="817" w:type="dxa"/>
            <w:vMerge/>
            <w:vAlign w:val="center"/>
          </w:tcPr>
          <w:p w14:paraId="739A5B5B" w14:textId="77777777" w:rsidR="00F33721" w:rsidRPr="00F33721" w:rsidRDefault="00F33721" w:rsidP="00F33721">
            <w:pPr>
              <w:rPr>
                <w:rFonts w:ascii="Times New Roman" w:hAnsi="Times New Roman" w:cs="Times New Roman"/>
                <w:sz w:val="24"/>
              </w:rPr>
            </w:pPr>
          </w:p>
        </w:tc>
        <w:tc>
          <w:tcPr>
            <w:tcW w:w="5681" w:type="dxa"/>
            <w:gridSpan w:val="2"/>
            <w:vMerge/>
          </w:tcPr>
          <w:p w14:paraId="03AFB1E4"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064826D0" w14:textId="77777777" w:rsidR="00F33721" w:rsidRPr="00F33721" w:rsidRDefault="00F33721" w:rsidP="00F33721">
            <w:pPr>
              <w:rPr>
                <w:rFonts w:ascii="Times New Roman" w:hAnsi="Times New Roman" w:cs="Times New Roman"/>
                <w:sz w:val="24"/>
              </w:rPr>
            </w:pPr>
          </w:p>
        </w:tc>
      </w:tr>
      <w:tr w:rsidR="00F33721" w:rsidRPr="00F33721" w14:paraId="7305A5E7" w14:textId="77777777" w:rsidTr="00F33721">
        <w:trPr>
          <w:trHeight w:val="256"/>
        </w:trPr>
        <w:tc>
          <w:tcPr>
            <w:tcW w:w="817" w:type="dxa"/>
            <w:vMerge/>
            <w:vAlign w:val="center"/>
          </w:tcPr>
          <w:p w14:paraId="092851AE" w14:textId="77777777" w:rsidR="00F33721" w:rsidRPr="00F33721" w:rsidRDefault="00F33721" w:rsidP="00F33721">
            <w:pPr>
              <w:rPr>
                <w:rFonts w:ascii="Times New Roman" w:hAnsi="Times New Roman" w:cs="Times New Roman"/>
                <w:sz w:val="24"/>
              </w:rPr>
            </w:pPr>
          </w:p>
        </w:tc>
        <w:tc>
          <w:tcPr>
            <w:tcW w:w="5681" w:type="dxa"/>
            <w:gridSpan w:val="2"/>
            <w:vMerge/>
          </w:tcPr>
          <w:p w14:paraId="6AD237F5"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1DB9913D" w14:textId="77777777" w:rsidR="00F33721" w:rsidRPr="00F33721" w:rsidRDefault="00F33721" w:rsidP="00F33721">
            <w:pPr>
              <w:rPr>
                <w:rFonts w:ascii="Times New Roman" w:hAnsi="Times New Roman" w:cs="Times New Roman"/>
                <w:sz w:val="24"/>
              </w:rPr>
            </w:pPr>
          </w:p>
        </w:tc>
      </w:tr>
      <w:tr w:rsidR="00F33721" w:rsidRPr="00F33721" w14:paraId="49958863" w14:textId="77777777" w:rsidTr="00F33721">
        <w:trPr>
          <w:trHeight w:val="256"/>
        </w:trPr>
        <w:tc>
          <w:tcPr>
            <w:tcW w:w="817" w:type="dxa"/>
            <w:vMerge/>
            <w:vAlign w:val="center"/>
          </w:tcPr>
          <w:p w14:paraId="3ABA7977" w14:textId="77777777" w:rsidR="00F33721" w:rsidRPr="00F33721" w:rsidRDefault="00F33721" w:rsidP="00F33721">
            <w:pPr>
              <w:rPr>
                <w:rFonts w:ascii="Times New Roman" w:hAnsi="Times New Roman" w:cs="Times New Roman"/>
                <w:sz w:val="24"/>
              </w:rPr>
            </w:pPr>
          </w:p>
        </w:tc>
        <w:tc>
          <w:tcPr>
            <w:tcW w:w="5681" w:type="dxa"/>
            <w:gridSpan w:val="2"/>
            <w:vMerge/>
          </w:tcPr>
          <w:p w14:paraId="1ED2AF76"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13A2048E" w14:textId="77777777" w:rsidR="00F33721" w:rsidRPr="00F33721" w:rsidRDefault="00F33721" w:rsidP="00F33721">
            <w:pPr>
              <w:rPr>
                <w:rFonts w:ascii="Times New Roman" w:hAnsi="Times New Roman" w:cs="Times New Roman"/>
                <w:sz w:val="24"/>
              </w:rPr>
            </w:pPr>
          </w:p>
        </w:tc>
      </w:tr>
      <w:tr w:rsidR="00F33721" w:rsidRPr="00F33721" w14:paraId="7D5FC57A" w14:textId="77777777" w:rsidTr="00F33721">
        <w:trPr>
          <w:trHeight w:val="256"/>
        </w:trPr>
        <w:tc>
          <w:tcPr>
            <w:tcW w:w="817" w:type="dxa"/>
            <w:vMerge/>
            <w:vAlign w:val="center"/>
          </w:tcPr>
          <w:p w14:paraId="089E1EC7" w14:textId="77777777" w:rsidR="00F33721" w:rsidRPr="00F33721" w:rsidRDefault="00F33721" w:rsidP="00F33721">
            <w:pPr>
              <w:rPr>
                <w:rFonts w:ascii="Times New Roman" w:hAnsi="Times New Roman" w:cs="Times New Roman"/>
                <w:sz w:val="24"/>
              </w:rPr>
            </w:pPr>
          </w:p>
        </w:tc>
        <w:tc>
          <w:tcPr>
            <w:tcW w:w="5681" w:type="dxa"/>
            <w:gridSpan w:val="2"/>
            <w:vMerge/>
          </w:tcPr>
          <w:p w14:paraId="350F5F7B"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29CECB73" w14:textId="77777777" w:rsidR="00F33721" w:rsidRPr="00F33721" w:rsidRDefault="00F33721" w:rsidP="00F33721">
            <w:pPr>
              <w:rPr>
                <w:rFonts w:ascii="Times New Roman" w:hAnsi="Times New Roman" w:cs="Times New Roman"/>
                <w:sz w:val="24"/>
              </w:rPr>
            </w:pPr>
          </w:p>
        </w:tc>
      </w:tr>
      <w:tr w:rsidR="00F33721" w:rsidRPr="00F33721" w14:paraId="01F28528" w14:textId="77777777" w:rsidTr="00F33721">
        <w:trPr>
          <w:trHeight w:val="256"/>
        </w:trPr>
        <w:tc>
          <w:tcPr>
            <w:tcW w:w="817" w:type="dxa"/>
            <w:vMerge/>
            <w:vAlign w:val="center"/>
          </w:tcPr>
          <w:p w14:paraId="5E27DD31" w14:textId="77777777" w:rsidR="00F33721" w:rsidRPr="00F33721" w:rsidRDefault="00F33721" w:rsidP="00F33721">
            <w:pPr>
              <w:rPr>
                <w:rFonts w:ascii="Times New Roman" w:hAnsi="Times New Roman" w:cs="Times New Roman"/>
                <w:sz w:val="24"/>
              </w:rPr>
            </w:pPr>
          </w:p>
        </w:tc>
        <w:tc>
          <w:tcPr>
            <w:tcW w:w="5681" w:type="dxa"/>
            <w:gridSpan w:val="2"/>
            <w:vMerge/>
          </w:tcPr>
          <w:p w14:paraId="3A5D9504"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332A89BA" w14:textId="77777777" w:rsidR="00F33721" w:rsidRPr="00F33721" w:rsidRDefault="00F33721" w:rsidP="00F33721">
            <w:pPr>
              <w:rPr>
                <w:rFonts w:ascii="Times New Roman" w:hAnsi="Times New Roman" w:cs="Times New Roman"/>
                <w:sz w:val="24"/>
              </w:rPr>
            </w:pPr>
          </w:p>
        </w:tc>
      </w:tr>
      <w:tr w:rsidR="00F33721" w:rsidRPr="00F33721" w14:paraId="79C7F0ED" w14:textId="77777777" w:rsidTr="00F33721">
        <w:trPr>
          <w:trHeight w:val="256"/>
        </w:trPr>
        <w:tc>
          <w:tcPr>
            <w:tcW w:w="817" w:type="dxa"/>
            <w:vMerge/>
            <w:vAlign w:val="center"/>
          </w:tcPr>
          <w:p w14:paraId="4FEB082D" w14:textId="77777777" w:rsidR="00F33721" w:rsidRPr="00F33721" w:rsidRDefault="00F33721" w:rsidP="00F33721">
            <w:pPr>
              <w:rPr>
                <w:rFonts w:ascii="Times New Roman" w:hAnsi="Times New Roman" w:cs="Times New Roman"/>
                <w:sz w:val="24"/>
              </w:rPr>
            </w:pPr>
          </w:p>
        </w:tc>
        <w:tc>
          <w:tcPr>
            <w:tcW w:w="5681" w:type="dxa"/>
            <w:gridSpan w:val="2"/>
            <w:vMerge/>
          </w:tcPr>
          <w:p w14:paraId="06A58C7B"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180B04E8" w14:textId="77777777" w:rsidR="00F33721" w:rsidRPr="00F33721" w:rsidRDefault="00F33721" w:rsidP="00F33721">
            <w:pPr>
              <w:rPr>
                <w:rFonts w:ascii="Times New Roman" w:hAnsi="Times New Roman" w:cs="Times New Roman"/>
                <w:sz w:val="24"/>
              </w:rPr>
            </w:pPr>
          </w:p>
        </w:tc>
      </w:tr>
      <w:tr w:rsidR="00F33721" w:rsidRPr="00F33721" w14:paraId="3D474C95" w14:textId="77777777" w:rsidTr="00F33721">
        <w:trPr>
          <w:trHeight w:val="256"/>
        </w:trPr>
        <w:tc>
          <w:tcPr>
            <w:tcW w:w="817" w:type="dxa"/>
            <w:vMerge/>
            <w:vAlign w:val="center"/>
          </w:tcPr>
          <w:p w14:paraId="06729A3B" w14:textId="77777777" w:rsidR="00F33721" w:rsidRPr="00F33721" w:rsidRDefault="00F33721" w:rsidP="00F33721">
            <w:pPr>
              <w:rPr>
                <w:rFonts w:ascii="Times New Roman" w:hAnsi="Times New Roman" w:cs="Times New Roman"/>
                <w:sz w:val="24"/>
              </w:rPr>
            </w:pPr>
          </w:p>
        </w:tc>
        <w:tc>
          <w:tcPr>
            <w:tcW w:w="5681" w:type="dxa"/>
            <w:gridSpan w:val="2"/>
            <w:vMerge/>
            <w:tcBorders>
              <w:bottom w:val="single" w:sz="4" w:space="0" w:color="auto"/>
            </w:tcBorders>
          </w:tcPr>
          <w:p w14:paraId="75936CB9"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33BEE440" w14:textId="77777777" w:rsidR="00F33721" w:rsidRPr="00F33721" w:rsidRDefault="00F33721" w:rsidP="00F33721">
            <w:pPr>
              <w:rPr>
                <w:rFonts w:ascii="Times New Roman" w:hAnsi="Times New Roman" w:cs="Times New Roman"/>
                <w:sz w:val="24"/>
              </w:rPr>
            </w:pPr>
          </w:p>
        </w:tc>
      </w:tr>
      <w:tr w:rsidR="00F33721" w:rsidRPr="00F33721" w14:paraId="4186F83F" w14:textId="77777777" w:rsidTr="00F33721">
        <w:trPr>
          <w:trHeight w:val="256"/>
        </w:trPr>
        <w:tc>
          <w:tcPr>
            <w:tcW w:w="817" w:type="dxa"/>
            <w:vMerge w:val="restart"/>
            <w:vAlign w:val="center"/>
          </w:tcPr>
          <w:p w14:paraId="7351C818"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45 minutes </w:t>
            </w:r>
          </w:p>
        </w:tc>
        <w:tc>
          <w:tcPr>
            <w:tcW w:w="5681" w:type="dxa"/>
            <w:gridSpan w:val="2"/>
            <w:tcBorders>
              <w:bottom w:val="nil"/>
            </w:tcBorders>
          </w:tcPr>
          <w:p w14:paraId="23762400"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Main activities</w:t>
            </w:r>
          </w:p>
        </w:tc>
        <w:tc>
          <w:tcPr>
            <w:tcW w:w="3249" w:type="dxa"/>
            <w:tcBorders>
              <w:top w:val="nil"/>
              <w:bottom w:val="nil"/>
            </w:tcBorders>
          </w:tcPr>
          <w:p w14:paraId="064FE168" w14:textId="77777777" w:rsidR="00F33721" w:rsidRPr="00F33721" w:rsidRDefault="00F33721" w:rsidP="00F33721">
            <w:pPr>
              <w:rPr>
                <w:rFonts w:ascii="Times New Roman" w:hAnsi="Times New Roman" w:cs="Times New Roman"/>
                <w:sz w:val="24"/>
              </w:rPr>
            </w:pPr>
          </w:p>
        </w:tc>
      </w:tr>
      <w:tr w:rsidR="00F33721" w:rsidRPr="00F33721" w14:paraId="2D4D40B8" w14:textId="77777777" w:rsidTr="00F33721">
        <w:trPr>
          <w:trHeight w:val="256"/>
        </w:trPr>
        <w:tc>
          <w:tcPr>
            <w:tcW w:w="817" w:type="dxa"/>
            <w:vMerge/>
            <w:vAlign w:val="center"/>
          </w:tcPr>
          <w:p w14:paraId="71EE5BD4" w14:textId="77777777" w:rsidR="00F33721" w:rsidRPr="00F33721" w:rsidRDefault="00F33721" w:rsidP="00F33721">
            <w:pPr>
              <w:rPr>
                <w:rFonts w:ascii="Times New Roman" w:hAnsi="Times New Roman" w:cs="Times New Roman"/>
                <w:sz w:val="24"/>
              </w:rPr>
            </w:pPr>
          </w:p>
        </w:tc>
        <w:tc>
          <w:tcPr>
            <w:tcW w:w="5681" w:type="dxa"/>
            <w:gridSpan w:val="2"/>
            <w:vMerge w:val="restart"/>
            <w:tcBorders>
              <w:top w:val="nil"/>
            </w:tcBorders>
          </w:tcPr>
          <w:p w14:paraId="6045D723" w14:textId="77777777" w:rsidR="00F33721" w:rsidRPr="00F33721" w:rsidRDefault="00F33721" w:rsidP="00F33721">
            <w:pPr>
              <w:rPr>
                <w:rFonts w:ascii="Times New Roman" w:hAnsi="Times New Roman" w:cs="Times New Roman"/>
                <w:sz w:val="24"/>
              </w:rPr>
            </w:pPr>
          </w:p>
          <w:p w14:paraId="725B551E"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Students to write introductory paragraph outlining purpose of experiment. Students in groups to then begin mummifying tomatoes individually. Circles and student DM to work with classroom assistant to offer extra support with those who may find task difficult or those who may have issues with fine motor skills. Circle group to remove innards of tomato and wrap in foil. Triangles to wrap tomatoes in foil and work with myself. Squares to wrap tomatoes in bandage and work with me. Pentagons to remove innards of tomatoes and wrap in bandage whilst working independently. Bowls, plastic cutlery to be provided for each child to individually mummify tomatoes.</w:t>
            </w:r>
          </w:p>
          <w:p w14:paraId="34DD6652"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Students will keep tomatoes in relevant groupings and move on to write out a paragraph on methodology and their prediction.</w:t>
            </w:r>
          </w:p>
          <w:p w14:paraId="2CAB2C89"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3DD847F4" w14:textId="77777777" w:rsidR="00F33721" w:rsidRPr="00F33721" w:rsidRDefault="00F33721" w:rsidP="00F33721">
            <w:pPr>
              <w:rPr>
                <w:rFonts w:ascii="Times New Roman" w:hAnsi="Times New Roman" w:cs="Times New Roman"/>
                <w:sz w:val="24"/>
              </w:rPr>
            </w:pPr>
          </w:p>
        </w:tc>
      </w:tr>
      <w:tr w:rsidR="00F33721" w:rsidRPr="00F33721" w14:paraId="03FFA678" w14:textId="77777777" w:rsidTr="00F33721">
        <w:trPr>
          <w:trHeight w:val="256"/>
        </w:trPr>
        <w:tc>
          <w:tcPr>
            <w:tcW w:w="817" w:type="dxa"/>
            <w:vMerge/>
            <w:vAlign w:val="center"/>
          </w:tcPr>
          <w:p w14:paraId="07B8ADF6" w14:textId="77777777" w:rsidR="00F33721" w:rsidRPr="00F33721" w:rsidRDefault="00F33721" w:rsidP="00F33721">
            <w:pPr>
              <w:rPr>
                <w:rFonts w:ascii="Times New Roman" w:hAnsi="Times New Roman" w:cs="Times New Roman"/>
                <w:sz w:val="24"/>
              </w:rPr>
            </w:pPr>
          </w:p>
        </w:tc>
        <w:tc>
          <w:tcPr>
            <w:tcW w:w="5681" w:type="dxa"/>
            <w:gridSpan w:val="2"/>
            <w:vMerge/>
          </w:tcPr>
          <w:p w14:paraId="52F6650C"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518F5D6B" w14:textId="77777777" w:rsidR="00F33721" w:rsidRPr="00F33721" w:rsidRDefault="00F33721" w:rsidP="00F33721">
            <w:pPr>
              <w:rPr>
                <w:rFonts w:ascii="Times New Roman" w:hAnsi="Times New Roman" w:cs="Times New Roman"/>
                <w:sz w:val="24"/>
              </w:rPr>
            </w:pPr>
          </w:p>
        </w:tc>
      </w:tr>
      <w:tr w:rsidR="00F33721" w:rsidRPr="00F33721" w14:paraId="53EADFEB" w14:textId="77777777" w:rsidTr="00F33721">
        <w:trPr>
          <w:trHeight w:val="256"/>
        </w:trPr>
        <w:tc>
          <w:tcPr>
            <w:tcW w:w="817" w:type="dxa"/>
            <w:vMerge/>
            <w:vAlign w:val="center"/>
          </w:tcPr>
          <w:p w14:paraId="01A1FFD9" w14:textId="77777777" w:rsidR="00F33721" w:rsidRPr="00F33721" w:rsidRDefault="00F33721" w:rsidP="00F33721">
            <w:pPr>
              <w:rPr>
                <w:rFonts w:ascii="Times New Roman" w:hAnsi="Times New Roman" w:cs="Times New Roman"/>
                <w:sz w:val="24"/>
              </w:rPr>
            </w:pPr>
          </w:p>
        </w:tc>
        <w:tc>
          <w:tcPr>
            <w:tcW w:w="5681" w:type="dxa"/>
            <w:gridSpan w:val="2"/>
            <w:vMerge/>
          </w:tcPr>
          <w:p w14:paraId="3EE0C86D"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5075D7F6" w14:textId="77777777" w:rsidR="00F33721" w:rsidRPr="00F33721" w:rsidRDefault="00F33721" w:rsidP="00F33721">
            <w:pPr>
              <w:rPr>
                <w:rFonts w:ascii="Times New Roman" w:hAnsi="Times New Roman" w:cs="Times New Roman"/>
                <w:sz w:val="24"/>
              </w:rPr>
            </w:pPr>
          </w:p>
        </w:tc>
      </w:tr>
      <w:tr w:rsidR="00F33721" w:rsidRPr="00F33721" w14:paraId="33B7337F" w14:textId="77777777" w:rsidTr="00F33721">
        <w:trPr>
          <w:trHeight w:val="256"/>
        </w:trPr>
        <w:tc>
          <w:tcPr>
            <w:tcW w:w="817" w:type="dxa"/>
            <w:vMerge/>
            <w:vAlign w:val="center"/>
          </w:tcPr>
          <w:p w14:paraId="749D1542" w14:textId="77777777" w:rsidR="00F33721" w:rsidRPr="00F33721" w:rsidRDefault="00F33721" w:rsidP="00F33721">
            <w:pPr>
              <w:rPr>
                <w:rFonts w:ascii="Times New Roman" w:hAnsi="Times New Roman" w:cs="Times New Roman"/>
                <w:sz w:val="24"/>
              </w:rPr>
            </w:pPr>
          </w:p>
        </w:tc>
        <w:tc>
          <w:tcPr>
            <w:tcW w:w="5681" w:type="dxa"/>
            <w:gridSpan w:val="2"/>
            <w:vMerge/>
          </w:tcPr>
          <w:p w14:paraId="49456B7A"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073913BF" w14:textId="77777777" w:rsidR="00F33721" w:rsidRPr="00F33721" w:rsidRDefault="00F33721" w:rsidP="00F33721">
            <w:pPr>
              <w:rPr>
                <w:rFonts w:ascii="Times New Roman" w:hAnsi="Times New Roman" w:cs="Times New Roman"/>
                <w:sz w:val="24"/>
              </w:rPr>
            </w:pPr>
          </w:p>
        </w:tc>
      </w:tr>
      <w:tr w:rsidR="00F33721" w:rsidRPr="00F33721" w14:paraId="3FEAF4C2" w14:textId="77777777" w:rsidTr="00F33721">
        <w:trPr>
          <w:trHeight w:val="256"/>
        </w:trPr>
        <w:tc>
          <w:tcPr>
            <w:tcW w:w="817" w:type="dxa"/>
            <w:vMerge/>
            <w:vAlign w:val="center"/>
          </w:tcPr>
          <w:p w14:paraId="163F4FF4" w14:textId="77777777" w:rsidR="00F33721" w:rsidRPr="00F33721" w:rsidRDefault="00F33721" w:rsidP="00F33721">
            <w:pPr>
              <w:rPr>
                <w:rFonts w:ascii="Times New Roman" w:hAnsi="Times New Roman" w:cs="Times New Roman"/>
                <w:sz w:val="24"/>
              </w:rPr>
            </w:pPr>
          </w:p>
        </w:tc>
        <w:tc>
          <w:tcPr>
            <w:tcW w:w="5681" w:type="dxa"/>
            <w:gridSpan w:val="2"/>
            <w:vMerge/>
          </w:tcPr>
          <w:p w14:paraId="15EAFBB1"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72C663AE" w14:textId="77777777" w:rsidR="00F33721" w:rsidRPr="00F33721" w:rsidRDefault="00F33721" w:rsidP="00F33721">
            <w:pPr>
              <w:rPr>
                <w:rFonts w:ascii="Times New Roman" w:hAnsi="Times New Roman" w:cs="Times New Roman"/>
                <w:sz w:val="24"/>
              </w:rPr>
            </w:pPr>
          </w:p>
        </w:tc>
      </w:tr>
      <w:tr w:rsidR="00F33721" w:rsidRPr="00F33721" w14:paraId="5DADF400" w14:textId="77777777" w:rsidTr="00F33721">
        <w:trPr>
          <w:trHeight w:val="256"/>
        </w:trPr>
        <w:tc>
          <w:tcPr>
            <w:tcW w:w="817" w:type="dxa"/>
            <w:vMerge/>
            <w:vAlign w:val="center"/>
          </w:tcPr>
          <w:p w14:paraId="33BC9BB5" w14:textId="77777777" w:rsidR="00F33721" w:rsidRPr="00F33721" w:rsidRDefault="00F33721" w:rsidP="00F33721">
            <w:pPr>
              <w:rPr>
                <w:rFonts w:ascii="Times New Roman" w:hAnsi="Times New Roman" w:cs="Times New Roman"/>
                <w:sz w:val="24"/>
              </w:rPr>
            </w:pPr>
          </w:p>
        </w:tc>
        <w:tc>
          <w:tcPr>
            <w:tcW w:w="5681" w:type="dxa"/>
            <w:gridSpan w:val="2"/>
            <w:vMerge/>
          </w:tcPr>
          <w:p w14:paraId="65AE3170"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66AB88DA" w14:textId="77777777" w:rsidR="00F33721" w:rsidRPr="00F33721" w:rsidRDefault="00F33721" w:rsidP="00F33721">
            <w:pPr>
              <w:rPr>
                <w:rFonts w:ascii="Times New Roman" w:hAnsi="Times New Roman" w:cs="Times New Roman"/>
                <w:sz w:val="24"/>
              </w:rPr>
            </w:pPr>
          </w:p>
        </w:tc>
      </w:tr>
      <w:tr w:rsidR="00F33721" w:rsidRPr="00F33721" w14:paraId="7BC56F1A" w14:textId="77777777" w:rsidTr="00F33721">
        <w:trPr>
          <w:trHeight w:val="256"/>
        </w:trPr>
        <w:tc>
          <w:tcPr>
            <w:tcW w:w="817" w:type="dxa"/>
            <w:vMerge/>
            <w:vAlign w:val="center"/>
          </w:tcPr>
          <w:p w14:paraId="757697E9" w14:textId="77777777" w:rsidR="00F33721" w:rsidRPr="00F33721" w:rsidRDefault="00F33721" w:rsidP="00F33721">
            <w:pPr>
              <w:rPr>
                <w:rFonts w:ascii="Times New Roman" w:hAnsi="Times New Roman" w:cs="Times New Roman"/>
                <w:sz w:val="24"/>
              </w:rPr>
            </w:pPr>
          </w:p>
        </w:tc>
        <w:tc>
          <w:tcPr>
            <w:tcW w:w="5681" w:type="dxa"/>
            <w:gridSpan w:val="2"/>
            <w:vMerge/>
          </w:tcPr>
          <w:p w14:paraId="61AEC5C5"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08E607C9" w14:textId="77777777" w:rsidR="00F33721" w:rsidRPr="00F33721" w:rsidRDefault="00F33721" w:rsidP="00F33721">
            <w:pPr>
              <w:rPr>
                <w:rFonts w:ascii="Times New Roman" w:hAnsi="Times New Roman" w:cs="Times New Roman"/>
                <w:sz w:val="24"/>
              </w:rPr>
            </w:pPr>
          </w:p>
        </w:tc>
      </w:tr>
      <w:tr w:rsidR="00F33721" w:rsidRPr="00F33721" w14:paraId="705FD9FC" w14:textId="77777777" w:rsidTr="00F33721">
        <w:trPr>
          <w:trHeight w:val="256"/>
        </w:trPr>
        <w:tc>
          <w:tcPr>
            <w:tcW w:w="817" w:type="dxa"/>
            <w:vMerge/>
            <w:vAlign w:val="center"/>
          </w:tcPr>
          <w:p w14:paraId="6044246A" w14:textId="77777777" w:rsidR="00F33721" w:rsidRPr="00F33721" w:rsidRDefault="00F33721" w:rsidP="00F33721">
            <w:pPr>
              <w:rPr>
                <w:rFonts w:ascii="Times New Roman" w:hAnsi="Times New Roman" w:cs="Times New Roman"/>
                <w:sz w:val="24"/>
              </w:rPr>
            </w:pPr>
          </w:p>
        </w:tc>
        <w:tc>
          <w:tcPr>
            <w:tcW w:w="5681" w:type="dxa"/>
            <w:gridSpan w:val="2"/>
            <w:vMerge/>
          </w:tcPr>
          <w:p w14:paraId="3135ECF8"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7CD0C699" w14:textId="77777777" w:rsidR="00F33721" w:rsidRPr="00F33721" w:rsidRDefault="00F33721" w:rsidP="00F33721">
            <w:pPr>
              <w:rPr>
                <w:rFonts w:ascii="Times New Roman" w:hAnsi="Times New Roman" w:cs="Times New Roman"/>
                <w:sz w:val="24"/>
              </w:rPr>
            </w:pPr>
          </w:p>
        </w:tc>
      </w:tr>
      <w:tr w:rsidR="00F33721" w:rsidRPr="00F33721" w14:paraId="78232608" w14:textId="77777777" w:rsidTr="00F33721">
        <w:trPr>
          <w:trHeight w:val="256"/>
        </w:trPr>
        <w:tc>
          <w:tcPr>
            <w:tcW w:w="817" w:type="dxa"/>
            <w:vMerge/>
            <w:vAlign w:val="center"/>
          </w:tcPr>
          <w:p w14:paraId="283A82DF" w14:textId="77777777" w:rsidR="00F33721" w:rsidRPr="00F33721" w:rsidRDefault="00F33721" w:rsidP="00F33721">
            <w:pPr>
              <w:rPr>
                <w:rFonts w:ascii="Times New Roman" w:hAnsi="Times New Roman" w:cs="Times New Roman"/>
                <w:sz w:val="24"/>
              </w:rPr>
            </w:pPr>
          </w:p>
        </w:tc>
        <w:tc>
          <w:tcPr>
            <w:tcW w:w="5681" w:type="dxa"/>
            <w:gridSpan w:val="2"/>
            <w:vMerge/>
            <w:tcBorders>
              <w:bottom w:val="single" w:sz="4" w:space="0" w:color="auto"/>
            </w:tcBorders>
          </w:tcPr>
          <w:p w14:paraId="67BB7542"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1D8E536C" w14:textId="77777777" w:rsidR="00F33721" w:rsidRPr="00F33721" w:rsidRDefault="00F33721" w:rsidP="00F33721">
            <w:pPr>
              <w:rPr>
                <w:rFonts w:ascii="Times New Roman" w:hAnsi="Times New Roman" w:cs="Times New Roman"/>
                <w:sz w:val="24"/>
              </w:rPr>
            </w:pPr>
          </w:p>
        </w:tc>
      </w:tr>
      <w:tr w:rsidR="00F33721" w:rsidRPr="00F33721" w14:paraId="391857A3" w14:textId="77777777" w:rsidTr="00F33721">
        <w:trPr>
          <w:trHeight w:val="256"/>
        </w:trPr>
        <w:tc>
          <w:tcPr>
            <w:tcW w:w="817" w:type="dxa"/>
            <w:vMerge w:val="restart"/>
            <w:vAlign w:val="center"/>
          </w:tcPr>
          <w:p w14:paraId="7776EBE7"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10 minutes </w:t>
            </w:r>
          </w:p>
        </w:tc>
        <w:tc>
          <w:tcPr>
            <w:tcW w:w="5681" w:type="dxa"/>
            <w:gridSpan w:val="2"/>
            <w:tcBorders>
              <w:bottom w:val="nil"/>
            </w:tcBorders>
          </w:tcPr>
          <w:p w14:paraId="2844E572"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Plenary</w:t>
            </w:r>
          </w:p>
        </w:tc>
        <w:tc>
          <w:tcPr>
            <w:tcW w:w="3249" w:type="dxa"/>
            <w:tcBorders>
              <w:top w:val="nil"/>
              <w:bottom w:val="nil"/>
            </w:tcBorders>
          </w:tcPr>
          <w:p w14:paraId="762308DF" w14:textId="77777777" w:rsidR="00F33721" w:rsidRPr="00F33721" w:rsidRDefault="00F33721" w:rsidP="00F33721">
            <w:pPr>
              <w:rPr>
                <w:rFonts w:ascii="Times New Roman" w:hAnsi="Times New Roman" w:cs="Times New Roman"/>
                <w:sz w:val="24"/>
              </w:rPr>
            </w:pPr>
          </w:p>
        </w:tc>
      </w:tr>
      <w:tr w:rsidR="00F33721" w:rsidRPr="00F33721" w14:paraId="35BF50EC" w14:textId="77777777" w:rsidTr="00F33721">
        <w:trPr>
          <w:trHeight w:val="256"/>
        </w:trPr>
        <w:tc>
          <w:tcPr>
            <w:tcW w:w="817" w:type="dxa"/>
            <w:vMerge/>
          </w:tcPr>
          <w:p w14:paraId="75E6CF2B" w14:textId="77777777" w:rsidR="00F33721" w:rsidRPr="00F33721" w:rsidRDefault="00F33721" w:rsidP="00F33721">
            <w:pPr>
              <w:rPr>
                <w:rFonts w:ascii="Times New Roman" w:hAnsi="Times New Roman" w:cs="Times New Roman"/>
                <w:sz w:val="24"/>
              </w:rPr>
            </w:pPr>
          </w:p>
        </w:tc>
        <w:tc>
          <w:tcPr>
            <w:tcW w:w="5681" w:type="dxa"/>
            <w:gridSpan w:val="2"/>
            <w:vMerge w:val="restart"/>
            <w:tcBorders>
              <w:top w:val="nil"/>
            </w:tcBorders>
          </w:tcPr>
          <w:p w14:paraId="32A6A559" w14:textId="77777777" w:rsidR="00F33721" w:rsidRPr="00F33721" w:rsidRDefault="00F33721" w:rsidP="00F33721">
            <w:pPr>
              <w:rPr>
                <w:rFonts w:ascii="Times New Roman" w:hAnsi="Times New Roman" w:cs="Times New Roman"/>
                <w:sz w:val="24"/>
              </w:rPr>
            </w:pPr>
          </w:p>
          <w:p w14:paraId="3E222392" w14:textId="77777777" w:rsidR="00F33721" w:rsidRPr="00F33721" w:rsidRDefault="00F33721" w:rsidP="00F33721">
            <w:pPr>
              <w:rPr>
                <w:rFonts w:ascii="Times New Roman" w:hAnsi="Times New Roman" w:cs="Times New Roman"/>
                <w:sz w:val="24"/>
              </w:rPr>
            </w:pPr>
            <w:r w:rsidRPr="00F33721">
              <w:rPr>
                <w:rFonts w:ascii="Times New Roman" w:hAnsi="Times New Roman" w:cs="Times New Roman"/>
                <w:sz w:val="24"/>
              </w:rPr>
              <w:t xml:space="preserve">Students to traffic light learning objective as well as asking students to voluntarily come forward and state their prediction with reasoning. Brief discussion on elements of fair testing involved in the investigation and </w:t>
            </w:r>
            <w:proofErr w:type="gramStart"/>
            <w:r w:rsidRPr="00F33721">
              <w:rPr>
                <w:rFonts w:ascii="Times New Roman" w:hAnsi="Times New Roman" w:cs="Times New Roman"/>
                <w:sz w:val="24"/>
              </w:rPr>
              <w:t>whether or not</w:t>
            </w:r>
            <w:proofErr w:type="gramEnd"/>
            <w:r w:rsidRPr="00F33721">
              <w:rPr>
                <w:rFonts w:ascii="Times New Roman" w:hAnsi="Times New Roman" w:cs="Times New Roman"/>
                <w:sz w:val="24"/>
              </w:rPr>
              <w:t xml:space="preserve"> we believe the test to be fair.</w:t>
            </w:r>
          </w:p>
        </w:tc>
        <w:tc>
          <w:tcPr>
            <w:tcW w:w="3249" w:type="dxa"/>
            <w:tcBorders>
              <w:top w:val="nil"/>
              <w:bottom w:val="nil"/>
            </w:tcBorders>
          </w:tcPr>
          <w:p w14:paraId="3EBB6285" w14:textId="77777777" w:rsidR="00F33721" w:rsidRPr="00F33721" w:rsidRDefault="00F33721" w:rsidP="00F33721">
            <w:pPr>
              <w:rPr>
                <w:rFonts w:ascii="Times New Roman" w:hAnsi="Times New Roman" w:cs="Times New Roman"/>
                <w:sz w:val="24"/>
              </w:rPr>
            </w:pPr>
          </w:p>
        </w:tc>
      </w:tr>
      <w:tr w:rsidR="00F33721" w:rsidRPr="00F33721" w14:paraId="26900A7D" w14:textId="77777777" w:rsidTr="00F33721">
        <w:trPr>
          <w:trHeight w:val="256"/>
        </w:trPr>
        <w:tc>
          <w:tcPr>
            <w:tcW w:w="817" w:type="dxa"/>
            <w:vMerge/>
          </w:tcPr>
          <w:p w14:paraId="079047F4" w14:textId="77777777" w:rsidR="00F33721" w:rsidRPr="00F33721" w:rsidRDefault="00F33721" w:rsidP="00F33721">
            <w:pPr>
              <w:rPr>
                <w:rFonts w:ascii="Times New Roman" w:hAnsi="Times New Roman" w:cs="Times New Roman"/>
                <w:sz w:val="24"/>
              </w:rPr>
            </w:pPr>
          </w:p>
        </w:tc>
        <w:tc>
          <w:tcPr>
            <w:tcW w:w="5681" w:type="dxa"/>
            <w:gridSpan w:val="2"/>
            <w:vMerge/>
          </w:tcPr>
          <w:p w14:paraId="4525036D"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380157BF" w14:textId="77777777" w:rsidR="00F33721" w:rsidRPr="00F33721" w:rsidRDefault="00F33721" w:rsidP="00F33721">
            <w:pPr>
              <w:rPr>
                <w:rFonts w:ascii="Times New Roman" w:hAnsi="Times New Roman" w:cs="Times New Roman"/>
                <w:sz w:val="24"/>
              </w:rPr>
            </w:pPr>
          </w:p>
        </w:tc>
      </w:tr>
      <w:tr w:rsidR="00F33721" w:rsidRPr="00F33721" w14:paraId="4AADA9F3" w14:textId="77777777" w:rsidTr="00F33721">
        <w:trPr>
          <w:trHeight w:val="256"/>
        </w:trPr>
        <w:tc>
          <w:tcPr>
            <w:tcW w:w="817" w:type="dxa"/>
            <w:vMerge/>
          </w:tcPr>
          <w:p w14:paraId="7EEF178D" w14:textId="77777777" w:rsidR="00F33721" w:rsidRPr="00F33721" w:rsidRDefault="00F33721" w:rsidP="00F33721">
            <w:pPr>
              <w:rPr>
                <w:rFonts w:ascii="Times New Roman" w:hAnsi="Times New Roman" w:cs="Times New Roman"/>
                <w:sz w:val="24"/>
              </w:rPr>
            </w:pPr>
          </w:p>
        </w:tc>
        <w:tc>
          <w:tcPr>
            <w:tcW w:w="5681" w:type="dxa"/>
            <w:gridSpan w:val="2"/>
            <w:vMerge/>
          </w:tcPr>
          <w:p w14:paraId="35677AA1"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5DD83672" w14:textId="77777777" w:rsidR="00F33721" w:rsidRPr="00F33721" w:rsidRDefault="00F33721" w:rsidP="00F33721">
            <w:pPr>
              <w:rPr>
                <w:rFonts w:ascii="Times New Roman" w:hAnsi="Times New Roman" w:cs="Times New Roman"/>
                <w:sz w:val="24"/>
              </w:rPr>
            </w:pPr>
          </w:p>
        </w:tc>
      </w:tr>
      <w:tr w:rsidR="00F33721" w:rsidRPr="00F33721" w14:paraId="371BFE17" w14:textId="77777777" w:rsidTr="00F33721">
        <w:trPr>
          <w:trHeight w:val="256"/>
        </w:trPr>
        <w:tc>
          <w:tcPr>
            <w:tcW w:w="817" w:type="dxa"/>
            <w:vMerge/>
          </w:tcPr>
          <w:p w14:paraId="035DB6C2" w14:textId="77777777" w:rsidR="00F33721" w:rsidRPr="00F33721" w:rsidRDefault="00F33721" w:rsidP="00F33721">
            <w:pPr>
              <w:rPr>
                <w:rFonts w:ascii="Times New Roman" w:hAnsi="Times New Roman" w:cs="Times New Roman"/>
                <w:sz w:val="24"/>
              </w:rPr>
            </w:pPr>
          </w:p>
        </w:tc>
        <w:tc>
          <w:tcPr>
            <w:tcW w:w="5681" w:type="dxa"/>
            <w:gridSpan w:val="2"/>
            <w:vMerge/>
          </w:tcPr>
          <w:p w14:paraId="3D38DE09"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49AAC387" w14:textId="77777777" w:rsidR="00F33721" w:rsidRPr="00F33721" w:rsidRDefault="00F33721" w:rsidP="00F33721">
            <w:pPr>
              <w:rPr>
                <w:rFonts w:ascii="Times New Roman" w:hAnsi="Times New Roman" w:cs="Times New Roman"/>
                <w:sz w:val="24"/>
              </w:rPr>
            </w:pPr>
          </w:p>
        </w:tc>
      </w:tr>
      <w:tr w:rsidR="00F33721" w:rsidRPr="00F33721" w14:paraId="41F43EDF" w14:textId="77777777" w:rsidTr="00F33721">
        <w:trPr>
          <w:trHeight w:val="256"/>
        </w:trPr>
        <w:tc>
          <w:tcPr>
            <w:tcW w:w="817" w:type="dxa"/>
            <w:vMerge/>
          </w:tcPr>
          <w:p w14:paraId="47EF8F59" w14:textId="77777777" w:rsidR="00F33721" w:rsidRPr="00F33721" w:rsidRDefault="00F33721" w:rsidP="00F33721">
            <w:pPr>
              <w:rPr>
                <w:rFonts w:ascii="Times New Roman" w:hAnsi="Times New Roman" w:cs="Times New Roman"/>
                <w:sz w:val="24"/>
              </w:rPr>
            </w:pPr>
          </w:p>
        </w:tc>
        <w:tc>
          <w:tcPr>
            <w:tcW w:w="5681" w:type="dxa"/>
            <w:gridSpan w:val="2"/>
            <w:vMerge/>
          </w:tcPr>
          <w:p w14:paraId="4C5B1EC0"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5EB78849" w14:textId="77777777" w:rsidR="00F33721" w:rsidRPr="00F33721" w:rsidRDefault="00F33721" w:rsidP="00F33721">
            <w:pPr>
              <w:rPr>
                <w:rFonts w:ascii="Times New Roman" w:hAnsi="Times New Roman" w:cs="Times New Roman"/>
                <w:sz w:val="24"/>
              </w:rPr>
            </w:pPr>
          </w:p>
        </w:tc>
      </w:tr>
      <w:tr w:rsidR="00F33721" w:rsidRPr="00F33721" w14:paraId="2560EE6E" w14:textId="77777777" w:rsidTr="00F33721">
        <w:trPr>
          <w:trHeight w:val="256"/>
        </w:trPr>
        <w:tc>
          <w:tcPr>
            <w:tcW w:w="817" w:type="dxa"/>
            <w:vMerge/>
          </w:tcPr>
          <w:p w14:paraId="521CCF7F" w14:textId="77777777" w:rsidR="00F33721" w:rsidRPr="00F33721" w:rsidRDefault="00F33721" w:rsidP="00F33721">
            <w:pPr>
              <w:rPr>
                <w:rFonts w:ascii="Times New Roman" w:hAnsi="Times New Roman" w:cs="Times New Roman"/>
                <w:sz w:val="24"/>
              </w:rPr>
            </w:pPr>
          </w:p>
        </w:tc>
        <w:tc>
          <w:tcPr>
            <w:tcW w:w="5681" w:type="dxa"/>
            <w:gridSpan w:val="2"/>
            <w:vMerge/>
          </w:tcPr>
          <w:p w14:paraId="365116DA"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5FE66942" w14:textId="77777777" w:rsidR="00F33721" w:rsidRPr="00F33721" w:rsidRDefault="00F33721" w:rsidP="00F33721">
            <w:pPr>
              <w:rPr>
                <w:rFonts w:ascii="Times New Roman" w:hAnsi="Times New Roman" w:cs="Times New Roman"/>
                <w:sz w:val="24"/>
              </w:rPr>
            </w:pPr>
          </w:p>
        </w:tc>
      </w:tr>
      <w:tr w:rsidR="00F33721" w:rsidRPr="00F33721" w14:paraId="7DB1F885" w14:textId="77777777" w:rsidTr="00F33721">
        <w:trPr>
          <w:trHeight w:val="256"/>
        </w:trPr>
        <w:tc>
          <w:tcPr>
            <w:tcW w:w="817" w:type="dxa"/>
            <w:vMerge/>
          </w:tcPr>
          <w:p w14:paraId="12A7C98E" w14:textId="77777777" w:rsidR="00F33721" w:rsidRPr="00F33721" w:rsidRDefault="00F33721" w:rsidP="00F33721">
            <w:pPr>
              <w:rPr>
                <w:rFonts w:ascii="Times New Roman" w:hAnsi="Times New Roman" w:cs="Times New Roman"/>
                <w:sz w:val="24"/>
              </w:rPr>
            </w:pPr>
          </w:p>
        </w:tc>
        <w:tc>
          <w:tcPr>
            <w:tcW w:w="5681" w:type="dxa"/>
            <w:gridSpan w:val="2"/>
            <w:vMerge/>
          </w:tcPr>
          <w:p w14:paraId="49EC0D06"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7FBC811B" w14:textId="77777777" w:rsidR="00F33721" w:rsidRPr="00F33721" w:rsidRDefault="00F33721" w:rsidP="00F33721">
            <w:pPr>
              <w:rPr>
                <w:rFonts w:ascii="Times New Roman" w:hAnsi="Times New Roman" w:cs="Times New Roman"/>
                <w:sz w:val="24"/>
              </w:rPr>
            </w:pPr>
          </w:p>
        </w:tc>
      </w:tr>
      <w:tr w:rsidR="00F33721" w:rsidRPr="00F33721" w14:paraId="0E20EEFB" w14:textId="77777777" w:rsidTr="00F33721">
        <w:trPr>
          <w:trHeight w:val="256"/>
        </w:trPr>
        <w:tc>
          <w:tcPr>
            <w:tcW w:w="817" w:type="dxa"/>
            <w:vMerge/>
          </w:tcPr>
          <w:p w14:paraId="2F97EF24" w14:textId="77777777" w:rsidR="00F33721" w:rsidRPr="00F33721" w:rsidRDefault="00F33721" w:rsidP="00F33721">
            <w:pPr>
              <w:rPr>
                <w:rFonts w:ascii="Times New Roman" w:hAnsi="Times New Roman" w:cs="Times New Roman"/>
                <w:sz w:val="24"/>
              </w:rPr>
            </w:pPr>
          </w:p>
        </w:tc>
        <w:tc>
          <w:tcPr>
            <w:tcW w:w="5681" w:type="dxa"/>
            <w:gridSpan w:val="2"/>
            <w:vMerge/>
          </w:tcPr>
          <w:p w14:paraId="72BE1669" w14:textId="77777777" w:rsidR="00F33721" w:rsidRPr="00F33721" w:rsidRDefault="00F33721" w:rsidP="00F33721">
            <w:pPr>
              <w:rPr>
                <w:rFonts w:ascii="Times New Roman" w:hAnsi="Times New Roman" w:cs="Times New Roman"/>
                <w:sz w:val="24"/>
              </w:rPr>
            </w:pPr>
          </w:p>
        </w:tc>
        <w:tc>
          <w:tcPr>
            <w:tcW w:w="3249" w:type="dxa"/>
            <w:tcBorders>
              <w:top w:val="nil"/>
              <w:bottom w:val="nil"/>
            </w:tcBorders>
          </w:tcPr>
          <w:p w14:paraId="016EAE4A" w14:textId="77777777" w:rsidR="00F33721" w:rsidRPr="00F33721" w:rsidRDefault="00F33721" w:rsidP="00F33721">
            <w:pPr>
              <w:rPr>
                <w:rFonts w:ascii="Times New Roman" w:hAnsi="Times New Roman" w:cs="Times New Roman"/>
                <w:sz w:val="24"/>
              </w:rPr>
            </w:pPr>
          </w:p>
        </w:tc>
      </w:tr>
      <w:tr w:rsidR="00F33721" w:rsidRPr="00F33721" w14:paraId="675FEE74" w14:textId="77777777" w:rsidTr="00F33721">
        <w:trPr>
          <w:trHeight w:val="256"/>
        </w:trPr>
        <w:tc>
          <w:tcPr>
            <w:tcW w:w="817" w:type="dxa"/>
            <w:vMerge/>
            <w:tcBorders>
              <w:bottom w:val="single" w:sz="4" w:space="0" w:color="auto"/>
            </w:tcBorders>
          </w:tcPr>
          <w:p w14:paraId="207CB91A" w14:textId="77777777" w:rsidR="00F33721" w:rsidRPr="00F33721" w:rsidRDefault="00F33721" w:rsidP="00F33721">
            <w:pPr>
              <w:rPr>
                <w:rFonts w:ascii="Times New Roman" w:hAnsi="Times New Roman" w:cs="Times New Roman"/>
                <w:sz w:val="24"/>
              </w:rPr>
            </w:pPr>
          </w:p>
        </w:tc>
        <w:tc>
          <w:tcPr>
            <w:tcW w:w="5681" w:type="dxa"/>
            <w:gridSpan w:val="2"/>
            <w:vMerge/>
            <w:tcBorders>
              <w:bottom w:val="single" w:sz="4" w:space="0" w:color="auto"/>
            </w:tcBorders>
          </w:tcPr>
          <w:p w14:paraId="6BD5D5F9" w14:textId="77777777" w:rsidR="00F33721" w:rsidRPr="00F33721" w:rsidRDefault="00F33721" w:rsidP="00F33721">
            <w:pPr>
              <w:rPr>
                <w:rFonts w:ascii="Times New Roman" w:hAnsi="Times New Roman" w:cs="Times New Roman"/>
                <w:sz w:val="24"/>
              </w:rPr>
            </w:pPr>
          </w:p>
        </w:tc>
        <w:tc>
          <w:tcPr>
            <w:tcW w:w="3249" w:type="dxa"/>
            <w:tcBorders>
              <w:top w:val="nil"/>
              <w:bottom w:val="single" w:sz="4" w:space="0" w:color="auto"/>
            </w:tcBorders>
          </w:tcPr>
          <w:p w14:paraId="057EAA82" w14:textId="77777777" w:rsidR="00F33721" w:rsidRPr="00F33721" w:rsidRDefault="00F33721" w:rsidP="00F33721">
            <w:pPr>
              <w:rPr>
                <w:rFonts w:ascii="Times New Roman" w:hAnsi="Times New Roman" w:cs="Times New Roman"/>
                <w:sz w:val="24"/>
              </w:rPr>
            </w:pPr>
          </w:p>
        </w:tc>
      </w:tr>
    </w:tbl>
    <w:p w14:paraId="16E94F7A" w14:textId="77777777" w:rsidR="00F33721" w:rsidRDefault="00F33721">
      <w:pPr>
        <w:rPr>
          <w:rFonts w:ascii="Times New Roman" w:hAnsi="Times New Roman" w:cs="Times New Roman"/>
          <w:sz w:val="24"/>
        </w:rPr>
      </w:pPr>
    </w:p>
    <w:p w14:paraId="57AD81F5" w14:textId="365F8752" w:rsidR="00B95ADF" w:rsidRDefault="00B95ADF">
      <w:pPr>
        <w:rPr>
          <w:rFonts w:ascii="Times New Roman" w:hAnsi="Times New Roman" w:cs="Times New Roman"/>
          <w:sz w:val="24"/>
        </w:rPr>
      </w:pPr>
    </w:p>
    <w:p w14:paraId="09D71D2C" w14:textId="655DDDF3" w:rsidR="00B95ADF" w:rsidRDefault="00F33721">
      <w:pPr>
        <w:rPr>
          <w:rFonts w:ascii="Times New Roman" w:hAnsi="Times New Roman" w:cs="Times New Roman"/>
          <w:sz w:val="24"/>
        </w:rPr>
      </w:pPr>
      <w:r>
        <w:rPr>
          <w:rFonts w:ascii="Times New Roman" w:hAnsi="Times New Roman" w:cs="Times New Roman"/>
          <w:sz w:val="24"/>
        </w:rPr>
        <w:t>Word count without appendices, reference list and main title: 3631</w:t>
      </w:r>
    </w:p>
    <w:p w14:paraId="7E3DA5C2" w14:textId="1EE7CEC8" w:rsidR="00B95ADF" w:rsidRDefault="00B95ADF">
      <w:pPr>
        <w:rPr>
          <w:rFonts w:ascii="Times New Roman" w:hAnsi="Times New Roman" w:cs="Times New Roman"/>
          <w:sz w:val="24"/>
        </w:rPr>
      </w:pPr>
    </w:p>
    <w:p w14:paraId="3DF49012" w14:textId="6A47CBF7" w:rsidR="00A73A7E" w:rsidRDefault="00A73A7E">
      <w:pPr>
        <w:rPr>
          <w:rFonts w:ascii="Times New Roman" w:hAnsi="Times New Roman" w:cs="Times New Roman"/>
          <w:sz w:val="24"/>
        </w:rPr>
      </w:pPr>
    </w:p>
    <w:p w14:paraId="5F68C33B" w14:textId="51169BFA" w:rsidR="00A73A7E" w:rsidRDefault="00A73A7E">
      <w:pPr>
        <w:rPr>
          <w:rFonts w:ascii="Times New Roman" w:hAnsi="Times New Roman" w:cs="Times New Roman"/>
          <w:sz w:val="24"/>
        </w:rPr>
      </w:pPr>
    </w:p>
    <w:p w14:paraId="6B6AB516" w14:textId="77777777" w:rsidR="00A73A7E" w:rsidRDefault="00A73A7E">
      <w:pPr>
        <w:rPr>
          <w:rFonts w:ascii="Times New Roman" w:hAnsi="Times New Roman" w:cs="Times New Roman"/>
          <w:sz w:val="24"/>
        </w:rPr>
      </w:pPr>
      <w:bookmarkStart w:id="0" w:name="_GoBack"/>
      <w:bookmarkEnd w:id="0"/>
    </w:p>
    <w:p w14:paraId="56CE5265" w14:textId="5EAE5058" w:rsidR="00756A54" w:rsidRDefault="00756A54">
      <w:pPr>
        <w:rPr>
          <w:rFonts w:ascii="Times New Roman" w:hAnsi="Times New Roman" w:cs="Times New Roman"/>
          <w:sz w:val="24"/>
        </w:rPr>
      </w:pPr>
      <w:r>
        <w:rPr>
          <w:rFonts w:ascii="Times New Roman" w:hAnsi="Times New Roman" w:cs="Times New Roman"/>
          <w:sz w:val="24"/>
        </w:rPr>
        <w:lastRenderedPageBreak/>
        <w:t xml:space="preserve">Reference list: </w:t>
      </w:r>
    </w:p>
    <w:p w14:paraId="604D2C77" w14:textId="513F657E" w:rsidR="004043DB" w:rsidRDefault="004043DB">
      <w:pPr>
        <w:rPr>
          <w:rFonts w:ascii="Times New Roman" w:hAnsi="Times New Roman" w:cs="Times New Roman"/>
          <w:i/>
          <w:sz w:val="24"/>
        </w:rPr>
      </w:pPr>
      <w:r w:rsidRPr="004043DB">
        <w:rPr>
          <w:rFonts w:ascii="Times New Roman" w:hAnsi="Times New Roman" w:cs="Times New Roman"/>
          <w:sz w:val="24"/>
        </w:rPr>
        <w:t xml:space="preserve">Brown, G. and Wragg, E. C. (1993) </w:t>
      </w:r>
      <w:r w:rsidRPr="004043DB">
        <w:rPr>
          <w:rFonts w:ascii="Times New Roman" w:hAnsi="Times New Roman" w:cs="Times New Roman"/>
          <w:i/>
          <w:sz w:val="24"/>
        </w:rPr>
        <w:t xml:space="preserve">Questioning. </w:t>
      </w:r>
    </w:p>
    <w:p w14:paraId="0825705D" w14:textId="316B27F2" w:rsidR="00832760" w:rsidRPr="00832760" w:rsidRDefault="00832760">
      <w:pPr>
        <w:rPr>
          <w:rFonts w:ascii="Times New Roman" w:hAnsi="Times New Roman" w:cs="Times New Roman"/>
          <w:sz w:val="24"/>
        </w:rPr>
      </w:pPr>
      <w:r>
        <w:rPr>
          <w:rFonts w:ascii="Times New Roman" w:hAnsi="Times New Roman" w:cs="Times New Roman"/>
          <w:sz w:val="24"/>
        </w:rPr>
        <w:t xml:space="preserve">Coe et al (2014) </w:t>
      </w:r>
      <w:r w:rsidRPr="00832760">
        <w:rPr>
          <w:rFonts w:ascii="Times New Roman" w:hAnsi="Times New Roman" w:cs="Times New Roman"/>
          <w:i/>
          <w:sz w:val="24"/>
        </w:rPr>
        <w:t>What makes great teaching?</w:t>
      </w:r>
    </w:p>
    <w:p w14:paraId="7E414246" w14:textId="6F56D2C4" w:rsidR="00B95ADF" w:rsidRPr="00B95ADF" w:rsidRDefault="00B95ADF">
      <w:pPr>
        <w:rPr>
          <w:rFonts w:ascii="Times New Roman" w:hAnsi="Times New Roman" w:cs="Times New Roman"/>
          <w:sz w:val="24"/>
        </w:rPr>
      </w:pPr>
      <w:r>
        <w:rPr>
          <w:rFonts w:ascii="Times New Roman" w:hAnsi="Times New Roman" w:cs="Times New Roman"/>
          <w:sz w:val="24"/>
        </w:rPr>
        <w:t xml:space="preserve">Hall, G (2016) </w:t>
      </w:r>
      <w:r>
        <w:rPr>
          <w:rFonts w:ascii="Times New Roman" w:hAnsi="Times New Roman" w:cs="Times New Roman"/>
          <w:i/>
          <w:sz w:val="24"/>
        </w:rPr>
        <w:t>The Importance of questioning</w:t>
      </w:r>
      <w:r>
        <w:rPr>
          <w:rFonts w:ascii="Times New Roman" w:hAnsi="Times New Roman" w:cs="Times New Roman"/>
          <w:sz w:val="24"/>
        </w:rPr>
        <w:t xml:space="preserve"> (Accessed 11/01/2019) </w:t>
      </w:r>
      <w:hyperlink r:id="rId8" w:history="1">
        <w:r w:rsidRPr="00E134D9">
          <w:rPr>
            <w:rStyle w:val="Hyperlink"/>
            <w:rFonts w:ascii="Times New Roman" w:hAnsi="Times New Roman" w:cs="Times New Roman"/>
            <w:sz w:val="24"/>
          </w:rPr>
          <w:t>https://garyhall.org.uk/importance-of-questioning.html</w:t>
        </w:r>
      </w:hyperlink>
      <w:r>
        <w:rPr>
          <w:rFonts w:ascii="Times New Roman" w:hAnsi="Times New Roman" w:cs="Times New Roman"/>
          <w:sz w:val="24"/>
        </w:rPr>
        <w:t xml:space="preserve"> </w:t>
      </w:r>
    </w:p>
    <w:p w14:paraId="36251809" w14:textId="7ADF22DB" w:rsidR="0088369E" w:rsidRDefault="0088369E">
      <w:pPr>
        <w:rPr>
          <w:rFonts w:ascii="Times New Roman" w:hAnsi="Times New Roman" w:cs="Times New Roman"/>
          <w:i/>
          <w:sz w:val="24"/>
        </w:rPr>
      </w:pPr>
      <w:r>
        <w:rPr>
          <w:rFonts w:ascii="Times New Roman" w:hAnsi="Times New Roman" w:cs="Times New Roman"/>
          <w:sz w:val="24"/>
        </w:rPr>
        <w:t>Hattie, J. (20</w:t>
      </w:r>
      <w:r w:rsidR="0045188D">
        <w:rPr>
          <w:rFonts w:ascii="Times New Roman" w:hAnsi="Times New Roman" w:cs="Times New Roman"/>
          <w:sz w:val="24"/>
        </w:rPr>
        <w:t>11</w:t>
      </w:r>
      <w:r>
        <w:rPr>
          <w:rFonts w:ascii="Times New Roman" w:hAnsi="Times New Roman" w:cs="Times New Roman"/>
          <w:sz w:val="24"/>
        </w:rPr>
        <w:t xml:space="preserve">) </w:t>
      </w:r>
      <w:r>
        <w:rPr>
          <w:rFonts w:ascii="Times New Roman" w:hAnsi="Times New Roman" w:cs="Times New Roman"/>
          <w:i/>
          <w:sz w:val="24"/>
        </w:rPr>
        <w:t>Visible Learning</w:t>
      </w:r>
      <w:r w:rsidR="0045188D">
        <w:rPr>
          <w:rFonts w:ascii="Times New Roman" w:hAnsi="Times New Roman" w:cs="Times New Roman"/>
          <w:i/>
          <w:sz w:val="24"/>
        </w:rPr>
        <w:t xml:space="preserve"> for teachers</w:t>
      </w:r>
    </w:p>
    <w:p w14:paraId="4F5057E8" w14:textId="3C3005E2" w:rsidR="0045188D" w:rsidRPr="0045188D" w:rsidRDefault="0045188D">
      <w:pPr>
        <w:rPr>
          <w:rFonts w:ascii="Times New Roman" w:hAnsi="Times New Roman" w:cs="Times New Roman"/>
          <w:sz w:val="24"/>
        </w:rPr>
      </w:pPr>
      <w:proofErr w:type="spellStart"/>
      <w:r>
        <w:rPr>
          <w:rFonts w:ascii="Times New Roman" w:hAnsi="Times New Roman" w:cs="Times New Roman"/>
          <w:sz w:val="24"/>
        </w:rPr>
        <w:t>Heggart</w:t>
      </w:r>
      <w:proofErr w:type="spellEnd"/>
      <w:r>
        <w:rPr>
          <w:rFonts w:ascii="Times New Roman" w:hAnsi="Times New Roman" w:cs="Times New Roman"/>
          <w:sz w:val="24"/>
        </w:rPr>
        <w:t xml:space="preserve">, K (2016) </w:t>
      </w:r>
      <w:r w:rsidRPr="0045188D">
        <w:rPr>
          <w:rFonts w:ascii="Times New Roman" w:hAnsi="Times New Roman" w:cs="Times New Roman"/>
          <w:i/>
          <w:sz w:val="24"/>
        </w:rPr>
        <w:t>How Important is Subject Matter Knowledge for a Teacher?</w:t>
      </w:r>
      <w:r>
        <w:rPr>
          <w:rFonts w:ascii="Times New Roman" w:hAnsi="Times New Roman" w:cs="Times New Roman"/>
          <w:sz w:val="24"/>
        </w:rPr>
        <w:t xml:space="preserve"> (Accessed 10/01/2019) </w:t>
      </w:r>
      <w:hyperlink r:id="rId9" w:history="1">
        <w:r w:rsidRPr="00E134D9">
          <w:rPr>
            <w:rStyle w:val="Hyperlink"/>
            <w:rFonts w:ascii="Times New Roman" w:hAnsi="Times New Roman" w:cs="Times New Roman"/>
            <w:sz w:val="24"/>
          </w:rPr>
          <w:t>https://www.edutopia.org/discussion/how-important-subject-matter-knowledge-teacher</w:t>
        </w:r>
      </w:hyperlink>
      <w:r>
        <w:rPr>
          <w:rFonts w:ascii="Times New Roman" w:hAnsi="Times New Roman" w:cs="Times New Roman"/>
          <w:sz w:val="24"/>
        </w:rPr>
        <w:t xml:space="preserve"> </w:t>
      </w:r>
    </w:p>
    <w:p w14:paraId="15748A64" w14:textId="5A000CFF" w:rsidR="003E08D5" w:rsidRDefault="003E08D5">
      <w:pPr>
        <w:rPr>
          <w:rFonts w:ascii="Times New Roman" w:hAnsi="Times New Roman" w:cs="Times New Roman"/>
          <w:sz w:val="24"/>
        </w:rPr>
      </w:pPr>
      <w:r>
        <w:rPr>
          <w:rFonts w:ascii="Times New Roman" w:hAnsi="Times New Roman" w:cs="Times New Roman"/>
          <w:sz w:val="24"/>
        </w:rPr>
        <w:t xml:space="preserve">Rowland et al (2003) </w:t>
      </w:r>
      <w:r w:rsidRPr="003E08D5">
        <w:rPr>
          <w:rFonts w:ascii="Times New Roman" w:hAnsi="Times New Roman" w:cs="Times New Roman"/>
          <w:i/>
          <w:sz w:val="24"/>
        </w:rPr>
        <w:t>The Knowledge Quartet</w:t>
      </w:r>
    </w:p>
    <w:p w14:paraId="443BCF5F" w14:textId="0DD3A9F3" w:rsidR="00756A54" w:rsidRPr="00AF44E1" w:rsidRDefault="00F77D16" w:rsidP="00F77D16">
      <w:pPr>
        <w:rPr>
          <w:rFonts w:ascii="Times New Roman" w:hAnsi="Times New Roman" w:cs="Times New Roman"/>
          <w:sz w:val="24"/>
        </w:rPr>
      </w:pPr>
      <w:r>
        <w:rPr>
          <w:rFonts w:ascii="Times New Roman" w:hAnsi="Times New Roman" w:cs="Times New Roman"/>
          <w:sz w:val="24"/>
        </w:rPr>
        <w:t xml:space="preserve">Shulman, L. (1987) </w:t>
      </w:r>
      <w:r w:rsidRPr="00F77D16">
        <w:rPr>
          <w:rFonts w:ascii="Times New Roman" w:hAnsi="Times New Roman" w:cs="Times New Roman"/>
          <w:i/>
          <w:sz w:val="24"/>
        </w:rPr>
        <w:t>Knowledge and Teaching: Foundations of the New Reform</w:t>
      </w:r>
    </w:p>
    <w:sectPr w:rsidR="00756A54" w:rsidRPr="00AF44E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DA018" w14:textId="77777777" w:rsidR="00B471B2" w:rsidRDefault="00B471B2" w:rsidP="00A51A36">
      <w:pPr>
        <w:spacing w:after="0" w:line="240" w:lineRule="auto"/>
      </w:pPr>
      <w:r>
        <w:separator/>
      </w:r>
    </w:p>
  </w:endnote>
  <w:endnote w:type="continuationSeparator" w:id="0">
    <w:p w14:paraId="45A3210C" w14:textId="77777777" w:rsidR="00B471B2" w:rsidRDefault="00B471B2" w:rsidP="00A51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174104"/>
      <w:docPartObj>
        <w:docPartGallery w:val="Page Numbers (Bottom of Page)"/>
        <w:docPartUnique/>
      </w:docPartObj>
    </w:sdtPr>
    <w:sdtEndPr>
      <w:rPr>
        <w:noProof/>
      </w:rPr>
    </w:sdtEndPr>
    <w:sdtContent>
      <w:p w14:paraId="29A80672" w14:textId="77777777" w:rsidR="00F33721" w:rsidRDefault="00F337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0BFA30" w14:textId="77777777" w:rsidR="00F33721" w:rsidRDefault="00F33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4FDAF9" w14:textId="77777777" w:rsidR="00B471B2" w:rsidRDefault="00B471B2" w:rsidP="00A51A36">
      <w:pPr>
        <w:spacing w:after="0" w:line="240" w:lineRule="auto"/>
      </w:pPr>
      <w:r>
        <w:separator/>
      </w:r>
    </w:p>
  </w:footnote>
  <w:footnote w:type="continuationSeparator" w:id="0">
    <w:p w14:paraId="3026CFD7" w14:textId="77777777" w:rsidR="00B471B2" w:rsidRDefault="00B471B2" w:rsidP="00A51A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5D758" w14:textId="77777777" w:rsidR="00F33721" w:rsidRDefault="00F33721">
    <w:pPr>
      <w:pStyle w:val="Header"/>
    </w:pPr>
    <w:r>
      <w:t xml:space="preserve">P147203- Learning and Teaching in the Primary School </w:t>
    </w:r>
  </w:p>
  <w:p w14:paraId="18231873" w14:textId="77777777" w:rsidR="00F33721" w:rsidRDefault="00F337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A36"/>
    <w:rsid w:val="0009597F"/>
    <w:rsid w:val="000A0A28"/>
    <w:rsid w:val="000A62F0"/>
    <w:rsid w:val="000B08E0"/>
    <w:rsid w:val="0011424B"/>
    <w:rsid w:val="00134661"/>
    <w:rsid w:val="00141234"/>
    <w:rsid w:val="001B0715"/>
    <w:rsid w:val="001B5A4B"/>
    <w:rsid w:val="00202BC4"/>
    <w:rsid w:val="0020564D"/>
    <w:rsid w:val="002D1411"/>
    <w:rsid w:val="002F5ADF"/>
    <w:rsid w:val="003037F9"/>
    <w:rsid w:val="003B1A25"/>
    <w:rsid w:val="003D75E3"/>
    <w:rsid w:val="003E08D5"/>
    <w:rsid w:val="004043DB"/>
    <w:rsid w:val="0045188D"/>
    <w:rsid w:val="004B79A2"/>
    <w:rsid w:val="00523B2F"/>
    <w:rsid w:val="00551E02"/>
    <w:rsid w:val="00661BFA"/>
    <w:rsid w:val="006A7913"/>
    <w:rsid w:val="006D74CE"/>
    <w:rsid w:val="00711AD2"/>
    <w:rsid w:val="00756A54"/>
    <w:rsid w:val="007D009B"/>
    <w:rsid w:val="00823964"/>
    <w:rsid w:val="00832760"/>
    <w:rsid w:val="0088369E"/>
    <w:rsid w:val="00897186"/>
    <w:rsid w:val="008B48D8"/>
    <w:rsid w:val="008C745A"/>
    <w:rsid w:val="00940D05"/>
    <w:rsid w:val="00952208"/>
    <w:rsid w:val="00983287"/>
    <w:rsid w:val="00A51A36"/>
    <w:rsid w:val="00A73A7E"/>
    <w:rsid w:val="00A75B2E"/>
    <w:rsid w:val="00A8754D"/>
    <w:rsid w:val="00AC2CC4"/>
    <w:rsid w:val="00AF44E1"/>
    <w:rsid w:val="00B471B2"/>
    <w:rsid w:val="00B66578"/>
    <w:rsid w:val="00B95ADF"/>
    <w:rsid w:val="00BF3917"/>
    <w:rsid w:val="00C162C9"/>
    <w:rsid w:val="00C314E7"/>
    <w:rsid w:val="00C34BDE"/>
    <w:rsid w:val="00C72CBB"/>
    <w:rsid w:val="00D206EA"/>
    <w:rsid w:val="00D20A7A"/>
    <w:rsid w:val="00D24AF3"/>
    <w:rsid w:val="00D52744"/>
    <w:rsid w:val="00D63F82"/>
    <w:rsid w:val="00DD5EB6"/>
    <w:rsid w:val="00E44D93"/>
    <w:rsid w:val="00E50714"/>
    <w:rsid w:val="00F33721"/>
    <w:rsid w:val="00F77D16"/>
    <w:rsid w:val="00F8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9F13"/>
  <w15:chartTrackingRefBased/>
  <w15:docId w15:val="{0A48339F-8214-4BFB-BAA9-B3F7D9331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A36"/>
  </w:style>
  <w:style w:type="paragraph" w:styleId="Footer">
    <w:name w:val="footer"/>
    <w:basedOn w:val="Normal"/>
    <w:link w:val="FooterChar"/>
    <w:uiPriority w:val="99"/>
    <w:unhideWhenUsed/>
    <w:rsid w:val="00A51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A36"/>
  </w:style>
  <w:style w:type="character" w:styleId="Hyperlink">
    <w:name w:val="Hyperlink"/>
    <w:basedOn w:val="DefaultParagraphFont"/>
    <w:uiPriority w:val="99"/>
    <w:unhideWhenUsed/>
    <w:rsid w:val="0045188D"/>
    <w:rPr>
      <w:color w:val="0563C1" w:themeColor="hyperlink"/>
      <w:u w:val="single"/>
    </w:rPr>
  </w:style>
  <w:style w:type="character" w:styleId="UnresolvedMention">
    <w:name w:val="Unresolved Mention"/>
    <w:basedOn w:val="DefaultParagraphFont"/>
    <w:uiPriority w:val="99"/>
    <w:semiHidden/>
    <w:unhideWhenUsed/>
    <w:rsid w:val="004518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ryhall.org.uk/importance-of-questioning.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dutopia.org/discussion/how-important-subject-matter-knowledge-teac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A0CBB-CF3E-455B-9C29-C0386C67A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4094</Words>
  <Characters>23340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Friend</dc:creator>
  <cp:keywords/>
  <dc:description/>
  <cp:lastModifiedBy>Ryan Friend</cp:lastModifiedBy>
  <cp:revision>2</cp:revision>
  <dcterms:created xsi:type="dcterms:W3CDTF">2019-01-11T16:20:00Z</dcterms:created>
  <dcterms:modified xsi:type="dcterms:W3CDTF">2019-01-11T16:20:00Z</dcterms:modified>
</cp:coreProperties>
</file>