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D9FC8" w14:textId="7A7F67F2" w:rsidR="00FB3C7E" w:rsidRPr="00100B72" w:rsidRDefault="00FB3C7E" w:rsidP="00FB3C7E">
      <w:pPr>
        <w:jc w:val="center"/>
        <w:rPr>
          <w:rFonts w:asciiTheme="minorHAnsi" w:hAnsiTheme="minorHAnsi" w:cstheme="minorHAnsi"/>
          <w:b/>
          <w:bCs/>
          <w:u w:val="single"/>
        </w:rPr>
      </w:pPr>
      <w:r w:rsidRPr="00100B72">
        <w:rPr>
          <w:rFonts w:asciiTheme="minorHAnsi" w:hAnsiTheme="minorHAnsi" w:cstheme="minorHAnsi"/>
          <w:b/>
          <w:bCs/>
          <w:u w:val="single"/>
        </w:rPr>
        <w:t>A critical evaluation and the identification of the next teaching and learning steps focused on a case study of an individual learner or a group of learners, based on observed critical incident.</w:t>
      </w:r>
    </w:p>
    <w:p w14:paraId="24B77A26" w14:textId="77777777" w:rsidR="00FB3C7E" w:rsidRPr="00100B72" w:rsidRDefault="00FB3C7E" w:rsidP="00FB3C7E">
      <w:pPr>
        <w:rPr>
          <w:rFonts w:asciiTheme="minorHAnsi" w:hAnsiTheme="minorHAnsi" w:cstheme="minorHAnsi"/>
          <w:b/>
          <w:bCs/>
          <w:u w:val="single"/>
        </w:rPr>
      </w:pPr>
    </w:p>
    <w:p w14:paraId="2DD5CA04" w14:textId="77777777" w:rsidR="00FB3C7E" w:rsidRPr="00100B72" w:rsidRDefault="00FB3C7E" w:rsidP="00FB3C7E">
      <w:pPr>
        <w:rPr>
          <w:rFonts w:asciiTheme="minorHAnsi" w:hAnsiTheme="minorHAnsi" w:cstheme="minorHAnsi"/>
          <w:b/>
          <w:bCs/>
          <w:u w:val="single"/>
        </w:rPr>
      </w:pPr>
    </w:p>
    <w:p w14:paraId="7DB3B67E" w14:textId="77777777" w:rsidR="00FB3C7E" w:rsidRPr="00100B72" w:rsidRDefault="00FB3C7E" w:rsidP="00FB3C7E">
      <w:pPr>
        <w:rPr>
          <w:rFonts w:asciiTheme="minorHAnsi" w:hAnsiTheme="minorHAnsi" w:cstheme="minorHAnsi"/>
          <w:b/>
          <w:bCs/>
          <w:u w:val="single"/>
        </w:rPr>
      </w:pPr>
      <w:r w:rsidRPr="00100B72">
        <w:rPr>
          <w:rFonts w:asciiTheme="minorHAnsi" w:hAnsiTheme="minorHAnsi" w:cstheme="minorHAnsi"/>
          <w:b/>
          <w:bCs/>
          <w:u w:val="single"/>
        </w:rPr>
        <w:t xml:space="preserve">Introduction </w:t>
      </w:r>
    </w:p>
    <w:p w14:paraId="5400A0DE" w14:textId="034C7F6B" w:rsidR="00E26E11" w:rsidRPr="00100B72" w:rsidRDefault="00FB3C7E" w:rsidP="00FB3C7E">
      <w:pPr>
        <w:rPr>
          <w:rFonts w:asciiTheme="minorHAnsi" w:hAnsiTheme="minorHAnsi" w:cstheme="minorHAnsi"/>
        </w:rPr>
      </w:pPr>
      <w:r w:rsidRPr="00100B72">
        <w:rPr>
          <w:rFonts w:asciiTheme="minorHAnsi" w:hAnsiTheme="minorHAnsi" w:cstheme="minorHAnsi"/>
        </w:rPr>
        <w:t xml:space="preserve">In this assignment, I will be conducting a critical evaluation on an observed critical incident that occurred during a lesson observation during a year 2 parent-child cookery class. I had the opportunity to observe this over the ‘Bridging’ observation days at my lead network school. I am going to review and discuss findings from relevant theory and literature to guide and identify the next teaching steps and evaluate whether they meet the professional teaching standards and how they could be implemented into my own teaching practice. I will be looking at how the role of reflection on these critical incidents can help teachers continuously develop and enhance their teaching practise (Griffiths, 2008). </w:t>
      </w:r>
    </w:p>
    <w:p w14:paraId="20451850" w14:textId="77777777" w:rsidR="00E26E11" w:rsidRPr="00100B72" w:rsidRDefault="00E26E11" w:rsidP="00FB3C7E">
      <w:pPr>
        <w:rPr>
          <w:rFonts w:asciiTheme="minorHAnsi" w:hAnsiTheme="minorHAnsi" w:cstheme="minorHAnsi"/>
        </w:rPr>
      </w:pPr>
    </w:p>
    <w:p w14:paraId="726D0511" w14:textId="15C28563"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Finding critical incidents within a school or classroom environment was the first task within this assignment, although usually having a negative connotation the event itself in fact can be positive and is </w:t>
      </w:r>
      <w:r w:rsidR="00E26E11" w:rsidRPr="00100B72">
        <w:rPr>
          <w:rFonts w:asciiTheme="minorHAnsi" w:hAnsiTheme="minorHAnsi" w:cstheme="minorHAnsi"/>
        </w:rPr>
        <w:t xml:space="preserve">a </w:t>
      </w:r>
      <w:r w:rsidRPr="00100B72">
        <w:rPr>
          <w:rFonts w:asciiTheme="minorHAnsi" w:hAnsiTheme="minorHAnsi" w:cstheme="minorHAnsi"/>
        </w:rPr>
        <w:t xml:space="preserve">‘pivotal point’ between pupil and teacher. These incidents happen within both the school and classroom environment every day, with Tripp explaining that the meaning of the critical incident is the ‘interpretation of the significance and the valued judgement of an event that could otherwise seem mundane.’ (1993 p8). </w:t>
      </w:r>
    </w:p>
    <w:p w14:paraId="5B6862C6" w14:textId="715959E3"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This research will be conducted without the use of school or pupil names, although some information will be included for context that will not result directly or indirectly breach confidentiality or anonymity (BERA, 2018). </w:t>
      </w:r>
    </w:p>
    <w:p w14:paraId="4EA21AAC" w14:textId="77777777" w:rsidR="00FB3C7E" w:rsidRPr="00100B72" w:rsidRDefault="00FB3C7E" w:rsidP="00FB3C7E">
      <w:pPr>
        <w:rPr>
          <w:rFonts w:asciiTheme="minorHAnsi" w:hAnsiTheme="minorHAnsi" w:cstheme="minorHAnsi"/>
        </w:rPr>
      </w:pPr>
    </w:p>
    <w:p w14:paraId="1DDF4C71" w14:textId="18F1B244" w:rsidR="00FB3C7E" w:rsidRPr="00100B72" w:rsidRDefault="00FB3C7E" w:rsidP="00FB3C7E">
      <w:pPr>
        <w:rPr>
          <w:rFonts w:asciiTheme="minorHAnsi" w:hAnsiTheme="minorHAnsi" w:cstheme="minorHAnsi"/>
          <w:b/>
          <w:bCs/>
          <w:u w:val="single"/>
        </w:rPr>
      </w:pPr>
      <w:r w:rsidRPr="00100B72">
        <w:rPr>
          <w:rFonts w:asciiTheme="minorHAnsi" w:hAnsiTheme="minorHAnsi" w:cstheme="minorHAnsi"/>
          <w:b/>
          <w:bCs/>
          <w:u w:val="single"/>
        </w:rPr>
        <w:t xml:space="preserve">Role of critical reflection </w:t>
      </w:r>
    </w:p>
    <w:p w14:paraId="21573CD4" w14:textId="2AC56709" w:rsidR="00FB3C7E" w:rsidRPr="00100B72" w:rsidRDefault="00FB3C7E" w:rsidP="00FB3C7E">
      <w:pPr>
        <w:rPr>
          <w:rFonts w:asciiTheme="minorHAnsi" w:hAnsiTheme="minorHAnsi" w:cstheme="minorHAnsi"/>
          <w:b/>
          <w:bCs/>
          <w:u w:val="single"/>
        </w:rPr>
      </w:pPr>
    </w:p>
    <w:p w14:paraId="4929C03C" w14:textId="77777777"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Reflective practice within the teaching profession is imperative in aiding teachers to recurrently adapt their pedagogy based on their own classroom experiences to meet the needs of their pupils. In fact, reflection plays an incremental role in effectively meeting the Professional Teaching Standards for all school practitioners (Welsh Government 2019). It urges individuals to consciously recognise the impacts they have on learners and engage with Educational Research to inform future action. </w:t>
      </w:r>
    </w:p>
    <w:p w14:paraId="61C0A1E6" w14:textId="77777777"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 </w:t>
      </w:r>
    </w:p>
    <w:p w14:paraId="360FE82C" w14:textId="28C0CE31"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The definition of reflective practice is defined by Tripp as ‘a matter of maintaining an emotional awareness to guide our learning, and thereby our strategies and actions, towards maximising our sense of success’ (2010). There are different ways one can be reflective within their practice. Dewey believes that a person who is reflective holds three attributes which he describes to be, open-mindedness, responsibility and whole-heartedness (1933). To become these, we must first be aware that, as teachers or student-teachers, our attitudes toward how we act are predominantly based on assumptions from our previous experiences. Notably, we may see these assumptions to be true, but on the other hand, they may not be entirely accurate and objective. Teachers see their experiences initially through a single lens, and, in order to become truly adaptable in the interest of enhancing the learner experience, we must alter how we engage with our own experiences. Changing the way teaching and learning is implemented demands open-mindedness and ownership </w:t>
      </w:r>
      <w:r w:rsidRPr="00100B72">
        <w:rPr>
          <w:rFonts w:asciiTheme="minorHAnsi" w:hAnsiTheme="minorHAnsi" w:cstheme="minorHAnsi"/>
        </w:rPr>
        <w:lastRenderedPageBreak/>
        <w:t xml:space="preserve">for the learning of the class (Brookfield,2017, p2-3). Whole-heartedness may be promoted by conducting reflective analysis through Brookfield’s’ 4 lens focus </w:t>
      </w:r>
      <w:r w:rsidRPr="00100B72">
        <w:rPr>
          <w:rFonts w:asciiTheme="minorHAnsi" w:hAnsiTheme="minorHAnsi" w:cstheme="minorHAnsi"/>
          <w:i/>
          <w:iCs/>
        </w:rPr>
        <w:t>(</w:t>
      </w:r>
      <w:r w:rsidR="00E26E11" w:rsidRPr="00100B72">
        <w:rPr>
          <w:rFonts w:asciiTheme="minorHAnsi" w:hAnsiTheme="minorHAnsi" w:cstheme="minorHAnsi"/>
          <w:i/>
          <w:iCs/>
        </w:rPr>
        <w:t>2017, p2-3</w:t>
      </w:r>
      <w:r w:rsidRPr="00100B72">
        <w:rPr>
          <w:rFonts w:asciiTheme="minorHAnsi" w:hAnsiTheme="minorHAnsi" w:cstheme="minorHAnsi"/>
        </w:rPr>
        <w:t>)</w:t>
      </w:r>
      <w:r w:rsidRPr="00100B72">
        <w:rPr>
          <w:rFonts w:asciiTheme="minorHAnsi" w:hAnsiTheme="minorHAnsi" w:cstheme="minorHAnsi"/>
          <w:i/>
          <w:iCs/>
        </w:rPr>
        <w:t>.</w:t>
      </w:r>
    </w:p>
    <w:p w14:paraId="1B4A9DE1" w14:textId="77777777" w:rsidR="00FB3C7E" w:rsidRPr="00100B72" w:rsidRDefault="00FB3C7E" w:rsidP="00FB3C7E">
      <w:pPr>
        <w:rPr>
          <w:rFonts w:asciiTheme="minorHAnsi" w:hAnsiTheme="minorHAnsi" w:cstheme="minorHAnsi"/>
        </w:rPr>
      </w:pPr>
    </w:p>
    <w:p w14:paraId="18977591" w14:textId="3CA65D0F" w:rsidR="00FB3C7E" w:rsidRPr="00100B72" w:rsidRDefault="00FB3C7E" w:rsidP="00FB3C7E">
      <w:pPr>
        <w:rPr>
          <w:rFonts w:asciiTheme="minorHAnsi" w:hAnsiTheme="minorHAnsi" w:cstheme="minorHAnsi"/>
          <w:color w:val="FF0000"/>
        </w:rPr>
      </w:pPr>
      <w:r w:rsidRPr="00100B72">
        <w:rPr>
          <w:rFonts w:asciiTheme="minorHAnsi" w:hAnsiTheme="minorHAnsi" w:cstheme="minorHAnsi"/>
        </w:rPr>
        <w:t>The first ‘lens’ highlighted by Brookfield is through the student’s perspective. This focuses on how the learner is affected by different teaching techniques and perceives classroom occurrences, such as tone of voice and mannerisms (</w:t>
      </w:r>
      <w:r w:rsidR="00704798" w:rsidRPr="00100B72">
        <w:rPr>
          <w:rFonts w:asciiTheme="minorHAnsi" w:hAnsiTheme="minorHAnsi" w:cstheme="minorHAnsi"/>
          <w:color w:val="000000" w:themeColor="text1"/>
        </w:rPr>
        <w:t>Brookfield, 2017)</w:t>
      </w:r>
      <w:r w:rsidRPr="00100B72">
        <w:rPr>
          <w:rFonts w:asciiTheme="minorHAnsi" w:hAnsiTheme="minorHAnsi" w:cstheme="minorHAnsi"/>
        </w:rPr>
        <w:t>. The second lens looks at the viewpoint of peers or colleagues. This may include discussions outside of lessons, team teaching and observations where the teacher is open to receiving constructive feedback. At times, elements of a teacher’s lesson may be so embedded within their practice, that other professionals have a better perception of highlighting and recommending ways in which teachers can expand their teaching repertoire. This is because it may no longer be something the teacher realises</w:t>
      </w:r>
      <w:r w:rsidR="00AC2197" w:rsidRPr="00100B72">
        <w:rPr>
          <w:rFonts w:asciiTheme="minorHAnsi" w:hAnsiTheme="minorHAnsi" w:cstheme="minorHAnsi"/>
        </w:rPr>
        <w:t>,</w:t>
      </w:r>
      <w:r w:rsidRPr="00100B72">
        <w:rPr>
          <w:rFonts w:asciiTheme="minorHAnsi" w:hAnsiTheme="minorHAnsi" w:cstheme="minorHAnsi"/>
        </w:rPr>
        <w:t xml:space="preserve"> and is aware of</w:t>
      </w:r>
      <w:r w:rsidR="00AC2197" w:rsidRPr="00100B72">
        <w:rPr>
          <w:rFonts w:asciiTheme="minorHAnsi" w:hAnsiTheme="minorHAnsi" w:cstheme="minorHAnsi"/>
        </w:rPr>
        <w:t>,</w:t>
      </w:r>
      <w:r w:rsidRPr="00100B72">
        <w:rPr>
          <w:rFonts w:asciiTheme="minorHAnsi" w:hAnsiTheme="minorHAnsi" w:cstheme="minorHAnsi"/>
        </w:rPr>
        <w:t xml:space="preserve"> as affecting pupil progress. Personal Experience is the third lens, as a class teacher knows the pupils within their classroom, this insight is extremely valuable to the reflective process. It is important that the reflective practitioner is self-aware and recognises their perspective to be both valuable and subjective. Lastly, the fourth lens, encompasses all theory and research. This is partly a process of continuous professional development and provides an evidence-based insight into wider teaching contexts, as well as keeping teachers informed of relevant research and theories (</w:t>
      </w:r>
      <w:r w:rsidR="00AC2197" w:rsidRPr="00100B72">
        <w:rPr>
          <w:rFonts w:asciiTheme="minorHAnsi" w:hAnsiTheme="minorHAnsi" w:cstheme="minorHAnsi"/>
        </w:rPr>
        <w:t>Brookfield</w:t>
      </w:r>
      <w:r w:rsidRPr="00100B72">
        <w:rPr>
          <w:rFonts w:asciiTheme="minorHAnsi" w:hAnsiTheme="minorHAnsi" w:cstheme="minorHAnsi"/>
        </w:rPr>
        <w:t>,2017, p8).</w:t>
      </w:r>
    </w:p>
    <w:p w14:paraId="0585F154" w14:textId="77777777" w:rsidR="00FB3C7E" w:rsidRPr="00100B72" w:rsidRDefault="00FB3C7E" w:rsidP="00FB3C7E">
      <w:pPr>
        <w:rPr>
          <w:rFonts w:asciiTheme="minorHAnsi" w:hAnsiTheme="minorHAnsi" w:cstheme="minorHAnsi"/>
        </w:rPr>
      </w:pPr>
    </w:p>
    <w:p w14:paraId="7E87D916" w14:textId="1292828B"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Similarly, Kolb’s ‘cycle of reflection’ can be broken into 4 parts (Kolb, 1984). This model builds on each </w:t>
      </w:r>
      <w:r w:rsidR="00704798" w:rsidRPr="00100B72">
        <w:rPr>
          <w:rFonts w:asciiTheme="minorHAnsi" w:hAnsiTheme="minorHAnsi" w:cstheme="minorHAnsi"/>
        </w:rPr>
        <w:t>stage,</w:t>
      </w:r>
      <w:r w:rsidRPr="00100B72">
        <w:rPr>
          <w:rFonts w:asciiTheme="minorHAnsi" w:hAnsiTheme="minorHAnsi" w:cstheme="minorHAnsi"/>
        </w:rPr>
        <w:t xml:space="preserve"> and they work together. Kolb described Reflection as beginning with an ‘active experimentation</w:t>
      </w:r>
      <w:r w:rsidR="00AC2197" w:rsidRPr="00100B72">
        <w:rPr>
          <w:rFonts w:asciiTheme="minorHAnsi" w:hAnsiTheme="minorHAnsi" w:cstheme="minorHAnsi"/>
        </w:rPr>
        <w:t>’</w:t>
      </w:r>
      <w:r w:rsidRPr="00100B72">
        <w:rPr>
          <w:rFonts w:asciiTheme="minorHAnsi" w:hAnsiTheme="minorHAnsi" w:cstheme="minorHAnsi"/>
        </w:rPr>
        <w:t>, which is followed by a ‘concrete experience’ of a critical incident. After the teacher provides an initial ‘reflective observation’ and, later, ‘abstract conceptualisation’ which engages with theoretical literature, before returning to the beginning of the cycle (Kolb 1984). Both Brookfield and Kolb’s models lead those to believe that reflection is a post-occurrence process. However, Schon’s definition of reflective practice is the ability to think about actions “in an immediate and interactive way” (Griffiths 2000, p.541).  Being able to act and decide on the next steps momentarily is vital, as Schon describes reflection to happen naturally within the teaching practice. This is called ‘Reflection-in-Action’. However, this has been the brunt of certain criticisms, saying that many of Schon’s examples have not succeeded in providing evidence of reflection in action but of reflection on action). It is also notable that reflection in action examples were not relevant to school or classroom environments (</w:t>
      </w:r>
      <w:proofErr w:type="spellStart"/>
      <w:r w:rsidRPr="00100B72">
        <w:rPr>
          <w:rFonts w:asciiTheme="minorHAnsi" w:hAnsiTheme="minorHAnsi" w:cstheme="minorHAnsi"/>
        </w:rPr>
        <w:t>Eraut</w:t>
      </w:r>
      <w:proofErr w:type="spellEnd"/>
      <w:r w:rsidRPr="00100B72">
        <w:rPr>
          <w:rFonts w:asciiTheme="minorHAnsi" w:hAnsiTheme="minorHAnsi" w:cstheme="minorHAnsi"/>
        </w:rPr>
        <w:t>, 1995, p9-22)</w:t>
      </w:r>
      <w:r w:rsidR="00AC2197" w:rsidRPr="00100B72">
        <w:rPr>
          <w:rFonts w:asciiTheme="minorHAnsi" w:hAnsiTheme="minorHAnsi" w:cstheme="minorHAnsi"/>
        </w:rPr>
        <w:t>.</w:t>
      </w:r>
      <w:r w:rsidRPr="00100B72">
        <w:rPr>
          <w:rFonts w:asciiTheme="minorHAnsi" w:hAnsiTheme="minorHAnsi" w:cstheme="minorHAnsi"/>
        </w:rPr>
        <w:t xml:space="preserve"> Although </w:t>
      </w:r>
      <w:r w:rsidR="00AC2197" w:rsidRPr="00100B72">
        <w:rPr>
          <w:rFonts w:asciiTheme="minorHAnsi" w:hAnsiTheme="minorHAnsi" w:cstheme="minorHAnsi"/>
        </w:rPr>
        <w:t xml:space="preserve">it is </w:t>
      </w:r>
      <w:r w:rsidRPr="00100B72">
        <w:rPr>
          <w:rFonts w:asciiTheme="minorHAnsi" w:hAnsiTheme="minorHAnsi" w:cstheme="minorHAnsi"/>
        </w:rPr>
        <w:t>clear from the prior models discussed, the role of reflection is vital to the teaching profession in keeping a growth mindset and continuing professional development as to not become stagnant in practice. The relevance of Schon’s model of reflection for those teaching could be questioned based on the lack of examples within a school-based environments (1995</w:t>
      </w:r>
      <w:r w:rsidR="00AC2197" w:rsidRPr="00100B72">
        <w:rPr>
          <w:rFonts w:asciiTheme="minorHAnsi" w:hAnsiTheme="minorHAnsi" w:cstheme="minorHAnsi"/>
        </w:rPr>
        <w:t>, p-22</w:t>
      </w:r>
      <w:r w:rsidRPr="00100B72">
        <w:rPr>
          <w:rFonts w:asciiTheme="minorHAnsi" w:hAnsiTheme="minorHAnsi" w:cstheme="minorHAnsi"/>
        </w:rPr>
        <w:t>).</w:t>
      </w:r>
    </w:p>
    <w:p w14:paraId="3CA01C53" w14:textId="77777777" w:rsidR="00FB3C7E" w:rsidRPr="00100B72" w:rsidRDefault="00FB3C7E" w:rsidP="00FB3C7E">
      <w:pPr>
        <w:rPr>
          <w:rFonts w:asciiTheme="minorHAnsi" w:hAnsiTheme="minorHAnsi" w:cstheme="minorHAnsi"/>
        </w:rPr>
      </w:pPr>
    </w:p>
    <w:p w14:paraId="656B7564" w14:textId="32F14223" w:rsidR="00FB3C7E" w:rsidRPr="00100B72" w:rsidRDefault="00FB3C7E" w:rsidP="00FB3C7E">
      <w:pPr>
        <w:rPr>
          <w:rFonts w:asciiTheme="minorHAnsi" w:hAnsiTheme="minorHAnsi" w:cstheme="minorHAnsi"/>
          <w:color w:val="000000" w:themeColor="text1"/>
        </w:rPr>
      </w:pPr>
      <w:r w:rsidRPr="00100B72">
        <w:rPr>
          <w:rFonts w:asciiTheme="minorHAnsi" w:hAnsiTheme="minorHAnsi" w:cstheme="minorHAnsi"/>
          <w:color w:val="000000" w:themeColor="text1"/>
        </w:rPr>
        <w:t xml:space="preserve">Based on the information provided, for the purposes of this assignment, I will be utilising Brookfield’s lenses to consider the multiplicities of ways teaching affects learners. Moreso, I will formulate my own theoretical lens by engaging with educational literature to evaluate the incident in greater depth. I will also consider the outlook of the teacher as the lesson planner and a professional to whom has made active decisions in their teaching practice that has been formed by their own reflective journey. I will </w:t>
      </w:r>
      <w:r w:rsidR="00AC2197" w:rsidRPr="00100B72">
        <w:rPr>
          <w:rFonts w:asciiTheme="minorHAnsi" w:hAnsiTheme="minorHAnsi" w:cstheme="minorHAnsi"/>
          <w:color w:val="000000" w:themeColor="text1"/>
        </w:rPr>
        <w:t xml:space="preserve">also </w:t>
      </w:r>
      <w:r w:rsidRPr="00100B72">
        <w:rPr>
          <w:rFonts w:asciiTheme="minorHAnsi" w:hAnsiTheme="minorHAnsi" w:cstheme="minorHAnsi"/>
          <w:color w:val="000000" w:themeColor="text1"/>
        </w:rPr>
        <w:t xml:space="preserve">be following Kolb’s </w:t>
      </w:r>
      <w:r w:rsidR="00AC2197" w:rsidRPr="00100B72">
        <w:rPr>
          <w:rFonts w:asciiTheme="minorHAnsi" w:hAnsiTheme="minorHAnsi" w:cstheme="minorHAnsi"/>
          <w:color w:val="000000" w:themeColor="text1"/>
        </w:rPr>
        <w:t xml:space="preserve">(1984) </w:t>
      </w:r>
      <w:r w:rsidRPr="00100B72">
        <w:rPr>
          <w:rFonts w:asciiTheme="minorHAnsi" w:hAnsiTheme="minorHAnsi" w:cstheme="minorHAnsi"/>
          <w:color w:val="000000" w:themeColor="text1"/>
        </w:rPr>
        <w:lastRenderedPageBreak/>
        <w:t xml:space="preserve">four-stage cycle and use my findings to consider the ways I can </w:t>
      </w:r>
      <w:r w:rsidR="00100B72">
        <w:rPr>
          <w:rFonts w:asciiTheme="minorHAnsi" w:hAnsiTheme="minorHAnsi" w:cstheme="minorHAnsi"/>
          <w:color w:val="000000" w:themeColor="text1"/>
        </w:rPr>
        <w:t>A</w:t>
      </w:r>
      <w:r w:rsidRPr="00100B72">
        <w:rPr>
          <w:rFonts w:asciiTheme="minorHAnsi" w:hAnsiTheme="minorHAnsi" w:cstheme="minorHAnsi"/>
          <w:color w:val="000000" w:themeColor="text1"/>
        </w:rPr>
        <w:t>ctively Experiment. This follows Schon’s notions of Reflection-on-Action as oppose</w:t>
      </w:r>
      <w:r w:rsidR="00100B72">
        <w:rPr>
          <w:rFonts w:asciiTheme="minorHAnsi" w:hAnsiTheme="minorHAnsi" w:cstheme="minorHAnsi"/>
          <w:color w:val="000000" w:themeColor="text1"/>
        </w:rPr>
        <w:t>d</w:t>
      </w:r>
      <w:r w:rsidRPr="00100B72">
        <w:rPr>
          <w:rFonts w:asciiTheme="minorHAnsi" w:hAnsiTheme="minorHAnsi" w:cstheme="minorHAnsi"/>
          <w:color w:val="000000" w:themeColor="text1"/>
        </w:rPr>
        <w:t xml:space="preserve"> to Reflection-in-Action. </w:t>
      </w:r>
    </w:p>
    <w:p w14:paraId="232363CD" w14:textId="1FB86C51" w:rsidR="00FB3C7E" w:rsidRPr="00100B72" w:rsidRDefault="00FB3C7E" w:rsidP="00FB3C7E">
      <w:pPr>
        <w:rPr>
          <w:rFonts w:asciiTheme="minorHAnsi" w:hAnsiTheme="minorHAnsi" w:cstheme="minorHAnsi"/>
          <w:color w:val="000000" w:themeColor="text1"/>
        </w:rPr>
      </w:pPr>
    </w:p>
    <w:p w14:paraId="012025CA" w14:textId="49565900" w:rsidR="00FB3C7E" w:rsidRPr="00100B72" w:rsidRDefault="00FB3C7E" w:rsidP="00FB3C7E">
      <w:pPr>
        <w:rPr>
          <w:rFonts w:asciiTheme="minorHAnsi" w:hAnsiTheme="minorHAnsi" w:cstheme="minorHAnsi"/>
          <w:color w:val="000000" w:themeColor="text1"/>
        </w:rPr>
      </w:pPr>
    </w:p>
    <w:p w14:paraId="121610AD" w14:textId="0B508F62" w:rsidR="00FB3C7E" w:rsidRPr="00100B72" w:rsidRDefault="00FB3C7E" w:rsidP="00FB3C7E">
      <w:pPr>
        <w:rPr>
          <w:rFonts w:asciiTheme="minorHAnsi" w:hAnsiTheme="minorHAnsi" w:cstheme="minorHAnsi"/>
          <w:b/>
          <w:bCs/>
          <w:u w:val="single"/>
        </w:rPr>
      </w:pPr>
      <w:r w:rsidRPr="00100B72">
        <w:rPr>
          <w:rFonts w:asciiTheme="minorHAnsi" w:hAnsiTheme="minorHAnsi" w:cstheme="minorHAnsi"/>
          <w:b/>
          <w:bCs/>
          <w:u w:val="single"/>
        </w:rPr>
        <w:t xml:space="preserve">Observation School and Class Context </w:t>
      </w:r>
    </w:p>
    <w:p w14:paraId="738A7B7C" w14:textId="77777777"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During the bridging experience I had the opportunity to go to a Primary school situated in the Vale of Glamorgan. In 2017 there were 471 pupils on the roll and from this, around 36% were eligible for free school meals. Comparatively, the national average at the time of the report was 19% making this a very high proportion (Estyn, 2017). When meeting our network lead for the first time, they explained to us that 70% of parents were currently out of work. The Vale of Glamorgan, where the school is situated, reported an increase of 103% for unemployment related support (VoG Annual Report, 2021). </w:t>
      </w:r>
    </w:p>
    <w:p w14:paraId="22B03E8F" w14:textId="727B467A" w:rsidR="00FB3C7E" w:rsidRPr="00100B72" w:rsidRDefault="00FB3C7E" w:rsidP="00FB3C7E">
      <w:pPr>
        <w:rPr>
          <w:rFonts w:asciiTheme="minorHAnsi" w:hAnsiTheme="minorHAnsi" w:cstheme="minorHAnsi"/>
        </w:rPr>
      </w:pPr>
      <w:r w:rsidRPr="00100B72">
        <w:rPr>
          <w:rFonts w:asciiTheme="minorHAnsi" w:hAnsiTheme="minorHAnsi" w:cstheme="minorHAnsi"/>
        </w:rPr>
        <w:t>The school works closely with the families of pupils as the school highly values the impact of pupil’s well-being within their home environment and consider the influence it has on childhood learning (Estyn, 2018)</w:t>
      </w:r>
      <w:r w:rsidR="004A6C56" w:rsidRPr="00100B72">
        <w:rPr>
          <w:rFonts w:asciiTheme="minorHAnsi" w:hAnsiTheme="minorHAnsi" w:cstheme="minorHAnsi"/>
        </w:rPr>
        <w:t>.</w:t>
      </w:r>
      <w:r w:rsidRPr="00100B72">
        <w:rPr>
          <w:rFonts w:asciiTheme="minorHAnsi" w:hAnsiTheme="minorHAnsi" w:cstheme="minorHAnsi"/>
        </w:rPr>
        <w:t xml:space="preserve"> A family engagement session took place on the day of observation, and I was fortunate to observe a year 2 class utilise ‘The Barn’ space, where a market was set up and parents had the chance to do take a cooking class alongside their children. Reviewing their ‘Relationship Policy’, the school outlines their overall aim to ‘’Create a culture of healthy relationships throughout school and the community which will impact on the quality of teaching and learning.’ (</w:t>
      </w:r>
      <w:r w:rsidR="004A6C56" w:rsidRPr="00100B72">
        <w:rPr>
          <w:rFonts w:asciiTheme="minorHAnsi" w:hAnsiTheme="minorHAnsi" w:cstheme="minorHAnsi"/>
        </w:rPr>
        <w:t xml:space="preserve">School Relationship policy </w:t>
      </w:r>
      <w:r w:rsidRPr="00100B72">
        <w:rPr>
          <w:rFonts w:asciiTheme="minorHAnsi" w:hAnsiTheme="minorHAnsi" w:cstheme="minorHAnsi"/>
        </w:rPr>
        <w:t xml:space="preserve">2019 p4). Notably the school does not have a ‘behaviour policy’ but instead a ‘relationship </w:t>
      </w:r>
      <w:r w:rsidR="004A6C56" w:rsidRPr="00100B72">
        <w:rPr>
          <w:rFonts w:asciiTheme="minorHAnsi" w:hAnsiTheme="minorHAnsi" w:cstheme="minorHAnsi"/>
        </w:rPr>
        <w:t>policy</w:t>
      </w:r>
      <w:r w:rsidRPr="00100B72">
        <w:rPr>
          <w:rFonts w:asciiTheme="minorHAnsi" w:hAnsiTheme="minorHAnsi" w:cstheme="minorHAnsi"/>
        </w:rPr>
        <w:t xml:space="preserve">’. </w:t>
      </w:r>
    </w:p>
    <w:p w14:paraId="5E5CA6D3" w14:textId="7E4BA091"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The cooking classes that take place in this school are of valuable interest considering nationally, 75% of children who come from a family where 1 or more people work are still living in poverty (End Child Poverty.Org). Holding classes like these can help improve </w:t>
      </w:r>
      <w:proofErr w:type="gramStart"/>
      <w:r w:rsidRPr="00100B72">
        <w:rPr>
          <w:rFonts w:asciiTheme="minorHAnsi" w:hAnsiTheme="minorHAnsi" w:cstheme="minorHAnsi"/>
        </w:rPr>
        <w:t>famil</w:t>
      </w:r>
      <w:r w:rsidR="004A6C56" w:rsidRPr="00100B72">
        <w:rPr>
          <w:rFonts w:asciiTheme="minorHAnsi" w:hAnsiTheme="minorHAnsi" w:cstheme="minorHAnsi"/>
        </w:rPr>
        <w:t>ies</w:t>
      </w:r>
      <w:proofErr w:type="gramEnd"/>
      <w:r w:rsidRPr="00100B72">
        <w:rPr>
          <w:rFonts w:asciiTheme="minorHAnsi" w:hAnsiTheme="minorHAnsi" w:cstheme="minorHAnsi"/>
        </w:rPr>
        <w:t xml:space="preserve"> knowledge of food and nutrition since studies show poor nutrition affects cognitive function and academic potential (Albon and Mukherji, 2008). This demonstrates that the school is working to proactively support families in providing healthy, nutritional lifestyles for their children. </w:t>
      </w:r>
    </w:p>
    <w:p w14:paraId="5D61147E" w14:textId="77777777" w:rsidR="00645268" w:rsidRPr="00100B72" w:rsidRDefault="00645268" w:rsidP="00FB3C7E">
      <w:pPr>
        <w:rPr>
          <w:rFonts w:asciiTheme="minorHAnsi" w:hAnsiTheme="minorHAnsi" w:cstheme="minorHAnsi"/>
          <w:color w:val="000000" w:themeColor="text1"/>
        </w:rPr>
      </w:pPr>
    </w:p>
    <w:p w14:paraId="608BC53F" w14:textId="1546EF90" w:rsidR="00FB3C7E" w:rsidRPr="00100B72" w:rsidRDefault="00FB3C7E" w:rsidP="00FB3C7E">
      <w:pPr>
        <w:rPr>
          <w:rFonts w:asciiTheme="minorHAnsi" w:hAnsiTheme="minorHAnsi" w:cstheme="minorHAnsi"/>
          <w:b/>
          <w:bCs/>
          <w:u w:val="single"/>
        </w:rPr>
      </w:pPr>
      <w:r w:rsidRPr="00100B72">
        <w:rPr>
          <w:rFonts w:asciiTheme="minorHAnsi" w:hAnsiTheme="minorHAnsi" w:cstheme="minorHAnsi"/>
          <w:b/>
          <w:bCs/>
          <w:u w:val="single"/>
        </w:rPr>
        <w:t xml:space="preserve">Critical incident </w:t>
      </w:r>
    </w:p>
    <w:p w14:paraId="6D1ADE6C" w14:textId="77777777" w:rsidR="00FB3C7E" w:rsidRPr="00100B72" w:rsidRDefault="00FB3C7E" w:rsidP="00FB3C7E">
      <w:pPr>
        <w:rPr>
          <w:rFonts w:asciiTheme="minorHAnsi" w:hAnsiTheme="minorHAnsi" w:cstheme="minorHAnsi"/>
          <w:b/>
          <w:bCs/>
          <w:u w:val="single"/>
        </w:rPr>
      </w:pPr>
    </w:p>
    <w:p w14:paraId="5FFC013C" w14:textId="77B8EBC6" w:rsidR="00FB3C7E" w:rsidRPr="00100B72" w:rsidRDefault="00FB3C7E" w:rsidP="00FB3C7E">
      <w:pPr>
        <w:rPr>
          <w:rFonts w:asciiTheme="minorHAnsi" w:hAnsiTheme="minorHAnsi" w:cstheme="minorHAnsi"/>
        </w:rPr>
      </w:pPr>
      <w:r w:rsidRPr="00100B72">
        <w:rPr>
          <w:rFonts w:asciiTheme="minorHAnsi" w:hAnsiTheme="minorHAnsi" w:cstheme="minorHAnsi"/>
        </w:rPr>
        <w:t>During the parent-child cooking class, I observed a critical incident while a food preparation activity was taking place in a space the school refers to as ‘The Barn’. In the corner of the room was a dining table with lots of different foods sorted upon it, an ‘L’ shaped kitchen equipped with a sink and an oven</w:t>
      </w:r>
      <w:r w:rsidR="004A6C56" w:rsidRPr="00100B72">
        <w:rPr>
          <w:rFonts w:asciiTheme="minorHAnsi" w:hAnsiTheme="minorHAnsi" w:cstheme="minorHAnsi"/>
        </w:rPr>
        <w:t>,</w:t>
      </w:r>
      <w:r w:rsidRPr="00100B72">
        <w:rPr>
          <w:rFonts w:asciiTheme="minorHAnsi" w:hAnsiTheme="minorHAnsi" w:cstheme="minorHAnsi"/>
        </w:rPr>
        <w:t xml:space="preserve"> then lots of smaller tables and chairs in </w:t>
      </w:r>
      <w:r w:rsidR="004A6C56" w:rsidRPr="00100B72">
        <w:rPr>
          <w:rFonts w:asciiTheme="minorHAnsi" w:hAnsiTheme="minorHAnsi" w:cstheme="minorHAnsi"/>
        </w:rPr>
        <w:t xml:space="preserve">a </w:t>
      </w:r>
      <w:r w:rsidRPr="00100B72">
        <w:rPr>
          <w:rFonts w:asciiTheme="minorHAnsi" w:hAnsiTheme="minorHAnsi" w:cstheme="minorHAnsi"/>
        </w:rPr>
        <w:t>semi-circle pointing toward the kitchen. There was also a market set up toward the back of the space</w:t>
      </w:r>
      <w:r w:rsidR="004A6C56" w:rsidRPr="00100B72">
        <w:rPr>
          <w:rFonts w:asciiTheme="minorHAnsi" w:hAnsiTheme="minorHAnsi" w:cstheme="minorHAnsi"/>
        </w:rPr>
        <w:t>,</w:t>
      </w:r>
      <w:r w:rsidRPr="00100B72">
        <w:rPr>
          <w:rFonts w:asciiTheme="minorHAnsi" w:hAnsiTheme="minorHAnsi" w:cstheme="minorHAnsi"/>
        </w:rPr>
        <w:t xml:space="preserve"> I was told this was </w:t>
      </w:r>
      <w:r w:rsidR="004A6C56" w:rsidRPr="00100B72">
        <w:rPr>
          <w:rFonts w:asciiTheme="minorHAnsi" w:hAnsiTheme="minorHAnsi" w:cstheme="minorHAnsi"/>
        </w:rPr>
        <w:t>to</w:t>
      </w:r>
      <w:r w:rsidRPr="00100B72">
        <w:rPr>
          <w:rFonts w:asciiTheme="minorHAnsi" w:hAnsiTheme="minorHAnsi" w:cstheme="minorHAnsi"/>
        </w:rPr>
        <w:t xml:space="preserve"> mimic Cardiff Market and that the children in year 2 had the opportunity to go there on a class trip</w:t>
      </w:r>
      <w:r w:rsidR="004A6C56" w:rsidRPr="00100B72">
        <w:rPr>
          <w:rFonts w:asciiTheme="minorHAnsi" w:hAnsiTheme="minorHAnsi" w:cstheme="minorHAnsi"/>
        </w:rPr>
        <w:t>,</w:t>
      </w:r>
      <w:r w:rsidRPr="00100B72">
        <w:rPr>
          <w:rFonts w:asciiTheme="minorHAnsi" w:hAnsiTheme="minorHAnsi" w:cstheme="minorHAnsi"/>
        </w:rPr>
        <w:t xml:space="preserve"> so it was part of the enhanced provision. Some children and parents were participating, others were on the </w:t>
      </w:r>
      <w:r w:rsidR="004A6C56" w:rsidRPr="00100B72">
        <w:rPr>
          <w:rFonts w:asciiTheme="minorHAnsi" w:hAnsiTheme="minorHAnsi" w:cstheme="minorHAnsi"/>
        </w:rPr>
        <w:t>edges</w:t>
      </w:r>
      <w:r w:rsidRPr="00100B72">
        <w:rPr>
          <w:rFonts w:asciiTheme="minorHAnsi" w:hAnsiTheme="minorHAnsi" w:cstheme="minorHAnsi"/>
        </w:rPr>
        <w:t xml:space="preserve"> observing. A member of staff (leading the class) approached a child and parent to demonstrate how to effectively and safely cut vegetables. The teacher was particularly calm and composed during the occurrence and consequently, the child altered how they were holding the utensil. The teacher then praised the child for making significant progress and then their parent reinforced the positive feedback by complementing them too. After, the child then offered the parent a piece of food that they had just cut holding it up to their mouth. Interestingly, the parent later seemed much more involved and the two started working together and interacting significantly more and relaxed into the exercise. This incident is </w:t>
      </w:r>
      <w:r w:rsidR="00100B72" w:rsidRPr="00100B72">
        <w:rPr>
          <w:rFonts w:asciiTheme="minorHAnsi" w:hAnsiTheme="minorHAnsi" w:cstheme="minorHAnsi"/>
        </w:rPr>
        <w:t>a</w:t>
      </w:r>
      <w:r w:rsidRPr="00100B72">
        <w:rPr>
          <w:rFonts w:asciiTheme="minorHAnsi" w:hAnsiTheme="minorHAnsi" w:cstheme="minorHAnsi"/>
        </w:rPr>
        <w:t xml:space="preserve"> </w:t>
      </w:r>
      <w:r w:rsidR="004A6C56" w:rsidRPr="00100B72">
        <w:rPr>
          <w:rFonts w:asciiTheme="minorHAnsi" w:hAnsiTheme="minorHAnsi" w:cstheme="minorHAnsi"/>
        </w:rPr>
        <w:t>good</w:t>
      </w:r>
      <w:r w:rsidRPr="00100B72">
        <w:rPr>
          <w:rFonts w:asciiTheme="minorHAnsi" w:hAnsiTheme="minorHAnsi" w:cstheme="minorHAnsi"/>
        </w:rPr>
        <w:t xml:space="preserve"> instance </w:t>
      </w:r>
      <w:r w:rsidRPr="00100B72">
        <w:rPr>
          <w:rFonts w:asciiTheme="minorHAnsi" w:hAnsiTheme="minorHAnsi" w:cstheme="minorHAnsi"/>
        </w:rPr>
        <w:lastRenderedPageBreak/>
        <w:t xml:space="preserve">of positive modelling. Positive praise and reinforcement are fundamental in encouraging a ‘Growth Mindset’ and self confidence in children. This aids </w:t>
      </w:r>
      <w:proofErr w:type="spellStart"/>
      <w:r w:rsidRPr="00100B72">
        <w:rPr>
          <w:rFonts w:asciiTheme="minorHAnsi" w:hAnsiTheme="minorHAnsi" w:cstheme="minorHAnsi"/>
        </w:rPr>
        <w:t>childrens</w:t>
      </w:r>
      <w:proofErr w:type="spellEnd"/>
      <w:r w:rsidR="006B711B" w:rsidRPr="00100B72">
        <w:rPr>
          <w:rFonts w:asciiTheme="minorHAnsi" w:hAnsiTheme="minorHAnsi" w:cstheme="minorHAnsi"/>
        </w:rPr>
        <w:t>’</w:t>
      </w:r>
      <w:r w:rsidRPr="00100B72">
        <w:rPr>
          <w:rFonts w:asciiTheme="minorHAnsi" w:hAnsiTheme="minorHAnsi" w:cstheme="minorHAnsi"/>
        </w:rPr>
        <w:t xml:space="preserve"> abilities to overcome criticism and become ambitious capable learners, as identified in Donaldson</w:t>
      </w:r>
      <w:r w:rsidR="006B711B" w:rsidRPr="00100B72">
        <w:rPr>
          <w:rFonts w:asciiTheme="minorHAnsi" w:hAnsiTheme="minorHAnsi" w:cstheme="minorHAnsi"/>
        </w:rPr>
        <w:t>'</w:t>
      </w:r>
      <w:r w:rsidRPr="00100B72">
        <w:rPr>
          <w:rFonts w:asciiTheme="minorHAnsi" w:hAnsiTheme="minorHAnsi" w:cstheme="minorHAnsi"/>
        </w:rPr>
        <w:t>s ‘Successful Futures’ (2015 p.29). Teaching both children and parents synchronically and while working together can give children and parents/care givers time to bond and possibly form more positive relationships (Emerson et al. 2012). This also helps the school construct and sustain more positives relationships with the parents/caregiver population</w:t>
      </w:r>
      <w:r w:rsidR="006B711B" w:rsidRPr="00100B72">
        <w:rPr>
          <w:rFonts w:asciiTheme="minorHAnsi" w:hAnsiTheme="minorHAnsi" w:cstheme="minorHAnsi"/>
        </w:rPr>
        <w:t xml:space="preserve"> (</w:t>
      </w:r>
      <w:r w:rsidRPr="00100B72">
        <w:rPr>
          <w:rFonts w:asciiTheme="minorHAnsi" w:hAnsiTheme="minorHAnsi" w:cstheme="minorHAnsi"/>
        </w:rPr>
        <w:t>Welsh Government, 2019</w:t>
      </w:r>
      <w:r w:rsidR="006B711B" w:rsidRPr="00100B72">
        <w:rPr>
          <w:rFonts w:asciiTheme="minorHAnsi" w:hAnsiTheme="minorHAnsi" w:cstheme="minorHAnsi"/>
        </w:rPr>
        <w:t>)</w:t>
      </w:r>
      <w:r w:rsidRPr="00100B72">
        <w:rPr>
          <w:rFonts w:asciiTheme="minorHAnsi" w:hAnsiTheme="minorHAnsi" w:cstheme="minorHAnsi"/>
        </w:rPr>
        <w:t>. Having these positive relationships between the children, the people surrounding them and their needs, such as food through the cooking classes will help children connect and apply their knowledge and skills to create products (in this case</w:t>
      </w:r>
      <w:r w:rsidR="006B711B" w:rsidRPr="00100B72">
        <w:rPr>
          <w:rFonts w:asciiTheme="minorHAnsi" w:hAnsiTheme="minorHAnsi" w:cstheme="minorHAnsi"/>
        </w:rPr>
        <w:t>,</w:t>
      </w:r>
      <w:r w:rsidRPr="00100B72">
        <w:rPr>
          <w:rFonts w:asciiTheme="minorHAnsi" w:hAnsiTheme="minorHAnsi" w:cstheme="minorHAnsi"/>
        </w:rPr>
        <w:t xml:space="preserve"> knowledge of food and culinary skills) </w:t>
      </w:r>
      <w:r w:rsidR="006B711B" w:rsidRPr="00100B72">
        <w:rPr>
          <w:rFonts w:asciiTheme="minorHAnsi" w:hAnsiTheme="minorHAnsi" w:cstheme="minorHAnsi"/>
        </w:rPr>
        <w:t>(</w:t>
      </w:r>
      <w:r w:rsidRPr="00100B72">
        <w:rPr>
          <w:rFonts w:asciiTheme="minorHAnsi" w:hAnsiTheme="minorHAnsi" w:cstheme="minorHAnsi"/>
          <w:color w:val="1F1F1F"/>
        </w:rPr>
        <w:t>Donaldson,2015</w:t>
      </w:r>
      <w:r w:rsidR="006B711B" w:rsidRPr="00100B72">
        <w:rPr>
          <w:rFonts w:asciiTheme="minorHAnsi" w:hAnsiTheme="minorHAnsi" w:cstheme="minorHAnsi"/>
          <w:color w:val="1F1F1F"/>
        </w:rPr>
        <w:t>).</w:t>
      </w:r>
    </w:p>
    <w:p w14:paraId="732DAAD6" w14:textId="0FCAF8B2" w:rsidR="00FB3C7E" w:rsidRPr="00100B72" w:rsidRDefault="00FB3C7E" w:rsidP="00FB3C7E">
      <w:pPr>
        <w:rPr>
          <w:rFonts w:asciiTheme="minorHAnsi" w:hAnsiTheme="minorHAnsi" w:cstheme="minorHAnsi"/>
        </w:rPr>
      </w:pPr>
      <w:r w:rsidRPr="00100B72">
        <w:rPr>
          <w:rFonts w:asciiTheme="minorHAnsi" w:hAnsiTheme="minorHAnsi" w:cstheme="minorHAnsi"/>
        </w:rPr>
        <w:t>It is notable that within this session two out of the four purposes that underpin the New Curriculum for Wales framework have been met (Donaldson, 2015).</w:t>
      </w:r>
    </w:p>
    <w:p w14:paraId="23A9DCBC" w14:textId="77777777" w:rsidR="00FB3C7E" w:rsidRPr="00100B72" w:rsidRDefault="00FB3C7E" w:rsidP="00FB3C7E">
      <w:pPr>
        <w:rPr>
          <w:rFonts w:asciiTheme="minorHAnsi" w:hAnsiTheme="minorHAnsi" w:cstheme="minorHAnsi"/>
        </w:rPr>
      </w:pPr>
    </w:p>
    <w:p w14:paraId="2A3CBC74" w14:textId="77777777"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The activity is built on pupil oracy, which sits within the progression steps of Language, Literacy and Communication. This was seen in the giving and listening to instructions and introduction of vocabulary based on cooking, which the children may not necessarily have been exposed to at home. This sits as a Cross-Curricular theme within the Health and Well-being AOLE that the session was designed for. Providing opportunities in authentic contexts enhances the learner’s experience and can teach skills that cannot be taught in a typical classroom environment (Hwb,2020). In the following literature review, the theories and pedagogies used within the critical incident should become clearer. I will evaluate possible next steps for teaching and learning based on the research and findings. </w:t>
      </w:r>
    </w:p>
    <w:p w14:paraId="77167326" w14:textId="77777777" w:rsidR="00FB3C7E" w:rsidRPr="00100B72" w:rsidRDefault="00FB3C7E" w:rsidP="00FB3C7E">
      <w:pPr>
        <w:rPr>
          <w:rFonts w:asciiTheme="minorHAnsi" w:hAnsiTheme="minorHAnsi" w:cstheme="minorHAnsi"/>
          <w:b/>
          <w:bCs/>
          <w:u w:val="single"/>
        </w:rPr>
      </w:pPr>
    </w:p>
    <w:p w14:paraId="164DDE61" w14:textId="0FC4C33F" w:rsidR="00FB3C7E" w:rsidRPr="00100B72" w:rsidRDefault="00FB3C7E" w:rsidP="00FB3C7E">
      <w:pPr>
        <w:rPr>
          <w:rFonts w:asciiTheme="minorHAnsi" w:hAnsiTheme="minorHAnsi" w:cstheme="minorHAnsi"/>
          <w:b/>
          <w:bCs/>
          <w:u w:val="single"/>
        </w:rPr>
      </w:pPr>
      <w:r w:rsidRPr="00100B72">
        <w:rPr>
          <w:rFonts w:asciiTheme="minorHAnsi" w:hAnsiTheme="minorHAnsi" w:cstheme="minorHAnsi"/>
          <w:b/>
          <w:bCs/>
          <w:u w:val="single"/>
        </w:rPr>
        <w:t xml:space="preserve">Literature review </w:t>
      </w:r>
    </w:p>
    <w:p w14:paraId="4458DEBE" w14:textId="77777777" w:rsidR="00FB3C7E" w:rsidRPr="00100B72" w:rsidRDefault="00FB3C7E" w:rsidP="00FB3C7E">
      <w:pPr>
        <w:rPr>
          <w:rFonts w:asciiTheme="minorHAnsi" w:hAnsiTheme="minorHAnsi" w:cstheme="minorHAnsi"/>
        </w:rPr>
      </w:pPr>
    </w:p>
    <w:p w14:paraId="2B30708C" w14:textId="3A806EAB" w:rsidR="00FB3C7E" w:rsidRPr="00100B72" w:rsidRDefault="00FB3C7E" w:rsidP="00FB3C7E">
      <w:pPr>
        <w:rPr>
          <w:rFonts w:asciiTheme="minorHAnsi" w:hAnsiTheme="minorHAnsi" w:cstheme="minorHAnsi"/>
        </w:rPr>
      </w:pPr>
      <w:r w:rsidRPr="00100B72">
        <w:rPr>
          <w:rFonts w:asciiTheme="minorHAnsi" w:hAnsiTheme="minorHAnsi" w:cstheme="minorHAnsi"/>
        </w:rPr>
        <w:t>The critical incident case study is based upon authentic context for learning and by using authentic contexts it benefits pupils by seizing the imagination of the learner forming knowledge and skills that can be transferred into their everyday life. (</w:t>
      </w:r>
      <w:r w:rsidRPr="00100B72">
        <w:rPr>
          <w:rFonts w:asciiTheme="minorHAnsi" w:hAnsiTheme="minorHAnsi" w:cstheme="minorHAnsi"/>
          <w:color w:val="333333"/>
          <w:shd w:val="clear" w:color="auto" w:fill="FCFCFC"/>
        </w:rPr>
        <w:t>Herrington et al, 2</w:t>
      </w:r>
      <w:r w:rsidRPr="00100B72">
        <w:rPr>
          <w:rFonts w:asciiTheme="minorHAnsi" w:hAnsiTheme="minorHAnsi" w:cstheme="minorHAnsi"/>
        </w:rPr>
        <w:t>014) Having cooking classes within a safe school context alongside parents provides learners and their families with the skills to take home and for the future, which is massively beneficial not only to the learner but the wider community as there is a skills shortage in Wales and as stated in the Skills, the Council for Economic renewal Skills, the recovery and growth document (2015) Agenda item 4 states that ‘higher intervention is needed in Wales to reduce the skills gap.’ Therefore, having classes where skills such as that mentioned in the case study will be valuable for learners later in life, which is key to ‘having the skills and knowledge to manage everyday life as independently as they can’ mentioned under the heading healthy, confident individuals found within the 4 purposes that drive the New Welsh Curriculum Framework (Donaldson,2015). Additionally, to learning skills about how to prepare food, having information about diet and nutrition was also provided by the staff running the class. As noted, 36% of the school roll are entitled to free school meals (Estyn,2017) this seems to support the high percentage of those seeking support due to unemployment in the area could possibly indicate a need for these classes to take place as First Minister Mark Drakeford commented “We know younger children are more likely to be living in relative income poverty.” (Gov. Wales Announcement, 2022) Children in this situation may not consuming the correct nutrients or the incorrect amounts which could lead to malnutrition or under</w:t>
      </w:r>
      <w:r w:rsidR="006B711B" w:rsidRPr="00100B72">
        <w:rPr>
          <w:rFonts w:asciiTheme="minorHAnsi" w:hAnsiTheme="minorHAnsi" w:cstheme="minorHAnsi"/>
        </w:rPr>
        <w:t>-</w:t>
      </w:r>
      <w:r w:rsidRPr="00100B72">
        <w:rPr>
          <w:rFonts w:asciiTheme="minorHAnsi" w:hAnsiTheme="minorHAnsi" w:cstheme="minorHAnsi"/>
        </w:rPr>
        <w:t>nutrition (Shetty, vol.31, 2002)</w:t>
      </w:r>
      <w:r w:rsidR="006B711B" w:rsidRPr="00100B72">
        <w:rPr>
          <w:rFonts w:asciiTheme="minorHAnsi" w:hAnsiTheme="minorHAnsi" w:cstheme="minorHAnsi"/>
        </w:rPr>
        <w:t>.</w:t>
      </w:r>
      <w:r w:rsidRPr="00100B72">
        <w:rPr>
          <w:rFonts w:asciiTheme="minorHAnsi" w:hAnsiTheme="minorHAnsi" w:cstheme="minorHAnsi"/>
        </w:rPr>
        <w:t xml:space="preserve"> This can not only effect </w:t>
      </w:r>
      <w:r w:rsidRPr="00100B72">
        <w:rPr>
          <w:rFonts w:asciiTheme="minorHAnsi" w:hAnsiTheme="minorHAnsi" w:cstheme="minorHAnsi"/>
        </w:rPr>
        <w:lastRenderedPageBreak/>
        <w:t>cognitive function and have negative consequences for a child academically (J. Rose, L. Gilbert, V. Richards, 2016) but also children with chronic malnutrition can become more anxious and have a higher dependency on those who care for them</w:t>
      </w:r>
      <w:r w:rsidR="006B711B" w:rsidRPr="00100B72">
        <w:rPr>
          <w:rFonts w:asciiTheme="minorHAnsi" w:hAnsiTheme="minorHAnsi" w:cstheme="minorHAnsi"/>
        </w:rPr>
        <w:t>,</w:t>
      </w:r>
      <w:r w:rsidRPr="00100B72">
        <w:rPr>
          <w:rFonts w:asciiTheme="minorHAnsi" w:hAnsiTheme="minorHAnsi" w:cstheme="minorHAnsi"/>
        </w:rPr>
        <w:t xml:space="preserve"> such as a parent or trusted adult (Barrett, D. E., Radke-Yarrow, M., Klein, R. E. 1982)</w:t>
      </w:r>
      <w:r w:rsidR="006B711B" w:rsidRPr="00100B72">
        <w:rPr>
          <w:rFonts w:asciiTheme="minorHAnsi" w:hAnsiTheme="minorHAnsi" w:cstheme="minorHAnsi"/>
        </w:rPr>
        <w:t>.</w:t>
      </w:r>
      <w:r w:rsidRPr="00100B72">
        <w:rPr>
          <w:rFonts w:asciiTheme="minorHAnsi" w:hAnsiTheme="minorHAnsi" w:cstheme="minorHAnsi"/>
        </w:rPr>
        <w:t xml:space="preserve"> Fostering positive relationships in addition to fostering independence seems like a near impossibility as children embark into the ‘concrete operational stage’ as determined by Piaget’s four stages of cognitive development (Cherry, K., 2022) At this stage of a child’s development it is important to allow the child to make their own choices based upon their own judgement and developing reasoning skills. By giving a child reasonable choice this usually ‘low-stake’ for the adult allows that feeling of independence while the adult still holds the control. Allowing these choices and providing empathy and active listening skills if things do not go in the desired direction for the child can increase their independence while also fostering a positive relationship (Anthony, 2016)</w:t>
      </w:r>
      <w:r w:rsidR="006B711B" w:rsidRPr="00100B72">
        <w:rPr>
          <w:rFonts w:asciiTheme="minorHAnsi" w:hAnsiTheme="minorHAnsi" w:cstheme="minorHAnsi"/>
        </w:rPr>
        <w:t>.</w:t>
      </w:r>
    </w:p>
    <w:p w14:paraId="744219AE" w14:textId="77777777" w:rsidR="00FB3C7E" w:rsidRPr="00100B72" w:rsidRDefault="00FB3C7E" w:rsidP="00FB3C7E">
      <w:pPr>
        <w:rPr>
          <w:rFonts w:asciiTheme="minorHAnsi" w:hAnsiTheme="minorHAnsi" w:cstheme="minorHAnsi"/>
        </w:rPr>
      </w:pPr>
    </w:p>
    <w:p w14:paraId="327D13EE" w14:textId="2F864D18" w:rsidR="00FB3C7E" w:rsidRPr="00100B72" w:rsidRDefault="00FB3C7E" w:rsidP="00FB3C7E">
      <w:pPr>
        <w:rPr>
          <w:rFonts w:asciiTheme="minorHAnsi" w:hAnsiTheme="minorHAnsi" w:cstheme="minorHAnsi"/>
          <w:color w:val="333333"/>
        </w:rPr>
      </w:pPr>
      <w:r w:rsidRPr="00100B72">
        <w:rPr>
          <w:rFonts w:asciiTheme="minorHAnsi" w:hAnsiTheme="minorHAnsi" w:cstheme="minorHAnsi"/>
        </w:rPr>
        <w:t>Relationships that are positive and secure with parents are often the foundation of a child’s social development (Shonkoff and Phillips, 2000). If children do not have this secure attachment, often referred to as an insecure attachment, having these insecure attachments can negatively impact not only their social development and can find it difficult to form positive and lasting relationships but also their potential to learn (Bomber, 2007). Understanding the effects of relationships and attachments is essential for teaching staff (Greenhalgh 1994)</w:t>
      </w:r>
      <w:r w:rsidR="006B711B" w:rsidRPr="00100B72">
        <w:rPr>
          <w:rFonts w:asciiTheme="minorHAnsi" w:hAnsiTheme="minorHAnsi" w:cstheme="minorHAnsi"/>
        </w:rPr>
        <w:t>.</w:t>
      </w:r>
      <w:r w:rsidRPr="00100B72">
        <w:rPr>
          <w:rFonts w:asciiTheme="minorHAnsi" w:hAnsiTheme="minorHAnsi" w:cstheme="minorHAnsi"/>
        </w:rPr>
        <w:t xml:space="preserve"> This led to the question what about the children whose parents cannot attend activities during the school day due to working commitments? </w:t>
      </w:r>
    </w:p>
    <w:p w14:paraId="3A013A99" w14:textId="77777777" w:rsidR="00FB3C7E" w:rsidRPr="00100B72" w:rsidRDefault="00FB3C7E" w:rsidP="00FB3C7E">
      <w:pPr>
        <w:rPr>
          <w:rFonts w:asciiTheme="minorHAnsi" w:hAnsiTheme="minorHAnsi" w:cstheme="minorHAnsi"/>
        </w:rPr>
      </w:pPr>
    </w:p>
    <w:p w14:paraId="479E5B86" w14:textId="72D0146F" w:rsidR="00FB3C7E" w:rsidRPr="00100B72" w:rsidRDefault="00FB3C7E" w:rsidP="00FB3C7E">
      <w:pPr>
        <w:rPr>
          <w:rFonts w:asciiTheme="minorHAnsi" w:hAnsiTheme="minorHAnsi" w:cstheme="minorHAnsi"/>
        </w:rPr>
      </w:pPr>
      <w:r w:rsidRPr="00100B72">
        <w:rPr>
          <w:rFonts w:asciiTheme="minorHAnsi" w:hAnsiTheme="minorHAnsi" w:cstheme="minorHAnsi"/>
        </w:rPr>
        <w:t>Parents who demonstrate high engagement with the child’s school overall have higher ‘attainment’ meaning those whose parents do not could potentially have lower ‘attainment’ than their peers. (Steinburg et al,1992) Although it could be argued that lack of engagement with school could be due to varying factors such as being a single parenthood or socioeconomic status and not only due to parents work commitments and is said that parents who are more involved with their child on holistically are more likely to be involved at a school level also this involves going into school for events such as parents evenings and volunteering (</w:t>
      </w:r>
      <w:proofErr w:type="spellStart"/>
      <w:r w:rsidRPr="00100B72">
        <w:rPr>
          <w:rFonts w:asciiTheme="minorHAnsi" w:hAnsiTheme="minorHAnsi" w:cstheme="minorHAnsi"/>
        </w:rPr>
        <w:t>Grolnick</w:t>
      </w:r>
      <w:proofErr w:type="spellEnd"/>
      <w:r w:rsidRPr="00100B72">
        <w:rPr>
          <w:rFonts w:asciiTheme="minorHAnsi" w:hAnsiTheme="minorHAnsi" w:cstheme="minorHAnsi"/>
        </w:rPr>
        <w:t xml:space="preserve"> et al,1997, P 544). This could indicate that parents who may shy away from school engagement are possibly the ones who could benefit the most from it. Building up the positive relationship at a parent-school level could help parent-child relationship (</w:t>
      </w:r>
      <w:proofErr w:type="spellStart"/>
      <w:r w:rsidRPr="00100B72">
        <w:rPr>
          <w:rFonts w:asciiTheme="minorHAnsi" w:hAnsiTheme="minorHAnsi" w:cstheme="minorHAnsi"/>
        </w:rPr>
        <w:t>Bojuwoye</w:t>
      </w:r>
      <w:proofErr w:type="spellEnd"/>
      <w:r w:rsidRPr="00100B72">
        <w:rPr>
          <w:rFonts w:asciiTheme="minorHAnsi" w:hAnsiTheme="minorHAnsi" w:cstheme="minorHAnsi"/>
        </w:rPr>
        <w:t xml:space="preserve">, 2015). </w:t>
      </w:r>
    </w:p>
    <w:p w14:paraId="6570AC26" w14:textId="77777777" w:rsidR="00FB3C7E" w:rsidRPr="00100B72" w:rsidRDefault="00FB3C7E" w:rsidP="00FB3C7E">
      <w:pPr>
        <w:rPr>
          <w:rFonts w:asciiTheme="minorHAnsi" w:hAnsiTheme="minorHAnsi" w:cstheme="minorHAnsi"/>
        </w:rPr>
      </w:pPr>
    </w:p>
    <w:p w14:paraId="5A27F46A" w14:textId="77777777" w:rsidR="00FB3C7E" w:rsidRPr="00100B72" w:rsidRDefault="00FB3C7E" w:rsidP="00FB3C7E">
      <w:pPr>
        <w:rPr>
          <w:rFonts w:asciiTheme="minorHAnsi" w:hAnsiTheme="minorHAnsi" w:cstheme="minorHAnsi"/>
        </w:rPr>
      </w:pPr>
    </w:p>
    <w:p w14:paraId="3E5AA6FC" w14:textId="1339668C"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Some conversations that have been overheard around schools by staff and parents may disagree that schools focus on healthy, positive relationships are unwarranted but looking at Bronfenbrenner’s ecological systems theory possibly indicates otherwise. This theory shows social and economic factors intersects with those surrounding it and therefore, impacts the child. (Guy-Evans, 2020) </w:t>
      </w:r>
      <w:r w:rsidR="006B711B" w:rsidRPr="00100B72">
        <w:rPr>
          <w:rFonts w:asciiTheme="minorHAnsi" w:hAnsiTheme="minorHAnsi" w:cstheme="minorHAnsi"/>
        </w:rPr>
        <w:t>Therefore</w:t>
      </w:r>
      <w:r w:rsidRPr="00100B72">
        <w:rPr>
          <w:rFonts w:asciiTheme="minorHAnsi" w:hAnsiTheme="minorHAnsi" w:cstheme="minorHAnsi"/>
        </w:rPr>
        <w:t xml:space="preserve">, the socioeconomic factors within the community in which the child is growing up can also play a significant role in their creating positive and </w:t>
      </w:r>
      <w:proofErr w:type="gramStart"/>
      <w:r w:rsidRPr="00100B72">
        <w:rPr>
          <w:rFonts w:asciiTheme="minorHAnsi" w:hAnsiTheme="minorHAnsi" w:cstheme="minorHAnsi"/>
        </w:rPr>
        <w:t>long lasting</w:t>
      </w:r>
      <w:proofErr w:type="gramEnd"/>
      <w:r w:rsidRPr="00100B72">
        <w:rPr>
          <w:rFonts w:asciiTheme="minorHAnsi" w:hAnsiTheme="minorHAnsi" w:cstheme="minorHAnsi"/>
        </w:rPr>
        <w:t xml:space="preserve"> relationships. If schools accept each person and their diversity</w:t>
      </w:r>
      <w:r w:rsidR="00B02546" w:rsidRPr="00100B72">
        <w:rPr>
          <w:rFonts w:asciiTheme="minorHAnsi" w:hAnsiTheme="minorHAnsi" w:cstheme="minorHAnsi"/>
        </w:rPr>
        <w:t>,</w:t>
      </w:r>
      <w:r w:rsidRPr="00100B72">
        <w:rPr>
          <w:rFonts w:asciiTheme="minorHAnsi" w:hAnsiTheme="minorHAnsi" w:cstheme="minorHAnsi"/>
        </w:rPr>
        <w:t xml:space="preserve"> this includes families plus staff members</w:t>
      </w:r>
      <w:r w:rsidR="00B02546" w:rsidRPr="00100B72">
        <w:rPr>
          <w:rFonts w:asciiTheme="minorHAnsi" w:hAnsiTheme="minorHAnsi" w:cstheme="minorHAnsi"/>
        </w:rPr>
        <w:t>,</w:t>
      </w:r>
      <w:r w:rsidRPr="00100B72">
        <w:rPr>
          <w:rFonts w:asciiTheme="minorHAnsi" w:hAnsiTheme="minorHAnsi" w:cstheme="minorHAnsi"/>
        </w:rPr>
        <w:t xml:space="preserve"> diversity </w:t>
      </w:r>
      <w:r w:rsidR="00B02546" w:rsidRPr="00100B72">
        <w:rPr>
          <w:rFonts w:asciiTheme="minorHAnsi" w:hAnsiTheme="minorHAnsi" w:cstheme="minorHAnsi"/>
        </w:rPr>
        <w:t xml:space="preserve">in </w:t>
      </w:r>
      <w:r w:rsidRPr="00100B72">
        <w:rPr>
          <w:rFonts w:asciiTheme="minorHAnsi" w:hAnsiTheme="minorHAnsi" w:cstheme="minorHAnsi"/>
        </w:rPr>
        <w:t xml:space="preserve">school relationships become stronger and therefore directly benefitting the children within the school setting. If a school position families and family engagement at the forefront of their policy, families will feel welcome, and engagement is likely to increase. (Roffery, 2011, P.148) With families and communities </w:t>
      </w:r>
      <w:r w:rsidRPr="00100B72">
        <w:rPr>
          <w:rFonts w:asciiTheme="minorHAnsi" w:hAnsiTheme="minorHAnsi" w:cstheme="minorHAnsi"/>
        </w:rPr>
        <w:lastRenderedPageBreak/>
        <w:t xml:space="preserve">having a much larger impact on pupil achievement the Welsh Government have created the Family and Community Engagement tool kit (Otherwise known as </w:t>
      </w:r>
      <w:proofErr w:type="spellStart"/>
      <w:r w:rsidRPr="00100B72">
        <w:rPr>
          <w:rFonts w:asciiTheme="minorHAnsi" w:hAnsiTheme="minorHAnsi" w:cstheme="minorHAnsi"/>
        </w:rPr>
        <w:t>FaCE</w:t>
      </w:r>
      <w:proofErr w:type="spellEnd"/>
      <w:r w:rsidRPr="00100B72">
        <w:rPr>
          <w:rFonts w:asciiTheme="minorHAnsi" w:hAnsiTheme="minorHAnsi" w:cstheme="minorHAnsi"/>
        </w:rPr>
        <w:t xml:space="preserve">). This outlines and agrees that parent/ career engagement supports and fosters more positive relationships as well as marked improvements in pupil attainment and in addition to a better sense of morale throughout the school and community. (Welsh Government, 2018, pg. 7) Having parental involvement also impacts children’s behaviours those children who feel family stress and those families who do engage with school have been found to have negative behaviour outcomes. (C.A. </w:t>
      </w:r>
      <w:proofErr w:type="spellStart"/>
      <w:r w:rsidRPr="00100B72">
        <w:rPr>
          <w:rFonts w:asciiTheme="minorHAnsi" w:hAnsiTheme="minorHAnsi" w:cstheme="minorHAnsi"/>
        </w:rPr>
        <w:t>Semke</w:t>
      </w:r>
      <w:proofErr w:type="spellEnd"/>
      <w:r w:rsidRPr="00100B72">
        <w:rPr>
          <w:rFonts w:asciiTheme="minorHAnsi" w:hAnsiTheme="minorHAnsi" w:cstheme="minorHAnsi"/>
        </w:rPr>
        <w:t xml:space="preserve">, </w:t>
      </w:r>
      <w:r w:rsidR="00100B72">
        <w:rPr>
          <w:rFonts w:asciiTheme="minorHAnsi" w:hAnsiTheme="minorHAnsi" w:cstheme="minorHAnsi"/>
        </w:rPr>
        <w:t>et al</w:t>
      </w:r>
      <w:r w:rsidRPr="00100B72">
        <w:rPr>
          <w:rFonts w:asciiTheme="minorHAnsi" w:hAnsiTheme="minorHAnsi" w:cstheme="minorHAnsi"/>
        </w:rPr>
        <w:t>, 2010, Vol. 48)</w:t>
      </w:r>
    </w:p>
    <w:p w14:paraId="36C4EE4F" w14:textId="77777777" w:rsidR="00FB3C7E" w:rsidRPr="00100B72" w:rsidRDefault="00FB3C7E" w:rsidP="00FB3C7E">
      <w:pPr>
        <w:rPr>
          <w:rFonts w:asciiTheme="minorHAnsi" w:hAnsiTheme="minorHAnsi" w:cstheme="minorHAnsi"/>
        </w:rPr>
      </w:pPr>
    </w:p>
    <w:p w14:paraId="3BF72198" w14:textId="2419450E"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Behaviour management strategies in school can play a vital role for children as this is where many believe that teachers and school staff prepare pupils for the future allowing them to become an active member of the community. As previously discussed, positive relationships between school staff and pupils as well as families holds an essential role in managing the behaviour in the class room. (Shelton, F., 2008) </w:t>
      </w:r>
    </w:p>
    <w:p w14:paraId="7A2E1EE9" w14:textId="48BB68A7" w:rsidR="00FB3C7E" w:rsidRPr="00100B72" w:rsidRDefault="00FB3C7E" w:rsidP="00FB3C7E">
      <w:pPr>
        <w:rPr>
          <w:rFonts w:asciiTheme="minorHAnsi" w:hAnsiTheme="minorHAnsi" w:cstheme="minorHAnsi"/>
          <w:color w:val="212121"/>
          <w:shd w:val="clear" w:color="auto" w:fill="FFFFFF"/>
        </w:rPr>
      </w:pPr>
      <w:r w:rsidRPr="00100B72">
        <w:rPr>
          <w:rFonts w:asciiTheme="minorHAnsi" w:hAnsiTheme="minorHAnsi" w:cstheme="minorHAnsi"/>
        </w:rPr>
        <w:t>Focusing and reaffirming positives using a whole school approach can encourage and demonstrate positive behaviours using consistent boundaries and positive reinforcement with praise can motivate children. (Ibid, 2008) Skinner’s look on behaviour was that positive reinforcement can strengthen behaviour while negative reinforcement (such a punishment) can weaken behaviour (</w:t>
      </w:r>
      <w:proofErr w:type="spellStart"/>
      <w:r w:rsidRPr="00100B72">
        <w:rPr>
          <w:rFonts w:asciiTheme="minorHAnsi" w:hAnsiTheme="minorHAnsi" w:cstheme="minorHAnsi"/>
        </w:rPr>
        <w:t>O’Donohue</w:t>
      </w:r>
      <w:proofErr w:type="spellEnd"/>
      <w:r w:rsidRPr="00100B72">
        <w:rPr>
          <w:rFonts w:asciiTheme="minorHAnsi" w:hAnsiTheme="minorHAnsi" w:cstheme="minorHAnsi"/>
        </w:rPr>
        <w:t xml:space="preserve"> and Ferguson, 2001). His work also provided insight into the frequency of these positive and negative reinforcers to how long it would be to change the behaviour with reinforcement schedules. (Gray, and </w:t>
      </w:r>
      <w:proofErr w:type="spellStart"/>
      <w:r w:rsidRPr="00100B72">
        <w:rPr>
          <w:rFonts w:asciiTheme="minorHAnsi" w:hAnsiTheme="minorHAnsi" w:cstheme="minorHAnsi"/>
        </w:rPr>
        <w:t>MacBlain</w:t>
      </w:r>
      <w:proofErr w:type="spellEnd"/>
      <w:r w:rsidRPr="00100B72">
        <w:rPr>
          <w:rFonts w:asciiTheme="minorHAnsi" w:hAnsiTheme="minorHAnsi" w:cstheme="minorHAnsi"/>
        </w:rPr>
        <w:t>, 2015) This can indicate that positive reinforcement even on a verbal scale works well when done often and consistently. Praise has been said to be a stronger motivator to alter undesired behaviour than punishment. Having praise immediately after the desired behaviour is said to quickest way to see a long-lasting change. (</w:t>
      </w:r>
      <w:r w:rsidRPr="00100B72">
        <w:rPr>
          <w:rFonts w:asciiTheme="minorHAnsi" w:hAnsiTheme="minorHAnsi" w:cstheme="minorHAnsi"/>
          <w:color w:val="212121"/>
          <w:shd w:val="clear" w:color="auto" w:fill="FFFFFF"/>
        </w:rPr>
        <w:t xml:space="preserve">Scott, Jain and Cogburn, 2022) These findings could prove favourable to that praising children can decrease unwanted behaviour </w:t>
      </w:r>
      <w:proofErr w:type="gramStart"/>
      <w:r w:rsidRPr="00100B72">
        <w:rPr>
          <w:rFonts w:asciiTheme="minorHAnsi" w:hAnsiTheme="minorHAnsi" w:cstheme="minorHAnsi"/>
          <w:color w:val="212121"/>
          <w:shd w:val="clear" w:color="auto" w:fill="FFFFFF"/>
        </w:rPr>
        <w:t>and also</w:t>
      </w:r>
      <w:proofErr w:type="gramEnd"/>
      <w:r w:rsidRPr="00100B72">
        <w:rPr>
          <w:rFonts w:asciiTheme="minorHAnsi" w:hAnsiTheme="minorHAnsi" w:cstheme="minorHAnsi"/>
          <w:color w:val="212121"/>
          <w:shd w:val="clear" w:color="auto" w:fill="FFFFFF"/>
        </w:rPr>
        <w:t xml:space="preserve"> benefit their well-being by building confidence therefore, helping them become confident individuals which is one of the four key principals driving the new curriculum for Wales. (Donaldson, 2015) Due to this, it can be believed that this is a beneficial technique that holds a significance when dealing with behaviours within a school setting.</w:t>
      </w:r>
    </w:p>
    <w:p w14:paraId="5664C502" w14:textId="77777777" w:rsidR="00FB3C7E" w:rsidRPr="00100B72" w:rsidRDefault="00FB3C7E" w:rsidP="00FB3C7E">
      <w:pPr>
        <w:tabs>
          <w:tab w:val="left" w:pos="2200"/>
        </w:tabs>
        <w:rPr>
          <w:rFonts w:asciiTheme="minorHAnsi" w:hAnsiTheme="minorHAnsi" w:cstheme="minorHAnsi"/>
        </w:rPr>
      </w:pPr>
      <w:r w:rsidRPr="00100B72">
        <w:rPr>
          <w:rFonts w:asciiTheme="minorHAnsi" w:hAnsiTheme="minorHAnsi" w:cstheme="minorHAnsi"/>
        </w:rPr>
        <w:tab/>
      </w:r>
    </w:p>
    <w:p w14:paraId="18A14167" w14:textId="77777777" w:rsidR="00FB3C7E" w:rsidRPr="00100B72" w:rsidRDefault="00FB3C7E" w:rsidP="00FB3C7E">
      <w:pPr>
        <w:tabs>
          <w:tab w:val="left" w:pos="2200"/>
        </w:tabs>
        <w:rPr>
          <w:rFonts w:asciiTheme="minorHAnsi" w:hAnsiTheme="minorHAnsi" w:cstheme="minorHAnsi"/>
          <w:b/>
          <w:bCs/>
          <w:u w:val="single"/>
        </w:rPr>
      </w:pPr>
      <w:r w:rsidRPr="00100B72">
        <w:rPr>
          <w:rFonts w:asciiTheme="minorHAnsi" w:hAnsiTheme="minorHAnsi" w:cstheme="minorHAnsi"/>
          <w:b/>
          <w:bCs/>
          <w:u w:val="single"/>
        </w:rPr>
        <w:t>Reflection/ Evaluation &amp; next steps (700)</w:t>
      </w:r>
    </w:p>
    <w:p w14:paraId="7D56C1B0" w14:textId="77777777" w:rsidR="00FB3C7E" w:rsidRPr="00100B72" w:rsidRDefault="00FB3C7E" w:rsidP="00FB3C7E">
      <w:pPr>
        <w:tabs>
          <w:tab w:val="left" w:pos="2200"/>
        </w:tabs>
        <w:rPr>
          <w:rFonts w:asciiTheme="minorHAnsi" w:hAnsiTheme="minorHAnsi" w:cstheme="minorHAnsi"/>
          <w:b/>
          <w:bCs/>
          <w:u w:val="single"/>
        </w:rPr>
      </w:pPr>
    </w:p>
    <w:p w14:paraId="045182C3" w14:textId="7AE72439" w:rsidR="00FB3C7E" w:rsidRPr="00100B72" w:rsidRDefault="00FB3C7E" w:rsidP="00FB3C7E">
      <w:pPr>
        <w:tabs>
          <w:tab w:val="left" w:pos="2200"/>
        </w:tabs>
        <w:rPr>
          <w:rFonts w:asciiTheme="minorHAnsi" w:hAnsiTheme="minorHAnsi" w:cstheme="minorHAnsi"/>
        </w:rPr>
      </w:pPr>
      <w:r w:rsidRPr="00100B72">
        <w:rPr>
          <w:rFonts w:asciiTheme="minorHAnsi" w:hAnsiTheme="minorHAnsi" w:cstheme="minorHAnsi"/>
        </w:rPr>
        <w:t>My findings have determined</w:t>
      </w:r>
      <w:r w:rsidR="00B02546" w:rsidRPr="00100B72">
        <w:rPr>
          <w:rFonts w:asciiTheme="minorHAnsi" w:hAnsiTheme="minorHAnsi" w:cstheme="minorHAnsi"/>
        </w:rPr>
        <w:t>,</w:t>
      </w:r>
      <w:r w:rsidRPr="00100B72">
        <w:rPr>
          <w:rFonts w:asciiTheme="minorHAnsi" w:hAnsiTheme="minorHAnsi" w:cstheme="minorHAnsi"/>
        </w:rPr>
        <w:t xml:space="preserve"> that focusing on children holistically seems to be the correct approach. A possible reflection strategy for this could be Brookfield’s four Lenses to help keep child well-being at the forefront of their education by using the lens of the learner before focusing on the self and realising that positive relationships at school and at home will create consistency for the child and open positive communication between the child, school and those in their home</w:t>
      </w:r>
      <w:r w:rsidR="00B02546" w:rsidRPr="00100B72">
        <w:rPr>
          <w:rFonts w:asciiTheme="minorHAnsi" w:hAnsiTheme="minorHAnsi" w:cstheme="minorHAnsi"/>
        </w:rPr>
        <w:t>.</w:t>
      </w:r>
      <w:r w:rsidRPr="00100B72">
        <w:rPr>
          <w:rFonts w:asciiTheme="minorHAnsi" w:hAnsiTheme="minorHAnsi" w:cstheme="minorHAnsi"/>
        </w:rPr>
        <w:t xml:space="preserve"> I suggest this within the self-lens as many teachers can reflect </w:t>
      </w:r>
      <w:r w:rsidR="00B02546" w:rsidRPr="00100B72">
        <w:rPr>
          <w:rFonts w:asciiTheme="minorHAnsi" w:hAnsiTheme="minorHAnsi" w:cstheme="minorHAnsi"/>
        </w:rPr>
        <w:t>on</w:t>
      </w:r>
      <w:r w:rsidRPr="00100B72">
        <w:rPr>
          <w:rFonts w:asciiTheme="minorHAnsi" w:hAnsiTheme="minorHAnsi" w:cstheme="minorHAnsi"/>
        </w:rPr>
        <w:t xml:space="preserve"> their own school experience or using the peer lens and speaking with colleagues or possibly parents themselves. By allowing parents to be involved with their child’s learning the child is witnessing co-operation between the school staff and their parents/care providers. This positive modelling of rich language and healthy communication provides them with an understanding of how to act in these social situations. Having community schools is beneficial for the children in providing a safe space outside the home as well as safe adults to whom the children can build positive relationships. I believe that these serve those within the community who need it the most </w:t>
      </w:r>
      <w:r w:rsidR="00B02546" w:rsidRPr="00100B72">
        <w:rPr>
          <w:rFonts w:asciiTheme="minorHAnsi" w:hAnsiTheme="minorHAnsi" w:cstheme="minorHAnsi"/>
        </w:rPr>
        <w:t xml:space="preserve">and </w:t>
      </w:r>
      <w:r w:rsidRPr="00100B72">
        <w:rPr>
          <w:rFonts w:asciiTheme="minorHAnsi" w:hAnsiTheme="minorHAnsi" w:cstheme="minorHAnsi"/>
        </w:rPr>
        <w:t xml:space="preserve">by showing kindness and a </w:t>
      </w:r>
      <w:r w:rsidRPr="00100B72">
        <w:rPr>
          <w:rFonts w:asciiTheme="minorHAnsi" w:hAnsiTheme="minorHAnsi" w:cstheme="minorHAnsi"/>
        </w:rPr>
        <w:lastRenderedPageBreak/>
        <w:t>willingness to work together</w:t>
      </w:r>
      <w:r w:rsidR="00B02546" w:rsidRPr="00100B72">
        <w:rPr>
          <w:rFonts w:asciiTheme="minorHAnsi" w:hAnsiTheme="minorHAnsi" w:cstheme="minorHAnsi"/>
        </w:rPr>
        <w:t>,</w:t>
      </w:r>
      <w:r w:rsidRPr="00100B72">
        <w:rPr>
          <w:rFonts w:asciiTheme="minorHAnsi" w:hAnsiTheme="minorHAnsi" w:cstheme="minorHAnsi"/>
        </w:rPr>
        <w:t xml:space="preserve"> schools and parents can work together for the child. Having this can take pressure of the parent if the school is told or knows about any support that could be needed. Feeling safe for both parent and child is vital as if a parent is</w:t>
      </w:r>
      <w:r w:rsidR="00B02546" w:rsidRPr="00100B72">
        <w:rPr>
          <w:rFonts w:asciiTheme="minorHAnsi" w:hAnsiTheme="minorHAnsi" w:cstheme="minorHAnsi"/>
        </w:rPr>
        <w:t xml:space="preserve"> not</w:t>
      </w:r>
      <w:r w:rsidRPr="00100B72">
        <w:rPr>
          <w:rFonts w:asciiTheme="minorHAnsi" w:hAnsiTheme="minorHAnsi" w:cstheme="minorHAnsi"/>
        </w:rPr>
        <w:t xml:space="preserve"> feeling safe</w:t>
      </w:r>
      <w:r w:rsidR="00B02546" w:rsidRPr="00100B72">
        <w:rPr>
          <w:rFonts w:asciiTheme="minorHAnsi" w:hAnsiTheme="minorHAnsi" w:cstheme="minorHAnsi"/>
        </w:rPr>
        <w:t>,</w:t>
      </w:r>
      <w:r w:rsidRPr="00100B72">
        <w:rPr>
          <w:rFonts w:asciiTheme="minorHAnsi" w:hAnsiTheme="minorHAnsi" w:cstheme="minorHAnsi"/>
        </w:rPr>
        <w:t xml:space="preserve"> children can pick up on those ques and become anxious. Feeling safe is a basic need for children (Maslow</w:t>
      </w:r>
      <w:r w:rsidR="00B02546" w:rsidRPr="00100B72">
        <w:rPr>
          <w:rFonts w:asciiTheme="minorHAnsi" w:hAnsiTheme="minorHAnsi" w:cstheme="minorHAnsi"/>
        </w:rPr>
        <w:t xml:space="preserve"> 2015</w:t>
      </w:r>
      <w:r w:rsidRPr="00100B72">
        <w:rPr>
          <w:rFonts w:asciiTheme="minorHAnsi" w:hAnsiTheme="minorHAnsi" w:cstheme="minorHAnsi"/>
        </w:rPr>
        <w:t>) I believe that the findings support the need for having these schools and open communication between school and home to benefit and support not only the child</w:t>
      </w:r>
      <w:r w:rsidR="00B02546" w:rsidRPr="00100B72">
        <w:rPr>
          <w:rFonts w:asciiTheme="minorHAnsi" w:hAnsiTheme="minorHAnsi" w:cstheme="minorHAnsi"/>
        </w:rPr>
        <w:t>,</w:t>
      </w:r>
      <w:r w:rsidRPr="00100B72">
        <w:rPr>
          <w:rFonts w:asciiTheme="minorHAnsi" w:hAnsiTheme="minorHAnsi" w:cstheme="minorHAnsi"/>
        </w:rPr>
        <w:t xml:space="preserve"> but in some cases the whole family. </w:t>
      </w:r>
    </w:p>
    <w:p w14:paraId="46123633" w14:textId="77777777" w:rsidR="00FB3C7E" w:rsidRPr="00100B72" w:rsidRDefault="00FB3C7E" w:rsidP="00FB3C7E">
      <w:pPr>
        <w:tabs>
          <w:tab w:val="left" w:pos="2200"/>
        </w:tabs>
        <w:rPr>
          <w:rFonts w:asciiTheme="minorHAnsi" w:hAnsiTheme="minorHAnsi" w:cstheme="minorHAnsi"/>
        </w:rPr>
      </w:pPr>
    </w:p>
    <w:p w14:paraId="43B627AE" w14:textId="10659878" w:rsidR="00FB3C7E" w:rsidRPr="00100B72" w:rsidRDefault="00FB3C7E" w:rsidP="00FB3C7E">
      <w:pPr>
        <w:tabs>
          <w:tab w:val="left" w:pos="2200"/>
        </w:tabs>
        <w:rPr>
          <w:rFonts w:asciiTheme="minorHAnsi" w:hAnsiTheme="minorHAnsi" w:cstheme="minorHAnsi"/>
        </w:rPr>
      </w:pPr>
      <w:r w:rsidRPr="00100B72">
        <w:rPr>
          <w:rFonts w:asciiTheme="minorHAnsi" w:hAnsiTheme="minorHAnsi" w:cstheme="minorHAnsi"/>
        </w:rPr>
        <w:t xml:space="preserve">As a student teacher I firmly feel that having open lines of communication for the positive and not just the negative will help build those home school relations and that the speaking to parents then is not seen as a punishment but rather could be an extrinsic motivation to also have praise from parents. Similarly, to the </w:t>
      </w:r>
      <w:r w:rsidR="00B02546" w:rsidRPr="00100B72">
        <w:rPr>
          <w:rFonts w:asciiTheme="minorHAnsi" w:hAnsiTheme="minorHAnsi" w:cstheme="minorHAnsi"/>
        </w:rPr>
        <w:t>c</w:t>
      </w:r>
      <w:r w:rsidRPr="00100B72">
        <w:rPr>
          <w:rFonts w:asciiTheme="minorHAnsi" w:hAnsiTheme="minorHAnsi" w:cstheme="minorHAnsi"/>
        </w:rPr>
        <w:t>ritical incident discussed</w:t>
      </w:r>
      <w:r w:rsidR="00B02546" w:rsidRPr="00100B72">
        <w:rPr>
          <w:rFonts w:asciiTheme="minorHAnsi" w:hAnsiTheme="minorHAnsi" w:cstheme="minorHAnsi"/>
        </w:rPr>
        <w:t>,</w:t>
      </w:r>
      <w:r w:rsidRPr="00100B72">
        <w:rPr>
          <w:rFonts w:asciiTheme="minorHAnsi" w:hAnsiTheme="minorHAnsi" w:cstheme="minorHAnsi"/>
        </w:rPr>
        <w:t xml:space="preserve"> perhaps workshops to positively model this praise</w:t>
      </w:r>
      <w:r w:rsidR="00B02546" w:rsidRPr="00100B72">
        <w:rPr>
          <w:rFonts w:asciiTheme="minorHAnsi" w:hAnsiTheme="minorHAnsi" w:cstheme="minorHAnsi"/>
        </w:rPr>
        <w:t>,</w:t>
      </w:r>
      <w:r w:rsidRPr="00100B72">
        <w:rPr>
          <w:rFonts w:asciiTheme="minorHAnsi" w:hAnsiTheme="minorHAnsi" w:cstheme="minorHAnsi"/>
        </w:rPr>
        <w:t xml:space="preserve"> and the interactions</w:t>
      </w:r>
      <w:r w:rsidR="00B02546" w:rsidRPr="00100B72">
        <w:rPr>
          <w:rFonts w:asciiTheme="minorHAnsi" w:hAnsiTheme="minorHAnsi" w:cstheme="minorHAnsi"/>
        </w:rPr>
        <w:t>,</w:t>
      </w:r>
      <w:r w:rsidRPr="00100B72">
        <w:rPr>
          <w:rFonts w:asciiTheme="minorHAnsi" w:hAnsiTheme="minorHAnsi" w:cstheme="minorHAnsi"/>
        </w:rPr>
        <w:t xml:space="preserve"> maybe beneficial for some</w:t>
      </w:r>
      <w:r w:rsidR="00B02546" w:rsidRPr="00100B72">
        <w:rPr>
          <w:rFonts w:asciiTheme="minorHAnsi" w:hAnsiTheme="minorHAnsi" w:cstheme="minorHAnsi"/>
        </w:rPr>
        <w:t>,</w:t>
      </w:r>
      <w:r w:rsidRPr="00100B72">
        <w:rPr>
          <w:rFonts w:asciiTheme="minorHAnsi" w:hAnsiTheme="minorHAnsi" w:cstheme="minorHAnsi"/>
        </w:rPr>
        <w:t xml:space="preserve"> so I think it could be something to consider when I </w:t>
      </w:r>
      <w:proofErr w:type="gramStart"/>
      <w:r w:rsidRPr="00100B72">
        <w:rPr>
          <w:rFonts w:asciiTheme="minorHAnsi" w:hAnsiTheme="minorHAnsi" w:cstheme="minorHAnsi"/>
        </w:rPr>
        <w:t>have the opportunity to</w:t>
      </w:r>
      <w:proofErr w:type="gramEnd"/>
      <w:r w:rsidRPr="00100B72">
        <w:rPr>
          <w:rFonts w:asciiTheme="minorHAnsi" w:hAnsiTheme="minorHAnsi" w:cstheme="minorHAnsi"/>
        </w:rPr>
        <w:t xml:space="preserve"> move forward with these next steps.</w:t>
      </w:r>
    </w:p>
    <w:p w14:paraId="3E1D204B" w14:textId="77777777" w:rsidR="00FB3C7E" w:rsidRPr="00100B72" w:rsidRDefault="00FB3C7E" w:rsidP="00FB3C7E">
      <w:pPr>
        <w:tabs>
          <w:tab w:val="left" w:pos="2200"/>
        </w:tabs>
        <w:rPr>
          <w:rFonts w:asciiTheme="minorHAnsi" w:hAnsiTheme="minorHAnsi" w:cstheme="minorHAnsi"/>
        </w:rPr>
      </w:pPr>
    </w:p>
    <w:p w14:paraId="2E6C2323" w14:textId="77777777" w:rsidR="009F3BB0" w:rsidRPr="00100B72" w:rsidRDefault="00FB3C7E" w:rsidP="00FB3C7E">
      <w:pPr>
        <w:tabs>
          <w:tab w:val="left" w:pos="2200"/>
        </w:tabs>
        <w:rPr>
          <w:rFonts w:asciiTheme="minorHAnsi" w:hAnsiTheme="minorHAnsi" w:cstheme="minorHAnsi"/>
        </w:rPr>
      </w:pPr>
      <w:r w:rsidRPr="00100B72">
        <w:rPr>
          <w:rFonts w:asciiTheme="minorHAnsi" w:hAnsiTheme="minorHAnsi" w:cstheme="minorHAnsi"/>
        </w:rPr>
        <w:t>Furthermore, from the examination of literacy</w:t>
      </w:r>
      <w:r w:rsidR="00B02546" w:rsidRPr="00100B72">
        <w:rPr>
          <w:rFonts w:asciiTheme="minorHAnsi" w:hAnsiTheme="minorHAnsi" w:cstheme="minorHAnsi"/>
        </w:rPr>
        <w:t>,</w:t>
      </w:r>
      <w:r w:rsidRPr="00100B72">
        <w:rPr>
          <w:rFonts w:asciiTheme="minorHAnsi" w:hAnsiTheme="minorHAnsi" w:cstheme="minorHAnsi"/>
        </w:rPr>
        <w:t xml:space="preserve"> I feel that including the health and well-being across different </w:t>
      </w:r>
      <w:proofErr w:type="spellStart"/>
      <w:r w:rsidRPr="00100B72">
        <w:rPr>
          <w:rFonts w:asciiTheme="minorHAnsi" w:hAnsiTheme="minorHAnsi" w:cstheme="minorHAnsi"/>
        </w:rPr>
        <w:t>ALoE</w:t>
      </w:r>
      <w:proofErr w:type="spellEnd"/>
      <w:r w:rsidRPr="00100B72">
        <w:rPr>
          <w:rFonts w:asciiTheme="minorHAnsi" w:hAnsiTheme="minorHAnsi" w:cstheme="minorHAnsi"/>
        </w:rPr>
        <w:t xml:space="preserve"> teachings will benefit children and families. This can be done similarly as discussed in the CI as a cooking class but also could look at the benefits of healthy diets, exercise and relationships that are all imperative to the children and adult’s lives. Differentiating </w:t>
      </w:r>
      <w:r w:rsidR="009F3BB0" w:rsidRPr="00100B72">
        <w:rPr>
          <w:rFonts w:asciiTheme="minorHAnsi" w:hAnsiTheme="minorHAnsi" w:cstheme="minorHAnsi"/>
        </w:rPr>
        <w:t xml:space="preserve">(ref) </w:t>
      </w:r>
      <w:r w:rsidRPr="00100B72">
        <w:rPr>
          <w:rFonts w:asciiTheme="minorHAnsi" w:hAnsiTheme="minorHAnsi" w:cstheme="minorHAnsi"/>
        </w:rPr>
        <w:t>for the stage that would be appropriate for those who were receiving the classes</w:t>
      </w:r>
      <w:r w:rsidR="009F3BB0" w:rsidRPr="00100B72">
        <w:rPr>
          <w:rFonts w:asciiTheme="minorHAnsi" w:hAnsiTheme="minorHAnsi" w:cstheme="minorHAnsi"/>
        </w:rPr>
        <w:t>,</w:t>
      </w:r>
      <w:r w:rsidRPr="00100B72">
        <w:rPr>
          <w:rFonts w:asciiTheme="minorHAnsi" w:hAnsiTheme="minorHAnsi" w:cstheme="minorHAnsi"/>
        </w:rPr>
        <w:t xml:space="preserve"> I believe would allow for further continued engagement and lessons that children would remember fondly due to creating authentic contexts as well as the knowledge and skills they can take into the future. </w:t>
      </w:r>
    </w:p>
    <w:p w14:paraId="01492E36" w14:textId="77777777" w:rsidR="009F3BB0" w:rsidRPr="00100B72" w:rsidRDefault="009F3BB0" w:rsidP="00FB3C7E">
      <w:pPr>
        <w:tabs>
          <w:tab w:val="left" w:pos="2200"/>
        </w:tabs>
        <w:rPr>
          <w:rFonts w:asciiTheme="minorHAnsi" w:hAnsiTheme="minorHAnsi" w:cstheme="minorHAnsi"/>
        </w:rPr>
      </w:pPr>
    </w:p>
    <w:p w14:paraId="164A7D81" w14:textId="697067CF" w:rsidR="00FB3C7E" w:rsidRPr="00100B72" w:rsidRDefault="00FB3C7E" w:rsidP="00FB3C7E">
      <w:pPr>
        <w:tabs>
          <w:tab w:val="left" w:pos="2200"/>
        </w:tabs>
        <w:rPr>
          <w:rFonts w:asciiTheme="minorHAnsi" w:hAnsiTheme="minorHAnsi" w:cstheme="minorHAnsi"/>
          <w:color w:val="000000" w:themeColor="text1"/>
        </w:rPr>
      </w:pPr>
      <w:r w:rsidRPr="00100B72">
        <w:rPr>
          <w:rFonts w:asciiTheme="minorHAnsi" w:hAnsiTheme="minorHAnsi" w:cstheme="minorHAnsi"/>
        </w:rPr>
        <w:t>As a student teacher I determinedly feel that providing these</w:t>
      </w:r>
      <w:r w:rsidR="009F3BB0" w:rsidRPr="00100B72">
        <w:rPr>
          <w:rFonts w:asciiTheme="minorHAnsi" w:hAnsiTheme="minorHAnsi" w:cstheme="minorHAnsi"/>
        </w:rPr>
        <w:t xml:space="preserve"> experiences</w:t>
      </w:r>
      <w:r w:rsidRPr="00100B72">
        <w:rPr>
          <w:rFonts w:asciiTheme="minorHAnsi" w:hAnsiTheme="minorHAnsi" w:cstheme="minorHAnsi"/>
        </w:rPr>
        <w:t xml:space="preserve"> to our learners will enhance their experience in school and in life</w:t>
      </w:r>
      <w:r w:rsidRPr="00100B72">
        <w:rPr>
          <w:rFonts w:asciiTheme="minorHAnsi" w:hAnsiTheme="minorHAnsi" w:cstheme="minorHAnsi"/>
          <w:color w:val="000000" w:themeColor="text1"/>
        </w:rPr>
        <w:t>. Having the opportunities during PTE and bridging to witness these community engagement and behaviour management strategies has been very informative to my learning as a student teacher. I understood from the literature that collaboration and open lines of communication</w:t>
      </w:r>
      <w:r w:rsidR="009F3BB0" w:rsidRPr="00100B72">
        <w:rPr>
          <w:rFonts w:asciiTheme="minorHAnsi" w:hAnsiTheme="minorHAnsi" w:cstheme="minorHAnsi"/>
          <w:color w:val="000000" w:themeColor="text1"/>
        </w:rPr>
        <w:t>,</w:t>
      </w:r>
      <w:r w:rsidRPr="00100B72">
        <w:rPr>
          <w:rFonts w:asciiTheme="minorHAnsi" w:hAnsiTheme="minorHAnsi" w:cstheme="minorHAnsi"/>
          <w:color w:val="000000" w:themeColor="text1"/>
        </w:rPr>
        <w:t xml:space="preserve"> along with extrinsic motivators</w:t>
      </w:r>
      <w:r w:rsidR="009F3BB0" w:rsidRPr="00100B72">
        <w:rPr>
          <w:rFonts w:asciiTheme="minorHAnsi" w:hAnsiTheme="minorHAnsi" w:cstheme="minorHAnsi"/>
          <w:color w:val="000000" w:themeColor="text1"/>
        </w:rPr>
        <w:t>,</w:t>
      </w:r>
      <w:r w:rsidRPr="00100B72">
        <w:rPr>
          <w:rFonts w:asciiTheme="minorHAnsi" w:hAnsiTheme="minorHAnsi" w:cstheme="minorHAnsi"/>
          <w:color w:val="000000" w:themeColor="text1"/>
        </w:rPr>
        <w:t xml:space="preserve"> such as praise</w:t>
      </w:r>
      <w:r w:rsidR="009F3BB0" w:rsidRPr="00100B72">
        <w:rPr>
          <w:rFonts w:asciiTheme="minorHAnsi" w:hAnsiTheme="minorHAnsi" w:cstheme="minorHAnsi"/>
          <w:color w:val="000000" w:themeColor="text1"/>
        </w:rPr>
        <w:t>,</w:t>
      </w:r>
      <w:r w:rsidRPr="00100B72">
        <w:rPr>
          <w:rFonts w:asciiTheme="minorHAnsi" w:hAnsiTheme="minorHAnsi" w:cstheme="minorHAnsi"/>
          <w:color w:val="000000" w:themeColor="text1"/>
        </w:rPr>
        <w:t xml:space="preserve"> will positively benefit the child and that having consistency between the home and school will also have an impact on positive behaviour and relationships. Although relationships </w:t>
      </w:r>
      <w:r w:rsidR="0030039B" w:rsidRPr="00100B72">
        <w:rPr>
          <w:rFonts w:asciiTheme="minorHAnsi" w:hAnsiTheme="minorHAnsi" w:cstheme="minorHAnsi"/>
          <w:color w:val="000000" w:themeColor="text1"/>
        </w:rPr>
        <w:t>sit</w:t>
      </w:r>
      <w:r w:rsidRPr="00100B72">
        <w:rPr>
          <w:rFonts w:asciiTheme="minorHAnsi" w:hAnsiTheme="minorHAnsi" w:cstheme="minorHAnsi"/>
          <w:color w:val="000000" w:themeColor="text1"/>
        </w:rPr>
        <w:t xml:space="preserve"> within the </w:t>
      </w:r>
      <w:proofErr w:type="spellStart"/>
      <w:r w:rsidRPr="00100B72">
        <w:rPr>
          <w:rFonts w:asciiTheme="minorHAnsi" w:hAnsiTheme="minorHAnsi" w:cstheme="minorHAnsi"/>
          <w:color w:val="000000" w:themeColor="text1"/>
        </w:rPr>
        <w:t>AoLE</w:t>
      </w:r>
      <w:proofErr w:type="spellEnd"/>
      <w:r w:rsidRPr="00100B72">
        <w:rPr>
          <w:rFonts w:asciiTheme="minorHAnsi" w:hAnsiTheme="minorHAnsi" w:cstheme="minorHAnsi"/>
          <w:color w:val="000000" w:themeColor="text1"/>
        </w:rPr>
        <w:t xml:space="preserve"> of ‘Health and Well-being’, this is something I will strive for outside of the classroom and throughout my teaching practise to best support pupils and families. </w:t>
      </w:r>
    </w:p>
    <w:p w14:paraId="2A62880E" w14:textId="77777777" w:rsidR="00FB3C7E" w:rsidRPr="00100B72" w:rsidRDefault="00FB3C7E" w:rsidP="00FB3C7E">
      <w:pPr>
        <w:tabs>
          <w:tab w:val="left" w:pos="2200"/>
        </w:tabs>
        <w:rPr>
          <w:rFonts w:asciiTheme="minorHAnsi" w:hAnsiTheme="minorHAnsi" w:cstheme="minorHAnsi"/>
        </w:rPr>
      </w:pPr>
    </w:p>
    <w:p w14:paraId="210A523C" w14:textId="4C27286E" w:rsidR="00FB3C7E" w:rsidRPr="00100B72" w:rsidRDefault="00FB3C7E" w:rsidP="00FB3C7E">
      <w:pPr>
        <w:tabs>
          <w:tab w:val="left" w:pos="2200"/>
        </w:tabs>
        <w:rPr>
          <w:rFonts w:asciiTheme="minorHAnsi" w:hAnsiTheme="minorHAnsi" w:cstheme="minorHAnsi"/>
          <w:b/>
          <w:bCs/>
          <w:u w:val="single"/>
        </w:rPr>
      </w:pPr>
      <w:r w:rsidRPr="00100B72">
        <w:rPr>
          <w:rFonts w:asciiTheme="minorHAnsi" w:hAnsiTheme="minorHAnsi" w:cstheme="minorHAnsi"/>
          <w:b/>
          <w:bCs/>
          <w:u w:val="single"/>
        </w:rPr>
        <w:t xml:space="preserve">Conclusion </w:t>
      </w:r>
    </w:p>
    <w:p w14:paraId="240196C6" w14:textId="77777777" w:rsidR="00FB3C7E" w:rsidRPr="00100B72" w:rsidRDefault="00FB3C7E" w:rsidP="00FB3C7E">
      <w:pPr>
        <w:tabs>
          <w:tab w:val="left" w:pos="2200"/>
        </w:tabs>
        <w:rPr>
          <w:rFonts w:asciiTheme="minorHAnsi" w:hAnsiTheme="minorHAnsi" w:cstheme="minorHAnsi"/>
        </w:rPr>
      </w:pPr>
    </w:p>
    <w:p w14:paraId="3332477F" w14:textId="1C1FC69A" w:rsidR="00FB3C7E" w:rsidRPr="00100B72" w:rsidRDefault="00FB3C7E" w:rsidP="00FB3C7E">
      <w:pPr>
        <w:tabs>
          <w:tab w:val="left" w:pos="2200"/>
        </w:tabs>
        <w:rPr>
          <w:rFonts w:asciiTheme="minorHAnsi" w:hAnsiTheme="minorHAnsi" w:cstheme="minorHAnsi"/>
        </w:rPr>
      </w:pPr>
      <w:r w:rsidRPr="00100B72">
        <w:rPr>
          <w:rFonts w:asciiTheme="minorHAnsi" w:hAnsiTheme="minorHAnsi" w:cstheme="minorHAnsi"/>
        </w:rPr>
        <w:t xml:space="preserve">During this assignment I looked at a CI that involved parental engagement with the school along with how positive modelling and praise can be used as extrinsic motivators for children. </w:t>
      </w:r>
      <w:r w:rsidR="009F3BB0" w:rsidRPr="00100B72">
        <w:rPr>
          <w:rFonts w:asciiTheme="minorHAnsi" w:hAnsiTheme="minorHAnsi" w:cstheme="minorHAnsi"/>
        </w:rPr>
        <w:t xml:space="preserve">I then </w:t>
      </w:r>
      <w:r w:rsidRPr="00100B72">
        <w:rPr>
          <w:rFonts w:asciiTheme="minorHAnsi" w:hAnsiTheme="minorHAnsi" w:cstheme="minorHAnsi"/>
        </w:rPr>
        <w:t>discuss</w:t>
      </w:r>
      <w:r w:rsidR="009F3BB0" w:rsidRPr="00100B72">
        <w:rPr>
          <w:rFonts w:asciiTheme="minorHAnsi" w:hAnsiTheme="minorHAnsi" w:cstheme="minorHAnsi"/>
        </w:rPr>
        <w:t>ed</w:t>
      </w:r>
      <w:r w:rsidRPr="00100B72">
        <w:rPr>
          <w:rFonts w:asciiTheme="minorHAnsi" w:hAnsiTheme="minorHAnsi" w:cstheme="minorHAnsi"/>
        </w:rPr>
        <w:t xml:space="preserve"> various literature surrounding the critical incident, these being predominantly, positive behaviour management strategies and how home relationships in addition to school relationships </w:t>
      </w:r>
      <w:r w:rsidR="009F3BB0" w:rsidRPr="00100B72">
        <w:rPr>
          <w:rFonts w:asciiTheme="minorHAnsi" w:hAnsiTheme="minorHAnsi" w:cstheme="minorHAnsi"/>
        </w:rPr>
        <w:t xml:space="preserve">add value </w:t>
      </w:r>
      <w:r w:rsidRPr="00100B72">
        <w:rPr>
          <w:rFonts w:asciiTheme="minorHAnsi" w:hAnsiTheme="minorHAnsi" w:cstheme="minorHAnsi"/>
        </w:rPr>
        <w:t>to those home-school links. These have provided useful insight</w:t>
      </w:r>
      <w:r w:rsidR="009F3BB0" w:rsidRPr="00100B72">
        <w:rPr>
          <w:rFonts w:asciiTheme="minorHAnsi" w:hAnsiTheme="minorHAnsi" w:cstheme="minorHAnsi"/>
        </w:rPr>
        <w:t>s</w:t>
      </w:r>
      <w:r w:rsidRPr="00100B72">
        <w:rPr>
          <w:rFonts w:asciiTheme="minorHAnsi" w:hAnsiTheme="minorHAnsi" w:cstheme="minorHAnsi"/>
        </w:rPr>
        <w:t xml:space="preserve"> into how you must see children as whole as they</w:t>
      </w:r>
      <w:r w:rsidR="009F3BB0" w:rsidRPr="00100B72">
        <w:rPr>
          <w:rFonts w:asciiTheme="minorHAnsi" w:hAnsiTheme="minorHAnsi" w:cstheme="minorHAnsi"/>
        </w:rPr>
        <w:t xml:space="preserve"> are</w:t>
      </w:r>
      <w:r w:rsidRPr="00100B72">
        <w:rPr>
          <w:rFonts w:asciiTheme="minorHAnsi" w:hAnsiTheme="minorHAnsi" w:cstheme="minorHAnsi"/>
        </w:rPr>
        <w:t xml:space="preserve"> affected by the community and people that surround them (Bronfenbrenner’s ecological systems theory). The assignment reading for the literature review provided my next steps as I embark on the beginning of my teaching career. </w:t>
      </w:r>
    </w:p>
    <w:p w14:paraId="2AED9167" w14:textId="77777777" w:rsidR="00FB3C7E" w:rsidRPr="00100B72" w:rsidRDefault="00FB3C7E" w:rsidP="00FB3C7E">
      <w:pPr>
        <w:tabs>
          <w:tab w:val="left" w:pos="2200"/>
        </w:tabs>
        <w:rPr>
          <w:rFonts w:asciiTheme="minorHAnsi" w:hAnsiTheme="minorHAnsi" w:cstheme="minorHAnsi"/>
        </w:rPr>
      </w:pPr>
    </w:p>
    <w:p w14:paraId="2370677A" w14:textId="0EA3956C" w:rsidR="00FB3C7E" w:rsidRPr="00100B72" w:rsidRDefault="00FB3C7E" w:rsidP="00FB3C7E">
      <w:pPr>
        <w:tabs>
          <w:tab w:val="left" w:pos="2200"/>
        </w:tabs>
        <w:rPr>
          <w:rFonts w:asciiTheme="minorHAnsi" w:hAnsiTheme="minorHAnsi" w:cstheme="minorHAnsi"/>
          <w:b/>
          <w:bCs/>
          <w:u w:val="single"/>
        </w:rPr>
      </w:pPr>
      <w:r w:rsidRPr="00100B72">
        <w:rPr>
          <w:rFonts w:asciiTheme="minorHAnsi" w:hAnsiTheme="minorHAnsi" w:cstheme="minorHAnsi"/>
        </w:rPr>
        <w:t xml:space="preserve">Using Brookfield’s lenses of reflection upon the critical incident discussed above, </w:t>
      </w:r>
      <w:r w:rsidR="00CB5A1D" w:rsidRPr="00100B72">
        <w:rPr>
          <w:rFonts w:asciiTheme="minorHAnsi" w:hAnsiTheme="minorHAnsi" w:cstheme="minorHAnsi"/>
        </w:rPr>
        <w:t xml:space="preserve">identified </w:t>
      </w:r>
      <w:r w:rsidRPr="00100B72">
        <w:rPr>
          <w:rFonts w:asciiTheme="minorHAnsi" w:hAnsiTheme="minorHAnsi" w:cstheme="minorHAnsi"/>
        </w:rPr>
        <w:t xml:space="preserve">from my perspective </w:t>
      </w:r>
      <w:r w:rsidR="00CB5A1D" w:rsidRPr="00100B72">
        <w:rPr>
          <w:rFonts w:asciiTheme="minorHAnsi" w:hAnsiTheme="minorHAnsi" w:cstheme="minorHAnsi"/>
        </w:rPr>
        <w:t xml:space="preserve">how </w:t>
      </w:r>
      <w:r w:rsidRPr="00100B72">
        <w:rPr>
          <w:rFonts w:asciiTheme="minorHAnsi" w:hAnsiTheme="minorHAnsi" w:cstheme="minorHAnsi"/>
        </w:rPr>
        <w:t xml:space="preserve">the activity and how praise was offered by both the teacher and parent involved, seemed very positive </w:t>
      </w:r>
      <w:r w:rsidR="00CB5A1D" w:rsidRPr="00100B72">
        <w:rPr>
          <w:rFonts w:asciiTheme="minorHAnsi" w:hAnsiTheme="minorHAnsi" w:cstheme="minorHAnsi"/>
        </w:rPr>
        <w:t xml:space="preserve">for the </w:t>
      </w:r>
      <w:r w:rsidRPr="00100B72">
        <w:rPr>
          <w:rFonts w:asciiTheme="minorHAnsi" w:hAnsiTheme="minorHAnsi" w:cstheme="minorHAnsi"/>
        </w:rPr>
        <w:t>child’s next interactions with the parent</w:t>
      </w:r>
      <w:r w:rsidR="00CB5A1D" w:rsidRPr="00100B72">
        <w:rPr>
          <w:rFonts w:asciiTheme="minorHAnsi" w:hAnsiTheme="minorHAnsi" w:cstheme="minorHAnsi"/>
        </w:rPr>
        <w:t>. With the two</w:t>
      </w:r>
      <w:r w:rsidRPr="00100B72">
        <w:rPr>
          <w:rFonts w:asciiTheme="minorHAnsi" w:hAnsiTheme="minorHAnsi" w:cstheme="minorHAnsi"/>
        </w:rPr>
        <w:t xml:space="preserve"> becoming physically closer. To an observer</w:t>
      </w:r>
      <w:r w:rsidR="00CB5A1D" w:rsidRPr="00100B72">
        <w:rPr>
          <w:rFonts w:asciiTheme="minorHAnsi" w:hAnsiTheme="minorHAnsi" w:cstheme="minorHAnsi"/>
        </w:rPr>
        <w:t>,</w:t>
      </w:r>
      <w:r w:rsidRPr="00100B72">
        <w:rPr>
          <w:rFonts w:asciiTheme="minorHAnsi" w:hAnsiTheme="minorHAnsi" w:cstheme="minorHAnsi"/>
        </w:rPr>
        <w:t xml:space="preserve"> this was a very positive moment and made the distance that they had </w:t>
      </w:r>
      <w:r w:rsidR="00CB5A1D" w:rsidRPr="00100B72">
        <w:rPr>
          <w:rFonts w:asciiTheme="minorHAnsi" w:hAnsiTheme="minorHAnsi" w:cstheme="minorHAnsi"/>
        </w:rPr>
        <w:t xml:space="preserve">had </w:t>
      </w:r>
      <w:r w:rsidRPr="00100B72">
        <w:rPr>
          <w:rFonts w:asciiTheme="minorHAnsi" w:hAnsiTheme="minorHAnsi" w:cstheme="minorHAnsi"/>
        </w:rPr>
        <w:t>before appearing much greater than it originally seemed. From what an observer could understand through the lens of the child, having praise from two adults was helpful in closing the space between the parent and child and having fun after this. I imagine that positivity is something that both parent and child will take away from the class. Moving Forward</w:t>
      </w:r>
      <w:r w:rsidR="00CB5A1D" w:rsidRPr="00100B72">
        <w:rPr>
          <w:rFonts w:asciiTheme="minorHAnsi" w:hAnsiTheme="minorHAnsi" w:cstheme="minorHAnsi"/>
        </w:rPr>
        <w:t>,</w:t>
      </w:r>
      <w:r w:rsidRPr="00100B72">
        <w:rPr>
          <w:rFonts w:asciiTheme="minorHAnsi" w:hAnsiTheme="minorHAnsi" w:cstheme="minorHAnsi"/>
        </w:rPr>
        <w:t xml:space="preserve"> I will discuss incidents </w:t>
      </w:r>
      <w:proofErr w:type="gramStart"/>
      <w:r w:rsidRPr="00100B72">
        <w:rPr>
          <w:rFonts w:asciiTheme="minorHAnsi" w:hAnsiTheme="minorHAnsi" w:cstheme="minorHAnsi"/>
        </w:rPr>
        <w:t>similar to</w:t>
      </w:r>
      <w:proofErr w:type="gramEnd"/>
      <w:r w:rsidRPr="00100B72">
        <w:rPr>
          <w:rFonts w:asciiTheme="minorHAnsi" w:hAnsiTheme="minorHAnsi" w:cstheme="minorHAnsi"/>
        </w:rPr>
        <w:t xml:space="preserve"> this with colleagues and find their opinions on whether having these parent-pupil classes is something that </w:t>
      </w:r>
      <w:r w:rsidR="00CB5A1D" w:rsidRPr="00100B72">
        <w:rPr>
          <w:rFonts w:asciiTheme="minorHAnsi" w:hAnsiTheme="minorHAnsi" w:cstheme="minorHAnsi"/>
        </w:rPr>
        <w:t xml:space="preserve">they </w:t>
      </w:r>
      <w:r w:rsidRPr="00100B72">
        <w:rPr>
          <w:rFonts w:asciiTheme="minorHAnsi" w:hAnsiTheme="minorHAnsi" w:cstheme="minorHAnsi"/>
        </w:rPr>
        <w:t>deem beneficial to the learner, parent and school</w:t>
      </w:r>
      <w:r w:rsidR="00E32E11" w:rsidRPr="00100B72">
        <w:rPr>
          <w:rFonts w:asciiTheme="minorHAnsi" w:hAnsiTheme="minorHAnsi" w:cstheme="minorHAnsi"/>
        </w:rPr>
        <w:t>.</w:t>
      </w:r>
    </w:p>
    <w:p w14:paraId="2A3E6AC5" w14:textId="77777777" w:rsidR="00FB3C7E" w:rsidRPr="00100B72" w:rsidRDefault="00FB3C7E" w:rsidP="00FB3C7E">
      <w:pPr>
        <w:tabs>
          <w:tab w:val="left" w:pos="2200"/>
        </w:tabs>
        <w:rPr>
          <w:rFonts w:asciiTheme="minorHAnsi" w:hAnsiTheme="minorHAnsi" w:cstheme="minorHAnsi"/>
          <w:b/>
          <w:bCs/>
          <w:u w:val="single"/>
        </w:rPr>
      </w:pPr>
    </w:p>
    <w:p w14:paraId="3792CAEE" w14:textId="77777777" w:rsidR="00FB3C7E" w:rsidRPr="00100B72" w:rsidRDefault="00FB3C7E" w:rsidP="00FB3C7E">
      <w:pPr>
        <w:tabs>
          <w:tab w:val="left" w:pos="2200"/>
        </w:tabs>
        <w:rPr>
          <w:rFonts w:asciiTheme="minorHAnsi" w:hAnsiTheme="minorHAnsi" w:cstheme="minorHAnsi"/>
          <w:b/>
          <w:bCs/>
          <w:u w:val="single"/>
        </w:rPr>
      </w:pPr>
    </w:p>
    <w:p w14:paraId="0CCAA371" w14:textId="7ECF700B" w:rsidR="00DB526E" w:rsidRPr="00100B72" w:rsidRDefault="00FB3C7E" w:rsidP="00DB526E">
      <w:pPr>
        <w:tabs>
          <w:tab w:val="left" w:pos="2200"/>
        </w:tabs>
        <w:rPr>
          <w:rFonts w:asciiTheme="minorHAnsi" w:hAnsiTheme="minorHAnsi" w:cstheme="minorHAnsi"/>
          <w:b/>
          <w:bCs/>
          <w:u w:val="single"/>
        </w:rPr>
      </w:pPr>
      <w:r w:rsidRPr="00100B72">
        <w:rPr>
          <w:rFonts w:asciiTheme="minorHAnsi" w:hAnsiTheme="minorHAnsi" w:cstheme="minorHAnsi"/>
          <w:b/>
          <w:bCs/>
          <w:u w:val="single"/>
        </w:rPr>
        <w:t>Reference list</w:t>
      </w:r>
    </w:p>
    <w:p w14:paraId="770A5D8A" w14:textId="77777777" w:rsidR="00DB526E" w:rsidRPr="00100B72" w:rsidRDefault="00DB526E" w:rsidP="00DB526E">
      <w:pPr>
        <w:tabs>
          <w:tab w:val="left" w:pos="2200"/>
        </w:tabs>
        <w:rPr>
          <w:rFonts w:asciiTheme="minorHAnsi" w:hAnsiTheme="minorHAnsi" w:cstheme="minorHAnsi"/>
          <w:b/>
          <w:bCs/>
          <w:u w:val="single"/>
        </w:rPr>
      </w:pPr>
    </w:p>
    <w:p w14:paraId="54ECCE70" w14:textId="77777777" w:rsidR="00DB526E" w:rsidRPr="00100B72" w:rsidRDefault="00DB526E" w:rsidP="00FB3C7E">
      <w:pPr>
        <w:pStyle w:val="NormalWeb"/>
        <w:rPr>
          <w:rFonts w:asciiTheme="minorHAnsi" w:hAnsiTheme="minorHAnsi" w:cstheme="minorHAnsi"/>
          <w:sz w:val="22"/>
          <w:szCs w:val="22"/>
        </w:rPr>
      </w:pPr>
      <w:r w:rsidRPr="00100B72">
        <w:rPr>
          <w:rFonts w:asciiTheme="minorHAnsi" w:hAnsiTheme="minorHAnsi" w:cstheme="minorHAnsi"/>
          <w:sz w:val="22"/>
          <w:szCs w:val="22"/>
        </w:rPr>
        <w:t xml:space="preserve">(2016) </w:t>
      </w:r>
      <w:proofErr w:type="spellStart"/>
      <w:r w:rsidRPr="00100B72">
        <w:rPr>
          <w:rFonts w:asciiTheme="minorHAnsi" w:hAnsiTheme="minorHAnsi" w:cstheme="minorHAnsi"/>
          <w:i/>
          <w:iCs/>
          <w:sz w:val="22"/>
          <w:szCs w:val="22"/>
        </w:rPr>
        <w:t>FaCE</w:t>
      </w:r>
      <w:proofErr w:type="spellEnd"/>
      <w:r w:rsidRPr="00100B72">
        <w:rPr>
          <w:rFonts w:asciiTheme="minorHAnsi" w:hAnsiTheme="minorHAnsi" w:cstheme="minorHAnsi"/>
          <w:i/>
          <w:iCs/>
          <w:sz w:val="22"/>
          <w:szCs w:val="22"/>
        </w:rPr>
        <w:t xml:space="preserve"> the challenge together: Family and community engagement toolkit for schools in Wales Main guidance</w:t>
      </w:r>
      <w:r w:rsidRPr="00100B72">
        <w:rPr>
          <w:rFonts w:asciiTheme="minorHAnsi" w:hAnsiTheme="minorHAnsi" w:cstheme="minorHAnsi"/>
          <w:sz w:val="22"/>
          <w:szCs w:val="22"/>
        </w:rPr>
        <w:t xml:space="preserve">. Welsh Government. Available at: https://gov.wales/sites/default/files/publications/2018-12/face-the-challenge-together-family-and-community-engagement-toolkit-for-schools-in-wales-main-guidance.pdf (Accessed: November 5, 2022). </w:t>
      </w:r>
    </w:p>
    <w:p w14:paraId="1BB874DC" w14:textId="77777777" w:rsidR="00DB526E" w:rsidRPr="00100B72" w:rsidRDefault="00DB526E" w:rsidP="00FB3C7E">
      <w:pPr>
        <w:pStyle w:val="NormalWeb"/>
        <w:ind w:left="567" w:hanging="567"/>
        <w:rPr>
          <w:rFonts w:asciiTheme="minorHAnsi" w:hAnsiTheme="minorHAnsi" w:cstheme="minorHAnsi"/>
          <w:sz w:val="22"/>
          <w:szCs w:val="22"/>
        </w:rPr>
      </w:pPr>
      <w:r w:rsidRPr="00100B72">
        <w:rPr>
          <w:rFonts w:asciiTheme="minorHAnsi" w:hAnsiTheme="minorHAnsi" w:cstheme="minorHAnsi"/>
          <w:sz w:val="22"/>
          <w:szCs w:val="22"/>
        </w:rPr>
        <w:t xml:space="preserve">Anthony M. (2016) </w:t>
      </w:r>
      <w:r w:rsidRPr="00100B72">
        <w:rPr>
          <w:rFonts w:asciiTheme="minorHAnsi" w:hAnsiTheme="minorHAnsi" w:cstheme="minorHAnsi"/>
          <w:i/>
          <w:iCs/>
          <w:sz w:val="22"/>
          <w:szCs w:val="22"/>
        </w:rPr>
        <w:t>Social-emotional-learning</w:t>
      </w:r>
      <w:r w:rsidRPr="00100B72">
        <w:rPr>
          <w:rFonts w:asciiTheme="minorHAnsi" w:hAnsiTheme="minorHAnsi" w:cstheme="minorHAnsi"/>
          <w:sz w:val="22"/>
          <w:szCs w:val="22"/>
        </w:rPr>
        <w:t xml:space="preserve">, </w:t>
      </w:r>
      <w:r w:rsidRPr="00100B72">
        <w:rPr>
          <w:rFonts w:asciiTheme="minorHAnsi" w:hAnsiTheme="minorHAnsi" w:cstheme="minorHAnsi"/>
          <w:i/>
          <w:iCs/>
          <w:sz w:val="22"/>
          <w:szCs w:val="22"/>
        </w:rPr>
        <w:t>Social Emotional Learning</w:t>
      </w:r>
      <w:r w:rsidRPr="00100B72">
        <w:rPr>
          <w:rFonts w:asciiTheme="minorHAnsi" w:hAnsiTheme="minorHAnsi" w:cstheme="minorHAnsi"/>
          <w:sz w:val="22"/>
          <w:szCs w:val="22"/>
        </w:rPr>
        <w:t xml:space="preserve">. Available at: https://www.scholastic.com/parents/family-life/social-emotional-learning.html (Accessed: November 6, 2022). </w:t>
      </w:r>
    </w:p>
    <w:p w14:paraId="0E67CB0E" w14:textId="77777777" w:rsidR="00DB526E" w:rsidRPr="00100B72" w:rsidRDefault="00DB526E" w:rsidP="00FB3C7E">
      <w:pPr>
        <w:spacing w:before="100" w:beforeAutospacing="1" w:after="100" w:afterAutospacing="1"/>
        <w:ind w:left="567" w:hanging="567"/>
        <w:rPr>
          <w:rFonts w:asciiTheme="minorHAnsi" w:hAnsiTheme="minorHAnsi" w:cstheme="minorHAnsi"/>
          <w:color w:val="000000"/>
          <w:sz w:val="22"/>
          <w:szCs w:val="22"/>
        </w:rPr>
      </w:pPr>
      <w:r w:rsidRPr="00100B72">
        <w:rPr>
          <w:rFonts w:asciiTheme="minorHAnsi" w:hAnsiTheme="minorHAnsi" w:cstheme="minorHAnsi"/>
          <w:color w:val="000000"/>
          <w:sz w:val="22"/>
          <w:szCs w:val="22"/>
        </w:rPr>
        <w:t>Armour, K.M. and Yelling, M.R. (2004) “Continuing professional development for experienced physical education teachers: Towards effective provision,” </w:t>
      </w:r>
      <w:r w:rsidRPr="00100B72">
        <w:rPr>
          <w:rFonts w:asciiTheme="minorHAnsi" w:hAnsiTheme="minorHAnsi" w:cstheme="minorHAnsi"/>
          <w:i/>
          <w:iCs/>
          <w:color w:val="000000"/>
          <w:sz w:val="22"/>
          <w:szCs w:val="22"/>
        </w:rPr>
        <w:t>Sport, Education and Society</w:t>
      </w:r>
      <w:r w:rsidRPr="00100B72">
        <w:rPr>
          <w:rFonts w:asciiTheme="minorHAnsi" w:hAnsiTheme="minorHAnsi" w:cstheme="minorHAnsi"/>
          <w:color w:val="000000"/>
          <w:sz w:val="22"/>
          <w:szCs w:val="22"/>
        </w:rPr>
        <w:t xml:space="preserve">, 9(1), pp. 95–114. Available at: </w:t>
      </w:r>
      <w:hyperlink r:id="rId8" w:history="1">
        <w:r w:rsidRPr="00100B72">
          <w:rPr>
            <w:rStyle w:val="Hyperlink"/>
            <w:rFonts w:asciiTheme="minorHAnsi" w:hAnsiTheme="minorHAnsi" w:cstheme="minorHAnsi"/>
            <w:sz w:val="22"/>
            <w:szCs w:val="22"/>
          </w:rPr>
          <w:t>https://doi.org/10.1080/1357332042000175836</w:t>
        </w:r>
      </w:hyperlink>
      <w:r w:rsidRPr="00100B72">
        <w:rPr>
          <w:rFonts w:asciiTheme="minorHAnsi" w:hAnsiTheme="minorHAnsi" w:cstheme="minorHAnsi"/>
          <w:color w:val="000000"/>
          <w:sz w:val="22"/>
          <w:szCs w:val="22"/>
        </w:rPr>
        <w:t>. </w:t>
      </w:r>
    </w:p>
    <w:p w14:paraId="3EE5953A" w14:textId="77777777" w:rsidR="00DB526E" w:rsidRPr="00100B72" w:rsidRDefault="00DB526E" w:rsidP="00FB3C7E">
      <w:pPr>
        <w:rPr>
          <w:rFonts w:asciiTheme="minorHAnsi" w:hAnsiTheme="minorHAnsi" w:cstheme="minorHAnsi"/>
          <w:color w:val="000000" w:themeColor="text1"/>
          <w:sz w:val="22"/>
          <w:szCs w:val="22"/>
          <w:shd w:val="clear" w:color="auto" w:fill="FFFFFF"/>
        </w:rPr>
      </w:pPr>
      <w:r w:rsidRPr="00100B72">
        <w:rPr>
          <w:rFonts w:asciiTheme="minorHAnsi" w:hAnsiTheme="minorHAnsi" w:cstheme="minorHAnsi"/>
          <w:color w:val="333333"/>
          <w:sz w:val="22"/>
          <w:szCs w:val="22"/>
        </w:rPr>
        <w:t xml:space="preserve">Barrett, D. E., Radke-Yarrow, M., &amp; Klein, R. E. (1982). Chronic malnutrition and child </w:t>
      </w:r>
      <w:proofErr w:type="spellStart"/>
      <w:r w:rsidRPr="00100B72">
        <w:rPr>
          <w:rFonts w:asciiTheme="minorHAnsi" w:hAnsiTheme="minorHAnsi" w:cstheme="minorHAnsi"/>
          <w:color w:val="333333"/>
          <w:sz w:val="22"/>
          <w:szCs w:val="22"/>
        </w:rPr>
        <w:t>behavior</w:t>
      </w:r>
      <w:proofErr w:type="spellEnd"/>
      <w:r w:rsidRPr="00100B72">
        <w:rPr>
          <w:rFonts w:asciiTheme="minorHAnsi" w:hAnsiTheme="minorHAnsi" w:cstheme="minorHAnsi"/>
          <w:color w:val="333333"/>
          <w:sz w:val="22"/>
          <w:szCs w:val="22"/>
        </w:rPr>
        <w:t>: Effects of early caloric supplementation on social and emotional functioning at school age. </w:t>
      </w:r>
      <w:r w:rsidRPr="00100B72">
        <w:rPr>
          <w:rStyle w:val="Emphasis"/>
          <w:rFonts w:asciiTheme="minorHAnsi" w:hAnsiTheme="minorHAnsi" w:cstheme="minorHAnsi"/>
          <w:color w:val="333333"/>
          <w:sz w:val="22"/>
          <w:szCs w:val="22"/>
        </w:rPr>
        <w:t>Developmental Psychology, 18</w:t>
      </w:r>
      <w:r w:rsidRPr="00100B72">
        <w:rPr>
          <w:rFonts w:asciiTheme="minorHAnsi" w:hAnsiTheme="minorHAnsi" w:cstheme="minorHAnsi"/>
          <w:color w:val="333333"/>
          <w:sz w:val="22"/>
          <w:szCs w:val="22"/>
        </w:rPr>
        <w:t>(4), 541–556. </w:t>
      </w:r>
      <w:hyperlink r:id="rId9" w:tgtFrame="_blank" w:history="1">
        <w:r w:rsidRPr="00100B72">
          <w:rPr>
            <w:rStyle w:val="Hyperlink"/>
            <w:rFonts w:asciiTheme="minorHAnsi" w:hAnsiTheme="minorHAnsi" w:cstheme="minorHAnsi"/>
            <w:color w:val="2C72B7"/>
            <w:sz w:val="22"/>
            <w:szCs w:val="22"/>
          </w:rPr>
          <w:t>https://doi.org/10.1037/0012-1649.18.4.541</w:t>
        </w:r>
      </w:hyperlink>
      <w:r w:rsidRPr="00100B72">
        <w:rPr>
          <w:rStyle w:val="Hyperlink"/>
          <w:rFonts w:asciiTheme="minorHAnsi" w:hAnsiTheme="minorHAnsi" w:cstheme="minorHAnsi"/>
          <w:color w:val="2C72B7"/>
          <w:sz w:val="22"/>
          <w:szCs w:val="22"/>
        </w:rPr>
        <w:t xml:space="preserve">. </w:t>
      </w:r>
      <w:r w:rsidRPr="00100B72">
        <w:rPr>
          <w:rFonts w:asciiTheme="minorHAnsi" w:hAnsiTheme="minorHAnsi" w:cstheme="minorHAnsi"/>
          <w:color w:val="000000" w:themeColor="text1"/>
          <w:sz w:val="22"/>
          <w:szCs w:val="22"/>
          <w:shd w:val="clear" w:color="auto" w:fill="FFFFFF"/>
        </w:rPr>
        <w:t>Accessed:</w:t>
      </w:r>
      <w:r w:rsidRPr="00100B72">
        <w:rPr>
          <w:rFonts w:asciiTheme="minorHAnsi" w:hAnsiTheme="minorHAnsi" w:cstheme="minorHAnsi"/>
          <w:b/>
          <w:bCs/>
          <w:color w:val="000000" w:themeColor="text1"/>
          <w:sz w:val="22"/>
          <w:szCs w:val="22"/>
          <w:shd w:val="clear" w:color="auto" w:fill="FFFFFF"/>
        </w:rPr>
        <w:t>(</w:t>
      </w:r>
      <w:r w:rsidRPr="00100B72">
        <w:rPr>
          <w:rFonts w:asciiTheme="minorHAnsi" w:hAnsiTheme="minorHAnsi" w:cstheme="minorHAnsi"/>
          <w:color w:val="000000" w:themeColor="text1"/>
          <w:sz w:val="22"/>
          <w:szCs w:val="22"/>
          <w:shd w:val="clear" w:color="auto" w:fill="FFFFFF"/>
        </w:rPr>
        <w:t>9</w:t>
      </w:r>
      <w:r w:rsidRPr="00100B72">
        <w:rPr>
          <w:rFonts w:asciiTheme="minorHAnsi" w:hAnsiTheme="minorHAnsi" w:cstheme="minorHAnsi"/>
          <w:b/>
          <w:bCs/>
          <w:color w:val="000000" w:themeColor="text1"/>
          <w:sz w:val="22"/>
          <w:szCs w:val="22"/>
          <w:shd w:val="clear" w:color="auto" w:fill="FFFFFF"/>
        </w:rPr>
        <w:t xml:space="preserve"> </w:t>
      </w:r>
      <w:r w:rsidRPr="00100B72">
        <w:rPr>
          <w:rFonts w:asciiTheme="minorHAnsi" w:hAnsiTheme="minorHAnsi" w:cstheme="minorHAnsi"/>
          <w:color w:val="000000" w:themeColor="text1"/>
          <w:sz w:val="22"/>
          <w:szCs w:val="22"/>
          <w:shd w:val="clear" w:color="auto" w:fill="FFFFFF"/>
        </w:rPr>
        <w:t>November 2022</w:t>
      </w:r>
      <w:r w:rsidRPr="00100B72">
        <w:rPr>
          <w:rFonts w:asciiTheme="minorHAnsi" w:hAnsiTheme="minorHAnsi" w:cstheme="minorHAnsi"/>
          <w:b/>
          <w:bCs/>
          <w:color w:val="000000" w:themeColor="text1"/>
          <w:sz w:val="22"/>
          <w:szCs w:val="22"/>
          <w:shd w:val="clear" w:color="auto" w:fill="FFFFFF"/>
        </w:rPr>
        <w:t>)</w:t>
      </w:r>
      <w:r w:rsidRPr="00100B72">
        <w:rPr>
          <w:rFonts w:asciiTheme="minorHAnsi" w:hAnsiTheme="minorHAnsi" w:cstheme="minorHAnsi"/>
          <w:color w:val="000000" w:themeColor="text1"/>
          <w:sz w:val="22"/>
          <w:szCs w:val="22"/>
          <w:shd w:val="clear" w:color="auto" w:fill="FFFFFF"/>
        </w:rPr>
        <w:t>.</w:t>
      </w:r>
    </w:p>
    <w:p w14:paraId="089AB44E" w14:textId="77777777" w:rsidR="00DB526E" w:rsidRPr="00100B72" w:rsidRDefault="00DB526E" w:rsidP="00FB3C7E">
      <w:pPr>
        <w:spacing w:before="100" w:beforeAutospacing="1" w:after="100" w:afterAutospacing="1"/>
        <w:ind w:left="567" w:hanging="567"/>
        <w:rPr>
          <w:rFonts w:asciiTheme="minorHAnsi" w:hAnsiTheme="minorHAnsi" w:cstheme="minorHAnsi"/>
          <w:sz w:val="22"/>
          <w:szCs w:val="22"/>
        </w:rPr>
      </w:pPr>
      <w:proofErr w:type="spellStart"/>
      <w:proofErr w:type="gramStart"/>
      <w:r w:rsidRPr="00100B72">
        <w:rPr>
          <w:rFonts w:asciiTheme="minorHAnsi" w:hAnsiTheme="minorHAnsi" w:cstheme="minorHAnsi"/>
          <w:sz w:val="22"/>
          <w:szCs w:val="22"/>
        </w:rPr>
        <w:t>Bojuwoye</w:t>
      </w:r>
      <w:proofErr w:type="spellEnd"/>
      <w:r w:rsidRPr="00100B72">
        <w:rPr>
          <w:rFonts w:asciiTheme="minorHAnsi" w:hAnsiTheme="minorHAnsi" w:cstheme="minorHAnsi"/>
          <w:sz w:val="22"/>
          <w:szCs w:val="22"/>
        </w:rPr>
        <w:t xml:space="preserve"> ,</w:t>
      </w:r>
      <w:proofErr w:type="gramEnd"/>
      <w:r w:rsidRPr="00100B72">
        <w:rPr>
          <w:rFonts w:asciiTheme="minorHAnsi" w:hAnsiTheme="minorHAnsi" w:cstheme="minorHAnsi"/>
          <w:sz w:val="22"/>
          <w:szCs w:val="22"/>
        </w:rPr>
        <w:t xml:space="preserve"> O. (2009) </w:t>
      </w:r>
      <w:r w:rsidRPr="00100B72">
        <w:rPr>
          <w:rFonts w:asciiTheme="minorHAnsi" w:hAnsiTheme="minorHAnsi" w:cstheme="minorHAnsi"/>
          <w:i/>
          <w:iCs/>
          <w:sz w:val="22"/>
          <w:szCs w:val="22"/>
        </w:rPr>
        <w:t xml:space="preserve">Home‐school partnership – a study of opinions of selected parents and teachers in </w:t>
      </w:r>
      <w:proofErr w:type="spellStart"/>
      <w:r w:rsidRPr="00100B72">
        <w:rPr>
          <w:rFonts w:asciiTheme="minorHAnsi" w:hAnsiTheme="minorHAnsi" w:cstheme="minorHAnsi"/>
          <w:i/>
          <w:iCs/>
          <w:sz w:val="22"/>
          <w:szCs w:val="22"/>
        </w:rPr>
        <w:t>Kwazulu</w:t>
      </w:r>
      <w:proofErr w:type="spellEnd"/>
      <w:r w:rsidRPr="00100B72">
        <w:rPr>
          <w:rFonts w:asciiTheme="minorHAnsi" w:hAnsiTheme="minorHAnsi" w:cstheme="minorHAnsi"/>
          <w:i/>
          <w:iCs/>
          <w:sz w:val="22"/>
          <w:szCs w:val="22"/>
        </w:rPr>
        <w:t xml:space="preserve"> Natal Province, South Africa</w:t>
      </w:r>
      <w:r w:rsidRPr="00100B72">
        <w:rPr>
          <w:rFonts w:asciiTheme="minorHAnsi" w:hAnsiTheme="minorHAnsi" w:cstheme="minorHAnsi"/>
          <w:sz w:val="22"/>
          <w:szCs w:val="22"/>
        </w:rPr>
        <w:t xml:space="preserve">, </w:t>
      </w:r>
      <w:r w:rsidRPr="00100B72">
        <w:rPr>
          <w:rFonts w:asciiTheme="minorHAnsi" w:hAnsiTheme="minorHAnsi" w:cstheme="minorHAnsi"/>
          <w:i/>
          <w:iCs/>
          <w:sz w:val="22"/>
          <w:szCs w:val="22"/>
        </w:rPr>
        <w:t xml:space="preserve">Taylor and Francis Online </w:t>
      </w:r>
      <w:r w:rsidRPr="00100B72">
        <w:rPr>
          <w:rFonts w:asciiTheme="minorHAnsi" w:hAnsiTheme="minorHAnsi" w:cstheme="minorHAnsi"/>
          <w:sz w:val="22"/>
          <w:szCs w:val="22"/>
        </w:rPr>
        <w:t xml:space="preserve">. Available at: https://www.tandfonline.com/doi/abs/10.1080/02671520802150004 (Accessed: November 9, 2022). </w:t>
      </w:r>
    </w:p>
    <w:p w14:paraId="3203CCD5" w14:textId="77777777" w:rsidR="00DB526E" w:rsidRPr="00100B72" w:rsidRDefault="00DB526E" w:rsidP="00FB3C7E">
      <w:pPr>
        <w:spacing w:before="100" w:beforeAutospacing="1" w:after="100" w:afterAutospacing="1"/>
        <w:ind w:left="567" w:hanging="567"/>
        <w:rPr>
          <w:rFonts w:asciiTheme="minorHAnsi" w:hAnsiTheme="minorHAnsi" w:cstheme="minorHAnsi"/>
          <w:color w:val="000000"/>
          <w:sz w:val="22"/>
          <w:szCs w:val="22"/>
        </w:rPr>
      </w:pPr>
      <w:proofErr w:type="spellStart"/>
      <w:r w:rsidRPr="00100B72">
        <w:rPr>
          <w:rFonts w:asciiTheme="minorHAnsi" w:hAnsiTheme="minorHAnsi" w:cstheme="minorHAnsi"/>
          <w:color w:val="000000"/>
          <w:sz w:val="22"/>
          <w:szCs w:val="22"/>
        </w:rPr>
        <w:t>Bombèr</w:t>
      </w:r>
      <w:proofErr w:type="spellEnd"/>
      <w:r w:rsidRPr="00100B72">
        <w:rPr>
          <w:rFonts w:asciiTheme="minorHAnsi" w:hAnsiTheme="minorHAnsi" w:cstheme="minorHAnsi"/>
          <w:color w:val="000000"/>
          <w:sz w:val="22"/>
          <w:szCs w:val="22"/>
        </w:rPr>
        <w:t>, L.M. (2007) </w:t>
      </w:r>
      <w:r w:rsidRPr="00100B72">
        <w:rPr>
          <w:rFonts w:asciiTheme="minorHAnsi" w:hAnsiTheme="minorHAnsi" w:cstheme="minorHAnsi"/>
          <w:i/>
          <w:iCs/>
          <w:color w:val="000000"/>
          <w:sz w:val="22"/>
          <w:szCs w:val="22"/>
        </w:rPr>
        <w:t>Inside I'm hurting: Practical strategies for supporting children with attachment difficulties in schools</w:t>
      </w:r>
      <w:r w:rsidRPr="00100B72">
        <w:rPr>
          <w:rFonts w:asciiTheme="minorHAnsi" w:hAnsiTheme="minorHAnsi" w:cstheme="minorHAnsi"/>
          <w:color w:val="000000"/>
          <w:sz w:val="22"/>
          <w:szCs w:val="22"/>
        </w:rPr>
        <w:t xml:space="preserve">. </w:t>
      </w:r>
      <w:proofErr w:type="spellStart"/>
      <w:r w:rsidRPr="00100B72">
        <w:rPr>
          <w:rFonts w:asciiTheme="minorHAnsi" w:hAnsiTheme="minorHAnsi" w:cstheme="minorHAnsi"/>
          <w:color w:val="000000"/>
          <w:sz w:val="22"/>
          <w:szCs w:val="22"/>
        </w:rPr>
        <w:t>london</w:t>
      </w:r>
      <w:proofErr w:type="spellEnd"/>
      <w:r w:rsidRPr="00100B72">
        <w:rPr>
          <w:rFonts w:asciiTheme="minorHAnsi" w:hAnsiTheme="minorHAnsi" w:cstheme="minorHAnsi"/>
          <w:color w:val="000000"/>
          <w:sz w:val="22"/>
          <w:szCs w:val="22"/>
        </w:rPr>
        <w:t xml:space="preserve">, </w:t>
      </w:r>
      <w:proofErr w:type="spellStart"/>
      <w:r w:rsidRPr="00100B72">
        <w:rPr>
          <w:rFonts w:asciiTheme="minorHAnsi" w:hAnsiTheme="minorHAnsi" w:cstheme="minorHAnsi"/>
          <w:color w:val="000000"/>
          <w:sz w:val="22"/>
          <w:szCs w:val="22"/>
        </w:rPr>
        <w:t>uk</w:t>
      </w:r>
      <w:proofErr w:type="spellEnd"/>
      <w:r w:rsidRPr="00100B72">
        <w:rPr>
          <w:rFonts w:asciiTheme="minorHAnsi" w:hAnsiTheme="minorHAnsi" w:cstheme="minorHAnsi"/>
          <w:color w:val="000000"/>
          <w:sz w:val="22"/>
          <w:szCs w:val="22"/>
        </w:rPr>
        <w:t>: Worth. </w:t>
      </w:r>
    </w:p>
    <w:p w14:paraId="56D5DF92" w14:textId="77777777" w:rsidR="00DB526E" w:rsidRPr="00100B72" w:rsidRDefault="00DB526E" w:rsidP="00FB3C7E">
      <w:pPr>
        <w:pStyle w:val="Heading1"/>
        <w:shd w:val="clear" w:color="auto" w:fill="FFFFFF"/>
        <w:rPr>
          <w:rFonts w:asciiTheme="minorHAnsi" w:hAnsiTheme="minorHAnsi" w:cstheme="minorHAnsi"/>
          <w:color w:val="000000" w:themeColor="text1"/>
          <w:sz w:val="22"/>
          <w:szCs w:val="22"/>
        </w:rPr>
      </w:pPr>
      <w:r w:rsidRPr="00100B72">
        <w:rPr>
          <w:rFonts w:asciiTheme="minorHAnsi" w:hAnsiTheme="minorHAnsi" w:cstheme="minorHAnsi"/>
          <w:b w:val="0"/>
          <w:bCs w:val="0"/>
          <w:color w:val="000000" w:themeColor="text1"/>
          <w:sz w:val="22"/>
          <w:szCs w:val="22"/>
          <w:shd w:val="clear" w:color="auto" w:fill="FFFFFF"/>
        </w:rPr>
        <w:t xml:space="preserve">Brookfield, SD 2017, Becoming a Critically Reflective Teacher, John Wiley &amp; Sons, Incorporated, New York, NY. Available from: ProQuest </w:t>
      </w:r>
      <w:proofErr w:type="spellStart"/>
      <w:r w:rsidRPr="00100B72">
        <w:rPr>
          <w:rFonts w:asciiTheme="minorHAnsi" w:hAnsiTheme="minorHAnsi" w:cstheme="minorHAnsi"/>
          <w:b w:val="0"/>
          <w:bCs w:val="0"/>
          <w:color w:val="000000" w:themeColor="text1"/>
          <w:sz w:val="22"/>
          <w:szCs w:val="22"/>
          <w:shd w:val="clear" w:color="auto" w:fill="FFFFFF"/>
        </w:rPr>
        <w:t>Ebook</w:t>
      </w:r>
      <w:proofErr w:type="spellEnd"/>
      <w:r w:rsidRPr="00100B72">
        <w:rPr>
          <w:rFonts w:asciiTheme="minorHAnsi" w:hAnsiTheme="minorHAnsi" w:cstheme="minorHAnsi"/>
          <w:b w:val="0"/>
          <w:bCs w:val="0"/>
          <w:color w:val="000000" w:themeColor="text1"/>
          <w:sz w:val="22"/>
          <w:szCs w:val="22"/>
          <w:shd w:val="clear" w:color="auto" w:fill="FFFFFF"/>
        </w:rPr>
        <w:t xml:space="preserve"> Central. Accessed:(9 November 2022).</w:t>
      </w:r>
    </w:p>
    <w:p w14:paraId="65EEB5DC" w14:textId="77777777" w:rsidR="00DB526E" w:rsidRPr="00100B72" w:rsidRDefault="00DB526E" w:rsidP="00FB3C7E">
      <w:pPr>
        <w:spacing w:before="100" w:beforeAutospacing="1" w:after="100" w:afterAutospacing="1"/>
        <w:ind w:left="567" w:hanging="567"/>
        <w:rPr>
          <w:rFonts w:asciiTheme="minorHAnsi" w:hAnsiTheme="minorHAnsi" w:cstheme="minorHAnsi"/>
          <w:color w:val="05103E"/>
          <w:sz w:val="22"/>
          <w:szCs w:val="22"/>
          <w:shd w:val="clear" w:color="auto" w:fill="FFFFFF"/>
        </w:rPr>
      </w:pPr>
      <w:r w:rsidRPr="00100B72">
        <w:rPr>
          <w:rFonts w:asciiTheme="minorHAnsi" w:hAnsiTheme="minorHAnsi" w:cstheme="minorHAnsi"/>
          <w:color w:val="3A3A3A"/>
          <w:sz w:val="22"/>
          <w:szCs w:val="22"/>
          <w:shd w:val="clear" w:color="auto" w:fill="FFFFFF"/>
        </w:rPr>
        <w:t>Brookfield. (2017). </w:t>
      </w:r>
      <w:r w:rsidRPr="00100B72">
        <w:rPr>
          <w:rFonts w:asciiTheme="minorHAnsi" w:hAnsiTheme="minorHAnsi" w:cstheme="minorHAnsi"/>
          <w:i/>
          <w:iCs/>
          <w:color w:val="3A3A3A"/>
          <w:sz w:val="22"/>
          <w:szCs w:val="22"/>
          <w:shd w:val="clear" w:color="auto" w:fill="FFFFFF"/>
        </w:rPr>
        <w:t>Becoming a critically reflective teacher</w:t>
      </w:r>
      <w:r w:rsidRPr="00100B72">
        <w:rPr>
          <w:rFonts w:asciiTheme="minorHAnsi" w:hAnsiTheme="minorHAnsi" w:cstheme="minorHAnsi"/>
          <w:color w:val="3A3A3A"/>
          <w:sz w:val="22"/>
          <w:szCs w:val="22"/>
          <w:shd w:val="clear" w:color="auto" w:fill="FFFFFF"/>
        </w:rPr>
        <w:t> (Second edition.). Jossey-Bass.</w:t>
      </w:r>
    </w:p>
    <w:p w14:paraId="11C3A040" w14:textId="77777777" w:rsidR="00DB526E" w:rsidRPr="00100B72" w:rsidRDefault="00DB526E" w:rsidP="00FB3C7E">
      <w:pPr>
        <w:pStyle w:val="NormalWeb"/>
        <w:ind w:left="567" w:hanging="567"/>
        <w:rPr>
          <w:rFonts w:asciiTheme="minorHAnsi" w:hAnsiTheme="minorHAnsi" w:cstheme="minorHAnsi"/>
          <w:sz w:val="22"/>
          <w:szCs w:val="22"/>
        </w:rPr>
      </w:pPr>
      <w:r w:rsidRPr="00100B72">
        <w:rPr>
          <w:rFonts w:asciiTheme="minorHAnsi" w:hAnsiTheme="minorHAnsi" w:cstheme="minorHAnsi"/>
          <w:sz w:val="22"/>
          <w:szCs w:val="22"/>
        </w:rPr>
        <w:lastRenderedPageBreak/>
        <w:t xml:space="preserve">Cherry, K. (2022) </w:t>
      </w:r>
      <w:r w:rsidRPr="00100B72">
        <w:rPr>
          <w:rFonts w:asciiTheme="minorHAnsi" w:hAnsiTheme="minorHAnsi" w:cstheme="minorHAnsi"/>
          <w:i/>
          <w:iCs/>
          <w:sz w:val="22"/>
          <w:szCs w:val="22"/>
        </w:rPr>
        <w:t>Piaget's 4 stages of cognitive development explained</w:t>
      </w:r>
      <w:r w:rsidRPr="00100B72">
        <w:rPr>
          <w:rFonts w:asciiTheme="minorHAnsi" w:hAnsiTheme="minorHAnsi" w:cstheme="minorHAnsi"/>
          <w:sz w:val="22"/>
          <w:szCs w:val="22"/>
        </w:rPr>
        <w:t xml:space="preserve">, </w:t>
      </w:r>
      <w:proofErr w:type="spellStart"/>
      <w:r w:rsidRPr="00100B72">
        <w:rPr>
          <w:rFonts w:asciiTheme="minorHAnsi" w:hAnsiTheme="minorHAnsi" w:cstheme="minorHAnsi"/>
          <w:i/>
          <w:iCs/>
          <w:sz w:val="22"/>
          <w:szCs w:val="22"/>
        </w:rPr>
        <w:t>Verywell</w:t>
      </w:r>
      <w:proofErr w:type="spellEnd"/>
      <w:r w:rsidRPr="00100B72">
        <w:rPr>
          <w:rFonts w:asciiTheme="minorHAnsi" w:hAnsiTheme="minorHAnsi" w:cstheme="minorHAnsi"/>
          <w:i/>
          <w:iCs/>
          <w:sz w:val="22"/>
          <w:szCs w:val="22"/>
        </w:rPr>
        <w:t xml:space="preserve"> Mind</w:t>
      </w:r>
      <w:r w:rsidRPr="00100B72">
        <w:rPr>
          <w:rFonts w:asciiTheme="minorHAnsi" w:hAnsiTheme="minorHAnsi" w:cstheme="minorHAnsi"/>
          <w:sz w:val="22"/>
          <w:szCs w:val="22"/>
        </w:rPr>
        <w:t xml:space="preserve">. </w:t>
      </w:r>
      <w:proofErr w:type="spellStart"/>
      <w:r w:rsidRPr="00100B72">
        <w:rPr>
          <w:rFonts w:asciiTheme="minorHAnsi" w:hAnsiTheme="minorHAnsi" w:cstheme="minorHAnsi"/>
          <w:sz w:val="22"/>
          <w:szCs w:val="22"/>
        </w:rPr>
        <w:t>Verywell</w:t>
      </w:r>
      <w:proofErr w:type="spellEnd"/>
      <w:r w:rsidRPr="00100B72">
        <w:rPr>
          <w:rFonts w:asciiTheme="minorHAnsi" w:hAnsiTheme="minorHAnsi" w:cstheme="minorHAnsi"/>
          <w:sz w:val="22"/>
          <w:szCs w:val="22"/>
        </w:rPr>
        <w:t xml:space="preserve"> Mind. Available at: https://www.verywellmind.com/piagets-stages-of-cognitive-development-2795457 (Accessed: November 6, 2022). </w:t>
      </w:r>
    </w:p>
    <w:p w14:paraId="18E77D3C" w14:textId="77777777" w:rsidR="00DB526E" w:rsidRPr="00100B72" w:rsidRDefault="00DB526E" w:rsidP="00FB3C7E">
      <w:pPr>
        <w:pStyle w:val="NormalWeb"/>
        <w:ind w:left="567" w:hanging="567"/>
        <w:rPr>
          <w:rFonts w:asciiTheme="minorHAnsi" w:hAnsiTheme="minorHAnsi" w:cstheme="minorHAnsi"/>
          <w:sz w:val="22"/>
          <w:szCs w:val="22"/>
        </w:rPr>
      </w:pPr>
      <w:r w:rsidRPr="00100B72">
        <w:rPr>
          <w:rFonts w:asciiTheme="minorHAnsi" w:hAnsiTheme="minorHAnsi" w:cstheme="minorHAnsi"/>
          <w:sz w:val="22"/>
          <w:szCs w:val="22"/>
        </w:rPr>
        <w:t xml:space="preserve">Council for economic renewal and Welsh Government (2015) </w:t>
      </w:r>
      <w:r w:rsidRPr="00100B72">
        <w:rPr>
          <w:rFonts w:asciiTheme="minorHAnsi" w:hAnsiTheme="minorHAnsi" w:cstheme="minorHAnsi"/>
          <w:i/>
          <w:iCs/>
          <w:sz w:val="22"/>
          <w:szCs w:val="22"/>
        </w:rPr>
        <w:t>Council for Economic Renewal Skills, the recovery and growth</w:t>
      </w:r>
      <w:r w:rsidRPr="00100B72">
        <w:rPr>
          <w:rFonts w:asciiTheme="minorHAnsi" w:hAnsiTheme="minorHAnsi" w:cstheme="minorHAnsi"/>
          <w:sz w:val="22"/>
          <w:szCs w:val="22"/>
        </w:rPr>
        <w:t xml:space="preserve">. Cardiff, Wales: Welsh Government. Available at: </w:t>
      </w:r>
      <w:hyperlink r:id="rId10" w:history="1">
        <w:r w:rsidRPr="00100B72">
          <w:rPr>
            <w:rStyle w:val="Hyperlink"/>
            <w:rFonts w:asciiTheme="minorHAnsi" w:hAnsiTheme="minorHAnsi" w:cstheme="minorHAnsi"/>
            <w:sz w:val="22"/>
            <w:szCs w:val="22"/>
          </w:rPr>
          <w:t>https://gov.wales/sites/default/files/publications/2018-10/council-for-economic-renewal-february-15-skills-recovery-and-growth.pdf</w:t>
        </w:r>
      </w:hyperlink>
      <w:r w:rsidRPr="00100B72">
        <w:rPr>
          <w:rFonts w:asciiTheme="minorHAnsi" w:hAnsiTheme="minorHAnsi" w:cstheme="minorHAnsi"/>
          <w:sz w:val="22"/>
          <w:szCs w:val="22"/>
        </w:rPr>
        <w:t xml:space="preserve"> (Accessed: November 6, 2022).</w:t>
      </w:r>
    </w:p>
    <w:p w14:paraId="03BC334D" w14:textId="77777777" w:rsidR="00DB526E" w:rsidRPr="00100B72" w:rsidRDefault="00DB526E" w:rsidP="00FB3C7E">
      <w:pPr>
        <w:rPr>
          <w:rFonts w:asciiTheme="minorHAnsi" w:hAnsiTheme="minorHAnsi" w:cstheme="minorHAnsi"/>
          <w:color w:val="000000"/>
          <w:sz w:val="22"/>
          <w:szCs w:val="22"/>
        </w:rPr>
      </w:pPr>
      <w:r w:rsidRPr="00100B72">
        <w:rPr>
          <w:rFonts w:asciiTheme="minorHAnsi" w:hAnsiTheme="minorHAnsi" w:cstheme="minorHAnsi"/>
          <w:i/>
          <w:iCs/>
          <w:color w:val="05103E"/>
          <w:sz w:val="22"/>
          <w:szCs w:val="22"/>
          <w:bdr w:val="single" w:sz="2" w:space="0" w:color="ECEDEE" w:frame="1"/>
          <w:shd w:val="clear" w:color="auto" w:fill="FFFFFF"/>
        </w:rPr>
        <w:t>Creating a nurturing school through an inclusive approach to wellbeing | Estyn</w:t>
      </w:r>
      <w:r w:rsidRPr="00100B72">
        <w:rPr>
          <w:rFonts w:asciiTheme="minorHAnsi" w:hAnsiTheme="minorHAnsi" w:cstheme="minorHAnsi"/>
          <w:color w:val="05103E"/>
          <w:sz w:val="22"/>
          <w:szCs w:val="22"/>
          <w:shd w:val="clear" w:color="auto" w:fill="FFFFFF"/>
        </w:rPr>
        <w:t> (2018). Available at: </w:t>
      </w:r>
      <w:hyperlink r:id="rId11" w:history="1">
        <w:r w:rsidRPr="00100B72">
          <w:rPr>
            <w:rStyle w:val="Hyperlink"/>
            <w:rFonts w:asciiTheme="minorHAnsi" w:hAnsiTheme="minorHAnsi" w:cstheme="minorHAnsi"/>
            <w:sz w:val="22"/>
            <w:szCs w:val="22"/>
            <w:bdr w:val="single" w:sz="2" w:space="0" w:color="ECEDEE" w:frame="1"/>
            <w:shd w:val="clear" w:color="auto" w:fill="FFFFFF"/>
          </w:rPr>
          <w:t>https://www.estyn.gov.wales/effective-practice/creating-nurturing-school-through-inclusive-approach-wellbeing</w:t>
        </w:r>
      </w:hyperlink>
      <w:r w:rsidRPr="00100B72">
        <w:rPr>
          <w:rFonts w:asciiTheme="minorHAnsi" w:hAnsiTheme="minorHAnsi" w:cstheme="minorHAnsi"/>
          <w:color w:val="05103E"/>
          <w:sz w:val="22"/>
          <w:szCs w:val="22"/>
          <w:shd w:val="clear" w:color="auto" w:fill="FFFFFF"/>
        </w:rPr>
        <w:t xml:space="preserve">. </w:t>
      </w:r>
      <w:r w:rsidRPr="00100B72">
        <w:rPr>
          <w:rFonts w:asciiTheme="minorHAnsi" w:hAnsiTheme="minorHAnsi" w:cstheme="minorHAnsi"/>
          <w:color w:val="000000"/>
          <w:sz w:val="22"/>
          <w:szCs w:val="22"/>
        </w:rPr>
        <w:t>(Accessed: November 10, 2022). </w:t>
      </w:r>
    </w:p>
    <w:p w14:paraId="6608D5E8" w14:textId="77777777" w:rsidR="00DB526E" w:rsidRPr="00100B72" w:rsidRDefault="00DB526E" w:rsidP="00FB3C7E">
      <w:pPr>
        <w:spacing w:before="100" w:beforeAutospacing="1" w:after="100" w:afterAutospacing="1"/>
        <w:ind w:left="567" w:hanging="567"/>
        <w:rPr>
          <w:rFonts w:asciiTheme="minorHAnsi" w:hAnsiTheme="minorHAnsi" w:cstheme="minorHAnsi"/>
          <w:sz w:val="22"/>
          <w:szCs w:val="22"/>
        </w:rPr>
      </w:pPr>
      <w:r w:rsidRPr="00100B72">
        <w:rPr>
          <w:rFonts w:asciiTheme="minorHAnsi" w:hAnsiTheme="minorHAnsi" w:cstheme="minorHAnsi"/>
          <w:sz w:val="22"/>
          <w:szCs w:val="22"/>
        </w:rPr>
        <w:t xml:space="preserve">Emerson, L. </w:t>
      </w:r>
      <w:r w:rsidRPr="00100B72">
        <w:rPr>
          <w:rFonts w:asciiTheme="minorHAnsi" w:hAnsiTheme="minorHAnsi" w:cstheme="minorHAnsi"/>
          <w:i/>
          <w:iCs/>
          <w:sz w:val="22"/>
          <w:szCs w:val="22"/>
        </w:rPr>
        <w:t>et al.</w:t>
      </w:r>
      <w:r w:rsidRPr="00100B72">
        <w:rPr>
          <w:rFonts w:asciiTheme="minorHAnsi" w:hAnsiTheme="minorHAnsi" w:cstheme="minorHAnsi"/>
          <w:sz w:val="22"/>
          <w:szCs w:val="22"/>
        </w:rPr>
        <w:t xml:space="preserve"> (2012) </w:t>
      </w:r>
      <w:r w:rsidRPr="00100B72">
        <w:rPr>
          <w:rFonts w:asciiTheme="minorHAnsi" w:hAnsiTheme="minorHAnsi" w:cstheme="minorHAnsi"/>
          <w:i/>
          <w:iCs/>
          <w:sz w:val="22"/>
          <w:szCs w:val="22"/>
        </w:rPr>
        <w:t>Children &amp; Youth for the Family-School and Community Partnerships Bureau.</w:t>
      </w:r>
      <w:r w:rsidRPr="00100B72">
        <w:rPr>
          <w:rFonts w:asciiTheme="minorHAnsi" w:hAnsiTheme="minorHAnsi" w:cstheme="minorHAnsi"/>
          <w:sz w:val="22"/>
          <w:szCs w:val="22"/>
        </w:rPr>
        <w:t xml:space="preserve"> publication. ommunityhubs.org.au/wp-content/uploads/2017/10/Parental_engagement_in_learning_and_schooling_Lessons_from_research_BUREAU_ARACY_August_2012.pdf. </w:t>
      </w:r>
    </w:p>
    <w:p w14:paraId="7C030350" w14:textId="77777777" w:rsidR="00DB526E" w:rsidRPr="00100B72" w:rsidRDefault="00DB526E" w:rsidP="00FB3C7E">
      <w:pPr>
        <w:spacing w:before="100" w:beforeAutospacing="1" w:after="100" w:afterAutospacing="1"/>
        <w:ind w:left="567" w:hanging="567"/>
        <w:rPr>
          <w:rFonts w:asciiTheme="minorHAnsi" w:hAnsiTheme="minorHAnsi" w:cstheme="minorHAnsi"/>
          <w:sz w:val="22"/>
          <w:szCs w:val="22"/>
        </w:rPr>
      </w:pPr>
      <w:proofErr w:type="spellStart"/>
      <w:r w:rsidRPr="00100B72">
        <w:rPr>
          <w:rFonts w:asciiTheme="minorHAnsi" w:hAnsiTheme="minorHAnsi" w:cstheme="minorHAnsi"/>
          <w:sz w:val="22"/>
          <w:szCs w:val="22"/>
        </w:rPr>
        <w:t>Eraut</w:t>
      </w:r>
      <w:proofErr w:type="spellEnd"/>
      <w:r w:rsidRPr="00100B72">
        <w:rPr>
          <w:rFonts w:asciiTheme="minorHAnsi" w:hAnsiTheme="minorHAnsi" w:cstheme="minorHAnsi"/>
          <w:sz w:val="22"/>
          <w:szCs w:val="22"/>
        </w:rPr>
        <w:t>, M. (1995) “Schon shock: A case for refraining reflection‐in‐</w:t>
      </w:r>
      <w:proofErr w:type="gramStart"/>
      <w:r w:rsidRPr="00100B72">
        <w:rPr>
          <w:rFonts w:asciiTheme="minorHAnsi" w:hAnsiTheme="minorHAnsi" w:cstheme="minorHAnsi"/>
          <w:sz w:val="22"/>
          <w:szCs w:val="22"/>
        </w:rPr>
        <w:t>action?,</w:t>
      </w:r>
      <w:proofErr w:type="gramEnd"/>
      <w:r w:rsidRPr="00100B72">
        <w:rPr>
          <w:rFonts w:asciiTheme="minorHAnsi" w:hAnsiTheme="minorHAnsi" w:cstheme="minorHAnsi"/>
          <w:sz w:val="22"/>
          <w:szCs w:val="22"/>
        </w:rPr>
        <w:t xml:space="preserve">” </w:t>
      </w:r>
      <w:r w:rsidRPr="00100B72">
        <w:rPr>
          <w:rFonts w:asciiTheme="minorHAnsi" w:hAnsiTheme="minorHAnsi" w:cstheme="minorHAnsi"/>
          <w:i/>
          <w:iCs/>
          <w:sz w:val="22"/>
          <w:szCs w:val="22"/>
        </w:rPr>
        <w:t>Teachers and Teaching</w:t>
      </w:r>
      <w:r w:rsidRPr="00100B72">
        <w:rPr>
          <w:rFonts w:asciiTheme="minorHAnsi" w:hAnsiTheme="minorHAnsi" w:cstheme="minorHAnsi"/>
          <w:sz w:val="22"/>
          <w:szCs w:val="22"/>
        </w:rPr>
        <w:t xml:space="preserve">, 1(1), pp. 9–22. Available at: </w:t>
      </w:r>
      <w:hyperlink r:id="rId12" w:history="1">
        <w:r w:rsidRPr="00100B72">
          <w:rPr>
            <w:rStyle w:val="Hyperlink"/>
            <w:rFonts w:asciiTheme="minorHAnsi" w:hAnsiTheme="minorHAnsi" w:cstheme="minorHAnsi"/>
            <w:sz w:val="22"/>
            <w:szCs w:val="22"/>
          </w:rPr>
          <w:t>https://doi.org/10.1080/1354060950010102</w:t>
        </w:r>
      </w:hyperlink>
      <w:r w:rsidRPr="00100B72">
        <w:rPr>
          <w:rFonts w:asciiTheme="minorHAnsi" w:hAnsiTheme="minorHAnsi" w:cstheme="minorHAnsi"/>
          <w:sz w:val="22"/>
          <w:szCs w:val="22"/>
        </w:rPr>
        <w:t xml:space="preserve"> .</w:t>
      </w:r>
    </w:p>
    <w:p w14:paraId="1AA312B2" w14:textId="77777777" w:rsidR="00DB526E" w:rsidRPr="00100B72" w:rsidRDefault="00DB526E" w:rsidP="00FB3C7E">
      <w:pPr>
        <w:pStyle w:val="NormalWeb"/>
        <w:ind w:left="567" w:hanging="567"/>
        <w:rPr>
          <w:rFonts w:asciiTheme="minorHAnsi" w:hAnsiTheme="minorHAnsi" w:cstheme="minorHAnsi"/>
          <w:sz w:val="22"/>
          <w:szCs w:val="22"/>
        </w:rPr>
      </w:pPr>
      <w:r w:rsidRPr="00100B72">
        <w:rPr>
          <w:rFonts w:asciiTheme="minorHAnsi" w:hAnsiTheme="minorHAnsi" w:cstheme="minorHAnsi"/>
          <w:i/>
          <w:iCs/>
          <w:sz w:val="22"/>
          <w:szCs w:val="22"/>
        </w:rPr>
        <w:t>Ethical guidelines for educational research, Fourth edition (2018)</w:t>
      </w:r>
      <w:r w:rsidRPr="00100B72">
        <w:rPr>
          <w:rFonts w:asciiTheme="minorHAnsi" w:hAnsiTheme="minorHAnsi" w:cstheme="minorHAnsi"/>
          <w:sz w:val="22"/>
          <w:szCs w:val="22"/>
        </w:rPr>
        <w:t xml:space="preserve"> </w:t>
      </w:r>
      <w:r w:rsidRPr="00100B72">
        <w:rPr>
          <w:rFonts w:asciiTheme="minorHAnsi" w:hAnsiTheme="minorHAnsi" w:cstheme="minorHAnsi"/>
          <w:i/>
          <w:iCs/>
          <w:sz w:val="22"/>
          <w:szCs w:val="22"/>
        </w:rPr>
        <w:t>BERA</w:t>
      </w:r>
      <w:r w:rsidRPr="00100B72">
        <w:rPr>
          <w:rFonts w:asciiTheme="minorHAnsi" w:hAnsiTheme="minorHAnsi" w:cstheme="minorHAnsi"/>
          <w:sz w:val="22"/>
          <w:szCs w:val="22"/>
        </w:rPr>
        <w:t xml:space="preserve">. Available at: https://www.bera.ac.uk/publication/ethical-guidelines-for-educational-research-2018-online (Accessed: November 6, 2022). </w:t>
      </w:r>
    </w:p>
    <w:p w14:paraId="7D10E93D" w14:textId="77777777" w:rsidR="00DB526E" w:rsidRPr="00100B72" w:rsidRDefault="00DB526E" w:rsidP="00FB3C7E">
      <w:pPr>
        <w:spacing w:before="100" w:beforeAutospacing="1" w:after="100" w:afterAutospacing="1"/>
        <w:ind w:left="567" w:hanging="567"/>
        <w:rPr>
          <w:rFonts w:asciiTheme="minorHAnsi" w:hAnsiTheme="minorHAnsi" w:cstheme="minorHAnsi"/>
          <w:color w:val="000000"/>
          <w:sz w:val="22"/>
          <w:szCs w:val="22"/>
        </w:rPr>
      </w:pPr>
      <w:r w:rsidRPr="00100B72">
        <w:rPr>
          <w:rFonts w:asciiTheme="minorHAnsi" w:hAnsiTheme="minorHAnsi" w:cstheme="minorHAnsi"/>
          <w:i/>
          <w:iCs/>
          <w:color w:val="000000"/>
          <w:sz w:val="22"/>
          <w:szCs w:val="22"/>
        </w:rPr>
        <w:t>Ethical guidelines for educational research, Fourth edition (2018)</w:t>
      </w:r>
      <w:r w:rsidRPr="00100B72">
        <w:rPr>
          <w:rFonts w:asciiTheme="minorHAnsi" w:hAnsiTheme="minorHAnsi" w:cstheme="minorHAnsi"/>
          <w:color w:val="000000"/>
          <w:sz w:val="22"/>
          <w:szCs w:val="22"/>
        </w:rPr>
        <w:t> (2018) </w:t>
      </w:r>
      <w:r w:rsidRPr="00100B72">
        <w:rPr>
          <w:rFonts w:asciiTheme="minorHAnsi" w:hAnsiTheme="minorHAnsi" w:cstheme="minorHAnsi"/>
          <w:i/>
          <w:iCs/>
          <w:color w:val="000000"/>
          <w:sz w:val="22"/>
          <w:szCs w:val="22"/>
        </w:rPr>
        <w:t>BERA</w:t>
      </w:r>
      <w:r w:rsidRPr="00100B72">
        <w:rPr>
          <w:rFonts w:asciiTheme="minorHAnsi" w:hAnsiTheme="minorHAnsi" w:cstheme="minorHAnsi"/>
          <w:color w:val="000000"/>
          <w:sz w:val="22"/>
          <w:szCs w:val="22"/>
        </w:rPr>
        <w:t>. Available at: https://www.bera.ac.uk/publication/ethical-guidelines-for-educational-research-2018 (Accessed: November 10, 2022). </w:t>
      </w:r>
    </w:p>
    <w:p w14:paraId="0CD0BA4E" w14:textId="77777777" w:rsidR="00DB526E" w:rsidRPr="00100B72" w:rsidRDefault="00DB526E" w:rsidP="00FB3C7E">
      <w:pPr>
        <w:spacing w:before="100" w:beforeAutospacing="1" w:after="100" w:afterAutospacing="1"/>
        <w:ind w:left="567" w:hanging="567"/>
        <w:rPr>
          <w:rFonts w:asciiTheme="minorHAnsi" w:hAnsiTheme="minorHAnsi" w:cstheme="minorHAnsi"/>
          <w:sz w:val="22"/>
          <w:szCs w:val="22"/>
        </w:rPr>
      </w:pPr>
      <w:r w:rsidRPr="00100B72">
        <w:rPr>
          <w:rFonts w:asciiTheme="minorHAnsi" w:hAnsiTheme="minorHAnsi" w:cstheme="minorHAnsi"/>
          <w:sz w:val="22"/>
          <w:szCs w:val="22"/>
        </w:rPr>
        <w:t xml:space="preserve">Glamorgan, </w:t>
      </w:r>
      <w:proofErr w:type="spellStart"/>
      <w:proofErr w:type="gramStart"/>
      <w:r w:rsidRPr="00100B72">
        <w:rPr>
          <w:rFonts w:asciiTheme="minorHAnsi" w:hAnsiTheme="minorHAnsi" w:cstheme="minorHAnsi"/>
          <w:sz w:val="22"/>
          <w:szCs w:val="22"/>
        </w:rPr>
        <w:t>V.of</w:t>
      </w:r>
      <w:proofErr w:type="spellEnd"/>
      <w:proofErr w:type="gramEnd"/>
      <w:r w:rsidRPr="00100B72">
        <w:rPr>
          <w:rFonts w:asciiTheme="minorHAnsi" w:hAnsiTheme="minorHAnsi" w:cstheme="minorHAnsi"/>
          <w:sz w:val="22"/>
          <w:szCs w:val="22"/>
        </w:rPr>
        <w:t xml:space="preserve"> (2021) </w:t>
      </w:r>
      <w:r w:rsidRPr="00100B72">
        <w:rPr>
          <w:rFonts w:asciiTheme="minorHAnsi" w:hAnsiTheme="minorHAnsi" w:cstheme="minorHAnsi"/>
          <w:i/>
          <w:iCs/>
          <w:sz w:val="22"/>
          <w:szCs w:val="22"/>
        </w:rPr>
        <w:t>Vale of Glamorgan Annual Report (Improvement Plan Part II) 2020/21</w:t>
      </w:r>
      <w:r w:rsidRPr="00100B72">
        <w:rPr>
          <w:rFonts w:asciiTheme="minorHAnsi" w:hAnsiTheme="minorHAnsi" w:cstheme="minorHAnsi"/>
          <w:sz w:val="22"/>
          <w:szCs w:val="22"/>
        </w:rPr>
        <w:t>. rep. (accessed: November 8, 2022)</w:t>
      </w:r>
    </w:p>
    <w:p w14:paraId="3E88009A" w14:textId="77777777" w:rsidR="00DB526E" w:rsidRPr="00100B72" w:rsidRDefault="00DB526E" w:rsidP="00645268">
      <w:pPr>
        <w:spacing w:before="100" w:beforeAutospacing="1" w:after="100" w:afterAutospacing="1"/>
        <w:ind w:left="567" w:hanging="567"/>
        <w:rPr>
          <w:rFonts w:asciiTheme="minorHAnsi" w:hAnsiTheme="minorHAnsi" w:cstheme="minorHAnsi"/>
          <w:color w:val="000000"/>
          <w:sz w:val="22"/>
          <w:szCs w:val="22"/>
          <w:shd w:val="clear" w:color="auto" w:fill="FFFFFF"/>
        </w:rPr>
      </w:pPr>
      <w:r w:rsidRPr="00100B72">
        <w:rPr>
          <w:rFonts w:asciiTheme="minorHAnsi" w:hAnsiTheme="minorHAnsi" w:cstheme="minorHAnsi"/>
          <w:color w:val="000000"/>
          <w:sz w:val="22"/>
          <w:szCs w:val="22"/>
          <w:shd w:val="clear" w:color="auto" w:fill="FFFFFF"/>
        </w:rPr>
        <w:t xml:space="preserve">Greenhalgh, P. (1994). Emotional Growth and Learning (1st ed.). Routledge. </w:t>
      </w:r>
      <w:hyperlink r:id="rId13" w:history="1">
        <w:r w:rsidRPr="00100B72">
          <w:rPr>
            <w:rStyle w:val="Hyperlink"/>
            <w:rFonts w:asciiTheme="minorHAnsi" w:hAnsiTheme="minorHAnsi" w:cstheme="minorHAnsi"/>
            <w:sz w:val="22"/>
            <w:szCs w:val="22"/>
            <w:shd w:val="clear" w:color="auto" w:fill="FFFFFF"/>
          </w:rPr>
          <w:t>https://doi.org/10.4324/9780203424681</w:t>
        </w:r>
      </w:hyperlink>
      <w:r w:rsidRPr="00100B72">
        <w:rPr>
          <w:rFonts w:asciiTheme="minorHAnsi" w:hAnsiTheme="minorHAnsi" w:cstheme="minorHAnsi"/>
          <w:color w:val="000000"/>
          <w:sz w:val="22"/>
          <w:szCs w:val="22"/>
          <w:shd w:val="clear" w:color="auto" w:fill="FFFFFF"/>
        </w:rPr>
        <w:t xml:space="preserve"> </w:t>
      </w:r>
      <w:r w:rsidRPr="00100B72">
        <w:rPr>
          <w:rFonts w:asciiTheme="minorHAnsi" w:hAnsiTheme="minorHAnsi" w:cstheme="minorHAnsi"/>
          <w:color w:val="000000"/>
          <w:sz w:val="22"/>
          <w:szCs w:val="22"/>
        </w:rPr>
        <w:t>(Accessed: November 10, 2022). </w:t>
      </w:r>
    </w:p>
    <w:p w14:paraId="028BEB9E" w14:textId="77777777" w:rsidR="00DB526E" w:rsidRPr="00100B72" w:rsidRDefault="00DB526E" w:rsidP="00FB3C7E">
      <w:pPr>
        <w:pStyle w:val="NormalWeb"/>
        <w:ind w:left="567" w:hanging="567"/>
        <w:rPr>
          <w:rFonts w:asciiTheme="minorHAnsi" w:hAnsiTheme="minorHAnsi" w:cstheme="minorHAnsi"/>
          <w:sz w:val="22"/>
          <w:szCs w:val="22"/>
          <w:shd w:val="clear" w:color="auto" w:fill="FFFFFF"/>
        </w:rPr>
      </w:pPr>
      <w:r w:rsidRPr="00100B72">
        <w:rPr>
          <w:rFonts w:asciiTheme="minorHAnsi" w:hAnsiTheme="minorHAnsi" w:cstheme="minorHAnsi"/>
          <w:color w:val="000000"/>
          <w:sz w:val="22"/>
          <w:szCs w:val="22"/>
          <w:shd w:val="clear" w:color="auto" w:fill="FFFFFF"/>
        </w:rPr>
        <w:t>Guy-Evans, O. (2020, Nov 09). </w:t>
      </w:r>
      <w:r w:rsidRPr="00100B72">
        <w:rPr>
          <w:rStyle w:val="Emphasis"/>
          <w:rFonts w:asciiTheme="minorHAnsi" w:hAnsiTheme="minorHAnsi" w:cstheme="minorHAnsi"/>
          <w:color w:val="000000"/>
          <w:sz w:val="22"/>
          <w:szCs w:val="22"/>
          <w:shd w:val="clear" w:color="auto" w:fill="FFFFFF"/>
        </w:rPr>
        <w:t>Bronfenbrenner's ecological systems theory</w:t>
      </w:r>
      <w:r w:rsidRPr="00100B72">
        <w:rPr>
          <w:rFonts w:asciiTheme="minorHAnsi" w:hAnsiTheme="minorHAnsi" w:cstheme="minorHAnsi"/>
          <w:color w:val="000000"/>
          <w:sz w:val="22"/>
          <w:szCs w:val="22"/>
          <w:shd w:val="clear" w:color="auto" w:fill="FFFFFF"/>
        </w:rPr>
        <w:t xml:space="preserve">. Simply Psychology. </w:t>
      </w:r>
      <w:hyperlink r:id="rId14" w:history="1">
        <w:r w:rsidRPr="00100B72">
          <w:rPr>
            <w:rStyle w:val="Hyperlink"/>
            <w:rFonts w:asciiTheme="minorHAnsi" w:hAnsiTheme="minorHAnsi" w:cstheme="minorHAnsi"/>
            <w:sz w:val="22"/>
            <w:szCs w:val="22"/>
          </w:rPr>
          <w:t>www.simplypsychology.org/Bronfenbrenner.html</w:t>
        </w:r>
      </w:hyperlink>
      <w:r w:rsidRPr="00100B72">
        <w:rPr>
          <w:rFonts w:asciiTheme="minorHAnsi" w:hAnsiTheme="minorHAnsi" w:cstheme="minorHAnsi"/>
          <w:color w:val="000000"/>
          <w:sz w:val="22"/>
          <w:szCs w:val="22"/>
          <w:shd w:val="clear" w:color="auto" w:fill="FFFFFF"/>
        </w:rPr>
        <w:t xml:space="preserve"> Accessed:(9 </w:t>
      </w:r>
      <w:proofErr w:type="spellStart"/>
      <w:r w:rsidRPr="00100B72">
        <w:rPr>
          <w:rFonts w:asciiTheme="minorHAnsi" w:hAnsiTheme="minorHAnsi" w:cstheme="minorHAnsi"/>
          <w:color w:val="000000"/>
          <w:sz w:val="22"/>
          <w:szCs w:val="22"/>
          <w:shd w:val="clear" w:color="auto" w:fill="FFFFFF"/>
        </w:rPr>
        <w:t>Novemeber</w:t>
      </w:r>
      <w:proofErr w:type="spellEnd"/>
      <w:r w:rsidRPr="00100B72">
        <w:rPr>
          <w:rFonts w:asciiTheme="minorHAnsi" w:hAnsiTheme="minorHAnsi" w:cstheme="minorHAnsi"/>
          <w:color w:val="000000"/>
          <w:sz w:val="22"/>
          <w:szCs w:val="22"/>
          <w:shd w:val="clear" w:color="auto" w:fill="FFFFFF"/>
        </w:rPr>
        <w:t xml:space="preserve"> 2022)</w:t>
      </w:r>
    </w:p>
    <w:p w14:paraId="4CDAAD71" w14:textId="77777777" w:rsidR="00DB526E" w:rsidRPr="00100B72" w:rsidRDefault="00DB526E" w:rsidP="00FB3C7E">
      <w:pPr>
        <w:pStyle w:val="NormalWeb"/>
        <w:ind w:left="567" w:hanging="567"/>
        <w:rPr>
          <w:rFonts w:asciiTheme="minorHAnsi" w:hAnsiTheme="minorHAnsi" w:cstheme="minorHAnsi"/>
          <w:sz w:val="22"/>
          <w:szCs w:val="22"/>
        </w:rPr>
      </w:pPr>
      <w:r w:rsidRPr="00100B72">
        <w:rPr>
          <w:rFonts w:asciiTheme="minorHAnsi" w:hAnsiTheme="minorHAnsi" w:cstheme="minorHAnsi"/>
          <w:sz w:val="22"/>
          <w:szCs w:val="22"/>
        </w:rPr>
        <w:t xml:space="preserve">Herrington, J., Reeves, T.C. and Oliver, R. (1970) </w:t>
      </w:r>
      <w:r w:rsidRPr="00100B72">
        <w:rPr>
          <w:rFonts w:asciiTheme="minorHAnsi" w:hAnsiTheme="minorHAnsi" w:cstheme="minorHAnsi"/>
          <w:i/>
          <w:iCs/>
          <w:sz w:val="22"/>
          <w:szCs w:val="22"/>
        </w:rPr>
        <w:t>Authentic learning environments</w:t>
      </w:r>
      <w:r w:rsidRPr="00100B72">
        <w:rPr>
          <w:rFonts w:asciiTheme="minorHAnsi" w:hAnsiTheme="minorHAnsi" w:cstheme="minorHAnsi"/>
          <w:sz w:val="22"/>
          <w:szCs w:val="22"/>
        </w:rPr>
        <w:t xml:space="preserve">, </w:t>
      </w:r>
      <w:r w:rsidRPr="00100B72">
        <w:rPr>
          <w:rFonts w:asciiTheme="minorHAnsi" w:hAnsiTheme="minorHAnsi" w:cstheme="minorHAnsi"/>
          <w:i/>
          <w:iCs/>
          <w:sz w:val="22"/>
          <w:szCs w:val="22"/>
        </w:rPr>
        <w:t>SpringerLink</w:t>
      </w:r>
      <w:r w:rsidRPr="00100B72">
        <w:rPr>
          <w:rFonts w:asciiTheme="minorHAnsi" w:hAnsiTheme="minorHAnsi" w:cstheme="minorHAnsi"/>
          <w:sz w:val="22"/>
          <w:szCs w:val="22"/>
        </w:rPr>
        <w:t xml:space="preserve">. Springer New York. Available at: https://link.springer.com/chapter/10.1007/978-1-4614-3185-5_32 (Accessed: November 6, 2022). </w:t>
      </w:r>
    </w:p>
    <w:p w14:paraId="7C3CA5DC" w14:textId="77777777" w:rsidR="00DB526E" w:rsidRPr="00100B72" w:rsidRDefault="00DB526E" w:rsidP="00FB3C7E">
      <w:pPr>
        <w:spacing w:before="100" w:beforeAutospacing="1" w:after="100" w:afterAutospacing="1"/>
        <w:ind w:left="567" w:hanging="567"/>
        <w:rPr>
          <w:rFonts w:asciiTheme="minorHAnsi" w:hAnsiTheme="minorHAnsi" w:cstheme="minorHAnsi"/>
          <w:color w:val="000000"/>
          <w:sz w:val="22"/>
          <w:szCs w:val="22"/>
        </w:rPr>
      </w:pPr>
      <w:r w:rsidRPr="00100B72">
        <w:rPr>
          <w:rFonts w:asciiTheme="minorHAnsi" w:hAnsiTheme="minorHAnsi" w:cstheme="minorHAnsi"/>
          <w:i/>
          <w:iCs/>
          <w:color w:val="000000"/>
          <w:sz w:val="22"/>
          <w:szCs w:val="22"/>
        </w:rPr>
        <w:t>Implementation and practical considerations</w:t>
      </w:r>
      <w:r w:rsidRPr="00100B72">
        <w:rPr>
          <w:rFonts w:asciiTheme="minorHAnsi" w:hAnsiTheme="minorHAnsi" w:cstheme="minorHAnsi"/>
          <w:color w:val="000000"/>
          <w:sz w:val="22"/>
          <w:szCs w:val="22"/>
        </w:rPr>
        <w:t> (2020) </w:t>
      </w:r>
      <w:r w:rsidRPr="00100B72">
        <w:rPr>
          <w:rFonts w:asciiTheme="minorHAnsi" w:hAnsiTheme="minorHAnsi" w:cstheme="minorHAnsi"/>
          <w:i/>
          <w:iCs/>
          <w:color w:val="000000"/>
          <w:sz w:val="22"/>
          <w:szCs w:val="22"/>
        </w:rPr>
        <w:t>Hwb</w:t>
      </w:r>
      <w:r w:rsidRPr="00100B72">
        <w:rPr>
          <w:rFonts w:asciiTheme="minorHAnsi" w:hAnsiTheme="minorHAnsi" w:cstheme="minorHAnsi"/>
          <w:color w:val="000000"/>
          <w:sz w:val="22"/>
          <w:szCs w:val="22"/>
        </w:rPr>
        <w:t>. Available at: https://hwb.gov.wales/curriculum-for-wales/designing-your-curriculum/implementation-and-practical-considerations (Accessed: November 9, 2022). </w:t>
      </w:r>
    </w:p>
    <w:p w14:paraId="3DB3E9A6" w14:textId="77777777" w:rsidR="00DB526E" w:rsidRPr="00100B72" w:rsidRDefault="00DB526E" w:rsidP="00FB3C7E">
      <w:pPr>
        <w:pStyle w:val="NormalWeb"/>
        <w:ind w:left="567" w:hanging="567"/>
        <w:rPr>
          <w:rFonts w:asciiTheme="minorHAnsi" w:hAnsiTheme="minorHAnsi" w:cstheme="minorHAnsi"/>
          <w:sz w:val="22"/>
          <w:szCs w:val="22"/>
        </w:rPr>
      </w:pPr>
      <w:r w:rsidRPr="00100B72">
        <w:rPr>
          <w:rFonts w:asciiTheme="minorHAnsi" w:hAnsiTheme="minorHAnsi" w:cstheme="minorHAnsi"/>
          <w:sz w:val="22"/>
          <w:szCs w:val="22"/>
        </w:rPr>
        <w:t xml:space="preserve">Kolb, D. (1984) </w:t>
      </w:r>
      <w:r w:rsidRPr="00100B72">
        <w:rPr>
          <w:rFonts w:asciiTheme="minorHAnsi" w:hAnsiTheme="minorHAnsi" w:cstheme="minorHAnsi"/>
          <w:i/>
          <w:iCs/>
          <w:sz w:val="22"/>
          <w:szCs w:val="22"/>
        </w:rPr>
        <w:t>Experiential Learning.</w:t>
      </w:r>
      <w:r w:rsidRPr="00100B72">
        <w:rPr>
          <w:rFonts w:asciiTheme="minorHAnsi" w:hAnsiTheme="minorHAnsi" w:cstheme="minorHAnsi"/>
          <w:sz w:val="22"/>
          <w:szCs w:val="22"/>
        </w:rPr>
        <w:t xml:space="preserve"> New Jersey: Prentice Hall</w:t>
      </w:r>
    </w:p>
    <w:p w14:paraId="3A17618B" w14:textId="77777777" w:rsidR="00DB526E" w:rsidRPr="00100B72" w:rsidRDefault="00DB526E" w:rsidP="00FB3C7E">
      <w:pPr>
        <w:spacing w:before="100" w:beforeAutospacing="1" w:after="100" w:afterAutospacing="1"/>
        <w:ind w:left="567" w:hanging="567"/>
        <w:rPr>
          <w:rFonts w:asciiTheme="minorHAnsi" w:hAnsiTheme="minorHAnsi" w:cstheme="minorHAnsi"/>
          <w:sz w:val="22"/>
          <w:szCs w:val="22"/>
        </w:rPr>
      </w:pPr>
      <w:r w:rsidRPr="00100B72">
        <w:rPr>
          <w:rFonts w:asciiTheme="minorHAnsi" w:hAnsiTheme="minorHAnsi" w:cstheme="minorHAnsi"/>
          <w:sz w:val="22"/>
          <w:szCs w:val="22"/>
        </w:rPr>
        <w:t xml:space="preserve">Maslow, A.H. (2015) </w:t>
      </w:r>
      <w:r w:rsidRPr="00100B72">
        <w:rPr>
          <w:rFonts w:asciiTheme="minorHAnsi" w:hAnsiTheme="minorHAnsi" w:cstheme="minorHAnsi"/>
          <w:i/>
          <w:iCs/>
          <w:sz w:val="22"/>
          <w:szCs w:val="22"/>
        </w:rPr>
        <w:t>A theory of human motivation</w:t>
      </w:r>
      <w:r w:rsidRPr="00100B72">
        <w:rPr>
          <w:rFonts w:asciiTheme="minorHAnsi" w:hAnsiTheme="minorHAnsi" w:cstheme="minorHAnsi"/>
          <w:sz w:val="22"/>
          <w:szCs w:val="22"/>
        </w:rPr>
        <w:t xml:space="preserve">. United Kingdom: BN publishing. </w:t>
      </w:r>
    </w:p>
    <w:p w14:paraId="2E05DBFA" w14:textId="77777777" w:rsidR="00DB526E" w:rsidRPr="00100B72" w:rsidRDefault="00DB526E" w:rsidP="00FB3C7E">
      <w:pPr>
        <w:spacing w:before="100" w:beforeAutospacing="1" w:after="100" w:afterAutospacing="1"/>
        <w:ind w:left="567" w:hanging="567"/>
        <w:rPr>
          <w:rFonts w:asciiTheme="minorHAnsi" w:hAnsiTheme="minorHAnsi" w:cstheme="minorHAnsi"/>
          <w:color w:val="000000"/>
          <w:sz w:val="22"/>
          <w:szCs w:val="22"/>
        </w:rPr>
      </w:pPr>
      <w:proofErr w:type="spellStart"/>
      <w:r w:rsidRPr="00100B72">
        <w:rPr>
          <w:rFonts w:asciiTheme="minorHAnsi" w:hAnsiTheme="minorHAnsi" w:cstheme="minorHAnsi"/>
          <w:color w:val="000000"/>
          <w:sz w:val="22"/>
          <w:szCs w:val="22"/>
        </w:rPr>
        <w:t>O'Donohue</w:t>
      </w:r>
      <w:proofErr w:type="spellEnd"/>
      <w:r w:rsidRPr="00100B72">
        <w:rPr>
          <w:rFonts w:asciiTheme="minorHAnsi" w:hAnsiTheme="minorHAnsi" w:cstheme="minorHAnsi"/>
          <w:color w:val="000000"/>
          <w:sz w:val="22"/>
          <w:szCs w:val="22"/>
        </w:rPr>
        <w:t>, W.T. and Ferguson, K.E. (2001) </w:t>
      </w:r>
      <w:r w:rsidRPr="00100B72">
        <w:rPr>
          <w:rFonts w:asciiTheme="minorHAnsi" w:hAnsiTheme="minorHAnsi" w:cstheme="minorHAnsi"/>
          <w:i/>
          <w:iCs/>
          <w:color w:val="000000"/>
          <w:sz w:val="22"/>
          <w:szCs w:val="22"/>
        </w:rPr>
        <w:t>The psychology of B.F. skinner</w:t>
      </w:r>
      <w:r w:rsidRPr="00100B72">
        <w:rPr>
          <w:rFonts w:asciiTheme="minorHAnsi" w:hAnsiTheme="minorHAnsi" w:cstheme="minorHAnsi"/>
          <w:color w:val="000000"/>
          <w:sz w:val="22"/>
          <w:szCs w:val="22"/>
        </w:rPr>
        <w:t xml:space="preserve">. </w:t>
      </w:r>
      <w:proofErr w:type="spellStart"/>
      <w:proofErr w:type="gramStart"/>
      <w:r w:rsidRPr="00100B72">
        <w:rPr>
          <w:rFonts w:asciiTheme="minorHAnsi" w:hAnsiTheme="minorHAnsi" w:cstheme="minorHAnsi"/>
          <w:color w:val="000000"/>
          <w:sz w:val="22"/>
          <w:szCs w:val="22"/>
        </w:rPr>
        <w:t>Thousands</w:t>
      </w:r>
      <w:proofErr w:type="spellEnd"/>
      <w:proofErr w:type="gramEnd"/>
      <w:r w:rsidRPr="00100B72">
        <w:rPr>
          <w:rFonts w:asciiTheme="minorHAnsi" w:hAnsiTheme="minorHAnsi" w:cstheme="minorHAnsi"/>
          <w:color w:val="000000"/>
          <w:sz w:val="22"/>
          <w:szCs w:val="22"/>
        </w:rPr>
        <w:t xml:space="preserve"> Oaks, CA: Sage. </w:t>
      </w:r>
    </w:p>
    <w:p w14:paraId="31D4CE6D" w14:textId="77777777" w:rsidR="00DB526E" w:rsidRPr="00100B72" w:rsidRDefault="00DB526E" w:rsidP="00FB3C7E">
      <w:pPr>
        <w:spacing w:before="100" w:beforeAutospacing="1" w:after="100" w:afterAutospacing="1"/>
        <w:ind w:left="567" w:hanging="567"/>
        <w:rPr>
          <w:rFonts w:asciiTheme="minorHAnsi" w:hAnsiTheme="minorHAnsi" w:cstheme="minorHAnsi"/>
          <w:sz w:val="22"/>
          <w:szCs w:val="22"/>
        </w:rPr>
      </w:pPr>
      <w:r w:rsidRPr="00100B72">
        <w:rPr>
          <w:rFonts w:asciiTheme="minorHAnsi" w:hAnsiTheme="minorHAnsi" w:cstheme="minorHAnsi"/>
          <w:i/>
          <w:iCs/>
          <w:sz w:val="22"/>
          <w:szCs w:val="22"/>
        </w:rPr>
        <w:lastRenderedPageBreak/>
        <w:t>Parental engagement</w:t>
      </w:r>
      <w:r w:rsidRPr="00100B72">
        <w:rPr>
          <w:rFonts w:asciiTheme="minorHAnsi" w:hAnsiTheme="minorHAnsi" w:cstheme="minorHAnsi"/>
          <w:sz w:val="22"/>
          <w:szCs w:val="22"/>
        </w:rPr>
        <w:t xml:space="preserve"> (no date) </w:t>
      </w:r>
      <w:r w:rsidRPr="00100B72">
        <w:rPr>
          <w:rFonts w:asciiTheme="minorHAnsi" w:hAnsiTheme="minorHAnsi" w:cstheme="minorHAnsi"/>
          <w:i/>
          <w:iCs/>
          <w:sz w:val="22"/>
          <w:szCs w:val="22"/>
        </w:rPr>
        <w:t>EEF</w:t>
      </w:r>
      <w:r w:rsidRPr="00100B72">
        <w:rPr>
          <w:rFonts w:asciiTheme="minorHAnsi" w:hAnsiTheme="minorHAnsi" w:cstheme="minorHAnsi"/>
          <w:sz w:val="22"/>
          <w:szCs w:val="22"/>
        </w:rPr>
        <w:t xml:space="preserve">. Available at: </w:t>
      </w:r>
      <w:hyperlink r:id="rId15" w:history="1">
        <w:r w:rsidRPr="00100B72">
          <w:rPr>
            <w:rStyle w:val="Hyperlink"/>
            <w:rFonts w:asciiTheme="minorHAnsi" w:hAnsiTheme="minorHAnsi" w:cstheme="minorHAnsi"/>
            <w:sz w:val="22"/>
            <w:szCs w:val="22"/>
          </w:rPr>
          <w:t>https://educationendowmentfoundation.org.uk/education-evidence/teaching-learning-toolkit/parental-engagement</w:t>
        </w:r>
      </w:hyperlink>
      <w:r w:rsidRPr="00100B72">
        <w:rPr>
          <w:rFonts w:asciiTheme="minorHAnsi" w:hAnsiTheme="minorHAnsi" w:cstheme="minorHAnsi"/>
          <w:sz w:val="22"/>
          <w:szCs w:val="22"/>
        </w:rPr>
        <w:t xml:space="preserve">  (Accessed: November 7, 2022). </w:t>
      </w:r>
    </w:p>
    <w:p w14:paraId="4C0005D0" w14:textId="77777777" w:rsidR="00DB526E" w:rsidRPr="00100B72" w:rsidRDefault="00DB526E" w:rsidP="00FB3C7E">
      <w:pPr>
        <w:spacing w:before="100" w:beforeAutospacing="1" w:after="100" w:afterAutospacing="1"/>
        <w:ind w:left="567" w:hanging="567"/>
        <w:rPr>
          <w:rFonts w:asciiTheme="minorHAnsi" w:hAnsiTheme="minorHAnsi" w:cstheme="minorHAnsi"/>
          <w:color w:val="05103E"/>
          <w:sz w:val="22"/>
          <w:szCs w:val="22"/>
          <w:shd w:val="clear" w:color="auto" w:fill="FFFFFF"/>
        </w:rPr>
      </w:pPr>
      <w:r w:rsidRPr="00100B72">
        <w:rPr>
          <w:rFonts w:asciiTheme="minorHAnsi" w:hAnsiTheme="minorHAnsi" w:cstheme="minorHAnsi"/>
          <w:color w:val="05103E"/>
          <w:sz w:val="22"/>
          <w:szCs w:val="22"/>
          <w:shd w:val="clear" w:color="auto" w:fill="FFFFFF"/>
        </w:rPr>
        <w:t>Perry-Jenkins, M. </w:t>
      </w:r>
      <w:r w:rsidRPr="00100B72">
        <w:rPr>
          <w:rFonts w:asciiTheme="minorHAnsi" w:hAnsiTheme="minorHAnsi" w:cstheme="minorHAnsi"/>
          <w:i/>
          <w:iCs/>
          <w:color w:val="05103E"/>
          <w:sz w:val="22"/>
          <w:szCs w:val="22"/>
          <w:bdr w:val="single" w:sz="2" w:space="0" w:color="ECEDEE" w:frame="1"/>
          <w:shd w:val="clear" w:color="auto" w:fill="FFFFFF"/>
        </w:rPr>
        <w:t>et al.</w:t>
      </w:r>
      <w:r w:rsidRPr="00100B72">
        <w:rPr>
          <w:rFonts w:asciiTheme="minorHAnsi" w:hAnsiTheme="minorHAnsi" w:cstheme="minorHAnsi"/>
          <w:color w:val="05103E"/>
          <w:sz w:val="22"/>
          <w:szCs w:val="22"/>
          <w:shd w:val="clear" w:color="auto" w:fill="FFFFFF"/>
        </w:rPr>
        <w:t> (2020) ‘Parents’ work and children’s development: A longitudinal investigation of working-class families.’, </w:t>
      </w:r>
      <w:r w:rsidRPr="00100B72">
        <w:rPr>
          <w:rFonts w:asciiTheme="minorHAnsi" w:hAnsiTheme="minorHAnsi" w:cstheme="minorHAnsi"/>
          <w:i/>
          <w:iCs/>
          <w:color w:val="05103E"/>
          <w:sz w:val="22"/>
          <w:szCs w:val="22"/>
          <w:bdr w:val="single" w:sz="2" w:space="0" w:color="ECEDEE" w:frame="1"/>
          <w:shd w:val="clear" w:color="auto" w:fill="FFFFFF"/>
        </w:rPr>
        <w:t>Journal of Family Psychology</w:t>
      </w:r>
      <w:r w:rsidRPr="00100B72">
        <w:rPr>
          <w:rFonts w:asciiTheme="minorHAnsi" w:hAnsiTheme="minorHAnsi" w:cstheme="minorHAnsi"/>
          <w:color w:val="05103E"/>
          <w:sz w:val="22"/>
          <w:szCs w:val="22"/>
          <w:shd w:val="clear" w:color="auto" w:fill="FFFFFF"/>
        </w:rPr>
        <w:t>, 34(3), pp. 257–268. Available at: </w:t>
      </w:r>
      <w:hyperlink r:id="rId16" w:history="1">
        <w:r w:rsidRPr="00100B72">
          <w:rPr>
            <w:rStyle w:val="Hyperlink"/>
            <w:rFonts w:asciiTheme="minorHAnsi" w:hAnsiTheme="minorHAnsi" w:cstheme="minorHAnsi"/>
            <w:sz w:val="22"/>
            <w:szCs w:val="22"/>
            <w:bdr w:val="single" w:sz="2" w:space="0" w:color="ECEDEE" w:frame="1"/>
            <w:shd w:val="clear" w:color="auto" w:fill="FFFFFF"/>
          </w:rPr>
          <w:t>https://doi.org/10.1037/fam0000580</w:t>
        </w:r>
      </w:hyperlink>
      <w:r w:rsidRPr="00100B72">
        <w:rPr>
          <w:rFonts w:asciiTheme="minorHAnsi" w:hAnsiTheme="minorHAnsi" w:cstheme="minorHAnsi"/>
          <w:color w:val="05103E"/>
          <w:sz w:val="22"/>
          <w:szCs w:val="22"/>
          <w:shd w:val="clear" w:color="auto" w:fill="FFFFFF"/>
        </w:rPr>
        <w:t xml:space="preserve">. </w:t>
      </w:r>
      <w:r w:rsidRPr="00100B72">
        <w:rPr>
          <w:rFonts w:asciiTheme="minorHAnsi" w:hAnsiTheme="minorHAnsi" w:cstheme="minorHAnsi"/>
          <w:color w:val="000000"/>
          <w:sz w:val="22"/>
          <w:szCs w:val="22"/>
        </w:rPr>
        <w:t>(Accessed: November 10, 2022). </w:t>
      </w:r>
    </w:p>
    <w:p w14:paraId="37EBCAB7" w14:textId="77777777" w:rsidR="00DB526E" w:rsidRPr="00100B72" w:rsidRDefault="00DB526E" w:rsidP="00645268">
      <w:pPr>
        <w:spacing w:before="100" w:beforeAutospacing="1" w:after="100" w:afterAutospacing="1"/>
        <w:ind w:left="567" w:hanging="567"/>
        <w:rPr>
          <w:rFonts w:asciiTheme="minorHAnsi" w:hAnsiTheme="minorHAnsi" w:cstheme="minorHAnsi"/>
          <w:color w:val="000000"/>
          <w:sz w:val="22"/>
          <w:szCs w:val="22"/>
        </w:rPr>
      </w:pPr>
      <w:r w:rsidRPr="00100B72">
        <w:rPr>
          <w:rFonts w:asciiTheme="minorHAnsi" w:hAnsiTheme="minorHAnsi" w:cstheme="minorHAnsi"/>
          <w:color w:val="000000"/>
          <w:sz w:val="22"/>
          <w:szCs w:val="22"/>
        </w:rPr>
        <w:t>Phillips, D. and Shonkoff, J.P. (2000) </w:t>
      </w:r>
      <w:r w:rsidRPr="00100B72">
        <w:rPr>
          <w:rFonts w:asciiTheme="minorHAnsi" w:hAnsiTheme="minorHAnsi" w:cstheme="minorHAnsi"/>
          <w:i/>
          <w:iCs/>
          <w:color w:val="000000"/>
          <w:sz w:val="22"/>
          <w:szCs w:val="22"/>
        </w:rPr>
        <w:t xml:space="preserve">From neurons to </w:t>
      </w:r>
      <w:proofErr w:type="spellStart"/>
      <w:r w:rsidRPr="00100B72">
        <w:rPr>
          <w:rFonts w:asciiTheme="minorHAnsi" w:hAnsiTheme="minorHAnsi" w:cstheme="minorHAnsi"/>
          <w:i/>
          <w:iCs/>
          <w:color w:val="000000"/>
          <w:sz w:val="22"/>
          <w:szCs w:val="22"/>
        </w:rPr>
        <w:t>neighborhoods</w:t>
      </w:r>
      <w:proofErr w:type="spellEnd"/>
      <w:r w:rsidRPr="00100B72">
        <w:rPr>
          <w:rFonts w:asciiTheme="minorHAnsi" w:hAnsiTheme="minorHAnsi" w:cstheme="minorHAnsi"/>
          <w:i/>
          <w:iCs/>
          <w:color w:val="000000"/>
          <w:sz w:val="22"/>
          <w:szCs w:val="22"/>
        </w:rPr>
        <w:t>: The science of early childhood development</w:t>
      </w:r>
      <w:r w:rsidRPr="00100B72">
        <w:rPr>
          <w:rFonts w:asciiTheme="minorHAnsi" w:hAnsiTheme="minorHAnsi" w:cstheme="minorHAnsi"/>
          <w:color w:val="000000"/>
          <w:sz w:val="22"/>
          <w:szCs w:val="22"/>
        </w:rPr>
        <w:t>, </w:t>
      </w:r>
      <w:r w:rsidRPr="00100B72">
        <w:rPr>
          <w:rFonts w:asciiTheme="minorHAnsi" w:hAnsiTheme="minorHAnsi" w:cstheme="minorHAnsi"/>
          <w:i/>
          <w:iCs/>
          <w:color w:val="000000"/>
          <w:sz w:val="22"/>
          <w:szCs w:val="22"/>
        </w:rPr>
        <w:t xml:space="preserve">National Library of </w:t>
      </w:r>
      <w:proofErr w:type="gramStart"/>
      <w:r w:rsidRPr="00100B72">
        <w:rPr>
          <w:rFonts w:asciiTheme="minorHAnsi" w:hAnsiTheme="minorHAnsi" w:cstheme="minorHAnsi"/>
          <w:i/>
          <w:iCs/>
          <w:color w:val="000000"/>
          <w:sz w:val="22"/>
          <w:szCs w:val="22"/>
        </w:rPr>
        <w:t>Medicine </w:t>
      </w:r>
      <w:r w:rsidRPr="00100B72">
        <w:rPr>
          <w:rFonts w:asciiTheme="minorHAnsi" w:hAnsiTheme="minorHAnsi" w:cstheme="minorHAnsi"/>
          <w:color w:val="000000"/>
          <w:sz w:val="22"/>
          <w:szCs w:val="22"/>
        </w:rPr>
        <w:t>.</w:t>
      </w:r>
      <w:proofErr w:type="gramEnd"/>
      <w:r w:rsidRPr="00100B72">
        <w:rPr>
          <w:rFonts w:asciiTheme="minorHAnsi" w:hAnsiTheme="minorHAnsi" w:cstheme="minorHAnsi"/>
          <w:color w:val="000000"/>
          <w:sz w:val="22"/>
          <w:szCs w:val="22"/>
        </w:rPr>
        <w:t xml:space="preserve"> Washington, D.C: National Academies Press. Available at: https://www.ncbi.nlm.nih.gov/books/NBK225557/ (Accessed: November 10, 2022). </w:t>
      </w:r>
    </w:p>
    <w:p w14:paraId="6BCC9343" w14:textId="77777777" w:rsidR="00DB526E" w:rsidRPr="00100B72" w:rsidRDefault="00DB526E" w:rsidP="00FB3C7E">
      <w:pPr>
        <w:rPr>
          <w:rStyle w:val="apple-converted-space"/>
          <w:rFonts w:asciiTheme="minorHAnsi" w:hAnsiTheme="minorHAnsi" w:cstheme="minorHAnsi"/>
          <w:color w:val="000000"/>
          <w:sz w:val="22"/>
          <w:szCs w:val="22"/>
        </w:rPr>
      </w:pPr>
      <w:r w:rsidRPr="00100B72">
        <w:rPr>
          <w:rFonts w:asciiTheme="minorHAnsi" w:hAnsiTheme="minorHAnsi" w:cstheme="minorHAnsi"/>
          <w:color w:val="000000"/>
          <w:sz w:val="22"/>
          <w:szCs w:val="22"/>
        </w:rPr>
        <w:t>Rose, J., Gilbert, L. and Richards, V. (2016)</w:t>
      </w:r>
      <w:r w:rsidRPr="00100B72">
        <w:rPr>
          <w:rStyle w:val="apple-converted-space"/>
          <w:rFonts w:asciiTheme="minorHAnsi" w:hAnsiTheme="minorHAnsi" w:cstheme="minorHAnsi"/>
          <w:color w:val="000000"/>
          <w:sz w:val="22"/>
          <w:szCs w:val="22"/>
        </w:rPr>
        <w:t> </w:t>
      </w:r>
      <w:r w:rsidRPr="00100B72">
        <w:rPr>
          <w:rFonts w:asciiTheme="minorHAnsi" w:hAnsiTheme="minorHAnsi" w:cstheme="minorHAnsi"/>
          <w:i/>
          <w:iCs/>
          <w:color w:val="000000"/>
          <w:sz w:val="22"/>
          <w:szCs w:val="22"/>
        </w:rPr>
        <w:t>Health and well-being in early childhood</w:t>
      </w:r>
      <w:r w:rsidRPr="00100B72">
        <w:rPr>
          <w:rFonts w:asciiTheme="minorHAnsi" w:hAnsiTheme="minorHAnsi" w:cstheme="minorHAnsi"/>
          <w:color w:val="000000"/>
          <w:sz w:val="22"/>
          <w:szCs w:val="22"/>
        </w:rPr>
        <w:t>. Los Angeles: SAGE.</w:t>
      </w:r>
      <w:r w:rsidRPr="00100B72">
        <w:rPr>
          <w:rStyle w:val="apple-converted-space"/>
          <w:rFonts w:asciiTheme="minorHAnsi" w:hAnsiTheme="minorHAnsi" w:cstheme="minorHAnsi"/>
          <w:color w:val="000000"/>
          <w:sz w:val="22"/>
          <w:szCs w:val="22"/>
        </w:rPr>
        <w:t> </w:t>
      </w:r>
    </w:p>
    <w:p w14:paraId="223A67CE" w14:textId="77777777" w:rsidR="00DB526E" w:rsidRPr="00100B72" w:rsidRDefault="00DB526E" w:rsidP="00FB3C7E">
      <w:pPr>
        <w:pStyle w:val="NormalWeb"/>
        <w:ind w:left="567" w:hanging="567"/>
        <w:rPr>
          <w:rFonts w:asciiTheme="minorHAnsi" w:hAnsiTheme="minorHAnsi" w:cstheme="minorHAnsi"/>
          <w:sz w:val="22"/>
          <w:szCs w:val="22"/>
        </w:rPr>
      </w:pPr>
      <w:r w:rsidRPr="00100B72">
        <w:rPr>
          <w:rFonts w:asciiTheme="minorHAnsi" w:hAnsiTheme="minorHAnsi" w:cstheme="minorHAnsi"/>
          <w:i/>
          <w:iCs/>
          <w:sz w:val="22"/>
          <w:szCs w:val="22"/>
        </w:rPr>
        <w:t>School policies</w:t>
      </w:r>
      <w:r w:rsidRPr="00100B72">
        <w:rPr>
          <w:rFonts w:asciiTheme="minorHAnsi" w:hAnsiTheme="minorHAnsi" w:cstheme="minorHAnsi"/>
          <w:sz w:val="22"/>
          <w:szCs w:val="22"/>
        </w:rPr>
        <w:t xml:space="preserve"> (no date</w:t>
      </w:r>
      <w:r w:rsidRPr="00100B72">
        <w:rPr>
          <w:rFonts w:asciiTheme="minorHAnsi" w:hAnsiTheme="minorHAnsi" w:cstheme="minorHAnsi"/>
          <w:sz w:val="22"/>
          <w:szCs w:val="22"/>
          <w:highlight w:val="black"/>
        </w:rPr>
        <w:t xml:space="preserve">) </w:t>
      </w:r>
      <w:proofErr w:type="spellStart"/>
      <w:r w:rsidRPr="00100B72">
        <w:rPr>
          <w:rFonts w:asciiTheme="minorHAnsi" w:hAnsiTheme="minorHAnsi" w:cstheme="minorHAnsi"/>
          <w:i/>
          <w:iCs/>
          <w:sz w:val="22"/>
          <w:szCs w:val="22"/>
          <w:highlight w:val="black"/>
        </w:rPr>
        <w:t>cadoxtonprimary</w:t>
      </w:r>
      <w:proofErr w:type="spellEnd"/>
      <w:r w:rsidRPr="00100B72">
        <w:rPr>
          <w:rFonts w:asciiTheme="minorHAnsi" w:hAnsiTheme="minorHAnsi" w:cstheme="minorHAnsi"/>
          <w:sz w:val="22"/>
          <w:szCs w:val="22"/>
        </w:rPr>
        <w:t>. Available at: https://www.</w:t>
      </w:r>
      <w:r w:rsidRPr="00100B72">
        <w:rPr>
          <w:rFonts w:asciiTheme="minorHAnsi" w:hAnsiTheme="minorHAnsi" w:cstheme="minorHAnsi"/>
          <w:sz w:val="22"/>
          <w:szCs w:val="22"/>
          <w:highlight w:val="black"/>
        </w:rPr>
        <w:t>cxdoxtonprimaryschool.com</w:t>
      </w:r>
      <w:r w:rsidRPr="00100B72">
        <w:rPr>
          <w:rFonts w:asciiTheme="minorHAnsi" w:hAnsiTheme="minorHAnsi" w:cstheme="minorHAnsi"/>
          <w:sz w:val="22"/>
          <w:szCs w:val="22"/>
        </w:rPr>
        <w:t xml:space="preserve">/schoolpolicies (Accessed: November 6, 2022). </w:t>
      </w:r>
    </w:p>
    <w:p w14:paraId="35AD040E" w14:textId="77777777" w:rsidR="00DB526E" w:rsidRPr="00100B72" w:rsidRDefault="00DB526E" w:rsidP="00FB3C7E">
      <w:pPr>
        <w:rPr>
          <w:rFonts w:asciiTheme="minorHAnsi" w:hAnsiTheme="minorHAnsi" w:cstheme="minorHAnsi"/>
          <w:color w:val="000000"/>
          <w:sz w:val="22"/>
          <w:szCs w:val="22"/>
        </w:rPr>
      </w:pPr>
      <w:r w:rsidRPr="00100B72">
        <w:rPr>
          <w:rFonts w:asciiTheme="minorHAnsi" w:hAnsiTheme="minorHAnsi" w:cstheme="minorHAnsi"/>
          <w:color w:val="212121"/>
          <w:sz w:val="22"/>
          <w:szCs w:val="22"/>
          <w:shd w:val="clear" w:color="auto" w:fill="FFFFFF"/>
        </w:rPr>
        <w:t xml:space="preserve">Scott HK, Jain A, Cogburn M. </w:t>
      </w:r>
      <w:proofErr w:type="spellStart"/>
      <w:r w:rsidRPr="00100B72">
        <w:rPr>
          <w:rFonts w:asciiTheme="minorHAnsi" w:hAnsiTheme="minorHAnsi" w:cstheme="minorHAnsi"/>
          <w:color w:val="212121"/>
          <w:sz w:val="22"/>
          <w:szCs w:val="22"/>
          <w:shd w:val="clear" w:color="auto" w:fill="FFFFFF"/>
        </w:rPr>
        <w:t>Behavior</w:t>
      </w:r>
      <w:proofErr w:type="spellEnd"/>
      <w:r w:rsidRPr="00100B72">
        <w:rPr>
          <w:rFonts w:asciiTheme="minorHAnsi" w:hAnsiTheme="minorHAnsi" w:cstheme="minorHAnsi"/>
          <w:color w:val="212121"/>
          <w:sz w:val="22"/>
          <w:szCs w:val="22"/>
          <w:shd w:val="clear" w:color="auto" w:fill="FFFFFF"/>
        </w:rPr>
        <w:t xml:space="preserve"> Modification. 2022 Jul 11. In: </w:t>
      </w:r>
      <w:proofErr w:type="spellStart"/>
      <w:r w:rsidRPr="00100B72">
        <w:rPr>
          <w:rFonts w:asciiTheme="minorHAnsi" w:hAnsiTheme="minorHAnsi" w:cstheme="minorHAnsi"/>
          <w:color w:val="212121"/>
          <w:sz w:val="22"/>
          <w:szCs w:val="22"/>
          <w:shd w:val="clear" w:color="auto" w:fill="FFFFFF"/>
        </w:rPr>
        <w:t>StatPearls</w:t>
      </w:r>
      <w:proofErr w:type="spellEnd"/>
      <w:r w:rsidRPr="00100B72">
        <w:rPr>
          <w:rFonts w:asciiTheme="minorHAnsi" w:hAnsiTheme="minorHAnsi" w:cstheme="minorHAnsi"/>
          <w:color w:val="212121"/>
          <w:sz w:val="22"/>
          <w:szCs w:val="22"/>
          <w:shd w:val="clear" w:color="auto" w:fill="FFFFFF"/>
        </w:rPr>
        <w:t xml:space="preserve"> [Internet]. Treasure Island (FL): </w:t>
      </w:r>
      <w:proofErr w:type="spellStart"/>
      <w:r w:rsidRPr="00100B72">
        <w:rPr>
          <w:rFonts w:asciiTheme="minorHAnsi" w:hAnsiTheme="minorHAnsi" w:cstheme="minorHAnsi"/>
          <w:color w:val="212121"/>
          <w:sz w:val="22"/>
          <w:szCs w:val="22"/>
          <w:shd w:val="clear" w:color="auto" w:fill="FFFFFF"/>
        </w:rPr>
        <w:t>StatPearls</w:t>
      </w:r>
      <w:proofErr w:type="spellEnd"/>
      <w:r w:rsidRPr="00100B72">
        <w:rPr>
          <w:rFonts w:asciiTheme="minorHAnsi" w:hAnsiTheme="minorHAnsi" w:cstheme="minorHAnsi"/>
          <w:color w:val="212121"/>
          <w:sz w:val="22"/>
          <w:szCs w:val="22"/>
          <w:shd w:val="clear" w:color="auto" w:fill="FFFFFF"/>
        </w:rPr>
        <w:t xml:space="preserve"> Publishing; 2022 Jan–. PMID: 29083709. </w:t>
      </w:r>
      <w:r w:rsidRPr="00100B72">
        <w:rPr>
          <w:rFonts w:asciiTheme="minorHAnsi" w:hAnsiTheme="minorHAnsi" w:cstheme="minorHAnsi"/>
          <w:color w:val="000000"/>
          <w:sz w:val="22"/>
          <w:szCs w:val="22"/>
        </w:rPr>
        <w:t>(Accessed: November 10, 2022). </w:t>
      </w:r>
    </w:p>
    <w:p w14:paraId="49816C18" w14:textId="77777777" w:rsidR="00DB526E" w:rsidRPr="00100B72" w:rsidRDefault="00DB526E" w:rsidP="00FB3C7E">
      <w:pPr>
        <w:spacing w:before="100" w:beforeAutospacing="1" w:after="100" w:afterAutospacing="1"/>
        <w:ind w:left="567" w:hanging="567"/>
        <w:rPr>
          <w:rFonts w:asciiTheme="minorHAnsi" w:hAnsiTheme="minorHAnsi" w:cstheme="minorHAnsi"/>
          <w:color w:val="05103E"/>
          <w:sz w:val="22"/>
          <w:szCs w:val="22"/>
          <w:shd w:val="clear" w:color="auto" w:fill="FFFFFF"/>
        </w:rPr>
      </w:pPr>
      <w:proofErr w:type="spellStart"/>
      <w:r w:rsidRPr="00100B72">
        <w:rPr>
          <w:rFonts w:asciiTheme="minorHAnsi" w:hAnsiTheme="minorHAnsi" w:cstheme="minorHAnsi"/>
          <w:color w:val="05103E"/>
          <w:sz w:val="22"/>
          <w:szCs w:val="22"/>
          <w:shd w:val="clear" w:color="auto" w:fill="FFFFFF"/>
        </w:rPr>
        <w:t>Semke</w:t>
      </w:r>
      <w:proofErr w:type="spellEnd"/>
      <w:r w:rsidRPr="00100B72">
        <w:rPr>
          <w:rFonts w:asciiTheme="minorHAnsi" w:hAnsiTheme="minorHAnsi" w:cstheme="minorHAnsi"/>
          <w:color w:val="05103E"/>
          <w:sz w:val="22"/>
          <w:szCs w:val="22"/>
          <w:shd w:val="clear" w:color="auto" w:fill="FFFFFF"/>
        </w:rPr>
        <w:t>, C.A. </w:t>
      </w:r>
      <w:r w:rsidRPr="00100B72">
        <w:rPr>
          <w:rFonts w:asciiTheme="minorHAnsi" w:hAnsiTheme="minorHAnsi" w:cstheme="minorHAnsi"/>
          <w:i/>
          <w:iCs/>
          <w:color w:val="05103E"/>
          <w:sz w:val="22"/>
          <w:szCs w:val="22"/>
          <w:bdr w:val="single" w:sz="2" w:space="0" w:color="ECEDEE" w:frame="1"/>
          <w:shd w:val="clear" w:color="auto" w:fill="FFFFFF"/>
        </w:rPr>
        <w:t>et al.</w:t>
      </w:r>
      <w:r w:rsidRPr="00100B72">
        <w:rPr>
          <w:rFonts w:asciiTheme="minorHAnsi" w:hAnsiTheme="minorHAnsi" w:cstheme="minorHAnsi"/>
          <w:color w:val="05103E"/>
          <w:sz w:val="22"/>
          <w:szCs w:val="22"/>
          <w:shd w:val="clear" w:color="auto" w:fill="FFFFFF"/>
        </w:rPr>
        <w:t xml:space="preserve"> (2010) ‘Family involvement for children with disruptive </w:t>
      </w:r>
      <w:proofErr w:type="spellStart"/>
      <w:r w:rsidRPr="00100B72">
        <w:rPr>
          <w:rFonts w:asciiTheme="minorHAnsi" w:hAnsiTheme="minorHAnsi" w:cstheme="minorHAnsi"/>
          <w:color w:val="05103E"/>
          <w:sz w:val="22"/>
          <w:szCs w:val="22"/>
          <w:shd w:val="clear" w:color="auto" w:fill="FFFFFF"/>
        </w:rPr>
        <w:t>behaviors</w:t>
      </w:r>
      <w:proofErr w:type="spellEnd"/>
      <w:r w:rsidRPr="00100B72">
        <w:rPr>
          <w:rFonts w:asciiTheme="minorHAnsi" w:hAnsiTheme="minorHAnsi" w:cstheme="minorHAnsi"/>
          <w:color w:val="05103E"/>
          <w:sz w:val="22"/>
          <w:szCs w:val="22"/>
          <w:shd w:val="clear" w:color="auto" w:fill="FFFFFF"/>
        </w:rPr>
        <w:t>: The role of parenting stress and motivational beliefs’, </w:t>
      </w:r>
      <w:r w:rsidRPr="00100B72">
        <w:rPr>
          <w:rFonts w:asciiTheme="minorHAnsi" w:hAnsiTheme="minorHAnsi" w:cstheme="minorHAnsi"/>
          <w:i/>
          <w:iCs/>
          <w:color w:val="05103E"/>
          <w:sz w:val="22"/>
          <w:szCs w:val="22"/>
          <w:bdr w:val="single" w:sz="2" w:space="0" w:color="ECEDEE" w:frame="1"/>
          <w:shd w:val="clear" w:color="auto" w:fill="FFFFFF"/>
        </w:rPr>
        <w:t>Journal of School Psychology</w:t>
      </w:r>
      <w:r w:rsidRPr="00100B72">
        <w:rPr>
          <w:rFonts w:asciiTheme="minorHAnsi" w:hAnsiTheme="minorHAnsi" w:cstheme="minorHAnsi"/>
          <w:color w:val="05103E"/>
          <w:sz w:val="22"/>
          <w:szCs w:val="22"/>
          <w:shd w:val="clear" w:color="auto" w:fill="FFFFFF"/>
        </w:rPr>
        <w:t>, 48(4), pp. 293–312. Available at: </w:t>
      </w:r>
      <w:hyperlink r:id="rId17" w:history="1">
        <w:r w:rsidRPr="00100B72">
          <w:rPr>
            <w:rStyle w:val="Hyperlink"/>
            <w:rFonts w:asciiTheme="minorHAnsi" w:hAnsiTheme="minorHAnsi" w:cstheme="minorHAnsi"/>
            <w:sz w:val="22"/>
            <w:szCs w:val="22"/>
            <w:bdr w:val="single" w:sz="2" w:space="0" w:color="ECEDEE" w:frame="1"/>
            <w:shd w:val="clear" w:color="auto" w:fill="FFFFFF"/>
          </w:rPr>
          <w:t>https://doi.org/10.1016/j.jsp.2010.04.001</w:t>
        </w:r>
      </w:hyperlink>
      <w:r w:rsidRPr="00100B72">
        <w:rPr>
          <w:rFonts w:asciiTheme="minorHAnsi" w:hAnsiTheme="minorHAnsi" w:cstheme="minorHAnsi"/>
          <w:color w:val="05103E"/>
          <w:sz w:val="22"/>
          <w:szCs w:val="22"/>
          <w:shd w:val="clear" w:color="auto" w:fill="FFFFFF"/>
        </w:rPr>
        <w:t>.</w:t>
      </w:r>
    </w:p>
    <w:p w14:paraId="051CBADA" w14:textId="77777777" w:rsidR="00DB526E" w:rsidRPr="00100B72" w:rsidRDefault="00DB526E" w:rsidP="00FB3C7E">
      <w:pPr>
        <w:rPr>
          <w:rFonts w:asciiTheme="minorHAnsi" w:hAnsiTheme="minorHAnsi" w:cstheme="minorHAnsi"/>
          <w:color w:val="212121"/>
          <w:sz w:val="22"/>
          <w:szCs w:val="22"/>
          <w:shd w:val="clear" w:color="auto" w:fill="FFFFFF"/>
        </w:rPr>
      </w:pPr>
      <w:r w:rsidRPr="00100B72">
        <w:rPr>
          <w:rFonts w:asciiTheme="minorHAnsi" w:hAnsiTheme="minorHAnsi" w:cstheme="minorHAnsi"/>
          <w:color w:val="05103E"/>
          <w:sz w:val="22"/>
          <w:szCs w:val="22"/>
          <w:shd w:val="clear" w:color="auto" w:fill="FFFFFF"/>
        </w:rPr>
        <w:t>Shelton (2008) </w:t>
      </w:r>
      <w:r w:rsidRPr="00100B72">
        <w:rPr>
          <w:rFonts w:asciiTheme="minorHAnsi" w:hAnsiTheme="minorHAnsi" w:cstheme="minorHAnsi"/>
          <w:i/>
          <w:iCs/>
          <w:color w:val="05103E"/>
          <w:sz w:val="22"/>
          <w:szCs w:val="22"/>
          <w:bdr w:val="single" w:sz="2" w:space="0" w:color="ECEDEE" w:frame="1"/>
          <w:shd w:val="clear" w:color="auto" w:fill="FFFFFF"/>
        </w:rPr>
        <w:t>Effective behaviour management in the primary classroom</w:t>
      </w:r>
      <w:r w:rsidRPr="00100B72">
        <w:rPr>
          <w:rFonts w:asciiTheme="minorHAnsi" w:hAnsiTheme="minorHAnsi" w:cstheme="minorHAnsi"/>
          <w:color w:val="05103E"/>
          <w:sz w:val="22"/>
          <w:szCs w:val="22"/>
          <w:shd w:val="clear" w:color="auto" w:fill="FFFFFF"/>
        </w:rPr>
        <w:t xml:space="preserve">. 1st </w:t>
      </w:r>
      <w:proofErr w:type="spellStart"/>
      <w:r w:rsidRPr="00100B72">
        <w:rPr>
          <w:rFonts w:asciiTheme="minorHAnsi" w:hAnsiTheme="minorHAnsi" w:cstheme="minorHAnsi"/>
          <w:color w:val="05103E"/>
          <w:sz w:val="22"/>
          <w:szCs w:val="22"/>
          <w:shd w:val="clear" w:color="auto" w:fill="FFFFFF"/>
        </w:rPr>
        <w:t>edn</w:t>
      </w:r>
      <w:proofErr w:type="spellEnd"/>
      <w:r w:rsidRPr="00100B72">
        <w:rPr>
          <w:rFonts w:asciiTheme="minorHAnsi" w:hAnsiTheme="minorHAnsi" w:cstheme="minorHAnsi"/>
          <w:color w:val="05103E"/>
          <w:sz w:val="22"/>
          <w:szCs w:val="22"/>
          <w:shd w:val="clear" w:color="auto" w:fill="FFFFFF"/>
        </w:rPr>
        <w:t>. Open University Press.</w:t>
      </w:r>
    </w:p>
    <w:p w14:paraId="3A38E06A" w14:textId="77777777" w:rsidR="00DB526E" w:rsidRPr="00100B72" w:rsidRDefault="00DB526E" w:rsidP="00FB3C7E">
      <w:pPr>
        <w:pStyle w:val="NormalWeb"/>
        <w:ind w:left="567" w:hanging="567"/>
        <w:rPr>
          <w:rFonts w:asciiTheme="minorHAnsi" w:hAnsiTheme="minorHAnsi" w:cstheme="minorHAnsi"/>
          <w:color w:val="000000"/>
          <w:sz w:val="22"/>
          <w:szCs w:val="22"/>
        </w:rPr>
      </w:pPr>
      <w:r w:rsidRPr="00100B72">
        <w:rPr>
          <w:rFonts w:asciiTheme="minorHAnsi" w:hAnsiTheme="minorHAnsi" w:cstheme="minorHAnsi"/>
          <w:color w:val="000000"/>
          <w:sz w:val="22"/>
          <w:szCs w:val="22"/>
        </w:rPr>
        <w:t>Shetty, P. (2003) “Malnutrition and undernutrition,”</w:t>
      </w:r>
      <w:r w:rsidRPr="00100B72">
        <w:rPr>
          <w:rStyle w:val="apple-converted-space"/>
          <w:rFonts w:asciiTheme="minorHAnsi" w:hAnsiTheme="minorHAnsi" w:cstheme="minorHAnsi"/>
          <w:color w:val="000000"/>
          <w:sz w:val="22"/>
          <w:szCs w:val="22"/>
        </w:rPr>
        <w:t> </w:t>
      </w:r>
      <w:r w:rsidRPr="00100B72">
        <w:rPr>
          <w:rFonts w:asciiTheme="minorHAnsi" w:hAnsiTheme="minorHAnsi" w:cstheme="minorHAnsi"/>
          <w:i/>
          <w:iCs/>
          <w:color w:val="000000"/>
          <w:sz w:val="22"/>
          <w:szCs w:val="22"/>
        </w:rPr>
        <w:t>Medicine</w:t>
      </w:r>
      <w:r w:rsidRPr="00100B72">
        <w:rPr>
          <w:rFonts w:asciiTheme="minorHAnsi" w:hAnsiTheme="minorHAnsi" w:cstheme="minorHAnsi"/>
          <w:color w:val="000000"/>
          <w:sz w:val="22"/>
          <w:szCs w:val="22"/>
        </w:rPr>
        <w:t xml:space="preserve">, 31(4), pp. 18–22. Available at: </w:t>
      </w:r>
      <w:hyperlink r:id="rId18" w:history="1">
        <w:r w:rsidRPr="00100B72">
          <w:rPr>
            <w:rStyle w:val="Hyperlink"/>
            <w:rFonts w:asciiTheme="minorHAnsi" w:hAnsiTheme="minorHAnsi" w:cstheme="minorHAnsi"/>
            <w:sz w:val="22"/>
            <w:szCs w:val="22"/>
          </w:rPr>
          <w:t>https://doi.org/10.1383/medc.31.4.18.27958</w:t>
        </w:r>
      </w:hyperlink>
      <w:r w:rsidRPr="00100B72">
        <w:rPr>
          <w:rFonts w:asciiTheme="minorHAnsi" w:hAnsiTheme="minorHAnsi" w:cstheme="minorHAnsi"/>
          <w:color w:val="000000"/>
          <w:sz w:val="22"/>
          <w:szCs w:val="22"/>
        </w:rPr>
        <w:t xml:space="preserve"> .</w:t>
      </w:r>
    </w:p>
    <w:p w14:paraId="33060439" w14:textId="77777777" w:rsidR="00DB526E" w:rsidRPr="00100B72" w:rsidRDefault="00DB526E" w:rsidP="00FB3C7E">
      <w:pPr>
        <w:spacing w:before="100" w:beforeAutospacing="1" w:after="100" w:afterAutospacing="1"/>
        <w:ind w:left="567" w:hanging="567"/>
        <w:rPr>
          <w:rFonts w:asciiTheme="minorHAnsi" w:hAnsiTheme="minorHAnsi" w:cstheme="minorHAnsi"/>
          <w:color w:val="05103E"/>
          <w:sz w:val="22"/>
          <w:szCs w:val="22"/>
          <w:shd w:val="clear" w:color="auto" w:fill="FFFFFF"/>
        </w:rPr>
      </w:pPr>
      <w:r w:rsidRPr="00100B72">
        <w:rPr>
          <w:rFonts w:asciiTheme="minorHAnsi" w:hAnsiTheme="minorHAnsi" w:cstheme="minorHAnsi"/>
          <w:color w:val="05103E"/>
          <w:sz w:val="22"/>
          <w:szCs w:val="22"/>
          <w:shd w:val="clear" w:color="auto" w:fill="FFFFFF"/>
        </w:rPr>
        <w:t>Steinberg, L. </w:t>
      </w:r>
      <w:r w:rsidRPr="00100B72">
        <w:rPr>
          <w:rFonts w:asciiTheme="minorHAnsi" w:hAnsiTheme="minorHAnsi" w:cstheme="minorHAnsi"/>
          <w:i/>
          <w:iCs/>
          <w:color w:val="05103E"/>
          <w:sz w:val="22"/>
          <w:szCs w:val="22"/>
          <w:bdr w:val="single" w:sz="2" w:space="0" w:color="ECEDEE" w:frame="1"/>
          <w:shd w:val="clear" w:color="auto" w:fill="FFFFFF"/>
        </w:rPr>
        <w:t>et al.</w:t>
      </w:r>
      <w:r w:rsidRPr="00100B72">
        <w:rPr>
          <w:rFonts w:asciiTheme="minorHAnsi" w:hAnsiTheme="minorHAnsi" w:cstheme="minorHAnsi"/>
          <w:color w:val="05103E"/>
          <w:sz w:val="22"/>
          <w:szCs w:val="22"/>
          <w:shd w:val="clear" w:color="auto" w:fill="FFFFFF"/>
        </w:rPr>
        <w:t> (1992) ‘Impact of Parenting Practices on Adolescent Achievement: Authoritative Parenting, School Involvement, and Encouragement to Succeed’, </w:t>
      </w:r>
      <w:r w:rsidRPr="00100B72">
        <w:rPr>
          <w:rFonts w:asciiTheme="minorHAnsi" w:hAnsiTheme="minorHAnsi" w:cstheme="minorHAnsi"/>
          <w:i/>
          <w:iCs/>
          <w:color w:val="05103E"/>
          <w:sz w:val="22"/>
          <w:szCs w:val="22"/>
          <w:bdr w:val="single" w:sz="2" w:space="0" w:color="ECEDEE" w:frame="1"/>
          <w:shd w:val="clear" w:color="auto" w:fill="FFFFFF"/>
        </w:rPr>
        <w:t>Child Development</w:t>
      </w:r>
      <w:r w:rsidRPr="00100B72">
        <w:rPr>
          <w:rFonts w:asciiTheme="minorHAnsi" w:hAnsiTheme="minorHAnsi" w:cstheme="minorHAnsi"/>
          <w:color w:val="05103E"/>
          <w:sz w:val="22"/>
          <w:szCs w:val="22"/>
          <w:shd w:val="clear" w:color="auto" w:fill="FFFFFF"/>
        </w:rPr>
        <w:t>, 63(5), pp. 1266–1281. Available at: </w:t>
      </w:r>
      <w:hyperlink r:id="rId19" w:history="1">
        <w:r w:rsidRPr="00100B72">
          <w:rPr>
            <w:rStyle w:val="Hyperlink"/>
            <w:rFonts w:asciiTheme="minorHAnsi" w:hAnsiTheme="minorHAnsi" w:cstheme="minorHAnsi"/>
            <w:sz w:val="22"/>
            <w:szCs w:val="22"/>
            <w:bdr w:val="single" w:sz="2" w:space="0" w:color="ECEDEE" w:frame="1"/>
            <w:shd w:val="clear" w:color="auto" w:fill="FFFFFF"/>
          </w:rPr>
          <w:t>https://doi.org/10.1111/j.1467-8624.1992.tb01694.x</w:t>
        </w:r>
      </w:hyperlink>
      <w:r w:rsidRPr="00100B72">
        <w:rPr>
          <w:rFonts w:asciiTheme="minorHAnsi" w:hAnsiTheme="minorHAnsi" w:cstheme="minorHAnsi"/>
          <w:color w:val="05103E"/>
          <w:sz w:val="22"/>
          <w:szCs w:val="22"/>
          <w:shd w:val="clear" w:color="auto" w:fill="FFFFFF"/>
        </w:rPr>
        <w:t>.</w:t>
      </w:r>
      <w:r w:rsidRPr="00100B72">
        <w:rPr>
          <w:rFonts w:asciiTheme="minorHAnsi" w:hAnsiTheme="minorHAnsi" w:cstheme="minorHAnsi"/>
          <w:color w:val="000000"/>
          <w:sz w:val="22"/>
          <w:szCs w:val="22"/>
        </w:rPr>
        <w:t xml:space="preserve"> (Accessed: November 10, 2022). </w:t>
      </w:r>
    </w:p>
    <w:p w14:paraId="08DCBDA7" w14:textId="77777777" w:rsidR="00DB526E" w:rsidRPr="00100B72" w:rsidRDefault="00DB526E" w:rsidP="00FB3C7E">
      <w:pPr>
        <w:pStyle w:val="NormalWeb"/>
        <w:ind w:left="567" w:hanging="567"/>
        <w:rPr>
          <w:rFonts w:asciiTheme="minorHAnsi" w:hAnsiTheme="minorHAnsi" w:cstheme="minorHAnsi"/>
          <w:sz w:val="22"/>
          <w:szCs w:val="22"/>
          <w:shd w:val="clear" w:color="auto" w:fill="FFFFFF"/>
        </w:rPr>
      </w:pPr>
      <w:r w:rsidRPr="00100B72">
        <w:rPr>
          <w:rFonts w:asciiTheme="minorHAnsi" w:hAnsiTheme="minorHAnsi" w:cstheme="minorHAnsi"/>
          <w:sz w:val="22"/>
          <w:szCs w:val="22"/>
          <w:shd w:val="clear" w:color="auto" w:fill="FFFFFF"/>
        </w:rPr>
        <w:t>Welsh Government, (2019)</w:t>
      </w:r>
      <w:r w:rsidRPr="00100B72">
        <w:rPr>
          <w:rFonts w:asciiTheme="minorHAnsi" w:hAnsiTheme="minorHAnsi" w:cstheme="minorHAnsi"/>
          <w:i/>
          <w:iCs/>
          <w:sz w:val="22"/>
          <w:szCs w:val="22"/>
          <w:shd w:val="clear" w:color="auto" w:fill="FFFFFF"/>
        </w:rPr>
        <w:t xml:space="preserve"> Professional Standards for Teaching and Leadership</w:t>
      </w:r>
      <w:r w:rsidRPr="00100B72">
        <w:rPr>
          <w:rFonts w:asciiTheme="minorHAnsi" w:hAnsiTheme="minorHAnsi" w:cstheme="minorHAnsi"/>
          <w:sz w:val="22"/>
          <w:szCs w:val="22"/>
          <w:shd w:val="clear" w:color="auto" w:fill="FFFFFF"/>
        </w:rPr>
        <w:t xml:space="preserve">. [pdf leaflet] </w:t>
      </w:r>
      <w:proofErr w:type="spellStart"/>
      <w:r w:rsidRPr="00100B72">
        <w:rPr>
          <w:rFonts w:asciiTheme="minorHAnsi" w:hAnsiTheme="minorHAnsi" w:cstheme="minorHAnsi"/>
          <w:sz w:val="22"/>
          <w:szCs w:val="22"/>
          <w:shd w:val="clear" w:color="auto" w:fill="FFFFFF"/>
        </w:rPr>
        <w:t>Caerdydd</w:t>
      </w:r>
      <w:proofErr w:type="spellEnd"/>
      <w:r w:rsidRPr="00100B72">
        <w:rPr>
          <w:rFonts w:asciiTheme="minorHAnsi" w:hAnsiTheme="minorHAnsi" w:cstheme="minorHAnsi"/>
          <w:sz w:val="22"/>
          <w:szCs w:val="22"/>
          <w:shd w:val="clear" w:color="auto" w:fill="FFFFFF"/>
        </w:rPr>
        <w:t>: Education Wales. Available at: https://hwb.gov.wales/api/storage/19bc948b-8a3f-41e0-944a-7bf2cadf7d18/professional-standards-for-teaching-and-leadership-interactive-pdf-for-pc.pdf [Accessed 14 October 2022].</w:t>
      </w:r>
    </w:p>
    <w:p w14:paraId="642361D7" w14:textId="77777777" w:rsidR="00FB3C7E" w:rsidRPr="00FB3C7E" w:rsidRDefault="00FB3C7E" w:rsidP="00FB3C7E">
      <w:pPr>
        <w:spacing w:before="100" w:beforeAutospacing="1" w:after="100" w:afterAutospacing="1"/>
        <w:ind w:left="567" w:hanging="567"/>
        <w:rPr>
          <w:color w:val="000000"/>
        </w:rPr>
      </w:pPr>
    </w:p>
    <w:p w14:paraId="56CE3ED8" w14:textId="77777777" w:rsidR="00FB3C7E" w:rsidRPr="002554EC" w:rsidRDefault="00FB3C7E" w:rsidP="00FB3C7E">
      <w:pPr>
        <w:rPr>
          <w:color w:val="2C72B7"/>
          <w:sz w:val="22"/>
          <w:szCs w:val="22"/>
          <w:u w:val="single"/>
        </w:rPr>
      </w:pPr>
    </w:p>
    <w:p w14:paraId="73D0951A" w14:textId="77777777" w:rsidR="00FB3C7E" w:rsidRPr="00063244" w:rsidRDefault="00FB3C7E" w:rsidP="00FB3C7E">
      <w:pPr>
        <w:spacing w:before="100" w:beforeAutospacing="1" w:after="100" w:afterAutospacing="1"/>
        <w:ind w:left="567" w:hanging="567"/>
      </w:pPr>
    </w:p>
    <w:p w14:paraId="23F506B9" w14:textId="77777777" w:rsidR="00FB3C7E" w:rsidRPr="00063244" w:rsidRDefault="00FB3C7E" w:rsidP="00FB3C7E">
      <w:pPr>
        <w:spacing w:before="100" w:beforeAutospacing="1" w:after="100" w:afterAutospacing="1"/>
      </w:pPr>
    </w:p>
    <w:p w14:paraId="0A0FBFDA" w14:textId="77777777" w:rsidR="00FB3C7E" w:rsidRDefault="00FB3C7E" w:rsidP="00FB3C7E">
      <w:pPr>
        <w:rPr>
          <w:rFonts w:asciiTheme="minorHAnsi" w:hAnsiTheme="minorHAnsi" w:cstheme="minorHAnsi"/>
          <w:color w:val="333333"/>
          <w:shd w:val="clear" w:color="auto" w:fill="FCFCFC"/>
        </w:rPr>
      </w:pPr>
    </w:p>
    <w:p w14:paraId="167B4C0B" w14:textId="77777777" w:rsidR="00FB3C7E" w:rsidRDefault="00FB3C7E" w:rsidP="00FB3C7E">
      <w:pPr>
        <w:spacing w:before="100" w:beforeAutospacing="1" w:after="100" w:afterAutospacing="1"/>
        <w:ind w:left="567" w:hanging="567"/>
        <w:rPr>
          <w:color w:val="000000"/>
        </w:rPr>
      </w:pPr>
    </w:p>
    <w:p w14:paraId="5EF20CE2" w14:textId="77777777" w:rsidR="000C525E" w:rsidRDefault="000C525E"/>
    <w:sectPr w:rsidR="000C525E">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36895" w14:textId="77777777" w:rsidR="00743156" w:rsidRDefault="00743156" w:rsidP="00FB3C7E">
      <w:r>
        <w:separator/>
      </w:r>
    </w:p>
  </w:endnote>
  <w:endnote w:type="continuationSeparator" w:id="0">
    <w:p w14:paraId="03900710" w14:textId="77777777" w:rsidR="00743156" w:rsidRDefault="00743156" w:rsidP="00FB3C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7296679"/>
      <w:docPartObj>
        <w:docPartGallery w:val="Page Numbers (Bottom of Page)"/>
        <w:docPartUnique/>
      </w:docPartObj>
    </w:sdtPr>
    <w:sdtContent>
      <w:p w14:paraId="616D6141" w14:textId="6E127717" w:rsidR="00100B72" w:rsidRDefault="00100B72" w:rsidP="00361D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C0CC60" w14:textId="77777777" w:rsidR="00100B72" w:rsidRDefault="00100B72" w:rsidP="00100B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9147823"/>
      <w:docPartObj>
        <w:docPartGallery w:val="Page Numbers (Bottom of Page)"/>
        <w:docPartUnique/>
      </w:docPartObj>
    </w:sdtPr>
    <w:sdtContent>
      <w:p w14:paraId="0D0B7971" w14:textId="4F361A88" w:rsidR="00100B72" w:rsidRDefault="00100B72" w:rsidP="00361D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C8665A" w14:textId="77777777" w:rsidR="00100B72" w:rsidRDefault="00100B72" w:rsidP="00100B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28ABD" w14:textId="77777777" w:rsidR="00743156" w:rsidRDefault="00743156" w:rsidP="00FB3C7E">
      <w:r>
        <w:separator/>
      </w:r>
    </w:p>
  </w:footnote>
  <w:footnote w:type="continuationSeparator" w:id="0">
    <w:p w14:paraId="524FA91C" w14:textId="77777777" w:rsidR="00743156" w:rsidRDefault="00743156" w:rsidP="00FB3C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4D5B30" w14:textId="713F000C" w:rsidR="00FB3C7E" w:rsidRDefault="00FB3C7E">
    <w:pPr>
      <w:pStyle w:val="Header"/>
    </w:pPr>
    <w:r>
      <w:t>Dani Wilson 1551481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5CAD"/>
    <w:multiLevelType w:val="multilevel"/>
    <w:tmpl w:val="67F22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2314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3C7E"/>
    <w:rsid w:val="000C525E"/>
    <w:rsid w:val="00100B72"/>
    <w:rsid w:val="0012563E"/>
    <w:rsid w:val="001A790F"/>
    <w:rsid w:val="0030039B"/>
    <w:rsid w:val="004A2483"/>
    <w:rsid w:val="004A6C56"/>
    <w:rsid w:val="00566B0E"/>
    <w:rsid w:val="00577B33"/>
    <w:rsid w:val="00645268"/>
    <w:rsid w:val="006B711B"/>
    <w:rsid w:val="00704798"/>
    <w:rsid w:val="00743156"/>
    <w:rsid w:val="00856A07"/>
    <w:rsid w:val="009F3BB0"/>
    <w:rsid w:val="00AC2197"/>
    <w:rsid w:val="00B02546"/>
    <w:rsid w:val="00B27592"/>
    <w:rsid w:val="00CB5A1D"/>
    <w:rsid w:val="00DB526E"/>
    <w:rsid w:val="00E26E11"/>
    <w:rsid w:val="00E32E11"/>
    <w:rsid w:val="00FB3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DD10D"/>
  <w15:chartTrackingRefBased/>
  <w15:docId w15:val="{B0EA0EE0-A6DB-2A46-AFBA-55A90303E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C7E"/>
    <w:rPr>
      <w:rFonts w:ascii="Times New Roman" w:eastAsia="Times New Roman" w:hAnsi="Times New Roman" w:cs="Times New Roman"/>
      <w:lang w:eastAsia="en-GB"/>
    </w:rPr>
  </w:style>
  <w:style w:type="paragraph" w:styleId="Heading1">
    <w:name w:val="heading 1"/>
    <w:basedOn w:val="Normal"/>
    <w:link w:val="Heading1Char"/>
    <w:uiPriority w:val="9"/>
    <w:qFormat/>
    <w:rsid w:val="00FB3C7E"/>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FB3C7E"/>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C7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FB3C7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B3C7E"/>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B3C7E"/>
  </w:style>
  <w:style w:type="paragraph" w:styleId="Footer">
    <w:name w:val="footer"/>
    <w:basedOn w:val="Normal"/>
    <w:link w:val="FooterChar"/>
    <w:uiPriority w:val="99"/>
    <w:unhideWhenUsed/>
    <w:rsid w:val="00FB3C7E"/>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B3C7E"/>
  </w:style>
  <w:style w:type="character" w:styleId="Hyperlink">
    <w:name w:val="Hyperlink"/>
    <w:basedOn w:val="DefaultParagraphFont"/>
    <w:uiPriority w:val="99"/>
    <w:unhideWhenUsed/>
    <w:rsid w:val="00FB3C7E"/>
    <w:rPr>
      <w:color w:val="0563C1" w:themeColor="hyperlink"/>
      <w:u w:val="single"/>
    </w:rPr>
  </w:style>
  <w:style w:type="character" w:customStyle="1" w:styleId="UnresolvedMention1">
    <w:name w:val="Unresolved Mention1"/>
    <w:basedOn w:val="DefaultParagraphFont"/>
    <w:uiPriority w:val="99"/>
    <w:semiHidden/>
    <w:unhideWhenUsed/>
    <w:rsid w:val="00FB3C7E"/>
    <w:rPr>
      <w:color w:val="605E5C"/>
      <w:shd w:val="clear" w:color="auto" w:fill="E1DFDD"/>
    </w:rPr>
  </w:style>
  <w:style w:type="character" w:styleId="FollowedHyperlink">
    <w:name w:val="FollowedHyperlink"/>
    <w:basedOn w:val="DefaultParagraphFont"/>
    <w:uiPriority w:val="99"/>
    <w:semiHidden/>
    <w:unhideWhenUsed/>
    <w:rsid w:val="00FB3C7E"/>
    <w:rPr>
      <w:color w:val="954F72" w:themeColor="followedHyperlink"/>
      <w:u w:val="single"/>
    </w:rPr>
  </w:style>
  <w:style w:type="character" w:customStyle="1" w:styleId="issue-heading">
    <w:name w:val="issue-heading"/>
    <w:basedOn w:val="DefaultParagraphFont"/>
    <w:rsid w:val="00FB3C7E"/>
  </w:style>
  <w:style w:type="character" w:customStyle="1" w:styleId="authors">
    <w:name w:val="authors"/>
    <w:basedOn w:val="DefaultParagraphFont"/>
    <w:rsid w:val="00FB3C7E"/>
  </w:style>
  <w:style w:type="character" w:customStyle="1" w:styleId="Date1">
    <w:name w:val="Date1"/>
    <w:basedOn w:val="DefaultParagraphFont"/>
    <w:rsid w:val="00FB3C7E"/>
  </w:style>
  <w:style w:type="character" w:customStyle="1" w:styleId="arttitle">
    <w:name w:val="art_title"/>
    <w:basedOn w:val="DefaultParagraphFont"/>
    <w:rsid w:val="00FB3C7E"/>
  </w:style>
  <w:style w:type="character" w:customStyle="1" w:styleId="serialtitle">
    <w:name w:val="serial_title"/>
    <w:basedOn w:val="DefaultParagraphFont"/>
    <w:rsid w:val="00FB3C7E"/>
  </w:style>
  <w:style w:type="character" w:customStyle="1" w:styleId="volumeissue">
    <w:name w:val="volume_issue"/>
    <w:basedOn w:val="DefaultParagraphFont"/>
    <w:rsid w:val="00FB3C7E"/>
  </w:style>
  <w:style w:type="character" w:customStyle="1" w:styleId="pagerange">
    <w:name w:val="page_range"/>
    <w:basedOn w:val="DefaultParagraphFont"/>
    <w:rsid w:val="00FB3C7E"/>
  </w:style>
  <w:style w:type="character" w:customStyle="1" w:styleId="doilink">
    <w:name w:val="doi_link"/>
    <w:basedOn w:val="DefaultParagraphFont"/>
    <w:rsid w:val="00FB3C7E"/>
  </w:style>
  <w:style w:type="character" w:styleId="Emphasis">
    <w:name w:val="Emphasis"/>
    <w:basedOn w:val="DefaultParagraphFont"/>
    <w:uiPriority w:val="20"/>
    <w:qFormat/>
    <w:rsid w:val="00FB3C7E"/>
    <w:rPr>
      <w:i/>
      <w:iCs/>
    </w:rPr>
  </w:style>
  <w:style w:type="character" w:customStyle="1" w:styleId="product-banner-author">
    <w:name w:val="product-banner-author"/>
    <w:basedOn w:val="DefaultParagraphFont"/>
    <w:rsid w:val="00FB3C7E"/>
  </w:style>
  <w:style w:type="character" w:customStyle="1" w:styleId="product-banner-author-name">
    <w:name w:val="product-banner-author-name"/>
    <w:basedOn w:val="DefaultParagraphFont"/>
    <w:rsid w:val="00FB3C7E"/>
  </w:style>
  <w:style w:type="character" w:customStyle="1" w:styleId="fm-vol-iss-date">
    <w:name w:val="fm-vol-iss-date"/>
    <w:basedOn w:val="DefaultParagraphFont"/>
    <w:rsid w:val="00FB3C7E"/>
  </w:style>
  <w:style w:type="character" w:customStyle="1" w:styleId="doi">
    <w:name w:val="doi"/>
    <w:basedOn w:val="DefaultParagraphFont"/>
    <w:rsid w:val="00FB3C7E"/>
  </w:style>
  <w:style w:type="character" w:customStyle="1" w:styleId="fm-citation-ids-label">
    <w:name w:val="fm-citation-ids-label"/>
    <w:basedOn w:val="DefaultParagraphFont"/>
    <w:rsid w:val="00FB3C7E"/>
  </w:style>
  <w:style w:type="character" w:customStyle="1" w:styleId="accordion-tabbedtab-mobile">
    <w:name w:val="accordion-tabbed__tab-mobile"/>
    <w:basedOn w:val="DefaultParagraphFont"/>
    <w:rsid w:val="00FB3C7E"/>
  </w:style>
  <w:style w:type="character" w:customStyle="1" w:styleId="comma-separator">
    <w:name w:val="comma-separator"/>
    <w:basedOn w:val="DefaultParagraphFont"/>
    <w:rsid w:val="00FB3C7E"/>
  </w:style>
  <w:style w:type="character" w:customStyle="1" w:styleId="epub-state">
    <w:name w:val="epub-state"/>
    <w:basedOn w:val="DefaultParagraphFont"/>
    <w:rsid w:val="00FB3C7E"/>
  </w:style>
  <w:style w:type="character" w:customStyle="1" w:styleId="epub-date">
    <w:name w:val="epub-date"/>
    <w:basedOn w:val="DefaultParagraphFont"/>
    <w:rsid w:val="00FB3C7E"/>
  </w:style>
  <w:style w:type="character" w:customStyle="1" w:styleId="field-content">
    <w:name w:val="field-content"/>
    <w:basedOn w:val="DefaultParagraphFont"/>
    <w:rsid w:val="00FB3C7E"/>
  </w:style>
  <w:style w:type="character" w:customStyle="1" w:styleId="sr-only">
    <w:name w:val="sr-only"/>
    <w:basedOn w:val="DefaultParagraphFont"/>
    <w:rsid w:val="00FB3C7E"/>
  </w:style>
  <w:style w:type="character" w:customStyle="1" w:styleId="title-text">
    <w:name w:val="title-text"/>
    <w:basedOn w:val="DefaultParagraphFont"/>
    <w:rsid w:val="00FB3C7E"/>
  </w:style>
  <w:style w:type="paragraph" w:styleId="Revision">
    <w:name w:val="Revision"/>
    <w:hidden/>
    <w:uiPriority w:val="99"/>
    <w:semiHidden/>
    <w:rsid w:val="00FB3C7E"/>
    <w:rPr>
      <w:rFonts w:ascii="Times New Roman" w:eastAsia="Times New Roman" w:hAnsi="Times New Roman" w:cs="Times New Roman"/>
      <w:lang w:eastAsia="en-GB"/>
    </w:rPr>
  </w:style>
  <w:style w:type="paragraph" w:styleId="NormalWeb">
    <w:name w:val="Normal (Web)"/>
    <w:basedOn w:val="Normal"/>
    <w:uiPriority w:val="99"/>
    <w:rsid w:val="00FB3C7E"/>
    <w:pPr>
      <w:autoSpaceDN w:val="0"/>
      <w:spacing w:before="100" w:after="100"/>
    </w:pPr>
  </w:style>
  <w:style w:type="paragraph" w:styleId="ListParagraph">
    <w:name w:val="List Paragraph"/>
    <w:basedOn w:val="Normal"/>
    <w:uiPriority w:val="34"/>
    <w:qFormat/>
    <w:rsid w:val="00FB3C7E"/>
    <w:pPr>
      <w:ind w:left="720"/>
      <w:contextualSpacing/>
    </w:pPr>
  </w:style>
  <w:style w:type="character" w:customStyle="1" w:styleId="apple-converted-space">
    <w:name w:val="apple-converted-space"/>
    <w:basedOn w:val="DefaultParagraphFont"/>
    <w:rsid w:val="00FB3C7E"/>
  </w:style>
  <w:style w:type="paragraph" w:styleId="BalloonText">
    <w:name w:val="Balloon Text"/>
    <w:basedOn w:val="Normal"/>
    <w:link w:val="BalloonTextChar"/>
    <w:uiPriority w:val="99"/>
    <w:semiHidden/>
    <w:unhideWhenUsed/>
    <w:rsid w:val="00E26E1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6E11"/>
    <w:rPr>
      <w:rFonts w:ascii="Segoe UI" w:eastAsia="Times New Roman" w:hAnsi="Segoe UI" w:cs="Segoe UI"/>
      <w:sz w:val="18"/>
      <w:szCs w:val="18"/>
      <w:lang w:eastAsia="en-GB"/>
    </w:rPr>
  </w:style>
  <w:style w:type="character" w:styleId="CommentReference">
    <w:name w:val="annotation reference"/>
    <w:basedOn w:val="DefaultParagraphFont"/>
    <w:uiPriority w:val="99"/>
    <w:semiHidden/>
    <w:unhideWhenUsed/>
    <w:rsid w:val="004A6C56"/>
    <w:rPr>
      <w:sz w:val="16"/>
      <w:szCs w:val="16"/>
    </w:rPr>
  </w:style>
  <w:style w:type="paragraph" w:styleId="CommentText">
    <w:name w:val="annotation text"/>
    <w:basedOn w:val="Normal"/>
    <w:link w:val="CommentTextChar"/>
    <w:uiPriority w:val="99"/>
    <w:semiHidden/>
    <w:unhideWhenUsed/>
    <w:rsid w:val="004A6C56"/>
    <w:rPr>
      <w:sz w:val="20"/>
      <w:szCs w:val="20"/>
    </w:rPr>
  </w:style>
  <w:style w:type="character" w:customStyle="1" w:styleId="CommentTextChar">
    <w:name w:val="Comment Text Char"/>
    <w:basedOn w:val="DefaultParagraphFont"/>
    <w:link w:val="CommentText"/>
    <w:uiPriority w:val="99"/>
    <w:semiHidden/>
    <w:rsid w:val="004A6C5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A6C56"/>
    <w:rPr>
      <w:b/>
      <w:bCs/>
    </w:rPr>
  </w:style>
  <w:style w:type="character" w:customStyle="1" w:styleId="CommentSubjectChar">
    <w:name w:val="Comment Subject Char"/>
    <w:basedOn w:val="CommentTextChar"/>
    <w:link w:val="CommentSubject"/>
    <w:uiPriority w:val="99"/>
    <w:semiHidden/>
    <w:rsid w:val="004A6C56"/>
    <w:rPr>
      <w:rFonts w:ascii="Times New Roman" w:eastAsia="Times New Roman" w:hAnsi="Times New Roman" w:cs="Times New Roman"/>
      <w:b/>
      <w:bCs/>
      <w:sz w:val="20"/>
      <w:szCs w:val="20"/>
      <w:lang w:eastAsia="en-GB"/>
    </w:rPr>
  </w:style>
  <w:style w:type="character" w:styleId="PageNumber">
    <w:name w:val="page number"/>
    <w:basedOn w:val="DefaultParagraphFont"/>
    <w:uiPriority w:val="99"/>
    <w:semiHidden/>
    <w:unhideWhenUsed/>
    <w:rsid w:val="00100B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66847">
      <w:bodyDiv w:val="1"/>
      <w:marLeft w:val="0"/>
      <w:marRight w:val="0"/>
      <w:marTop w:val="0"/>
      <w:marBottom w:val="0"/>
      <w:divBdr>
        <w:top w:val="none" w:sz="0" w:space="0" w:color="auto"/>
        <w:left w:val="none" w:sz="0" w:space="0" w:color="auto"/>
        <w:bottom w:val="none" w:sz="0" w:space="0" w:color="auto"/>
        <w:right w:val="none" w:sz="0" w:space="0" w:color="auto"/>
      </w:divBdr>
    </w:div>
    <w:div w:id="205217067">
      <w:bodyDiv w:val="1"/>
      <w:marLeft w:val="0"/>
      <w:marRight w:val="0"/>
      <w:marTop w:val="0"/>
      <w:marBottom w:val="0"/>
      <w:divBdr>
        <w:top w:val="none" w:sz="0" w:space="0" w:color="auto"/>
        <w:left w:val="none" w:sz="0" w:space="0" w:color="auto"/>
        <w:bottom w:val="none" w:sz="0" w:space="0" w:color="auto"/>
        <w:right w:val="none" w:sz="0" w:space="0" w:color="auto"/>
      </w:divBdr>
    </w:div>
    <w:div w:id="748959812">
      <w:bodyDiv w:val="1"/>
      <w:marLeft w:val="0"/>
      <w:marRight w:val="0"/>
      <w:marTop w:val="0"/>
      <w:marBottom w:val="0"/>
      <w:divBdr>
        <w:top w:val="none" w:sz="0" w:space="0" w:color="auto"/>
        <w:left w:val="none" w:sz="0" w:space="0" w:color="auto"/>
        <w:bottom w:val="none" w:sz="0" w:space="0" w:color="auto"/>
        <w:right w:val="none" w:sz="0" w:space="0" w:color="auto"/>
      </w:divBdr>
    </w:div>
    <w:div w:id="1518811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7332042000175836" TargetMode="External"/><Relationship Id="rId13" Type="http://schemas.openxmlformats.org/officeDocument/2006/relationships/hyperlink" Target="https://doi.org/10.4324/9780203424681" TargetMode="External"/><Relationship Id="rId18" Type="http://schemas.openxmlformats.org/officeDocument/2006/relationships/hyperlink" Target="https://doi.org/10.1383/medc.31.4.18.27958"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80/1354060950010102" TargetMode="External"/><Relationship Id="rId17" Type="http://schemas.openxmlformats.org/officeDocument/2006/relationships/hyperlink" Target="https://doi.org/10.1016/j.jsp.2010.04.001" TargetMode="External"/><Relationship Id="rId2" Type="http://schemas.openxmlformats.org/officeDocument/2006/relationships/numbering" Target="numbering.xml"/><Relationship Id="rId16" Type="http://schemas.openxmlformats.org/officeDocument/2006/relationships/hyperlink" Target="https://doi.org/10.1037/fam000058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effective-practice/creating-nurturing-school-through-inclusive-approach-wellbein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ducationendowmentfoundation.org.uk/education-evidence/teaching-learning-toolkit/parental-engagement" TargetMode="External"/><Relationship Id="rId23" Type="http://schemas.openxmlformats.org/officeDocument/2006/relationships/fontTable" Target="fontTable.xml"/><Relationship Id="rId10" Type="http://schemas.openxmlformats.org/officeDocument/2006/relationships/hyperlink" Target="https://gov.wales/sites/default/files/publications/2018-10/council-for-economic-renewal-february-15-skills-recovery-and-growth.pdf" TargetMode="External"/><Relationship Id="rId19" Type="http://schemas.openxmlformats.org/officeDocument/2006/relationships/hyperlink" Target="https://doi.org/10.1111/j.1467-8624.1992.tb01694.x" TargetMode="External"/><Relationship Id="rId4" Type="http://schemas.openxmlformats.org/officeDocument/2006/relationships/settings" Target="settings.xml"/><Relationship Id="rId9" Type="http://schemas.openxmlformats.org/officeDocument/2006/relationships/hyperlink" Target="https://psycnet.apa.org/doi/10.1037/0012-1649.18.4.541" TargetMode="External"/><Relationship Id="rId14" Type="http://schemas.openxmlformats.org/officeDocument/2006/relationships/hyperlink" Target="http://www.simplypsychology.org/Bronfenbrenner.html"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12E208-3AEC-3047-BD54-BA2CBC5CC4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11</Pages>
  <Words>4995</Words>
  <Characters>29126</Characters>
  <Application>Microsoft Office Word</Application>
  <DocSecurity>0</DocSecurity>
  <Lines>529</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wilson</dc:creator>
  <cp:keywords/>
  <dc:description/>
  <cp:lastModifiedBy>danielle wilson</cp:lastModifiedBy>
  <cp:revision>4</cp:revision>
  <dcterms:created xsi:type="dcterms:W3CDTF">2022-11-14T17:53:00Z</dcterms:created>
  <dcterms:modified xsi:type="dcterms:W3CDTF">2022-11-14T18:12:00Z</dcterms:modified>
</cp:coreProperties>
</file>