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5D2D4" w14:textId="7E992BDF" w:rsidR="00AD4774" w:rsidRDefault="00AD4774" w:rsidP="00AD4774">
      <w:pPr>
        <w:rPr>
          <w:rFonts w:ascii="Arial" w:hAnsi="Arial" w:cs="Arial"/>
          <w:sz w:val="36"/>
          <w:szCs w:val="36"/>
        </w:rPr>
      </w:pPr>
      <w:r>
        <w:rPr>
          <w:rFonts w:ascii="Arial" w:hAnsi="Arial" w:cs="Arial"/>
          <w:sz w:val="36"/>
          <w:szCs w:val="36"/>
        </w:rPr>
        <w:t xml:space="preserve">Artefact task 4 – </w:t>
      </w:r>
      <w:r w:rsidRPr="00AD4774">
        <w:rPr>
          <w:rFonts w:ascii="Arial" w:hAnsi="Arial" w:cs="Arial"/>
          <w:sz w:val="36"/>
          <w:szCs w:val="36"/>
        </w:rPr>
        <w:t>Project Outcomes Written Assignment</w:t>
      </w:r>
    </w:p>
    <w:p w14:paraId="4235F79E" w14:textId="77777777" w:rsidR="00AD4774" w:rsidRDefault="00AD4774" w:rsidP="00AD4774">
      <w:pPr>
        <w:rPr>
          <w:rFonts w:ascii="Arial" w:hAnsi="Arial" w:cs="Arial"/>
          <w:sz w:val="36"/>
          <w:szCs w:val="36"/>
        </w:rPr>
      </w:pPr>
      <w:r>
        <w:rPr>
          <w:rFonts w:ascii="Arial" w:hAnsi="Arial" w:cs="Arial"/>
          <w:sz w:val="36"/>
          <w:szCs w:val="36"/>
        </w:rPr>
        <w:t xml:space="preserve">Module name: </w:t>
      </w:r>
      <w:r w:rsidRPr="0010509F">
        <w:rPr>
          <w:rFonts w:ascii="Arial" w:hAnsi="Arial" w:cs="Arial"/>
          <w:sz w:val="36"/>
          <w:szCs w:val="36"/>
        </w:rPr>
        <w:t>Changemakers: Creativity and Value Creation</w:t>
      </w:r>
    </w:p>
    <w:p w14:paraId="2B6931C1" w14:textId="77777777" w:rsidR="00AD4774" w:rsidRDefault="00AD4774" w:rsidP="00AD4774">
      <w:pPr>
        <w:rPr>
          <w:rFonts w:ascii="Arial" w:hAnsi="Arial" w:cs="Arial"/>
          <w:sz w:val="36"/>
          <w:szCs w:val="36"/>
        </w:rPr>
      </w:pPr>
      <w:r>
        <w:rPr>
          <w:rFonts w:ascii="Arial" w:hAnsi="Arial" w:cs="Arial"/>
          <w:sz w:val="36"/>
          <w:szCs w:val="36"/>
        </w:rPr>
        <w:t>Module code: BMHP5014_BIRM</w:t>
      </w:r>
    </w:p>
    <w:p w14:paraId="7DA68C48" w14:textId="77777777" w:rsidR="00AD4774" w:rsidRDefault="00AD4774" w:rsidP="00AD4774">
      <w:pPr>
        <w:rPr>
          <w:rFonts w:ascii="Arial" w:hAnsi="Arial" w:cs="Arial"/>
          <w:sz w:val="36"/>
          <w:szCs w:val="36"/>
        </w:rPr>
      </w:pPr>
      <w:r>
        <w:rPr>
          <w:rFonts w:ascii="Arial" w:hAnsi="Arial" w:cs="Arial"/>
          <w:sz w:val="36"/>
          <w:szCs w:val="36"/>
        </w:rPr>
        <w:t>Lecturer name: DR. Azora Hurd</w:t>
      </w:r>
    </w:p>
    <w:p w14:paraId="796097D2" w14:textId="77777777" w:rsidR="00AD4774" w:rsidRDefault="00AD4774" w:rsidP="00AD4774">
      <w:pPr>
        <w:rPr>
          <w:rFonts w:ascii="Arial" w:hAnsi="Arial" w:cs="Arial"/>
          <w:sz w:val="36"/>
          <w:szCs w:val="36"/>
        </w:rPr>
      </w:pPr>
      <w:r>
        <w:rPr>
          <w:rFonts w:ascii="Arial" w:hAnsi="Arial" w:cs="Arial"/>
          <w:sz w:val="36"/>
          <w:szCs w:val="36"/>
        </w:rPr>
        <w:t>Student name and code: Mihaela Cristina Duca (2026748)</w:t>
      </w:r>
    </w:p>
    <w:p w14:paraId="66B64A68" w14:textId="739930DC" w:rsidR="00EA3944" w:rsidRDefault="00000000"/>
    <w:p w14:paraId="56F45431" w14:textId="764EC7C5" w:rsidR="00AD4774" w:rsidRDefault="00AD4774"/>
    <w:p w14:paraId="4752C6F4" w14:textId="4DA7582E" w:rsidR="00AD4774" w:rsidRDefault="00AD4774"/>
    <w:p w14:paraId="27EEB8E0" w14:textId="0C372CE4" w:rsidR="00AD4774" w:rsidRDefault="00AD4774"/>
    <w:p w14:paraId="3BC1CD31" w14:textId="14E9AAA5" w:rsidR="00AD4774" w:rsidRDefault="00AD4774"/>
    <w:p w14:paraId="63442740" w14:textId="48A29BA4" w:rsidR="00AD4774" w:rsidRDefault="00AD4774"/>
    <w:p w14:paraId="2139B0CE" w14:textId="3D409A97" w:rsidR="00AD4774" w:rsidRDefault="00AD4774"/>
    <w:p w14:paraId="72775ED4" w14:textId="687DF242" w:rsidR="00AD4774" w:rsidRDefault="00AD4774"/>
    <w:p w14:paraId="42C3C8EF" w14:textId="6C00556F" w:rsidR="00AD4774" w:rsidRDefault="00AD4774"/>
    <w:p w14:paraId="63DA70A5" w14:textId="4E204461" w:rsidR="00AD4774" w:rsidRDefault="00AD4774"/>
    <w:p w14:paraId="46EC204B" w14:textId="6B9FBC07" w:rsidR="00AD4774" w:rsidRDefault="00AD4774"/>
    <w:p w14:paraId="69FD5020" w14:textId="35F7D7EF" w:rsidR="00AD4774" w:rsidRDefault="00AD4774"/>
    <w:p w14:paraId="0023AC6B" w14:textId="739A2802" w:rsidR="00AD4774" w:rsidRDefault="00AD4774"/>
    <w:p w14:paraId="7BFDDC32" w14:textId="54F561F9" w:rsidR="00AD4774" w:rsidRDefault="00AD4774"/>
    <w:p w14:paraId="64BC7861" w14:textId="2D6302CC" w:rsidR="00AD4774" w:rsidRDefault="00AD4774"/>
    <w:p w14:paraId="4A6F129E" w14:textId="222A0E51" w:rsidR="00AD4774" w:rsidRDefault="00AD4774"/>
    <w:p w14:paraId="427407E0" w14:textId="785EFD08" w:rsidR="00AD4774" w:rsidRDefault="00AD4774"/>
    <w:p w14:paraId="6F1E01E2" w14:textId="6D3B1D2E" w:rsidR="00AD4774" w:rsidRDefault="00AD4774"/>
    <w:p w14:paraId="0FDB6513" w14:textId="6EC14B03" w:rsidR="00AD4774" w:rsidRDefault="00AD4774"/>
    <w:p w14:paraId="0330721F" w14:textId="7496D099" w:rsidR="007C0426" w:rsidRDefault="007C0426"/>
    <w:p w14:paraId="58CD6668" w14:textId="5ADE990B" w:rsidR="007C0426" w:rsidRDefault="007C0426"/>
    <w:p w14:paraId="28A21F1A" w14:textId="6E8FF5B2" w:rsidR="007C0426" w:rsidRDefault="007C0426"/>
    <w:p w14:paraId="23D191EC" w14:textId="39D7BFB6" w:rsidR="007C0426" w:rsidRDefault="007C0426"/>
    <w:p w14:paraId="24E26CB4" w14:textId="1D710917" w:rsidR="007C0426" w:rsidRDefault="007C0426"/>
    <w:p w14:paraId="147666B7" w14:textId="1D4F262B" w:rsidR="007C0426" w:rsidRDefault="007C0426"/>
    <w:sdt>
      <w:sdtPr>
        <w:id w:val="16129301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232AAE0" w14:textId="1439B484" w:rsidR="007C0426" w:rsidRDefault="007C0426">
          <w:pPr>
            <w:pStyle w:val="TOCHeading"/>
          </w:pPr>
          <w:r>
            <w:t>Contents</w:t>
          </w:r>
        </w:p>
        <w:p w14:paraId="2207880E" w14:textId="575C0DD8" w:rsidR="007C0426" w:rsidRDefault="007C0426">
          <w:pPr>
            <w:pStyle w:val="TOC1"/>
            <w:tabs>
              <w:tab w:val="right" w:leader="dot" w:pos="9016"/>
            </w:tabs>
            <w:rPr>
              <w:noProof/>
            </w:rPr>
          </w:pPr>
          <w:r>
            <w:fldChar w:fldCharType="begin"/>
          </w:r>
          <w:r>
            <w:instrText xml:space="preserve"> TOC \o "1-3" \h \z \u </w:instrText>
          </w:r>
          <w:r>
            <w:fldChar w:fldCharType="separate"/>
          </w:r>
          <w:hyperlink w:anchor="_Toc109964862" w:history="1">
            <w:r w:rsidRPr="007E11B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_Toc109964862 \h </w:instrText>
            </w:r>
            <w:r>
              <w:rPr>
                <w:noProof/>
                <w:webHidden/>
              </w:rPr>
            </w:r>
            <w:r>
              <w:rPr>
                <w:noProof/>
                <w:webHidden/>
              </w:rPr>
              <w:fldChar w:fldCharType="separate"/>
            </w:r>
            <w:r>
              <w:rPr>
                <w:noProof/>
                <w:webHidden/>
              </w:rPr>
              <w:t>3</w:t>
            </w:r>
            <w:r>
              <w:rPr>
                <w:noProof/>
                <w:webHidden/>
              </w:rPr>
              <w:fldChar w:fldCharType="end"/>
            </w:r>
          </w:hyperlink>
        </w:p>
        <w:p w14:paraId="15FB589B" w14:textId="71227074" w:rsidR="007C0426" w:rsidRDefault="007C0426">
          <w:pPr>
            <w:pStyle w:val="TOC1"/>
            <w:tabs>
              <w:tab w:val="right" w:leader="dot" w:pos="9016"/>
            </w:tabs>
            <w:rPr>
              <w:noProof/>
            </w:rPr>
          </w:pPr>
          <w:hyperlink w:anchor="_Toc109964863" w:history="1">
            <w:r w:rsidRPr="007E11B2">
              <w:rPr>
                <w:rStyle w:val="Hyperlink"/>
                <w:rFonts w:ascii="Arial" w:hAnsi="Arial" w:cs="Arial"/>
                <w:noProof/>
              </w:rPr>
              <w:t>How innovation changes the world</w:t>
            </w:r>
            <w:r>
              <w:rPr>
                <w:noProof/>
                <w:webHidden/>
              </w:rPr>
              <w:tab/>
            </w:r>
            <w:r>
              <w:rPr>
                <w:noProof/>
                <w:webHidden/>
              </w:rPr>
              <w:fldChar w:fldCharType="begin"/>
            </w:r>
            <w:r>
              <w:rPr>
                <w:noProof/>
                <w:webHidden/>
              </w:rPr>
              <w:instrText xml:space="preserve"> PAGEREF _Toc109964863 \h </w:instrText>
            </w:r>
            <w:r>
              <w:rPr>
                <w:noProof/>
                <w:webHidden/>
              </w:rPr>
            </w:r>
            <w:r>
              <w:rPr>
                <w:noProof/>
                <w:webHidden/>
              </w:rPr>
              <w:fldChar w:fldCharType="separate"/>
            </w:r>
            <w:r>
              <w:rPr>
                <w:noProof/>
                <w:webHidden/>
              </w:rPr>
              <w:t>3</w:t>
            </w:r>
            <w:r>
              <w:rPr>
                <w:noProof/>
                <w:webHidden/>
              </w:rPr>
              <w:fldChar w:fldCharType="end"/>
            </w:r>
          </w:hyperlink>
        </w:p>
        <w:p w14:paraId="6682EBC7" w14:textId="47DF9D76" w:rsidR="007C0426" w:rsidRDefault="007C0426">
          <w:pPr>
            <w:pStyle w:val="TOC2"/>
            <w:tabs>
              <w:tab w:val="left" w:pos="660"/>
              <w:tab w:val="right" w:leader="dot" w:pos="9016"/>
            </w:tabs>
            <w:rPr>
              <w:noProof/>
            </w:rPr>
          </w:pPr>
          <w:hyperlink w:anchor="_Toc109964864" w:history="1">
            <w:r w:rsidRPr="007E11B2">
              <w:rPr>
                <w:rStyle w:val="Hyperlink"/>
                <w:rFonts w:ascii="Symbol" w:hAnsi="Symbol" w:cs="Arial"/>
                <w:noProof/>
              </w:rPr>
              <w:t></w:t>
            </w:r>
            <w:r>
              <w:rPr>
                <w:noProof/>
              </w:rPr>
              <w:tab/>
            </w:r>
            <w:r w:rsidRPr="007E11B2">
              <w:rPr>
                <w:rStyle w:val="Hyperlink"/>
                <w:rFonts w:ascii="Arial" w:hAnsi="Arial" w:cs="Arial"/>
                <w:noProof/>
              </w:rPr>
              <w:t>Kondratiev Wave Theory (KWT)</w:t>
            </w:r>
            <w:r>
              <w:rPr>
                <w:noProof/>
                <w:webHidden/>
              </w:rPr>
              <w:tab/>
            </w:r>
            <w:r>
              <w:rPr>
                <w:noProof/>
                <w:webHidden/>
              </w:rPr>
              <w:fldChar w:fldCharType="begin"/>
            </w:r>
            <w:r>
              <w:rPr>
                <w:noProof/>
                <w:webHidden/>
              </w:rPr>
              <w:instrText xml:space="preserve"> PAGEREF _Toc109964864 \h </w:instrText>
            </w:r>
            <w:r>
              <w:rPr>
                <w:noProof/>
                <w:webHidden/>
              </w:rPr>
            </w:r>
            <w:r>
              <w:rPr>
                <w:noProof/>
                <w:webHidden/>
              </w:rPr>
              <w:fldChar w:fldCharType="separate"/>
            </w:r>
            <w:r>
              <w:rPr>
                <w:noProof/>
                <w:webHidden/>
              </w:rPr>
              <w:t>3</w:t>
            </w:r>
            <w:r>
              <w:rPr>
                <w:noProof/>
                <w:webHidden/>
              </w:rPr>
              <w:fldChar w:fldCharType="end"/>
            </w:r>
          </w:hyperlink>
        </w:p>
        <w:p w14:paraId="479C1758" w14:textId="27A26AA4" w:rsidR="007C0426" w:rsidRDefault="007C0426">
          <w:pPr>
            <w:pStyle w:val="TOC2"/>
            <w:tabs>
              <w:tab w:val="left" w:pos="660"/>
              <w:tab w:val="right" w:leader="dot" w:pos="9016"/>
            </w:tabs>
            <w:rPr>
              <w:noProof/>
            </w:rPr>
          </w:pPr>
          <w:hyperlink w:anchor="_Toc109964865" w:history="1">
            <w:r w:rsidRPr="007E11B2">
              <w:rPr>
                <w:rStyle w:val="Hyperlink"/>
                <w:rFonts w:ascii="Symbol" w:hAnsi="Symbol" w:cs="Arial"/>
                <w:noProof/>
              </w:rPr>
              <w:t></w:t>
            </w:r>
            <w:r>
              <w:rPr>
                <w:noProof/>
              </w:rPr>
              <w:tab/>
            </w:r>
            <w:r w:rsidRPr="007E11B2">
              <w:rPr>
                <w:rStyle w:val="Hyperlink"/>
                <w:rFonts w:ascii="Arial" w:hAnsi="Arial" w:cs="Arial"/>
                <w:noProof/>
              </w:rPr>
              <w:t>What is Society 5.0?</w:t>
            </w:r>
            <w:r>
              <w:rPr>
                <w:noProof/>
                <w:webHidden/>
              </w:rPr>
              <w:tab/>
            </w:r>
            <w:r>
              <w:rPr>
                <w:noProof/>
                <w:webHidden/>
              </w:rPr>
              <w:fldChar w:fldCharType="begin"/>
            </w:r>
            <w:r>
              <w:rPr>
                <w:noProof/>
                <w:webHidden/>
              </w:rPr>
              <w:instrText xml:space="preserve"> PAGEREF _Toc109964865 \h </w:instrText>
            </w:r>
            <w:r>
              <w:rPr>
                <w:noProof/>
                <w:webHidden/>
              </w:rPr>
            </w:r>
            <w:r>
              <w:rPr>
                <w:noProof/>
                <w:webHidden/>
              </w:rPr>
              <w:fldChar w:fldCharType="separate"/>
            </w:r>
            <w:r>
              <w:rPr>
                <w:noProof/>
                <w:webHidden/>
              </w:rPr>
              <w:t>4</w:t>
            </w:r>
            <w:r>
              <w:rPr>
                <w:noProof/>
                <w:webHidden/>
              </w:rPr>
              <w:fldChar w:fldCharType="end"/>
            </w:r>
          </w:hyperlink>
        </w:p>
        <w:p w14:paraId="4A3873F1" w14:textId="20186B29" w:rsidR="007C0426" w:rsidRDefault="007C0426">
          <w:pPr>
            <w:pStyle w:val="TOC1"/>
            <w:tabs>
              <w:tab w:val="right" w:leader="dot" w:pos="9016"/>
            </w:tabs>
            <w:rPr>
              <w:noProof/>
            </w:rPr>
          </w:pPr>
          <w:hyperlink w:anchor="_Toc109964866" w:history="1">
            <w:r w:rsidRPr="007E11B2">
              <w:rPr>
                <w:rStyle w:val="Hyperlink"/>
                <w:rFonts w:ascii="Arial" w:hAnsi="Arial" w:cs="Arial"/>
                <w:noProof/>
              </w:rPr>
              <w:t>Entrepreneurship and innovation</w:t>
            </w:r>
            <w:r>
              <w:rPr>
                <w:noProof/>
                <w:webHidden/>
              </w:rPr>
              <w:tab/>
            </w:r>
            <w:r>
              <w:rPr>
                <w:noProof/>
                <w:webHidden/>
              </w:rPr>
              <w:fldChar w:fldCharType="begin"/>
            </w:r>
            <w:r>
              <w:rPr>
                <w:noProof/>
                <w:webHidden/>
              </w:rPr>
              <w:instrText xml:space="preserve"> PAGEREF _Toc109964866 \h </w:instrText>
            </w:r>
            <w:r>
              <w:rPr>
                <w:noProof/>
                <w:webHidden/>
              </w:rPr>
            </w:r>
            <w:r>
              <w:rPr>
                <w:noProof/>
                <w:webHidden/>
              </w:rPr>
              <w:fldChar w:fldCharType="separate"/>
            </w:r>
            <w:r>
              <w:rPr>
                <w:noProof/>
                <w:webHidden/>
              </w:rPr>
              <w:t>4</w:t>
            </w:r>
            <w:r>
              <w:rPr>
                <w:noProof/>
                <w:webHidden/>
              </w:rPr>
              <w:fldChar w:fldCharType="end"/>
            </w:r>
          </w:hyperlink>
        </w:p>
        <w:p w14:paraId="72C4D0BF" w14:textId="4F8FC241" w:rsidR="007C0426" w:rsidRDefault="007C0426">
          <w:pPr>
            <w:pStyle w:val="TOC1"/>
            <w:tabs>
              <w:tab w:val="right" w:leader="dot" w:pos="9016"/>
            </w:tabs>
            <w:rPr>
              <w:noProof/>
            </w:rPr>
          </w:pPr>
          <w:hyperlink w:anchor="_Toc109964867" w:history="1">
            <w:r w:rsidRPr="007E11B2">
              <w:rPr>
                <w:rStyle w:val="Hyperlink"/>
                <w:rFonts w:ascii="Arial" w:hAnsi="Arial" w:cs="Arial"/>
                <w:noProof/>
              </w:rPr>
              <w:t>Collaboration and competition</w:t>
            </w:r>
            <w:r>
              <w:rPr>
                <w:noProof/>
                <w:webHidden/>
              </w:rPr>
              <w:tab/>
            </w:r>
            <w:r>
              <w:rPr>
                <w:noProof/>
                <w:webHidden/>
              </w:rPr>
              <w:fldChar w:fldCharType="begin"/>
            </w:r>
            <w:r>
              <w:rPr>
                <w:noProof/>
                <w:webHidden/>
              </w:rPr>
              <w:instrText xml:space="preserve"> PAGEREF _Toc109964867 \h </w:instrText>
            </w:r>
            <w:r>
              <w:rPr>
                <w:noProof/>
                <w:webHidden/>
              </w:rPr>
            </w:r>
            <w:r>
              <w:rPr>
                <w:noProof/>
                <w:webHidden/>
              </w:rPr>
              <w:fldChar w:fldCharType="separate"/>
            </w:r>
            <w:r>
              <w:rPr>
                <w:noProof/>
                <w:webHidden/>
              </w:rPr>
              <w:t>5</w:t>
            </w:r>
            <w:r>
              <w:rPr>
                <w:noProof/>
                <w:webHidden/>
              </w:rPr>
              <w:fldChar w:fldCharType="end"/>
            </w:r>
          </w:hyperlink>
        </w:p>
        <w:p w14:paraId="03891452" w14:textId="2899557D" w:rsidR="007C0426" w:rsidRDefault="007C0426">
          <w:pPr>
            <w:pStyle w:val="TOC1"/>
            <w:tabs>
              <w:tab w:val="right" w:leader="dot" w:pos="9016"/>
            </w:tabs>
            <w:rPr>
              <w:noProof/>
            </w:rPr>
          </w:pPr>
          <w:hyperlink w:anchor="_Toc109964868" w:history="1">
            <w:r w:rsidRPr="007E11B2">
              <w:rPr>
                <w:rStyle w:val="Hyperlink"/>
                <w:rFonts w:ascii="Arial" w:hAnsi="Arial" w:cs="Arial"/>
                <w:noProof/>
              </w:rPr>
              <w:t>Personal evaluations</w:t>
            </w:r>
            <w:r>
              <w:rPr>
                <w:noProof/>
                <w:webHidden/>
              </w:rPr>
              <w:tab/>
            </w:r>
            <w:r>
              <w:rPr>
                <w:noProof/>
                <w:webHidden/>
              </w:rPr>
              <w:fldChar w:fldCharType="begin"/>
            </w:r>
            <w:r>
              <w:rPr>
                <w:noProof/>
                <w:webHidden/>
              </w:rPr>
              <w:instrText xml:space="preserve"> PAGEREF _Toc109964868 \h </w:instrText>
            </w:r>
            <w:r>
              <w:rPr>
                <w:noProof/>
                <w:webHidden/>
              </w:rPr>
            </w:r>
            <w:r>
              <w:rPr>
                <w:noProof/>
                <w:webHidden/>
              </w:rPr>
              <w:fldChar w:fldCharType="separate"/>
            </w:r>
            <w:r>
              <w:rPr>
                <w:noProof/>
                <w:webHidden/>
              </w:rPr>
              <w:t>6</w:t>
            </w:r>
            <w:r>
              <w:rPr>
                <w:noProof/>
                <w:webHidden/>
              </w:rPr>
              <w:fldChar w:fldCharType="end"/>
            </w:r>
          </w:hyperlink>
        </w:p>
        <w:p w14:paraId="3CDD34AD" w14:textId="24D526CB" w:rsidR="007C0426" w:rsidRDefault="007C0426">
          <w:pPr>
            <w:pStyle w:val="TOC1"/>
            <w:tabs>
              <w:tab w:val="right" w:leader="dot" w:pos="9016"/>
            </w:tabs>
            <w:rPr>
              <w:noProof/>
            </w:rPr>
          </w:pPr>
          <w:hyperlink w:anchor="_Toc109964869" w:history="1">
            <w:r w:rsidRPr="007E11B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_Toc109964869 \h </w:instrText>
            </w:r>
            <w:r>
              <w:rPr>
                <w:noProof/>
                <w:webHidden/>
              </w:rPr>
            </w:r>
            <w:r>
              <w:rPr>
                <w:noProof/>
                <w:webHidden/>
              </w:rPr>
              <w:fldChar w:fldCharType="separate"/>
            </w:r>
            <w:r>
              <w:rPr>
                <w:noProof/>
                <w:webHidden/>
              </w:rPr>
              <w:t>7</w:t>
            </w:r>
            <w:r>
              <w:rPr>
                <w:noProof/>
                <w:webHidden/>
              </w:rPr>
              <w:fldChar w:fldCharType="end"/>
            </w:r>
          </w:hyperlink>
        </w:p>
        <w:p w14:paraId="0D3AB51B" w14:textId="07D2DB0F" w:rsidR="007C0426" w:rsidRDefault="007C0426">
          <w:pPr>
            <w:pStyle w:val="TOC1"/>
            <w:tabs>
              <w:tab w:val="right" w:leader="dot" w:pos="9016"/>
            </w:tabs>
            <w:rPr>
              <w:noProof/>
            </w:rPr>
          </w:pPr>
          <w:hyperlink w:anchor="_Toc109964870" w:history="1">
            <w:r w:rsidRPr="007E11B2">
              <w:rPr>
                <w:rStyle w:val="Hyperlink"/>
                <w:noProof/>
              </w:rPr>
              <w:t>References</w:t>
            </w:r>
            <w:r>
              <w:rPr>
                <w:noProof/>
                <w:webHidden/>
              </w:rPr>
              <w:tab/>
            </w:r>
            <w:r>
              <w:rPr>
                <w:noProof/>
                <w:webHidden/>
              </w:rPr>
              <w:fldChar w:fldCharType="begin"/>
            </w:r>
            <w:r>
              <w:rPr>
                <w:noProof/>
                <w:webHidden/>
              </w:rPr>
              <w:instrText xml:space="preserve"> PAGEREF _Toc109964870 \h </w:instrText>
            </w:r>
            <w:r>
              <w:rPr>
                <w:noProof/>
                <w:webHidden/>
              </w:rPr>
            </w:r>
            <w:r>
              <w:rPr>
                <w:noProof/>
                <w:webHidden/>
              </w:rPr>
              <w:fldChar w:fldCharType="separate"/>
            </w:r>
            <w:r>
              <w:rPr>
                <w:noProof/>
                <w:webHidden/>
              </w:rPr>
              <w:t>8</w:t>
            </w:r>
            <w:r>
              <w:rPr>
                <w:noProof/>
                <w:webHidden/>
              </w:rPr>
              <w:fldChar w:fldCharType="end"/>
            </w:r>
          </w:hyperlink>
        </w:p>
        <w:p w14:paraId="6CD1F4CA" w14:textId="41B69332" w:rsidR="007C0426" w:rsidRDefault="007C0426">
          <w:r>
            <w:rPr>
              <w:b/>
              <w:bCs/>
              <w:noProof/>
            </w:rPr>
            <w:fldChar w:fldCharType="end"/>
          </w:r>
        </w:p>
      </w:sdtContent>
    </w:sdt>
    <w:p w14:paraId="0077EF21" w14:textId="141D7E9C" w:rsidR="007C0426" w:rsidRDefault="007C0426"/>
    <w:p w14:paraId="4A8EF44C" w14:textId="693EF3D7" w:rsidR="007C0426" w:rsidRDefault="007C0426"/>
    <w:p w14:paraId="2F1D7ABD" w14:textId="18FA7343" w:rsidR="007C0426" w:rsidRDefault="007C0426"/>
    <w:p w14:paraId="5B249992" w14:textId="262453C7" w:rsidR="007C0426" w:rsidRDefault="007C0426"/>
    <w:p w14:paraId="5AAEB5AF" w14:textId="7B7CE3D8" w:rsidR="007C0426" w:rsidRDefault="007C0426"/>
    <w:p w14:paraId="013DDD8B" w14:textId="3D68CB94" w:rsidR="007C0426" w:rsidRDefault="007C0426"/>
    <w:p w14:paraId="7856BB70" w14:textId="049DE23C" w:rsidR="007C0426" w:rsidRDefault="007C0426"/>
    <w:p w14:paraId="37FCDDDB" w14:textId="7AD7EE07" w:rsidR="007C0426" w:rsidRDefault="007C0426"/>
    <w:p w14:paraId="48D369B8" w14:textId="718B9653" w:rsidR="007C0426" w:rsidRDefault="007C0426"/>
    <w:p w14:paraId="1312F03B" w14:textId="5896C77F" w:rsidR="007C0426" w:rsidRDefault="007C0426"/>
    <w:p w14:paraId="2B703897" w14:textId="0B37D073" w:rsidR="007C0426" w:rsidRDefault="007C0426"/>
    <w:p w14:paraId="77448C36" w14:textId="1BC3FBEA" w:rsidR="007C0426" w:rsidRDefault="007C0426"/>
    <w:p w14:paraId="48A40312" w14:textId="571692D1" w:rsidR="007C0426" w:rsidRDefault="007C0426"/>
    <w:p w14:paraId="180B4E7E" w14:textId="04CF0734" w:rsidR="007C0426" w:rsidRDefault="007C0426"/>
    <w:p w14:paraId="1553F7B0" w14:textId="5151CB57" w:rsidR="007C0426" w:rsidRDefault="007C0426"/>
    <w:p w14:paraId="49F2AF7B" w14:textId="7E42EA94" w:rsidR="007C0426" w:rsidRDefault="007C0426"/>
    <w:p w14:paraId="682E3B5B" w14:textId="77777777" w:rsidR="007C0426" w:rsidRDefault="007C0426"/>
    <w:p w14:paraId="6B803910" w14:textId="77777777" w:rsidR="007C0426" w:rsidRDefault="007C0426"/>
    <w:p w14:paraId="49D59547" w14:textId="0B372912" w:rsidR="00AD4774" w:rsidRPr="007C0426" w:rsidRDefault="00AD4774" w:rsidP="007C0426">
      <w:pPr>
        <w:pStyle w:val="Heading1"/>
        <w:spacing w:after="30"/>
        <w:rPr>
          <w:rFonts w:ascii="Arial" w:hAnsi="Arial" w:cs="Arial"/>
          <w:sz w:val="24"/>
          <w:szCs w:val="24"/>
        </w:rPr>
      </w:pPr>
      <w:bookmarkStart w:id="0" w:name="_Toc109964862"/>
      <w:r w:rsidRPr="007C0426">
        <w:rPr>
          <w:rFonts w:ascii="Arial" w:hAnsi="Arial" w:cs="Arial"/>
          <w:sz w:val="24"/>
          <w:szCs w:val="24"/>
        </w:rPr>
        <w:lastRenderedPageBreak/>
        <w:t>Introduction</w:t>
      </w:r>
      <w:bookmarkEnd w:id="0"/>
    </w:p>
    <w:p w14:paraId="5E2F60F8" w14:textId="77777777" w:rsidR="00AD4774" w:rsidRPr="007C0426" w:rsidRDefault="00AD4774" w:rsidP="007C0426">
      <w:pPr>
        <w:spacing w:after="30"/>
        <w:rPr>
          <w:rFonts w:ascii="Arial" w:hAnsi="Arial" w:cs="Arial"/>
          <w:sz w:val="24"/>
          <w:szCs w:val="24"/>
        </w:rPr>
      </w:pPr>
    </w:p>
    <w:p w14:paraId="21DBA226" w14:textId="4DF9DD25" w:rsidR="00E5538C" w:rsidRPr="007C0426" w:rsidRDefault="009723D3" w:rsidP="007C0426">
      <w:pPr>
        <w:spacing w:after="30"/>
        <w:rPr>
          <w:rFonts w:ascii="Arial" w:hAnsi="Arial" w:cs="Arial"/>
          <w:sz w:val="24"/>
          <w:szCs w:val="24"/>
        </w:rPr>
      </w:pPr>
      <w:r w:rsidRPr="007C0426">
        <w:rPr>
          <w:rFonts w:ascii="Arial" w:hAnsi="Arial" w:cs="Arial"/>
          <w:sz w:val="24"/>
          <w:szCs w:val="24"/>
        </w:rPr>
        <w:t xml:space="preserve">In this report I will be </w:t>
      </w:r>
      <w:r w:rsidR="00F63A47" w:rsidRPr="007C0426">
        <w:rPr>
          <w:rFonts w:ascii="Arial" w:hAnsi="Arial" w:cs="Arial"/>
          <w:sz w:val="24"/>
          <w:szCs w:val="24"/>
        </w:rPr>
        <w:t xml:space="preserve">addressing </w:t>
      </w:r>
      <w:r w:rsidRPr="007C0426">
        <w:rPr>
          <w:rFonts w:ascii="Arial" w:hAnsi="Arial" w:cs="Arial"/>
          <w:sz w:val="24"/>
          <w:szCs w:val="24"/>
        </w:rPr>
        <w:t>and documentin</w:t>
      </w:r>
      <w:r w:rsidR="00E5538C" w:rsidRPr="007C0426">
        <w:rPr>
          <w:rFonts w:ascii="Arial" w:hAnsi="Arial" w:cs="Arial"/>
          <w:sz w:val="24"/>
          <w:szCs w:val="24"/>
        </w:rPr>
        <w:t>g the following topics from the four units given under the module</w:t>
      </w:r>
      <w:r w:rsidR="0039740F" w:rsidRPr="007C0426">
        <w:rPr>
          <w:rFonts w:ascii="Arial" w:hAnsi="Arial" w:cs="Arial"/>
          <w:sz w:val="24"/>
          <w:szCs w:val="24"/>
        </w:rPr>
        <w:t>:” how</w:t>
      </w:r>
      <w:r w:rsidR="00E5538C" w:rsidRPr="007C0426">
        <w:rPr>
          <w:rFonts w:ascii="Arial" w:hAnsi="Arial" w:cs="Arial"/>
          <w:sz w:val="24"/>
          <w:szCs w:val="24"/>
        </w:rPr>
        <w:t xml:space="preserve"> innovation changes the world, </w:t>
      </w:r>
      <w:r w:rsidR="00006D3D" w:rsidRPr="007C0426">
        <w:rPr>
          <w:rFonts w:ascii="Arial" w:hAnsi="Arial" w:cs="Arial"/>
          <w:sz w:val="24"/>
          <w:szCs w:val="24"/>
        </w:rPr>
        <w:t>identifying new ideas</w:t>
      </w:r>
      <w:r w:rsidR="00E5538C" w:rsidRPr="007C0426">
        <w:rPr>
          <w:rFonts w:ascii="Arial" w:hAnsi="Arial" w:cs="Arial"/>
          <w:sz w:val="24"/>
          <w:szCs w:val="24"/>
        </w:rPr>
        <w:t xml:space="preserve">, collaboration and competition, and personal </w:t>
      </w:r>
      <w:r w:rsidR="0039740F" w:rsidRPr="007C0426">
        <w:rPr>
          <w:rFonts w:ascii="Arial" w:hAnsi="Arial" w:cs="Arial"/>
          <w:sz w:val="24"/>
          <w:szCs w:val="24"/>
        </w:rPr>
        <w:t>evaluation. “</w:t>
      </w:r>
    </w:p>
    <w:p w14:paraId="1959B1B0" w14:textId="7CA96922" w:rsidR="007130A6" w:rsidRPr="007C0426" w:rsidRDefault="001A59AB" w:rsidP="007C0426">
      <w:pPr>
        <w:spacing w:after="30"/>
        <w:rPr>
          <w:rFonts w:ascii="Arial" w:hAnsi="Arial" w:cs="Arial"/>
          <w:sz w:val="24"/>
          <w:szCs w:val="24"/>
        </w:rPr>
      </w:pPr>
      <w:r w:rsidRPr="007C0426">
        <w:rPr>
          <w:rFonts w:ascii="Arial" w:hAnsi="Arial" w:cs="Arial"/>
          <w:sz w:val="24"/>
          <w:szCs w:val="24"/>
        </w:rPr>
        <w:t xml:space="preserve">The aims of my assignment will be the reflection on what I have learned during the module, and I will </w:t>
      </w:r>
      <w:r w:rsidR="007C6740" w:rsidRPr="007C0426">
        <w:rPr>
          <w:rFonts w:ascii="Arial" w:hAnsi="Arial" w:cs="Arial"/>
          <w:sz w:val="24"/>
          <w:szCs w:val="24"/>
        </w:rPr>
        <w:t>present some of the subjects that were the most important for me.</w:t>
      </w:r>
    </w:p>
    <w:p w14:paraId="0A332BCD" w14:textId="6824010E" w:rsidR="007C6740" w:rsidRPr="007C0426" w:rsidRDefault="007C6740" w:rsidP="007C0426">
      <w:pPr>
        <w:spacing w:after="30"/>
        <w:rPr>
          <w:rFonts w:ascii="Arial" w:hAnsi="Arial" w:cs="Arial"/>
          <w:sz w:val="24"/>
          <w:szCs w:val="24"/>
        </w:rPr>
      </w:pPr>
    </w:p>
    <w:p w14:paraId="48496F05" w14:textId="77777777" w:rsidR="007C6740" w:rsidRPr="007C0426" w:rsidRDefault="007C6740" w:rsidP="007C0426">
      <w:pPr>
        <w:spacing w:after="30"/>
        <w:rPr>
          <w:rFonts w:ascii="Arial" w:hAnsi="Arial" w:cs="Arial"/>
          <w:sz w:val="24"/>
          <w:szCs w:val="24"/>
        </w:rPr>
      </w:pPr>
    </w:p>
    <w:p w14:paraId="4F25D311" w14:textId="5BB3867C" w:rsidR="00AD4774" w:rsidRPr="007C0426" w:rsidRDefault="007C6740" w:rsidP="007C0426">
      <w:pPr>
        <w:pStyle w:val="Heading1"/>
        <w:spacing w:after="30"/>
        <w:rPr>
          <w:rFonts w:ascii="Arial" w:hAnsi="Arial" w:cs="Arial"/>
          <w:sz w:val="24"/>
          <w:szCs w:val="24"/>
        </w:rPr>
      </w:pPr>
      <w:bookmarkStart w:id="1" w:name="_Toc109964863"/>
      <w:r w:rsidRPr="007C0426">
        <w:rPr>
          <w:rFonts w:ascii="Arial" w:hAnsi="Arial" w:cs="Arial"/>
          <w:sz w:val="24"/>
          <w:szCs w:val="24"/>
        </w:rPr>
        <w:t>H</w:t>
      </w:r>
      <w:r w:rsidRPr="007C0426">
        <w:rPr>
          <w:rFonts w:ascii="Arial" w:hAnsi="Arial" w:cs="Arial"/>
          <w:sz w:val="24"/>
          <w:szCs w:val="24"/>
        </w:rPr>
        <w:t>ow innovation changes the world</w:t>
      </w:r>
      <w:bookmarkEnd w:id="1"/>
    </w:p>
    <w:p w14:paraId="113B1A31" w14:textId="451EEB43" w:rsidR="007C6740" w:rsidRPr="007C0426" w:rsidRDefault="007C6740" w:rsidP="007C0426">
      <w:pPr>
        <w:pStyle w:val="Heading2"/>
        <w:numPr>
          <w:ilvl w:val="0"/>
          <w:numId w:val="3"/>
        </w:numPr>
        <w:spacing w:after="30"/>
        <w:rPr>
          <w:rFonts w:ascii="Arial" w:hAnsi="Arial" w:cs="Arial"/>
          <w:sz w:val="24"/>
          <w:szCs w:val="24"/>
        </w:rPr>
      </w:pPr>
      <w:bookmarkStart w:id="2" w:name="_Toc109964864"/>
      <w:r w:rsidRPr="007C0426">
        <w:rPr>
          <w:rFonts w:ascii="Arial" w:hAnsi="Arial" w:cs="Arial"/>
          <w:sz w:val="24"/>
          <w:szCs w:val="24"/>
        </w:rPr>
        <w:t>Kondratiev Wave Theory</w:t>
      </w:r>
      <w:r w:rsidR="00C91791" w:rsidRPr="007C0426">
        <w:rPr>
          <w:rFonts w:ascii="Arial" w:hAnsi="Arial" w:cs="Arial"/>
          <w:sz w:val="24"/>
          <w:szCs w:val="24"/>
        </w:rPr>
        <w:t xml:space="preserve"> (KWT)</w:t>
      </w:r>
      <w:bookmarkEnd w:id="2"/>
    </w:p>
    <w:p w14:paraId="1605CCF3" w14:textId="29E6BE45" w:rsidR="007C6740" w:rsidRPr="007C0426" w:rsidRDefault="00C91791" w:rsidP="007C0426">
      <w:pPr>
        <w:spacing w:after="30"/>
        <w:rPr>
          <w:rFonts w:ascii="Arial" w:hAnsi="Arial" w:cs="Arial"/>
          <w:sz w:val="24"/>
          <w:szCs w:val="24"/>
        </w:rPr>
      </w:pPr>
      <w:r w:rsidRPr="007C0426">
        <w:rPr>
          <w:rFonts w:ascii="Arial" w:hAnsi="Arial" w:cs="Arial"/>
          <w:sz w:val="24"/>
          <w:szCs w:val="24"/>
        </w:rPr>
        <w:t xml:space="preserve">One of the theories that I have learned during this module is the KWT and according to Michael J. Boyle, </w:t>
      </w:r>
      <w:r w:rsidRPr="007C0426">
        <w:rPr>
          <w:rFonts w:ascii="Arial" w:hAnsi="Arial" w:cs="Arial"/>
          <w:sz w:val="24"/>
          <w:szCs w:val="24"/>
        </w:rPr>
        <w:t>Kondratieff Wave, titled after Russian economist Nikolai Kondratieff, describes the cycles witnessed by capitalism industries that endure 40 to 60 years. "Kondratiev waves," "super-cycles," "K-waves," "surges," and/or "long waves" are all names for these phenomena.</w:t>
      </w:r>
    </w:p>
    <w:p w14:paraId="141E30D7" w14:textId="58E8D6EC" w:rsidR="002B17FE" w:rsidRPr="007C0426" w:rsidRDefault="002B17FE" w:rsidP="007C0426">
      <w:pPr>
        <w:spacing w:after="30"/>
        <w:rPr>
          <w:rFonts w:ascii="Arial" w:hAnsi="Arial" w:cs="Arial"/>
          <w:sz w:val="24"/>
          <w:szCs w:val="24"/>
        </w:rPr>
      </w:pPr>
      <w:r w:rsidRPr="007C0426">
        <w:rPr>
          <w:rFonts w:ascii="Arial" w:hAnsi="Arial" w:cs="Arial"/>
          <w:sz w:val="24"/>
          <w:szCs w:val="24"/>
        </w:rPr>
        <w:t>A Kondratieff Wave is a brief economic downturn characterized by phases of development and identity caused by technical progress, which leads in a lengthy golden era. Kondratieff Waves, a theory that was denied in Kondratieff's own country, have been consigned to an economics profession known as "heterodox economics," which means that it does not adhere to the commonly recognized, orthodox views championed by economic experts.</w:t>
      </w:r>
      <w:r w:rsidRPr="007C0426">
        <w:rPr>
          <w:rFonts w:ascii="Arial" w:hAnsi="Arial" w:cs="Arial"/>
          <w:sz w:val="24"/>
          <w:szCs w:val="24"/>
        </w:rPr>
        <w:t xml:space="preserve"> (Boyle, 2021)</w:t>
      </w:r>
    </w:p>
    <w:p w14:paraId="7789FB91" w14:textId="31447959" w:rsidR="00FC2D94" w:rsidRPr="007C0426" w:rsidRDefault="00FC2D94" w:rsidP="007C0426">
      <w:pPr>
        <w:spacing w:after="30"/>
        <w:rPr>
          <w:rFonts w:ascii="Arial" w:hAnsi="Arial" w:cs="Arial"/>
          <w:sz w:val="24"/>
          <w:szCs w:val="24"/>
        </w:rPr>
      </w:pPr>
      <w:r w:rsidRPr="007C0426">
        <w:rPr>
          <w:rFonts w:ascii="Arial" w:hAnsi="Arial" w:cs="Arial"/>
          <w:sz w:val="24"/>
          <w:szCs w:val="24"/>
        </w:rPr>
        <w:t>Kondratieff recognized multiple long-term changes in the economy that oscillate amongst strong and sluggish production. The periods were mostly engaged in agricultural supplies and metals costs in European countries, where he saw phases of expansion and self-correction in the many financial activities conducted in home economies. The cycles lasted 50 to 60 years and were made up of numerous periods that were naturally repeated. Among the identified cycles are</w:t>
      </w:r>
      <w:r w:rsidRPr="007C0426">
        <w:rPr>
          <w:rFonts w:ascii="Arial" w:hAnsi="Arial" w:cs="Arial"/>
          <w:sz w:val="24"/>
          <w:szCs w:val="24"/>
        </w:rPr>
        <w:t xml:space="preserve"> five </w:t>
      </w:r>
      <w:r w:rsidR="006507D1" w:rsidRPr="007C0426">
        <w:rPr>
          <w:rFonts w:ascii="Arial" w:hAnsi="Arial" w:cs="Arial"/>
          <w:sz w:val="24"/>
          <w:szCs w:val="24"/>
        </w:rPr>
        <w:t>of them, that explain the theory.</w:t>
      </w:r>
    </w:p>
    <w:p w14:paraId="2AF0288B" w14:textId="376DEE46" w:rsidR="006507D1" w:rsidRPr="007C0426" w:rsidRDefault="006507D1" w:rsidP="007C0426">
      <w:pPr>
        <w:spacing w:after="30"/>
        <w:rPr>
          <w:rFonts w:ascii="Arial" w:hAnsi="Arial" w:cs="Arial"/>
          <w:sz w:val="24"/>
          <w:szCs w:val="24"/>
        </w:rPr>
      </w:pPr>
      <w:r w:rsidRPr="007C0426">
        <w:rPr>
          <w:rFonts w:ascii="Arial" w:hAnsi="Arial" w:cs="Arial"/>
          <w:sz w:val="24"/>
          <w:szCs w:val="24"/>
        </w:rPr>
        <w:t>As a matter of fact, not every economist believes in the Kondratieff Wave hypothesis. The lack of consensus on the beginning and the end years of a wave cycle is also one of the factors why several scientists struggle to accept the idea. In other words, they argue that the theory's imprecise character undermines its relevance.</w:t>
      </w:r>
      <w:r w:rsidRPr="007C0426">
        <w:rPr>
          <w:rFonts w:ascii="Arial" w:hAnsi="Arial" w:cs="Arial"/>
          <w:sz w:val="24"/>
          <w:szCs w:val="24"/>
        </w:rPr>
        <w:t xml:space="preserve"> (CFI Team, 2021)</w:t>
      </w:r>
    </w:p>
    <w:p w14:paraId="0F5AC7A7" w14:textId="5BEBC843" w:rsidR="005E7575" w:rsidRPr="007C0426" w:rsidRDefault="005E7575" w:rsidP="007C0426">
      <w:pPr>
        <w:spacing w:after="30"/>
        <w:rPr>
          <w:rFonts w:ascii="Arial" w:hAnsi="Arial" w:cs="Arial"/>
          <w:sz w:val="24"/>
          <w:szCs w:val="24"/>
        </w:rPr>
      </w:pPr>
      <w:r w:rsidRPr="007C0426">
        <w:rPr>
          <w:rFonts w:ascii="Arial" w:hAnsi="Arial" w:cs="Arial"/>
          <w:sz w:val="24"/>
          <w:szCs w:val="24"/>
        </w:rPr>
        <w:t xml:space="preserve">In terms of extended business cycles, it was Russian economist N. Kondratiev, who publicly proposed1 in the 1920s that economies2 are almost certainly susceptible to </w:t>
      </w:r>
      <w:proofErr w:type="gramStart"/>
      <w:r w:rsidRPr="007C0426">
        <w:rPr>
          <w:rFonts w:ascii="Arial" w:hAnsi="Arial" w:cs="Arial"/>
          <w:sz w:val="24"/>
          <w:szCs w:val="24"/>
        </w:rPr>
        <w:t>48-55 year</w:t>
      </w:r>
      <w:proofErr w:type="gramEnd"/>
      <w:r w:rsidRPr="007C0426">
        <w:rPr>
          <w:rFonts w:ascii="Arial" w:hAnsi="Arial" w:cs="Arial"/>
          <w:sz w:val="24"/>
          <w:szCs w:val="24"/>
        </w:rPr>
        <w:t xml:space="preserve"> cycles (Kondratieff, 1984). This hypothesis was developed </w:t>
      </w:r>
      <w:proofErr w:type="gramStart"/>
      <w:r w:rsidRPr="007C0426">
        <w:rPr>
          <w:rFonts w:ascii="Arial" w:hAnsi="Arial" w:cs="Arial"/>
          <w:sz w:val="24"/>
          <w:szCs w:val="24"/>
        </w:rPr>
        <w:t>as a consequence of</w:t>
      </w:r>
      <w:proofErr w:type="gramEnd"/>
      <w:r w:rsidRPr="007C0426">
        <w:rPr>
          <w:rFonts w:ascii="Arial" w:hAnsi="Arial" w:cs="Arial"/>
          <w:sz w:val="24"/>
          <w:szCs w:val="24"/>
        </w:rPr>
        <w:t xml:space="preserve"> a comprehensive empirical investigation of the major economies' macroeconomic indicators3 between 1780 and 1925. (i.e., United States, </w:t>
      </w:r>
      <w:proofErr w:type="gramStart"/>
      <w:r w:rsidRPr="007C0426">
        <w:rPr>
          <w:rFonts w:ascii="Arial" w:hAnsi="Arial" w:cs="Arial"/>
          <w:sz w:val="24"/>
          <w:szCs w:val="24"/>
        </w:rPr>
        <w:t>England</w:t>
      </w:r>
      <w:proofErr w:type="gramEnd"/>
      <w:r w:rsidRPr="007C0426">
        <w:rPr>
          <w:rFonts w:ascii="Arial" w:hAnsi="Arial" w:cs="Arial"/>
          <w:sz w:val="24"/>
          <w:szCs w:val="24"/>
        </w:rPr>
        <w:t xml:space="preserve"> and France). His findings prompted him to investigate the cycles listed in Table 1. The commodity price index for the period 1780-1925 was one of the indicators </w:t>
      </w:r>
      <w:r w:rsidRPr="007C0426">
        <w:rPr>
          <w:rFonts w:ascii="Arial" w:hAnsi="Arial" w:cs="Arial"/>
          <w:sz w:val="24"/>
          <w:szCs w:val="24"/>
        </w:rPr>
        <w:t>analysed</w:t>
      </w:r>
      <w:r w:rsidRPr="007C0426">
        <w:rPr>
          <w:rFonts w:ascii="Arial" w:hAnsi="Arial" w:cs="Arial"/>
          <w:sz w:val="24"/>
          <w:szCs w:val="24"/>
        </w:rPr>
        <w:t xml:space="preserve"> by Kondratiev.</w:t>
      </w:r>
      <w:r w:rsidRPr="007C0426">
        <w:rPr>
          <w:rFonts w:ascii="Arial" w:hAnsi="Arial" w:cs="Arial"/>
          <w:sz w:val="24"/>
          <w:szCs w:val="24"/>
        </w:rPr>
        <w:t xml:space="preserve"> </w:t>
      </w:r>
      <w:r w:rsidR="008A72A7" w:rsidRPr="007C0426">
        <w:rPr>
          <w:rFonts w:ascii="Arial" w:hAnsi="Arial" w:cs="Arial"/>
          <w:sz w:val="24"/>
          <w:szCs w:val="24"/>
        </w:rPr>
        <w:t>(</w:t>
      </w:r>
      <w:r w:rsidR="004D54B8" w:rsidRPr="007C0426">
        <w:rPr>
          <w:rFonts w:ascii="Arial" w:hAnsi="Arial" w:cs="Arial"/>
          <w:sz w:val="24"/>
          <w:szCs w:val="24"/>
        </w:rPr>
        <w:t>Maranon, 2019)</w:t>
      </w:r>
    </w:p>
    <w:p w14:paraId="490F4617" w14:textId="19E4C132" w:rsidR="002B17FE" w:rsidRPr="007C0426" w:rsidRDefault="002B17FE" w:rsidP="007C0426">
      <w:pPr>
        <w:pStyle w:val="Heading2"/>
        <w:numPr>
          <w:ilvl w:val="0"/>
          <w:numId w:val="3"/>
        </w:numPr>
        <w:spacing w:after="30"/>
        <w:rPr>
          <w:rFonts w:ascii="Arial" w:hAnsi="Arial" w:cs="Arial"/>
          <w:sz w:val="24"/>
          <w:szCs w:val="24"/>
        </w:rPr>
      </w:pPr>
      <w:bookmarkStart w:id="3" w:name="_Toc109964865"/>
      <w:r w:rsidRPr="007C0426">
        <w:rPr>
          <w:rFonts w:ascii="Arial" w:hAnsi="Arial" w:cs="Arial"/>
          <w:sz w:val="24"/>
          <w:szCs w:val="24"/>
        </w:rPr>
        <w:lastRenderedPageBreak/>
        <w:t>What is Society 5.0?</w:t>
      </w:r>
      <w:bookmarkEnd w:id="3"/>
    </w:p>
    <w:p w14:paraId="77D45994" w14:textId="3706A349" w:rsidR="002B17FE" w:rsidRPr="007C0426" w:rsidRDefault="00E61E47" w:rsidP="007C0426">
      <w:pPr>
        <w:spacing w:after="30"/>
        <w:rPr>
          <w:rFonts w:ascii="Arial" w:hAnsi="Arial" w:cs="Arial"/>
          <w:sz w:val="24"/>
          <w:szCs w:val="24"/>
        </w:rPr>
      </w:pPr>
      <w:r w:rsidRPr="007C0426">
        <w:rPr>
          <w:rFonts w:ascii="Arial" w:hAnsi="Arial" w:cs="Arial"/>
          <w:sz w:val="24"/>
          <w:szCs w:val="24"/>
        </w:rPr>
        <w:t xml:space="preserve">In my opinion Society 5.0 is one of the most interesting topics, because of the advanced technology. </w:t>
      </w:r>
      <w:r w:rsidR="00612523" w:rsidRPr="007C0426">
        <w:rPr>
          <w:rFonts w:ascii="Arial" w:hAnsi="Arial" w:cs="Arial"/>
          <w:sz w:val="24"/>
          <w:szCs w:val="24"/>
        </w:rPr>
        <w:t>This part expands on the broad thinking process underlying Society 5.0 and provides a list of the essential terminology. According to Japanese government publications, Society 5.0 must be able to "balance economic growth with the settlement of public concerns by delivering products or services that specific answer diverse latent wants regardless of region, age, sex, or language." The concept of Society 5.0 demands us to redefine two types of relationships: the interaction involving scientific knowledge and the connection involving individuals and communities as mediated by technology. In this light, the first section presents an outline of the notion of Society 5.0. It elucidates the distinctions between today's society and Society 5.0.</w:t>
      </w:r>
      <w:r w:rsidR="00612523" w:rsidRPr="007C0426">
        <w:rPr>
          <w:rFonts w:ascii="Arial" w:hAnsi="Arial" w:cs="Arial"/>
          <w:sz w:val="24"/>
          <w:szCs w:val="24"/>
        </w:rPr>
        <w:t xml:space="preserve"> (</w:t>
      </w:r>
      <w:r w:rsidR="007C0EDF" w:rsidRPr="007C0426">
        <w:rPr>
          <w:rFonts w:ascii="Arial" w:hAnsi="Arial" w:cs="Arial"/>
          <w:sz w:val="24"/>
          <w:szCs w:val="24"/>
        </w:rPr>
        <w:t>Deguchi, 2020)</w:t>
      </w:r>
    </w:p>
    <w:p w14:paraId="2B0B0D2A" w14:textId="77777777" w:rsidR="007C0EDF" w:rsidRPr="007C0426" w:rsidRDefault="007C0EDF" w:rsidP="007C0426">
      <w:pPr>
        <w:spacing w:after="30"/>
        <w:rPr>
          <w:rFonts w:ascii="Arial" w:hAnsi="Arial" w:cs="Arial"/>
          <w:sz w:val="24"/>
          <w:szCs w:val="24"/>
        </w:rPr>
      </w:pPr>
      <w:r w:rsidRPr="007C0426">
        <w:rPr>
          <w:rFonts w:ascii="Arial" w:hAnsi="Arial" w:cs="Arial"/>
          <w:sz w:val="24"/>
          <w:szCs w:val="24"/>
        </w:rPr>
        <w:t>n many nations, digitalization becomes a foundation of industrial policy, creating new objectives. In consideration of such global developments, the Japanese Cabinet enacted the 5th Science and Technology Basic Plan in January 2016, which included "Society 5.0" as a fundamental theme. It was highlighted as one of Japan's growth strategies.</w:t>
      </w:r>
    </w:p>
    <w:p w14:paraId="14B2FC91" w14:textId="3CEBFF34" w:rsidR="007C0EDF" w:rsidRPr="007C0426" w:rsidRDefault="007C0EDF" w:rsidP="007C0426">
      <w:pPr>
        <w:spacing w:after="30"/>
        <w:rPr>
          <w:rFonts w:ascii="Arial" w:hAnsi="Arial" w:cs="Arial"/>
          <w:sz w:val="24"/>
          <w:szCs w:val="24"/>
        </w:rPr>
      </w:pPr>
      <w:r w:rsidRPr="007C0426">
        <w:rPr>
          <w:rFonts w:ascii="Arial" w:hAnsi="Arial" w:cs="Arial"/>
          <w:sz w:val="24"/>
          <w:szCs w:val="24"/>
        </w:rPr>
        <w:t>Society 5.0 is also a key component of the "2017 Investment for the Future Strategy: Reform for Achieving Society 5.0." The fundamental concept and common initiatives of Society 5.0 in Japan are explained further below.</w:t>
      </w:r>
      <w:r w:rsidRPr="007C0426">
        <w:rPr>
          <w:rFonts w:ascii="Arial" w:hAnsi="Arial" w:cs="Arial"/>
          <w:sz w:val="24"/>
          <w:szCs w:val="24"/>
        </w:rPr>
        <w:t xml:space="preserve"> </w:t>
      </w:r>
      <w:r w:rsidRPr="007C0426">
        <w:rPr>
          <w:rFonts w:ascii="Arial" w:hAnsi="Arial" w:cs="Arial"/>
          <w:sz w:val="24"/>
          <w:szCs w:val="24"/>
        </w:rPr>
        <w:t>Humans are currently living in a new age, in which globalization as well as the huge growth of technological devices and the internet of Things (IoT), artificial intelligence (AI), and robots are causing huge social upheavals. People's beliefs and the surroundings are growing more varied and complicated.</w:t>
      </w:r>
      <w:r w:rsidR="00FC2D94" w:rsidRPr="007C0426">
        <w:rPr>
          <w:rFonts w:ascii="Arial" w:hAnsi="Arial" w:cs="Arial"/>
          <w:sz w:val="24"/>
          <w:szCs w:val="24"/>
        </w:rPr>
        <w:t xml:space="preserve"> (Fukuyama, 2018)</w:t>
      </w:r>
    </w:p>
    <w:p w14:paraId="44AA32C0" w14:textId="3B4A7F2E" w:rsidR="00AE6B5E" w:rsidRPr="007C0426" w:rsidRDefault="00AE6B5E" w:rsidP="007C0426">
      <w:pPr>
        <w:spacing w:after="30"/>
        <w:rPr>
          <w:rFonts w:ascii="Arial" w:hAnsi="Arial" w:cs="Arial"/>
          <w:sz w:val="24"/>
          <w:szCs w:val="24"/>
        </w:rPr>
      </w:pPr>
      <w:r w:rsidRPr="007C0426">
        <w:rPr>
          <w:rFonts w:ascii="Arial" w:hAnsi="Arial" w:cs="Arial"/>
          <w:sz w:val="24"/>
          <w:szCs w:val="24"/>
        </w:rPr>
        <w:t>The outcomes of this study propose incorporating technology into CSR models, managing people' social issues locally, and modifying CSR's natural, sociological, and economic components in response to Society 5.0 situations.</w:t>
      </w:r>
      <w:r w:rsidRPr="007C0426">
        <w:rPr>
          <w:rFonts w:ascii="Arial" w:hAnsi="Arial" w:cs="Arial"/>
          <w:sz w:val="24"/>
          <w:szCs w:val="24"/>
        </w:rPr>
        <w:t xml:space="preserve"> </w:t>
      </w:r>
      <w:r w:rsidRPr="007C0426">
        <w:rPr>
          <w:rFonts w:ascii="Arial" w:hAnsi="Arial" w:cs="Arial"/>
          <w:sz w:val="24"/>
          <w:szCs w:val="24"/>
        </w:rPr>
        <w:t>This research has produced recommendations for improving CSR practice in firms using value consistency and conduct based on the controlling sociological factors in contemporary society. It also highlighted new opportunities for people and groups to use sentient society depending on their own interests.</w:t>
      </w:r>
      <w:r w:rsidRPr="007C0426">
        <w:rPr>
          <w:rFonts w:ascii="Arial" w:hAnsi="Arial" w:cs="Arial"/>
          <w:sz w:val="24"/>
          <w:szCs w:val="24"/>
        </w:rPr>
        <w:t xml:space="preserve"> </w:t>
      </w:r>
      <w:r w:rsidRPr="007C0426">
        <w:rPr>
          <w:rFonts w:ascii="Arial" w:hAnsi="Arial" w:cs="Arial"/>
          <w:sz w:val="24"/>
          <w:szCs w:val="24"/>
        </w:rPr>
        <w:t xml:space="preserve">This presented study provided a holistic CSR model for tackling the primary society's challenges </w:t>
      </w:r>
      <w:proofErr w:type="gramStart"/>
      <w:r w:rsidRPr="007C0426">
        <w:rPr>
          <w:rFonts w:ascii="Arial" w:hAnsi="Arial" w:cs="Arial"/>
          <w:sz w:val="24"/>
          <w:szCs w:val="24"/>
        </w:rPr>
        <w:t>through the use of</w:t>
      </w:r>
      <w:proofErr w:type="gramEnd"/>
      <w:r w:rsidRPr="007C0426">
        <w:rPr>
          <w:rFonts w:ascii="Arial" w:hAnsi="Arial" w:cs="Arial"/>
          <w:sz w:val="24"/>
          <w:szCs w:val="24"/>
        </w:rPr>
        <w:t xml:space="preserve"> sophisticated technology in responsible economic growth based on Society 5.0 parameters that had not before been addressed in the literature.</w:t>
      </w:r>
      <w:r w:rsidRPr="007C0426">
        <w:rPr>
          <w:rFonts w:ascii="Arial" w:hAnsi="Arial" w:cs="Arial"/>
          <w:sz w:val="24"/>
          <w:szCs w:val="24"/>
        </w:rPr>
        <w:t xml:space="preserve"> </w:t>
      </w:r>
      <w:r w:rsidR="005E7575" w:rsidRPr="007C0426">
        <w:rPr>
          <w:rFonts w:ascii="Arial" w:hAnsi="Arial" w:cs="Arial"/>
          <w:sz w:val="24"/>
          <w:szCs w:val="24"/>
        </w:rPr>
        <w:t>(</w:t>
      </w:r>
      <w:proofErr w:type="spellStart"/>
      <w:r w:rsidR="005E7575" w:rsidRPr="007C0426">
        <w:rPr>
          <w:rFonts w:ascii="Arial" w:hAnsi="Arial" w:cs="Arial"/>
          <w:sz w:val="24"/>
          <w:szCs w:val="24"/>
        </w:rPr>
        <w:t>Potocan</w:t>
      </w:r>
      <w:proofErr w:type="spellEnd"/>
      <w:r w:rsidR="005E7575" w:rsidRPr="007C0426">
        <w:rPr>
          <w:rFonts w:ascii="Arial" w:hAnsi="Arial" w:cs="Arial"/>
          <w:sz w:val="24"/>
          <w:szCs w:val="24"/>
        </w:rPr>
        <w:t>, 2021)</w:t>
      </w:r>
    </w:p>
    <w:p w14:paraId="33FDD078" w14:textId="171B0520" w:rsidR="004D54B8" w:rsidRPr="007C0426" w:rsidRDefault="004D54B8" w:rsidP="007C0426">
      <w:pPr>
        <w:spacing w:after="30"/>
        <w:rPr>
          <w:rFonts w:ascii="Arial" w:hAnsi="Arial" w:cs="Arial"/>
          <w:sz w:val="24"/>
          <w:szCs w:val="24"/>
        </w:rPr>
      </w:pPr>
    </w:p>
    <w:p w14:paraId="64B2E133" w14:textId="40242AF3" w:rsidR="004D54B8" w:rsidRPr="007C0426" w:rsidRDefault="00CB51DF" w:rsidP="007C0426">
      <w:pPr>
        <w:pStyle w:val="Heading1"/>
        <w:spacing w:after="30"/>
        <w:rPr>
          <w:rFonts w:ascii="Arial" w:hAnsi="Arial" w:cs="Arial"/>
          <w:sz w:val="24"/>
          <w:szCs w:val="24"/>
        </w:rPr>
      </w:pPr>
      <w:bookmarkStart w:id="4" w:name="_Toc109964866"/>
      <w:r w:rsidRPr="007C0426">
        <w:rPr>
          <w:rFonts w:ascii="Arial" w:hAnsi="Arial" w:cs="Arial"/>
          <w:sz w:val="24"/>
          <w:szCs w:val="24"/>
        </w:rPr>
        <w:t>Entrepreneurship and innovation</w:t>
      </w:r>
      <w:bookmarkEnd w:id="4"/>
    </w:p>
    <w:p w14:paraId="46907C9A" w14:textId="636F1DE9" w:rsidR="002C04FE" w:rsidRPr="007C0426" w:rsidRDefault="002C04FE" w:rsidP="007C0426">
      <w:pPr>
        <w:spacing w:after="30"/>
        <w:rPr>
          <w:rFonts w:ascii="Arial" w:hAnsi="Arial" w:cs="Arial"/>
          <w:sz w:val="24"/>
          <w:szCs w:val="24"/>
        </w:rPr>
      </w:pPr>
      <w:r w:rsidRPr="007C0426">
        <w:rPr>
          <w:rFonts w:ascii="Arial" w:hAnsi="Arial" w:cs="Arial"/>
          <w:sz w:val="24"/>
          <w:szCs w:val="24"/>
        </w:rPr>
        <w:t>Beyond the concept, the article presents some of the key aspects of entrepreneurship, how it has grown over time, and what it is now. The study discusses the many forms of entrepreneurship and gives the characteristics of entrepreneurs as well as how to profile them. Entrepreneurs are distinguished by their capacity to take risks and engage in creative destruction and invention. The study discusses various main ideas of entrepreneurship that might assist forecast a person's entrepreneurial talents by defining creativity, invention, and innovation.</w:t>
      </w:r>
      <w:r w:rsidR="0075025F" w:rsidRPr="007C0426">
        <w:rPr>
          <w:rFonts w:ascii="Arial" w:hAnsi="Arial" w:cs="Arial"/>
          <w:sz w:val="24"/>
          <w:szCs w:val="24"/>
        </w:rPr>
        <w:t xml:space="preserve"> (Veeraraghavan, 2009)</w:t>
      </w:r>
    </w:p>
    <w:p w14:paraId="1D8DC6F4" w14:textId="71C7708A" w:rsidR="00CB51DF" w:rsidRPr="007C0426" w:rsidRDefault="00CB51DF" w:rsidP="007C0426">
      <w:pPr>
        <w:spacing w:after="30"/>
        <w:rPr>
          <w:rFonts w:ascii="Arial" w:hAnsi="Arial" w:cs="Arial"/>
          <w:sz w:val="24"/>
          <w:szCs w:val="24"/>
        </w:rPr>
      </w:pPr>
      <w:r w:rsidRPr="007C0426">
        <w:rPr>
          <w:rFonts w:ascii="Arial" w:hAnsi="Arial" w:cs="Arial"/>
          <w:sz w:val="24"/>
          <w:szCs w:val="24"/>
        </w:rPr>
        <w:lastRenderedPageBreak/>
        <w:t>The capacity to creatively mix resources that are already available is one of the essential traits of an entrepreneur. All major economic and social change is traced to advancements, and the producer is defined as the entrepreneur. This distinction is made between "creation," which refers to the development of new technological background and its proper implementation to industry, and "innovation," which refers to the discovery of modern means and methods, products, availability of the product, and types of work organization. Since entrepreneurship is the root of all economic development, only the conditions that encourage entrepreneurship can be used to understand capitalism. One person does not always play the role of the entrepreneur.</w:t>
      </w:r>
      <w:r w:rsidRPr="007C0426">
        <w:rPr>
          <w:rFonts w:ascii="Arial" w:hAnsi="Arial" w:cs="Arial"/>
          <w:sz w:val="24"/>
          <w:szCs w:val="24"/>
        </w:rPr>
        <w:t xml:space="preserve"> </w:t>
      </w:r>
    </w:p>
    <w:p w14:paraId="0B354E14" w14:textId="024C2C34" w:rsidR="00CB51DF" w:rsidRPr="007C0426" w:rsidRDefault="00CB51DF" w:rsidP="007C0426">
      <w:pPr>
        <w:spacing w:after="30"/>
        <w:rPr>
          <w:rFonts w:ascii="Arial" w:hAnsi="Arial" w:cs="Arial"/>
          <w:sz w:val="24"/>
          <w:szCs w:val="24"/>
        </w:rPr>
      </w:pPr>
      <w:r w:rsidRPr="007C0426">
        <w:rPr>
          <w:rFonts w:ascii="Arial" w:hAnsi="Arial" w:cs="Arial"/>
          <w:sz w:val="24"/>
          <w:szCs w:val="24"/>
        </w:rPr>
        <w:t>The structure of the financial sector and the forms of construction organization will determine if all these various roles are incorporated in one or more individuals. An entrepreneur could be a capitalist or even a professional manager.</w:t>
      </w:r>
      <w:r w:rsidRPr="007C0426">
        <w:rPr>
          <w:rFonts w:ascii="Arial" w:hAnsi="Arial" w:cs="Arial"/>
          <w:sz w:val="24"/>
          <w:szCs w:val="24"/>
        </w:rPr>
        <w:t xml:space="preserve"> (Schumpeter, 2000)</w:t>
      </w:r>
    </w:p>
    <w:p w14:paraId="3F488322" w14:textId="20EB1B8F" w:rsidR="009E3B95" w:rsidRPr="007C0426" w:rsidRDefault="009E3B95" w:rsidP="007C0426">
      <w:pPr>
        <w:spacing w:after="30"/>
        <w:rPr>
          <w:rFonts w:ascii="Arial" w:hAnsi="Arial" w:cs="Arial"/>
          <w:sz w:val="24"/>
          <w:szCs w:val="24"/>
        </w:rPr>
      </w:pPr>
      <w:r w:rsidRPr="007C0426">
        <w:rPr>
          <w:rFonts w:ascii="Arial" w:hAnsi="Arial" w:cs="Arial"/>
          <w:sz w:val="24"/>
          <w:szCs w:val="24"/>
        </w:rPr>
        <w:t xml:space="preserve">According to the findings of the study, innovation and entrepreneurship are directly correlated with one another and engage to help an organization prosper; entrepreneurship and innovation are equivalent, and a merger or acquisition is critical to organizational success and environmental stewardship in today's dynamic and competitive environment; methods and practices are not confined to the time of introduction venture; somewhat more, they are energetic and individualized systems in entrepreneurial </w:t>
      </w:r>
      <w:r w:rsidRPr="007C0426">
        <w:rPr>
          <w:rFonts w:ascii="Arial" w:hAnsi="Arial" w:cs="Arial"/>
          <w:sz w:val="24"/>
          <w:szCs w:val="24"/>
        </w:rPr>
        <w:t>behaviour</w:t>
      </w:r>
      <w:r w:rsidRPr="007C0426">
        <w:rPr>
          <w:rFonts w:ascii="Arial" w:hAnsi="Arial" w:cs="Arial"/>
          <w:sz w:val="24"/>
          <w:szCs w:val="24"/>
        </w:rPr>
        <w:t>.</w:t>
      </w:r>
      <w:r w:rsidRPr="007C0426">
        <w:rPr>
          <w:rFonts w:ascii="Arial" w:hAnsi="Arial" w:cs="Arial"/>
          <w:sz w:val="24"/>
          <w:szCs w:val="24"/>
        </w:rPr>
        <w:t xml:space="preserve"> </w:t>
      </w:r>
      <w:r w:rsidRPr="007C0426">
        <w:rPr>
          <w:rFonts w:ascii="Arial" w:hAnsi="Arial" w:cs="Arial"/>
          <w:sz w:val="24"/>
          <w:szCs w:val="24"/>
        </w:rPr>
        <w:t>Entrepreneurship and innovation should always be considered as continuing, daily practices in organizations, and this study has helped to foster such an approach. This econometric analysis helps to a better evaluation of available entrepreneurship and innovation ideas and strategies in organizations.</w:t>
      </w:r>
      <w:r w:rsidRPr="007C0426">
        <w:rPr>
          <w:rFonts w:ascii="Arial" w:hAnsi="Arial" w:cs="Arial"/>
          <w:sz w:val="24"/>
          <w:szCs w:val="24"/>
        </w:rPr>
        <w:t xml:space="preserve"> (Zhao, 2005)</w:t>
      </w:r>
    </w:p>
    <w:p w14:paraId="6D20DDD5" w14:textId="38DB66BC" w:rsidR="009E3B95" w:rsidRPr="007C0426" w:rsidRDefault="009E3B95" w:rsidP="007C0426">
      <w:pPr>
        <w:spacing w:after="30"/>
        <w:rPr>
          <w:rFonts w:ascii="Arial" w:hAnsi="Arial" w:cs="Arial"/>
          <w:sz w:val="24"/>
          <w:szCs w:val="24"/>
        </w:rPr>
      </w:pPr>
    </w:p>
    <w:p w14:paraId="54011423" w14:textId="38EFB69D" w:rsidR="0075025F" w:rsidRPr="007C0426" w:rsidRDefault="0075025F" w:rsidP="007C0426">
      <w:pPr>
        <w:pStyle w:val="Heading1"/>
        <w:spacing w:after="30"/>
        <w:rPr>
          <w:rFonts w:ascii="Arial" w:hAnsi="Arial" w:cs="Arial"/>
          <w:sz w:val="24"/>
          <w:szCs w:val="24"/>
        </w:rPr>
      </w:pPr>
      <w:bookmarkStart w:id="5" w:name="_Toc109964867"/>
      <w:r w:rsidRPr="007C0426">
        <w:rPr>
          <w:rFonts w:ascii="Arial" w:hAnsi="Arial" w:cs="Arial"/>
          <w:sz w:val="24"/>
          <w:szCs w:val="24"/>
        </w:rPr>
        <w:t>Collaboration and competition</w:t>
      </w:r>
      <w:bookmarkEnd w:id="5"/>
    </w:p>
    <w:p w14:paraId="5F3D749C" w14:textId="48BF2B51" w:rsidR="0075025F" w:rsidRPr="007C0426" w:rsidRDefault="0075025F" w:rsidP="007C0426">
      <w:pPr>
        <w:spacing w:after="30"/>
        <w:rPr>
          <w:rFonts w:ascii="Arial" w:hAnsi="Arial" w:cs="Arial"/>
          <w:sz w:val="24"/>
          <w:szCs w:val="24"/>
        </w:rPr>
      </w:pPr>
      <w:r w:rsidRPr="007C0426">
        <w:rPr>
          <w:rFonts w:ascii="Arial" w:hAnsi="Arial" w:cs="Arial"/>
          <w:sz w:val="24"/>
          <w:szCs w:val="24"/>
        </w:rPr>
        <w:t xml:space="preserve">Previous study in the domain of idea management has identified both collaboration and rivalry as driving forces behind ideation. While these two are generally thought to be antagonistic and exclusionary, new research suggests that they are </w:t>
      </w:r>
      <w:proofErr w:type="gramStart"/>
      <w:r w:rsidRPr="007C0426">
        <w:rPr>
          <w:rFonts w:ascii="Arial" w:hAnsi="Arial" w:cs="Arial"/>
          <w:sz w:val="24"/>
          <w:szCs w:val="24"/>
        </w:rPr>
        <w:t>really complementary</w:t>
      </w:r>
      <w:proofErr w:type="gramEnd"/>
      <w:r w:rsidRPr="007C0426">
        <w:rPr>
          <w:rFonts w:ascii="Arial" w:hAnsi="Arial" w:cs="Arial"/>
          <w:sz w:val="24"/>
          <w:szCs w:val="24"/>
        </w:rPr>
        <w:t xml:space="preserve">. Previous research has mostly concentrated on firm-external communities, with limited understanding of the combined use of collaboration and rivalry inside firms. The collaborative and competitive processes employed in firm-internal idea management are discussed in this research. Three global corporations involved in concept management were </w:t>
      </w:r>
      <w:proofErr w:type="gramStart"/>
      <w:r w:rsidRPr="007C0426">
        <w:rPr>
          <w:rFonts w:ascii="Arial" w:hAnsi="Arial" w:cs="Arial"/>
          <w:sz w:val="24"/>
          <w:szCs w:val="24"/>
        </w:rPr>
        <w:t>studied in depth</w:t>
      </w:r>
      <w:proofErr w:type="gramEnd"/>
      <w:r w:rsidRPr="007C0426">
        <w:rPr>
          <w:rFonts w:ascii="Arial" w:hAnsi="Arial" w:cs="Arial"/>
          <w:sz w:val="24"/>
          <w:szCs w:val="24"/>
        </w:rPr>
        <w:t>. The employment of collaboration and competition by companies in firm-internal idea management is examined, indicating that the two techniques may be merged and investigating how their paradoxical coexistence might be handled.</w:t>
      </w:r>
    </w:p>
    <w:p w14:paraId="68ED9512" w14:textId="3B62D40A" w:rsidR="0075025F" w:rsidRPr="007C0426" w:rsidRDefault="0075025F" w:rsidP="007C0426">
      <w:pPr>
        <w:spacing w:after="30"/>
        <w:rPr>
          <w:rFonts w:ascii="Arial" w:hAnsi="Arial" w:cs="Arial"/>
          <w:sz w:val="24"/>
          <w:szCs w:val="24"/>
        </w:rPr>
      </w:pPr>
      <w:r w:rsidRPr="007C0426">
        <w:rPr>
          <w:rFonts w:ascii="Arial" w:hAnsi="Arial" w:cs="Arial"/>
          <w:sz w:val="24"/>
          <w:szCs w:val="24"/>
        </w:rPr>
        <w:t xml:space="preserve">This research emphasizes the significance of addressing intrinsic motivation and encouraging information exchange </w:t>
      </w:r>
      <w:proofErr w:type="gramStart"/>
      <w:r w:rsidRPr="007C0426">
        <w:rPr>
          <w:rFonts w:ascii="Arial" w:hAnsi="Arial" w:cs="Arial"/>
          <w:sz w:val="24"/>
          <w:szCs w:val="24"/>
        </w:rPr>
        <w:t>in order to</w:t>
      </w:r>
      <w:proofErr w:type="gramEnd"/>
      <w:r w:rsidRPr="007C0426">
        <w:rPr>
          <w:rFonts w:ascii="Arial" w:hAnsi="Arial" w:cs="Arial"/>
          <w:sz w:val="24"/>
          <w:szCs w:val="24"/>
        </w:rPr>
        <w:t xml:space="preserve"> bridge and align cooperation and competitive dynamics. It also emphasizes concerns of compensation and organizational culture, which need knowledgeable attention from human resource management.</w:t>
      </w:r>
      <w:r w:rsidRPr="007C0426">
        <w:rPr>
          <w:rFonts w:ascii="Arial" w:hAnsi="Arial" w:cs="Arial"/>
          <w:sz w:val="24"/>
          <w:szCs w:val="24"/>
        </w:rPr>
        <w:t xml:space="preserve"> (Bergendahl, 2014)</w:t>
      </w:r>
    </w:p>
    <w:p w14:paraId="4FF49ADF" w14:textId="31FA82D4" w:rsidR="00CB51DF" w:rsidRPr="007C0426" w:rsidRDefault="00FD53C6" w:rsidP="007C0426">
      <w:pPr>
        <w:spacing w:after="30"/>
        <w:rPr>
          <w:rFonts w:ascii="Arial" w:hAnsi="Arial" w:cs="Arial"/>
          <w:sz w:val="24"/>
          <w:szCs w:val="24"/>
        </w:rPr>
      </w:pPr>
      <w:r w:rsidRPr="007C0426">
        <w:rPr>
          <w:rFonts w:ascii="Arial" w:hAnsi="Arial" w:cs="Arial"/>
          <w:sz w:val="24"/>
          <w:szCs w:val="24"/>
        </w:rPr>
        <w:t xml:space="preserve">Collaboration has increasingly been acknowledged as a significant educational result in and of itself, rather than simply a tool to acquire or assess knowledge gained via </w:t>
      </w:r>
      <w:r w:rsidRPr="007C0426">
        <w:rPr>
          <w:rFonts w:ascii="Arial" w:hAnsi="Arial" w:cs="Arial"/>
          <w:sz w:val="24"/>
          <w:szCs w:val="24"/>
        </w:rPr>
        <w:lastRenderedPageBreak/>
        <w:t>engagement and practice. Collaboration has been defined as a talent that promotes the use of learning mechanisms (such as induction, deduction, and associative learning). The National Research Council (2011) provided numerous explanations supporting collaboration's rank as a critical 21st century ability. To begin with, there is a rising emphasis on project-based and inquiry-based learning.</w:t>
      </w:r>
      <w:r w:rsidRPr="007C0426">
        <w:rPr>
          <w:rFonts w:ascii="Arial" w:hAnsi="Arial" w:cs="Arial"/>
          <w:sz w:val="24"/>
          <w:szCs w:val="24"/>
        </w:rPr>
        <w:t xml:space="preserve"> (Child, 2011)</w:t>
      </w:r>
    </w:p>
    <w:p w14:paraId="544127EE" w14:textId="6A9DE6EF" w:rsidR="004B18F9" w:rsidRPr="007C0426" w:rsidRDefault="004B18F9" w:rsidP="007C0426">
      <w:pPr>
        <w:spacing w:after="30"/>
        <w:rPr>
          <w:rFonts w:ascii="Arial" w:hAnsi="Arial" w:cs="Arial"/>
          <w:sz w:val="24"/>
          <w:szCs w:val="24"/>
        </w:rPr>
      </w:pPr>
      <w:r w:rsidRPr="007C0426">
        <w:rPr>
          <w:rFonts w:ascii="Arial" w:hAnsi="Arial" w:cs="Arial"/>
          <w:sz w:val="24"/>
          <w:szCs w:val="24"/>
        </w:rPr>
        <w:t>There are four basic definitions of "competition" in ecology, biology, and evolution, all of which differ significantly from one another. They progress from having a narrow interpretation to one that is so broad as to be equivalent to selective breeding. In the classical sense, competition among animals happens when several animals (of the same or different species) use resources that are scarce but that are abundant; or, if the materials are plentiful, competition happens when animals compete for a resource while still causing harm to one another. Two more fall between the stringent and the wide definitions.</w:t>
      </w:r>
    </w:p>
    <w:p w14:paraId="46B15BCE" w14:textId="6D6157F1" w:rsidR="001C335F" w:rsidRPr="007C0426" w:rsidRDefault="001C335F" w:rsidP="007C0426">
      <w:pPr>
        <w:spacing w:after="30"/>
        <w:rPr>
          <w:rFonts w:ascii="Arial" w:hAnsi="Arial" w:cs="Arial"/>
          <w:sz w:val="24"/>
          <w:szCs w:val="24"/>
        </w:rPr>
      </w:pPr>
      <w:r w:rsidRPr="007C0426">
        <w:rPr>
          <w:rFonts w:ascii="Arial" w:hAnsi="Arial" w:cs="Arial"/>
          <w:sz w:val="24"/>
          <w:szCs w:val="24"/>
        </w:rPr>
        <w:t>Predation falls under the category of competition, whereas the other encompasses any disturbance between species—regardless of whether they share resources or not. The four definitions of competition are each supported by instances. The impact of one genotype on the frequency of another genotype within the same species is distinguished from the impact of one genotype on the numbers of another genotype within the same species. In the former scenario, a species can only compete with another to affect frequency when a resource is scarce.</w:t>
      </w:r>
      <w:r w:rsidRPr="007C0426">
        <w:rPr>
          <w:rFonts w:ascii="Arial" w:hAnsi="Arial" w:cs="Arial"/>
          <w:sz w:val="24"/>
          <w:szCs w:val="24"/>
        </w:rPr>
        <w:t xml:space="preserve"> (Birch, 1957)</w:t>
      </w:r>
    </w:p>
    <w:p w14:paraId="4A77B562" w14:textId="6D763BC1" w:rsidR="001C335F" w:rsidRPr="007C0426" w:rsidRDefault="001C335F" w:rsidP="007C0426">
      <w:pPr>
        <w:spacing w:after="30"/>
        <w:rPr>
          <w:rFonts w:ascii="Arial" w:hAnsi="Arial" w:cs="Arial"/>
          <w:sz w:val="24"/>
          <w:szCs w:val="24"/>
        </w:rPr>
      </w:pPr>
    </w:p>
    <w:p w14:paraId="6BDF3C11" w14:textId="2A289A61" w:rsidR="001C335F" w:rsidRPr="007C0426" w:rsidRDefault="001C335F" w:rsidP="007C0426">
      <w:pPr>
        <w:pStyle w:val="Heading1"/>
        <w:spacing w:after="30"/>
        <w:rPr>
          <w:rFonts w:ascii="Arial" w:hAnsi="Arial" w:cs="Arial"/>
          <w:sz w:val="24"/>
          <w:szCs w:val="24"/>
        </w:rPr>
      </w:pPr>
      <w:bookmarkStart w:id="6" w:name="_Toc109964868"/>
      <w:r w:rsidRPr="007C0426">
        <w:rPr>
          <w:rFonts w:ascii="Arial" w:hAnsi="Arial" w:cs="Arial"/>
          <w:sz w:val="24"/>
          <w:szCs w:val="24"/>
        </w:rPr>
        <w:t>Personal evaluations</w:t>
      </w:r>
      <w:bookmarkEnd w:id="6"/>
    </w:p>
    <w:p w14:paraId="72B754ED" w14:textId="62E3CEEB" w:rsidR="001C335F" w:rsidRPr="007C0426" w:rsidRDefault="001C335F" w:rsidP="007C0426">
      <w:pPr>
        <w:spacing w:after="30"/>
        <w:rPr>
          <w:rFonts w:ascii="Arial" w:hAnsi="Arial" w:cs="Arial"/>
          <w:sz w:val="24"/>
          <w:szCs w:val="24"/>
        </w:rPr>
      </w:pPr>
      <w:r w:rsidRPr="007C0426">
        <w:rPr>
          <w:rFonts w:ascii="Arial" w:hAnsi="Arial" w:cs="Arial"/>
          <w:sz w:val="24"/>
          <w:szCs w:val="24"/>
        </w:rPr>
        <w:t xml:space="preserve">Comparing three approaches to collecting and </w:t>
      </w:r>
      <w:r w:rsidRPr="007C0426">
        <w:rPr>
          <w:rFonts w:ascii="Arial" w:hAnsi="Arial" w:cs="Arial"/>
          <w:sz w:val="24"/>
          <w:szCs w:val="24"/>
        </w:rPr>
        <w:t>analysing</w:t>
      </w:r>
      <w:r w:rsidRPr="007C0426">
        <w:rPr>
          <w:rFonts w:ascii="Arial" w:hAnsi="Arial" w:cs="Arial"/>
          <w:sz w:val="24"/>
          <w:szCs w:val="24"/>
        </w:rPr>
        <w:t xml:space="preserve"> value profiles for market segmentation. The proportional test-retest reliability of the three approaches is shown to change depending on the reliability estimates used. Likert rating scales are much less accurate than rank sorting or paired comparison processes, according to the most applicable statistical metric, Kendall's tauB. Although there are no changes in the approaches' topic interests, Quantitative </w:t>
      </w:r>
      <w:r w:rsidRPr="007C0426">
        <w:rPr>
          <w:rFonts w:ascii="Arial" w:hAnsi="Arial" w:cs="Arial"/>
          <w:sz w:val="24"/>
          <w:szCs w:val="24"/>
        </w:rPr>
        <w:t>studies,</w:t>
      </w:r>
      <w:r w:rsidRPr="007C0426">
        <w:rPr>
          <w:rFonts w:ascii="Arial" w:hAnsi="Arial" w:cs="Arial"/>
          <w:sz w:val="24"/>
          <w:szCs w:val="24"/>
        </w:rPr>
        <w:t xml:space="preserve"> and rank ordering demand less response time than paired comparisons do. Future research implications and technique selection are explored.</w:t>
      </w:r>
      <w:r w:rsidRPr="007C0426">
        <w:rPr>
          <w:rFonts w:ascii="Arial" w:hAnsi="Arial" w:cs="Arial"/>
          <w:sz w:val="24"/>
          <w:szCs w:val="24"/>
        </w:rPr>
        <w:t xml:space="preserve"> (Reynolds, 1980)</w:t>
      </w:r>
    </w:p>
    <w:p w14:paraId="5885FB84" w14:textId="2C850FA3" w:rsidR="00B4671F" w:rsidRPr="007C0426" w:rsidRDefault="00B4671F" w:rsidP="007C0426">
      <w:pPr>
        <w:spacing w:after="30"/>
        <w:rPr>
          <w:rFonts w:ascii="Arial" w:hAnsi="Arial" w:cs="Arial"/>
          <w:sz w:val="24"/>
          <w:szCs w:val="24"/>
        </w:rPr>
      </w:pPr>
      <w:r w:rsidRPr="007C0426">
        <w:rPr>
          <w:rFonts w:ascii="Arial" w:hAnsi="Arial" w:cs="Arial"/>
          <w:sz w:val="24"/>
          <w:szCs w:val="24"/>
        </w:rPr>
        <w:t>In this chapter, we offer a process-oriented model that may be used to track the evolution of a person's identity throughout the course of their lifetime and across several identity domains. This model unpacks the dimensions of exploration and commitment into five different but related identity dimensions: three types of exploration (ruminative, in-breadth, and in-depth), and two forms of commitment. It is primarily influenced by Marcia's (1966) identity status paradigm (commitment making and identification). This allows researchers to distinguish between groups with more and less adaptable identity strategies by focusing on both the creation and appraisal of one's personal identity. There are suggestions for individually tailored and contextually oriented intervention techniques.</w:t>
      </w:r>
      <w:r w:rsidRPr="007C0426">
        <w:rPr>
          <w:rFonts w:ascii="Arial" w:hAnsi="Arial" w:cs="Arial"/>
          <w:sz w:val="24"/>
          <w:szCs w:val="24"/>
        </w:rPr>
        <w:t xml:space="preserve"> </w:t>
      </w:r>
      <w:proofErr w:type="gramStart"/>
      <w:r w:rsidRPr="007C0426">
        <w:rPr>
          <w:rFonts w:ascii="Arial" w:hAnsi="Arial" w:cs="Arial"/>
          <w:sz w:val="24"/>
          <w:szCs w:val="24"/>
        </w:rPr>
        <w:t>Particular focus</w:t>
      </w:r>
      <w:proofErr w:type="gramEnd"/>
      <w:r w:rsidRPr="007C0426">
        <w:rPr>
          <w:rFonts w:ascii="Arial" w:hAnsi="Arial" w:cs="Arial"/>
          <w:sz w:val="24"/>
          <w:szCs w:val="24"/>
        </w:rPr>
        <w:t xml:space="preserve"> is placed on the developmental concerns, antecedents, and corollaries of this identity model as well as the relationships between the model's various dimensions and the statuses derivable from it in terms of psychosocial (self-esteem, depressive symptoms, and anxiety) and health (illness adaptation, coping) outcomes in non-clinical and clinical </w:t>
      </w:r>
      <w:r w:rsidRPr="007C0426">
        <w:rPr>
          <w:rFonts w:ascii="Arial" w:hAnsi="Arial" w:cs="Arial"/>
          <w:sz w:val="24"/>
          <w:szCs w:val="24"/>
        </w:rPr>
        <w:lastRenderedPageBreak/>
        <w:t>populations. There are suggestions for individually tailored and contextually oriented intervention techniques.</w:t>
      </w:r>
      <w:r w:rsidRPr="007C0426">
        <w:rPr>
          <w:rFonts w:ascii="Arial" w:hAnsi="Arial" w:cs="Arial"/>
          <w:sz w:val="24"/>
          <w:szCs w:val="24"/>
        </w:rPr>
        <w:t xml:space="preserve"> </w:t>
      </w:r>
      <w:r w:rsidR="00844D69" w:rsidRPr="007C0426">
        <w:rPr>
          <w:rFonts w:ascii="Arial" w:hAnsi="Arial" w:cs="Arial"/>
          <w:sz w:val="24"/>
          <w:szCs w:val="24"/>
        </w:rPr>
        <w:t>(Luyckx, 2011)</w:t>
      </w:r>
    </w:p>
    <w:p w14:paraId="07B5BE41" w14:textId="62507584" w:rsidR="00844D69" w:rsidRPr="007C0426" w:rsidRDefault="00844D69" w:rsidP="007C0426">
      <w:pPr>
        <w:spacing w:after="30"/>
        <w:rPr>
          <w:rFonts w:ascii="Arial" w:hAnsi="Arial" w:cs="Arial"/>
          <w:sz w:val="24"/>
          <w:szCs w:val="24"/>
        </w:rPr>
      </w:pPr>
    </w:p>
    <w:p w14:paraId="43B921BE" w14:textId="22FE053E" w:rsidR="00844D69" w:rsidRPr="007C0426" w:rsidRDefault="00844D69" w:rsidP="007C0426">
      <w:pPr>
        <w:pStyle w:val="Heading1"/>
        <w:spacing w:after="30"/>
        <w:rPr>
          <w:rFonts w:ascii="Arial" w:hAnsi="Arial" w:cs="Arial"/>
          <w:sz w:val="24"/>
          <w:szCs w:val="24"/>
        </w:rPr>
      </w:pPr>
      <w:bookmarkStart w:id="7" w:name="_Toc109964869"/>
      <w:r w:rsidRPr="007C0426">
        <w:rPr>
          <w:rFonts w:ascii="Arial" w:hAnsi="Arial" w:cs="Arial"/>
          <w:sz w:val="24"/>
          <w:szCs w:val="24"/>
        </w:rPr>
        <w:t>Conclusion</w:t>
      </w:r>
      <w:bookmarkEnd w:id="7"/>
      <w:r w:rsidRPr="007C0426">
        <w:rPr>
          <w:rFonts w:ascii="Arial" w:hAnsi="Arial" w:cs="Arial"/>
          <w:sz w:val="24"/>
          <w:szCs w:val="24"/>
        </w:rPr>
        <w:t xml:space="preserve"> </w:t>
      </w:r>
    </w:p>
    <w:p w14:paraId="061BD2AD" w14:textId="6CCC8866" w:rsidR="00844D69" w:rsidRPr="007C0426" w:rsidRDefault="00844D69" w:rsidP="007C0426">
      <w:pPr>
        <w:spacing w:after="30"/>
        <w:rPr>
          <w:rFonts w:ascii="Arial" w:hAnsi="Arial" w:cs="Arial"/>
          <w:sz w:val="24"/>
          <w:szCs w:val="24"/>
        </w:rPr>
      </w:pPr>
      <w:r w:rsidRPr="007C0426">
        <w:rPr>
          <w:rFonts w:ascii="Arial" w:hAnsi="Arial" w:cs="Arial"/>
          <w:sz w:val="24"/>
          <w:szCs w:val="24"/>
        </w:rPr>
        <w:t xml:space="preserve">During this module, I have learned how innovations changed the world. A long time ago, people were struggling with simply things abut life, because of the lack of innovation. now days, the life became easier every day. Ten years </w:t>
      </w:r>
      <w:proofErr w:type="gramStart"/>
      <w:r w:rsidRPr="007C0426">
        <w:rPr>
          <w:rFonts w:ascii="Arial" w:hAnsi="Arial" w:cs="Arial"/>
          <w:sz w:val="24"/>
          <w:szCs w:val="24"/>
        </w:rPr>
        <w:t>ago</w:t>
      </w:r>
      <w:proofErr w:type="gramEnd"/>
      <w:r w:rsidRPr="007C0426">
        <w:rPr>
          <w:rFonts w:ascii="Arial" w:hAnsi="Arial" w:cs="Arial"/>
          <w:sz w:val="24"/>
          <w:szCs w:val="24"/>
        </w:rPr>
        <w:t xml:space="preserve"> the people were still struggling to communicate in distance, comparing to this days, where everything is just at a finger print touch. I have learned that </w:t>
      </w:r>
      <w:proofErr w:type="gramStart"/>
      <w:r w:rsidRPr="007C0426">
        <w:rPr>
          <w:rFonts w:ascii="Arial" w:hAnsi="Arial" w:cs="Arial"/>
          <w:sz w:val="24"/>
          <w:szCs w:val="24"/>
        </w:rPr>
        <w:t>this changes</w:t>
      </w:r>
      <w:proofErr w:type="gramEnd"/>
      <w:r w:rsidRPr="007C0426">
        <w:rPr>
          <w:rFonts w:ascii="Arial" w:hAnsi="Arial" w:cs="Arial"/>
          <w:sz w:val="24"/>
          <w:szCs w:val="24"/>
        </w:rPr>
        <w:t xml:space="preserve"> helped us grow and the most important, helped us to became who we are right now. </w:t>
      </w:r>
    </w:p>
    <w:p w14:paraId="1917EEE7" w14:textId="6F223680" w:rsidR="004D54B8" w:rsidRDefault="004D54B8" w:rsidP="004D54B8">
      <w:pPr>
        <w:pStyle w:val="Heading2"/>
      </w:pPr>
    </w:p>
    <w:p w14:paraId="0E91B4A7" w14:textId="06CC30BB" w:rsidR="007C0426" w:rsidRDefault="007C0426" w:rsidP="007C0426"/>
    <w:p w14:paraId="6276230A" w14:textId="692B1DCF" w:rsidR="007C0426" w:rsidRDefault="007C0426" w:rsidP="007C0426"/>
    <w:p w14:paraId="36236C9C" w14:textId="080A716B" w:rsidR="007C0426" w:rsidRDefault="007C0426" w:rsidP="007C0426"/>
    <w:p w14:paraId="13ADDA0F" w14:textId="0F93302B" w:rsidR="007C0426" w:rsidRDefault="007C0426" w:rsidP="007C0426"/>
    <w:p w14:paraId="1CAB9660" w14:textId="7DB48F8D" w:rsidR="007C0426" w:rsidRDefault="007C0426" w:rsidP="007C0426"/>
    <w:p w14:paraId="12F41AA6" w14:textId="39AF00B0" w:rsidR="007C0426" w:rsidRDefault="007C0426" w:rsidP="007C0426"/>
    <w:p w14:paraId="09BA2420" w14:textId="45089E57" w:rsidR="007C0426" w:rsidRDefault="007C0426" w:rsidP="007C0426"/>
    <w:p w14:paraId="76AF4AB7" w14:textId="3DD249E3" w:rsidR="007C0426" w:rsidRDefault="007C0426" w:rsidP="007C0426"/>
    <w:p w14:paraId="47696999" w14:textId="3204EE25" w:rsidR="007C0426" w:rsidRDefault="007C0426" w:rsidP="007C0426"/>
    <w:p w14:paraId="0230D9F0" w14:textId="27256D28" w:rsidR="007C0426" w:rsidRDefault="007C0426" w:rsidP="007C0426"/>
    <w:p w14:paraId="61D96E60" w14:textId="6D6C375B" w:rsidR="007C0426" w:rsidRDefault="007C0426" w:rsidP="007C0426"/>
    <w:p w14:paraId="6B94A022" w14:textId="3FD01EC7" w:rsidR="007C0426" w:rsidRDefault="007C0426" w:rsidP="007C0426"/>
    <w:p w14:paraId="2E399DD2" w14:textId="73685FD9" w:rsidR="007C0426" w:rsidRDefault="007C0426" w:rsidP="007C0426"/>
    <w:p w14:paraId="0631EA84" w14:textId="43FE85F9" w:rsidR="007C0426" w:rsidRDefault="007C0426" w:rsidP="007C0426"/>
    <w:p w14:paraId="166667E4" w14:textId="71AC65C6" w:rsidR="007C0426" w:rsidRDefault="007C0426" w:rsidP="007C0426"/>
    <w:p w14:paraId="7DC955DC" w14:textId="2FEFDFB8" w:rsidR="007C0426" w:rsidRDefault="007C0426" w:rsidP="007C0426"/>
    <w:p w14:paraId="206666FE" w14:textId="1389ED40" w:rsidR="007C0426" w:rsidRDefault="007C0426" w:rsidP="007C0426"/>
    <w:p w14:paraId="2D5F74F6" w14:textId="4216CA7F" w:rsidR="007C0426" w:rsidRDefault="007C0426" w:rsidP="007C0426"/>
    <w:p w14:paraId="7F634EC3" w14:textId="1FD18CDF" w:rsidR="007C0426" w:rsidRDefault="007C0426" w:rsidP="007C0426"/>
    <w:p w14:paraId="45160E91" w14:textId="7A39BC6B" w:rsidR="007C0426" w:rsidRDefault="007C0426" w:rsidP="007C0426"/>
    <w:p w14:paraId="13FE5CB8" w14:textId="2037BE76" w:rsidR="007C0426" w:rsidRDefault="007C0426" w:rsidP="007C0426"/>
    <w:p w14:paraId="15927083" w14:textId="2DF31B8C" w:rsidR="007C0426" w:rsidRDefault="007C0426" w:rsidP="007C0426"/>
    <w:p w14:paraId="6274880C" w14:textId="2B942B6C" w:rsidR="007C0426" w:rsidRDefault="007C0426" w:rsidP="007C0426"/>
    <w:p w14:paraId="797489BF" w14:textId="661EBBAD" w:rsidR="007C0426" w:rsidRDefault="007C0426" w:rsidP="007C0426">
      <w:pPr>
        <w:pStyle w:val="Heading1"/>
      </w:pPr>
      <w:r>
        <w:lastRenderedPageBreak/>
        <w:tab/>
      </w:r>
      <w:bookmarkStart w:id="8" w:name="_Toc109964870"/>
      <w:r>
        <w:t>References</w:t>
      </w:r>
      <w:bookmarkEnd w:id="8"/>
    </w:p>
    <w:p w14:paraId="4412D083" w14:textId="323E9200" w:rsidR="007C0426" w:rsidRPr="007C0426" w:rsidRDefault="007C0426" w:rsidP="007C0426">
      <w:pPr>
        <w:pStyle w:val="ListParagraph"/>
        <w:numPr>
          <w:ilvl w:val="0"/>
          <w:numId w:val="4"/>
        </w:numPr>
        <w:rPr>
          <w:rFonts w:ascii="Arial" w:hAnsi="Arial" w:cs="Arial"/>
          <w:sz w:val="24"/>
          <w:szCs w:val="24"/>
        </w:rPr>
      </w:pPr>
      <w:r w:rsidRPr="007C0426">
        <w:rPr>
          <w:rFonts w:ascii="Arial" w:hAnsi="Arial" w:cs="Arial"/>
          <w:sz w:val="24"/>
          <w:szCs w:val="24"/>
        </w:rPr>
        <w:t xml:space="preserve">B. Michael., (2021). </w:t>
      </w:r>
      <w:r w:rsidRPr="007C0426">
        <w:rPr>
          <w:rFonts w:ascii="Arial" w:hAnsi="Arial" w:cs="Arial"/>
          <w:i/>
          <w:iCs/>
          <w:sz w:val="24"/>
          <w:szCs w:val="24"/>
        </w:rPr>
        <w:t xml:space="preserve">Kondratieff Wave. </w:t>
      </w:r>
      <w:r w:rsidRPr="007C0426">
        <w:rPr>
          <w:rFonts w:ascii="Arial" w:hAnsi="Arial" w:cs="Arial"/>
          <w:sz w:val="24"/>
          <w:szCs w:val="24"/>
        </w:rPr>
        <w:t>[Online]</w:t>
      </w:r>
    </w:p>
    <w:p w14:paraId="063A7039" w14:textId="16BDE09D" w:rsidR="007C0426" w:rsidRPr="007C0426" w:rsidRDefault="007C0426" w:rsidP="007C0426">
      <w:pPr>
        <w:pStyle w:val="ListParagraph"/>
        <w:rPr>
          <w:rFonts w:ascii="Arial" w:hAnsi="Arial" w:cs="Arial"/>
          <w:sz w:val="24"/>
          <w:szCs w:val="24"/>
        </w:rPr>
      </w:pPr>
      <w:r w:rsidRPr="007C0426">
        <w:rPr>
          <w:rFonts w:ascii="Arial" w:hAnsi="Arial" w:cs="Arial"/>
          <w:sz w:val="24"/>
          <w:szCs w:val="24"/>
        </w:rPr>
        <w:t xml:space="preserve">Available at: </w:t>
      </w:r>
      <w:hyperlink r:id="rId6" w:anchor=":~:text=A%20Kondratieff%20Wave%20is%20a%20long-term%20economic%20cycle,agricultural%20commodity%20and%20copper%20prices%20experienced%20long-term%20cycles." w:history="1">
        <w:r w:rsidRPr="007C0426">
          <w:rPr>
            <w:rStyle w:val="Hyperlink"/>
            <w:rFonts w:ascii="Arial" w:hAnsi="Arial" w:cs="Arial"/>
            <w:sz w:val="24"/>
            <w:szCs w:val="24"/>
          </w:rPr>
          <w:t>Kondratieff Wave Definition (investopedia.com)</w:t>
        </w:r>
      </w:hyperlink>
    </w:p>
    <w:p w14:paraId="0D5E9C8A" w14:textId="21E746DD" w:rsidR="007C0426" w:rsidRPr="007C0426" w:rsidRDefault="007C0426" w:rsidP="007C0426">
      <w:pPr>
        <w:pStyle w:val="ListParagraph"/>
        <w:rPr>
          <w:rFonts w:ascii="Arial" w:hAnsi="Arial" w:cs="Arial"/>
          <w:sz w:val="24"/>
          <w:szCs w:val="24"/>
        </w:rPr>
      </w:pPr>
      <w:r w:rsidRPr="007C0426">
        <w:rPr>
          <w:rFonts w:ascii="Arial" w:hAnsi="Arial" w:cs="Arial"/>
          <w:sz w:val="24"/>
          <w:szCs w:val="24"/>
        </w:rPr>
        <w:t>[Accessed: 27 July 2022]</w:t>
      </w:r>
    </w:p>
    <w:p w14:paraId="40964DC6" w14:textId="6A653DA8" w:rsidR="007C0426" w:rsidRPr="007C0426" w:rsidRDefault="007C0426" w:rsidP="007C0426">
      <w:pPr>
        <w:pStyle w:val="ListParagraph"/>
        <w:numPr>
          <w:ilvl w:val="0"/>
          <w:numId w:val="4"/>
        </w:numPr>
        <w:rPr>
          <w:rFonts w:ascii="Arial" w:hAnsi="Arial" w:cs="Arial"/>
          <w:sz w:val="24"/>
          <w:szCs w:val="24"/>
        </w:rPr>
      </w:pPr>
      <w:r w:rsidRPr="007C0426">
        <w:rPr>
          <w:rFonts w:ascii="Arial" w:hAnsi="Arial" w:cs="Arial"/>
          <w:sz w:val="24"/>
          <w:szCs w:val="24"/>
        </w:rPr>
        <w:t xml:space="preserve">CFI Team, (2021). </w:t>
      </w:r>
      <w:r w:rsidRPr="007C0426">
        <w:rPr>
          <w:rFonts w:ascii="Arial" w:hAnsi="Arial" w:cs="Arial"/>
          <w:i/>
          <w:iCs/>
          <w:sz w:val="24"/>
          <w:szCs w:val="24"/>
        </w:rPr>
        <w:t xml:space="preserve">Kondratieff wave. </w:t>
      </w:r>
      <w:r w:rsidRPr="007C0426">
        <w:rPr>
          <w:rFonts w:ascii="Arial" w:hAnsi="Arial" w:cs="Arial"/>
          <w:sz w:val="24"/>
          <w:szCs w:val="24"/>
        </w:rPr>
        <w:t>[Online]</w:t>
      </w:r>
    </w:p>
    <w:p w14:paraId="273CBFAD" w14:textId="22D90094" w:rsidR="007C0426" w:rsidRPr="007C0426" w:rsidRDefault="007C0426" w:rsidP="007C0426">
      <w:pPr>
        <w:pStyle w:val="ListParagraph"/>
        <w:rPr>
          <w:rFonts w:ascii="Arial" w:hAnsi="Arial" w:cs="Arial"/>
          <w:sz w:val="24"/>
          <w:szCs w:val="24"/>
        </w:rPr>
      </w:pPr>
      <w:r w:rsidRPr="007C0426">
        <w:rPr>
          <w:rFonts w:ascii="Arial" w:hAnsi="Arial" w:cs="Arial"/>
          <w:sz w:val="24"/>
          <w:szCs w:val="24"/>
        </w:rPr>
        <w:t xml:space="preserve">Available at: </w:t>
      </w:r>
      <w:hyperlink r:id="rId7" w:history="1">
        <w:r w:rsidRPr="007C0426">
          <w:rPr>
            <w:rStyle w:val="Hyperlink"/>
            <w:rFonts w:ascii="Arial" w:hAnsi="Arial" w:cs="Arial"/>
            <w:sz w:val="24"/>
            <w:szCs w:val="24"/>
          </w:rPr>
          <w:t>Kondratieff Wave - Definition, How It Works, and Past Cycles (corporatefinanceinstitute.com)</w:t>
        </w:r>
      </w:hyperlink>
    </w:p>
    <w:p w14:paraId="79F7F685" w14:textId="5D4BA352" w:rsidR="007C0426" w:rsidRPr="007C0426" w:rsidRDefault="007C0426" w:rsidP="007C0426">
      <w:pPr>
        <w:pStyle w:val="ListParagraph"/>
        <w:rPr>
          <w:rFonts w:ascii="Arial" w:hAnsi="Arial" w:cs="Arial"/>
          <w:sz w:val="24"/>
          <w:szCs w:val="24"/>
        </w:rPr>
      </w:pPr>
      <w:r w:rsidRPr="007C0426">
        <w:rPr>
          <w:rFonts w:ascii="Arial" w:hAnsi="Arial" w:cs="Arial"/>
          <w:sz w:val="24"/>
          <w:szCs w:val="24"/>
        </w:rPr>
        <w:t>[Accessed 27 July 2022]</w:t>
      </w:r>
    </w:p>
    <w:p w14:paraId="325E9082" w14:textId="77777777" w:rsidR="007C0426" w:rsidRPr="007C0426" w:rsidRDefault="007C0426" w:rsidP="007C0426">
      <w:pPr>
        <w:pStyle w:val="ListParagraph"/>
        <w:numPr>
          <w:ilvl w:val="0"/>
          <w:numId w:val="4"/>
        </w:numPr>
        <w:rPr>
          <w:rFonts w:ascii="Arial" w:hAnsi="Arial" w:cs="Arial"/>
          <w:sz w:val="24"/>
          <w:szCs w:val="24"/>
        </w:rPr>
      </w:pPr>
      <w:r w:rsidRPr="007C0426">
        <w:rPr>
          <w:rFonts w:ascii="Arial" w:hAnsi="Arial" w:cs="Arial"/>
          <w:color w:val="222222"/>
          <w:sz w:val="24"/>
          <w:szCs w:val="24"/>
          <w:shd w:val="clear" w:color="auto" w:fill="FFFFFF"/>
        </w:rPr>
        <w:t>Deguchi, A., Hirai, C., Matsuoka, H., Nakano, T., Oshima, K., Tai, M. and Tani, S., 2020. What is society 5.0. </w:t>
      </w:r>
      <w:r w:rsidRPr="007C0426">
        <w:rPr>
          <w:rFonts w:ascii="Arial" w:hAnsi="Arial" w:cs="Arial"/>
          <w:i/>
          <w:iCs/>
          <w:color w:val="222222"/>
          <w:sz w:val="24"/>
          <w:szCs w:val="24"/>
          <w:shd w:val="clear" w:color="auto" w:fill="FFFFFF"/>
        </w:rPr>
        <w:t>Society</w:t>
      </w:r>
      <w:r w:rsidRPr="007C0426">
        <w:rPr>
          <w:rFonts w:ascii="Arial" w:hAnsi="Arial" w:cs="Arial"/>
          <w:color w:val="222222"/>
          <w:sz w:val="24"/>
          <w:szCs w:val="24"/>
          <w:shd w:val="clear" w:color="auto" w:fill="FFFFFF"/>
        </w:rPr>
        <w:t>, </w:t>
      </w:r>
      <w:r w:rsidRPr="007C0426">
        <w:rPr>
          <w:rFonts w:ascii="Arial" w:hAnsi="Arial" w:cs="Arial"/>
          <w:i/>
          <w:iCs/>
          <w:color w:val="222222"/>
          <w:sz w:val="24"/>
          <w:szCs w:val="24"/>
          <w:shd w:val="clear" w:color="auto" w:fill="FFFFFF"/>
        </w:rPr>
        <w:t>5</w:t>
      </w:r>
      <w:r w:rsidRPr="007C0426">
        <w:rPr>
          <w:rFonts w:ascii="Arial" w:hAnsi="Arial" w:cs="Arial"/>
          <w:color w:val="222222"/>
          <w:sz w:val="24"/>
          <w:szCs w:val="24"/>
          <w:shd w:val="clear" w:color="auto" w:fill="FFFFFF"/>
        </w:rPr>
        <w:t>, pp.1-23.</w:t>
      </w:r>
    </w:p>
    <w:p w14:paraId="70DA957A" w14:textId="77777777" w:rsidR="007C0426" w:rsidRPr="007C0426" w:rsidRDefault="007C0426" w:rsidP="007C0426">
      <w:pPr>
        <w:pStyle w:val="ListParagraph"/>
        <w:numPr>
          <w:ilvl w:val="0"/>
          <w:numId w:val="4"/>
        </w:numPr>
        <w:rPr>
          <w:rFonts w:ascii="Arial" w:hAnsi="Arial" w:cs="Arial"/>
          <w:sz w:val="24"/>
          <w:szCs w:val="24"/>
        </w:rPr>
      </w:pPr>
      <w:r w:rsidRPr="007C0426">
        <w:rPr>
          <w:rFonts w:ascii="Arial" w:hAnsi="Arial" w:cs="Arial"/>
          <w:color w:val="222222"/>
          <w:sz w:val="24"/>
          <w:szCs w:val="24"/>
          <w:shd w:val="clear" w:color="auto" w:fill="FFFFFF"/>
        </w:rPr>
        <w:t>Fukuyama, M., 2018. Society 5.0: Aiming for a new human-</w:t>
      </w:r>
      <w:proofErr w:type="spellStart"/>
      <w:r w:rsidRPr="007C0426">
        <w:rPr>
          <w:rFonts w:ascii="Arial" w:hAnsi="Arial" w:cs="Arial"/>
          <w:color w:val="222222"/>
          <w:sz w:val="24"/>
          <w:szCs w:val="24"/>
          <w:shd w:val="clear" w:color="auto" w:fill="FFFFFF"/>
        </w:rPr>
        <w:t>centered</w:t>
      </w:r>
      <w:proofErr w:type="spellEnd"/>
      <w:r w:rsidRPr="007C0426">
        <w:rPr>
          <w:rFonts w:ascii="Arial" w:hAnsi="Arial" w:cs="Arial"/>
          <w:color w:val="222222"/>
          <w:sz w:val="24"/>
          <w:szCs w:val="24"/>
          <w:shd w:val="clear" w:color="auto" w:fill="FFFFFF"/>
        </w:rPr>
        <w:t xml:space="preserve"> society. </w:t>
      </w:r>
      <w:r w:rsidRPr="007C0426">
        <w:rPr>
          <w:rFonts w:ascii="Arial" w:hAnsi="Arial" w:cs="Arial"/>
          <w:i/>
          <w:iCs/>
          <w:color w:val="222222"/>
          <w:sz w:val="24"/>
          <w:szCs w:val="24"/>
          <w:shd w:val="clear" w:color="auto" w:fill="FFFFFF"/>
        </w:rPr>
        <w:t>Japan Spotlight</w:t>
      </w:r>
      <w:r w:rsidRPr="007C0426">
        <w:rPr>
          <w:rFonts w:ascii="Arial" w:hAnsi="Arial" w:cs="Arial"/>
          <w:color w:val="222222"/>
          <w:sz w:val="24"/>
          <w:szCs w:val="24"/>
          <w:shd w:val="clear" w:color="auto" w:fill="FFFFFF"/>
        </w:rPr>
        <w:t>, </w:t>
      </w:r>
      <w:r w:rsidRPr="007C0426">
        <w:rPr>
          <w:rFonts w:ascii="Arial" w:hAnsi="Arial" w:cs="Arial"/>
          <w:i/>
          <w:iCs/>
          <w:color w:val="222222"/>
          <w:sz w:val="24"/>
          <w:szCs w:val="24"/>
          <w:shd w:val="clear" w:color="auto" w:fill="FFFFFF"/>
        </w:rPr>
        <w:t>27</w:t>
      </w:r>
      <w:r w:rsidRPr="007C0426">
        <w:rPr>
          <w:rFonts w:ascii="Arial" w:hAnsi="Arial" w:cs="Arial"/>
          <w:color w:val="222222"/>
          <w:sz w:val="24"/>
          <w:szCs w:val="24"/>
          <w:shd w:val="clear" w:color="auto" w:fill="FFFFFF"/>
        </w:rPr>
        <w:t>(5), pp.47-50.</w:t>
      </w:r>
    </w:p>
    <w:p w14:paraId="0CA569C0" w14:textId="77777777" w:rsidR="007C0426" w:rsidRPr="007C0426" w:rsidRDefault="007C0426" w:rsidP="007C0426">
      <w:pPr>
        <w:pStyle w:val="ListParagraph"/>
        <w:numPr>
          <w:ilvl w:val="0"/>
          <w:numId w:val="4"/>
        </w:numPr>
        <w:rPr>
          <w:rFonts w:ascii="Arial" w:hAnsi="Arial" w:cs="Arial"/>
          <w:sz w:val="24"/>
          <w:szCs w:val="24"/>
        </w:rPr>
      </w:pPr>
      <w:proofErr w:type="spellStart"/>
      <w:r w:rsidRPr="007C0426">
        <w:rPr>
          <w:rFonts w:ascii="Arial" w:hAnsi="Arial" w:cs="Arial"/>
          <w:color w:val="222222"/>
          <w:sz w:val="24"/>
          <w:szCs w:val="24"/>
          <w:shd w:val="clear" w:color="auto" w:fill="FFFFFF"/>
        </w:rPr>
        <w:t>Potočan</w:t>
      </w:r>
      <w:proofErr w:type="spellEnd"/>
      <w:r w:rsidRPr="007C0426">
        <w:rPr>
          <w:rFonts w:ascii="Arial" w:hAnsi="Arial" w:cs="Arial"/>
          <w:color w:val="222222"/>
          <w:sz w:val="24"/>
          <w:szCs w:val="24"/>
          <w:shd w:val="clear" w:color="auto" w:fill="FFFFFF"/>
        </w:rPr>
        <w:t xml:space="preserve">, V., Mulej, M. and Nedelko, Z., 2020. Society 5.0: Balancing of Industry 4.0, economic </w:t>
      </w:r>
      <w:proofErr w:type="gramStart"/>
      <w:r w:rsidRPr="007C0426">
        <w:rPr>
          <w:rFonts w:ascii="Arial" w:hAnsi="Arial" w:cs="Arial"/>
          <w:color w:val="222222"/>
          <w:sz w:val="24"/>
          <w:szCs w:val="24"/>
          <w:shd w:val="clear" w:color="auto" w:fill="FFFFFF"/>
        </w:rPr>
        <w:t>advancement</w:t>
      </w:r>
      <w:proofErr w:type="gramEnd"/>
      <w:r w:rsidRPr="007C0426">
        <w:rPr>
          <w:rFonts w:ascii="Arial" w:hAnsi="Arial" w:cs="Arial"/>
          <w:color w:val="222222"/>
          <w:sz w:val="24"/>
          <w:szCs w:val="24"/>
          <w:shd w:val="clear" w:color="auto" w:fill="FFFFFF"/>
        </w:rPr>
        <w:t xml:space="preserve"> and social problems. </w:t>
      </w:r>
      <w:proofErr w:type="spellStart"/>
      <w:r w:rsidRPr="007C0426">
        <w:rPr>
          <w:rFonts w:ascii="Arial" w:hAnsi="Arial" w:cs="Arial"/>
          <w:i/>
          <w:iCs/>
          <w:color w:val="222222"/>
          <w:sz w:val="24"/>
          <w:szCs w:val="24"/>
          <w:shd w:val="clear" w:color="auto" w:fill="FFFFFF"/>
        </w:rPr>
        <w:t>Kybernetes</w:t>
      </w:r>
      <w:proofErr w:type="spellEnd"/>
      <w:r w:rsidRPr="007C0426">
        <w:rPr>
          <w:rFonts w:ascii="Arial" w:hAnsi="Arial" w:cs="Arial"/>
          <w:color w:val="222222"/>
          <w:sz w:val="24"/>
          <w:szCs w:val="24"/>
          <w:shd w:val="clear" w:color="auto" w:fill="FFFFFF"/>
        </w:rPr>
        <w:t>.</w:t>
      </w:r>
    </w:p>
    <w:p w14:paraId="40D6AB1D" w14:textId="77777777" w:rsidR="007C0426" w:rsidRPr="007C0426" w:rsidRDefault="007C0426" w:rsidP="007C0426">
      <w:pPr>
        <w:pStyle w:val="ListParagraph"/>
        <w:numPr>
          <w:ilvl w:val="0"/>
          <w:numId w:val="4"/>
        </w:numPr>
        <w:rPr>
          <w:rFonts w:ascii="Arial" w:hAnsi="Arial" w:cs="Arial"/>
          <w:sz w:val="24"/>
          <w:szCs w:val="24"/>
        </w:rPr>
      </w:pPr>
      <w:proofErr w:type="spellStart"/>
      <w:r w:rsidRPr="007C0426">
        <w:rPr>
          <w:rFonts w:ascii="Arial" w:hAnsi="Arial" w:cs="Arial"/>
          <w:color w:val="222222"/>
          <w:sz w:val="24"/>
          <w:szCs w:val="24"/>
          <w:shd w:val="clear" w:color="auto" w:fill="FFFFFF"/>
        </w:rPr>
        <w:t>Marañon</w:t>
      </w:r>
      <w:proofErr w:type="spellEnd"/>
      <w:r w:rsidRPr="007C0426">
        <w:rPr>
          <w:rFonts w:ascii="Arial" w:hAnsi="Arial" w:cs="Arial"/>
          <w:color w:val="222222"/>
          <w:sz w:val="24"/>
          <w:szCs w:val="24"/>
          <w:shd w:val="clear" w:color="auto" w:fill="FFFFFF"/>
        </w:rPr>
        <w:t xml:space="preserve">, M. and </w:t>
      </w:r>
      <w:proofErr w:type="spellStart"/>
      <w:r w:rsidRPr="007C0426">
        <w:rPr>
          <w:rFonts w:ascii="Arial" w:hAnsi="Arial" w:cs="Arial"/>
          <w:color w:val="222222"/>
          <w:sz w:val="24"/>
          <w:szCs w:val="24"/>
          <w:shd w:val="clear" w:color="auto" w:fill="FFFFFF"/>
        </w:rPr>
        <w:t>Kumral</w:t>
      </w:r>
      <w:proofErr w:type="spellEnd"/>
      <w:r w:rsidRPr="007C0426">
        <w:rPr>
          <w:rFonts w:ascii="Arial" w:hAnsi="Arial" w:cs="Arial"/>
          <w:color w:val="222222"/>
          <w:sz w:val="24"/>
          <w:szCs w:val="24"/>
          <w:shd w:val="clear" w:color="auto" w:fill="FFFFFF"/>
        </w:rPr>
        <w:t>, M., 2019. Kondratiev long cycles in metal commodity prices. </w:t>
      </w:r>
      <w:r w:rsidRPr="007C0426">
        <w:rPr>
          <w:rFonts w:ascii="Arial" w:hAnsi="Arial" w:cs="Arial"/>
          <w:i/>
          <w:iCs/>
          <w:color w:val="222222"/>
          <w:sz w:val="24"/>
          <w:szCs w:val="24"/>
          <w:shd w:val="clear" w:color="auto" w:fill="FFFFFF"/>
        </w:rPr>
        <w:t>Resources Policy</w:t>
      </w:r>
      <w:r w:rsidRPr="007C0426">
        <w:rPr>
          <w:rFonts w:ascii="Arial" w:hAnsi="Arial" w:cs="Arial"/>
          <w:color w:val="222222"/>
          <w:sz w:val="24"/>
          <w:szCs w:val="24"/>
          <w:shd w:val="clear" w:color="auto" w:fill="FFFFFF"/>
        </w:rPr>
        <w:t>, </w:t>
      </w:r>
      <w:r w:rsidRPr="007C0426">
        <w:rPr>
          <w:rFonts w:ascii="Arial" w:hAnsi="Arial" w:cs="Arial"/>
          <w:i/>
          <w:iCs/>
          <w:color w:val="222222"/>
          <w:sz w:val="24"/>
          <w:szCs w:val="24"/>
          <w:shd w:val="clear" w:color="auto" w:fill="FFFFFF"/>
        </w:rPr>
        <w:t>61</w:t>
      </w:r>
      <w:r w:rsidRPr="007C0426">
        <w:rPr>
          <w:rFonts w:ascii="Arial" w:hAnsi="Arial" w:cs="Arial"/>
          <w:color w:val="222222"/>
          <w:sz w:val="24"/>
          <w:szCs w:val="24"/>
          <w:shd w:val="clear" w:color="auto" w:fill="FFFFFF"/>
        </w:rPr>
        <w:t>, pp.21-28.</w:t>
      </w:r>
    </w:p>
    <w:p w14:paraId="066F5280" w14:textId="77777777" w:rsidR="007C0426" w:rsidRPr="007C0426" w:rsidRDefault="007C0426" w:rsidP="007C0426">
      <w:pPr>
        <w:pStyle w:val="ListParagraph"/>
        <w:numPr>
          <w:ilvl w:val="0"/>
          <w:numId w:val="4"/>
        </w:numPr>
        <w:rPr>
          <w:rFonts w:ascii="Arial" w:hAnsi="Arial" w:cs="Arial"/>
          <w:sz w:val="24"/>
          <w:szCs w:val="24"/>
        </w:rPr>
      </w:pPr>
      <w:r w:rsidRPr="007C0426">
        <w:rPr>
          <w:rFonts w:ascii="Arial" w:hAnsi="Arial" w:cs="Arial"/>
          <w:color w:val="222222"/>
          <w:sz w:val="24"/>
          <w:szCs w:val="24"/>
          <w:shd w:val="clear" w:color="auto" w:fill="FFFFFF"/>
        </w:rPr>
        <w:t>Schumpeter, J.A., 2000. Entrepreneurship as innovation. </w:t>
      </w:r>
      <w:r w:rsidRPr="007C0426">
        <w:rPr>
          <w:rFonts w:ascii="Arial" w:hAnsi="Arial" w:cs="Arial"/>
          <w:i/>
          <w:iCs/>
          <w:color w:val="222222"/>
          <w:sz w:val="24"/>
          <w:szCs w:val="24"/>
          <w:shd w:val="clear" w:color="auto" w:fill="FFFFFF"/>
        </w:rPr>
        <w:t>University of Illinois at Urbana-Champaign's Academy for Entrepreneurial Leadership Historical Research Reference in Entrepreneurship</w:t>
      </w:r>
      <w:r w:rsidRPr="007C0426">
        <w:rPr>
          <w:rFonts w:ascii="Arial" w:hAnsi="Arial" w:cs="Arial"/>
          <w:color w:val="222222"/>
          <w:sz w:val="24"/>
          <w:szCs w:val="24"/>
          <w:shd w:val="clear" w:color="auto" w:fill="FFFFFF"/>
        </w:rPr>
        <w:t>.</w:t>
      </w:r>
    </w:p>
    <w:p w14:paraId="77BCBF9B" w14:textId="77777777" w:rsidR="007C0426" w:rsidRPr="007C0426" w:rsidRDefault="007C0426" w:rsidP="007C0426">
      <w:pPr>
        <w:pStyle w:val="ListParagraph"/>
        <w:numPr>
          <w:ilvl w:val="0"/>
          <w:numId w:val="4"/>
        </w:numPr>
        <w:rPr>
          <w:rFonts w:ascii="Arial" w:hAnsi="Arial" w:cs="Arial"/>
          <w:sz w:val="24"/>
          <w:szCs w:val="24"/>
        </w:rPr>
      </w:pPr>
      <w:r w:rsidRPr="007C0426">
        <w:rPr>
          <w:rFonts w:ascii="Arial" w:hAnsi="Arial" w:cs="Arial"/>
          <w:color w:val="222222"/>
          <w:sz w:val="24"/>
          <w:szCs w:val="24"/>
          <w:shd w:val="clear" w:color="auto" w:fill="FFFFFF"/>
        </w:rPr>
        <w:t>Zhao, F., 2005. Exploring the synergy between entrepreneurship and innovation. </w:t>
      </w:r>
      <w:r w:rsidRPr="007C0426">
        <w:rPr>
          <w:rFonts w:ascii="Arial" w:hAnsi="Arial" w:cs="Arial"/>
          <w:i/>
          <w:iCs/>
          <w:color w:val="222222"/>
          <w:sz w:val="24"/>
          <w:szCs w:val="24"/>
          <w:shd w:val="clear" w:color="auto" w:fill="FFFFFF"/>
        </w:rPr>
        <w:t xml:space="preserve">International Journal of Entrepreneurial </w:t>
      </w:r>
      <w:proofErr w:type="spellStart"/>
      <w:r w:rsidRPr="007C0426">
        <w:rPr>
          <w:rFonts w:ascii="Arial" w:hAnsi="Arial" w:cs="Arial"/>
          <w:i/>
          <w:iCs/>
          <w:color w:val="222222"/>
          <w:sz w:val="24"/>
          <w:szCs w:val="24"/>
          <w:shd w:val="clear" w:color="auto" w:fill="FFFFFF"/>
        </w:rPr>
        <w:t>Behavior</w:t>
      </w:r>
      <w:proofErr w:type="spellEnd"/>
      <w:r w:rsidRPr="007C0426">
        <w:rPr>
          <w:rFonts w:ascii="Arial" w:hAnsi="Arial" w:cs="Arial"/>
          <w:i/>
          <w:iCs/>
          <w:color w:val="222222"/>
          <w:sz w:val="24"/>
          <w:szCs w:val="24"/>
          <w:shd w:val="clear" w:color="auto" w:fill="FFFFFF"/>
        </w:rPr>
        <w:t xml:space="preserve"> &amp; Research</w:t>
      </w:r>
      <w:r w:rsidRPr="007C0426">
        <w:rPr>
          <w:rFonts w:ascii="Arial" w:hAnsi="Arial" w:cs="Arial"/>
          <w:color w:val="222222"/>
          <w:sz w:val="24"/>
          <w:szCs w:val="24"/>
          <w:shd w:val="clear" w:color="auto" w:fill="FFFFFF"/>
        </w:rPr>
        <w:t>.</w:t>
      </w:r>
    </w:p>
    <w:p w14:paraId="1F0F859C" w14:textId="77777777" w:rsidR="007C0426" w:rsidRPr="007C0426" w:rsidRDefault="007C0426" w:rsidP="007C0426">
      <w:pPr>
        <w:pStyle w:val="ListParagraph"/>
        <w:numPr>
          <w:ilvl w:val="0"/>
          <w:numId w:val="4"/>
        </w:numPr>
        <w:rPr>
          <w:rFonts w:ascii="Arial" w:hAnsi="Arial" w:cs="Arial"/>
          <w:sz w:val="24"/>
          <w:szCs w:val="24"/>
        </w:rPr>
      </w:pPr>
      <w:r w:rsidRPr="007C0426">
        <w:rPr>
          <w:rFonts w:ascii="Arial" w:hAnsi="Arial" w:cs="Arial"/>
          <w:color w:val="222222"/>
          <w:sz w:val="24"/>
          <w:szCs w:val="24"/>
          <w:shd w:val="clear" w:color="auto" w:fill="FFFFFF"/>
        </w:rPr>
        <w:t>Veeraraghavan, V., 2009. Entrepreneurship and innovation. </w:t>
      </w:r>
      <w:r w:rsidRPr="007C0426">
        <w:rPr>
          <w:rFonts w:ascii="Arial" w:hAnsi="Arial" w:cs="Arial"/>
          <w:i/>
          <w:iCs/>
          <w:color w:val="222222"/>
          <w:sz w:val="24"/>
          <w:szCs w:val="24"/>
          <w:shd w:val="clear" w:color="auto" w:fill="FFFFFF"/>
        </w:rPr>
        <w:t>Asia Pacific Business Review</w:t>
      </w:r>
      <w:r w:rsidRPr="007C0426">
        <w:rPr>
          <w:rFonts w:ascii="Arial" w:hAnsi="Arial" w:cs="Arial"/>
          <w:color w:val="222222"/>
          <w:sz w:val="24"/>
          <w:szCs w:val="24"/>
          <w:shd w:val="clear" w:color="auto" w:fill="FFFFFF"/>
        </w:rPr>
        <w:t>, </w:t>
      </w:r>
      <w:r w:rsidRPr="007C0426">
        <w:rPr>
          <w:rFonts w:ascii="Arial" w:hAnsi="Arial" w:cs="Arial"/>
          <w:i/>
          <w:iCs/>
          <w:color w:val="222222"/>
          <w:sz w:val="24"/>
          <w:szCs w:val="24"/>
          <w:shd w:val="clear" w:color="auto" w:fill="FFFFFF"/>
        </w:rPr>
        <w:t>5</w:t>
      </w:r>
      <w:r w:rsidRPr="007C0426">
        <w:rPr>
          <w:rFonts w:ascii="Arial" w:hAnsi="Arial" w:cs="Arial"/>
          <w:color w:val="222222"/>
          <w:sz w:val="24"/>
          <w:szCs w:val="24"/>
          <w:shd w:val="clear" w:color="auto" w:fill="FFFFFF"/>
        </w:rPr>
        <w:t>(1), pp.14-20.</w:t>
      </w:r>
    </w:p>
    <w:p w14:paraId="31858585" w14:textId="77777777" w:rsidR="007C0426" w:rsidRPr="007C0426" w:rsidRDefault="007C0426" w:rsidP="007C0426">
      <w:pPr>
        <w:pStyle w:val="ListParagraph"/>
        <w:numPr>
          <w:ilvl w:val="0"/>
          <w:numId w:val="4"/>
        </w:numPr>
        <w:rPr>
          <w:rFonts w:ascii="Arial" w:hAnsi="Arial" w:cs="Arial"/>
          <w:sz w:val="24"/>
          <w:szCs w:val="24"/>
        </w:rPr>
      </w:pPr>
      <w:r w:rsidRPr="007C0426">
        <w:rPr>
          <w:rFonts w:ascii="Arial" w:hAnsi="Arial" w:cs="Arial"/>
          <w:color w:val="222222"/>
          <w:sz w:val="24"/>
          <w:szCs w:val="24"/>
          <w:shd w:val="clear" w:color="auto" w:fill="FFFFFF"/>
        </w:rPr>
        <w:t xml:space="preserve">Bergendahl, M. and Magnusson, M., 2014. Combining collaboration and competition: a key to improved idea </w:t>
      </w:r>
      <w:proofErr w:type="gramStart"/>
      <w:r w:rsidRPr="007C0426">
        <w:rPr>
          <w:rFonts w:ascii="Arial" w:hAnsi="Arial" w:cs="Arial"/>
          <w:color w:val="222222"/>
          <w:sz w:val="24"/>
          <w:szCs w:val="24"/>
          <w:shd w:val="clear" w:color="auto" w:fill="FFFFFF"/>
        </w:rPr>
        <w:t>management?.</w:t>
      </w:r>
      <w:proofErr w:type="gramEnd"/>
      <w:r w:rsidRPr="007C0426">
        <w:rPr>
          <w:rFonts w:ascii="Arial" w:hAnsi="Arial" w:cs="Arial"/>
          <w:color w:val="222222"/>
          <w:sz w:val="24"/>
          <w:szCs w:val="24"/>
          <w:shd w:val="clear" w:color="auto" w:fill="FFFFFF"/>
        </w:rPr>
        <w:t> </w:t>
      </w:r>
      <w:r w:rsidRPr="007C0426">
        <w:rPr>
          <w:rFonts w:ascii="Arial" w:hAnsi="Arial" w:cs="Arial"/>
          <w:i/>
          <w:iCs/>
          <w:color w:val="222222"/>
          <w:sz w:val="24"/>
          <w:szCs w:val="24"/>
          <w:shd w:val="clear" w:color="auto" w:fill="FFFFFF"/>
        </w:rPr>
        <w:t>European Journal of International Management</w:t>
      </w:r>
      <w:r w:rsidRPr="007C0426">
        <w:rPr>
          <w:rFonts w:ascii="Arial" w:hAnsi="Arial" w:cs="Arial"/>
          <w:color w:val="222222"/>
          <w:sz w:val="24"/>
          <w:szCs w:val="24"/>
          <w:shd w:val="clear" w:color="auto" w:fill="FFFFFF"/>
        </w:rPr>
        <w:t>, </w:t>
      </w:r>
      <w:r w:rsidRPr="007C0426">
        <w:rPr>
          <w:rFonts w:ascii="Arial" w:hAnsi="Arial" w:cs="Arial"/>
          <w:i/>
          <w:iCs/>
          <w:color w:val="222222"/>
          <w:sz w:val="24"/>
          <w:szCs w:val="24"/>
          <w:shd w:val="clear" w:color="auto" w:fill="FFFFFF"/>
        </w:rPr>
        <w:t>8</w:t>
      </w:r>
      <w:r w:rsidRPr="007C0426">
        <w:rPr>
          <w:rFonts w:ascii="Arial" w:hAnsi="Arial" w:cs="Arial"/>
          <w:color w:val="222222"/>
          <w:sz w:val="24"/>
          <w:szCs w:val="24"/>
          <w:shd w:val="clear" w:color="auto" w:fill="FFFFFF"/>
        </w:rPr>
        <w:t>(5), pp.528-547.</w:t>
      </w:r>
    </w:p>
    <w:p w14:paraId="6A5FFC9B" w14:textId="77777777" w:rsidR="007C0426" w:rsidRPr="007C0426" w:rsidRDefault="007C0426" w:rsidP="007C0426">
      <w:pPr>
        <w:pStyle w:val="ListParagraph"/>
        <w:numPr>
          <w:ilvl w:val="0"/>
          <w:numId w:val="4"/>
        </w:numPr>
        <w:rPr>
          <w:rFonts w:ascii="Arial" w:hAnsi="Arial" w:cs="Arial"/>
          <w:sz w:val="24"/>
          <w:szCs w:val="24"/>
        </w:rPr>
      </w:pPr>
      <w:r w:rsidRPr="007C0426">
        <w:rPr>
          <w:rFonts w:ascii="Arial" w:hAnsi="Arial" w:cs="Arial"/>
          <w:color w:val="222222"/>
          <w:sz w:val="24"/>
          <w:szCs w:val="24"/>
          <w:shd w:val="clear" w:color="auto" w:fill="FFFFFF"/>
        </w:rPr>
        <w:t>Child, S. and Shaw, S., 2015. Collaboration in the 21st century: Implications for assessment. </w:t>
      </w:r>
      <w:r w:rsidRPr="007C0426">
        <w:rPr>
          <w:rFonts w:ascii="Arial" w:hAnsi="Arial" w:cs="Arial"/>
          <w:i/>
          <w:iCs/>
          <w:color w:val="222222"/>
          <w:sz w:val="24"/>
          <w:szCs w:val="24"/>
          <w:shd w:val="clear" w:color="auto" w:fill="FFFFFF"/>
        </w:rPr>
        <w:t>Economics</w:t>
      </w:r>
      <w:r w:rsidRPr="007C0426">
        <w:rPr>
          <w:rFonts w:ascii="Arial" w:hAnsi="Arial" w:cs="Arial"/>
          <w:color w:val="222222"/>
          <w:sz w:val="24"/>
          <w:szCs w:val="24"/>
          <w:shd w:val="clear" w:color="auto" w:fill="FFFFFF"/>
        </w:rPr>
        <w:t>, </w:t>
      </w:r>
      <w:r w:rsidRPr="007C0426">
        <w:rPr>
          <w:rFonts w:ascii="Arial" w:hAnsi="Arial" w:cs="Arial"/>
          <w:i/>
          <w:iCs/>
          <w:color w:val="222222"/>
          <w:sz w:val="24"/>
          <w:szCs w:val="24"/>
          <w:shd w:val="clear" w:color="auto" w:fill="FFFFFF"/>
        </w:rPr>
        <w:t>21</w:t>
      </w:r>
      <w:r w:rsidRPr="007C0426">
        <w:rPr>
          <w:rFonts w:ascii="Arial" w:hAnsi="Arial" w:cs="Arial"/>
          <w:color w:val="222222"/>
          <w:sz w:val="24"/>
          <w:szCs w:val="24"/>
          <w:shd w:val="clear" w:color="auto" w:fill="FFFFFF"/>
        </w:rPr>
        <w:t>, p.2008.</w:t>
      </w:r>
    </w:p>
    <w:p w14:paraId="7F6AB679" w14:textId="77777777" w:rsidR="007C0426" w:rsidRPr="007C0426" w:rsidRDefault="007C0426" w:rsidP="007C0426">
      <w:pPr>
        <w:pStyle w:val="ListParagraph"/>
        <w:numPr>
          <w:ilvl w:val="0"/>
          <w:numId w:val="4"/>
        </w:numPr>
        <w:rPr>
          <w:rFonts w:ascii="Arial" w:hAnsi="Arial" w:cs="Arial"/>
          <w:sz w:val="24"/>
          <w:szCs w:val="24"/>
        </w:rPr>
      </w:pPr>
      <w:r w:rsidRPr="007C0426">
        <w:rPr>
          <w:rFonts w:ascii="Arial" w:hAnsi="Arial" w:cs="Arial"/>
          <w:color w:val="222222"/>
          <w:sz w:val="24"/>
          <w:szCs w:val="24"/>
          <w:shd w:val="clear" w:color="auto" w:fill="FFFFFF"/>
        </w:rPr>
        <w:t>Birch, L.C., 1957. The meanings of competition. </w:t>
      </w:r>
      <w:r w:rsidRPr="007C0426">
        <w:rPr>
          <w:rFonts w:ascii="Arial" w:hAnsi="Arial" w:cs="Arial"/>
          <w:i/>
          <w:iCs/>
          <w:color w:val="222222"/>
          <w:sz w:val="24"/>
          <w:szCs w:val="24"/>
          <w:shd w:val="clear" w:color="auto" w:fill="FFFFFF"/>
        </w:rPr>
        <w:t>The American Naturalist</w:t>
      </w:r>
      <w:r w:rsidRPr="007C0426">
        <w:rPr>
          <w:rFonts w:ascii="Arial" w:hAnsi="Arial" w:cs="Arial"/>
          <w:color w:val="222222"/>
          <w:sz w:val="24"/>
          <w:szCs w:val="24"/>
          <w:shd w:val="clear" w:color="auto" w:fill="FFFFFF"/>
        </w:rPr>
        <w:t>, </w:t>
      </w:r>
      <w:r w:rsidRPr="007C0426">
        <w:rPr>
          <w:rFonts w:ascii="Arial" w:hAnsi="Arial" w:cs="Arial"/>
          <w:i/>
          <w:iCs/>
          <w:color w:val="222222"/>
          <w:sz w:val="24"/>
          <w:szCs w:val="24"/>
          <w:shd w:val="clear" w:color="auto" w:fill="FFFFFF"/>
        </w:rPr>
        <w:t>91</w:t>
      </w:r>
      <w:r w:rsidRPr="007C0426">
        <w:rPr>
          <w:rFonts w:ascii="Arial" w:hAnsi="Arial" w:cs="Arial"/>
          <w:color w:val="222222"/>
          <w:sz w:val="24"/>
          <w:szCs w:val="24"/>
          <w:shd w:val="clear" w:color="auto" w:fill="FFFFFF"/>
        </w:rPr>
        <w:t>(856), pp.5-18.</w:t>
      </w:r>
    </w:p>
    <w:tbl>
      <w:tblPr>
        <w:tblW w:w="8232" w:type="dxa"/>
        <w:shd w:val="clear" w:color="auto" w:fill="FFFFFF"/>
        <w:tblCellMar>
          <w:left w:w="0" w:type="dxa"/>
          <w:right w:w="0" w:type="dxa"/>
        </w:tblCellMar>
        <w:tblLook w:val="04A0" w:firstRow="1" w:lastRow="0" w:firstColumn="1" w:lastColumn="0" w:noHBand="0" w:noVBand="1"/>
      </w:tblPr>
      <w:tblGrid>
        <w:gridCol w:w="8232"/>
      </w:tblGrid>
      <w:tr w:rsidR="007C0426" w:rsidRPr="00073D15" w14:paraId="31199C21" w14:textId="77777777" w:rsidTr="00223B1B">
        <w:tc>
          <w:tcPr>
            <w:tcW w:w="8232" w:type="dxa"/>
            <w:shd w:val="clear" w:color="auto" w:fill="FFFFFF"/>
            <w:hideMark/>
          </w:tcPr>
          <w:p w14:paraId="3BE73CF0" w14:textId="77777777" w:rsidR="007C0426" w:rsidRPr="007C0426" w:rsidRDefault="007C0426" w:rsidP="007C0426">
            <w:pPr>
              <w:pStyle w:val="ListParagraph"/>
              <w:numPr>
                <w:ilvl w:val="0"/>
                <w:numId w:val="4"/>
              </w:numPr>
              <w:spacing w:after="0" w:line="240" w:lineRule="auto"/>
              <w:rPr>
                <w:rFonts w:ascii="Arial" w:eastAsia="Times New Roman" w:hAnsi="Arial" w:cs="Arial"/>
                <w:sz w:val="24"/>
                <w:szCs w:val="24"/>
                <w:lang w:eastAsia="en-GB"/>
              </w:rPr>
            </w:pPr>
            <w:r w:rsidRPr="007C0426">
              <w:rPr>
                <w:rFonts w:ascii="Arial" w:hAnsi="Arial" w:cs="Arial"/>
                <w:sz w:val="24"/>
                <w:szCs w:val="24"/>
              </w:rPr>
              <w:t>Reynolds, T.J. and Jolly, J.P., 1980. Measuring personal values: An evaluation of alternative methods. Journal of Marketing Research, 17(4), pp.531-536.</w:t>
            </w:r>
          </w:p>
        </w:tc>
      </w:tr>
    </w:tbl>
    <w:p w14:paraId="3E8768C4" w14:textId="77777777" w:rsidR="007C0426" w:rsidRPr="007C0426" w:rsidRDefault="007C0426" w:rsidP="007C0426">
      <w:pPr>
        <w:pStyle w:val="ListParagraph"/>
        <w:numPr>
          <w:ilvl w:val="0"/>
          <w:numId w:val="4"/>
        </w:numPr>
        <w:rPr>
          <w:rFonts w:ascii="Arial" w:hAnsi="Arial" w:cs="Arial"/>
          <w:sz w:val="24"/>
          <w:szCs w:val="24"/>
        </w:rPr>
      </w:pPr>
      <w:r w:rsidRPr="007C0426">
        <w:rPr>
          <w:rFonts w:ascii="Arial" w:hAnsi="Arial" w:cs="Arial"/>
          <w:color w:val="222222"/>
          <w:sz w:val="24"/>
          <w:szCs w:val="24"/>
          <w:shd w:val="clear" w:color="auto" w:fill="FFFFFF"/>
        </w:rPr>
        <w:t xml:space="preserve">Luyckx, K., Schwartz, S.J., Goossens, L., Beyers, W. and </w:t>
      </w:r>
      <w:proofErr w:type="spellStart"/>
      <w:r w:rsidRPr="007C0426">
        <w:rPr>
          <w:rFonts w:ascii="Arial" w:hAnsi="Arial" w:cs="Arial"/>
          <w:color w:val="222222"/>
          <w:sz w:val="24"/>
          <w:szCs w:val="24"/>
          <w:shd w:val="clear" w:color="auto" w:fill="FFFFFF"/>
        </w:rPr>
        <w:t>Missotten</w:t>
      </w:r>
      <w:proofErr w:type="spellEnd"/>
      <w:r w:rsidRPr="007C0426">
        <w:rPr>
          <w:rFonts w:ascii="Arial" w:hAnsi="Arial" w:cs="Arial"/>
          <w:color w:val="222222"/>
          <w:sz w:val="24"/>
          <w:szCs w:val="24"/>
          <w:shd w:val="clear" w:color="auto" w:fill="FFFFFF"/>
        </w:rPr>
        <w:t>, L., 2011. Processes of personal identity formation and evaluation. In </w:t>
      </w:r>
      <w:r w:rsidRPr="007C0426">
        <w:rPr>
          <w:rFonts w:ascii="Arial" w:hAnsi="Arial" w:cs="Arial"/>
          <w:i/>
          <w:iCs/>
          <w:color w:val="222222"/>
          <w:sz w:val="24"/>
          <w:szCs w:val="24"/>
          <w:shd w:val="clear" w:color="auto" w:fill="FFFFFF"/>
        </w:rPr>
        <w:t>Handbook of identity theory and research</w:t>
      </w:r>
      <w:r w:rsidRPr="007C0426">
        <w:rPr>
          <w:rFonts w:ascii="Arial" w:hAnsi="Arial" w:cs="Arial"/>
          <w:color w:val="222222"/>
          <w:sz w:val="24"/>
          <w:szCs w:val="24"/>
          <w:shd w:val="clear" w:color="auto" w:fill="FFFFFF"/>
        </w:rPr>
        <w:t> (pp. 77-98). Springer, New York, NY.</w:t>
      </w:r>
    </w:p>
    <w:p w14:paraId="42C0C676" w14:textId="77777777" w:rsidR="007C0426" w:rsidRPr="007C0426" w:rsidRDefault="007C0426" w:rsidP="007C0426"/>
    <w:sectPr w:rsidR="007C0426" w:rsidRPr="007C04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82E7D"/>
    <w:multiLevelType w:val="hybridMultilevel"/>
    <w:tmpl w:val="5F7EB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21941"/>
    <w:multiLevelType w:val="hybridMultilevel"/>
    <w:tmpl w:val="47E21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716A"/>
    <w:multiLevelType w:val="hybridMultilevel"/>
    <w:tmpl w:val="CDE43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347914"/>
    <w:multiLevelType w:val="hybridMultilevel"/>
    <w:tmpl w:val="7FFC7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999914">
    <w:abstractNumId w:val="0"/>
  </w:num>
  <w:num w:numId="2" w16cid:durableId="1464033655">
    <w:abstractNumId w:val="3"/>
  </w:num>
  <w:num w:numId="3" w16cid:durableId="1390686361">
    <w:abstractNumId w:val="1"/>
  </w:num>
  <w:num w:numId="4" w16cid:durableId="2690525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774"/>
    <w:rsid w:val="00006D3D"/>
    <w:rsid w:val="001A59AB"/>
    <w:rsid w:val="001C335F"/>
    <w:rsid w:val="001C3820"/>
    <w:rsid w:val="001C6028"/>
    <w:rsid w:val="00290F2E"/>
    <w:rsid w:val="002B17FE"/>
    <w:rsid w:val="002C04FE"/>
    <w:rsid w:val="00340A6C"/>
    <w:rsid w:val="0039740F"/>
    <w:rsid w:val="003A154A"/>
    <w:rsid w:val="004B18F9"/>
    <w:rsid w:val="004C6727"/>
    <w:rsid w:val="004D54B8"/>
    <w:rsid w:val="004F04A6"/>
    <w:rsid w:val="005E7575"/>
    <w:rsid w:val="00612523"/>
    <w:rsid w:val="006507D1"/>
    <w:rsid w:val="007130A6"/>
    <w:rsid w:val="0075025F"/>
    <w:rsid w:val="007C0426"/>
    <w:rsid w:val="007C0EDF"/>
    <w:rsid w:val="007C6740"/>
    <w:rsid w:val="00844D69"/>
    <w:rsid w:val="008A72A7"/>
    <w:rsid w:val="009723D3"/>
    <w:rsid w:val="009E3B95"/>
    <w:rsid w:val="00AD4774"/>
    <w:rsid w:val="00AE6B5E"/>
    <w:rsid w:val="00B4671F"/>
    <w:rsid w:val="00C91791"/>
    <w:rsid w:val="00CB51DF"/>
    <w:rsid w:val="00D94EED"/>
    <w:rsid w:val="00E5538C"/>
    <w:rsid w:val="00E61E47"/>
    <w:rsid w:val="00F63A47"/>
    <w:rsid w:val="00FB258A"/>
    <w:rsid w:val="00FC2D94"/>
    <w:rsid w:val="00FD5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A8BB6"/>
  <w15:chartTrackingRefBased/>
  <w15:docId w15:val="{D2AA780E-810A-49C3-985F-6CC13C1C4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774"/>
  </w:style>
  <w:style w:type="paragraph" w:styleId="Heading1">
    <w:name w:val="heading 1"/>
    <w:basedOn w:val="Normal"/>
    <w:next w:val="Normal"/>
    <w:link w:val="Heading1Char"/>
    <w:uiPriority w:val="9"/>
    <w:qFormat/>
    <w:rsid w:val="00AD47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67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40A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77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40A6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E5538C"/>
    <w:pPr>
      <w:ind w:left="720"/>
      <w:contextualSpacing/>
    </w:pPr>
  </w:style>
  <w:style w:type="character" w:customStyle="1" w:styleId="Heading2Char">
    <w:name w:val="Heading 2 Char"/>
    <w:basedOn w:val="DefaultParagraphFont"/>
    <w:link w:val="Heading2"/>
    <w:uiPriority w:val="9"/>
    <w:rsid w:val="007C674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C0426"/>
    <w:rPr>
      <w:color w:val="0000FF"/>
      <w:u w:val="single"/>
    </w:rPr>
  </w:style>
  <w:style w:type="paragraph" w:styleId="TOCHeading">
    <w:name w:val="TOC Heading"/>
    <w:basedOn w:val="Heading1"/>
    <w:next w:val="Normal"/>
    <w:uiPriority w:val="39"/>
    <w:unhideWhenUsed/>
    <w:qFormat/>
    <w:rsid w:val="007C0426"/>
    <w:pPr>
      <w:outlineLvl w:val="9"/>
    </w:pPr>
    <w:rPr>
      <w:lang w:val="en-US"/>
    </w:rPr>
  </w:style>
  <w:style w:type="paragraph" w:styleId="TOC1">
    <w:name w:val="toc 1"/>
    <w:basedOn w:val="Normal"/>
    <w:next w:val="Normal"/>
    <w:autoRedefine/>
    <w:uiPriority w:val="39"/>
    <w:unhideWhenUsed/>
    <w:rsid w:val="007C0426"/>
    <w:pPr>
      <w:spacing w:after="100"/>
    </w:pPr>
  </w:style>
  <w:style w:type="paragraph" w:styleId="TOC2">
    <w:name w:val="toc 2"/>
    <w:basedOn w:val="Normal"/>
    <w:next w:val="Normal"/>
    <w:autoRedefine/>
    <w:uiPriority w:val="39"/>
    <w:unhideWhenUsed/>
    <w:rsid w:val="007C042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565845">
      <w:bodyDiv w:val="1"/>
      <w:marLeft w:val="0"/>
      <w:marRight w:val="0"/>
      <w:marTop w:val="0"/>
      <w:marBottom w:val="0"/>
      <w:divBdr>
        <w:top w:val="none" w:sz="0" w:space="0" w:color="auto"/>
        <w:left w:val="none" w:sz="0" w:space="0" w:color="auto"/>
        <w:bottom w:val="none" w:sz="0" w:space="0" w:color="auto"/>
        <w:right w:val="none" w:sz="0" w:space="0" w:color="auto"/>
      </w:divBdr>
    </w:div>
    <w:div w:id="2009676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orporatefinanceinstitute.com/resources/knowledge/economics/kondratieff-wav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nvestopedia.com/terms/k/kondratieff-wave.asp"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5BCE1-6A61-418E-87E1-BFA962E3D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2483</Words>
  <Characters>14156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dc:creator>
  <cp:keywords/>
  <dc:description/>
  <cp:lastModifiedBy>Mihaela</cp:lastModifiedBy>
  <cp:revision>2</cp:revision>
  <dcterms:created xsi:type="dcterms:W3CDTF">2022-07-29T04:30:00Z</dcterms:created>
  <dcterms:modified xsi:type="dcterms:W3CDTF">2022-07-29T04:30:00Z</dcterms:modified>
</cp:coreProperties>
</file>