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431847" w:rsidP="00FC226F" w:rsidRDefault="00431847" w14:paraId="70A04AEF" w14:textId="45293B64">
      <w:pPr>
        <w:shd w:val="clear" w:color="auto" w:fill="FFFFFF"/>
        <w:spacing w:before="100" w:beforeAutospacing="1" w:after="100" w:afterAutospacing="1"/>
        <w:rPr>
          <w:rFonts w:ascii="Arial" w:hAnsi="Arial" w:eastAsia="Times New Roman" w:cs="Arial"/>
          <w:color w:val="222222"/>
          <w:sz w:val="52"/>
          <w:szCs w:val="52"/>
          <w:lang w:eastAsia="en-GB"/>
        </w:rPr>
      </w:pPr>
    </w:p>
    <w:p w:rsidRPr="00A366E7" w:rsidR="00CA1B96" w:rsidP="00FC226F" w:rsidRDefault="00CA1B96" w14:paraId="59D847CA" w14:textId="77777777">
      <w:pPr>
        <w:shd w:val="clear" w:color="auto" w:fill="FFFFFF"/>
        <w:spacing w:before="100" w:beforeAutospacing="1" w:after="100" w:afterAutospacing="1"/>
        <w:rPr>
          <w:rFonts w:ascii="Arial" w:hAnsi="Arial" w:eastAsia="Times New Roman" w:cs="Arial"/>
          <w:color w:val="222222"/>
          <w:sz w:val="52"/>
          <w:szCs w:val="52"/>
          <w:lang w:eastAsia="en-GB"/>
        </w:rPr>
      </w:pPr>
    </w:p>
    <w:p w:rsidR="00CA1B96" w:rsidP="00A366E7" w:rsidRDefault="00A366E7" w14:paraId="08E49B5F" w14:textId="77777777">
      <w:pPr>
        <w:jc w:val="center"/>
        <w:rPr>
          <w:rFonts w:ascii="Arial" w:hAnsi="Arial" w:eastAsia="Times New Roman" w:cs="Arial"/>
          <w:color w:val="222222"/>
          <w:sz w:val="52"/>
          <w:szCs w:val="52"/>
          <w:lang w:eastAsia="en-GB"/>
        </w:rPr>
      </w:pPr>
      <w:r w:rsidRPr="00A366E7">
        <w:rPr>
          <w:rFonts w:ascii="Arial" w:hAnsi="Arial" w:eastAsia="Times New Roman" w:cs="Arial"/>
          <w:color w:val="222222"/>
          <w:sz w:val="52"/>
          <w:szCs w:val="52"/>
          <w:lang w:eastAsia="en-GB"/>
        </w:rPr>
        <w:t xml:space="preserve">Report on Health Issue: </w:t>
      </w:r>
    </w:p>
    <w:p w:rsidRPr="00A366E7" w:rsidR="00A366E7" w:rsidP="00A366E7" w:rsidRDefault="00A366E7" w14:paraId="63D1C0C7" w14:textId="1F332A25">
      <w:pPr>
        <w:jc w:val="center"/>
        <w:rPr>
          <w:rFonts w:ascii="Arial" w:hAnsi="Arial" w:eastAsia="Times New Roman" w:cs="Arial"/>
          <w:color w:val="222222"/>
          <w:sz w:val="52"/>
          <w:szCs w:val="52"/>
          <w:lang w:eastAsia="en-GB"/>
        </w:rPr>
      </w:pPr>
      <w:r w:rsidRPr="00A366E7">
        <w:rPr>
          <w:rFonts w:ascii="Arial" w:hAnsi="Arial" w:eastAsia="Times New Roman" w:cs="Arial"/>
          <w:color w:val="222222"/>
          <w:sz w:val="52"/>
          <w:szCs w:val="52"/>
          <w:lang w:eastAsia="en-GB"/>
        </w:rPr>
        <w:t>Dementia</w:t>
      </w:r>
    </w:p>
    <w:p w:rsidR="00A366E7" w:rsidP="00A366E7" w:rsidRDefault="00A366E7" w14:paraId="3F2047A8" w14:textId="5469D6E4">
      <w:pPr>
        <w:jc w:val="center"/>
        <w:rPr>
          <w:rFonts w:ascii="Arial" w:hAnsi="Arial" w:eastAsia="Times New Roman" w:cs="Arial"/>
          <w:color w:val="222222"/>
          <w:lang w:eastAsia="en-GB"/>
        </w:rPr>
      </w:pPr>
    </w:p>
    <w:p w:rsidR="00A366E7" w:rsidP="00A366E7" w:rsidRDefault="00A366E7" w14:paraId="7B65C104" w14:textId="09AAAEA4">
      <w:pPr>
        <w:jc w:val="center"/>
        <w:rPr>
          <w:rFonts w:ascii="Arial" w:hAnsi="Arial" w:eastAsia="Times New Roman" w:cs="Arial"/>
          <w:color w:val="222222"/>
          <w:lang w:eastAsia="en-GB"/>
        </w:rPr>
      </w:pPr>
    </w:p>
    <w:p w:rsidR="00A366E7" w:rsidP="00A366E7" w:rsidRDefault="00A366E7" w14:paraId="73FA8A8A" w14:textId="6DA1BC7A">
      <w:pPr>
        <w:jc w:val="center"/>
        <w:rPr>
          <w:rFonts w:ascii="Arial" w:hAnsi="Arial" w:eastAsia="Times New Roman" w:cs="Arial"/>
          <w:color w:val="222222"/>
          <w:lang w:eastAsia="en-GB"/>
        </w:rPr>
      </w:pPr>
    </w:p>
    <w:p w:rsidR="00A366E7" w:rsidP="00A366E7" w:rsidRDefault="00A366E7" w14:paraId="70C88755" w14:textId="57FCC130">
      <w:pPr>
        <w:jc w:val="center"/>
        <w:rPr>
          <w:rFonts w:ascii="Arial" w:hAnsi="Arial" w:eastAsia="Times New Roman" w:cs="Arial"/>
          <w:color w:val="222222"/>
          <w:lang w:eastAsia="en-GB"/>
        </w:rPr>
      </w:pPr>
    </w:p>
    <w:p w:rsidR="00A366E7" w:rsidP="00A366E7" w:rsidRDefault="00A366E7" w14:paraId="168C2B47" w14:textId="1A64F84B">
      <w:pPr>
        <w:jc w:val="center"/>
        <w:rPr>
          <w:rFonts w:ascii="Arial" w:hAnsi="Arial" w:eastAsia="Times New Roman" w:cs="Arial"/>
          <w:color w:val="222222"/>
          <w:lang w:eastAsia="en-GB"/>
        </w:rPr>
      </w:pPr>
    </w:p>
    <w:p w:rsidR="00A366E7" w:rsidP="00A366E7" w:rsidRDefault="00A366E7" w14:paraId="2E96233F" w14:textId="50D30519">
      <w:pPr>
        <w:jc w:val="center"/>
        <w:rPr>
          <w:rFonts w:ascii="Arial" w:hAnsi="Arial" w:eastAsia="Times New Roman" w:cs="Arial"/>
          <w:color w:val="222222"/>
          <w:lang w:eastAsia="en-GB"/>
        </w:rPr>
      </w:pPr>
    </w:p>
    <w:p w:rsidR="00A366E7" w:rsidP="00A366E7" w:rsidRDefault="00A366E7" w14:paraId="4A77686C" w14:textId="61EDD6FE">
      <w:pPr>
        <w:jc w:val="center"/>
        <w:rPr>
          <w:rFonts w:ascii="Arial" w:hAnsi="Arial" w:eastAsia="Times New Roman" w:cs="Arial"/>
          <w:color w:val="222222"/>
          <w:lang w:eastAsia="en-GB"/>
        </w:rPr>
      </w:pPr>
    </w:p>
    <w:p w:rsidR="00A366E7" w:rsidP="00A366E7" w:rsidRDefault="00A366E7" w14:paraId="7C5DAD5B" w14:textId="30D06928">
      <w:pPr>
        <w:jc w:val="center"/>
        <w:rPr>
          <w:rFonts w:ascii="Arial" w:hAnsi="Arial" w:eastAsia="Times New Roman" w:cs="Arial"/>
          <w:color w:val="222222"/>
          <w:lang w:eastAsia="en-GB"/>
        </w:rPr>
      </w:pPr>
    </w:p>
    <w:p w:rsidR="00A366E7" w:rsidP="00A366E7" w:rsidRDefault="00A366E7" w14:paraId="465EE8FD" w14:textId="421D1A5C">
      <w:pPr>
        <w:jc w:val="center"/>
        <w:rPr>
          <w:rFonts w:ascii="Arial" w:hAnsi="Arial" w:eastAsia="Times New Roman" w:cs="Arial"/>
          <w:color w:val="222222"/>
          <w:lang w:eastAsia="en-GB"/>
        </w:rPr>
      </w:pPr>
    </w:p>
    <w:p w:rsidR="00A366E7" w:rsidP="00A366E7" w:rsidRDefault="00A366E7" w14:paraId="71891D33" w14:textId="34322F4E">
      <w:pPr>
        <w:jc w:val="center"/>
        <w:rPr>
          <w:rFonts w:ascii="Arial" w:hAnsi="Arial" w:eastAsia="Times New Roman" w:cs="Arial"/>
          <w:color w:val="222222"/>
          <w:lang w:eastAsia="en-GB"/>
        </w:rPr>
      </w:pPr>
    </w:p>
    <w:p w:rsidR="00A366E7" w:rsidP="00A366E7" w:rsidRDefault="00A366E7" w14:paraId="4945CC83" w14:textId="15C38C1E">
      <w:pPr>
        <w:jc w:val="center"/>
        <w:rPr>
          <w:rFonts w:ascii="Arial" w:hAnsi="Arial" w:eastAsia="Times New Roman" w:cs="Arial"/>
          <w:color w:val="222222"/>
          <w:lang w:eastAsia="en-GB"/>
        </w:rPr>
      </w:pPr>
    </w:p>
    <w:p w:rsidR="00A366E7" w:rsidP="00A366E7" w:rsidRDefault="00A366E7" w14:paraId="09E31C2A" w14:textId="68BC32C0">
      <w:pPr>
        <w:jc w:val="center"/>
        <w:rPr>
          <w:rFonts w:ascii="Arial" w:hAnsi="Arial" w:eastAsia="Times New Roman" w:cs="Arial"/>
          <w:color w:val="222222"/>
          <w:lang w:eastAsia="en-GB"/>
        </w:rPr>
      </w:pPr>
    </w:p>
    <w:p w:rsidR="00A366E7" w:rsidP="00A366E7" w:rsidRDefault="00A366E7" w14:paraId="16F3D222" w14:textId="22D128C9">
      <w:pPr>
        <w:jc w:val="center"/>
        <w:rPr>
          <w:rFonts w:ascii="Arial" w:hAnsi="Arial" w:eastAsia="Times New Roman" w:cs="Arial"/>
          <w:color w:val="222222"/>
          <w:lang w:eastAsia="en-GB"/>
        </w:rPr>
      </w:pPr>
    </w:p>
    <w:p w:rsidR="00A366E7" w:rsidP="00A366E7" w:rsidRDefault="00A366E7" w14:paraId="4D1676F8" w14:textId="71DEDAA9">
      <w:pPr>
        <w:jc w:val="center"/>
        <w:rPr>
          <w:rFonts w:ascii="Arial" w:hAnsi="Arial" w:eastAsia="Times New Roman" w:cs="Arial"/>
          <w:color w:val="222222"/>
          <w:lang w:eastAsia="en-GB"/>
        </w:rPr>
      </w:pPr>
    </w:p>
    <w:p w:rsidR="00A366E7" w:rsidP="00A366E7" w:rsidRDefault="00A366E7" w14:paraId="0D778C0B" w14:textId="3E444535">
      <w:pPr>
        <w:jc w:val="center"/>
        <w:rPr>
          <w:rFonts w:ascii="Arial" w:hAnsi="Arial" w:eastAsia="Times New Roman" w:cs="Arial"/>
          <w:color w:val="222222"/>
          <w:lang w:eastAsia="en-GB"/>
        </w:rPr>
      </w:pPr>
    </w:p>
    <w:p w:rsidR="00A366E7" w:rsidP="00A366E7" w:rsidRDefault="00A366E7" w14:paraId="5C1FD978" w14:textId="4CE6BAEB">
      <w:pPr>
        <w:jc w:val="center"/>
        <w:rPr>
          <w:rFonts w:ascii="Arial" w:hAnsi="Arial" w:eastAsia="Times New Roman" w:cs="Arial"/>
          <w:color w:val="222222"/>
          <w:lang w:eastAsia="en-GB"/>
        </w:rPr>
      </w:pPr>
    </w:p>
    <w:p w:rsidR="00A366E7" w:rsidP="00A366E7" w:rsidRDefault="00A366E7" w14:paraId="4A9D998B" w14:textId="1B1850FA">
      <w:pPr>
        <w:jc w:val="center"/>
        <w:rPr>
          <w:rFonts w:ascii="Arial" w:hAnsi="Arial" w:eastAsia="Times New Roman" w:cs="Arial"/>
          <w:color w:val="222222"/>
          <w:lang w:eastAsia="en-GB"/>
        </w:rPr>
      </w:pPr>
    </w:p>
    <w:p w:rsidR="00A366E7" w:rsidP="00A366E7" w:rsidRDefault="00A366E7" w14:paraId="0EE73461" w14:textId="56D1317F">
      <w:pPr>
        <w:jc w:val="center"/>
        <w:rPr>
          <w:rFonts w:ascii="Arial" w:hAnsi="Arial" w:eastAsia="Times New Roman" w:cs="Arial"/>
          <w:color w:val="222222"/>
          <w:lang w:eastAsia="en-GB"/>
        </w:rPr>
      </w:pPr>
    </w:p>
    <w:p w:rsidR="00A366E7" w:rsidP="00A366E7" w:rsidRDefault="00A366E7" w14:paraId="3264C12F" w14:textId="5E53FF10">
      <w:pPr>
        <w:jc w:val="center"/>
        <w:rPr>
          <w:rFonts w:ascii="Arial" w:hAnsi="Arial" w:eastAsia="Times New Roman" w:cs="Arial"/>
          <w:color w:val="222222"/>
          <w:lang w:eastAsia="en-GB"/>
        </w:rPr>
      </w:pPr>
    </w:p>
    <w:p w:rsidR="00A366E7" w:rsidP="00A366E7" w:rsidRDefault="00A366E7" w14:paraId="576D0498" w14:textId="0C5617C2">
      <w:pPr>
        <w:jc w:val="center"/>
        <w:rPr>
          <w:rFonts w:ascii="Arial" w:hAnsi="Arial" w:eastAsia="Times New Roman" w:cs="Arial"/>
          <w:color w:val="222222"/>
          <w:lang w:eastAsia="en-GB"/>
        </w:rPr>
      </w:pPr>
    </w:p>
    <w:p w:rsidR="00A366E7" w:rsidP="00A366E7" w:rsidRDefault="00A366E7" w14:paraId="5DDA2D77" w14:textId="160F0CB8">
      <w:pPr>
        <w:jc w:val="center"/>
        <w:rPr>
          <w:rFonts w:ascii="Arial" w:hAnsi="Arial" w:eastAsia="Times New Roman" w:cs="Arial"/>
          <w:color w:val="222222"/>
          <w:lang w:eastAsia="en-GB"/>
        </w:rPr>
      </w:pPr>
    </w:p>
    <w:p w:rsidR="00A366E7" w:rsidP="00A366E7" w:rsidRDefault="00A366E7" w14:paraId="5A67A431" w14:textId="5512D23A">
      <w:pPr>
        <w:jc w:val="center"/>
        <w:rPr>
          <w:rFonts w:ascii="Arial" w:hAnsi="Arial" w:eastAsia="Times New Roman" w:cs="Arial"/>
          <w:color w:val="222222"/>
          <w:lang w:eastAsia="en-GB"/>
        </w:rPr>
      </w:pPr>
    </w:p>
    <w:p w:rsidR="00A366E7" w:rsidP="00A366E7" w:rsidRDefault="00A366E7" w14:paraId="6575461D" w14:textId="5F0FAF35">
      <w:pPr>
        <w:jc w:val="center"/>
        <w:rPr>
          <w:rFonts w:ascii="Arial" w:hAnsi="Arial" w:eastAsia="Times New Roman" w:cs="Arial"/>
          <w:color w:val="222222"/>
          <w:lang w:eastAsia="en-GB"/>
        </w:rPr>
      </w:pPr>
    </w:p>
    <w:p w:rsidR="00A366E7" w:rsidP="00A366E7" w:rsidRDefault="00A366E7" w14:paraId="77C17AF0" w14:textId="54963E99">
      <w:pPr>
        <w:jc w:val="center"/>
        <w:rPr>
          <w:rFonts w:ascii="Arial" w:hAnsi="Arial" w:eastAsia="Times New Roman" w:cs="Arial"/>
          <w:color w:val="222222"/>
          <w:lang w:eastAsia="en-GB"/>
        </w:rPr>
      </w:pPr>
    </w:p>
    <w:p w:rsidR="00A366E7" w:rsidP="00A366E7" w:rsidRDefault="00A366E7" w14:paraId="22EC65B3" w14:textId="77777777">
      <w:pPr>
        <w:jc w:val="center"/>
        <w:rPr>
          <w:rFonts w:ascii="Arial" w:hAnsi="Arial" w:eastAsia="Times New Roman" w:cs="Arial"/>
          <w:color w:val="222222"/>
          <w:lang w:eastAsia="en-GB"/>
        </w:rPr>
      </w:pPr>
    </w:p>
    <w:p w:rsidRPr="00A366E7" w:rsidR="00A366E7" w:rsidP="00A366E7" w:rsidRDefault="00A366E7" w14:paraId="15FAECD0" w14:textId="6DCED3F5">
      <w:pPr>
        <w:spacing w:line="360" w:lineRule="auto"/>
        <w:jc w:val="center"/>
        <w:rPr>
          <w:rFonts w:ascii="Arial" w:hAnsi="Arial" w:eastAsia="Times New Roman" w:cs="Arial"/>
          <w:color w:val="222222"/>
          <w:sz w:val="32"/>
          <w:szCs w:val="32"/>
          <w:lang w:eastAsia="en-GB"/>
        </w:rPr>
      </w:pPr>
      <w:r w:rsidRPr="746F570A" w:rsidR="6E9CB7B2">
        <w:rPr>
          <w:rFonts w:ascii="Arial" w:hAnsi="Arial" w:eastAsia="Times New Roman" w:cs="Arial"/>
          <w:color w:val="222222"/>
          <w:sz w:val="32"/>
          <w:szCs w:val="32"/>
          <w:lang w:eastAsia="en-GB"/>
        </w:rPr>
        <w:t>Name:</w:t>
      </w:r>
      <w:r w:rsidRPr="746F570A" w:rsidR="5C0FBF08">
        <w:rPr>
          <w:rFonts w:ascii="Arial" w:hAnsi="Arial" w:eastAsia="Times New Roman" w:cs="Arial"/>
          <w:color w:val="222222"/>
          <w:sz w:val="32"/>
          <w:szCs w:val="32"/>
          <w:lang w:eastAsia="en-GB"/>
        </w:rPr>
        <w:t xml:space="preserve"> </w:t>
      </w:r>
      <w:r w:rsidRPr="746F570A" w:rsidR="00A366E7">
        <w:rPr>
          <w:rFonts w:ascii="Arial" w:hAnsi="Arial" w:eastAsia="Times New Roman" w:cs="Arial"/>
          <w:color w:val="222222"/>
          <w:sz w:val="32"/>
          <w:szCs w:val="32"/>
          <w:lang w:eastAsia="en-GB"/>
        </w:rPr>
        <w:t>R</w:t>
      </w:r>
      <w:r w:rsidRPr="746F570A" w:rsidR="00A366E7">
        <w:rPr>
          <w:rFonts w:ascii="Arial" w:hAnsi="Arial" w:eastAsia="Times New Roman" w:cs="Arial"/>
          <w:color w:val="222222"/>
          <w:sz w:val="32"/>
          <w:szCs w:val="32"/>
          <w:lang w:eastAsia="en-GB"/>
        </w:rPr>
        <w:t>uke</w:t>
      </w:r>
      <w:r w:rsidRPr="746F570A" w:rsidR="0AA3F6C6">
        <w:rPr>
          <w:rFonts w:ascii="Arial" w:hAnsi="Arial" w:eastAsia="Times New Roman" w:cs="Arial"/>
          <w:color w:val="222222"/>
          <w:sz w:val="32"/>
          <w:szCs w:val="32"/>
          <w:lang w:eastAsia="en-GB"/>
        </w:rPr>
        <w:t>i</w:t>
      </w:r>
      <w:r w:rsidRPr="746F570A" w:rsidR="00A366E7">
        <w:rPr>
          <w:rFonts w:ascii="Arial" w:hAnsi="Arial" w:eastAsia="Times New Roman" w:cs="Arial"/>
          <w:color w:val="222222"/>
          <w:sz w:val="32"/>
          <w:szCs w:val="32"/>
          <w:lang w:eastAsia="en-GB"/>
        </w:rPr>
        <w:t>ya</w:t>
      </w:r>
      <w:r w:rsidRPr="746F570A" w:rsidR="00A366E7">
        <w:rPr>
          <w:rFonts w:ascii="Arial" w:hAnsi="Arial" w:eastAsia="Times New Roman" w:cs="Arial"/>
          <w:color w:val="222222"/>
          <w:sz w:val="32"/>
          <w:szCs w:val="32"/>
          <w:lang w:eastAsia="en-GB"/>
        </w:rPr>
        <w:t xml:space="preserve"> Saleem</w:t>
      </w:r>
    </w:p>
    <w:p w:rsidRPr="00A366E7" w:rsidR="00A366E7" w:rsidP="00A366E7" w:rsidRDefault="00A366E7" w14:paraId="48485B16" w14:textId="2C297D97">
      <w:pPr>
        <w:spacing w:line="360" w:lineRule="auto"/>
        <w:jc w:val="center"/>
        <w:rPr>
          <w:rFonts w:ascii="Arial" w:hAnsi="Arial" w:eastAsia="Times New Roman" w:cs="Arial"/>
          <w:color w:val="222222"/>
          <w:sz w:val="32"/>
          <w:szCs w:val="32"/>
          <w:lang w:eastAsia="en-GB"/>
        </w:rPr>
      </w:pPr>
      <w:r w:rsidRPr="746F570A" w:rsidR="00A366E7">
        <w:rPr>
          <w:rFonts w:ascii="Arial" w:hAnsi="Arial" w:eastAsia="Times New Roman" w:cs="Arial"/>
          <w:color w:val="222222"/>
          <w:sz w:val="32"/>
          <w:szCs w:val="32"/>
          <w:lang w:eastAsia="en-GB"/>
        </w:rPr>
        <w:t>Student number</w:t>
      </w:r>
      <w:r w:rsidRPr="746F570A" w:rsidR="43410947">
        <w:rPr>
          <w:rFonts w:ascii="Arial" w:hAnsi="Arial" w:eastAsia="Times New Roman" w:cs="Arial"/>
          <w:color w:val="222222"/>
          <w:sz w:val="32"/>
          <w:szCs w:val="32"/>
          <w:lang w:eastAsia="en-GB"/>
        </w:rPr>
        <w:t>:2415167</w:t>
      </w:r>
    </w:p>
    <w:p w:rsidRPr="00A366E7" w:rsidR="00A366E7" w:rsidP="00A366E7" w:rsidRDefault="00A366E7" w14:paraId="0CE56D12" w14:textId="6286683A">
      <w:pPr>
        <w:spacing w:line="360" w:lineRule="auto"/>
        <w:jc w:val="center"/>
        <w:rPr>
          <w:rFonts w:ascii="Arial" w:hAnsi="Arial" w:eastAsia="Times New Roman" w:cs="Arial"/>
          <w:color w:val="222222"/>
          <w:sz w:val="32"/>
          <w:szCs w:val="32"/>
          <w:lang w:eastAsia="en-GB"/>
        </w:rPr>
      </w:pPr>
      <w:r w:rsidRPr="746F570A" w:rsidR="00A366E7">
        <w:rPr>
          <w:rFonts w:ascii="Arial" w:hAnsi="Arial" w:eastAsia="Times New Roman" w:cs="Arial"/>
          <w:color w:val="222222"/>
          <w:sz w:val="32"/>
          <w:szCs w:val="32"/>
          <w:lang w:eastAsia="en-GB"/>
        </w:rPr>
        <w:t>Submission date</w:t>
      </w:r>
      <w:r w:rsidRPr="746F570A" w:rsidR="7ABCD773">
        <w:rPr>
          <w:rFonts w:ascii="Arial" w:hAnsi="Arial" w:eastAsia="Times New Roman" w:cs="Arial"/>
          <w:color w:val="222222"/>
          <w:sz w:val="32"/>
          <w:szCs w:val="32"/>
          <w:lang w:eastAsia="en-GB"/>
        </w:rPr>
        <w:t>: 28/11/25</w:t>
      </w:r>
    </w:p>
    <w:p w:rsidRPr="00A366E7" w:rsidR="00A366E7" w:rsidP="00A366E7" w:rsidRDefault="00A366E7" w14:paraId="47C397E5" w14:textId="5663A181">
      <w:pPr>
        <w:spacing w:line="360" w:lineRule="auto"/>
        <w:jc w:val="center"/>
        <w:rPr>
          <w:rFonts w:ascii="Arial" w:hAnsi="Arial" w:eastAsia="Times New Roman" w:cs="Arial"/>
          <w:color w:val="222222"/>
          <w:sz w:val="32"/>
          <w:szCs w:val="32"/>
          <w:lang w:eastAsia="en-GB"/>
        </w:rPr>
      </w:pPr>
      <w:r w:rsidRPr="746F570A" w:rsidR="00A366E7">
        <w:rPr>
          <w:rFonts w:ascii="Arial" w:hAnsi="Arial" w:eastAsia="Times New Roman" w:cs="Arial"/>
          <w:color w:val="222222"/>
          <w:sz w:val="32"/>
          <w:szCs w:val="32"/>
          <w:lang w:eastAsia="en-GB"/>
        </w:rPr>
        <w:t>Lecturer name</w:t>
      </w:r>
      <w:r w:rsidRPr="746F570A" w:rsidR="0DFB4A09">
        <w:rPr>
          <w:rFonts w:ascii="Arial" w:hAnsi="Arial" w:eastAsia="Times New Roman" w:cs="Arial"/>
          <w:color w:val="222222"/>
          <w:sz w:val="32"/>
          <w:szCs w:val="32"/>
          <w:lang w:eastAsia="en-GB"/>
        </w:rPr>
        <w:t>: Dan</w:t>
      </w:r>
      <w:r w:rsidRPr="746F570A" w:rsidR="02F90D16">
        <w:rPr>
          <w:rFonts w:ascii="Arial" w:hAnsi="Arial" w:eastAsia="Times New Roman" w:cs="Arial"/>
          <w:color w:val="222222"/>
          <w:sz w:val="32"/>
          <w:szCs w:val="32"/>
          <w:lang w:eastAsia="en-GB"/>
        </w:rPr>
        <w:t xml:space="preserve">iel </w:t>
      </w:r>
      <w:r w:rsidRPr="746F570A" w:rsidR="0DFB4A09">
        <w:rPr>
          <w:rFonts w:ascii="Arial" w:hAnsi="Arial" w:eastAsia="Times New Roman" w:cs="Arial"/>
          <w:color w:val="222222"/>
          <w:sz w:val="32"/>
          <w:szCs w:val="32"/>
          <w:lang w:eastAsia="en-GB"/>
        </w:rPr>
        <w:t>Haruna</w:t>
      </w:r>
    </w:p>
    <w:p w:rsidRPr="00A366E7" w:rsidR="00A366E7" w:rsidP="00A366E7" w:rsidRDefault="00A366E7" w14:paraId="07604F66" w14:textId="459659A0">
      <w:pPr>
        <w:spacing w:line="360" w:lineRule="auto"/>
        <w:jc w:val="center"/>
        <w:rPr>
          <w:rFonts w:ascii="Arial" w:hAnsi="Arial" w:eastAsia="Times New Roman" w:cs="Arial"/>
          <w:color w:val="222222"/>
          <w:sz w:val="32"/>
          <w:szCs w:val="32"/>
          <w:lang w:eastAsia="en-GB"/>
        </w:rPr>
      </w:pPr>
      <w:r w:rsidRPr="746F570A" w:rsidR="00A366E7">
        <w:rPr>
          <w:rFonts w:ascii="Arial" w:hAnsi="Arial" w:eastAsia="Times New Roman" w:cs="Arial"/>
          <w:color w:val="222222"/>
          <w:sz w:val="32"/>
          <w:szCs w:val="32"/>
          <w:lang w:eastAsia="en-GB"/>
        </w:rPr>
        <w:t xml:space="preserve">Module </w:t>
      </w:r>
      <w:r w:rsidRPr="746F570A" w:rsidR="00A366E7">
        <w:rPr>
          <w:rFonts w:ascii="Arial" w:hAnsi="Arial" w:eastAsia="Times New Roman" w:cs="Arial"/>
          <w:color w:val="222222"/>
          <w:sz w:val="32"/>
          <w:szCs w:val="32"/>
          <w:lang w:eastAsia="en-GB"/>
        </w:rPr>
        <w:t>name</w:t>
      </w:r>
      <w:r w:rsidRPr="746F570A" w:rsidR="07F1D483">
        <w:rPr>
          <w:rFonts w:ascii="Arial" w:hAnsi="Arial" w:eastAsia="Times New Roman" w:cs="Arial"/>
          <w:color w:val="222222"/>
          <w:sz w:val="32"/>
          <w:szCs w:val="32"/>
          <w:lang w:eastAsia="en-GB"/>
        </w:rPr>
        <w:t>:</w:t>
      </w:r>
      <w:r w:rsidRPr="746F570A" w:rsidR="180095E3">
        <w:rPr>
          <w:rFonts w:ascii="Arial" w:hAnsi="Arial" w:eastAsia="Times New Roman" w:cs="Arial"/>
          <w:color w:val="222222"/>
          <w:sz w:val="32"/>
          <w:szCs w:val="32"/>
          <w:lang w:eastAsia="en-GB"/>
        </w:rPr>
        <w:t xml:space="preserve"> LCHS</w:t>
      </w:r>
      <w:r w:rsidRPr="746F570A" w:rsidR="180095E3">
        <w:rPr>
          <w:rFonts w:ascii="Arial" w:hAnsi="Arial" w:eastAsia="Times New Roman" w:cs="Arial"/>
          <w:color w:val="222222"/>
          <w:sz w:val="32"/>
          <w:szCs w:val="32"/>
          <w:lang w:eastAsia="en-GB"/>
        </w:rPr>
        <w:t xml:space="preserve">4008 </w:t>
      </w:r>
    </w:p>
    <w:p w:rsidR="00A366E7" w:rsidRDefault="00A366E7" w14:paraId="0E9332B0" w14:textId="400C30E7">
      <w:pPr>
        <w:rPr>
          <w:rFonts w:ascii="Arial" w:hAnsi="Arial" w:eastAsia="Times New Roman" w:cs="Arial"/>
          <w:color w:val="222222"/>
          <w:lang w:eastAsia="en-GB"/>
        </w:rPr>
      </w:pPr>
    </w:p>
    <w:p w:rsidRPr="00CA1B96" w:rsidR="00431847" w:rsidRDefault="00431847" w14:paraId="6D34850B" w14:textId="116914D0">
      <w:pPr>
        <w:rPr>
          <w:rFonts w:ascii="Arial" w:hAnsi="Arial" w:eastAsia="Times New Roman" w:cs="Arial"/>
          <w:b/>
          <w:bCs/>
          <w:color w:val="222222"/>
          <w:u w:val="single"/>
          <w:lang w:eastAsia="en-GB"/>
        </w:rPr>
      </w:pPr>
    </w:p>
    <w:p w:rsidR="00CA1B96" w:rsidP="00016E32" w:rsidRDefault="00CA1B96" w14:paraId="289685B8" w14:textId="77777777">
      <w:pPr>
        <w:shd w:val="clear" w:color="auto" w:fill="FFFFFF"/>
        <w:spacing w:before="100" w:beforeAutospacing="1" w:after="100" w:afterAutospacing="1" w:line="360" w:lineRule="auto"/>
        <w:rPr>
          <w:rFonts w:ascii="Arial" w:hAnsi="Arial" w:eastAsia="Times New Roman" w:cs="Arial"/>
          <w:color w:val="222222"/>
          <w:lang w:eastAsia="en-GB"/>
        </w:rPr>
      </w:pPr>
    </w:p>
    <w:p w:rsidRPr="00CA1B96" w:rsidR="00016E32" w:rsidP="00016E32" w:rsidRDefault="00016E32" w14:paraId="06D771BC" w14:textId="0750248A">
      <w:pPr>
        <w:shd w:val="clear" w:color="auto" w:fill="FFFFFF"/>
        <w:spacing w:before="100" w:beforeAutospacing="1" w:after="100" w:afterAutospacing="1" w:line="360" w:lineRule="auto"/>
        <w:rPr>
          <w:rFonts w:ascii="Arial" w:hAnsi="Arial" w:eastAsia="Times New Roman" w:cs="Arial"/>
          <w:b/>
          <w:bCs/>
          <w:color w:val="222222"/>
          <w:u w:val="single"/>
          <w:lang w:eastAsia="en-GB"/>
        </w:rPr>
      </w:pPr>
      <w:r w:rsidRPr="00CA1B96">
        <w:rPr>
          <w:rFonts w:ascii="Arial" w:hAnsi="Arial" w:eastAsia="Times New Roman" w:cs="Arial"/>
          <w:b/>
          <w:bCs/>
          <w:color w:val="222222"/>
          <w:u w:val="single"/>
          <w:lang w:eastAsia="en-GB"/>
        </w:rPr>
        <w:lastRenderedPageBreak/>
        <w:t>Introduction</w:t>
      </w:r>
    </w:p>
    <w:p w:rsidRPr="00FC226F" w:rsidR="00FC226F" w:rsidP="00016E32" w:rsidRDefault="00016E32" w14:paraId="0FD15486" w14:textId="65C9B952">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016E32">
        <w:rPr>
          <w:rFonts w:ascii="Arial" w:hAnsi="Arial" w:eastAsia="Times New Roman" w:cs="Arial"/>
          <w:color w:val="222222"/>
          <w:sz w:val="22"/>
          <w:szCs w:val="22"/>
          <w:lang w:eastAsia="en-GB"/>
        </w:rPr>
        <w:t>Dementia is a collective term for progressive neurological disorders that affect memory, cognition, behaviour and the ability to perform everyday tasks. Alzheimer’s disease is the most common type, followed by vascular, Lewy body and frontotemporal dementias. Globally, around 57 million people were living with dementia in 2021, and this figure is expected to rise to 78 million by 2030 as populations age, demonstrating the accelerating burden of the condition (World Health Organization, 2021). In the UK, approximately 982,000 people were estimated to have dementia in 2024, with projections suggesting an increase to 1.4 million by 2040 (Alzheimer’s Society, 2024). Recorded diagnoses in England have also continued to rise, highlighting both improved detection and growing public-health impact. These global and national trends clearly demonstrate that dementia is a major health issue requiring coordinated prevention, early diagnosis and long-term care strategies</w:t>
      </w:r>
    </w:p>
    <w:p w:rsidRPr="00FC226F" w:rsidR="00FC226F" w:rsidP="00FC226F" w:rsidRDefault="00FC226F" w14:paraId="6CA4633B" w14:textId="3C25BFE6">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 xml:space="preserve">Dementia poses </w:t>
      </w:r>
      <w:r w:rsidRPr="00FC226F">
        <w:rPr>
          <w:rFonts w:ascii="Arial" w:hAnsi="Arial" w:eastAsia="Times New Roman" w:cs="Arial"/>
          <w:color w:val="222222"/>
          <w:sz w:val="22"/>
          <w:szCs w:val="22"/>
          <w:lang w:eastAsia="en-GB"/>
        </w:rPr>
        <w:t>intense</w:t>
      </w:r>
      <w:r w:rsidRPr="00FC226F">
        <w:rPr>
          <w:rFonts w:ascii="Arial" w:hAnsi="Arial" w:eastAsia="Times New Roman" w:cs="Arial"/>
          <w:color w:val="222222"/>
          <w:sz w:val="22"/>
          <w:szCs w:val="22"/>
          <w:lang w:eastAsia="en-GB"/>
        </w:rPr>
        <w:t xml:space="preserve"> and multidimensional challenges for UK communities, generating substantial pressures on social care, unpaid carers and local support structures. The greatest burden falls on the social care system rather than the NHS, with local authorities carrying significant responsibility for funding and delivery. Current estimates </w:t>
      </w:r>
      <w:r w:rsidRPr="00FC226F">
        <w:rPr>
          <w:rFonts w:ascii="Arial" w:hAnsi="Arial" w:eastAsia="Times New Roman" w:cs="Arial"/>
          <w:color w:val="222222"/>
          <w:sz w:val="22"/>
          <w:szCs w:val="22"/>
          <w:lang w:eastAsia="en-GB"/>
        </w:rPr>
        <w:t>show</w:t>
      </w:r>
      <w:r w:rsidRPr="00FC226F">
        <w:rPr>
          <w:rFonts w:ascii="Arial" w:hAnsi="Arial" w:eastAsia="Times New Roman" w:cs="Arial"/>
          <w:color w:val="222222"/>
          <w:sz w:val="22"/>
          <w:szCs w:val="22"/>
          <w:lang w:eastAsia="en-GB"/>
        </w:rPr>
        <w:t xml:space="preserve"> that the annual cost of social care for people with dementia exceeds £17.2 billion, rising to a projected £40.7 billion by 2040, intensifying the </w:t>
      </w:r>
      <w:r w:rsidRPr="00FC226F">
        <w:rPr>
          <w:rFonts w:ascii="Arial" w:hAnsi="Arial" w:eastAsia="Times New Roman" w:cs="Arial"/>
          <w:color w:val="222222"/>
          <w:sz w:val="22"/>
          <w:szCs w:val="22"/>
          <w:lang w:eastAsia="en-GB"/>
        </w:rPr>
        <w:t>economic</w:t>
      </w:r>
      <w:r w:rsidRPr="00FC226F">
        <w:rPr>
          <w:rFonts w:ascii="Arial" w:hAnsi="Arial" w:eastAsia="Times New Roman" w:cs="Arial"/>
          <w:color w:val="222222"/>
          <w:sz w:val="22"/>
          <w:szCs w:val="22"/>
          <w:lang w:eastAsia="en-GB"/>
        </w:rPr>
        <w:t xml:space="preserve"> pressures on councils (Alzheimer’s Society, 2023). Evidence from case studies of local authorities shows widespread service contraction, including the closure of day centres and dementia cafés due to funding constraints (Local Government Association, 2022). Provision remains unequal, reflected in wide postcode variation</w:t>
      </w:r>
      <w:r>
        <w:rPr>
          <w:rFonts w:ascii="Arial" w:hAnsi="Arial" w:eastAsia="Times New Roman" w:cs="Arial"/>
          <w:color w:val="222222"/>
          <w:sz w:val="22"/>
          <w:szCs w:val="22"/>
          <w:lang w:eastAsia="en-GB"/>
        </w:rPr>
        <w:t xml:space="preserve"> </w:t>
      </w:r>
      <w:r w:rsidRPr="00FC226F">
        <w:rPr>
          <w:rFonts w:ascii="Arial" w:hAnsi="Arial" w:eastAsia="Times New Roman" w:cs="Arial"/>
          <w:color w:val="222222"/>
          <w:sz w:val="22"/>
          <w:szCs w:val="22"/>
          <w:lang w:eastAsia="en-GB"/>
        </w:rPr>
        <w:t>for instance, specialist dementia bed capacity in Surrey has been nearly double that of London per 100,000 older residents, illustrating the uneven geography of care (Knight et al., 2024). Compounding this, only around one-third of the social care workforce has received dementia-specific training, raising concerns about care quality and workforce preparedness (Skills for Care, 2023).</w:t>
      </w:r>
    </w:p>
    <w:p w:rsidRPr="00FC226F" w:rsidR="00FC226F" w:rsidP="00FC226F" w:rsidRDefault="00FC226F" w14:paraId="5C11E668" w14:textId="2325571C">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Unpaid carers</w:t>
      </w:r>
      <w:r>
        <w:rPr>
          <w:rFonts w:ascii="Arial" w:hAnsi="Arial" w:eastAsia="Times New Roman" w:cs="Arial"/>
          <w:color w:val="222222"/>
          <w:sz w:val="22"/>
          <w:szCs w:val="22"/>
          <w:lang w:eastAsia="en-GB"/>
        </w:rPr>
        <w:t xml:space="preserve">, </w:t>
      </w:r>
      <w:r w:rsidRPr="00FC226F">
        <w:rPr>
          <w:rFonts w:ascii="Arial" w:hAnsi="Arial" w:eastAsia="Times New Roman" w:cs="Arial"/>
          <w:color w:val="222222"/>
          <w:sz w:val="22"/>
          <w:szCs w:val="22"/>
          <w:lang w:eastAsia="en-GB"/>
        </w:rPr>
        <w:t>often family members</w:t>
      </w:r>
      <w:r>
        <w:rPr>
          <w:rFonts w:ascii="Arial" w:hAnsi="Arial" w:eastAsia="Times New Roman" w:cs="Arial"/>
          <w:color w:val="222222"/>
          <w:sz w:val="22"/>
          <w:szCs w:val="22"/>
          <w:lang w:eastAsia="en-GB"/>
        </w:rPr>
        <w:t xml:space="preserve"> </w:t>
      </w:r>
      <w:r w:rsidRPr="00FC226F">
        <w:rPr>
          <w:rFonts w:ascii="Arial" w:hAnsi="Arial" w:eastAsia="Times New Roman" w:cs="Arial"/>
          <w:color w:val="222222"/>
          <w:sz w:val="22"/>
          <w:szCs w:val="22"/>
          <w:lang w:eastAsia="en-GB"/>
        </w:rPr>
        <w:t>constitute the backbone of dementia support in the community. Approximately 1.8 million people in England provide unpaid care for relatives with dementia, delivering an estimated £21.1 billion of economic value annually (Wittenberg et al., 2020). Qualitative research consistently demonstrates the strain on carers’ physical and mental health, with more than 61% reporting negative health impacts (Carers UK, 2021). Employment is also markedly affected</w:t>
      </w:r>
      <w:r>
        <w:rPr>
          <w:rFonts w:ascii="Arial" w:hAnsi="Arial" w:eastAsia="Times New Roman" w:cs="Arial"/>
          <w:color w:val="222222"/>
          <w:sz w:val="22"/>
          <w:szCs w:val="22"/>
          <w:lang w:eastAsia="en-GB"/>
        </w:rPr>
        <w:t xml:space="preserve">, </w:t>
      </w:r>
      <w:r w:rsidRPr="00FC226F">
        <w:rPr>
          <w:rFonts w:ascii="Arial" w:hAnsi="Arial" w:eastAsia="Times New Roman" w:cs="Arial"/>
          <w:color w:val="222222"/>
          <w:sz w:val="22"/>
          <w:szCs w:val="22"/>
          <w:lang w:eastAsia="en-GB"/>
        </w:rPr>
        <w:t>around 66,000 individuals reduce working hours and 50,000 exit the labour market entirely to provide care, reinforcing gendered and socioeconomic inequalities (Pickard, 2022).</w:t>
      </w:r>
      <w:r w:rsidR="00431847">
        <w:rPr>
          <w:rFonts w:ascii="Arial" w:hAnsi="Arial" w:eastAsia="Times New Roman" w:cs="Arial"/>
          <w:color w:val="222222"/>
          <w:sz w:val="22"/>
          <w:szCs w:val="22"/>
          <w:lang w:eastAsia="en-GB"/>
        </w:rPr>
        <w:t xml:space="preserve"> </w:t>
      </w:r>
      <w:r w:rsidRPr="00FC226F">
        <w:rPr>
          <w:rFonts w:ascii="Arial" w:hAnsi="Arial" w:eastAsia="Times New Roman" w:cs="Arial"/>
          <w:color w:val="222222"/>
          <w:sz w:val="22"/>
          <w:szCs w:val="22"/>
          <w:lang w:eastAsia="en-GB"/>
        </w:rPr>
        <w:t xml:space="preserve">Dementia </w:t>
      </w:r>
      <w:r w:rsidRPr="00FC226F">
        <w:rPr>
          <w:rFonts w:ascii="Arial" w:hAnsi="Arial" w:eastAsia="Times New Roman" w:cs="Arial"/>
          <w:color w:val="222222"/>
          <w:sz w:val="22"/>
          <w:szCs w:val="22"/>
          <w:lang w:eastAsia="en-GB"/>
        </w:rPr>
        <w:t>occurrence</w:t>
      </w:r>
      <w:r w:rsidRPr="00FC226F">
        <w:rPr>
          <w:rFonts w:ascii="Arial" w:hAnsi="Arial" w:eastAsia="Times New Roman" w:cs="Arial"/>
          <w:color w:val="222222"/>
          <w:sz w:val="22"/>
          <w:szCs w:val="22"/>
          <w:lang w:eastAsia="en-GB"/>
        </w:rPr>
        <w:t xml:space="preserve"> is unevenly distributed </w:t>
      </w:r>
      <w:r w:rsidRPr="00FC226F">
        <w:rPr>
          <w:rFonts w:ascii="Arial" w:hAnsi="Arial" w:eastAsia="Times New Roman" w:cs="Arial"/>
          <w:color w:val="222222"/>
          <w:sz w:val="22"/>
          <w:szCs w:val="22"/>
          <w:lang w:eastAsia="en-GB"/>
        </w:rPr>
        <w:lastRenderedPageBreak/>
        <w:t>across the UK. Coastal and rural constituencies such as Christchurch face disproportionately high cases due to older demographic profiles, creating localised pressure on health and social care infrastructure (Public Health England, 2021). Ethnic minority communities experience higher prevalence of vascular</w:t>
      </w:r>
      <w:r>
        <w:rPr>
          <w:rFonts w:ascii="Arial" w:hAnsi="Arial" w:eastAsia="Times New Roman" w:cs="Arial"/>
          <w:color w:val="222222"/>
          <w:sz w:val="22"/>
          <w:szCs w:val="22"/>
          <w:lang w:eastAsia="en-GB"/>
        </w:rPr>
        <w:t xml:space="preserve"> </w:t>
      </w:r>
      <w:r w:rsidRPr="00FC226F">
        <w:rPr>
          <w:rFonts w:ascii="Arial" w:hAnsi="Arial" w:eastAsia="Times New Roman" w:cs="Arial"/>
          <w:color w:val="222222"/>
          <w:sz w:val="22"/>
          <w:szCs w:val="22"/>
          <w:lang w:eastAsia="en-GB"/>
        </w:rPr>
        <w:t>related dementias and face barriers to timely diagnosis linked to stigma, service inaccessibility and a lack of culturally adapted support (</w:t>
      </w:r>
      <w:proofErr w:type="spellStart"/>
      <w:r w:rsidRPr="00FC226F">
        <w:rPr>
          <w:rFonts w:ascii="Arial" w:hAnsi="Arial" w:eastAsia="Times New Roman" w:cs="Arial"/>
          <w:color w:val="222222"/>
          <w:sz w:val="22"/>
          <w:szCs w:val="22"/>
          <w:lang w:eastAsia="en-GB"/>
        </w:rPr>
        <w:t>Mukadam</w:t>
      </w:r>
      <w:proofErr w:type="spellEnd"/>
      <w:r w:rsidRPr="00FC226F">
        <w:rPr>
          <w:rFonts w:ascii="Arial" w:hAnsi="Arial" w:eastAsia="Times New Roman" w:cs="Arial"/>
          <w:color w:val="222222"/>
          <w:sz w:val="22"/>
          <w:szCs w:val="22"/>
          <w:lang w:eastAsia="en-GB"/>
        </w:rPr>
        <w:t xml:space="preserve"> et al., 2019). Rural communities also struggle with limited access to specialist services and transport barriers, </w:t>
      </w:r>
      <w:r w:rsidRPr="00FC226F">
        <w:rPr>
          <w:rFonts w:ascii="Arial" w:hAnsi="Arial" w:eastAsia="Times New Roman" w:cs="Arial"/>
          <w:color w:val="222222"/>
          <w:sz w:val="22"/>
          <w:szCs w:val="22"/>
          <w:lang w:eastAsia="en-GB"/>
        </w:rPr>
        <w:t>worsening</w:t>
      </w:r>
      <w:r w:rsidRPr="00FC226F">
        <w:rPr>
          <w:rFonts w:ascii="Arial" w:hAnsi="Arial" w:eastAsia="Times New Roman" w:cs="Arial"/>
          <w:color w:val="222222"/>
          <w:sz w:val="22"/>
          <w:szCs w:val="22"/>
          <w:lang w:eastAsia="en-GB"/>
        </w:rPr>
        <w:t xml:space="preserve"> isolation (Matthews et al., 2022).</w:t>
      </w:r>
      <w:r w:rsidR="00431847">
        <w:rPr>
          <w:rFonts w:ascii="Arial" w:hAnsi="Arial" w:eastAsia="Times New Roman" w:cs="Arial"/>
          <w:color w:val="222222"/>
          <w:sz w:val="22"/>
          <w:szCs w:val="22"/>
          <w:lang w:eastAsia="en-GB"/>
        </w:rPr>
        <w:t xml:space="preserve"> </w:t>
      </w:r>
      <w:r w:rsidRPr="00FC226F">
        <w:rPr>
          <w:rFonts w:ascii="Arial" w:hAnsi="Arial" w:eastAsia="Times New Roman" w:cs="Arial"/>
          <w:color w:val="222222"/>
          <w:sz w:val="22"/>
          <w:szCs w:val="22"/>
          <w:lang w:eastAsia="en-GB"/>
        </w:rPr>
        <w:t>To mitigate these challenges, the Dementia Friendly Communities initiative promotes social inclusion, reduces stigma and encourages public</w:t>
      </w:r>
      <w:r>
        <w:rPr>
          <w:rFonts w:ascii="Arial" w:hAnsi="Arial" w:eastAsia="Times New Roman" w:cs="Arial"/>
          <w:color w:val="222222"/>
          <w:sz w:val="22"/>
          <w:szCs w:val="22"/>
          <w:lang w:eastAsia="en-GB"/>
        </w:rPr>
        <w:t xml:space="preserve"> </w:t>
      </w:r>
      <w:r w:rsidRPr="00FC226F">
        <w:rPr>
          <w:rFonts w:ascii="Arial" w:hAnsi="Arial" w:eastAsia="Times New Roman" w:cs="Arial"/>
          <w:color w:val="222222"/>
          <w:sz w:val="22"/>
          <w:szCs w:val="22"/>
          <w:lang w:eastAsia="en-GB"/>
        </w:rPr>
        <w:t>facing organisations to adopt dementia</w:t>
      </w:r>
      <w:r>
        <w:rPr>
          <w:rFonts w:ascii="Arial" w:hAnsi="Arial" w:eastAsia="Times New Roman" w:cs="Arial"/>
          <w:color w:val="222222"/>
          <w:sz w:val="22"/>
          <w:szCs w:val="22"/>
          <w:lang w:eastAsia="en-GB"/>
        </w:rPr>
        <w:t xml:space="preserve"> </w:t>
      </w:r>
      <w:r w:rsidRPr="00FC226F">
        <w:rPr>
          <w:rFonts w:ascii="Arial" w:hAnsi="Arial" w:eastAsia="Times New Roman" w:cs="Arial"/>
          <w:color w:val="222222"/>
          <w:sz w:val="22"/>
          <w:szCs w:val="22"/>
          <w:lang w:eastAsia="en-GB"/>
        </w:rPr>
        <w:t>aware practices. Evaluations of pilot schemes show improved confidence among individuals living with dementia and enhanced community participation when environments are adapted (Alzheimer’s Society, 2020).</w:t>
      </w:r>
    </w:p>
    <w:p w:rsidR="00431847" w:rsidP="00FC226F" w:rsidRDefault="00431847" w14:paraId="2F89B063" w14:textId="77777777">
      <w:pPr>
        <w:shd w:val="clear" w:color="auto" w:fill="FFFFFF"/>
        <w:spacing w:before="100" w:beforeAutospacing="1" w:after="100" w:afterAutospacing="1" w:line="360" w:lineRule="auto"/>
        <w:rPr>
          <w:rFonts w:ascii="Arial" w:hAnsi="Arial" w:eastAsia="Times New Roman" w:cs="Arial"/>
          <w:b/>
          <w:bCs/>
          <w:color w:val="222222"/>
          <w:sz w:val="22"/>
          <w:szCs w:val="22"/>
          <w:lang w:eastAsia="en-GB"/>
        </w:rPr>
      </w:pPr>
    </w:p>
    <w:p w:rsidR="00431847" w:rsidP="00FC226F" w:rsidRDefault="00431847" w14:paraId="57541522" w14:textId="77777777">
      <w:pPr>
        <w:shd w:val="clear" w:color="auto" w:fill="FFFFFF"/>
        <w:spacing w:before="100" w:beforeAutospacing="1" w:after="100" w:afterAutospacing="1" w:line="360" w:lineRule="auto"/>
        <w:rPr>
          <w:rFonts w:ascii="Arial" w:hAnsi="Arial" w:eastAsia="Times New Roman" w:cs="Arial"/>
          <w:b/>
          <w:bCs/>
          <w:color w:val="222222"/>
          <w:sz w:val="22"/>
          <w:szCs w:val="22"/>
          <w:lang w:eastAsia="en-GB"/>
        </w:rPr>
      </w:pPr>
    </w:p>
    <w:p w:rsidR="00431847" w:rsidP="00FC226F" w:rsidRDefault="00431847" w14:paraId="6991D5E7" w14:textId="77777777">
      <w:pPr>
        <w:shd w:val="clear" w:color="auto" w:fill="FFFFFF"/>
        <w:spacing w:before="100" w:beforeAutospacing="1" w:after="100" w:afterAutospacing="1" w:line="360" w:lineRule="auto"/>
        <w:rPr>
          <w:rFonts w:ascii="Arial" w:hAnsi="Arial" w:eastAsia="Times New Roman" w:cs="Arial"/>
          <w:b/>
          <w:bCs/>
          <w:color w:val="222222"/>
          <w:sz w:val="22"/>
          <w:szCs w:val="22"/>
          <w:lang w:eastAsia="en-GB"/>
        </w:rPr>
      </w:pPr>
    </w:p>
    <w:p w:rsidR="00431847" w:rsidP="00FC226F" w:rsidRDefault="00431847" w14:paraId="02B33B0C" w14:textId="77777777">
      <w:pPr>
        <w:shd w:val="clear" w:color="auto" w:fill="FFFFFF"/>
        <w:spacing w:before="100" w:beforeAutospacing="1" w:after="100" w:afterAutospacing="1" w:line="360" w:lineRule="auto"/>
        <w:rPr>
          <w:rFonts w:ascii="Arial" w:hAnsi="Arial" w:eastAsia="Times New Roman" w:cs="Arial"/>
          <w:b/>
          <w:bCs/>
          <w:color w:val="222222"/>
          <w:sz w:val="22"/>
          <w:szCs w:val="22"/>
          <w:lang w:eastAsia="en-GB"/>
        </w:rPr>
      </w:pPr>
    </w:p>
    <w:p w:rsidR="00431847" w:rsidP="00FC226F" w:rsidRDefault="00431847" w14:paraId="09A23B4E" w14:textId="77777777">
      <w:pPr>
        <w:shd w:val="clear" w:color="auto" w:fill="FFFFFF"/>
        <w:spacing w:before="100" w:beforeAutospacing="1" w:after="100" w:afterAutospacing="1" w:line="360" w:lineRule="auto"/>
        <w:rPr>
          <w:rFonts w:ascii="Arial" w:hAnsi="Arial" w:eastAsia="Times New Roman" w:cs="Arial"/>
          <w:b/>
          <w:bCs/>
          <w:color w:val="222222"/>
          <w:sz w:val="22"/>
          <w:szCs w:val="22"/>
          <w:lang w:eastAsia="en-GB"/>
        </w:rPr>
      </w:pPr>
    </w:p>
    <w:p w:rsidR="00431847" w:rsidP="00FC226F" w:rsidRDefault="00431847" w14:paraId="6B1F78F3" w14:textId="77777777">
      <w:pPr>
        <w:shd w:val="clear" w:color="auto" w:fill="FFFFFF"/>
        <w:spacing w:before="100" w:beforeAutospacing="1" w:after="100" w:afterAutospacing="1" w:line="360" w:lineRule="auto"/>
        <w:rPr>
          <w:rFonts w:ascii="Arial" w:hAnsi="Arial" w:eastAsia="Times New Roman" w:cs="Arial"/>
          <w:b/>
          <w:bCs/>
          <w:color w:val="222222"/>
          <w:sz w:val="22"/>
          <w:szCs w:val="22"/>
          <w:lang w:eastAsia="en-GB"/>
        </w:rPr>
      </w:pPr>
    </w:p>
    <w:p w:rsidR="00431847" w:rsidP="00FC226F" w:rsidRDefault="00431847" w14:paraId="2F69EDE3" w14:textId="77777777">
      <w:pPr>
        <w:shd w:val="clear" w:color="auto" w:fill="FFFFFF"/>
        <w:spacing w:before="100" w:beforeAutospacing="1" w:after="100" w:afterAutospacing="1" w:line="360" w:lineRule="auto"/>
        <w:rPr>
          <w:rFonts w:ascii="Arial" w:hAnsi="Arial" w:eastAsia="Times New Roman" w:cs="Arial"/>
          <w:b/>
          <w:bCs/>
          <w:color w:val="222222"/>
          <w:sz w:val="22"/>
          <w:szCs w:val="22"/>
          <w:lang w:eastAsia="en-GB"/>
        </w:rPr>
      </w:pPr>
    </w:p>
    <w:p w:rsidR="00431847" w:rsidP="00FC226F" w:rsidRDefault="00431847" w14:paraId="2CAB1163" w14:textId="77777777">
      <w:pPr>
        <w:shd w:val="clear" w:color="auto" w:fill="FFFFFF"/>
        <w:spacing w:before="100" w:beforeAutospacing="1" w:after="100" w:afterAutospacing="1" w:line="360" w:lineRule="auto"/>
        <w:rPr>
          <w:rFonts w:ascii="Arial" w:hAnsi="Arial" w:eastAsia="Times New Roman" w:cs="Arial"/>
          <w:b/>
          <w:bCs/>
          <w:color w:val="222222"/>
          <w:sz w:val="22"/>
          <w:szCs w:val="22"/>
          <w:lang w:eastAsia="en-GB"/>
        </w:rPr>
      </w:pPr>
    </w:p>
    <w:p w:rsidR="00A366E7" w:rsidP="00FC226F" w:rsidRDefault="00A366E7" w14:paraId="34A8D886" w14:textId="77777777">
      <w:pPr>
        <w:shd w:val="clear" w:color="auto" w:fill="FFFFFF"/>
        <w:spacing w:before="100" w:beforeAutospacing="1" w:after="100" w:afterAutospacing="1" w:line="360" w:lineRule="auto"/>
        <w:rPr>
          <w:rFonts w:ascii="Arial" w:hAnsi="Arial" w:eastAsia="Times New Roman" w:cs="Arial"/>
          <w:b/>
          <w:bCs/>
          <w:color w:val="222222"/>
          <w:sz w:val="22"/>
          <w:szCs w:val="22"/>
          <w:lang w:eastAsia="en-GB"/>
        </w:rPr>
      </w:pPr>
    </w:p>
    <w:p w:rsidR="00A366E7" w:rsidP="00FC226F" w:rsidRDefault="00A366E7" w14:paraId="01E4E8F3" w14:textId="77777777">
      <w:pPr>
        <w:shd w:val="clear" w:color="auto" w:fill="FFFFFF"/>
        <w:spacing w:before="100" w:beforeAutospacing="1" w:after="100" w:afterAutospacing="1" w:line="360" w:lineRule="auto"/>
        <w:rPr>
          <w:rFonts w:ascii="Arial" w:hAnsi="Arial" w:eastAsia="Times New Roman" w:cs="Arial"/>
          <w:b/>
          <w:bCs/>
          <w:color w:val="222222"/>
          <w:sz w:val="22"/>
          <w:szCs w:val="22"/>
          <w:lang w:eastAsia="en-GB"/>
        </w:rPr>
      </w:pPr>
    </w:p>
    <w:p w:rsidR="00A366E7" w:rsidP="00FC226F" w:rsidRDefault="00A366E7" w14:paraId="59295C1B" w14:textId="77777777">
      <w:pPr>
        <w:shd w:val="clear" w:color="auto" w:fill="FFFFFF"/>
        <w:spacing w:before="100" w:beforeAutospacing="1" w:after="100" w:afterAutospacing="1" w:line="360" w:lineRule="auto"/>
        <w:rPr>
          <w:rFonts w:ascii="Arial" w:hAnsi="Arial" w:eastAsia="Times New Roman" w:cs="Arial"/>
          <w:b/>
          <w:bCs/>
          <w:color w:val="222222"/>
          <w:sz w:val="22"/>
          <w:szCs w:val="22"/>
          <w:lang w:eastAsia="en-GB"/>
        </w:rPr>
      </w:pPr>
    </w:p>
    <w:p w:rsidRPr="00CA1B96" w:rsidR="00CA1B96" w:rsidP="00CA1B96" w:rsidRDefault="00CA1B96" w14:paraId="35439D7E" w14:textId="0C5B21FA">
      <w:pPr>
        <w:tabs>
          <w:tab w:val="left" w:pos="7097"/>
        </w:tabs>
        <w:rPr>
          <w:rFonts w:ascii="Arial" w:hAnsi="Arial" w:eastAsia="Times New Roman" w:cs="Arial"/>
          <w:sz w:val="22"/>
          <w:szCs w:val="22"/>
          <w:lang w:eastAsia="en-GB"/>
        </w:rPr>
      </w:pPr>
    </w:p>
    <w:p w:rsidRPr="00431847" w:rsidR="00FC226F" w:rsidP="746F570A" w:rsidRDefault="00A366E7" w14:paraId="35C101F8" w14:textId="30E318D0">
      <w:pPr>
        <w:shd w:val="clear" w:color="auto" w:fill="FFFFFF" w:themeFill="background1"/>
        <w:spacing w:before="100" w:beforeAutospacing="on" w:after="100" w:afterAutospacing="on" w:line="360" w:lineRule="auto"/>
        <w:rPr>
          <w:rFonts w:ascii="Arial" w:hAnsi="Arial" w:eastAsia="Times New Roman" w:cs="Arial"/>
          <w:b w:val="1"/>
          <w:bCs w:val="1"/>
          <w:color w:val="222222"/>
          <w:sz w:val="22"/>
          <w:szCs w:val="22"/>
          <w:lang w:eastAsia="en-GB"/>
        </w:rPr>
      </w:pPr>
      <w:r>
        <w:rPr>
          <w:rFonts w:ascii="Arial" w:hAnsi="Arial" w:eastAsia="Times New Roman" w:cs="Arial"/>
          <w:noProof/>
          <w:color w:val="222222"/>
          <w:sz w:val="22"/>
          <w:szCs w:val="22"/>
          <w:lang w:eastAsia="en-GB"/>
        </w:rPr>
        <w:lastRenderedPageBreak/>
        <w:drawing>
          <wp:anchor distT="0" distB="0" distL="114300" distR="114300" simplePos="0" relativeHeight="251658240" behindDoc="0" locked="0" layoutInCell="1" allowOverlap="1" wp14:anchorId="09313590" wp14:editId="31D3E533">
            <wp:simplePos x="0" y="0"/>
            <wp:positionH relativeFrom="column">
              <wp:posOffset>2001611</wp:posOffset>
            </wp:positionH>
            <wp:positionV relativeFrom="paragraph">
              <wp:posOffset>0</wp:posOffset>
            </wp:positionV>
            <wp:extent cx="3545840" cy="8864600"/>
            <wp:effectExtent l="0" t="0" r="0" b="0"/>
            <wp:wrapThrough wrapText="bothSides">
              <wp:wrapPolygon edited="0">
                <wp:start x="0" y="0"/>
                <wp:lineTo x="0" y="21569"/>
                <wp:lineTo x="21507" y="21569"/>
                <wp:lineTo x="2150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3545840" cy="8864600"/>
                    </a:xfrm>
                    <a:prstGeom prst="rect">
                      <a:avLst/>
                    </a:prstGeom>
                  </pic:spPr>
                </pic:pic>
              </a:graphicData>
            </a:graphic>
            <wp14:sizeRelH relativeFrom="page">
              <wp14:pctWidth>0</wp14:pctWidth>
            </wp14:sizeRelH>
            <wp14:sizeRelV relativeFrom="page">
              <wp14:pctHeight>0</wp14:pctHeight>
            </wp14:sizeRelV>
          </wp:anchor>
        </w:drawing>
      </w:r>
      <w:r w:rsidRPr="00431847" w:rsidR="00431847">
        <w:rPr>
          <w:rFonts w:ascii="Arial" w:hAnsi="Arial" w:eastAsia="Times New Roman" w:cs="Arial"/>
          <w:b w:val="1"/>
          <w:bCs w:val="1"/>
          <w:color w:val="222222"/>
          <w:sz w:val="22"/>
          <w:szCs w:val="22"/>
          <w:lang w:eastAsia="en-GB"/>
        </w:rPr>
        <w:t xml:space="preserve">Infographic </w:t>
      </w:r>
      <w:r w:rsidR="00371D88">
        <w:rPr>
          <w:rFonts w:ascii="Arial" w:hAnsi="Arial" w:eastAsia="Times New Roman" w:cs="Arial"/>
          <w:b w:val="1"/>
          <w:bCs w:val="1"/>
          <w:color w:val="222222"/>
          <w:sz w:val="22"/>
          <w:szCs w:val="22"/>
          <w:lang w:eastAsia="en-GB"/>
        </w:rPr>
        <w:t xml:space="preserve">(created </w:t>
      </w:r>
      <w:r w:rsidR="00A366E7">
        <w:rPr>
          <w:rFonts w:ascii="Arial" w:hAnsi="Arial" w:eastAsia="Times New Roman" w:cs="Arial"/>
          <w:b w:val="1"/>
          <w:bCs w:val="1"/>
          <w:color w:val="222222"/>
          <w:sz w:val="22"/>
          <w:szCs w:val="22"/>
          <w:lang w:eastAsia="en-GB"/>
        </w:rPr>
        <w:t>via</w:t>
      </w:r>
      <w:r w:rsidRPr="00431847" w:rsidR="00431847">
        <w:rPr>
          <w:rFonts w:ascii="Arial" w:hAnsi="Arial" w:eastAsia="Times New Roman" w:cs="Arial"/>
          <w:b w:val="1"/>
          <w:bCs w:val="1"/>
          <w:color w:val="222222"/>
          <w:sz w:val="22"/>
          <w:szCs w:val="22"/>
          <w:lang w:eastAsia="en-GB"/>
        </w:rPr>
        <w:t xml:space="preserve"> Canva </w:t>
      </w:r>
      <w:r w:rsidR="00371D88">
        <w:rPr>
          <w:rFonts w:ascii="Arial" w:hAnsi="Arial" w:eastAsia="Times New Roman" w:cs="Arial"/>
          <w:b w:val="1"/>
          <w:bCs w:val="1"/>
          <w:color w:val="222222"/>
          <w:sz w:val="22"/>
          <w:szCs w:val="22"/>
          <w:lang w:eastAsia="en-GB"/>
        </w:rPr>
        <w:t xml:space="preserve">by Ruk</w:t>
      </w:r>
      <w:r w:rsidR="0C65604C">
        <w:rPr>
          <w:rFonts w:ascii="Arial" w:hAnsi="Arial" w:eastAsia="Times New Roman" w:cs="Arial"/>
          <w:b w:val="1"/>
          <w:bCs w:val="1"/>
          <w:color w:val="222222"/>
          <w:sz w:val="22"/>
          <w:szCs w:val="22"/>
          <w:lang w:eastAsia="en-GB"/>
        </w:rPr>
        <w:t xml:space="preserve">eiy</w:t>
      </w:r>
      <w:r w:rsidR="00371D88">
        <w:rPr>
          <w:rFonts w:ascii="Arial" w:hAnsi="Arial" w:eastAsia="Times New Roman" w:cs="Arial"/>
          <w:b w:val="1"/>
          <w:bCs w:val="1"/>
          <w:color w:val="222222"/>
          <w:sz w:val="22"/>
          <w:szCs w:val="22"/>
          <w:lang w:eastAsia="en-GB"/>
        </w:rPr>
        <w:t xml:space="preserve">a Saleem) </w:t>
      </w:r>
      <w:r w:rsidRPr="00431847" w:rsidR="00431847">
        <w:rPr>
          <w:rFonts w:ascii="Arial" w:hAnsi="Arial" w:eastAsia="Times New Roman" w:cs="Arial"/>
          <w:b w:val="1"/>
          <w:bCs w:val="1"/>
          <w:color w:val="222222"/>
          <w:sz w:val="22"/>
          <w:szCs w:val="22"/>
          <w:lang w:eastAsia="en-GB"/>
        </w:rPr>
        <w:t xml:space="preserve">below shows a summary of </w:t>
      </w:r>
      <w:r w:rsidR="00A366E7">
        <w:rPr>
          <w:rFonts w:ascii="Arial" w:hAnsi="Arial" w:eastAsia="Times New Roman" w:cs="Arial"/>
          <w:b w:val="1"/>
          <w:bCs w:val="1"/>
          <w:color w:val="222222"/>
          <w:sz w:val="22"/>
          <w:szCs w:val="22"/>
          <w:lang w:eastAsia="en-GB"/>
        </w:rPr>
        <w:t xml:space="preserve">dementia </w:t>
      </w:r>
      <w:r w:rsidRPr="00431847" w:rsidR="00431847">
        <w:rPr>
          <w:rFonts w:ascii="Arial" w:hAnsi="Arial" w:eastAsia="Times New Roman" w:cs="Arial"/>
          <w:b w:val="1"/>
          <w:bCs w:val="1"/>
          <w:color w:val="222222"/>
          <w:sz w:val="22"/>
          <w:szCs w:val="22"/>
          <w:lang w:eastAsia="en-GB"/>
        </w:rPr>
        <w:t>implications:</w:t>
      </w:r>
    </w:p>
    <w:p w:rsidR="00431847" w:rsidP="00FC226F" w:rsidRDefault="00431847" w14:paraId="3A248A3B" w14:textId="3BDA6B0A">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431847" w:rsidP="00FC226F" w:rsidRDefault="00431847" w14:paraId="3EABEECE" w14:textId="02DB17D5">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431847" w:rsidP="00FC226F" w:rsidRDefault="00431847" w14:paraId="2A35353E" w14:textId="4E2D2ABF">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431847" w:rsidP="00FC226F" w:rsidRDefault="00431847" w14:paraId="2D9A09AE" w14:textId="286E35F9">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431847" w:rsidP="00FC226F" w:rsidRDefault="00431847" w14:paraId="7C2517D5"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431847" w:rsidP="00FC226F" w:rsidRDefault="00431847" w14:paraId="28767F0E"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431847" w:rsidP="00FC226F" w:rsidRDefault="00431847" w14:paraId="2582C2DF"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431847" w:rsidP="00FC226F" w:rsidRDefault="00431847" w14:paraId="11C7FC17"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431847" w:rsidP="00FC226F" w:rsidRDefault="00431847" w14:paraId="743A2E51"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431847" w:rsidP="00FC226F" w:rsidRDefault="00431847" w14:paraId="336DC612"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431847" w:rsidP="00FC226F" w:rsidRDefault="00431847" w14:paraId="62F94327"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431847" w:rsidP="00FC226F" w:rsidRDefault="00431847" w14:paraId="731C849E"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431847" w:rsidP="00FC226F" w:rsidRDefault="00431847" w14:paraId="12E95259"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431847" w:rsidP="00FC226F" w:rsidRDefault="00431847" w14:paraId="18E3872F"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431847" w:rsidP="00FC226F" w:rsidRDefault="00431847" w14:paraId="21F9880C"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431847" w:rsidP="00FC226F" w:rsidRDefault="00431847" w14:paraId="76033E60"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431847" w:rsidP="00FC226F" w:rsidRDefault="00431847" w14:paraId="52238BBD"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431847" w:rsidP="00FC226F" w:rsidRDefault="00431847" w14:paraId="076610B1"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A366E7" w:rsidP="00FC226F" w:rsidRDefault="00A366E7" w14:paraId="5C641489"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Pr="00FC226F" w:rsidR="00FC226F" w:rsidP="00FC226F" w:rsidRDefault="00016E32" w14:paraId="14BF21E9" w14:textId="1B305934">
      <w:pPr>
        <w:shd w:val="clear" w:color="auto" w:fill="FFFFFF"/>
        <w:spacing w:before="100" w:beforeAutospacing="1" w:after="100" w:afterAutospacing="1" w:line="360" w:lineRule="auto"/>
        <w:rPr>
          <w:rFonts w:ascii="Arial" w:hAnsi="Arial" w:eastAsia="Times New Roman" w:cs="Arial"/>
          <w:b/>
          <w:bCs/>
          <w:color w:val="222222"/>
          <w:lang w:eastAsia="en-GB"/>
        </w:rPr>
      </w:pPr>
      <w:r w:rsidRPr="00CA1B96">
        <w:rPr>
          <w:rFonts w:ascii="Arial" w:hAnsi="Arial" w:eastAsia="Times New Roman" w:cs="Arial"/>
          <w:b/>
          <w:bCs/>
          <w:color w:val="222222"/>
          <w:lang w:eastAsia="en-GB"/>
        </w:rPr>
        <w:lastRenderedPageBreak/>
        <w:t>C</w:t>
      </w:r>
      <w:r w:rsidRPr="00FC226F" w:rsidR="00FC226F">
        <w:rPr>
          <w:rFonts w:ascii="Arial" w:hAnsi="Arial" w:eastAsia="Times New Roman" w:cs="Arial"/>
          <w:b/>
          <w:bCs/>
          <w:color w:val="222222"/>
          <w:lang w:eastAsia="en-GB"/>
        </w:rPr>
        <w:t>ase stud</w:t>
      </w:r>
      <w:r w:rsidRPr="00CA1B96">
        <w:rPr>
          <w:rFonts w:ascii="Arial" w:hAnsi="Arial" w:eastAsia="Times New Roman" w:cs="Arial"/>
          <w:b/>
          <w:bCs/>
          <w:color w:val="222222"/>
          <w:lang w:eastAsia="en-GB"/>
        </w:rPr>
        <w:t>ies</w:t>
      </w:r>
      <w:r w:rsidRPr="00FC226F" w:rsidR="00FC226F">
        <w:rPr>
          <w:rFonts w:ascii="Arial" w:hAnsi="Arial" w:eastAsia="Times New Roman" w:cs="Arial"/>
          <w:b/>
          <w:bCs/>
          <w:color w:val="222222"/>
          <w:lang w:eastAsia="en-GB"/>
        </w:rPr>
        <w:t xml:space="preserve"> on implications and how that affects people suffering dementia and their family and healthcare and social care </w:t>
      </w:r>
      <w:r w:rsidRPr="00CA1B96">
        <w:rPr>
          <w:rFonts w:ascii="Arial" w:hAnsi="Arial" w:eastAsia="Times New Roman" w:cs="Arial"/>
          <w:b/>
          <w:bCs/>
          <w:color w:val="222222"/>
          <w:lang w:eastAsia="en-GB"/>
        </w:rPr>
        <w:t>professionals.</w:t>
      </w:r>
    </w:p>
    <w:p w:rsidRPr="00FC226F" w:rsidR="00FC226F" w:rsidP="00FC226F" w:rsidRDefault="00FC226F" w14:paraId="140B85BC" w14:textId="0D257FDA">
      <w:pPr>
        <w:shd w:val="clear" w:color="auto" w:fill="FFFFFF"/>
        <w:spacing w:before="100" w:beforeAutospacing="1" w:after="100" w:afterAutospacing="1" w:line="360" w:lineRule="auto"/>
        <w:rPr>
          <w:rFonts w:ascii="Arial" w:hAnsi="Arial" w:eastAsia="Times New Roman" w:cs="Arial"/>
          <w:b/>
          <w:bCs/>
          <w:i/>
          <w:iCs/>
          <w:color w:val="222222"/>
          <w:u w:val="single"/>
          <w:lang w:eastAsia="en-GB"/>
        </w:rPr>
      </w:pPr>
      <w:r w:rsidRPr="00FC226F">
        <w:rPr>
          <w:rFonts w:ascii="Arial" w:hAnsi="Arial" w:eastAsia="Times New Roman" w:cs="Arial"/>
          <w:b/>
          <w:bCs/>
          <w:i/>
          <w:iCs/>
          <w:color w:val="222222"/>
          <w:u w:val="single"/>
          <w:lang w:eastAsia="en-GB"/>
        </w:rPr>
        <w:t>Case Study: The Burden on an Unpaid Carer</w:t>
      </w:r>
    </w:p>
    <w:p w:rsidRPr="00FC226F" w:rsidR="00FC226F" w:rsidP="00FC226F" w:rsidRDefault="00FC226F" w14:paraId="04BB7DB3" w14:textId="32CAF656">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The experiences of unpaid carers in the UK highlight the profound pressures placed on families affected by dementia. Mary, 75, has lived with Alzheimer’s disease for nine years and is now in the moderate</w:t>
      </w:r>
      <w:r w:rsidR="00A366E7">
        <w:rPr>
          <w:rFonts w:ascii="Arial" w:hAnsi="Arial" w:eastAsia="Times New Roman" w:cs="Arial"/>
          <w:color w:val="222222"/>
          <w:sz w:val="22"/>
          <w:szCs w:val="22"/>
          <w:lang w:eastAsia="en-GB"/>
        </w:rPr>
        <w:t xml:space="preserve"> </w:t>
      </w:r>
      <w:r w:rsidRPr="00FC226F">
        <w:rPr>
          <w:rFonts w:ascii="Arial" w:hAnsi="Arial" w:eastAsia="Times New Roman" w:cs="Arial"/>
          <w:color w:val="222222"/>
          <w:sz w:val="22"/>
          <w:szCs w:val="22"/>
          <w:lang w:eastAsia="en-GB"/>
        </w:rPr>
        <w:t>to</w:t>
      </w:r>
      <w:r w:rsidR="00A366E7">
        <w:rPr>
          <w:rFonts w:ascii="Arial" w:hAnsi="Arial" w:eastAsia="Times New Roman" w:cs="Arial"/>
          <w:color w:val="222222"/>
          <w:sz w:val="22"/>
          <w:szCs w:val="22"/>
          <w:lang w:eastAsia="en-GB"/>
        </w:rPr>
        <w:t xml:space="preserve"> </w:t>
      </w:r>
      <w:r w:rsidRPr="00FC226F">
        <w:rPr>
          <w:rFonts w:ascii="Arial" w:hAnsi="Arial" w:eastAsia="Times New Roman" w:cs="Arial"/>
          <w:color w:val="222222"/>
          <w:sz w:val="22"/>
          <w:szCs w:val="22"/>
          <w:lang w:eastAsia="en-GB"/>
        </w:rPr>
        <w:t>severe stage. Her husband Peter, 78, is her sole carer</w:t>
      </w:r>
      <w:r w:rsidR="00A366E7">
        <w:rPr>
          <w:rFonts w:ascii="Arial" w:hAnsi="Arial" w:eastAsia="Times New Roman" w:cs="Arial"/>
          <w:color w:val="222222"/>
          <w:sz w:val="22"/>
          <w:szCs w:val="22"/>
          <w:lang w:eastAsia="en-GB"/>
        </w:rPr>
        <w:t xml:space="preserve"> </w:t>
      </w:r>
      <w:r w:rsidRPr="00FC226F">
        <w:rPr>
          <w:rFonts w:ascii="Arial" w:hAnsi="Arial" w:eastAsia="Times New Roman" w:cs="Arial"/>
          <w:color w:val="222222"/>
          <w:sz w:val="22"/>
          <w:szCs w:val="22"/>
          <w:lang w:eastAsia="en-GB"/>
        </w:rPr>
        <w:t>reflecting a common UK pattern in which older spouses provide the majority of high-intensity dementia care (Alzheimer’s Society, 2022).</w:t>
      </w:r>
    </w:p>
    <w:p w:rsidRPr="00FC226F" w:rsidR="00FC226F" w:rsidP="00FC226F" w:rsidRDefault="00FC226F" w14:paraId="3A936869" w14:textId="2F590248">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 xml:space="preserve">As Mary’s condition progressed, Peter’s responsibilities expanded from managing finances and medication to providing </w:t>
      </w:r>
      <w:r w:rsidRPr="00FC226F" w:rsidR="00431847">
        <w:rPr>
          <w:rFonts w:ascii="Arial" w:hAnsi="Arial" w:eastAsia="Times New Roman" w:cs="Arial"/>
          <w:color w:val="222222"/>
          <w:sz w:val="22"/>
          <w:szCs w:val="22"/>
          <w:lang w:eastAsia="en-GB"/>
        </w:rPr>
        <w:t>full</w:t>
      </w:r>
      <w:r w:rsidRPr="00FC226F">
        <w:rPr>
          <w:rFonts w:ascii="Arial" w:hAnsi="Arial" w:eastAsia="Times New Roman" w:cs="Arial"/>
          <w:color w:val="222222"/>
          <w:sz w:val="22"/>
          <w:szCs w:val="22"/>
          <w:lang w:eastAsia="en-GB"/>
        </w:rPr>
        <w:t xml:space="preserve"> personal care, including support with washing, dressing and continence. He also manages challenging behaviours such as agitation, wandering and sundowning, resulting in significant sleep disruption. The emotional strain is considerable, particularly as Mary increasingly fails to recognise him or makes accusatory statements</w:t>
      </w:r>
      <w:r w:rsidR="00431847">
        <w:rPr>
          <w:rFonts w:ascii="Arial" w:hAnsi="Arial" w:eastAsia="Times New Roman" w:cs="Arial"/>
          <w:color w:val="222222"/>
          <w:sz w:val="22"/>
          <w:szCs w:val="22"/>
          <w:lang w:eastAsia="en-GB"/>
        </w:rPr>
        <w:t xml:space="preserve"> </w:t>
      </w:r>
      <w:r w:rsidRPr="00FC226F">
        <w:rPr>
          <w:rFonts w:ascii="Arial" w:hAnsi="Arial" w:eastAsia="Times New Roman" w:cs="Arial"/>
          <w:color w:val="222222"/>
          <w:sz w:val="22"/>
          <w:szCs w:val="22"/>
          <w:lang w:eastAsia="en-GB"/>
        </w:rPr>
        <w:t>an experience widely documented among dementia carers (Cooper et al., 2021).</w:t>
      </w:r>
    </w:p>
    <w:p w:rsidRPr="00FC226F" w:rsidR="00FC226F" w:rsidP="00FC226F" w:rsidRDefault="00FC226F" w14:paraId="441944BC" w14:textId="1AB6C055">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Despite their eligibility for statutory support, the assistance offered is limited. Peter receives only two brief daily home</w:t>
      </w:r>
      <w:r w:rsidR="00431847">
        <w:rPr>
          <w:rFonts w:ascii="Arial" w:hAnsi="Arial" w:eastAsia="Times New Roman" w:cs="Arial"/>
          <w:color w:val="222222"/>
          <w:sz w:val="22"/>
          <w:szCs w:val="22"/>
          <w:lang w:eastAsia="en-GB"/>
        </w:rPr>
        <w:t xml:space="preserve"> </w:t>
      </w:r>
      <w:r w:rsidRPr="00FC226F">
        <w:rPr>
          <w:rFonts w:ascii="Arial" w:hAnsi="Arial" w:eastAsia="Times New Roman" w:cs="Arial"/>
          <w:color w:val="222222"/>
          <w:sz w:val="22"/>
          <w:szCs w:val="22"/>
          <w:lang w:eastAsia="en-GB"/>
        </w:rPr>
        <w:t>care visits, with no available day</w:t>
      </w:r>
      <w:r w:rsidR="00431847">
        <w:rPr>
          <w:rFonts w:ascii="Arial" w:hAnsi="Arial" w:eastAsia="Times New Roman" w:cs="Arial"/>
          <w:color w:val="222222"/>
          <w:sz w:val="22"/>
          <w:szCs w:val="22"/>
          <w:lang w:eastAsia="en-GB"/>
        </w:rPr>
        <w:t xml:space="preserve"> </w:t>
      </w:r>
      <w:r w:rsidRPr="00FC226F">
        <w:rPr>
          <w:rFonts w:ascii="Arial" w:hAnsi="Arial" w:eastAsia="Times New Roman" w:cs="Arial"/>
          <w:color w:val="222222"/>
          <w:sz w:val="22"/>
          <w:szCs w:val="22"/>
          <w:lang w:eastAsia="en-GB"/>
        </w:rPr>
        <w:t>centre provision due to local funding cuts. When applying for respite, he is informed of a six-month waiting list. Such gaps mirror national concerns about inconsistent dementia care and insufficient respite options (Age UK, 2023). Following a fall, Mary remains in hospital far longer than average because a safe discharge cannot be arranged</w:t>
      </w:r>
      <w:r w:rsidR="00431847">
        <w:rPr>
          <w:rFonts w:ascii="Arial" w:hAnsi="Arial" w:eastAsia="Times New Roman" w:cs="Arial"/>
          <w:color w:val="222222"/>
          <w:sz w:val="22"/>
          <w:szCs w:val="22"/>
          <w:lang w:eastAsia="en-GB"/>
        </w:rPr>
        <w:t xml:space="preserve"> </w:t>
      </w:r>
      <w:r w:rsidRPr="00FC226F">
        <w:rPr>
          <w:rFonts w:ascii="Arial" w:hAnsi="Arial" w:eastAsia="Times New Roman" w:cs="Arial"/>
          <w:color w:val="222222"/>
          <w:sz w:val="22"/>
          <w:szCs w:val="22"/>
          <w:lang w:eastAsia="en-GB"/>
        </w:rPr>
        <w:t>an issue linked to the wider “delayed discharge” crisis in the NHS (The King’s Fund, 2022).</w:t>
      </w:r>
    </w:p>
    <w:p w:rsidRPr="00FC226F" w:rsidR="00FC226F" w:rsidP="00FC226F" w:rsidRDefault="00FC226F" w14:paraId="6B575D30" w14:textId="04B9511D">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After five years of continuous care, Peter’s health deteriorates severely. He develops hypertension and suffers a minor stroke, attributed to chronic stress and sleep deprivation. He becomes socially isolated and must draw further on his pension savings to pay for private care. This case exemplifies a central implication for UK policy: unpaid carers sustain the dementia care system at immense personal cost, yet without adequate support, both carer and cared-for risk rapid decline, ultimately increasing demand on statutory services.</w:t>
      </w:r>
    </w:p>
    <w:p w:rsidRPr="00FC226F" w:rsidR="00FC226F" w:rsidP="00FC226F" w:rsidRDefault="00FC226F" w14:paraId="119EEA15" w14:textId="6AB677E4">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 xml:space="preserve">Hospital admissions for people with dementia can significantly worsen clinical outcomes and intensify system pressures. Mr. Khan’s case illustrates how acute illness combined with an unfamiliar hospital environment can precipitate delirium, agitation, and rapid functional decline. Research shows that hospital settings often </w:t>
      </w:r>
      <w:r w:rsidRPr="00FC226F" w:rsidR="00A366E7">
        <w:rPr>
          <w:rFonts w:ascii="Arial" w:hAnsi="Arial" w:eastAsia="Times New Roman" w:cs="Arial"/>
          <w:color w:val="222222"/>
          <w:sz w:val="22"/>
          <w:szCs w:val="22"/>
          <w:lang w:eastAsia="en-GB"/>
        </w:rPr>
        <w:t>intensify</w:t>
      </w:r>
      <w:r w:rsidRPr="00FC226F">
        <w:rPr>
          <w:rFonts w:ascii="Arial" w:hAnsi="Arial" w:eastAsia="Times New Roman" w:cs="Arial"/>
          <w:color w:val="222222"/>
          <w:sz w:val="22"/>
          <w:szCs w:val="22"/>
          <w:lang w:eastAsia="en-GB"/>
        </w:rPr>
        <w:t xml:space="preserve"> cognitive impairment due to noise, disrupted routines and sensory overload, increasing risks of immobility, malnutrition </w:t>
      </w:r>
      <w:r w:rsidRPr="00FC226F">
        <w:rPr>
          <w:rFonts w:ascii="Arial" w:hAnsi="Arial" w:eastAsia="Times New Roman" w:cs="Arial"/>
          <w:color w:val="222222"/>
          <w:sz w:val="22"/>
          <w:szCs w:val="22"/>
          <w:lang w:eastAsia="en-GB"/>
        </w:rPr>
        <w:lastRenderedPageBreak/>
        <w:t>and loss of independence (Royal College of Psychiatrists, 2021). This “accelerated decline” effect is common, with people with dementia more likely to lose previously retained daily living skills during admission (Alzheimer’s Society, 2022).</w:t>
      </w:r>
    </w:p>
    <w:p w:rsidRPr="00FC226F" w:rsidR="00FC226F" w:rsidP="00FC226F" w:rsidRDefault="00FC226F" w14:paraId="2AEFD7C6" w14:textId="1BF074AF">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The systemic impact is equally substantial. After becoming medically fit for discharge, Mr. Khan remains in hospital due to unavailable specialist social care provision. Such delayed discharges are widespread, with people with dementia typically experiencing significantly longer lengths of stay and higher dependency on post</w:t>
      </w:r>
      <w:r w:rsidR="00A366E7">
        <w:rPr>
          <w:rFonts w:ascii="Arial" w:hAnsi="Arial" w:eastAsia="Times New Roman" w:cs="Arial"/>
          <w:color w:val="222222"/>
          <w:sz w:val="22"/>
          <w:szCs w:val="22"/>
          <w:lang w:eastAsia="en-GB"/>
        </w:rPr>
        <w:t>-</w:t>
      </w:r>
      <w:r w:rsidRPr="00FC226F">
        <w:rPr>
          <w:rFonts w:ascii="Arial" w:hAnsi="Arial" w:eastAsia="Times New Roman" w:cs="Arial"/>
          <w:color w:val="222222"/>
          <w:sz w:val="22"/>
          <w:szCs w:val="22"/>
          <w:lang w:eastAsia="en-GB"/>
        </w:rPr>
        <w:t>acute care (NHS England, 2023). Given the estimated cost of over £500 per NHS bed day, prolonged hospitalisation results in considerable financial strain and contributes to wider hospital congestion (National Audit Office, 2019). With approximately one in four hospital beds occupied by someone living with dementia, the condition represents a major operational challenge, intensifying pressures on elective care capacity and emergency flow.</w:t>
      </w:r>
    </w:p>
    <w:p w:rsidRPr="00FC226F" w:rsidR="00FC226F" w:rsidP="00FC226F" w:rsidRDefault="00016E32" w14:paraId="7A0C5B3E" w14:textId="6E5BA9C6">
      <w:pPr>
        <w:shd w:val="clear" w:color="auto" w:fill="FFFFFF"/>
        <w:spacing w:before="100" w:beforeAutospacing="1" w:after="100" w:afterAutospacing="1" w:line="360" w:lineRule="auto"/>
        <w:rPr>
          <w:rFonts w:ascii="Arial" w:hAnsi="Arial" w:eastAsia="Times New Roman" w:cs="Arial"/>
          <w:b/>
          <w:bCs/>
          <w:color w:val="222222"/>
          <w:lang w:eastAsia="en-GB"/>
        </w:rPr>
      </w:pPr>
      <w:r w:rsidRPr="00CA1B96">
        <w:rPr>
          <w:rFonts w:ascii="Arial" w:hAnsi="Arial" w:eastAsia="Times New Roman" w:cs="Arial"/>
          <w:b/>
          <w:bCs/>
          <w:color w:val="222222"/>
          <w:lang w:eastAsia="en-GB"/>
        </w:rPr>
        <w:t xml:space="preserve">4 </w:t>
      </w:r>
      <w:r w:rsidRPr="00FC226F" w:rsidR="00FC226F">
        <w:rPr>
          <w:rFonts w:ascii="Arial" w:hAnsi="Arial" w:eastAsia="Times New Roman" w:cs="Arial"/>
          <w:b/>
          <w:bCs/>
          <w:color w:val="222222"/>
          <w:lang w:eastAsia="en-GB"/>
        </w:rPr>
        <w:t>Practical Application of Core Dementia Care Theories</w:t>
      </w:r>
    </w:p>
    <w:p w:rsidRPr="00FC226F" w:rsidR="00FC226F" w:rsidP="00FC226F" w:rsidRDefault="00FC226F" w14:paraId="1AF49151" w14:textId="43CAF16A">
      <w:pPr>
        <w:shd w:val="clear" w:color="auto" w:fill="FFFFFF"/>
        <w:spacing w:before="100" w:beforeAutospacing="1" w:after="100" w:afterAutospacing="1" w:line="360" w:lineRule="auto"/>
        <w:rPr>
          <w:rFonts w:ascii="Arial" w:hAnsi="Arial" w:eastAsia="Times New Roman" w:cs="Arial"/>
          <w:b/>
          <w:bCs/>
          <w:color w:val="222222"/>
          <w:sz w:val="22"/>
          <w:szCs w:val="22"/>
          <w:lang w:eastAsia="en-GB"/>
        </w:rPr>
      </w:pPr>
      <w:r w:rsidRPr="00FC226F">
        <w:rPr>
          <w:rFonts w:ascii="Arial" w:hAnsi="Arial" w:eastAsia="Times New Roman" w:cs="Arial"/>
          <w:b/>
          <w:bCs/>
          <w:color w:val="222222"/>
          <w:sz w:val="22"/>
          <w:szCs w:val="22"/>
          <w:lang w:eastAsia="en-GB"/>
        </w:rPr>
        <w:t>1. Person-Centred Care (PCC)</w:t>
      </w:r>
    </w:p>
    <w:p w:rsidR="00FC226F" w:rsidP="00FC226F" w:rsidRDefault="00FC226F" w14:paraId="0A233112" w14:textId="4764CF71">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PCC emphasises knowing the person’s history and preferences to provide individualised support (</w:t>
      </w:r>
      <w:proofErr w:type="spellStart"/>
      <w:r w:rsidRPr="00FC226F">
        <w:rPr>
          <w:rFonts w:ascii="Arial" w:hAnsi="Arial" w:eastAsia="Times New Roman" w:cs="Arial"/>
          <w:color w:val="222222"/>
          <w:sz w:val="22"/>
          <w:szCs w:val="22"/>
          <w:lang w:eastAsia="en-GB"/>
        </w:rPr>
        <w:t>Kitwood</w:t>
      </w:r>
      <w:proofErr w:type="spellEnd"/>
      <w:r w:rsidRPr="00FC226F">
        <w:rPr>
          <w:rFonts w:ascii="Arial" w:hAnsi="Arial" w:eastAsia="Times New Roman" w:cs="Arial"/>
          <w:color w:val="222222"/>
          <w:sz w:val="22"/>
          <w:szCs w:val="22"/>
          <w:lang w:eastAsia="en-GB"/>
        </w:rPr>
        <w:t>, 1997).</w:t>
      </w:r>
    </w:p>
    <w:tbl>
      <w:tblPr>
        <w:tblStyle w:val="TableGrid"/>
        <w:tblW w:w="0" w:type="auto"/>
        <w:tblLook w:val="04A0" w:firstRow="1" w:lastRow="0" w:firstColumn="1" w:lastColumn="0" w:noHBand="0" w:noVBand="1"/>
      </w:tblPr>
      <w:tblGrid>
        <w:gridCol w:w="2252"/>
        <w:gridCol w:w="2252"/>
        <w:gridCol w:w="2253"/>
        <w:gridCol w:w="2253"/>
      </w:tblGrid>
      <w:tr w:rsidR="00A366E7" w:rsidTr="00A366E7" w14:paraId="4D68A979" w14:textId="77777777">
        <w:tc>
          <w:tcPr>
            <w:tcW w:w="2252" w:type="dxa"/>
          </w:tcPr>
          <w:p w:rsidR="00A366E7" w:rsidP="00FC226F" w:rsidRDefault="00A366E7" w14:paraId="3C990C3E" w14:textId="1A1D7A3C">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Scenario</w:t>
            </w:r>
          </w:p>
        </w:tc>
        <w:tc>
          <w:tcPr>
            <w:tcW w:w="2252" w:type="dxa"/>
          </w:tcPr>
          <w:p w:rsidR="00A366E7" w:rsidP="00FC226F" w:rsidRDefault="00A366E7" w14:paraId="567781DC" w14:textId="42222848">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Task-Oriented (Old Model)</w:t>
            </w:r>
          </w:p>
        </w:tc>
        <w:tc>
          <w:tcPr>
            <w:tcW w:w="2253" w:type="dxa"/>
          </w:tcPr>
          <w:p w:rsidR="00A366E7" w:rsidP="00FC226F" w:rsidRDefault="00A366E7" w14:paraId="41BDBEDF" w14:textId="6BD2F422">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Person-Centred (New Model)</w:t>
            </w:r>
          </w:p>
        </w:tc>
        <w:tc>
          <w:tcPr>
            <w:tcW w:w="2253" w:type="dxa"/>
          </w:tcPr>
          <w:p w:rsidR="00A366E7" w:rsidP="00FC226F" w:rsidRDefault="00A366E7" w14:paraId="275044B5" w14:textId="65DBC260">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Wellbeing Impact</w:t>
            </w:r>
          </w:p>
        </w:tc>
      </w:tr>
      <w:tr w:rsidR="00A366E7" w:rsidTr="00A366E7" w14:paraId="6E17EADE" w14:textId="77777777">
        <w:tc>
          <w:tcPr>
            <w:tcW w:w="2252" w:type="dxa"/>
          </w:tcPr>
          <w:p w:rsidR="00A366E7" w:rsidP="00A366E7" w:rsidRDefault="00A366E7" w14:paraId="433A5901" w14:textId="2809C7CE">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Bathing</w:t>
            </w:r>
            <w:r>
              <w:rPr>
                <w:rFonts w:ascii="Arial" w:hAnsi="Arial" w:eastAsia="Times New Roman" w:cs="Arial"/>
                <w:sz w:val="22"/>
                <w:szCs w:val="22"/>
                <w:lang w:eastAsia="en-GB"/>
              </w:rPr>
              <w:t xml:space="preserve"> Routine</w:t>
            </w:r>
          </w:p>
        </w:tc>
        <w:tc>
          <w:tcPr>
            <w:tcW w:w="2252" w:type="dxa"/>
          </w:tcPr>
          <w:p w:rsidR="00A366E7" w:rsidP="00A366E7" w:rsidRDefault="00A366E7" w14:paraId="3075513B" w14:textId="2EC870DD">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Fixed shower time at 10 AM</w:t>
            </w:r>
          </w:p>
        </w:tc>
        <w:tc>
          <w:tcPr>
            <w:tcW w:w="2253" w:type="dxa"/>
          </w:tcPr>
          <w:p w:rsidR="00A366E7" w:rsidP="00A366E7" w:rsidRDefault="00A366E7" w14:paraId="2CEF900A" w14:textId="77777777">
            <w:pPr>
              <w:spacing w:before="100" w:beforeAutospacing="1" w:after="100" w:afterAutospacing="1" w:line="360" w:lineRule="auto"/>
              <w:rPr>
                <w:rFonts w:ascii="Arial" w:hAnsi="Arial" w:eastAsia="Times New Roman" w:cs="Arial"/>
                <w:sz w:val="22"/>
                <w:szCs w:val="22"/>
                <w:lang w:eastAsia="en-GB"/>
              </w:rPr>
            </w:pPr>
            <w:r w:rsidRPr="00FC226F">
              <w:rPr>
                <w:rFonts w:ascii="Arial" w:hAnsi="Arial" w:eastAsia="Times New Roman" w:cs="Arial"/>
                <w:sz w:val="22"/>
                <w:szCs w:val="22"/>
                <w:lang w:eastAsia="en-GB"/>
              </w:rPr>
              <w:t>Shower offered at preferred time with familiar soap</w:t>
            </w:r>
          </w:p>
          <w:p w:rsidR="00371D88" w:rsidP="00A366E7" w:rsidRDefault="00371D88" w14:paraId="1FBA246B" w14:textId="0F46DF42">
            <w:pPr>
              <w:spacing w:before="100" w:beforeAutospacing="1" w:after="100" w:afterAutospacing="1" w:line="360" w:lineRule="auto"/>
              <w:rPr>
                <w:rFonts w:ascii="Arial" w:hAnsi="Arial" w:eastAsia="Times New Roman" w:cs="Arial"/>
                <w:color w:val="222222"/>
                <w:sz w:val="22"/>
                <w:szCs w:val="22"/>
                <w:lang w:eastAsia="en-GB"/>
              </w:rPr>
            </w:pPr>
          </w:p>
        </w:tc>
        <w:tc>
          <w:tcPr>
            <w:tcW w:w="2253" w:type="dxa"/>
          </w:tcPr>
          <w:p w:rsidR="00A366E7" w:rsidP="00A366E7" w:rsidRDefault="00A366E7" w14:paraId="4313EA7F" w14:textId="6904239C">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Preserves dignity and reduces agitation</w:t>
            </w:r>
          </w:p>
        </w:tc>
      </w:tr>
      <w:tr w:rsidR="00A366E7" w:rsidTr="00A366E7" w14:paraId="4E2A4753" w14:textId="77777777">
        <w:tc>
          <w:tcPr>
            <w:tcW w:w="2252" w:type="dxa"/>
          </w:tcPr>
          <w:p w:rsidR="00A366E7" w:rsidP="00A366E7" w:rsidRDefault="00A366E7" w14:paraId="269A3399" w14:textId="18F68009">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Mealtimes</w:t>
            </w:r>
          </w:p>
        </w:tc>
        <w:tc>
          <w:tcPr>
            <w:tcW w:w="2252" w:type="dxa"/>
          </w:tcPr>
          <w:p w:rsidR="00A366E7" w:rsidP="00A366E7" w:rsidRDefault="00A366E7" w14:paraId="04BA2C42" w14:textId="61BEB9CC">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Generic meals at set times</w:t>
            </w:r>
          </w:p>
        </w:tc>
        <w:tc>
          <w:tcPr>
            <w:tcW w:w="2253" w:type="dxa"/>
          </w:tcPr>
          <w:p w:rsidR="00A366E7" w:rsidP="00A366E7" w:rsidRDefault="00A366E7" w14:paraId="53737470" w14:textId="77777777">
            <w:pPr>
              <w:spacing w:before="100" w:beforeAutospacing="1" w:after="100" w:afterAutospacing="1" w:line="360" w:lineRule="auto"/>
              <w:rPr>
                <w:rFonts w:ascii="Arial" w:hAnsi="Arial" w:eastAsia="Times New Roman" w:cs="Arial"/>
                <w:sz w:val="22"/>
                <w:szCs w:val="22"/>
                <w:lang w:eastAsia="en-GB"/>
              </w:rPr>
            </w:pPr>
            <w:r w:rsidRPr="00FC226F">
              <w:rPr>
                <w:rFonts w:ascii="Arial" w:hAnsi="Arial" w:eastAsia="Times New Roman" w:cs="Arial"/>
                <w:sz w:val="22"/>
                <w:szCs w:val="22"/>
                <w:lang w:eastAsia="en-GB"/>
              </w:rPr>
              <w:t>Meals based on personal routine and cultural food preferences</w:t>
            </w:r>
          </w:p>
          <w:p w:rsidR="00371D88" w:rsidP="00A366E7" w:rsidRDefault="00371D88" w14:paraId="754091E0" w14:textId="560D333C">
            <w:pPr>
              <w:spacing w:before="100" w:beforeAutospacing="1" w:after="100" w:afterAutospacing="1" w:line="360" w:lineRule="auto"/>
              <w:rPr>
                <w:rFonts w:ascii="Arial" w:hAnsi="Arial" w:eastAsia="Times New Roman" w:cs="Arial"/>
                <w:color w:val="222222"/>
                <w:sz w:val="22"/>
                <w:szCs w:val="22"/>
                <w:lang w:eastAsia="en-GB"/>
              </w:rPr>
            </w:pPr>
          </w:p>
        </w:tc>
        <w:tc>
          <w:tcPr>
            <w:tcW w:w="2253" w:type="dxa"/>
          </w:tcPr>
          <w:p w:rsidR="00A366E7" w:rsidP="00A366E7" w:rsidRDefault="00A366E7" w14:paraId="49293D87" w14:textId="10F9820F">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Supports autonomy and normalcy</w:t>
            </w:r>
          </w:p>
        </w:tc>
      </w:tr>
      <w:tr w:rsidR="00A366E7" w:rsidTr="00A366E7" w14:paraId="53DA2571" w14:textId="77777777">
        <w:tc>
          <w:tcPr>
            <w:tcW w:w="2252" w:type="dxa"/>
          </w:tcPr>
          <w:p w:rsidR="00A366E7" w:rsidP="00A366E7" w:rsidRDefault="00A366E7" w14:paraId="46FF087A" w14:textId="0921E34A">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Environment</w:t>
            </w:r>
          </w:p>
        </w:tc>
        <w:tc>
          <w:tcPr>
            <w:tcW w:w="2252" w:type="dxa"/>
          </w:tcPr>
          <w:p w:rsidR="00A366E7" w:rsidP="00A366E7" w:rsidRDefault="00A366E7" w14:paraId="40F51B8B" w14:textId="70B870FC">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Standard institutional décor</w:t>
            </w:r>
          </w:p>
        </w:tc>
        <w:tc>
          <w:tcPr>
            <w:tcW w:w="2253" w:type="dxa"/>
          </w:tcPr>
          <w:p w:rsidR="00A366E7" w:rsidP="00A366E7" w:rsidRDefault="00A366E7" w14:paraId="162E7A91" w14:textId="019606FA">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Room personalised with meaningful items and photos</w:t>
            </w:r>
          </w:p>
        </w:tc>
        <w:tc>
          <w:tcPr>
            <w:tcW w:w="2253" w:type="dxa"/>
          </w:tcPr>
          <w:p w:rsidR="00A366E7" w:rsidP="00A366E7" w:rsidRDefault="00A366E7" w14:paraId="06CF3411" w14:textId="77777777">
            <w:pPr>
              <w:spacing w:before="100" w:beforeAutospacing="1" w:after="100" w:afterAutospacing="1" w:line="360" w:lineRule="auto"/>
              <w:rPr>
                <w:rFonts w:ascii="Arial" w:hAnsi="Arial" w:eastAsia="Times New Roman" w:cs="Arial"/>
                <w:sz w:val="22"/>
                <w:szCs w:val="22"/>
                <w:lang w:eastAsia="en-GB"/>
              </w:rPr>
            </w:pPr>
            <w:r w:rsidRPr="00FC226F">
              <w:rPr>
                <w:rFonts w:ascii="Arial" w:hAnsi="Arial" w:eastAsia="Times New Roman" w:cs="Arial"/>
                <w:sz w:val="22"/>
                <w:szCs w:val="22"/>
                <w:lang w:eastAsia="en-GB"/>
              </w:rPr>
              <w:t> Lowers anxiety and supports identity</w:t>
            </w:r>
          </w:p>
          <w:p w:rsidRPr="00371D88" w:rsidR="00371D88" w:rsidP="00A366E7" w:rsidRDefault="00371D88" w14:paraId="1020C2B4" w14:textId="7498039A">
            <w:pPr>
              <w:spacing w:before="100" w:beforeAutospacing="1" w:after="100" w:afterAutospacing="1" w:line="360" w:lineRule="auto"/>
              <w:rPr>
                <w:rFonts w:ascii="Arial" w:hAnsi="Arial" w:eastAsia="Times New Roman" w:cs="Arial"/>
                <w:sz w:val="22"/>
                <w:szCs w:val="22"/>
                <w:lang w:eastAsia="en-GB"/>
              </w:rPr>
            </w:pPr>
          </w:p>
        </w:tc>
      </w:tr>
    </w:tbl>
    <w:p w:rsidRPr="00FC226F" w:rsidR="00A366E7" w:rsidP="00FC226F" w:rsidRDefault="00A366E7" w14:paraId="0176F4C7"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Pr="00FC226F" w:rsidR="00FC226F" w:rsidP="00FC226F" w:rsidRDefault="00FC226F" w14:paraId="70888F0B" w14:textId="15D92B74">
      <w:pPr>
        <w:shd w:val="clear" w:color="auto" w:fill="FFFFFF"/>
        <w:spacing w:before="100" w:beforeAutospacing="1" w:after="100" w:afterAutospacing="1" w:line="360" w:lineRule="auto"/>
        <w:rPr>
          <w:rFonts w:ascii="Arial" w:hAnsi="Arial" w:eastAsia="Times New Roman" w:cs="Arial"/>
          <w:b/>
          <w:bCs/>
          <w:color w:val="222222"/>
          <w:sz w:val="22"/>
          <w:szCs w:val="22"/>
          <w:lang w:eastAsia="en-GB"/>
        </w:rPr>
      </w:pPr>
      <w:r w:rsidRPr="00FC226F">
        <w:rPr>
          <w:rFonts w:ascii="Arial" w:hAnsi="Arial" w:eastAsia="Times New Roman" w:cs="Arial"/>
          <w:b/>
          <w:bCs/>
          <w:color w:val="222222"/>
          <w:sz w:val="22"/>
          <w:szCs w:val="22"/>
          <w:lang w:eastAsia="en-GB"/>
        </w:rPr>
        <w:t>2. Social Model of Dementia</w:t>
      </w:r>
    </w:p>
    <w:p w:rsidR="00FC226F" w:rsidP="00FC226F" w:rsidRDefault="00FC226F" w14:paraId="79886EB0" w14:textId="293FC6BC">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This model focuses on removing environmental and social barriers (WHO, 2021).</w:t>
      </w:r>
    </w:p>
    <w:tbl>
      <w:tblPr>
        <w:tblStyle w:val="TableGrid"/>
        <w:tblW w:w="0" w:type="auto"/>
        <w:tblLook w:val="04A0" w:firstRow="1" w:lastRow="0" w:firstColumn="1" w:lastColumn="0" w:noHBand="0" w:noVBand="1"/>
      </w:tblPr>
      <w:tblGrid>
        <w:gridCol w:w="3003"/>
        <w:gridCol w:w="3003"/>
        <w:gridCol w:w="3004"/>
      </w:tblGrid>
      <w:tr w:rsidR="00371D88" w:rsidTr="00371D88" w14:paraId="6545A4D2" w14:textId="77777777">
        <w:tc>
          <w:tcPr>
            <w:tcW w:w="3003" w:type="dxa"/>
          </w:tcPr>
          <w:p w:rsidR="00371D88" w:rsidP="00FC226F" w:rsidRDefault="00371D88" w14:paraId="00E7EBE0" w14:textId="31707A28">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Practical Example</w:t>
            </w:r>
          </w:p>
        </w:tc>
        <w:tc>
          <w:tcPr>
            <w:tcW w:w="3003" w:type="dxa"/>
          </w:tcPr>
          <w:p w:rsidR="00371D88" w:rsidP="00FC226F" w:rsidRDefault="00371D88" w14:paraId="5C50B156" w14:textId="1409759C">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Social Barrier Removed</w:t>
            </w:r>
          </w:p>
        </w:tc>
        <w:tc>
          <w:tcPr>
            <w:tcW w:w="3004" w:type="dxa"/>
          </w:tcPr>
          <w:p w:rsidR="00371D88" w:rsidP="00FC226F" w:rsidRDefault="00371D88" w14:paraId="5D4C73F8" w14:textId="77777777">
            <w:pPr>
              <w:spacing w:before="100" w:beforeAutospacing="1" w:after="100" w:afterAutospacing="1" w:line="360" w:lineRule="auto"/>
              <w:rPr>
                <w:rFonts w:ascii="Arial" w:hAnsi="Arial" w:eastAsia="Times New Roman" w:cs="Arial"/>
                <w:sz w:val="22"/>
                <w:szCs w:val="22"/>
                <w:lang w:eastAsia="en-GB"/>
              </w:rPr>
            </w:pPr>
            <w:r w:rsidRPr="00FC226F">
              <w:rPr>
                <w:rFonts w:ascii="Arial" w:hAnsi="Arial" w:eastAsia="Times New Roman" w:cs="Arial"/>
                <w:sz w:val="22"/>
                <w:szCs w:val="22"/>
                <w:lang w:eastAsia="en-GB"/>
              </w:rPr>
              <w:t>Wellbeing Impact</w:t>
            </w:r>
          </w:p>
          <w:p w:rsidRPr="00371D88" w:rsidR="00371D88" w:rsidP="00FC226F" w:rsidRDefault="00371D88" w14:paraId="1EB01C98" w14:textId="540BA1D6">
            <w:pPr>
              <w:spacing w:before="100" w:beforeAutospacing="1" w:after="100" w:afterAutospacing="1" w:line="360" w:lineRule="auto"/>
              <w:rPr>
                <w:rFonts w:ascii="Arial" w:hAnsi="Arial" w:eastAsia="Times New Roman" w:cs="Arial"/>
                <w:sz w:val="22"/>
                <w:szCs w:val="22"/>
                <w:lang w:eastAsia="en-GB"/>
              </w:rPr>
            </w:pPr>
          </w:p>
        </w:tc>
      </w:tr>
      <w:tr w:rsidR="00371D88" w:rsidTr="00371D88" w14:paraId="0DCDFBCC" w14:textId="77777777">
        <w:tc>
          <w:tcPr>
            <w:tcW w:w="3003" w:type="dxa"/>
          </w:tcPr>
          <w:p w:rsidR="00371D88" w:rsidP="00371D88" w:rsidRDefault="00371D88" w14:paraId="3BD0EF92" w14:textId="56C9697B">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Colour-Coding</w:t>
            </w:r>
          </w:p>
        </w:tc>
        <w:tc>
          <w:tcPr>
            <w:tcW w:w="3003" w:type="dxa"/>
          </w:tcPr>
          <w:p w:rsidR="00371D88" w:rsidP="00371D88" w:rsidRDefault="00371D88" w14:paraId="5983815D" w14:textId="52B78D9A">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Identical doors cause confusion</w:t>
            </w:r>
          </w:p>
        </w:tc>
        <w:tc>
          <w:tcPr>
            <w:tcW w:w="3004" w:type="dxa"/>
          </w:tcPr>
          <w:p w:rsidR="00371D88" w:rsidP="00371D88" w:rsidRDefault="00371D88" w14:paraId="6A028A3E" w14:textId="77777777">
            <w:pPr>
              <w:spacing w:before="100" w:beforeAutospacing="1" w:after="100" w:afterAutospacing="1" w:line="360" w:lineRule="auto"/>
              <w:rPr>
                <w:rFonts w:ascii="Arial" w:hAnsi="Arial" w:eastAsia="Times New Roman" w:cs="Arial"/>
                <w:sz w:val="22"/>
                <w:szCs w:val="22"/>
                <w:lang w:eastAsia="en-GB"/>
              </w:rPr>
            </w:pPr>
            <w:r w:rsidRPr="00FC226F">
              <w:rPr>
                <w:rFonts w:ascii="Arial" w:hAnsi="Arial" w:eastAsia="Times New Roman" w:cs="Arial"/>
                <w:sz w:val="22"/>
                <w:szCs w:val="22"/>
                <w:lang w:eastAsia="en-GB"/>
              </w:rPr>
              <w:t>Clear signage and colour-coded doors</w:t>
            </w:r>
          </w:p>
          <w:p w:rsidR="00371D88" w:rsidP="00371D88" w:rsidRDefault="00371D88" w14:paraId="2506B802" w14:textId="5909DA24">
            <w:pPr>
              <w:spacing w:before="100" w:beforeAutospacing="1" w:after="100" w:afterAutospacing="1" w:line="360" w:lineRule="auto"/>
              <w:rPr>
                <w:rFonts w:ascii="Arial" w:hAnsi="Arial" w:eastAsia="Times New Roman" w:cs="Arial"/>
                <w:color w:val="222222"/>
                <w:sz w:val="22"/>
                <w:szCs w:val="22"/>
                <w:lang w:eastAsia="en-GB"/>
              </w:rPr>
            </w:pPr>
          </w:p>
        </w:tc>
      </w:tr>
      <w:tr w:rsidR="00371D88" w:rsidTr="00371D88" w14:paraId="044E596E" w14:textId="77777777">
        <w:tc>
          <w:tcPr>
            <w:tcW w:w="3003" w:type="dxa"/>
          </w:tcPr>
          <w:p w:rsidR="00371D88" w:rsidP="00371D88" w:rsidRDefault="00371D88" w14:paraId="32417722" w14:textId="0297537D">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Activities</w:t>
            </w:r>
          </w:p>
        </w:tc>
        <w:tc>
          <w:tcPr>
            <w:tcW w:w="3003" w:type="dxa"/>
          </w:tcPr>
          <w:p w:rsidRPr="00016E32" w:rsidR="00016E32" w:rsidP="00371D88" w:rsidRDefault="00371D88" w14:paraId="14842BC5" w14:textId="2C628576">
            <w:pPr>
              <w:spacing w:before="100" w:beforeAutospacing="1" w:after="100" w:afterAutospacing="1" w:line="360" w:lineRule="auto"/>
              <w:rPr>
                <w:rFonts w:ascii="Arial" w:hAnsi="Arial" w:eastAsia="Times New Roman" w:cs="Arial"/>
                <w:sz w:val="22"/>
                <w:szCs w:val="22"/>
                <w:lang w:eastAsia="en-GB"/>
              </w:rPr>
            </w:pPr>
            <w:r w:rsidRPr="00FC226F">
              <w:rPr>
                <w:rFonts w:ascii="Arial" w:hAnsi="Arial" w:eastAsia="Times New Roman" w:cs="Arial"/>
                <w:sz w:val="22"/>
                <w:szCs w:val="22"/>
                <w:lang w:eastAsia="en-GB"/>
              </w:rPr>
              <w:t>Tasks requiring high concentration exclude participation</w:t>
            </w:r>
          </w:p>
        </w:tc>
        <w:tc>
          <w:tcPr>
            <w:tcW w:w="3004" w:type="dxa"/>
          </w:tcPr>
          <w:p w:rsidR="00371D88" w:rsidP="00371D88" w:rsidRDefault="00371D88" w14:paraId="2D8FE4EE" w14:textId="29E5991F">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Failure-free, meaningful activities</w:t>
            </w:r>
          </w:p>
        </w:tc>
      </w:tr>
      <w:tr w:rsidR="00371D88" w:rsidTr="00371D88" w14:paraId="755DFF18" w14:textId="77777777">
        <w:tc>
          <w:tcPr>
            <w:tcW w:w="3003" w:type="dxa"/>
          </w:tcPr>
          <w:p w:rsidR="00371D88" w:rsidP="00371D88" w:rsidRDefault="00371D88" w14:paraId="4CC971B4" w14:textId="554151B4">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Community Access</w:t>
            </w:r>
          </w:p>
        </w:tc>
        <w:tc>
          <w:tcPr>
            <w:tcW w:w="3003" w:type="dxa"/>
          </w:tcPr>
          <w:p w:rsidR="00371D88" w:rsidP="00371D88" w:rsidRDefault="00371D88" w14:paraId="671BEEB0" w14:textId="0950E7C5">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sz w:val="22"/>
                <w:szCs w:val="22"/>
                <w:lang w:eastAsia="en-GB"/>
              </w:rPr>
              <w:t>Isolation from community</w:t>
            </w:r>
          </w:p>
        </w:tc>
        <w:tc>
          <w:tcPr>
            <w:tcW w:w="3004" w:type="dxa"/>
          </w:tcPr>
          <w:p w:rsidR="00371D88" w:rsidP="00371D88" w:rsidRDefault="00371D88" w14:paraId="4E69836E" w14:textId="77777777">
            <w:pPr>
              <w:spacing w:before="100" w:beforeAutospacing="1" w:after="100" w:afterAutospacing="1" w:line="360" w:lineRule="auto"/>
              <w:rPr>
                <w:rFonts w:ascii="Arial" w:hAnsi="Arial" w:eastAsia="Times New Roman" w:cs="Arial"/>
                <w:sz w:val="22"/>
                <w:szCs w:val="22"/>
                <w:lang w:eastAsia="en-GB"/>
              </w:rPr>
            </w:pPr>
            <w:r w:rsidRPr="00FC226F">
              <w:rPr>
                <w:rFonts w:ascii="Arial" w:hAnsi="Arial" w:eastAsia="Times New Roman" w:cs="Arial"/>
                <w:sz w:val="22"/>
                <w:szCs w:val="22"/>
                <w:lang w:eastAsia="en-GB"/>
              </w:rPr>
              <w:t>Memory cafes and social events</w:t>
            </w:r>
          </w:p>
          <w:p w:rsidR="00371D88" w:rsidP="00371D88" w:rsidRDefault="00371D88" w14:paraId="35A0D026" w14:textId="7E7E4D54">
            <w:pPr>
              <w:spacing w:before="100" w:beforeAutospacing="1" w:after="100" w:afterAutospacing="1" w:line="360" w:lineRule="auto"/>
              <w:rPr>
                <w:rFonts w:ascii="Arial" w:hAnsi="Arial" w:eastAsia="Times New Roman" w:cs="Arial"/>
                <w:color w:val="222222"/>
                <w:sz w:val="22"/>
                <w:szCs w:val="22"/>
                <w:lang w:eastAsia="en-GB"/>
              </w:rPr>
            </w:pPr>
          </w:p>
        </w:tc>
      </w:tr>
    </w:tbl>
    <w:p w:rsidRPr="00FC226F" w:rsidR="00FC226F" w:rsidP="00FC226F" w:rsidRDefault="00FC226F" w14:paraId="233A4DA2" w14:textId="4BA7D361">
      <w:pPr>
        <w:shd w:val="clear" w:color="auto" w:fill="FFFFFF"/>
        <w:spacing w:before="100" w:beforeAutospacing="1" w:after="100" w:afterAutospacing="1" w:line="360" w:lineRule="auto"/>
        <w:rPr>
          <w:rFonts w:ascii="Arial" w:hAnsi="Arial" w:eastAsia="Times New Roman" w:cs="Arial"/>
          <w:b/>
          <w:bCs/>
          <w:color w:val="222222"/>
          <w:sz w:val="22"/>
          <w:szCs w:val="22"/>
          <w:lang w:eastAsia="en-GB"/>
        </w:rPr>
      </w:pPr>
      <w:r w:rsidRPr="00FC226F">
        <w:rPr>
          <w:rFonts w:ascii="Arial" w:hAnsi="Arial" w:eastAsia="Times New Roman" w:cs="Arial"/>
          <w:b/>
          <w:bCs/>
          <w:color w:val="222222"/>
          <w:sz w:val="22"/>
          <w:szCs w:val="22"/>
          <w:lang w:eastAsia="en-GB"/>
        </w:rPr>
        <w:t>3. Validation Therapy</w:t>
      </w:r>
    </w:p>
    <w:p w:rsidR="00FC226F" w:rsidP="00FC226F" w:rsidRDefault="00FC226F" w14:paraId="0EC1174C" w14:textId="34B0CB71">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Validation acknowledges the emotion behind a statement rather than correcting facts (Feil, 2012).</w:t>
      </w:r>
    </w:p>
    <w:tbl>
      <w:tblPr>
        <w:tblStyle w:val="TableGrid"/>
        <w:tblW w:w="0" w:type="auto"/>
        <w:tblLook w:val="04A0" w:firstRow="1" w:lastRow="0" w:firstColumn="1" w:lastColumn="0" w:noHBand="0" w:noVBand="1"/>
      </w:tblPr>
      <w:tblGrid>
        <w:gridCol w:w="2252"/>
        <w:gridCol w:w="2252"/>
        <w:gridCol w:w="2253"/>
        <w:gridCol w:w="2253"/>
      </w:tblGrid>
      <w:tr w:rsidR="00371D88" w:rsidTr="00371D88" w14:paraId="0A70240C" w14:textId="77777777">
        <w:tc>
          <w:tcPr>
            <w:tcW w:w="2252" w:type="dxa"/>
          </w:tcPr>
          <w:p w:rsidR="00371D88" w:rsidP="00371D88" w:rsidRDefault="00371D88" w14:paraId="4BBC8AEF" w14:textId="5D4F10F0">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Scenario</w:t>
            </w:r>
          </w:p>
        </w:tc>
        <w:tc>
          <w:tcPr>
            <w:tcW w:w="2252" w:type="dxa"/>
          </w:tcPr>
          <w:p w:rsidR="00371D88" w:rsidP="00371D88" w:rsidRDefault="00371D88" w14:paraId="1B2AD00A" w14:textId="326EC1A1">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Invalidation</w:t>
            </w:r>
          </w:p>
        </w:tc>
        <w:tc>
          <w:tcPr>
            <w:tcW w:w="2253" w:type="dxa"/>
          </w:tcPr>
          <w:p w:rsidR="00371D88" w:rsidP="00FC226F" w:rsidRDefault="00371D88" w14:paraId="547BC19C" w14:textId="0D703C65">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Validation</w:t>
            </w:r>
          </w:p>
        </w:tc>
        <w:tc>
          <w:tcPr>
            <w:tcW w:w="2253" w:type="dxa"/>
          </w:tcPr>
          <w:p w:rsidR="00371D88" w:rsidP="00FC226F" w:rsidRDefault="00371D88" w14:paraId="4C5E2DB0" w14:textId="77777777">
            <w:pPr>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Wellbeing Impact</w:t>
            </w:r>
          </w:p>
          <w:p w:rsidR="00371D88" w:rsidP="00FC226F" w:rsidRDefault="00371D88" w14:paraId="2ABF5D6F" w14:textId="09BA5511">
            <w:pPr>
              <w:spacing w:before="100" w:beforeAutospacing="1" w:after="100" w:afterAutospacing="1" w:line="360" w:lineRule="auto"/>
              <w:rPr>
                <w:rFonts w:ascii="Arial" w:hAnsi="Arial" w:eastAsia="Times New Roman" w:cs="Arial"/>
                <w:color w:val="222222"/>
                <w:sz w:val="22"/>
                <w:szCs w:val="22"/>
                <w:lang w:eastAsia="en-GB"/>
              </w:rPr>
            </w:pPr>
          </w:p>
        </w:tc>
      </w:tr>
      <w:tr w:rsidR="00371D88" w:rsidTr="00371D88" w14:paraId="26190FFC" w14:textId="77777777">
        <w:trPr>
          <w:trHeight w:val="984"/>
        </w:trPr>
        <w:tc>
          <w:tcPr>
            <w:tcW w:w="2252" w:type="dxa"/>
          </w:tcPr>
          <w:p w:rsidR="00371D88" w:rsidP="00371D88" w:rsidRDefault="00371D88" w14:paraId="0B23A718" w14:textId="6EFF702C">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“I want to go home.”</w:t>
            </w:r>
          </w:p>
        </w:tc>
        <w:tc>
          <w:tcPr>
            <w:tcW w:w="2252" w:type="dxa"/>
          </w:tcPr>
          <w:p w:rsidR="00371D88" w:rsidP="00371D88" w:rsidRDefault="00371D88" w14:paraId="71CE092D" w14:textId="3971F3E3">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Correcting the person.</w:t>
            </w:r>
          </w:p>
        </w:tc>
        <w:tc>
          <w:tcPr>
            <w:tcW w:w="2253" w:type="dxa"/>
          </w:tcPr>
          <w:p w:rsidRPr="00FC226F" w:rsidR="00371D88" w:rsidP="00371D88" w:rsidRDefault="00371D88" w14:paraId="7B7DA126" w14:textId="3C4111E2">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Exploring feelings of insecurity</w:t>
            </w:r>
          </w:p>
          <w:p w:rsidR="00371D88" w:rsidP="00FC226F" w:rsidRDefault="00371D88" w14:paraId="0842EBCD" w14:textId="77777777">
            <w:pPr>
              <w:spacing w:before="100" w:beforeAutospacing="1" w:after="100" w:afterAutospacing="1" w:line="360" w:lineRule="auto"/>
              <w:rPr>
                <w:rFonts w:ascii="Arial" w:hAnsi="Arial" w:eastAsia="Times New Roman" w:cs="Arial"/>
                <w:color w:val="222222"/>
                <w:sz w:val="22"/>
                <w:szCs w:val="22"/>
                <w:lang w:eastAsia="en-GB"/>
              </w:rPr>
            </w:pPr>
          </w:p>
        </w:tc>
        <w:tc>
          <w:tcPr>
            <w:tcW w:w="2253" w:type="dxa"/>
          </w:tcPr>
          <w:p w:rsidR="00371D88" w:rsidP="00371D88" w:rsidRDefault="00371D88" w14:paraId="0A5CD30B" w14:textId="0B69A584">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Builds trust and reduces distress</w:t>
            </w:r>
          </w:p>
        </w:tc>
      </w:tr>
      <w:tr w:rsidR="00371D88" w:rsidTr="00371D88" w14:paraId="14C85AA9" w14:textId="77777777">
        <w:tc>
          <w:tcPr>
            <w:tcW w:w="2252" w:type="dxa"/>
          </w:tcPr>
          <w:p w:rsidR="00371D88" w:rsidP="00FC226F" w:rsidRDefault="00371D88" w14:paraId="2A86F8DC" w14:textId="5F6938FC">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Lost Wallet</w:t>
            </w:r>
          </w:p>
        </w:tc>
        <w:tc>
          <w:tcPr>
            <w:tcW w:w="2252" w:type="dxa"/>
          </w:tcPr>
          <w:p w:rsidR="00371D88" w:rsidP="00FC226F" w:rsidRDefault="00371D88" w14:paraId="1705E03F" w14:textId="17FE7380">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Arguing or dismissing fear</w:t>
            </w:r>
          </w:p>
        </w:tc>
        <w:tc>
          <w:tcPr>
            <w:tcW w:w="2253" w:type="dxa"/>
          </w:tcPr>
          <w:p w:rsidR="00371D88" w:rsidP="00FC226F" w:rsidRDefault="00371D88" w14:paraId="57789FEF" w14:textId="58A9A4F1">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Acknowledging the worry</w:t>
            </w:r>
          </w:p>
        </w:tc>
        <w:tc>
          <w:tcPr>
            <w:tcW w:w="2253" w:type="dxa"/>
          </w:tcPr>
          <w:p w:rsidR="00371D88" w:rsidP="00FC226F" w:rsidRDefault="00371D88" w14:paraId="499C85DD" w14:textId="7C44B6DA">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Person feels understood and respected</w:t>
            </w:r>
          </w:p>
        </w:tc>
      </w:tr>
      <w:tr w:rsidR="00371D88" w:rsidTr="00371D88" w14:paraId="31B45E1D" w14:textId="77777777">
        <w:tc>
          <w:tcPr>
            <w:tcW w:w="2252" w:type="dxa"/>
          </w:tcPr>
          <w:p w:rsidR="00371D88" w:rsidP="00FC226F" w:rsidRDefault="00371D88" w14:paraId="654AC408" w14:textId="030CA564">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Asking for parent</w:t>
            </w:r>
          </w:p>
        </w:tc>
        <w:tc>
          <w:tcPr>
            <w:tcW w:w="2252" w:type="dxa"/>
          </w:tcPr>
          <w:p w:rsidR="00371D88" w:rsidP="00FC226F" w:rsidRDefault="00371D88" w14:paraId="004F616B" w14:textId="2E924EC6">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Correcting reality</w:t>
            </w:r>
          </w:p>
        </w:tc>
        <w:tc>
          <w:tcPr>
            <w:tcW w:w="2253" w:type="dxa"/>
          </w:tcPr>
          <w:p w:rsidR="00371D88" w:rsidP="00FC226F" w:rsidRDefault="00371D88" w14:paraId="0058F8AD" w14:textId="74C2A026">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Discussing comforting memories</w:t>
            </w:r>
          </w:p>
        </w:tc>
        <w:tc>
          <w:tcPr>
            <w:tcW w:w="2253" w:type="dxa"/>
          </w:tcPr>
          <w:p w:rsidR="00371D88" w:rsidP="00FC226F" w:rsidRDefault="00371D88" w14:paraId="7048BE2B" w14:textId="04BEB76E">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Provides emotional relief</w:t>
            </w:r>
          </w:p>
        </w:tc>
      </w:tr>
    </w:tbl>
    <w:p w:rsidRPr="00FC226F" w:rsidR="00FC226F" w:rsidP="00FC226F" w:rsidRDefault="00FC226F" w14:paraId="541B58D1" w14:textId="77777777">
      <w:pPr>
        <w:shd w:val="clear" w:color="auto" w:fill="FFFFFF"/>
        <w:spacing w:before="100" w:beforeAutospacing="1" w:after="100" w:afterAutospacing="1" w:line="360" w:lineRule="auto"/>
        <w:rPr>
          <w:rFonts w:ascii="Arial" w:hAnsi="Arial" w:eastAsia="Times New Roman" w:cs="Arial"/>
          <w:b/>
          <w:bCs/>
          <w:color w:val="222222"/>
          <w:sz w:val="22"/>
          <w:szCs w:val="22"/>
          <w:lang w:eastAsia="en-GB"/>
        </w:rPr>
      </w:pPr>
      <w:r w:rsidRPr="00FC226F">
        <w:rPr>
          <w:rFonts w:ascii="Arial" w:hAnsi="Arial" w:eastAsia="Times New Roman" w:cs="Arial"/>
          <w:b/>
          <w:bCs/>
          <w:color w:val="222222"/>
          <w:sz w:val="22"/>
          <w:szCs w:val="22"/>
          <w:lang w:eastAsia="en-GB"/>
        </w:rPr>
        <w:lastRenderedPageBreak/>
        <w:t>4. Strengths-Based Practice</w:t>
      </w:r>
    </w:p>
    <w:p w:rsidRPr="00FC226F" w:rsidR="00FC226F" w:rsidP="00FC226F" w:rsidRDefault="00FC226F" w14:paraId="6C244F8F"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FC226F">
        <w:rPr>
          <w:rFonts w:ascii="Arial" w:hAnsi="Arial" w:eastAsia="Times New Roman" w:cs="Arial"/>
          <w:color w:val="222222"/>
          <w:sz w:val="22"/>
          <w:szCs w:val="22"/>
          <w:lang w:eastAsia="en-GB"/>
        </w:rPr>
        <w:t>This approach highlights remaining abilities rather than limitations (SCIE, 2015).</w:t>
      </w:r>
    </w:p>
    <w:tbl>
      <w:tblPr>
        <w:tblStyle w:val="TableGrid"/>
        <w:tblW w:w="0" w:type="auto"/>
        <w:tblLook w:val="04A0" w:firstRow="1" w:lastRow="0" w:firstColumn="1" w:lastColumn="0" w:noHBand="0" w:noVBand="1"/>
      </w:tblPr>
      <w:tblGrid>
        <w:gridCol w:w="2252"/>
        <w:gridCol w:w="2252"/>
        <w:gridCol w:w="2253"/>
        <w:gridCol w:w="2253"/>
      </w:tblGrid>
      <w:tr w:rsidR="00016E32" w:rsidTr="00016E32" w14:paraId="0D6089AC" w14:textId="77777777">
        <w:tc>
          <w:tcPr>
            <w:tcW w:w="2252" w:type="dxa"/>
          </w:tcPr>
          <w:p w:rsidR="00016E32" w:rsidP="00FC226F" w:rsidRDefault="00016E32" w14:paraId="5BB131F6" w14:textId="0CE40E20">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Area</w:t>
            </w:r>
          </w:p>
        </w:tc>
        <w:tc>
          <w:tcPr>
            <w:tcW w:w="2252" w:type="dxa"/>
          </w:tcPr>
          <w:p w:rsidR="00016E32" w:rsidP="00FC226F" w:rsidRDefault="00016E32" w14:paraId="37D68A80" w14:textId="4C09DDD6">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Deficit Focus</w:t>
            </w:r>
          </w:p>
        </w:tc>
        <w:tc>
          <w:tcPr>
            <w:tcW w:w="2253" w:type="dxa"/>
          </w:tcPr>
          <w:p w:rsidR="00016E32" w:rsidP="00FC226F" w:rsidRDefault="00016E32" w14:paraId="73CB581F" w14:textId="77777777">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Strength Focus</w:t>
            </w:r>
          </w:p>
          <w:p w:rsidR="00016E32" w:rsidP="00FC226F" w:rsidRDefault="00016E32" w14:paraId="3C8C2C10" w14:textId="10464B81">
            <w:pPr>
              <w:spacing w:before="100" w:beforeAutospacing="1" w:after="100" w:afterAutospacing="1" w:line="360" w:lineRule="auto"/>
              <w:rPr>
                <w:rFonts w:ascii="Arial" w:hAnsi="Arial" w:eastAsia="Times New Roman" w:cs="Arial"/>
                <w:color w:val="222222"/>
                <w:sz w:val="22"/>
                <w:szCs w:val="22"/>
                <w:lang w:eastAsia="en-GB"/>
              </w:rPr>
            </w:pPr>
          </w:p>
        </w:tc>
        <w:tc>
          <w:tcPr>
            <w:tcW w:w="2253" w:type="dxa"/>
          </w:tcPr>
          <w:p w:rsidR="00016E32" w:rsidP="00FC226F" w:rsidRDefault="00016E32" w14:paraId="68833A4D" w14:textId="38608266">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Wellbeing Impact</w:t>
            </w:r>
          </w:p>
        </w:tc>
      </w:tr>
      <w:tr w:rsidR="00016E32" w:rsidTr="00016E32" w14:paraId="6B6908C6" w14:textId="77777777">
        <w:tc>
          <w:tcPr>
            <w:tcW w:w="2252" w:type="dxa"/>
          </w:tcPr>
          <w:p w:rsidR="00016E32" w:rsidP="00FC226F" w:rsidRDefault="00016E32" w14:paraId="4B8E3BF6" w14:textId="32B722BA">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hobbies</w:t>
            </w:r>
          </w:p>
        </w:tc>
        <w:tc>
          <w:tcPr>
            <w:tcW w:w="2252" w:type="dxa"/>
          </w:tcPr>
          <w:p w:rsidR="00016E32" w:rsidP="00FC226F" w:rsidRDefault="00016E32" w14:paraId="2A9F3A37" w14:textId="4FF1D3B3">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Focus on skills</w:t>
            </w:r>
          </w:p>
        </w:tc>
        <w:tc>
          <w:tcPr>
            <w:tcW w:w="2253" w:type="dxa"/>
          </w:tcPr>
          <w:p w:rsidR="00016E32" w:rsidP="00FC226F" w:rsidRDefault="00016E32" w14:paraId="35301299" w14:textId="77777777">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Use of procedural memory</w:t>
            </w:r>
          </w:p>
          <w:p w:rsidR="00016E32" w:rsidP="00FC226F" w:rsidRDefault="00016E32" w14:paraId="39890E65" w14:textId="532107AB">
            <w:pPr>
              <w:spacing w:before="100" w:beforeAutospacing="1" w:after="100" w:afterAutospacing="1" w:line="360" w:lineRule="auto"/>
              <w:rPr>
                <w:rFonts w:ascii="Arial" w:hAnsi="Arial" w:eastAsia="Times New Roman" w:cs="Arial"/>
                <w:color w:val="222222"/>
                <w:sz w:val="22"/>
                <w:szCs w:val="22"/>
                <w:lang w:eastAsia="en-GB"/>
              </w:rPr>
            </w:pPr>
          </w:p>
        </w:tc>
        <w:tc>
          <w:tcPr>
            <w:tcW w:w="2253" w:type="dxa"/>
          </w:tcPr>
          <w:p w:rsidR="00016E32" w:rsidP="00FC226F" w:rsidRDefault="00016E32" w14:paraId="59FA1E4B" w14:textId="029E57E1">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 xml:space="preserve">Restores purpose and identity </w:t>
            </w:r>
          </w:p>
        </w:tc>
      </w:tr>
      <w:tr w:rsidR="00016E32" w:rsidTr="00016E32" w14:paraId="2747D02F" w14:textId="77777777">
        <w:tc>
          <w:tcPr>
            <w:tcW w:w="2252" w:type="dxa"/>
          </w:tcPr>
          <w:p w:rsidR="00016E32" w:rsidP="00FC226F" w:rsidRDefault="00016E32" w14:paraId="7EEE983F" w14:textId="77777777">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Communication</w:t>
            </w:r>
          </w:p>
          <w:p w:rsidR="00016E32" w:rsidP="00FC226F" w:rsidRDefault="00016E32" w14:paraId="3782727D" w14:textId="7169B26B">
            <w:pPr>
              <w:spacing w:before="100" w:beforeAutospacing="1" w:after="100" w:afterAutospacing="1" w:line="360" w:lineRule="auto"/>
              <w:rPr>
                <w:rFonts w:ascii="Arial" w:hAnsi="Arial" w:eastAsia="Times New Roman" w:cs="Arial"/>
                <w:color w:val="222222"/>
                <w:sz w:val="22"/>
                <w:szCs w:val="22"/>
                <w:lang w:eastAsia="en-GB"/>
              </w:rPr>
            </w:pPr>
          </w:p>
        </w:tc>
        <w:tc>
          <w:tcPr>
            <w:tcW w:w="2252" w:type="dxa"/>
          </w:tcPr>
          <w:p w:rsidR="00016E32" w:rsidP="00FC226F" w:rsidRDefault="00016E32" w14:paraId="226F083E" w14:textId="36DCEDB2">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 xml:space="preserve">Language deficits </w:t>
            </w:r>
          </w:p>
        </w:tc>
        <w:tc>
          <w:tcPr>
            <w:tcW w:w="2253" w:type="dxa"/>
          </w:tcPr>
          <w:p w:rsidR="00016E32" w:rsidP="00FC226F" w:rsidRDefault="00016E32" w14:paraId="189BFC68" w14:textId="2412BB36">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Use of non-verbal communication</w:t>
            </w:r>
          </w:p>
        </w:tc>
        <w:tc>
          <w:tcPr>
            <w:tcW w:w="2253" w:type="dxa"/>
          </w:tcPr>
          <w:p w:rsidR="00016E32" w:rsidP="00FC226F" w:rsidRDefault="00016E32" w14:paraId="332ED901" w14:textId="4340F3D0">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Enhances connection</w:t>
            </w:r>
          </w:p>
        </w:tc>
      </w:tr>
      <w:tr w:rsidR="00016E32" w:rsidTr="00016E32" w14:paraId="2605E349" w14:textId="77777777">
        <w:tc>
          <w:tcPr>
            <w:tcW w:w="2252" w:type="dxa"/>
          </w:tcPr>
          <w:p w:rsidR="00016E32" w:rsidP="00FC226F" w:rsidRDefault="00016E32" w14:paraId="43FD8F27" w14:textId="77777777">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Daily Tasks</w:t>
            </w:r>
          </w:p>
          <w:p w:rsidR="00016E32" w:rsidP="00FC226F" w:rsidRDefault="00016E32" w14:paraId="090A663B" w14:textId="5562A26A">
            <w:pPr>
              <w:spacing w:before="100" w:beforeAutospacing="1" w:after="100" w:afterAutospacing="1" w:line="360" w:lineRule="auto"/>
              <w:rPr>
                <w:rFonts w:ascii="Arial" w:hAnsi="Arial" w:eastAsia="Times New Roman" w:cs="Arial"/>
                <w:color w:val="222222"/>
                <w:sz w:val="22"/>
                <w:szCs w:val="22"/>
                <w:lang w:eastAsia="en-GB"/>
              </w:rPr>
            </w:pPr>
          </w:p>
        </w:tc>
        <w:tc>
          <w:tcPr>
            <w:tcW w:w="2252" w:type="dxa"/>
          </w:tcPr>
          <w:p w:rsidR="00016E32" w:rsidP="00FC226F" w:rsidRDefault="00016E32" w14:paraId="6F00A006" w14:textId="10525D71">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Taking over tasks</w:t>
            </w:r>
          </w:p>
        </w:tc>
        <w:tc>
          <w:tcPr>
            <w:tcW w:w="2253" w:type="dxa"/>
          </w:tcPr>
          <w:p w:rsidR="00016E32" w:rsidP="00FC226F" w:rsidRDefault="00016E32" w14:paraId="06080809" w14:textId="18AF85C5">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Supported independence</w:t>
            </w:r>
          </w:p>
        </w:tc>
        <w:tc>
          <w:tcPr>
            <w:tcW w:w="2253" w:type="dxa"/>
          </w:tcPr>
          <w:p w:rsidR="00016E32" w:rsidP="00FC226F" w:rsidRDefault="00016E32" w14:paraId="7D28EC80" w14:textId="63D175E1">
            <w:pPr>
              <w:spacing w:before="100" w:beforeAutospacing="1" w:after="100" w:afterAutospacing="1" w:line="360" w:lineRule="auto"/>
              <w:rPr>
                <w:rFonts w:ascii="Arial" w:hAnsi="Arial" w:eastAsia="Times New Roman" w:cs="Arial"/>
                <w:color w:val="222222"/>
                <w:sz w:val="22"/>
                <w:szCs w:val="22"/>
                <w:lang w:eastAsia="en-GB"/>
              </w:rPr>
            </w:pPr>
            <w:r>
              <w:rPr>
                <w:rFonts w:ascii="Arial" w:hAnsi="Arial" w:eastAsia="Times New Roman" w:cs="Arial"/>
                <w:color w:val="222222"/>
                <w:sz w:val="22"/>
                <w:szCs w:val="22"/>
                <w:lang w:eastAsia="en-GB"/>
              </w:rPr>
              <w:t>Maintains autonomy</w:t>
            </w:r>
          </w:p>
        </w:tc>
      </w:tr>
    </w:tbl>
    <w:p w:rsidRPr="00CA1B96" w:rsidR="00FC226F" w:rsidP="00FC226F" w:rsidRDefault="002F03E6" w14:paraId="0E74B8B3" w14:textId="19DC27DC">
      <w:pPr>
        <w:shd w:val="clear" w:color="auto" w:fill="FFFFFF"/>
        <w:spacing w:before="100" w:beforeAutospacing="1" w:after="100" w:afterAutospacing="1" w:line="360" w:lineRule="auto"/>
        <w:rPr>
          <w:rFonts w:ascii="Arial" w:hAnsi="Arial" w:eastAsia="Times New Roman" w:cs="Arial"/>
          <w:b/>
          <w:bCs/>
          <w:color w:val="222222"/>
          <w:u w:val="single"/>
          <w:lang w:eastAsia="en-GB"/>
        </w:rPr>
      </w:pPr>
      <w:r w:rsidRPr="00CA1B96">
        <w:rPr>
          <w:rFonts w:ascii="Arial" w:hAnsi="Arial" w:eastAsia="Times New Roman" w:cs="Arial"/>
          <w:b/>
          <w:bCs/>
          <w:color w:val="222222"/>
          <w:u w:val="single"/>
          <w:lang w:eastAsia="en-GB"/>
        </w:rPr>
        <w:t xml:space="preserve">Conclusion </w:t>
      </w:r>
    </w:p>
    <w:p w:rsidRPr="002F03E6" w:rsidR="002F03E6" w:rsidP="00CA1B96" w:rsidRDefault="002F03E6" w14:paraId="563A8C14" w14:textId="4429FE32">
      <w:pPr>
        <w:spacing w:line="360" w:lineRule="auto"/>
        <w:rPr>
          <w:rFonts w:ascii="Times New Roman" w:hAnsi="Times New Roman" w:eastAsia="Times New Roman" w:cs="Times New Roman"/>
          <w:sz w:val="22"/>
          <w:szCs w:val="22"/>
          <w:lang w:eastAsia="en-GB"/>
        </w:rPr>
      </w:pPr>
      <w:r w:rsidRPr="002F03E6" w:rsidR="002F03E6">
        <w:rPr>
          <w:rFonts w:ascii="Arial" w:hAnsi="Arial" w:eastAsia="Times New Roman" w:cs="Arial"/>
          <w:color w:val="222222"/>
          <w:sz w:val="22"/>
          <w:szCs w:val="22"/>
          <w:shd w:val="clear" w:color="auto" w:fill="FFFFFF"/>
          <w:lang w:eastAsia="en-GB"/>
        </w:rPr>
        <w:t xml:space="preserve">Dementia presents </w:t>
      </w:r>
      <w:r w:rsidRPr="002F03E6" w:rsidR="002F03E6">
        <w:rPr>
          <w:rFonts w:ascii="Arial" w:hAnsi="Arial" w:eastAsia="Times New Roman" w:cs="Arial"/>
          <w:color w:val="222222"/>
          <w:sz w:val="22"/>
          <w:szCs w:val="22"/>
          <w:shd w:val="clear" w:color="auto" w:fill="FFFFFF"/>
          <w:lang w:eastAsia="en-GB"/>
        </w:rPr>
        <w:t>great</w:t>
      </w:r>
      <w:r w:rsidRPr="002F03E6" w:rsidR="002F03E6">
        <w:rPr>
          <w:rFonts w:ascii="Arial" w:hAnsi="Arial" w:eastAsia="Times New Roman" w:cs="Arial"/>
          <w:color w:val="222222"/>
          <w:sz w:val="22"/>
          <w:szCs w:val="22"/>
          <w:shd w:val="clear" w:color="auto" w:fill="FFFFFF"/>
          <w:lang w:eastAsia="en-GB"/>
        </w:rPr>
        <w:t xml:space="preserve"> and interlinked challenges for individuals, families, </w:t>
      </w:r>
      <w:r w:rsidRPr="002F03E6" w:rsidR="002F03E6">
        <w:rPr>
          <w:rFonts w:ascii="Arial" w:hAnsi="Arial" w:eastAsia="Times New Roman" w:cs="Arial"/>
          <w:color w:val="222222"/>
          <w:sz w:val="22"/>
          <w:szCs w:val="22"/>
          <w:shd w:val="clear" w:color="auto" w:fill="FFFFFF"/>
          <w:lang w:eastAsia="en-GB"/>
        </w:rPr>
        <w:t xml:space="preserve">communities</w:t>
      </w:r>
      <w:r w:rsidRPr="002F03E6" w:rsidR="002F03E6">
        <w:rPr>
          <w:rFonts w:ascii="Arial" w:hAnsi="Arial" w:eastAsia="Times New Roman" w:cs="Arial"/>
          <w:color w:val="222222"/>
          <w:sz w:val="22"/>
          <w:szCs w:val="22"/>
          <w:shd w:val="clear" w:color="auto" w:fill="FFFFFF"/>
          <w:lang w:eastAsia="en-GB"/>
        </w:rPr>
        <w:t xml:space="preserve"> and health-and-social-care systems. The case studies of Peter and Mr. Khan </w:t>
      </w:r>
      <w:r w:rsidRPr="002F03E6" w:rsidR="002F03E6">
        <w:rPr>
          <w:rFonts w:ascii="Arial" w:hAnsi="Arial" w:eastAsia="Times New Roman" w:cs="Arial"/>
          <w:color w:val="222222"/>
          <w:sz w:val="22"/>
          <w:szCs w:val="22"/>
          <w:shd w:val="clear" w:color="auto" w:fill="FFFFFF"/>
          <w:lang w:eastAsia="en-GB"/>
        </w:rPr>
        <w:t xml:space="preserve">demonstrate</w:t>
      </w:r>
      <w:r w:rsidRPr="002F03E6" w:rsidR="002F03E6">
        <w:rPr>
          <w:rFonts w:ascii="Arial" w:hAnsi="Arial" w:eastAsia="Times New Roman" w:cs="Arial"/>
          <w:color w:val="222222"/>
          <w:sz w:val="22"/>
          <w:szCs w:val="22"/>
          <w:shd w:val="clear" w:color="auto" w:fill="FFFFFF"/>
          <w:lang w:eastAsia="en-GB"/>
        </w:rPr>
        <w:t xml:space="preserve"> how gaps in community provision, delayed discharge and insufficient respite create avoidable harm, accelerating decline for people with dementia while simultaneously undermining the wellbeing of carers. Understanding these pressures requires a holistic appreciation of dementia as both a medical and social condition. Applying core theories such as Person-Centred Care, the Social Model, Validation Therapy and Strengths-Based Practice </w:t>
      </w:r>
      <w:r w:rsidRPr="002F03E6" w:rsidR="19FE46CE">
        <w:rPr>
          <w:rFonts w:ascii="Arial" w:hAnsi="Arial" w:eastAsia="Times New Roman" w:cs="Arial"/>
          <w:color w:val="222222"/>
          <w:sz w:val="22"/>
          <w:szCs w:val="22"/>
          <w:shd w:val="clear" w:color="auto" w:fill="FFFFFF"/>
          <w:lang w:eastAsia="en-GB"/>
        </w:rPr>
        <w:t xml:space="preserve">offer</w:t>
      </w:r>
      <w:r w:rsidRPr="002F03E6" w:rsidR="002F03E6">
        <w:rPr>
          <w:rFonts w:ascii="Arial" w:hAnsi="Arial" w:eastAsia="Times New Roman" w:cs="Arial"/>
          <w:color w:val="222222"/>
          <w:sz w:val="22"/>
          <w:szCs w:val="22"/>
          <w:shd w:val="clear" w:color="auto" w:fill="FFFFFF"/>
          <w:lang w:eastAsia="en-GB"/>
        </w:rPr>
        <w:t xml:space="preserve"> practical ways to protect dignity, </w:t>
      </w:r>
      <w:r w:rsidRPr="002F03E6" w:rsidR="002F03E6">
        <w:rPr>
          <w:rFonts w:ascii="Arial" w:hAnsi="Arial" w:eastAsia="Times New Roman" w:cs="Arial"/>
          <w:color w:val="222222"/>
          <w:sz w:val="22"/>
          <w:szCs w:val="22"/>
          <w:shd w:val="clear" w:color="auto" w:fill="FFFFFF"/>
          <w:lang w:eastAsia="en-GB"/>
        </w:rPr>
        <w:t xml:space="preserve">autonomy</w:t>
      </w:r>
      <w:r w:rsidRPr="002F03E6" w:rsidR="002F03E6">
        <w:rPr>
          <w:rFonts w:ascii="Arial" w:hAnsi="Arial" w:eastAsia="Times New Roman" w:cs="Arial"/>
          <w:color w:val="222222"/>
          <w:sz w:val="22"/>
          <w:szCs w:val="22"/>
          <w:shd w:val="clear" w:color="auto" w:fill="FFFFFF"/>
          <w:lang w:eastAsia="en-GB"/>
        </w:rPr>
        <w:t xml:space="preserve"> and emotional security. These approaches show that quality dementia care depends not only on clinical </w:t>
      </w:r>
      <w:r w:rsidRPr="002F03E6" w:rsidR="002F03E6">
        <w:rPr>
          <w:rFonts w:ascii="Arial" w:hAnsi="Arial" w:eastAsia="Times New Roman" w:cs="Arial"/>
          <w:color w:val="222222"/>
          <w:sz w:val="22"/>
          <w:szCs w:val="22"/>
          <w:shd w:val="clear" w:color="auto" w:fill="FFFFFF"/>
          <w:lang w:eastAsia="en-GB"/>
        </w:rPr>
        <w:t xml:space="preserve">expertise</w:t>
      </w:r>
      <w:r w:rsidRPr="002F03E6" w:rsidR="002F03E6">
        <w:rPr>
          <w:rFonts w:ascii="Arial" w:hAnsi="Arial" w:eastAsia="Times New Roman" w:cs="Arial"/>
          <w:color w:val="222222"/>
          <w:sz w:val="22"/>
          <w:szCs w:val="22"/>
          <w:shd w:val="clear" w:color="auto" w:fill="FFFFFF"/>
          <w:lang w:eastAsia="en-GB"/>
        </w:rPr>
        <w:t xml:space="preserve"> but also on relational practice, environmental </w:t>
      </w:r>
      <w:r w:rsidRPr="002F03E6" w:rsidR="002F03E6">
        <w:rPr>
          <w:rFonts w:ascii="Arial" w:hAnsi="Arial" w:eastAsia="Times New Roman" w:cs="Arial"/>
          <w:color w:val="222222"/>
          <w:sz w:val="22"/>
          <w:szCs w:val="22"/>
          <w:shd w:val="clear" w:color="auto" w:fill="FFFFFF"/>
          <w:lang w:eastAsia="en-GB"/>
        </w:rPr>
        <w:t xml:space="preserve">adaptation</w:t>
      </w:r>
      <w:r w:rsidRPr="002F03E6" w:rsidR="002F03E6">
        <w:rPr>
          <w:rFonts w:ascii="Arial" w:hAnsi="Arial" w:eastAsia="Times New Roman" w:cs="Arial"/>
          <w:color w:val="222222"/>
          <w:sz w:val="22"/>
          <w:szCs w:val="22"/>
          <w:shd w:val="clear" w:color="auto" w:fill="FFFFFF"/>
          <w:lang w:eastAsia="en-GB"/>
        </w:rPr>
        <w:t xml:space="preserve"> and consistent system-wide support. Ultimately, improving outcomes requires coordinated policy action, </w:t>
      </w:r>
      <w:r w:rsidRPr="002F03E6" w:rsidR="002F03E6">
        <w:rPr>
          <w:rFonts w:ascii="Arial" w:hAnsi="Arial" w:eastAsia="Times New Roman" w:cs="Arial"/>
          <w:color w:val="222222"/>
          <w:sz w:val="22"/>
          <w:szCs w:val="22"/>
          <w:shd w:val="clear" w:color="auto" w:fill="FFFFFF"/>
          <w:lang w:eastAsia="en-GB"/>
        </w:rPr>
        <w:t xml:space="preserve">equitable</w:t>
      </w:r>
      <w:r w:rsidRPr="002F03E6" w:rsidR="002F03E6">
        <w:rPr>
          <w:rFonts w:ascii="Arial" w:hAnsi="Arial" w:eastAsia="Times New Roman" w:cs="Arial"/>
          <w:color w:val="222222"/>
          <w:sz w:val="22"/>
          <w:szCs w:val="22"/>
          <w:shd w:val="clear" w:color="auto" w:fill="FFFFFF"/>
          <w:lang w:eastAsia="en-GB"/>
        </w:rPr>
        <w:t xml:space="preserve"> service provision and sustained investment in carers and the social care workforce. Without this, the burden on families and professionals will continue to intensify.</w:t>
      </w:r>
    </w:p>
    <w:p w:rsidRPr="00FC226F" w:rsidR="002F03E6" w:rsidP="00FC226F" w:rsidRDefault="002F03E6" w14:paraId="2DF1D07B" w14:textId="77777777">
      <w:pPr>
        <w:shd w:val="clear" w:color="auto" w:fill="FFFFFF"/>
        <w:spacing w:before="100" w:beforeAutospacing="1" w:after="100" w:afterAutospacing="1" w:line="360" w:lineRule="auto"/>
        <w:rPr>
          <w:rFonts w:ascii="Arial" w:hAnsi="Arial" w:eastAsia="Times New Roman" w:cs="Arial"/>
          <w:b/>
          <w:bCs/>
          <w:color w:val="222222"/>
          <w:sz w:val="22"/>
          <w:szCs w:val="22"/>
          <w:u w:val="single"/>
          <w:lang w:eastAsia="en-GB"/>
        </w:rPr>
      </w:pPr>
    </w:p>
    <w:p w:rsidRPr="00FC226F" w:rsidR="00FC226F" w:rsidP="00FC226F" w:rsidRDefault="00FC226F" w14:paraId="2EDE5969" w14:textId="1380DC55">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00CA1B96" w:rsidP="00FC226F" w:rsidRDefault="00CA1B96" w14:paraId="21BFF364"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Pr="00CA1B96" w:rsidR="00CA1B96" w:rsidP="00CA1B96" w:rsidRDefault="00CA1B96" w14:paraId="14A9087D" w14:textId="77777777">
      <w:pPr>
        <w:shd w:val="clear" w:color="auto" w:fill="FFFFFF"/>
        <w:spacing w:before="100" w:beforeAutospacing="1" w:after="100" w:afterAutospacing="1" w:line="360" w:lineRule="auto"/>
        <w:rPr>
          <w:rFonts w:ascii="Arial" w:hAnsi="Arial" w:eastAsia="Times New Roman" w:cs="Arial"/>
          <w:b/>
          <w:bCs/>
          <w:color w:val="222222"/>
          <w:u w:val="single"/>
          <w:lang w:eastAsia="en-GB"/>
        </w:rPr>
      </w:pPr>
      <w:r w:rsidRPr="00CA1B96">
        <w:rPr>
          <w:rFonts w:ascii="Arial" w:hAnsi="Arial" w:eastAsia="Times New Roman" w:cs="Arial"/>
          <w:b/>
          <w:bCs/>
          <w:color w:val="222222"/>
          <w:u w:val="single"/>
          <w:lang w:eastAsia="en-GB"/>
        </w:rPr>
        <w:lastRenderedPageBreak/>
        <w:t>References</w:t>
      </w:r>
    </w:p>
    <w:p w:rsidRPr="00CA1B96" w:rsidR="00CA1B96" w:rsidP="00CA1B96" w:rsidRDefault="00CA1B96" w14:paraId="0934DD75" w14:textId="2FB38AB6">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Age UK (2023) Shortage of respite care for older people. London: Age UK.</w:t>
      </w:r>
    </w:p>
    <w:p w:rsidRPr="00CA1B96" w:rsidR="00CA1B96" w:rsidP="00CA1B96" w:rsidRDefault="00CA1B96" w14:paraId="196342C9" w14:textId="3E00F10E">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Alzheimer’s Society (2020) Dementia Friendly Communities: Impact Report. London: Alzheimer’s Society.</w:t>
      </w:r>
    </w:p>
    <w:p w:rsidRPr="00CA1B96" w:rsidR="00CA1B96" w:rsidP="00CA1B96" w:rsidRDefault="00CA1B96" w14:paraId="4B829ECA" w14:textId="4E6B46D7">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Alzheimer’s Society (2022) Caring for a person with dementia: A practical guide. London: Alzheimer’s Society.</w:t>
      </w:r>
    </w:p>
    <w:p w:rsidRPr="00CA1B96" w:rsidR="00CA1B96" w:rsidP="00CA1B96" w:rsidRDefault="00CA1B96" w14:paraId="79CA362B" w14:textId="5B002B47">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Alzheimer’s Society (2023) The Economic Impact of Dementia in the UK. London: Alzheimer’s Society.</w:t>
      </w:r>
    </w:p>
    <w:p w:rsidRPr="00CA1B96" w:rsidR="00CA1B96" w:rsidP="00CA1B96" w:rsidRDefault="00CA1B96" w14:paraId="0959CFBF" w14:textId="3563577F">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Alzheimer’s Society (2024) Dementia statistics hub: Prevalence projections. London: Alzheimer’s Society.</w:t>
      </w:r>
    </w:p>
    <w:p w:rsidRPr="00CA1B96" w:rsidR="00CA1B96" w:rsidP="00CA1B96" w:rsidRDefault="00CA1B96" w14:paraId="30CA6B6F" w14:textId="18834626">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Carers UK (2021) State of Caring. London: Carers UK.</w:t>
      </w:r>
    </w:p>
    <w:p w:rsidRPr="00CA1B96" w:rsidR="00CA1B96" w:rsidP="00CA1B96" w:rsidRDefault="00CA1B96" w14:paraId="6855207E" w14:textId="38E08E7C">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Cooper, C., Briggs, R. and Livingston, G. (2021) ‘Caring for a person with dementia and carer mental health’, International Journal of Geriatric Psychiatry, 36(6), pp. 880–895.</w:t>
      </w:r>
    </w:p>
    <w:p w:rsidRPr="00CA1B96" w:rsidR="00CA1B96" w:rsidP="00CA1B96" w:rsidRDefault="00CA1B96" w14:paraId="4F48032E" w14:textId="4B52247D">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 xml:space="preserve">Feil, N. (2012) The Validation Breakthrough: Simple Techniques for Communicating with People with Alzheimer’s-Type Dementia. 3rd </w:t>
      </w:r>
      <w:proofErr w:type="spellStart"/>
      <w:r w:rsidRPr="00CA1B96">
        <w:rPr>
          <w:rFonts w:ascii="Arial" w:hAnsi="Arial" w:eastAsia="Times New Roman" w:cs="Arial"/>
          <w:color w:val="222222"/>
          <w:sz w:val="22"/>
          <w:szCs w:val="22"/>
          <w:lang w:eastAsia="en-GB"/>
        </w:rPr>
        <w:t>edn</w:t>
      </w:r>
      <w:proofErr w:type="spellEnd"/>
      <w:r w:rsidRPr="00CA1B96">
        <w:rPr>
          <w:rFonts w:ascii="Arial" w:hAnsi="Arial" w:eastAsia="Times New Roman" w:cs="Arial"/>
          <w:color w:val="222222"/>
          <w:sz w:val="22"/>
          <w:szCs w:val="22"/>
          <w:lang w:eastAsia="en-GB"/>
        </w:rPr>
        <w:t>. Baltimore: Health Professions Press.</w:t>
      </w:r>
    </w:p>
    <w:p w:rsidRPr="00CA1B96" w:rsidR="00CA1B96" w:rsidP="00CA1B96" w:rsidRDefault="00CA1B96" w14:paraId="0793A4C4" w14:textId="081C7C38">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proofErr w:type="spellStart"/>
      <w:r w:rsidRPr="00CA1B96">
        <w:rPr>
          <w:rFonts w:ascii="Arial" w:hAnsi="Arial" w:eastAsia="Times New Roman" w:cs="Arial"/>
          <w:color w:val="222222"/>
          <w:sz w:val="22"/>
          <w:szCs w:val="22"/>
          <w:lang w:eastAsia="en-GB"/>
        </w:rPr>
        <w:t>Kitwood</w:t>
      </w:r>
      <w:proofErr w:type="spellEnd"/>
      <w:r w:rsidRPr="00CA1B96">
        <w:rPr>
          <w:rFonts w:ascii="Arial" w:hAnsi="Arial" w:eastAsia="Times New Roman" w:cs="Arial"/>
          <w:color w:val="222222"/>
          <w:sz w:val="22"/>
          <w:szCs w:val="22"/>
          <w:lang w:eastAsia="en-GB"/>
        </w:rPr>
        <w:t>, T. (1997) Dementia Reconsidered: The Person Comes First. Buckingham: Open University Press.</w:t>
      </w:r>
    </w:p>
    <w:p w:rsidRPr="00CA1B96" w:rsidR="00CA1B96" w:rsidP="00CA1B96" w:rsidRDefault="00CA1B96" w14:paraId="09853715" w14:textId="4EBC6EEE">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Knight, P., Lewis, S. and Patel, A. (2024) ‘Geographical inequalities in dementia care provision across England’, Health &amp; Social Care in the Community, 32(1), pp. 112–124.</w:t>
      </w:r>
    </w:p>
    <w:p w:rsidRPr="00CA1B96" w:rsidR="00CA1B96" w:rsidP="00CA1B96" w:rsidRDefault="00CA1B96" w14:paraId="259DC898" w14:textId="67FE779D">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Local Government Association (2022) Impact of funding pressures on adult social care. London: LGA.</w:t>
      </w:r>
    </w:p>
    <w:p w:rsidRPr="00CA1B96" w:rsidR="00CA1B96" w:rsidP="00CA1B96" w:rsidRDefault="00CA1B96" w14:paraId="7DD83CF9" w14:textId="44BC2526">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 xml:space="preserve">Matthews, F.E., Bennett, H. and </w:t>
      </w:r>
      <w:proofErr w:type="spellStart"/>
      <w:r w:rsidRPr="00CA1B96">
        <w:rPr>
          <w:rFonts w:ascii="Arial" w:hAnsi="Arial" w:eastAsia="Times New Roman" w:cs="Arial"/>
          <w:color w:val="222222"/>
          <w:sz w:val="22"/>
          <w:szCs w:val="22"/>
          <w:lang w:eastAsia="en-GB"/>
        </w:rPr>
        <w:t>Brayne</w:t>
      </w:r>
      <w:proofErr w:type="spellEnd"/>
      <w:r w:rsidRPr="00CA1B96">
        <w:rPr>
          <w:rFonts w:ascii="Arial" w:hAnsi="Arial" w:eastAsia="Times New Roman" w:cs="Arial"/>
          <w:color w:val="222222"/>
          <w:sz w:val="22"/>
          <w:szCs w:val="22"/>
          <w:lang w:eastAsia="en-GB"/>
        </w:rPr>
        <w:t>, C. (2022) ‘Rural inequalities in dementia support and service access’, Age and Ageing, 51(4), pp. 1–9.</w:t>
      </w:r>
    </w:p>
    <w:p w:rsidRPr="00CA1B96" w:rsidR="00CA1B96" w:rsidP="00CA1B96" w:rsidRDefault="00CA1B96" w14:paraId="298BC626" w14:textId="4CA28F68">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proofErr w:type="spellStart"/>
      <w:r w:rsidRPr="00CA1B96">
        <w:rPr>
          <w:rFonts w:ascii="Arial" w:hAnsi="Arial" w:eastAsia="Times New Roman" w:cs="Arial"/>
          <w:color w:val="222222"/>
          <w:sz w:val="22"/>
          <w:szCs w:val="22"/>
          <w:lang w:eastAsia="en-GB"/>
        </w:rPr>
        <w:t>Mukadam</w:t>
      </w:r>
      <w:proofErr w:type="spellEnd"/>
      <w:r w:rsidRPr="00CA1B96">
        <w:rPr>
          <w:rFonts w:ascii="Arial" w:hAnsi="Arial" w:eastAsia="Times New Roman" w:cs="Arial"/>
          <w:color w:val="222222"/>
          <w:sz w:val="22"/>
          <w:szCs w:val="22"/>
          <w:lang w:eastAsia="en-GB"/>
        </w:rPr>
        <w:t>, N., Cooper, C. and Livingston, G. (2019) ‘Ethnic inequalities in dementia diagnosis: Barriers and implications’, Race &amp; Social Problems, 11(1), pp. 73–82.</w:t>
      </w:r>
    </w:p>
    <w:p w:rsidRPr="00CA1B96" w:rsidR="00CA1B96" w:rsidP="00CA1B96" w:rsidRDefault="00CA1B96" w14:paraId="3890A1B9" w14:textId="00DAA96F">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National Audit Office (2019) Reducing Delayed Transfers of Care. London: NAO.</w:t>
      </w:r>
    </w:p>
    <w:p w:rsidRPr="00CA1B96" w:rsidR="00CA1B96" w:rsidP="00CA1B96" w:rsidRDefault="00CA1B96" w14:paraId="4B1E0FA8" w14:textId="5AE53A94">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NHS England (2023) Hospital care for people living with dementia: Data and performance briefing. London: NHS England.</w:t>
      </w:r>
    </w:p>
    <w:p w:rsidRPr="00CA1B96" w:rsidR="00CA1B96" w:rsidP="00CA1B96" w:rsidRDefault="00CA1B96" w14:paraId="7916771D" w14:textId="7E0CE606">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Pickard, L. (2022) ‘Changes in employment associated with caring for a person with dementia’, Journal of Social Policy, 51(3), pp. 589–608.</w:t>
      </w:r>
    </w:p>
    <w:p w:rsidRPr="00CA1B96" w:rsidR="00CA1B96" w:rsidP="00CA1B96" w:rsidRDefault="00CA1B96" w14:paraId="7224AC83" w14:textId="5B5BE177">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Public Health England (2021) Dementia Profile: Regional and Local Prevalence. London: PHE.</w:t>
      </w:r>
    </w:p>
    <w:p w:rsidRPr="00CA1B96" w:rsidR="00CA1B96" w:rsidP="00CA1B96" w:rsidRDefault="00CA1B96" w14:paraId="51CFDC38" w14:textId="6247B7BE">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lastRenderedPageBreak/>
        <w:t xml:space="preserve">Royal College of Psychiatrists (2021) Dementia care pathways in acute hospitals. London: </w:t>
      </w:r>
      <w:proofErr w:type="spellStart"/>
      <w:r w:rsidRPr="00CA1B96">
        <w:rPr>
          <w:rFonts w:ascii="Arial" w:hAnsi="Arial" w:eastAsia="Times New Roman" w:cs="Arial"/>
          <w:color w:val="222222"/>
          <w:sz w:val="22"/>
          <w:szCs w:val="22"/>
          <w:lang w:eastAsia="en-GB"/>
        </w:rPr>
        <w:t>RCPsych</w:t>
      </w:r>
      <w:proofErr w:type="spellEnd"/>
      <w:r w:rsidRPr="00CA1B96">
        <w:rPr>
          <w:rFonts w:ascii="Arial" w:hAnsi="Arial" w:eastAsia="Times New Roman" w:cs="Arial"/>
          <w:color w:val="222222"/>
          <w:sz w:val="22"/>
          <w:szCs w:val="22"/>
          <w:lang w:eastAsia="en-GB"/>
        </w:rPr>
        <w:t>.</w:t>
      </w:r>
    </w:p>
    <w:p w:rsidRPr="00CA1B96" w:rsidR="00CA1B96" w:rsidP="00CA1B96" w:rsidRDefault="00CA1B96" w14:paraId="6FDE3063" w14:textId="065BB7A0">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SCIE (2015) Strengths-Based Approaches to Social Care. London: Social Care Institute for Excellence.</w:t>
      </w:r>
    </w:p>
    <w:p w:rsidRPr="00CA1B96" w:rsidR="00CA1B96" w:rsidP="00CA1B96" w:rsidRDefault="00CA1B96" w14:paraId="45368D06" w14:textId="2ECF985F">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Skills for Care (2023) The State of the Adult Social Care Workforce. Leeds: Skills for Care.</w:t>
      </w:r>
    </w:p>
    <w:p w:rsidRPr="00CA1B96" w:rsidR="00CA1B96" w:rsidP="00CA1B96" w:rsidRDefault="00CA1B96" w14:paraId="4D068921" w14:textId="1EA06246">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The King’s Fund (2022) Understanding the NHS Discharge Crisis. London: The King’s Fund.</w:t>
      </w:r>
    </w:p>
    <w:p w:rsidRPr="00CA1B96" w:rsidR="00CA1B96" w:rsidP="00CA1B96" w:rsidRDefault="00CA1B96" w14:paraId="1C841EBA" w14:textId="749008C6">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WHO (2021) Global status report on the public health response to dementia. Geneva: World Health Organization.</w:t>
      </w:r>
    </w:p>
    <w:p w:rsidRPr="00CA1B96" w:rsidR="00CA1B96" w:rsidP="00CA1B96" w:rsidRDefault="00CA1B96" w14:paraId="139B978B" w14:textId="77777777">
      <w:pPr>
        <w:pStyle w:val="ListParagraph"/>
        <w:numPr>
          <w:ilvl w:val="0"/>
          <w:numId w:val="1"/>
        </w:numPr>
        <w:shd w:val="clear" w:color="auto" w:fill="FFFFFF"/>
        <w:spacing w:before="100" w:beforeAutospacing="1" w:after="100" w:afterAutospacing="1" w:line="360" w:lineRule="auto"/>
        <w:rPr>
          <w:rFonts w:ascii="Arial" w:hAnsi="Arial" w:eastAsia="Times New Roman" w:cs="Arial"/>
          <w:color w:val="222222"/>
          <w:sz w:val="22"/>
          <w:szCs w:val="22"/>
          <w:lang w:eastAsia="en-GB"/>
        </w:rPr>
      </w:pPr>
      <w:r w:rsidRPr="00CA1B96">
        <w:rPr>
          <w:rFonts w:ascii="Arial" w:hAnsi="Arial" w:eastAsia="Times New Roman" w:cs="Arial"/>
          <w:color w:val="222222"/>
          <w:sz w:val="22"/>
          <w:szCs w:val="22"/>
          <w:lang w:eastAsia="en-GB"/>
        </w:rPr>
        <w:t>Wittenberg, R., Knapp, M., Hu, B. and Banerjee, S. (2020) The Economic Case for Supporting Carers of People with Dementia. London: London School of Economics.</w:t>
      </w:r>
    </w:p>
    <w:p w:rsidRPr="00FC226F" w:rsidR="00CA1B96" w:rsidP="00FC226F" w:rsidRDefault="00CA1B96" w14:paraId="13652D9B" w14:textId="77777777">
      <w:pPr>
        <w:shd w:val="clear" w:color="auto" w:fill="FFFFFF"/>
        <w:spacing w:before="100" w:beforeAutospacing="1" w:after="100" w:afterAutospacing="1" w:line="360" w:lineRule="auto"/>
        <w:rPr>
          <w:rFonts w:ascii="Arial" w:hAnsi="Arial" w:eastAsia="Times New Roman" w:cs="Arial"/>
          <w:color w:val="222222"/>
          <w:sz w:val="22"/>
          <w:szCs w:val="22"/>
          <w:lang w:eastAsia="en-GB"/>
        </w:rPr>
      </w:pPr>
    </w:p>
    <w:p w:rsidRPr="002F03E6" w:rsidR="002F03E6" w:rsidP="00CA1B96" w:rsidRDefault="002F03E6" w14:paraId="464DC8F5" w14:textId="70119E03">
      <w:pPr>
        <w:shd w:val="clear" w:color="auto" w:fill="FFFFFF"/>
        <w:spacing w:before="100" w:beforeAutospacing="1" w:after="100" w:afterAutospacing="1" w:line="360" w:lineRule="auto"/>
        <w:rPr>
          <w:rFonts w:ascii="Arial" w:hAnsi="Arial" w:cs="Arial"/>
          <w:color w:val="222222"/>
          <w:sz w:val="22"/>
          <w:szCs w:val="22"/>
        </w:rPr>
      </w:pPr>
    </w:p>
    <w:p w:rsidRPr="00FC226F" w:rsidR="00FC226F" w:rsidP="00FC226F" w:rsidRDefault="00FC226F" w14:paraId="08CD014E" w14:textId="77777777">
      <w:pPr>
        <w:shd w:val="clear" w:color="auto" w:fill="FFFFFF"/>
        <w:spacing w:line="360" w:lineRule="auto"/>
        <w:rPr>
          <w:rFonts w:ascii="Arial" w:hAnsi="Arial" w:eastAsia="Times New Roman" w:cs="Arial"/>
          <w:color w:val="222222"/>
          <w:sz w:val="22"/>
          <w:szCs w:val="22"/>
          <w:lang w:eastAsia="en-GB"/>
        </w:rPr>
      </w:pPr>
    </w:p>
    <w:p w:rsidRPr="00FC226F" w:rsidR="00FC226F" w:rsidP="00FC226F" w:rsidRDefault="00FC226F" w14:paraId="3BB7C156" w14:textId="77777777">
      <w:pPr>
        <w:spacing w:line="360" w:lineRule="auto"/>
        <w:rPr>
          <w:rFonts w:ascii="Arial" w:hAnsi="Arial" w:eastAsia="Times New Roman" w:cs="Arial"/>
          <w:sz w:val="22"/>
          <w:szCs w:val="22"/>
          <w:lang w:eastAsia="en-GB"/>
        </w:rPr>
      </w:pPr>
    </w:p>
    <w:p w:rsidR="00E92812" w:rsidRDefault="00E92812" w14:paraId="33C46495" w14:textId="77777777"/>
    <w:sectPr w:rsidR="00E92812" w:rsidSect="002365E2">
      <w:headerReference w:type="even" r:id="rId8"/>
      <w:headerReference w:type="default" r:id="rId9"/>
      <w:pgSz w:w="11900" w:h="16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E531E" w:rsidP="00CA1B96" w:rsidRDefault="002E531E" w14:paraId="455FF392" w14:textId="77777777">
      <w:r>
        <w:separator/>
      </w:r>
    </w:p>
  </w:endnote>
  <w:endnote w:type="continuationSeparator" w:id="0">
    <w:p w:rsidR="002E531E" w:rsidP="00CA1B96" w:rsidRDefault="002E531E" w14:paraId="38BAB6B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E531E" w:rsidP="00CA1B96" w:rsidRDefault="002E531E" w14:paraId="64D8E49D" w14:textId="77777777">
      <w:r>
        <w:separator/>
      </w:r>
    </w:p>
  </w:footnote>
  <w:footnote w:type="continuationSeparator" w:id="0">
    <w:p w:rsidR="002E531E" w:rsidP="00CA1B96" w:rsidRDefault="002E531E" w14:paraId="4AEAA887"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99954025"/>
      <w:docPartObj>
        <w:docPartGallery w:val="Page Numbers (Top of Page)"/>
        <w:docPartUnique/>
      </w:docPartObj>
    </w:sdtPr>
    <w:sdtContent>
      <w:p w:rsidR="00CA1B96" w:rsidP="002211F1" w:rsidRDefault="00CA1B96" w14:paraId="4E33BA58" w14:textId="2CE091A4">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EndPr>
      <w:rPr>
        <w:rStyle w:val="PageNumber"/>
      </w:rPr>
    </w:sdtEndPr>
  </w:sdt>
  <w:p w:rsidR="00CA1B96" w:rsidP="00CA1B96" w:rsidRDefault="00CA1B96" w14:paraId="21582943" w14:textId="7777777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64111156"/>
      <w:docPartObj>
        <w:docPartGallery w:val="Page Numbers (Top of Page)"/>
        <w:docPartUnique/>
      </w:docPartObj>
    </w:sdtPr>
    <w:sdtContent>
      <w:p w:rsidR="00CA1B96" w:rsidP="002211F1" w:rsidRDefault="00CA1B96" w14:paraId="4826D615" w14:textId="2C7FA072">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EndPr>
      <w:rPr>
        <w:rStyle w:val="PageNumber"/>
      </w:rPr>
    </w:sdtEndPr>
  </w:sdt>
  <w:p w:rsidR="00CA1B96" w:rsidP="00CA1B96" w:rsidRDefault="00CA1B96" w14:paraId="571B29FE" w14:textId="77777777">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B61C02"/>
    <w:multiLevelType w:val="hybridMultilevel"/>
    <w:tmpl w:val="6F20B9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26F"/>
    <w:rsid w:val="00016E32"/>
    <w:rsid w:val="002365E2"/>
    <w:rsid w:val="002E531E"/>
    <w:rsid w:val="002F03E6"/>
    <w:rsid w:val="00371D88"/>
    <w:rsid w:val="00431847"/>
    <w:rsid w:val="00A366E7"/>
    <w:rsid w:val="00CA1B96"/>
    <w:rsid w:val="00D4216D"/>
    <w:rsid w:val="00E92812"/>
    <w:rsid w:val="00FC226F"/>
    <w:rsid w:val="02F90D16"/>
    <w:rsid w:val="07F1D483"/>
    <w:rsid w:val="0AA3F6C6"/>
    <w:rsid w:val="0C65604C"/>
    <w:rsid w:val="0DFB4A09"/>
    <w:rsid w:val="180095E3"/>
    <w:rsid w:val="19FE46CE"/>
    <w:rsid w:val="3A0A3403"/>
    <w:rsid w:val="43410947"/>
    <w:rsid w:val="5BC60343"/>
    <w:rsid w:val="5C0FBF08"/>
    <w:rsid w:val="6E9CB7B2"/>
    <w:rsid w:val="746F570A"/>
    <w:rsid w:val="78783AA3"/>
    <w:rsid w:val="7ABCD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010BF"/>
  <w15:chartTrackingRefBased/>
  <w15:docId w15:val="{045C2D70-EE56-9F42-AC38-C4F79423E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link w:val="Heading3Char"/>
    <w:uiPriority w:val="9"/>
    <w:qFormat/>
    <w:rsid w:val="00CA1B96"/>
    <w:pPr>
      <w:spacing w:before="100" w:beforeAutospacing="1" w:after="100" w:afterAutospacing="1"/>
      <w:outlineLvl w:val="2"/>
    </w:pPr>
    <w:rPr>
      <w:rFonts w:ascii="Times New Roman" w:hAnsi="Times New Roman" w:eastAsia="Times New Roman" w:cs="Times New Roman"/>
      <w:b/>
      <w:bCs/>
      <w:sz w:val="27"/>
      <w:szCs w:val="27"/>
      <w:lang w:eastAsia="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FC226F"/>
    <w:pPr>
      <w:spacing w:before="100" w:beforeAutospacing="1" w:after="100" w:afterAutospacing="1"/>
    </w:pPr>
    <w:rPr>
      <w:rFonts w:ascii="Times New Roman" w:hAnsi="Times New Roman" w:eastAsia="Times New Roman" w:cs="Times New Roman"/>
      <w:lang w:eastAsia="en-GB"/>
    </w:rPr>
  </w:style>
  <w:style w:type="table" w:styleId="TableGrid">
    <w:name w:val="Table Grid"/>
    <w:basedOn w:val="TableNormal"/>
    <w:uiPriority w:val="39"/>
    <w:rsid w:val="00A366E7"/>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3Char" w:customStyle="1">
    <w:name w:val="Heading 3 Char"/>
    <w:basedOn w:val="DefaultParagraphFont"/>
    <w:link w:val="Heading3"/>
    <w:uiPriority w:val="9"/>
    <w:rsid w:val="00CA1B96"/>
    <w:rPr>
      <w:rFonts w:ascii="Times New Roman" w:hAnsi="Times New Roman" w:eastAsia="Times New Roman" w:cs="Times New Roman"/>
      <w:b/>
      <w:bCs/>
      <w:sz w:val="27"/>
      <w:szCs w:val="27"/>
      <w:lang w:eastAsia="en-GB"/>
    </w:rPr>
  </w:style>
  <w:style w:type="character" w:styleId="qu" w:customStyle="1">
    <w:name w:val="qu"/>
    <w:basedOn w:val="DefaultParagraphFont"/>
    <w:rsid w:val="00CA1B96"/>
  </w:style>
  <w:style w:type="character" w:styleId="gd" w:customStyle="1">
    <w:name w:val="gd"/>
    <w:basedOn w:val="DefaultParagraphFont"/>
    <w:rsid w:val="00CA1B96"/>
  </w:style>
  <w:style w:type="character" w:styleId="go" w:customStyle="1">
    <w:name w:val="go"/>
    <w:basedOn w:val="DefaultParagraphFont"/>
    <w:rsid w:val="00CA1B96"/>
  </w:style>
  <w:style w:type="character" w:styleId="g3" w:customStyle="1">
    <w:name w:val="g3"/>
    <w:basedOn w:val="DefaultParagraphFont"/>
    <w:rsid w:val="00CA1B96"/>
  </w:style>
  <w:style w:type="character" w:styleId="hb" w:customStyle="1">
    <w:name w:val="hb"/>
    <w:basedOn w:val="DefaultParagraphFont"/>
    <w:rsid w:val="00CA1B96"/>
  </w:style>
  <w:style w:type="character" w:styleId="g2" w:customStyle="1">
    <w:name w:val="g2"/>
    <w:basedOn w:val="DefaultParagraphFont"/>
    <w:rsid w:val="00CA1B96"/>
  </w:style>
  <w:style w:type="paragraph" w:styleId="ListParagraph">
    <w:name w:val="List Paragraph"/>
    <w:basedOn w:val="Normal"/>
    <w:uiPriority w:val="34"/>
    <w:qFormat/>
    <w:rsid w:val="00CA1B96"/>
    <w:pPr>
      <w:ind w:left="720"/>
      <w:contextualSpacing/>
    </w:pPr>
  </w:style>
  <w:style w:type="paragraph" w:styleId="Header">
    <w:name w:val="header"/>
    <w:basedOn w:val="Normal"/>
    <w:link w:val="HeaderChar"/>
    <w:uiPriority w:val="99"/>
    <w:unhideWhenUsed/>
    <w:rsid w:val="00CA1B96"/>
    <w:pPr>
      <w:tabs>
        <w:tab w:val="center" w:pos="4680"/>
        <w:tab w:val="right" w:pos="9360"/>
      </w:tabs>
    </w:pPr>
  </w:style>
  <w:style w:type="character" w:styleId="HeaderChar" w:customStyle="1">
    <w:name w:val="Header Char"/>
    <w:basedOn w:val="DefaultParagraphFont"/>
    <w:link w:val="Header"/>
    <w:uiPriority w:val="99"/>
    <w:rsid w:val="00CA1B96"/>
  </w:style>
  <w:style w:type="character" w:styleId="PageNumber">
    <w:name w:val="page number"/>
    <w:basedOn w:val="DefaultParagraphFont"/>
    <w:uiPriority w:val="99"/>
    <w:semiHidden/>
    <w:unhideWhenUsed/>
    <w:rsid w:val="00CA1B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9515880">
      <w:bodyDiv w:val="1"/>
      <w:marLeft w:val="0"/>
      <w:marRight w:val="0"/>
      <w:marTop w:val="0"/>
      <w:marBottom w:val="0"/>
      <w:divBdr>
        <w:top w:val="none" w:sz="0" w:space="0" w:color="auto"/>
        <w:left w:val="none" w:sz="0" w:space="0" w:color="auto"/>
        <w:bottom w:val="none" w:sz="0" w:space="0" w:color="auto"/>
        <w:right w:val="none" w:sz="0" w:space="0" w:color="auto"/>
      </w:divBdr>
      <w:divsChild>
        <w:div w:id="270476058">
          <w:marLeft w:val="0"/>
          <w:marRight w:val="0"/>
          <w:marTop w:val="0"/>
          <w:marBottom w:val="0"/>
          <w:divBdr>
            <w:top w:val="none" w:sz="0" w:space="0" w:color="auto"/>
            <w:left w:val="none" w:sz="0" w:space="0" w:color="auto"/>
            <w:bottom w:val="none" w:sz="0" w:space="0" w:color="auto"/>
            <w:right w:val="none" w:sz="0" w:space="0" w:color="auto"/>
          </w:divBdr>
          <w:divsChild>
            <w:div w:id="943734352">
              <w:marLeft w:val="0"/>
              <w:marRight w:val="0"/>
              <w:marTop w:val="0"/>
              <w:marBottom w:val="0"/>
              <w:divBdr>
                <w:top w:val="none" w:sz="0" w:space="0" w:color="auto"/>
                <w:left w:val="none" w:sz="0" w:space="0" w:color="auto"/>
                <w:bottom w:val="none" w:sz="0" w:space="0" w:color="auto"/>
                <w:right w:val="none" w:sz="0" w:space="0" w:color="auto"/>
              </w:divBdr>
              <w:divsChild>
                <w:div w:id="613828714">
                  <w:marLeft w:val="0"/>
                  <w:marRight w:val="0"/>
                  <w:marTop w:val="120"/>
                  <w:marBottom w:val="0"/>
                  <w:divBdr>
                    <w:top w:val="none" w:sz="0" w:space="0" w:color="auto"/>
                    <w:left w:val="none" w:sz="0" w:space="0" w:color="auto"/>
                    <w:bottom w:val="none" w:sz="0" w:space="0" w:color="auto"/>
                    <w:right w:val="none" w:sz="0" w:space="0" w:color="auto"/>
                  </w:divBdr>
                  <w:divsChild>
                    <w:div w:id="519389640">
                      <w:marLeft w:val="0"/>
                      <w:marRight w:val="0"/>
                      <w:marTop w:val="0"/>
                      <w:marBottom w:val="0"/>
                      <w:divBdr>
                        <w:top w:val="none" w:sz="0" w:space="0" w:color="auto"/>
                        <w:left w:val="none" w:sz="0" w:space="0" w:color="auto"/>
                        <w:bottom w:val="none" w:sz="0" w:space="0" w:color="auto"/>
                        <w:right w:val="none" w:sz="0" w:space="0" w:color="auto"/>
                      </w:divBdr>
                      <w:divsChild>
                        <w:div w:id="1899516024">
                          <w:marLeft w:val="0"/>
                          <w:marRight w:val="0"/>
                          <w:marTop w:val="0"/>
                          <w:marBottom w:val="0"/>
                          <w:divBdr>
                            <w:top w:val="none" w:sz="0" w:space="0" w:color="auto"/>
                            <w:left w:val="none" w:sz="0" w:space="0" w:color="auto"/>
                            <w:bottom w:val="none" w:sz="0" w:space="0" w:color="auto"/>
                            <w:right w:val="none" w:sz="0" w:space="0" w:color="auto"/>
                          </w:divBdr>
                          <w:divsChild>
                            <w:div w:id="1554973162">
                              <w:marLeft w:val="0"/>
                              <w:marRight w:val="0"/>
                              <w:marTop w:val="0"/>
                              <w:marBottom w:val="0"/>
                              <w:divBdr>
                                <w:top w:val="none" w:sz="0" w:space="0" w:color="auto"/>
                                <w:left w:val="none" w:sz="0" w:space="0" w:color="auto"/>
                                <w:bottom w:val="none" w:sz="0" w:space="0" w:color="auto"/>
                                <w:right w:val="none" w:sz="0" w:space="0" w:color="auto"/>
                              </w:divBdr>
                              <w:divsChild>
                                <w:div w:id="1594779188">
                                  <w:marLeft w:val="0"/>
                                  <w:marRight w:val="0"/>
                                  <w:marTop w:val="0"/>
                                  <w:marBottom w:val="0"/>
                                  <w:divBdr>
                                    <w:top w:val="none" w:sz="0" w:space="0" w:color="auto"/>
                                    <w:left w:val="none" w:sz="0" w:space="0" w:color="auto"/>
                                    <w:bottom w:val="none" w:sz="0" w:space="0" w:color="auto"/>
                                    <w:right w:val="none" w:sz="0" w:space="0" w:color="auto"/>
                                  </w:divBdr>
                                  <w:divsChild>
                                    <w:div w:id="639306768">
                                      <w:marLeft w:val="0"/>
                                      <w:marRight w:val="0"/>
                                      <w:marTop w:val="0"/>
                                      <w:marBottom w:val="0"/>
                                      <w:divBdr>
                                        <w:top w:val="none" w:sz="0" w:space="0" w:color="auto"/>
                                        <w:left w:val="none" w:sz="0" w:space="0" w:color="auto"/>
                                        <w:bottom w:val="none" w:sz="0" w:space="0" w:color="auto"/>
                                        <w:right w:val="none" w:sz="0" w:space="0" w:color="auto"/>
                                      </w:divBdr>
                                    </w:div>
                                  </w:divsChild>
                                </w:div>
                                <w:div w:id="9497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9410469">
      <w:bodyDiv w:val="1"/>
      <w:marLeft w:val="0"/>
      <w:marRight w:val="0"/>
      <w:marTop w:val="0"/>
      <w:marBottom w:val="0"/>
      <w:divBdr>
        <w:top w:val="none" w:sz="0" w:space="0" w:color="auto"/>
        <w:left w:val="none" w:sz="0" w:space="0" w:color="auto"/>
        <w:bottom w:val="none" w:sz="0" w:space="0" w:color="auto"/>
        <w:right w:val="none" w:sz="0" w:space="0" w:color="auto"/>
      </w:divBdr>
    </w:div>
    <w:div w:id="821501643">
      <w:bodyDiv w:val="1"/>
      <w:marLeft w:val="0"/>
      <w:marRight w:val="0"/>
      <w:marTop w:val="0"/>
      <w:marBottom w:val="0"/>
      <w:divBdr>
        <w:top w:val="none" w:sz="0" w:space="0" w:color="auto"/>
        <w:left w:val="none" w:sz="0" w:space="0" w:color="auto"/>
        <w:bottom w:val="none" w:sz="0" w:space="0" w:color="auto"/>
        <w:right w:val="none" w:sz="0" w:space="0" w:color="auto"/>
      </w:divBdr>
    </w:div>
    <w:div w:id="1163007351">
      <w:bodyDiv w:val="1"/>
      <w:marLeft w:val="0"/>
      <w:marRight w:val="0"/>
      <w:marTop w:val="0"/>
      <w:marBottom w:val="0"/>
      <w:divBdr>
        <w:top w:val="none" w:sz="0" w:space="0" w:color="auto"/>
        <w:left w:val="none" w:sz="0" w:space="0" w:color="auto"/>
        <w:bottom w:val="none" w:sz="0" w:space="0" w:color="auto"/>
        <w:right w:val="none" w:sz="0" w:space="0" w:color="auto"/>
      </w:divBdr>
      <w:divsChild>
        <w:div w:id="1386370467">
          <w:marLeft w:val="0"/>
          <w:marRight w:val="0"/>
          <w:marTop w:val="0"/>
          <w:marBottom w:val="0"/>
          <w:divBdr>
            <w:top w:val="none" w:sz="0" w:space="0" w:color="auto"/>
            <w:left w:val="none" w:sz="0" w:space="0" w:color="auto"/>
            <w:bottom w:val="none" w:sz="0" w:space="0" w:color="auto"/>
            <w:right w:val="none" w:sz="0" w:space="0" w:color="auto"/>
          </w:divBdr>
          <w:divsChild>
            <w:div w:id="303508658">
              <w:marLeft w:val="0"/>
              <w:marRight w:val="0"/>
              <w:marTop w:val="0"/>
              <w:marBottom w:val="0"/>
              <w:divBdr>
                <w:top w:val="none" w:sz="0" w:space="0" w:color="auto"/>
                <w:left w:val="none" w:sz="0" w:space="0" w:color="auto"/>
                <w:bottom w:val="none" w:sz="0" w:space="0" w:color="auto"/>
                <w:right w:val="none" w:sz="0" w:space="0" w:color="auto"/>
              </w:divBdr>
            </w:div>
            <w:div w:id="1875120174">
              <w:marLeft w:val="0"/>
              <w:marRight w:val="0"/>
              <w:marTop w:val="0"/>
              <w:marBottom w:val="0"/>
              <w:divBdr>
                <w:top w:val="none" w:sz="0" w:space="0" w:color="auto"/>
                <w:left w:val="none" w:sz="0" w:space="0" w:color="auto"/>
                <w:bottom w:val="none" w:sz="0" w:space="0" w:color="auto"/>
                <w:right w:val="none" w:sz="0" w:space="0" w:color="auto"/>
              </w:divBdr>
              <w:divsChild>
                <w:div w:id="983774708">
                  <w:marLeft w:val="0"/>
                  <w:marRight w:val="0"/>
                  <w:marTop w:val="0"/>
                  <w:marBottom w:val="0"/>
                  <w:divBdr>
                    <w:top w:val="none" w:sz="0" w:space="0" w:color="auto"/>
                    <w:left w:val="none" w:sz="0" w:space="0" w:color="auto"/>
                    <w:bottom w:val="none" w:sz="0" w:space="0" w:color="auto"/>
                    <w:right w:val="none" w:sz="0" w:space="0" w:color="auto"/>
                  </w:divBdr>
                </w:div>
              </w:divsChild>
            </w:div>
            <w:div w:id="1012221401">
              <w:marLeft w:val="0"/>
              <w:marRight w:val="0"/>
              <w:marTop w:val="0"/>
              <w:marBottom w:val="0"/>
              <w:divBdr>
                <w:top w:val="none" w:sz="0" w:space="0" w:color="auto"/>
                <w:left w:val="none" w:sz="0" w:space="0" w:color="auto"/>
                <w:bottom w:val="none" w:sz="0" w:space="0" w:color="auto"/>
                <w:right w:val="none" w:sz="0" w:space="0" w:color="auto"/>
              </w:divBdr>
            </w:div>
            <w:div w:id="2088650279">
              <w:marLeft w:val="0"/>
              <w:marRight w:val="0"/>
              <w:marTop w:val="0"/>
              <w:marBottom w:val="0"/>
              <w:divBdr>
                <w:top w:val="none" w:sz="0" w:space="0" w:color="auto"/>
                <w:left w:val="none" w:sz="0" w:space="0" w:color="auto"/>
                <w:bottom w:val="none" w:sz="0" w:space="0" w:color="auto"/>
                <w:right w:val="none" w:sz="0" w:space="0" w:color="auto"/>
              </w:divBdr>
              <w:divsChild>
                <w:div w:id="681051596">
                  <w:marLeft w:val="0"/>
                  <w:marRight w:val="0"/>
                  <w:marTop w:val="0"/>
                  <w:marBottom w:val="0"/>
                  <w:divBdr>
                    <w:top w:val="none" w:sz="0" w:space="0" w:color="auto"/>
                    <w:left w:val="none" w:sz="0" w:space="0" w:color="auto"/>
                    <w:bottom w:val="none" w:sz="0" w:space="0" w:color="auto"/>
                    <w:right w:val="none" w:sz="0" w:space="0" w:color="auto"/>
                  </w:divBdr>
                  <w:divsChild>
                    <w:div w:id="94079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021714">
              <w:marLeft w:val="0"/>
              <w:marRight w:val="0"/>
              <w:marTop w:val="0"/>
              <w:marBottom w:val="0"/>
              <w:divBdr>
                <w:top w:val="none" w:sz="0" w:space="0" w:color="auto"/>
                <w:left w:val="none" w:sz="0" w:space="0" w:color="auto"/>
                <w:bottom w:val="none" w:sz="0" w:space="0" w:color="auto"/>
                <w:right w:val="none" w:sz="0" w:space="0" w:color="auto"/>
              </w:divBdr>
            </w:div>
            <w:div w:id="1043091371">
              <w:marLeft w:val="60"/>
              <w:marRight w:val="0"/>
              <w:marTop w:val="0"/>
              <w:marBottom w:val="0"/>
              <w:divBdr>
                <w:top w:val="none" w:sz="0" w:space="0" w:color="auto"/>
                <w:left w:val="none" w:sz="0" w:space="0" w:color="auto"/>
                <w:bottom w:val="none" w:sz="0" w:space="0" w:color="auto"/>
                <w:right w:val="none" w:sz="0" w:space="0" w:color="auto"/>
              </w:divBdr>
            </w:div>
          </w:divsChild>
        </w:div>
        <w:div w:id="1940064382">
          <w:marLeft w:val="0"/>
          <w:marRight w:val="0"/>
          <w:marTop w:val="0"/>
          <w:marBottom w:val="0"/>
          <w:divBdr>
            <w:top w:val="none" w:sz="0" w:space="0" w:color="auto"/>
            <w:left w:val="none" w:sz="0" w:space="0" w:color="auto"/>
            <w:bottom w:val="none" w:sz="0" w:space="0" w:color="auto"/>
            <w:right w:val="none" w:sz="0" w:space="0" w:color="auto"/>
          </w:divBdr>
          <w:divsChild>
            <w:div w:id="1879584417">
              <w:marLeft w:val="0"/>
              <w:marRight w:val="0"/>
              <w:marTop w:val="120"/>
              <w:marBottom w:val="0"/>
              <w:divBdr>
                <w:top w:val="none" w:sz="0" w:space="0" w:color="auto"/>
                <w:left w:val="none" w:sz="0" w:space="0" w:color="auto"/>
                <w:bottom w:val="none" w:sz="0" w:space="0" w:color="auto"/>
                <w:right w:val="none" w:sz="0" w:space="0" w:color="auto"/>
              </w:divBdr>
              <w:divsChild>
                <w:div w:id="499471088">
                  <w:marLeft w:val="0"/>
                  <w:marRight w:val="0"/>
                  <w:marTop w:val="0"/>
                  <w:marBottom w:val="0"/>
                  <w:divBdr>
                    <w:top w:val="none" w:sz="0" w:space="0" w:color="auto"/>
                    <w:left w:val="none" w:sz="0" w:space="0" w:color="auto"/>
                    <w:bottom w:val="none" w:sz="0" w:space="0" w:color="auto"/>
                    <w:right w:val="none" w:sz="0" w:space="0" w:color="auto"/>
                  </w:divBdr>
                  <w:divsChild>
                    <w:div w:id="2022007679">
                      <w:marLeft w:val="0"/>
                      <w:marRight w:val="0"/>
                      <w:marTop w:val="0"/>
                      <w:marBottom w:val="0"/>
                      <w:divBdr>
                        <w:top w:val="none" w:sz="0" w:space="0" w:color="auto"/>
                        <w:left w:val="none" w:sz="0" w:space="0" w:color="auto"/>
                        <w:bottom w:val="none" w:sz="0" w:space="0" w:color="auto"/>
                        <w:right w:val="none" w:sz="0" w:space="0" w:color="auto"/>
                      </w:divBdr>
                      <w:divsChild>
                        <w:div w:id="1285884755">
                          <w:marLeft w:val="0"/>
                          <w:marRight w:val="0"/>
                          <w:marTop w:val="0"/>
                          <w:marBottom w:val="0"/>
                          <w:divBdr>
                            <w:top w:val="none" w:sz="0" w:space="0" w:color="auto"/>
                            <w:left w:val="none" w:sz="0" w:space="0" w:color="auto"/>
                            <w:bottom w:val="none" w:sz="0" w:space="0" w:color="auto"/>
                            <w:right w:val="none" w:sz="0" w:space="0" w:color="auto"/>
                          </w:divBdr>
                          <w:divsChild>
                            <w:div w:id="413476685">
                              <w:marLeft w:val="0"/>
                              <w:marRight w:val="0"/>
                              <w:marTop w:val="0"/>
                              <w:marBottom w:val="0"/>
                              <w:divBdr>
                                <w:top w:val="none" w:sz="0" w:space="0" w:color="auto"/>
                                <w:left w:val="none" w:sz="0" w:space="0" w:color="auto"/>
                                <w:bottom w:val="none" w:sz="0" w:space="0" w:color="auto"/>
                                <w:right w:val="none" w:sz="0" w:space="0" w:color="auto"/>
                              </w:divBdr>
                              <w:divsChild>
                                <w:div w:id="1612056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8427831">
      <w:bodyDiv w:val="1"/>
      <w:marLeft w:val="0"/>
      <w:marRight w:val="0"/>
      <w:marTop w:val="0"/>
      <w:marBottom w:val="0"/>
      <w:divBdr>
        <w:top w:val="none" w:sz="0" w:space="0" w:color="auto"/>
        <w:left w:val="none" w:sz="0" w:space="0" w:color="auto"/>
        <w:bottom w:val="none" w:sz="0" w:space="0" w:color="auto"/>
        <w:right w:val="none" w:sz="0" w:space="0" w:color="auto"/>
      </w:divBdr>
      <w:divsChild>
        <w:div w:id="918901715">
          <w:marLeft w:val="0"/>
          <w:marRight w:val="0"/>
          <w:marTop w:val="0"/>
          <w:marBottom w:val="0"/>
          <w:divBdr>
            <w:top w:val="none" w:sz="0" w:space="0" w:color="auto"/>
            <w:left w:val="none" w:sz="0" w:space="0" w:color="auto"/>
            <w:bottom w:val="none" w:sz="0" w:space="0" w:color="auto"/>
            <w:right w:val="none" w:sz="0" w:space="0" w:color="auto"/>
          </w:divBdr>
          <w:divsChild>
            <w:div w:id="133715582">
              <w:marLeft w:val="0"/>
              <w:marRight w:val="0"/>
              <w:marTop w:val="0"/>
              <w:marBottom w:val="0"/>
              <w:divBdr>
                <w:top w:val="none" w:sz="0" w:space="0" w:color="auto"/>
                <w:left w:val="none" w:sz="0" w:space="0" w:color="auto"/>
                <w:bottom w:val="none" w:sz="0" w:space="0" w:color="auto"/>
                <w:right w:val="none" w:sz="0" w:space="0" w:color="auto"/>
              </w:divBdr>
              <w:divsChild>
                <w:div w:id="478964603">
                  <w:marLeft w:val="0"/>
                  <w:marRight w:val="0"/>
                  <w:marTop w:val="120"/>
                  <w:marBottom w:val="0"/>
                  <w:divBdr>
                    <w:top w:val="none" w:sz="0" w:space="0" w:color="auto"/>
                    <w:left w:val="none" w:sz="0" w:space="0" w:color="auto"/>
                    <w:bottom w:val="none" w:sz="0" w:space="0" w:color="auto"/>
                    <w:right w:val="none" w:sz="0" w:space="0" w:color="auto"/>
                  </w:divBdr>
                  <w:divsChild>
                    <w:div w:id="1514609883">
                      <w:marLeft w:val="0"/>
                      <w:marRight w:val="0"/>
                      <w:marTop w:val="0"/>
                      <w:marBottom w:val="0"/>
                      <w:divBdr>
                        <w:top w:val="none" w:sz="0" w:space="0" w:color="auto"/>
                        <w:left w:val="none" w:sz="0" w:space="0" w:color="auto"/>
                        <w:bottom w:val="none" w:sz="0" w:space="0" w:color="auto"/>
                        <w:right w:val="none" w:sz="0" w:space="0" w:color="auto"/>
                      </w:divBdr>
                      <w:divsChild>
                        <w:div w:id="74127711">
                          <w:marLeft w:val="0"/>
                          <w:marRight w:val="0"/>
                          <w:marTop w:val="0"/>
                          <w:marBottom w:val="0"/>
                          <w:divBdr>
                            <w:top w:val="none" w:sz="0" w:space="0" w:color="auto"/>
                            <w:left w:val="none" w:sz="0" w:space="0" w:color="auto"/>
                            <w:bottom w:val="none" w:sz="0" w:space="0" w:color="auto"/>
                            <w:right w:val="none" w:sz="0" w:space="0" w:color="auto"/>
                          </w:divBdr>
                          <w:divsChild>
                            <w:div w:id="377749531">
                              <w:marLeft w:val="0"/>
                              <w:marRight w:val="0"/>
                              <w:marTop w:val="0"/>
                              <w:marBottom w:val="0"/>
                              <w:divBdr>
                                <w:top w:val="none" w:sz="0" w:space="0" w:color="auto"/>
                                <w:left w:val="none" w:sz="0" w:space="0" w:color="auto"/>
                                <w:bottom w:val="none" w:sz="0" w:space="0" w:color="auto"/>
                                <w:right w:val="none" w:sz="0" w:space="0" w:color="auto"/>
                              </w:divBdr>
                              <w:divsChild>
                                <w:div w:id="758134790">
                                  <w:marLeft w:val="0"/>
                                  <w:marRight w:val="0"/>
                                  <w:marTop w:val="0"/>
                                  <w:marBottom w:val="0"/>
                                  <w:divBdr>
                                    <w:top w:val="none" w:sz="0" w:space="0" w:color="auto"/>
                                    <w:left w:val="none" w:sz="0" w:space="0" w:color="auto"/>
                                    <w:bottom w:val="none" w:sz="0" w:space="0" w:color="auto"/>
                                    <w:right w:val="none" w:sz="0" w:space="0" w:color="auto"/>
                                  </w:divBdr>
                                  <w:divsChild>
                                    <w:div w:id="468134933">
                                      <w:marLeft w:val="0"/>
                                      <w:marRight w:val="0"/>
                                      <w:marTop w:val="0"/>
                                      <w:marBottom w:val="0"/>
                                      <w:divBdr>
                                        <w:top w:val="none" w:sz="0" w:space="0" w:color="auto"/>
                                        <w:left w:val="none" w:sz="0" w:space="0" w:color="auto"/>
                                        <w:bottom w:val="none" w:sz="0" w:space="0" w:color="auto"/>
                                        <w:right w:val="none" w:sz="0" w:space="0" w:color="auto"/>
                                      </w:divBdr>
                                    </w:div>
                                  </w:divsChild>
                                </w:div>
                                <w:div w:id="1304848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3931170">
      <w:bodyDiv w:val="1"/>
      <w:marLeft w:val="0"/>
      <w:marRight w:val="0"/>
      <w:marTop w:val="0"/>
      <w:marBottom w:val="0"/>
      <w:divBdr>
        <w:top w:val="none" w:sz="0" w:space="0" w:color="auto"/>
        <w:left w:val="none" w:sz="0" w:space="0" w:color="auto"/>
        <w:bottom w:val="none" w:sz="0" w:space="0" w:color="auto"/>
        <w:right w:val="none" w:sz="0" w:space="0" w:color="auto"/>
      </w:divBdr>
    </w:div>
    <w:div w:id="2103910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ettings" Target="settings.xml" Id="rId3" /><Relationship Type="http://schemas.openxmlformats.org/officeDocument/2006/relationships/image" Target="media/image1.emf"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2.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21MiahS (Fortis Student)</dc:creator>
  <keywords/>
  <dc:description/>
  <lastModifiedBy>Rukeiya Saleem (2415167)</lastModifiedBy>
  <revision>2</revision>
  <dcterms:created xsi:type="dcterms:W3CDTF">2025-11-24T08:10:00.0000000Z</dcterms:created>
  <dcterms:modified xsi:type="dcterms:W3CDTF">2025-11-25T13:22:45.9179120Z</dcterms:modified>
</coreProperties>
</file>