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87929" w14:textId="77777777" w:rsidR="007E57DF" w:rsidRDefault="007E57DF">
      <w:pPr>
        <w:rPr>
          <w:rFonts w:asciiTheme="minorBidi" w:hAnsiTheme="minorBidi" w:cstheme="minorBidi"/>
          <w:b/>
          <w:bCs/>
          <w:sz w:val="24"/>
          <w:szCs w:val="24"/>
        </w:rPr>
      </w:pPr>
    </w:p>
    <w:p w14:paraId="38F240D9" w14:textId="77777777" w:rsidR="00404EC9" w:rsidRDefault="00404EC9" w:rsidP="00404EC9">
      <w:bookmarkStart w:id="0" w:name="_Toc212070078"/>
      <w:bookmarkStart w:id="1" w:name="_Toc216737641"/>
    </w:p>
    <w:p w14:paraId="40AE8DF6" w14:textId="77777777" w:rsidR="00404EC9" w:rsidRPr="00CA2807" w:rsidRDefault="00404EC9" w:rsidP="00404EC9">
      <w:pPr>
        <w:rPr>
          <w:sz w:val="48"/>
        </w:rPr>
      </w:pPr>
      <w:r w:rsidRPr="00CA2807">
        <w:rPr>
          <w:noProof/>
        </w:rPr>
        <w:drawing>
          <wp:anchor distT="0" distB="0" distL="114300" distR="114300" simplePos="0" relativeHeight="251659264" behindDoc="1" locked="0" layoutInCell="1" allowOverlap="1" wp14:anchorId="2FDDBB6C" wp14:editId="686BDF32">
            <wp:simplePos x="0" y="0"/>
            <wp:positionH relativeFrom="column">
              <wp:posOffset>1267460</wp:posOffset>
            </wp:positionH>
            <wp:positionV relativeFrom="paragraph">
              <wp:posOffset>537845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7">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bookmarkEnd w:id="0"/>
      <w:bookmarkEnd w:id="1"/>
    </w:p>
    <w:p w14:paraId="0388FB00" w14:textId="77777777" w:rsidR="00404EC9" w:rsidRPr="00CA2807" w:rsidRDefault="00404EC9" w:rsidP="00404EC9">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14:paraId="3911E04E" w14:textId="77777777" w:rsidR="00404EC9" w:rsidRPr="00CA2807" w:rsidRDefault="00404EC9" w:rsidP="00404EC9">
      <w:pPr>
        <w:spacing w:before="100" w:beforeAutospacing="1" w:after="100" w:afterAutospacing="1" w:line="240" w:lineRule="auto"/>
        <w:jc w:val="center"/>
        <w:outlineLvl w:val="0"/>
        <w:rPr>
          <w:rFonts w:ascii="Times New Roman" w:eastAsia="Times New Roman" w:hAnsi="Times New Roman" w:cs="Times New Roman"/>
          <w:b/>
          <w:bCs/>
          <w:kern w:val="36"/>
          <w:sz w:val="72"/>
          <w:szCs w:val="48"/>
        </w:rPr>
      </w:pPr>
    </w:p>
    <w:p w14:paraId="7DD6D7BD" w14:textId="77777777" w:rsidR="00404EC9" w:rsidRDefault="00404EC9" w:rsidP="00404EC9">
      <w:pPr>
        <w:spacing w:before="100" w:beforeAutospacing="1" w:after="100" w:afterAutospacing="1" w:line="240" w:lineRule="auto"/>
        <w:jc w:val="center"/>
        <w:outlineLvl w:val="0"/>
        <w:rPr>
          <w:rFonts w:ascii="Times New Roman" w:eastAsia="Times New Roman" w:hAnsi="Times New Roman" w:cs="Times New Roman"/>
          <w:b/>
          <w:bCs/>
          <w:kern w:val="36"/>
          <w:sz w:val="56"/>
          <w:szCs w:val="48"/>
        </w:rPr>
      </w:pPr>
    </w:p>
    <w:p w14:paraId="361F71D6" w14:textId="77777777" w:rsidR="00404EC9" w:rsidRPr="00527F96" w:rsidRDefault="00404EC9" w:rsidP="00404EC9">
      <w:pPr>
        <w:jc w:val="center"/>
        <w:rPr>
          <w:rFonts w:asciiTheme="minorBidi" w:eastAsia="Times New Roman" w:hAnsiTheme="minorBidi" w:cstheme="minorBidi"/>
          <w:b/>
          <w:bCs/>
          <w:kern w:val="36"/>
          <w:sz w:val="144"/>
          <w:szCs w:val="180"/>
        </w:rPr>
      </w:pPr>
      <w:r w:rsidRPr="00527F96">
        <w:rPr>
          <w:rFonts w:asciiTheme="minorBidi" w:hAnsiTheme="minorBidi" w:cstheme="minorBidi"/>
          <w:b/>
          <w:bCs/>
          <w:sz w:val="48"/>
          <w:szCs w:val="48"/>
        </w:rPr>
        <w:t>Data Security Governance and Compliance</w:t>
      </w:r>
    </w:p>
    <w:p w14:paraId="6F5EE21A" w14:textId="77777777" w:rsidR="00404EC9" w:rsidRPr="00527F96" w:rsidRDefault="00404EC9" w:rsidP="00404EC9">
      <w:pPr>
        <w:jc w:val="center"/>
        <w:rPr>
          <w:rFonts w:asciiTheme="minorBidi" w:hAnsiTheme="minorBidi" w:cstheme="minorBidi"/>
          <w:b/>
          <w:bCs/>
          <w:sz w:val="32"/>
          <w:szCs w:val="32"/>
        </w:rPr>
      </w:pPr>
      <w:bookmarkStart w:id="2" w:name="_Toc212070080"/>
      <w:bookmarkStart w:id="3" w:name="_Toc216737643"/>
      <w:r w:rsidRPr="00527F96">
        <w:rPr>
          <w:rFonts w:asciiTheme="minorBidi" w:hAnsiTheme="minorBidi" w:cstheme="minorBidi"/>
          <w:b/>
          <w:bCs/>
          <w:sz w:val="32"/>
          <w:szCs w:val="32"/>
        </w:rPr>
        <w:t>ACCA7028 Assessment Report</w:t>
      </w:r>
      <w:bookmarkEnd w:id="2"/>
      <w:bookmarkEnd w:id="3"/>
    </w:p>
    <w:p w14:paraId="2614E49A" w14:textId="77777777" w:rsidR="00404EC9" w:rsidRPr="00CA2807" w:rsidRDefault="00404EC9" w:rsidP="00404EC9">
      <w:pPr>
        <w:spacing w:before="100" w:beforeAutospacing="1" w:after="100" w:afterAutospacing="1" w:line="240" w:lineRule="auto"/>
        <w:rPr>
          <w:rFonts w:ascii="Times New Roman" w:eastAsia="Times New Roman" w:hAnsi="Times New Roman" w:cs="Times New Roman"/>
          <w:b/>
          <w:bCs/>
          <w:sz w:val="24"/>
          <w:szCs w:val="24"/>
        </w:rPr>
      </w:pPr>
    </w:p>
    <w:p w14:paraId="0A92A3D1" w14:textId="247F0211" w:rsidR="00404EC9" w:rsidRPr="00CA2807" w:rsidRDefault="00404EC9" w:rsidP="00404EC9">
      <w:pPr>
        <w:spacing w:before="100" w:beforeAutospacing="1" w:after="100" w:afterAutospacing="1" w:line="240" w:lineRule="auto"/>
        <w:jc w:val="center"/>
        <w:rPr>
          <w:rFonts w:ascii="Times New Roman" w:eastAsia="Times New Roman" w:hAnsi="Times New Roman" w:cs="Times New Roman"/>
          <w:sz w:val="28"/>
          <w:szCs w:val="24"/>
        </w:rPr>
      </w:pPr>
      <w:r w:rsidRPr="00CA2807">
        <w:rPr>
          <w:rFonts w:ascii="Times New Roman" w:eastAsia="Times New Roman" w:hAnsi="Times New Roman" w:cs="Times New Roman"/>
          <w:b/>
          <w:bCs/>
          <w:sz w:val="28"/>
          <w:szCs w:val="24"/>
        </w:rPr>
        <w:t>Student Name: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sidRPr="00404EC9">
        <w:rPr>
          <w:rFonts w:ascii="Times New Roman" w:eastAsia="Times New Roman" w:hAnsi="Times New Roman" w:cs="Times New Roman"/>
          <w:sz w:val="28"/>
          <w:szCs w:val="24"/>
        </w:rPr>
        <w:t>Deep Desai</w:t>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Student ID:</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sidRPr="00404EC9">
        <w:rPr>
          <w:rFonts w:ascii="Times New Roman" w:hAnsi="Times New Roman" w:cs="Times New Roman"/>
          <w:sz w:val="24"/>
        </w:rPr>
        <w:t>2421862</w:t>
      </w:r>
      <w:r w:rsidRPr="00CA2807">
        <w:rPr>
          <w:rFonts w:ascii="Times New Roman" w:hAnsi="Times New Roman" w:cs="Times New Roman"/>
          <w:sz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Programme: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t>MSc Cybersecurity and Digital Forensics</w:t>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sz w:val="28"/>
          <w:szCs w:val="24"/>
        </w:rPr>
        <w:br/>
      </w:r>
      <w:r w:rsidRPr="00CA2807">
        <w:rPr>
          <w:rFonts w:ascii="Times New Roman" w:eastAsia="Times New Roman" w:hAnsi="Times New Roman" w:cs="Times New Roman"/>
          <w:b/>
          <w:bCs/>
          <w:sz w:val="28"/>
          <w:szCs w:val="24"/>
        </w:rPr>
        <w:t>Submission Date:</w:t>
      </w:r>
      <w:r w:rsidRPr="00CA2807">
        <w:rPr>
          <w:rFonts w:ascii="Times New Roman" w:eastAsia="Times New Roman" w:hAnsi="Times New Roman" w:cs="Times New Roman"/>
          <w:sz w:val="28"/>
          <w:szCs w:val="24"/>
        </w:rPr>
        <w:t xml:space="preserve"> </w:t>
      </w:r>
      <w:r w:rsidRPr="00CA2807">
        <w:rPr>
          <w:rFonts w:ascii="Times New Roman" w:eastAsia="Times New Roman" w:hAnsi="Times New Roman" w:cs="Times New Roman"/>
          <w:sz w:val="28"/>
          <w:szCs w:val="24"/>
        </w:rPr>
        <w:br/>
      </w:r>
      <w:r>
        <w:rPr>
          <w:rFonts w:ascii="Times New Roman" w:eastAsia="Times New Roman" w:hAnsi="Times New Roman" w:cs="Times New Roman"/>
          <w:sz w:val="28"/>
          <w:szCs w:val="24"/>
        </w:rPr>
        <w:t>Friday</w:t>
      </w:r>
      <w:r w:rsidRPr="00CA2807">
        <w:rPr>
          <w:rFonts w:ascii="Times New Roman" w:eastAsia="Times New Roman" w:hAnsi="Times New Roman" w:cs="Times New Roman"/>
          <w:sz w:val="28"/>
          <w:szCs w:val="24"/>
        </w:rPr>
        <w:t>, 1</w:t>
      </w:r>
      <w:r>
        <w:rPr>
          <w:rFonts w:ascii="Times New Roman" w:eastAsia="Times New Roman" w:hAnsi="Times New Roman" w:cs="Times New Roman"/>
          <w:sz w:val="28"/>
          <w:szCs w:val="24"/>
        </w:rPr>
        <w:t>9</w:t>
      </w:r>
      <w:r w:rsidRPr="00CA2807">
        <w:rPr>
          <w:rFonts w:ascii="Times New Roman" w:eastAsia="Times New Roman" w:hAnsi="Times New Roman" w:cs="Times New Roman"/>
          <w:sz w:val="28"/>
          <w:szCs w:val="24"/>
        </w:rPr>
        <w:t>th December 2025</w:t>
      </w:r>
    </w:p>
    <w:p w14:paraId="36A3416C" w14:textId="77777777" w:rsidR="00404EC9" w:rsidRPr="00273DE4" w:rsidRDefault="00404EC9" w:rsidP="00404EC9">
      <w:pPr>
        <w:rPr>
          <w:rFonts w:asciiTheme="minorBidi" w:hAnsiTheme="minorBidi" w:cstheme="minorBidi"/>
          <w:sz w:val="24"/>
          <w:szCs w:val="24"/>
        </w:rPr>
      </w:pPr>
    </w:p>
    <w:p w14:paraId="3011A46D" w14:textId="77777777" w:rsidR="00404EC9" w:rsidRDefault="00404EC9" w:rsidP="00404EC9"/>
    <w:p w14:paraId="03CE2B1C" w14:textId="77777777" w:rsidR="007E57DF" w:rsidRDefault="007E57DF">
      <w:pPr>
        <w:rPr>
          <w:rFonts w:asciiTheme="minorBidi" w:hAnsiTheme="minorBidi" w:cstheme="minorBidi"/>
          <w:b/>
          <w:bCs/>
          <w:sz w:val="24"/>
          <w:szCs w:val="24"/>
        </w:rPr>
      </w:pPr>
    </w:p>
    <w:p w14:paraId="370B86D3" w14:textId="77777777" w:rsidR="007E57DF" w:rsidRDefault="007E57DF">
      <w:pPr>
        <w:rPr>
          <w:rFonts w:asciiTheme="minorBidi" w:hAnsiTheme="minorBidi" w:cstheme="minorBidi"/>
          <w:b/>
          <w:bCs/>
          <w:sz w:val="24"/>
          <w:szCs w:val="24"/>
        </w:rPr>
      </w:pPr>
    </w:p>
    <w:p w14:paraId="31729F9A" w14:textId="77777777" w:rsidR="007E57DF" w:rsidRDefault="007E57DF">
      <w:pPr>
        <w:rPr>
          <w:rFonts w:asciiTheme="minorBidi" w:hAnsiTheme="minorBidi" w:cstheme="minorBidi"/>
          <w:b/>
          <w:bCs/>
          <w:sz w:val="24"/>
          <w:szCs w:val="24"/>
        </w:rPr>
      </w:pPr>
    </w:p>
    <w:p w14:paraId="5DCDF774" w14:textId="77777777" w:rsidR="007E57DF" w:rsidRDefault="007E57DF">
      <w:pPr>
        <w:rPr>
          <w:rFonts w:asciiTheme="minorBidi" w:hAnsiTheme="minorBidi" w:cstheme="minorBidi"/>
          <w:b/>
          <w:bCs/>
          <w:sz w:val="24"/>
          <w:szCs w:val="24"/>
        </w:rPr>
      </w:pPr>
    </w:p>
    <w:p w14:paraId="706693D6" w14:textId="77777777" w:rsidR="007E57DF" w:rsidRDefault="007E57DF">
      <w:pPr>
        <w:rPr>
          <w:rFonts w:asciiTheme="minorBidi" w:hAnsiTheme="minorBidi" w:cstheme="minorBidi"/>
          <w:b/>
          <w:bCs/>
          <w:sz w:val="24"/>
          <w:szCs w:val="24"/>
        </w:rPr>
      </w:pPr>
    </w:p>
    <w:p w14:paraId="450D3F64" w14:textId="77777777" w:rsidR="00404EC9" w:rsidRDefault="00404EC9">
      <w:pPr>
        <w:rPr>
          <w:rFonts w:asciiTheme="minorBidi" w:hAnsiTheme="minorBidi" w:cstheme="minorBidi"/>
          <w:b/>
          <w:bCs/>
          <w:sz w:val="24"/>
          <w:szCs w:val="24"/>
        </w:rPr>
      </w:pPr>
    </w:p>
    <w:p w14:paraId="75164872" w14:textId="77777777" w:rsidR="007E57DF" w:rsidRDefault="007E57DF">
      <w:pPr>
        <w:rPr>
          <w:rFonts w:asciiTheme="minorBidi" w:hAnsiTheme="minorBidi" w:cstheme="minorBidi"/>
          <w:b/>
          <w:bCs/>
          <w:sz w:val="24"/>
          <w:szCs w:val="24"/>
        </w:rPr>
      </w:pPr>
    </w:p>
    <w:p w14:paraId="08F59314" w14:textId="3121B47F" w:rsidR="006235EB" w:rsidRPr="007E57DF" w:rsidRDefault="00000000" w:rsidP="00404EC9">
      <w:pPr>
        <w:pStyle w:val="IntenseQuote"/>
      </w:pPr>
      <w:r w:rsidRPr="007E57DF">
        <w:t xml:space="preserve">Abstract </w:t>
      </w:r>
    </w:p>
    <w:p w14:paraId="501822F5" w14:textId="77777777" w:rsidR="006235EB" w:rsidRDefault="00000000" w:rsidP="00404EC9">
      <w:pPr>
        <w:pStyle w:val="IntenseQuote"/>
      </w:pPr>
      <w:r w:rsidRPr="007E57DF">
        <w:t>This report discusses how the principles of data security, governance, and compliance apply to the case of NatureGreen (NG), a multinational, distributed organisation with extensive use of cloud technology, wireless networks and extensive use of bring-your-own-device (BYOD). The paper cites lack of official security policies and governance models as a major threat to customer information, employee information, and valuable intellectual property. An organised overview of established security and governance frameworks, such as ISO/IEC 27001, NIST Cybersecurity Framework 2.0, ITIL, and the Cloud Security Alliance Control Matrix are conducted to form a base of best-practice. Based on this literature, the report suggests a multi-layered security structure that incorporates network segment, access control, wireless security, cloud security control, intrusion prevention and detection, BYOD security management, logging and incident response, and firewall policy governance. Its framework is intended to match the technical security controls to the organisational governance, regulatory compliance and requirement of risk management. In addition, the report critically examines the relevance of an unceasingly updated regulations, standards, and security policies to suit development of threat scenarios, technological alteration, and regulatory demands. The results prove that a holistic and standards-based strategy is much more effective in promoting organisation resilience, allowing it to act legally and ethically and providing NatureGreen with the ability to safely offer its services without losing trust and strategic value.</w:t>
      </w:r>
    </w:p>
    <w:p w14:paraId="0494B6A2" w14:textId="77777777" w:rsidR="007E57DF" w:rsidRDefault="007E57DF">
      <w:pPr>
        <w:rPr>
          <w:rFonts w:asciiTheme="minorBidi" w:hAnsiTheme="minorBidi" w:cstheme="minorBidi"/>
          <w:sz w:val="24"/>
          <w:szCs w:val="24"/>
        </w:rPr>
      </w:pPr>
    </w:p>
    <w:p w14:paraId="22F012BD" w14:textId="77777777" w:rsidR="007E57DF" w:rsidRDefault="007E57DF">
      <w:pPr>
        <w:rPr>
          <w:rFonts w:asciiTheme="minorBidi" w:hAnsiTheme="minorBidi" w:cstheme="minorBidi"/>
          <w:sz w:val="24"/>
          <w:szCs w:val="24"/>
        </w:rPr>
      </w:pPr>
    </w:p>
    <w:p w14:paraId="2E56EA54" w14:textId="77777777" w:rsidR="007E57DF" w:rsidRDefault="007E57DF">
      <w:pPr>
        <w:rPr>
          <w:rFonts w:asciiTheme="minorBidi" w:hAnsiTheme="minorBidi" w:cstheme="minorBidi"/>
          <w:sz w:val="24"/>
          <w:szCs w:val="24"/>
        </w:rPr>
      </w:pPr>
    </w:p>
    <w:p w14:paraId="1D3F2D37" w14:textId="77777777" w:rsidR="00404EC9" w:rsidRDefault="00404EC9">
      <w:pPr>
        <w:rPr>
          <w:rFonts w:asciiTheme="minorBidi" w:hAnsiTheme="minorBidi" w:cstheme="minorBidi"/>
          <w:sz w:val="24"/>
          <w:szCs w:val="24"/>
        </w:rPr>
      </w:pPr>
    </w:p>
    <w:p w14:paraId="3AA3E411" w14:textId="77777777" w:rsidR="00404EC9" w:rsidRDefault="00404EC9">
      <w:pPr>
        <w:rPr>
          <w:rFonts w:asciiTheme="minorBidi" w:hAnsiTheme="minorBidi" w:cstheme="minorBidi"/>
          <w:sz w:val="24"/>
          <w:szCs w:val="24"/>
        </w:rPr>
      </w:pPr>
    </w:p>
    <w:p w14:paraId="5C27FB84" w14:textId="77777777" w:rsidR="00404EC9" w:rsidRDefault="00404EC9">
      <w:pPr>
        <w:rPr>
          <w:rFonts w:asciiTheme="minorBidi" w:hAnsiTheme="minorBidi" w:cstheme="minorBidi"/>
          <w:sz w:val="24"/>
          <w:szCs w:val="24"/>
        </w:rPr>
      </w:pPr>
    </w:p>
    <w:p w14:paraId="73F4DE06" w14:textId="77777777" w:rsidR="00404EC9" w:rsidRDefault="00404EC9">
      <w:pPr>
        <w:rPr>
          <w:rFonts w:asciiTheme="minorBidi" w:hAnsiTheme="minorBidi" w:cstheme="minorBidi"/>
          <w:sz w:val="24"/>
          <w:szCs w:val="24"/>
        </w:rPr>
      </w:pPr>
    </w:p>
    <w:p w14:paraId="75A22FB1" w14:textId="77777777" w:rsidR="00404EC9" w:rsidRDefault="00404EC9">
      <w:pPr>
        <w:rPr>
          <w:rFonts w:asciiTheme="minorBidi" w:hAnsiTheme="minorBidi" w:cstheme="minorBidi"/>
          <w:sz w:val="24"/>
          <w:szCs w:val="24"/>
        </w:rPr>
      </w:pPr>
    </w:p>
    <w:p w14:paraId="7EBD6EF3" w14:textId="77777777" w:rsidR="00404EC9" w:rsidRDefault="00404EC9">
      <w:pPr>
        <w:rPr>
          <w:rFonts w:asciiTheme="minorBidi" w:hAnsiTheme="minorBidi" w:cstheme="minorBidi"/>
          <w:sz w:val="24"/>
          <w:szCs w:val="24"/>
        </w:rPr>
      </w:pPr>
    </w:p>
    <w:p w14:paraId="42CE28D7" w14:textId="77777777" w:rsidR="00404EC9" w:rsidRDefault="00404EC9">
      <w:pPr>
        <w:rPr>
          <w:rFonts w:asciiTheme="minorBidi" w:hAnsiTheme="minorBidi" w:cstheme="minorBidi"/>
          <w:sz w:val="24"/>
          <w:szCs w:val="24"/>
        </w:rPr>
      </w:pPr>
    </w:p>
    <w:p w14:paraId="28B85EE4" w14:textId="77777777" w:rsidR="00404EC9" w:rsidRDefault="00404EC9">
      <w:pPr>
        <w:rPr>
          <w:rFonts w:asciiTheme="minorBidi" w:hAnsiTheme="minorBidi" w:cstheme="minorBidi"/>
          <w:sz w:val="24"/>
          <w:szCs w:val="24"/>
        </w:rPr>
      </w:pPr>
    </w:p>
    <w:sdt>
      <w:sdtPr>
        <w:rPr>
          <w:rFonts w:ascii="Calibri" w:eastAsia="Calibri" w:hAnsi="Calibri" w:cs="Arial"/>
          <w:color w:val="auto"/>
          <w:sz w:val="22"/>
          <w:szCs w:val="22"/>
          <w:lang w:val="en-PK"/>
        </w:rPr>
        <w:id w:val="97297965"/>
        <w:docPartObj>
          <w:docPartGallery w:val="Table of Contents"/>
          <w:docPartUnique/>
        </w:docPartObj>
      </w:sdtPr>
      <w:sdtEndPr>
        <w:rPr>
          <w:b/>
          <w:bCs/>
          <w:noProof/>
        </w:rPr>
      </w:sdtEndPr>
      <w:sdtContent>
        <w:p w14:paraId="10796387" w14:textId="29F8FF3A" w:rsidR="00404EC9" w:rsidRDefault="00404EC9">
          <w:pPr>
            <w:pStyle w:val="TOCHeading"/>
          </w:pPr>
          <w:r>
            <w:t>Contents</w:t>
          </w:r>
        </w:p>
        <w:p w14:paraId="5000B5B6" w14:textId="75BEDE6B" w:rsidR="00404EC9" w:rsidRDefault="00404EC9">
          <w:pPr>
            <w:pStyle w:val="TOC1"/>
            <w:tabs>
              <w:tab w:val="right" w:leader="dot" w:pos="9016"/>
            </w:tabs>
            <w:rPr>
              <w:noProof/>
            </w:rPr>
          </w:pPr>
          <w:r>
            <w:fldChar w:fldCharType="begin"/>
          </w:r>
          <w:r>
            <w:instrText xml:space="preserve"> TOC \o "1-3" \h \z \u </w:instrText>
          </w:r>
          <w:r>
            <w:fldChar w:fldCharType="separate"/>
          </w:r>
          <w:hyperlink w:anchor="_Toc216916076" w:history="1">
            <w:r w:rsidRPr="00903E41">
              <w:rPr>
                <w:rStyle w:val="Hyperlink"/>
                <w:b/>
                <w:bCs/>
                <w:noProof/>
              </w:rPr>
              <w:t>Introduction</w:t>
            </w:r>
            <w:r>
              <w:rPr>
                <w:noProof/>
                <w:webHidden/>
              </w:rPr>
              <w:tab/>
            </w:r>
            <w:r>
              <w:rPr>
                <w:noProof/>
                <w:webHidden/>
              </w:rPr>
              <w:fldChar w:fldCharType="begin"/>
            </w:r>
            <w:r>
              <w:rPr>
                <w:noProof/>
                <w:webHidden/>
              </w:rPr>
              <w:instrText xml:space="preserve"> PAGEREF _Toc216916076 \h </w:instrText>
            </w:r>
            <w:r>
              <w:rPr>
                <w:noProof/>
                <w:webHidden/>
              </w:rPr>
            </w:r>
            <w:r>
              <w:rPr>
                <w:noProof/>
                <w:webHidden/>
              </w:rPr>
              <w:fldChar w:fldCharType="separate"/>
            </w:r>
            <w:r>
              <w:rPr>
                <w:noProof/>
                <w:webHidden/>
              </w:rPr>
              <w:t>3</w:t>
            </w:r>
            <w:r>
              <w:rPr>
                <w:noProof/>
                <w:webHidden/>
              </w:rPr>
              <w:fldChar w:fldCharType="end"/>
            </w:r>
          </w:hyperlink>
        </w:p>
        <w:p w14:paraId="4647E3F4" w14:textId="3F2506B9" w:rsidR="00404EC9" w:rsidRDefault="00404EC9">
          <w:pPr>
            <w:pStyle w:val="TOC1"/>
            <w:tabs>
              <w:tab w:val="right" w:leader="dot" w:pos="9016"/>
            </w:tabs>
            <w:rPr>
              <w:noProof/>
            </w:rPr>
          </w:pPr>
          <w:hyperlink w:anchor="_Toc216916077" w:history="1">
            <w:r w:rsidRPr="00903E41">
              <w:rPr>
                <w:rStyle w:val="Hyperlink"/>
                <w:b/>
                <w:bCs/>
                <w:noProof/>
              </w:rPr>
              <w:t>Literature Review: Security Frameworks and Models</w:t>
            </w:r>
            <w:r>
              <w:rPr>
                <w:noProof/>
                <w:webHidden/>
              </w:rPr>
              <w:tab/>
            </w:r>
            <w:r>
              <w:rPr>
                <w:noProof/>
                <w:webHidden/>
              </w:rPr>
              <w:fldChar w:fldCharType="begin"/>
            </w:r>
            <w:r>
              <w:rPr>
                <w:noProof/>
                <w:webHidden/>
              </w:rPr>
              <w:instrText xml:space="preserve"> PAGEREF _Toc216916077 \h </w:instrText>
            </w:r>
            <w:r>
              <w:rPr>
                <w:noProof/>
                <w:webHidden/>
              </w:rPr>
            </w:r>
            <w:r>
              <w:rPr>
                <w:noProof/>
                <w:webHidden/>
              </w:rPr>
              <w:fldChar w:fldCharType="separate"/>
            </w:r>
            <w:r>
              <w:rPr>
                <w:noProof/>
                <w:webHidden/>
              </w:rPr>
              <w:t>4</w:t>
            </w:r>
            <w:r>
              <w:rPr>
                <w:noProof/>
                <w:webHidden/>
              </w:rPr>
              <w:fldChar w:fldCharType="end"/>
            </w:r>
          </w:hyperlink>
        </w:p>
        <w:p w14:paraId="4F00E381" w14:textId="5EB10279" w:rsidR="00404EC9" w:rsidRDefault="00404EC9">
          <w:pPr>
            <w:pStyle w:val="TOC1"/>
            <w:tabs>
              <w:tab w:val="right" w:leader="dot" w:pos="9016"/>
            </w:tabs>
            <w:rPr>
              <w:noProof/>
            </w:rPr>
          </w:pPr>
          <w:hyperlink w:anchor="_Toc216916078" w:history="1">
            <w:r w:rsidRPr="00903E41">
              <w:rPr>
                <w:rStyle w:val="Hyperlink"/>
                <w:b/>
                <w:bCs/>
                <w:noProof/>
              </w:rPr>
              <w:t>NatureGreen Scenario Analysis and Assumptions</w:t>
            </w:r>
            <w:r>
              <w:rPr>
                <w:noProof/>
                <w:webHidden/>
              </w:rPr>
              <w:tab/>
            </w:r>
            <w:r>
              <w:rPr>
                <w:noProof/>
                <w:webHidden/>
              </w:rPr>
              <w:fldChar w:fldCharType="begin"/>
            </w:r>
            <w:r>
              <w:rPr>
                <w:noProof/>
                <w:webHidden/>
              </w:rPr>
              <w:instrText xml:space="preserve"> PAGEREF _Toc216916078 \h </w:instrText>
            </w:r>
            <w:r>
              <w:rPr>
                <w:noProof/>
                <w:webHidden/>
              </w:rPr>
            </w:r>
            <w:r>
              <w:rPr>
                <w:noProof/>
                <w:webHidden/>
              </w:rPr>
              <w:fldChar w:fldCharType="separate"/>
            </w:r>
            <w:r>
              <w:rPr>
                <w:noProof/>
                <w:webHidden/>
              </w:rPr>
              <w:t>6</w:t>
            </w:r>
            <w:r>
              <w:rPr>
                <w:noProof/>
                <w:webHidden/>
              </w:rPr>
              <w:fldChar w:fldCharType="end"/>
            </w:r>
          </w:hyperlink>
        </w:p>
        <w:p w14:paraId="702499DC" w14:textId="1875D2FE" w:rsidR="00404EC9" w:rsidRDefault="00404EC9">
          <w:pPr>
            <w:pStyle w:val="TOC1"/>
            <w:tabs>
              <w:tab w:val="right" w:leader="dot" w:pos="9016"/>
            </w:tabs>
            <w:rPr>
              <w:noProof/>
            </w:rPr>
          </w:pPr>
          <w:hyperlink w:anchor="_Toc216916079" w:history="1">
            <w:r w:rsidRPr="00903E41">
              <w:rPr>
                <w:rStyle w:val="Hyperlink"/>
                <w:b/>
                <w:bCs/>
                <w:noProof/>
              </w:rPr>
              <w:t>Design of the Proposed Security, Governance and Compliance Framework</w:t>
            </w:r>
            <w:r>
              <w:rPr>
                <w:noProof/>
                <w:webHidden/>
              </w:rPr>
              <w:tab/>
            </w:r>
            <w:r>
              <w:rPr>
                <w:noProof/>
                <w:webHidden/>
              </w:rPr>
              <w:fldChar w:fldCharType="begin"/>
            </w:r>
            <w:r>
              <w:rPr>
                <w:noProof/>
                <w:webHidden/>
              </w:rPr>
              <w:instrText xml:space="preserve"> PAGEREF _Toc216916079 \h </w:instrText>
            </w:r>
            <w:r>
              <w:rPr>
                <w:noProof/>
                <w:webHidden/>
              </w:rPr>
            </w:r>
            <w:r>
              <w:rPr>
                <w:noProof/>
                <w:webHidden/>
              </w:rPr>
              <w:fldChar w:fldCharType="separate"/>
            </w:r>
            <w:r>
              <w:rPr>
                <w:noProof/>
                <w:webHidden/>
              </w:rPr>
              <w:t>7</w:t>
            </w:r>
            <w:r>
              <w:rPr>
                <w:noProof/>
                <w:webHidden/>
              </w:rPr>
              <w:fldChar w:fldCharType="end"/>
            </w:r>
          </w:hyperlink>
        </w:p>
        <w:p w14:paraId="472F907F" w14:textId="67B8C6A6" w:rsidR="00404EC9" w:rsidRDefault="00404EC9">
          <w:pPr>
            <w:pStyle w:val="TOC1"/>
            <w:tabs>
              <w:tab w:val="right" w:leader="dot" w:pos="9016"/>
            </w:tabs>
            <w:rPr>
              <w:noProof/>
            </w:rPr>
          </w:pPr>
          <w:hyperlink w:anchor="_Toc216916080" w:history="1">
            <w:r w:rsidRPr="00903E41">
              <w:rPr>
                <w:rStyle w:val="Hyperlink"/>
                <w:b/>
                <w:bCs/>
                <w:noProof/>
              </w:rPr>
              <w:t>Critical Discussion: Why Regulations and Standards Must Be Updated</w:t>
            </w:r>
            <w:r>
              <w:rPr>
                <w:noProof/>
                <w:webHidden/>
              </w:rPr>
              <w:tab/>
            </w:r>
            <w:r>
              <w:rPr>
                <w:noProof/>
                <w:webHidden/>
              </w:rPr>
              <w:fldChar w:fldCharType="begin"/>
            </w:r>
            <w:r>
              <w:rPr>
                <w:noProof/>
                <w:webHidden/>
              </w:rPr>
              <w:instrText xml:space="preserve"> PAGEREF _Toc216916080 \h </w:instrText>
            </w:r>
            <w:r>
              <w:rPr>
                <w:noProof/>
                <w:webHidden/>
              </w:rPr>
            </w:r>
            <w:r>
              <w:rPr>
                <w:noProof/>
                <w:webHidden/>
              </w:rPr>
              <w:fldChar w:fldCharType="separate"/>
            </w:r>
            <w:r>
              <w:rPr>
                <w:noProof/>
                <w:webHidden/>
              </w:rPr>
              <w:t>9</w:t>
            </w:r>
            <w:r>
              <w:rPr>
                <w:noProof/>
                <w:webHidden/>
              </w:rPr>
              <w:fldChar w:fldCharType="end"/>
            </w:r>
          </w:hyperlink>
        </w:p>
        <w:p w14:paraId="06C7307B" w14:textId="275391B7" w:rsidR="00404EC9" w:rsidRDefault="00404EC9">
          <w:pPr>
            <w:pStyle w:val="TOC1"/>
            <w:tabs>
              <w:tab w:val="right" w:leader="dot" w:pos="9016"/>
            </w:tabs>
            <w:rPr>
              <w:noProof/>
            </w:rPr>
          </w:pPr>
          <w:hyperlink w:anchor="_Toc216916081" w:history="1">
            <w:r w:rsidRPr="00903E41">
              <w:rPr>
                <w:rStyle w:val="Hyperlink"/>
                <w:b/>
                <w:bCs/>
                <w:noProof/>
              </w:rPr>
              <w:t>Conclusion and Recommendations</w:t>
            </w:r>
            <w:r>
              <w:rPr>
                <w:noProof/>
                <w:webHidden/>
              </w:rPr>
              <w:tab/>
            </w:r>
            <w:r>
              <w:rPr>
                <w:noProof/>
                <w:webHidden/>
              </w:rPr>
              <w:fldChar w:fldCharType="begin"/>
            </w:r>
            <w:r>
              <w:rPr>
                <w:noProof/>
                <w:webHidden/>
              </w:rPr>
              <w:instrText xml:space="preserve"> PAGEREF _Toc216916081 \h </w:instrText>
            </w:r>
            <w:r>
              <w:rPr>
                <w:noProof/>
                <w:webHidden/>
              </w:rPr>
            </w:r>
            <w:r>
              <w:rPr>
                <w:noProof/>
                <w:webHidden/>
              </w:rPr>
              <w:fldChar w:fldCharType="separate"/>
            </w:r>
            <w:r>
              <w:rPr>
                <w:noProof/>
                <w:webHidden/>
              </w:rPr>
              <w:t>10</w:t>
            </w:r>
            <w:r>
              <w:rPr>
                <w:noProof/>
                <w:webHidden/>
              </w:rPr>
              <w:fldChar w:fldCharType="end"/>
            </w:r>
          </w:hyperlink>
        </w:p>
        <w:p w14:paraId="229B9815" w14:textId="34106ABD" w:rsidR="00404EC9" w:rsidRDefault="00404EC9">
          <w:pPr>
            <w:pStyle w:val="TOC1"/>
            <w:tabs>
              <w:tab w:val="right" w:leader="dot" w:pos="9016"/>
            </w:tabs>
            <w:rPr>
              <w:noProof/>
            </w:rPr>
          </w:pPr>
          <w:hyperlink w:anchor="_Toc216916082" w:history="1">
            <w:r w:rsidRPr="00903E41">
              <w:rPr>
                <w:rStyle w:val="Hyperlink"/>
                <w:b/>
                <w:bCs/>
                <w:noProof/>
              </w:rPr>
              <w:t>References</w:t>
            </w:r>
            <w:r>
              <w:rPr>
                <w:noProof/>
                <w:webHidden/>
              </w:rPr>
              <w:tab/>
            </w:r>
            <w:r>
              <w:rPr>
                <w:noProof/>
                <w:webHidden/>
              </w:rPr>
              <w:fldChar w:fldCharType="begin"/>
            </w:r>
            <w:r>
              <w:rPr>
                <w:noProof/>
                <w:webHidden/>
              </w:rPr>
              <w:instrText xml:space="preserve"> PAGEREF _Toc216916082 \h </w:instrText>
            </w:r>
            <w:r>
              <w:rPr>
                <w:noProof/>
                <w:webHidden/>
              </w:rPr>
            </w:r>
            <w:r>
              <w:rPr>
                <w:noProof/>
                <w:webHidden/>
              </w:rPr>
              <w:fldChar w:fldCharType="separate"/>
            </w:r>
            <w:r>
              <w:rPr>
                <w:noProof/>
                <w:webHidden/>
              </w:rPr>
              <w:t>10</w:t>
            </w:r>
            <w:r>
              <w:rPr>
                <w:noProof/>
                <w:webHidden/>
              </w:rPr>
              <w:fldChar w:fldCharType="end"/>
            </w:r>
          </w:hyperlink>
        </w:p>
        <w:p w14:paraId="1BEBE14A" w14:textId="74DBA940" w:rsidR="00404EC9" w:rsidRDefault="00404EC9">
          <w:r>
            <w:rPr>
              <w:b/>
              <w:bCs/>
              <w:noProof/>
            </w:rPr>
            <w:fldChar w:fldCharType="end"/>
          </w:r>
        </w:p>
      </w:sdtContent>
    </w:sdt>
    <w:p w14:paraId="2D25FD5D" w14:textId="77777777" w:rsidR="00404EC9" w:rsidRDefault="00404EC9">
      <w:pPr>
        <w:rPr>
          <w:rFonts w:asciiTheme="minorBidi" w:hAnsiTheme="minorBidi" w:cstheme="minorBidi"/>
          <w:sz w:val="24"/>
          <w:szCs w:val="24"/>
        </w:rPr>
      </w:pPr>
    </w:p>
    <w:p w14:paraId="2EF679F0" w14:textId="77777777" w:rsidR="00404EC9" w:rsidRDefault="00404EC9">
      <w:pPr>
        <w:rPr>
          <w:rFonts w:asciiTheme="minorBidi" w:hAnsiTheme="minorBidi" w:cstheme="minorBidi"/>
          <w:sz w:val="24"/>
          <w:szCs w:val="24"/>
        </w:rPr>
      </w:pPr>
    </w:p>
    <w:p w14:paraId="555CB23C" w14:textId="77777777" w:rsidR="00404EC9" w:rsidRDefault="00404EC9">
      <w:pPr>
        <w:rPr>
          <w:rFonts w:asciiTheme="minorBidi" w:hAnsiTheme="minorBidi" w:cstheme="minorBidi"/>
          <w:sz w:val="24"/>
          <w:szCs w:val="24"/>
        </w:rPr>
      </w:pPr>
    </w:p>
    <w:p w14:paraId="7677761F" w14:textId="77777777" w:rsidR="00404EC9" w:rsidRDefault="00404EC9">
      <w:pPr>
        <w:rPr>
          <w:rFonts w:asciiTheme="minorBidi" w:hAnsiTheme="minorBidi" w:cstheme="minorBidi"/>
          <w:sz w:val="24"/>
          <w:szCs w:val="24"/>
        </w:rPr>
      </w:pPr>
    </w:p>
    <w:p w14:paraId="4CC19711" w14:textId="77777777" w:rsidR="00404EC9" w:rsidRDefault="00404EC9">
      <w:pPr>
        <w:rPr>
          <w:rFonts w:asciiTheme="minorBidi" w:hAnsiTheme="minorBidi" w:cstheme="minorBidi"/>
          <w:sz w:val="24"/>
          <w:szCs w:val="24"/>
        </w:rPr>
      </w:pPr>
    </w:p>
    <w:p w14:paraId="1252677B" w14:textId="77777777" w:rsidR="00404EC9" w:rsidRDefault="00404EC9">
      <w:pPr>
        <w:rPr>
          <w:rFonts w:asciiTheme="minorBidi" w:hAnsiTheme="minorBidi" w:cstheme="minorBidi"/>
          <w:sz w:val="24"/>
          <w:szCs w:val="24"/>
        </w:rPr>
      </w:pPr>
    </w:p>
    <w:p w14:paraId="28C431B2" w14:textId="77777777" w:rsidR="00404EC9" w:rsidRDefault="00404EC9">
      <w:pPr>
        <w:rPr>
          <w:rFonts w:asciiTheme="minorBidi" w:hAnsiTheme="minorBidi" w:cstheme="minorBidi"/>
          <w:sz w:val="24"/>
          <w:szCs w:val="24"/>
        </w:rPr>
      </w:pPr>
    </w:p>
    <w:p w14:paraId="3ADA441C" w14:textId="77777777" w:rsidR="00404EC9" w:rsidRDefault="00404EC9">
      <w:pPr>
        <w:rPr>
          <w:rFonts w:asciiTheme="minorBidi" w:hAnsiTheme="minorBidi" w:cstheme="minorBidi"/>
          <w:sz w:val="24"/>
          <w:szCs w:val="24"/>
        </w:rPr>
      </w:pPr>
    </w:p>
    <w:p w14:paraId="0F716F8E" w14:textId="77777777" w:rsidR="00404EC9" w:rsidRDefault="00404EC9">
      <w:pPr>
        <w:rPr>
          <w:rFonts w:asciiTheme="minorBidi" w:hAnsiTheme="minorBidi" w:cstheme="minorBidi"/>
          <w:sz w:val="24"/>
          <w:szCs w:val="24"/>
        </w:rPr>
      </w:pPr>
    </w:p>
    <w:p w14:paraId="33CEB4EA" w14:textId="77777777" w:rsidR="00404EC9" w:rsidRDefault="00404EC9">
      <w:pPr>
        <w:rPr>
          <w:rFonts w:asciiTheme="minorBidi" w:hAnsiTheme="minorBidi" w:cstheme="minorBidi"/>
          <w:sz w:val="24"/>
          <w:szCs w:val="24"/>
        </w:rPr>
      </w:pPr>
    </w:p>
    <w:p w14:paraId="2A13C871" w14:textId="77777777" w:rsidR="00404EC9" w:rsidRDefault="00404EC9">
      <w:pPr>
        <w:rPr>
          <w:rFonts w:asciiTheme="minorBidi" w:hAnsiTheme="minorBidi" w:cstheme="minorBidi"/>
          <w:sz w:val="24"/>
          <w:szCs w:val="24"/>
        </w:rPr>
      </w:pPr>
    </w:p>
    <w:p w14:paraId="383AA20B" w14:textId="77777777" w:rsidR="00404EC9" w:rsidRDefault="00404EC9">
      <w:pPr>
        <w:rPr>
          <w:rFonts w:asciiTheme="minorBidi" w:hAnsiTheme="minorBidi" w:cstheme="minorBidi"/>
          <w:sz w:val="24"/>
          <w:szCs w:val="24"/>
        </w:rPr>
      </w:pPr>
    </w:p>
    <w:p w14:paraId="60D4DC1B" w14:textId="77777777" w:rsidR="00404EC9" w:rsidRDefault="00404EC9">
      <w:pPr>
        <w:rPr>
          <w:rFonts w:asciiTheme="minorBidi" w:hAnsiTheme="minorBidi" w:cstheme="minorBidi"/>
          <w:sz w:val="24"/>
          <w:szCs w:val="24"/>
        </w:rPr>
      </w:pPr>
    </w:p>
    <w:p w14:paraId="477CB4D1" w14:textId="77777777" w:rsidR="00404EC9" w:rsidRDefault="00404EC9">
      <w:pPr>
        <w:rPr>
          <w:rFonts w:asciiTheme="minorBidi" w:hAnsiTheme="minorBidi" w:cstheme="minorBidi"/>
          <w:sz w:val="24"/>
          <w:szCs w:val="24"/>
        </w:rPr>
      </w:pPr>
    </w:p>
    <w:p w14:paraId="063725F3" w14:textId="77777777" w:rsidR="00404EC9" w:rsidRDefault="00404EC9">
      <w:pPr>
        <w:rPr>
          <w:rFonts w:asciiTheme="minorBidi" w:hAnsiTheme="minorBidi" w:cstheme="minorBidi"/>
          <w:sz w:val="24"/>
          <w:szCs w:val="24"/>
        </w:rPr>
      </w:pPr>
    </w:p>
    <w:p w14:paraId="773D272E" w14:textId="77777777" w:rsidR="00404EC9" w:rsidRDefault="00404EC9">
      <w:pPr>
        <w:rPr>
          <w:rFonts w:asciiTheme="minorBidi" w:hAnsiTheme="minorBidi" w:cstheme="minorBidi"/>
          <w:sz w:val="24"/>
          <w:szCs w:val="24"/>
        </w:rPr>
      </w:pPr>
    </w:p>
    <w:p w14:paraId="43A5CF08" w14:textId="77777777" w:rsidR="00404EC9" w:rsidRDefault="00404EC9">
      <w:pPr>
        <w:rPr>
          <w:rFonts w:asciiTheme="minorBidi" w:hAnsiTheme="minorBidi" w:cstheme="minorBidi"/>
          <w:sz w:val="24"/>
          <w:szCs w:val="24"/>
        </w:rPr>
      </w:pPr>
    </w:p>
    <w:p w14:paraId="7AAA1D3D" w14:textId="77777777" w:rsidR="00404EC9" w:rsidRDefault="00404EC9">
      <w:pPr>
        <w:rPr>
          <w:rFonts w:asciiTheme="minorBidi" w:hAnsiTheme="minorBidi" w:cstheme="minorBidi"/>
          <w:sz w:val="24"/>
          <w:szCs w:val="24"/>
        </w:rPr>
      </w:pPr>
    </w:p>
    <w:p w14:paraId="5D76590A" w14:textId="77777777" w:rsidR="007E57DF" w:rsidRPr="007E57DF" w:rsidRDefault="007E57DF">
      <w:pPr>
        <w:rPr>
          <w:rFonts w:asciiTheme="minorBidi" w:hAnsiTheme="minorBidi" w:cstheme="minorBidi"/>
          <w:sz w:val="24"/>
          <w:szCs w:val="24"/>
        </w:rPr>
      </w:pPr>
    </w:p>
    <w:p w14:paraId="4901EFCA" w14:textId="77777777" w:rsidR="006235EB" w:rsidRPr="007E57DF" w:rsidRDefault="00000000" w:rsidP="007E57DF">
      <w:pPr>
        <w:pStyle w:val="Heading1"/>
        <w:rPr>
          <w:b/>
          <w:bCs/>
        </w:rPr>
      </w:pPr>
      <w:bookmarkStart w:id="4" w:name="_Toc216916076"/>
      <w:r w:rsidRPr="007E57DF">
        <w:rPr>
          <w:b/>
          <w:bCs/>
        </w:rPr>
        <w:lastRenderedPageBreak/>
        <w:t>Introduction</w:t>
      </w:r>
      <w:bookmarkEnd w:id="4"/>
      <w:r w:rsidRPr="007E57DF">
        <w:rPr>
          <w:b/>
          <w:bCs/>
        </w:rPr>
        <w:t xml:space="preserve"> </w:t>
      </w:r>
    </w:p>
    <w:p w14:paraId="6A58E99A"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accelerating digitalisation of contemporary organisations has greatly elevated the level of dependence on cloud computing, wireless network and Internet-exposed services, thus, increasing the attack surface to cyber threats and data breaches [1]. With the growth of organisations managing large amounts of sensitive personal, operational, and intellectual property data, data security, governance and compliance has become a key strategic consideration, not necessarily a technical one [2]. Regulatory fines, reputation destruction, and financial loss in the long term have been directly associated with poor security governance structures especially when it comes to internationally spread businesses dealing with more than one legal jurisdiction [3].</w:t>
      </w:r>
    </w:p>
    <w:p w14:paraId="7006B540"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NatureGreen (NG) is a multinational organisation that has an extensive online and social media reputation that has been impacted by these issues because the organisation heavily relies on cloud services, mostly relies on wireless infrastructure, and is increasingly becoming used to the bring-your-own-device (BYOD) practices [4]. Although such technologies bring flexibility and productivity, they also pose complex security risks to the system such as unauthorised access, data leakage, insider threats as well as intellectual property theft unless formal policies and controls are implemented [5]. The lack of a defined security policy framework at NatureGreen makes them even more hazardous, as accountability, compliance, and risk management loopholes develop [6].</w:t>
      </w:r>
    </w:p>
    <w:p w14:paraId="4C643F33"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Data security governance also goes beyond implementation of technical controls and it needs to be aligned with recognised standards, regulatory standards, and strategy of the organisation [7]. The system of ISO/IEC 27001, the NIST Cybersecurity Framework (CSF) 2.0, ITIL, and the Cloud Security Alliance Control Matrix offer guidelines on how to handle information security risks without violating legal and ethical standards [8]. Nevertheless, these frameworks are to be critically assessed and adjusted to organisational circumstances in order to be effective in changing threat landscapes [9].</w:t>
      </w:r>
    </w:p>
    <w:p w14:paraId="3CD9778C"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objective of the report is to examine the case of NatureGreen in the context of the existing security and governance domains and to develop an all-encompassing, standards-based security framework that meets the technical, organisational and regulatory needs. Also, the report is a critical analysis of the need to constantly revise security regulations and standards in order to address the changing technologies, new threats, and changing expectations on compliance [10].</w:t>
      </w:r>
    </w:p>
    <w:p w14:paraId="7DCBFE89" w14:textId="77777777" w:rsidR="006235EB" w:rsidRPr="007E57DF" w:rsidRDefault="00000000" w:rsidP="007E57DF">
      <w:pPr>
        <w:pStyle w:val="Heading1"/>
        <w:rPr>
          <w:b/>
          <w:bCs/>
        </w:rPr>
      </w:pPr>
      <w:bookmarkStart w:id="5" w:name="_Toc216916077"/>
      <w:r w:rsidRPr="007E57DF">
        <w:rPr>
          <w:b/>
          <w:bCs/>
        </w:rPr>
        <w:t>Literature Review: Security Frameworks and Models</w:t>
      </w:r>
      <w:bookmarkEnd w:id="5"/>
    </w:p>
    <w:p w14:paraId="15F0D551"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Sound data security, data governance and data compliance depend on methodical structures that incorporate both technical restrictions and organisation procedures and regulatory mandates [10]. Security frameworks can offer organisations methodical methods of risk identification, control and accountability of people, processes and technology [11]. Under such circumstances, where cloud services, </w:t>
      </w:r>
      <w:r w:rsidRPr="007E57DF">
        <w:rPr>
          <w:rFonts w:asciiTheme="minorBidi" w:hAnsiTheme="minorBidi" w:cstheme="minorBidi"/>
          <w:sz w:val="24"/>
          <w:szCs w:val="24"/>
        </w:rPr>
        <w:lastRenderedPageBreak/>
        <w:t>wireless networks, and BYOD practices co-exist such as in the NatureGreen, it would not be reasonable to rely on ad hoc security mechanisms and instead, established frameworks will be necessary to ensure the achievement of resilience and regulatory compliance [12].</w:t>
      </w:r>
    </w:p>
    <w:p w14:paraId="53344E87"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One of the most embraced international information security management systems (ISMS) standards is ISO/IEC 27001 and it emphasizes on secrecy, integrity and accessibility of information resources [10]. The standard focuses more on risk-based decision-making where organisations are required to determine the information assets, threat and vulnerability, and put in place appropriate proportional controls [11]. Its advantage is that it offers a governance-based approach to align the security goals with the business plan and legal compulsions [12]. Nevertheless, ISO/IEC 27001 does not suggest any particular technological solutions, which can be restrictive unless it is supplemented by the operational schemes accommodating the upcoming threats and technologies [13].</w:t>
      </w:r>
    </w:p>
    <w:p w14:paraId="18B58389"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NIST Cybersecurity Framework (CSF) 2.0 offers flexible and technology-neutral structure that is structured into five core functions namely Identify, Protect, Detect, Respond, and Recover [14]. This framework underpins the continuous improvement and is especially useful in settings with high technological change as infrastructure in the cloud and wireless settings [15]. In contrast to ISO/IEC 27001, NIST CSF focuses on the operational security results but not certification, which allows organisations to implement the controls based on their risk appetite [14]. However, it is voluntary and this can lead to a lack of coherent adoption unless it is imposed by a powerful governance apparatus [16].</w:t>
      </w:r>
    </w:p>
    <w:p w14:paraId="0683E73B"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Although ITIL is not a security framework in its own right, it is a valuable addition to governance, making it a part of the process of security management of service lifecycle [11]. ITIL fosters the responsibility, continuity of the service and the risk management with the assistance of structured practices like service design, change management and incident management [12]. It has a value of aligning security controls to service delivery and business performance goals [13]. Nevertheless, ITIL has to be complemented with specific security standards because it is not as detailed as it should be to eliminate high-level cyber threats on its own [10].</w:t>
      </w:r>
    </w:p>
    <w:p w14:paraId="0D4A685A"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Cloud Control Matrix (CCM) by Cloud Security Alliance (CSA) deals with issues of security that are peculiar to cloud computing environments [17]. The CCM aligns cloud-specific controls with regulatory policies, such as data protection, identity management and shared responsibility models [17]. This model is specifically applicable to organisations such as NatureGreen that are highly dependent on third party cloud service vendors [15]. Its weakness is that it requires both the cloud providers and its customers to be implemented accurately, which, in the case of lack of clearly defined responsibilities, may create areas of governance gap. [14].</w:t>
      </w:r>
    </w:p>
    <w:p w14:paraId="7A91F4B9"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The models of access control are important in implementing governance and mitigating insider threats [16]. Role-Based Access Control (RBAC) is a method used to limit access to the system according to the existing job descriptions, which helps in administration and promotes the principle of least privilege [10]. Attribute-Based </w:t>
      </w:r>
      <w:r w:rsidRPr="007E57DF">
        <w:rPr>
          <w:rFonts w:asciiTheme="minorBidi" w:hAnsiTheme="minorBidi" w:cstheme="minorBidi"/>
          <w:sz w:val="24"/>
          <w:szCs w:val="24"/>
        </w:rPr>
        <w:lastRenderedPageBreak/>
        <w:t>Access Control (ABAC) is an extension of this model which adds contextual attributes (e.g., device type, location, and user behaviour) [11]. Whereas RBAC is simple and has scalability, ABAC is more flexible in dynamically changing environments including BYOD and cloud systems [12]. The integration of RBAC and ABAC allows organisations a trade between manageability and adaptive security controls [16].</w:t>
      </w:r>
    </w:p>
    <w:p w14:paraId="4C66479B"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Zero-trust architectures and network segmentation are becoming more and more accepted as the key security paradigms in the contemporary enterprises [14]. Segmentation can restrict horizontal movement by isolating important resources, and the principle of zero-trust can verify users and devices on an ongoing and continuous basis irrespective of their network location [15]. These models specifically deal with risks that are linked with wireless access and remote connectivity by minimizing implicit trust between the network [17]. They however require proper identity management and monitoring capabilities in order to be effective [13].</w:t>
      </w:r>
    </w:p>
    <w:p w14:paraId="0AD5DC74"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Intrusion detection and prevention system such as IDS, IPS, and Security information and event management (SIEM) provides visibility and threat intelligence within the enterprise environment [11]. Such models enable real-time monitoring, detection of anomalies, and coordination of an incident response [12]. They complement organisational preparedness and responsibility in security incidents when they are aligned with governance frameworks including the ISO/IEC 27035 [10]. However, their effectiveness presupposes trained staff and constant adjusting of such systems to decrease false positives and overheads [16].</w:t>
      </w:r>
    </w:p>
    <w:p w14:paraId="49770B22"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In general, the literature shows that no single framework can be used to deal with the complex issues of data security, governance and compliance [14]. To attain a sustained security maturity, there is need to have a layered and integrated approach that integrates governance standards, operational frameworks and technical models [15]. This combined view is the basis of the proposed security structure that fits the context of operation and regulation of NatureGreen. [17].</w:t>
      </w:r>
    </w:p>
    <w:p w14:paraId="76F2EBA5" w14:textId="77777777" w:rsidR="006235EB" w:rsidRPr="007E57DF" w:rsidRDefault="00000000" w:rsidP="007E57DF">
      <w:pPr>
        <w:pStyle w:val="Heading1"/>
        <w:rPr>
          <w:b/>
          <w:bCs/>
        </w:rPr>
      </w:pPr>
      <w:bookmarkStart w:id="6" w:name="_Toc216916078"/>
      <w:r w:rsidRPr="007E57DF">
        <w:rPr>
          <w:b/>
          <w:bCs/>
        </w:rPr>
        <w:t>NatureGreen Scenario Analysis and Assumptions</w:t>
      </w:r>
      <w:bookmarkEnd w:id="6"/>
    </w:p>
    <w:p w14:paraId="6047000B"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NatureGreen (NG) is a globally dispersed organisation with high levels of online presence, widespread use of cloud services, and whose infrastructure is approximated to be about 95% wireless-based that has been highly prone to cyber threats and operational risk [17]. The data storage, service delivery, and intellectual property management of the organisation are based on cloud platforms thus creating intricate security issues involving data confidentiality, data integrity, and data availability among the various jurisdictions that have different regulatory demands [18]. Also, the vast online and social media presence of NG increases the surface of attack and NG is a potential victim of cybercrime, data breach, and reputational attacks [19].</w:t>
      </w:r>
    </w:p>
    <w:p w14:paraId="1ED97D71"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One of the primary risk contributors of the NatureGreen setting is the organisational pressure to facilitate the use of bring-your-own-device (BYOD) by the employees and the clients, which contributes to the introduction of uncontrolled endpoints into </w:t>
      </w:r>
      <w:r w:rsidRPr="007E57DF">
        <w:rPr>
          <w:rFonts w:asciiTheme="minorBidi" w:hAnsiTheme="minorBidi" w:cstheme="minorBidi"/>
          <w:sz w:val="24"/>
          <w:szCs w:val="24"/>
        </w:rPr>
        <w:lastRenderedPageBreak/>
        <w:t>the corporate environment [20]. Personal devices do not always have a regular security control, and their probability of malware infection, compromise of credentials, and unauthorised data exfiltration is high unless they are appropriately controlled [18]. These risks are also not mitigated by a proper security policy framework, which promotes ambiguity on access control, accountability, and acceptable use, and thus undermines the governance and enforcement of compliance [17].</w:t>
      </w:r>
    </w:p>
    <w:p w14:paraId="18AE0A8E"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This analysis is based on several assumptions to have a realistic and structured assessment. It is presupposed that the NatureGreen processes and stores personally identifiable information (PII) of customers and employees, which is subject to data protection rules, including the General Data Protection Regulation (GDPR) [19]. There is also the assumption that NG depends on third party cloud services providers working under the shared responsibility models and the need to clearly define security responsibilities [18]. Moreover, there is an assumption that the BYOD devices do not have a central management and there is no formal Information Security Management System (ISMS) at present [17]. These assumptions emphasize the necessity to have a multi-layered, standards-based security, governance and compliance framework that can alleviate technical risks and accommodate regulatory requirements and business goals. [20].</w:t>
      </w:r>
    </w:p>
    <w:p w14:paraId="67D7AD65" w14:textId="77777777" w:rsidR="006235EB" w:rsidRPr="007E57DF" w:rsidRDefault="00000000" w:rsidP="007E57DF">
      <w:pPr>
        <w:pStyle w:val="Heading1"/>
        <w:rPr>
          <w:b/>
          <w:bCs/>
        </w:rPr>
      </w:pPr>
      <w:bookmarkStart w:id="7" w:name="_Toc216916079"/>
      <w:r w:rsidRPr="007E57DF">
        <w:rPr>
          <w:b/>
          <w:bCs/>
        </w:rPr>
        <w:t>Design of the Proposed Security, Governance and Compliance Framework</w:t>
      </w:r>
      <w:bookmarkEnd w:id="7"/>
    </w:p>
    <w:p w14:paraId="5823E44A"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security, governance, and compliance framework (NG) proposed is based on a layered and integrated construct that will bridge technical security controls and organisational governance, regulatory compliance, and risk management goals [20]. Since NG depends greatly on wireless networks, cloud services, and BYOD access, the framework provides a defence-in-depth strategy to minimize attack surfaces and accountability and resiliency on an enterprise-wide basis [21].</w:t>
      </w:r>
    </w:p>
    <w:p w14:paraId="73F9DA99"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Segmentation and zoning are the primary security control in the network layer which divides the environment into demilitarised zones (DMZ), internal corporate networks and restricted guest or BYOD networks [22]. This type of design restricts horizontal movement of the attackers and makes sure that the customer-facing applications running in the DMZ do not connect to the vital internal systems and databases [20]. The concept of network segmentation aids governance through imposing trust boundaries and matching the access paths with business roles and data sensitivity classifications [23].</w:t>
      </w:r>
    </w:p>
    <w:p w14:paraId="5344191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The key to enforcement of security governance and compliance in the framework is access control mechanisms [24]. The proposed model combines Role-Based Access Control (RBAC) and Attribute-Based Access Control (ABAC) to provide the user with the information needed in their respective roles as well as dynamically taking into account contextual elements like the type of device, location, and session-risk [21]. The application of the principles of Zero Trust is aimed at removing implicit trust and </w:t>
      </w:r>
      <w:r w:rsidRPr="007E57DF">
        <w:rPr>
          <w:rFonts w:asciiTheme="minorBidi" w:hAnsiTheme="minorBidi" w:cstheme="minorBidi"/>
          <w:sz w:val="24"/>
          <w:szCs w:val="24"/>
        </w:rPr>
        <w:lastRenderedPageBreak/>
        <w:t>mandating continuous authentication and authorisation irrespective of the place of the network [22]. The controls are directly associated with the adherence to the regulations of data protection through the least privilege and minimization of the risks of insider threats [20].</w:t>
      </w:r>
    </w:p>
    <w:p w14:paraId="76845F59"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issue of wireless network security is considered an absolute priority because NG has a predominantly wireless infrastructure [23]. The framework requires to use the WPA3-Enterprise encryption and strong authentication mechanisms to secure the transit data [24]. Employees, guests and BYOD network are isolated to ensure that unauthorised access to sensitive systems is avoided [21]. The constant tracking of rogue access points and unusual traffic patterns are augmented to provide threat visibility and facilitate proactive threats management [22].</w:t>
      </w:r>
    </w:p>
    <w:p w14:paraId="4F4AD629"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cloud integration and security controls are in regard to the risk posed by the dependency of NG on third-party cloud providers of services [25]. The framework includes cloud firewalls, secure connection between on-premises and cloud environments, and encrypted communication channels with the use of the TLS/SSL inspection where it is necessary [23]. Data Loss Prevention (DLP) policies and controls are enforced to avoid unauthorised extraction of intellectual property and personal information especially through unmanaged BYOD devices [24]. The consolidation of governance is enhanced by the outlines of the shared responsibility models and alignment between the cloud controls and the regulatory and contractual requirements [25].</w:t>
      </w:r>
    </w:p>
    <w:p w14:paraId="0506D46A"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detection and response layer of the framework is comprised of intrusion prevention and threat detection features [22]. Next-Generation Firewalls (NGFWs) can be implemented in combination with Intrusion Detection Systems (IDS), Intrusion Prevention Systems (IPS), and Security Information and Event Management (SIEM) platforms so that malicious activity can be monitored in real-time and automatically responded to [21]. Early identification of the advanced threats, i.e., the brute-force attacks and malware propagation, are facilitated by deep packet inspection and behavioural analytics [20]. These functions are in line with governance needs because they would give auditability, accountability, and compliance reporting evidence [26].</w:t>
      </w:r>
    </w:p>
    <w:p w14:paraId="720FA119"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BYOD security is handled by using both technical controls and governance policies to achieve flexibility and risk reduction [24]. Network Access Control (NAC) is used to verify that a network is only allowed access by compliant devices that meet pre-established security baselines as defined by the organization i.e. updated operating systems and antivirus protection [23]. Mobile Device Management (MDM) systems also provide encryption, remote wiping, and application controls to safeguard corporate data on individual devices [25]. BYOD traffic is isolated by critical systems and the personal devices can only be connected to the approved services through secure channels [22].</w:t>
      </w:r>
    </w:p>
    <w:p w14:paraId="5CA43DEE"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The operational support of the framework is made up of logging, monitoring, and incident response capabilities [26]. Logging of all network devices, cloud platform, and applications is centralised, which means that a full view of user activity and </w:t>
      </w:r>
      <w:r w:rsidRPr="007E57DF">
        <w:rPr>
          <w:rFonts w:asciiTheme="minorBidi" w:hAnsiTheme="minorBidi" w:cstheme="minorBidi"/>
          <w:sz w:val="24"/>
          <w:szCs w:val="24"/>
        </w:rPr>
        <w:lastRenderedPageBreak/>
        <w:t>system events is obtained [21]. Alerts on suspicious behaviour (such as multiple failed logins and unusual traffic patterns) are automated, and help in detecting incidents quickly [20]. An incident response plan is one that is based on established standards to identify the roles, responsibilities, escalation policies, and communication policies to make sure that security incidents are responded to in a prompt and coordinated way [26]. The process of lessons learned and post incident reviews is a factor in continuous improvement and maturity of governance [23].</w:t>
      </w:r>
    </w:p>
    <w:p w14:paraId="23E8CB6C"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Security controls are also maintained against emerging threats as firewall policy management and constant updates ensures the security measures are sound [22]. The periodic monitoring of firewall policies, the elimination of outdated policies, and a timely use of countermeasures and security patches minimize vulnerabilities and misconfigurations [21]. Stored policies and configuration backups facilitate operational resiliency and compliance audits [20]. This is a governance-based model that leads to the development of security controls keeping in tandem with the evolving business processes, technologies, and regulatory needs [26].</w:t>
      </w:r>
    </w:p>
    <w:p w14:paraId="34D0C0A8"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In general, the suggested framework incorporates technical, organisational, and regulatory levels to consider the intricate security issues of NatureGreen in its entirety [23]. Implementing defence-in-depth controls in accordance with recognised standards and governance practices, the framework helps to strengthen data protection, comply with the requirements, and facilitate the possibility of NG to maintain its global operations in the dynamic threat environment safely. [25].</w:t>
      </w:r>
    </w:p>
    <w:p w14:paraId="477BBF61" w14:textId="77777777" w:rsidR="006235EB" w:rsidRPr="007E57DF" w:rsidRDefault="00000000" w:rsidP="007E57DF">
      <w:pPr>
        <w:pStyle w:val="Heading1"/>
        <w:rPr>
          <w:b/>
          <w:bCs/>
        </w:rPr>
      </w:pPr>
      <w:bookmarkStart w:id="8" w:name="_Toc216916080"/>
      <w:r w:rsidRPr="007E57DF">
        <w:rPr>
          <w:b/>
          <w:bCs/>
        </w:rPr>
        <w:t>Critical Discussion: Why Regulations and Standards Must Be Updated</w:t>
      </w:r>
      <w:bookmarkEnd w:id="8"/>
    </w:p>
    <w:p w14:paraId="7169B79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ongoing advancement of digital technology and threat base requires the security regulations and standards to be constantly revised so that they remain effective and relevant [26]. The common type of security standards remained stagnant or obsolete are proving to be less resilient to the current cyber threats that have become more sophisticated, automated, and enduring with innovation on cloud computing, artificial intelligence, and globally connected systems [27]. The dependency on the outdated regulatory frameworks, as organisations enhance their digital ecosystem, reveals that there are major loopholes in risk management and governance frameworks [28].</w:t>
      </w:r>
    </w:p>
    <w:p w14:paraId="7FB5F7E5"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Among the major reasons to revise regulations and standards is the fact that new vectors of threats are fast emerging, which could not be anticipated when the previous frameworks were created [26]. The perimeter based traditional models of security are no longer adequate in the environments which are characterised by far away </w:t>
      </w:r>
      <w:proofErr w:type="gramStart"/>
      <w:r w:rsidRPr="007E57DF">
        <w:rPr>
          <w:rFonts w:asciiTheme="minorBidi" w:hAnsiTheme="minorBidi" w:cstheme="minorBidi"/>
          <w:sz w:val="24"/>
          <w:szCs w:val="24"/>
        </w:rPr>
        <w:t>access,BYOD</w:t>
      </w:r>
      <w:proofErr w:type="gramEnd"/>
      <w:r w:rsidRPr="007E57DF">
        <w:rPr>
          <w:rFonts w:asciiTheme="minorBidi" w:hAnsiTheme="minorBidi" w:cstheme="minorBidi"/>
          <w:sz w:val="24"/>
          <w:szCs w:val="24"/>
        </w:rPr>
        <w:t xml:space="preserve"> and </w:t>
      </w:r>
      <w:proofErr w:type="gramStart"/>
      <w:r w:rsidRPr="007E57DF">
        <w:rPr>
          <w:rFonts w:asciiTheme="minorBidi" w:hAnsiTheme="minorBidi" w:cstheme="minorBidi"/>
          <w:sz w:val="24"/>
          <w:szCs w:val="24"/>
        </w:rPr>
        <w:t>cloud based</w:t>
      </w:r>
      <w:proofErr w:type="gramEnd"/>
      <w:r w:rsidRPr="007E57DF">
        <w:rPr>
          <w:rFonts w:asciiTheme="minorBidi" w:hAnsiTheme="minorBidi" w:cstheme="minorBidi"/>
          <w:sz w:val="24"/>
          <w:szCs w:val="24"/>
        </w:rPr>
        <w:t xml:space="preserve"> architectures [27]. Thus, the ISO/IEC 27001 standards were changed to focus on risk-based controls, steady monitoring and organisational resilience instead of fixed control checklists [28]. These updates are an indication of the acceleration to adaptive security models, which can respond to real-time threats.</w:t>
      </w:r>
    </w:p>
    <w:p w14:paraId="02F401C2"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lastRenderedPageBreak/>
        <w:t>Another force behind regulatory changes is the growing legal and ethical requirements in data protection and privacy [29]. The establishment of the initial and further development of laws like the General Data Protection Regulation (GDPR) indicate that legal regulations need to change and keep evolving in response to new data processing practices, inter-border data transfers, and increased awareness of privacy rights by the population [26]. The inability to harmonise the organisational security practices with the new regulations may impose severe financial fines, reputational losses, and the loss of trust among the stakeholders [27]. Consequently, compliance ceases being a responsive responsive task and changes into an active governance task.</w:t>
      </w:r>
    </w:p>
    <w:p w14:paraId="65F422C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There is also technological innovation, which requires regular revision of standards in order to keep them in line with modern realities of operation [28]. The complexities created by cloud computing, shared responsibility models and dependencies to third-party service providers are new and cannot be fully captured by the older standards [26]. Recent frameworks are focusing more on supply chain security, risk management in vendors, and organisational accountability across organisational boundaries [29]. In the absence of such updates, organisations risk using controls that are not consistent with their real threat exposure and models of operations.</w:t>
      </w:r>
    </w:p>
    <w:p w14:paraId="61E7FC92"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Governance wise, a consistent advancement of standards will foster constant enhancement and maturity of the organisation [27]. They promote the regular review of risks, adjustment of policies, and competence improvement, so that the security governance is kept in line with the business goals and strategic expansion [28]. On the contrary, the dependency on obsolete standards creates complacency and disrupts resilience against the changing cyber risk [29]. Thus, the unceasing updating of rules and standards is the key to the successful data security and governance and compliance in the contemporary digital businesses.</w:t>
      </w:r>
    </w:p>
    <w:p w14:paraId="1BD165AD" w14:textId="77777777" w:rsidR="006235EB" w:rsidRPr="007E57DF" w:rsidRDefault="00000000" w:rsidP="007E57DF">
      <w:pPr>
        <w:pStyle w:val="Heading1"/>
        <w:rPr>
          <w:b/>
          <w:bCs/>
        </w:rPr>
      </w:pPr>
      <w:bookmarkStart w:id="9" w:name="_Toc216916081"/>
      <w:r w:rsidRPr="007E57DF">
        <w:rPr>
          <w:b/>
          <w:bCs/>
        </w:rPr>
        <w:t>Conclusion and Recommendations</w:t>
      </w:r>
      <w:bookmarkEnd w:id="9"/>
    </w:p>
    <w:p w14:paraId="4B366242"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This report has shown that NatureGreen has a high level of security, governance, and compliance risks due to its large usage of cloud services, wireless networking, and BYOD in the absence of a formalised security framework [29]. Analysis revealed that isolated technical controls alone cannot deal with these challenges without alignment to recognised standards, governance structure and regulatory requirements [29]. The suggested solution allows managing risks systematically, with accountability, and resiliency of organisational processes by using the international frameworks and layered technical models [29].</w:t>
      </w:r>
    </w:p>
    <w:p w14:paraId="0064519A"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The suggested security, governance and compliance model has given NatureGreen a structured defence-in-depth design that defends sensitive information, regulatory compliance as well as high-value intellectual property protection and flexibility in operations [29]. Holistic coverage of the technical and organisational risks is provided by the inclusion of network segmentation, zero trust access control, cloud security governance, continuous monitoring, and incident response [29]. In addition, the critical discussion also mentioned that standards and policy need to be updated </w:t>
      </w:r>
      <w:r w:rsidRPr="007E57DF">
        <w:rPr>
          <w:rFonts w:asciiTheme="minorBidi" w:hAnsiTheme="minorBidi" w:cstheme="minorBidi"/>
          <w:sz w:val="24"/>
          <w:szCs w:val="24"/>
        </w:rPr>
        <w:lastRenderedPageBreak/>
        <w:t>on a regular basis in order to be effective against changing threat landscapes and regulatory expectations [29].</w:t>
      </w:r>
    </w:p>
    <w:p w14:paraId="239B2955"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The recommendation would be to ensure that NatureGreen officially implements an ISO/IEC 27001-compliant Information Security Management System in order to instill governance and continuous improvement [29]. Periodic risk assessment, employee training, external audits, and review of the policy.</w:t>
      </w:r>
    </w:p>
    <w:p w14:paraId="128D780D" w14:textId="77777777" w:rsidR="006235EB" w:rsidRPr="007E57DF" w:rsidRDefault="00000000" w:rsidP="007E57DF">
      <w:pPr>
        <w:pStyle w:val="Heading1"/>
        <w:rPr>
          <w:b/>
          <w:bCs/>
        </w:rPr>
      </w:pPr>
      <w:bookmarkStart w:id="10" w:name="_Toc216916082"/>
      <w:r w:rsidRPr="007E57DF">
        <w:rPr>
          <w:b/>
          <w:bCs/>
        </w:rPr>
        <w:t>References</w:t>
      </w:r>
      <w:bookmarkEnd w:id="10"/>
    </w:p>
    <w:p w14:paraId="5843483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 R. Chandramouli, </w:t>
      </w:r>
      <w:r w:rsidRPr="007E57DF">
        <w:rPr>
          <w:rFonts w:asciiTheme="minorBidi" w:hAnsiTheme="minorBidi" w:cstheme="minorBidi"/>
          <w:i/>
          <w:iCs/>
          <w:sz w:val="24"/>
          <w:szCs w:val="24"/>
        </w:rPr>
        <w:t>Guide to a Secure Enterprise: Network Architecture and Design</w:t>
      </w:r>
      <w:r w:rsidRPr="007E57DF">
        <w:rPr>
          <w:rFonts w:asciiTheme="minorBidi" w:hAnsiTheme="minorBidi" w:cstheme="minorBidi"/>
          <w:sz w:val="24"/>
          <w:szCs w:val="24"/>
        </w:rPr>
        <w:t>, NIST Special Publication 800-215, Gaithersburg, MD, USA: National Institute of Standards and Technology, 2022.</w:t>
      </w:r>
    </w:p>
    <w:p w14:paraId="28372ADF"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 M. Bishop, </w:t>
      </w:r>
      <w:r w:rsidRPr="007E57DF">
        <w:rPr>
          <w:rFonts w:asciiTheme="minorBidi" w:hAnsiTheme="minorBidi" w:cstheme="minorBidi"/>
          <w:i/>
          <w:iCs/>
          <w:sz w:val="24"/>
          <w:szCs w:val="24"/>
        </w:rPr>
        <w:t>Computer Security: Art and Science</w:t>
      </w:r>
      <w:r w:rsidRPr="007E57DF">
        <w:rPr>
          <w:rFonts w:asciiTheme="minorBidi" w:hAnsiTheme="minorBidi" w:cstheme="minorBidi"/>
          <w:sz w:val="24"/>
          <w:szCs w:val="24"/>
        </w:rPr>
        <w:t>, 2nd ed. Boston, MA, USA: Addison-Wesley, 2019.</w:t>
      </w:r>
    </w:p>
    <w:p w14:paraId="67747743"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[3] European Union Agency for Cybersecurity (ENISA), </w:t>
      </w:r>
      <w:r w:rsidRPr="007E57DF">
        <w:rPr>
          <w:rFonts w:asciiTheme="minorBidi" w:hAnsiTheme="minorBidi" w:cstheme="minorBidi"/>
          <w:i/>
          <w:iCs/>
          <w:sz w:val="24"/>
          <w:szCs w:val="24"/>
        </w:rPr>
        <w:t>Cybersecurity Threat Landscape</w:t>
      </w:r>
      <w:r w:rsidRPr="007E57DF">
        <w:rPr>
          <w:rFonts w:asciiTheme="minorBidi" w:hAnsiTheme="minorBidi" w:cstheme="minorBidi"/>
          <w:sz w:val="24"/>
          <w:szCs w:val="24"/>
        </w:rPr>
        <w:t>, Athens, Greece, 2023.</w:t>
      </w:r>
    </w:p>
    <w:p w14:paraId="7A1045C4"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[4] K. Boeckl </w:t>
      </w:r>
      <w:r w:rsidRPr="007E57DF">
        <w:rPr>
          <w:rFonts w:asciiTheme="minorBidi" w:hAnsiTheme="minorBidi" w:cstheme="minorBidi"/>
          <w:i/>
          <w:iCs/>
          <w:sz w:val="24"/>
          <w:szCs w:val="24"/>
        </w:rPr>
        <w:t>et al.</w:t>
      </w:r>
      <w:r w:rsidRPr="007E57DF">
        <w:rPr>
          <w:rFonts w:asciiTheme="minorBidi" w:hAnsiTheme="minorBidi" w:cstheme="minorBidi"/>
          <w:sz w:val="24"/>
          <w:szCs w:val="24"/>
        </w:rPr>
        <w:t xml:space="preserve">, </w:t>
      </w:r>
      <w:r w:rsidRPr="007E57DF">
        <w:rPr>
          <w:rFonts w:asciiTheme="minorBidi" w:hAnsiTheme="minorBidi" w:cstheme="minorBidi"/>
          <w:i/>
          <w:iCs/>
          <w:sz w:val="24"/>
          <w:szCs w:val="24"/>
        </w:rPr>
        <w:t>Mobile Device Security: Bring Your Own Device (BYOD)</w:t>
      </w:r>
      <w:r w:rsidRPr="007E57DF">
        <w:rPr>
          <w:rFonts w:asciiTheme="minorBidi" w:hAnsiTheme="minorBidi" w:cstheme="minorBidi"/>
          <w:sz w:val="24"/>
          <w:szCs w:val="24"/>
        </w:rPr>
        <w:t>, NIST Special Publication 800-124 Rev. 2, Gaithersburg, MD, USA: NIST, 2023.</w:t>
      </w:r>
    </w:p>
    <w:p w14:paraId="5D5156C7"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[5] D. Saini and A. Mishra, “Secure wireless enterprise networks using WPA3 and zero trust,” in </w:t>
      </w:r>
      <w:r w:rsidRPr="007E57DF">
        <w:rPr>
          <w:rFonts w:asciiTheme="minorBidi" w:hAnsiTheme="minorBidi" w:cstheme="minorBidi"/>
          <w:i/>
          <w:iCs/>
          <w:sz w:val="24"/>
          <w:szCs w:val="24"/>
        </w:rPr>
        <w:t>Proc. IEEE Global Communications Conf. (GLOBECOM)</w:t>
      </w:r>
      <w:r w:rsidRPr="007E57DF">
        <w:rPr>
          <w:rFonts w:asciiTheme="minorBidi" w:hAnsiTheme="minorBidi" w:cstheme="minorBidi"/>
          <w:sz w:val="24"/>
          <w:szCs w:val="24"/>
        </w:rPr>
        <w:t>, 2022, pp. 1–6.</w:t>
      </w:r>
    </w:p>
    <w:p w14:paraId="147B03C3"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[6] M. A. Sheldon and F. T. Sheldon, “IoT–cloud integration security: Challenges and solutions,” </w:t>
      </w:r>
      <w:r w:rsidRPr="007E57DF">
        <w:rPr>
          <w:rFonts w:asciiTheme="minorBidi" w:hAnsiTheme="minorBidi" w:cstheme="minorBidi"/>
          <w:i/>
          <w:iCs/>
          <w:sz w:val="24"/>
          <w:szCs w:val="24"/>
        </w:rPr>
        <w:t>Electronics</w:t>
      </w:r>
      <w:r w:rsidRPr="007E57DF">
        <w:rPr>
          <w:rFonts w:asciiTheme="minorBidi" w:hAnsiTheme="minorBidi" w:cstheme="minorBidi"/>
          <w:sz w:val="24"/>
          <w:szCs w:val="24"/>
        </w:rPr>
        <w:t>, vol. 14, no. 2, pp. 1–22, 2025.</w:t>
      </w:r>
    </w:p>
    <w:p w14:paraId="4E4BFFCB"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[7] A. Karambelkar </w:t>
      </w:r>
      <w:r w:rsidRPr="007E57DF">
        <w:rPr>
          <w:rFonts w:asciiTheme="minorBidi" w:hAnsiTheme="minorBidi" w:cstheme="minorBidi"/>
          <w:i/>
          <w:iCs/>
          <w:sz w:val="24"/>
          <w:szCs w:val="24"/>
        </w:rPr>
        <w:t>et al.</w:t>
      </w:r>
      <w:r w:rsidRPr="007E57DF">
        <w:rPr>
          <w:rFonts w:asciiTheme="minorBidi" w:hAnsiTheme="minorBidi" w:cstheme="minorBidi"/>
          <w:sz w:val="24"/>
          <w:szCs w:val="24"/>
        </w:rPr>
        <w:t xml:space="preserve">, “Next-generation firewall using IDS and IPS,” </w:t>
      </w:r>
      <w:r w:rsidRPr="007E57DF">
        <w:rPr>
          <w:rFonts w:asciiTheme="minorBidi" w:hAnsiTheme="minorBidi" w:cstheme="minorBidi"/>
          <w:i/>
          <w:iCs/>
          <w:sz w:val="24"/>
          <w:szCs w:val="24"/>
        </w:rPr>
        <w:t>Int. J. Res. Appl. Sci. Eng. Technol.</w:t>
      </w:r>
      <w:r w:rsidRPr="007E57DF">
        <w:rPr>
          <w:rFonts w:asciiTheme="minorBidi" w:hAnsiTheme="minorBidi" w:cstheme="minorBidi"/>
          <w:sz w:val="24"/>
          <w:szCs w:val="24"/>
        </w:rPr>
        <w:t>, vol. 13, no. 4, pp. 210–216, 2025.</w:t>
      </w:r>
    </w:p>
    <w:p w14:paraId="54A0F22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[8] Cloud Security Alliance, </w:t>
      </w:r>
      <w:r w:rsidRPr="007E57DF">
        <w:rPr>
          <w:rFonts w:asciiTheme="minorBidi" w:hAnsiTheme="minorBidi" w:cstheme="minorBidi"/>
          <w:i/>
          <w:iCs/>
          <w:sz w:val="24"/>
          <w:szCs w:val="24"/>
        </w:rPr>
        <w:t>Cloud Control Matrix (CCM) v4.0</w:t>
      </w:r>
      <w:r w:rsidRPr="007E57DF">
        <w:rPr>
          <w:rFonts w:asciiTheme="minorBidi" w:hAnsiTheme="minorBidi" w:cstheme="minorBidi"/>
          <w:sz w:val="24"/>
          <w:szCs w:val="24"/>
        </w:rPr>
        <w:t>, Seattle, WA, USA, 2022.</w:t>
      </w:r>
    </w:p>
    <w:p w14:paraId="3D77839C"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[9] B. Skendžić, B. Kovačević, and A. B. Blažević, “Management and monitoring of security events using SIEM systems,” in </w:t>
      </w:r>
      <w:r w:rsidRPr="007E57DF">
        <w:rPr>
          <w:rFonts w:asciiTheme="minorBidi" w:hAnsiTheme="minorBidi" w:cstheme="minorBidi"/>
          <w:i/>
          <w:iCs/>
          <w:sz w:val="24"/>
          <w:szCs w:val="24"/>
        </w:rPr>
        <w:t>Proc. IEEE Int. Conf. Cyber Situational Awareness</w:t>
      </w:r>
      <w:r w:rsidRPr="007E57DF">
        <w:rPr>
          <w:rFonts w:asciiTheme="minorBidi" w:hAnsiTheme="minorBidi" w:cstheme="minorBidi"/>
          <w:sz w:val="24"/>
          <w:szCs w:val="24"/>
        </w:rPr>
        <w:t>, 2022, pp. 55–61.</w:t>
      </w:r>
    </w:p>
    <w:p w14:paraId="2D00DAA7"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[10] International Organization for Standardization, </w:t>
      </w:r>
      <w:r w:rsidRPr="007E57DF">
        <w:rPr>
          <w:rFonts w:asciiTheme="minorBidi" w:hAnsiTheme="minorBidi" w:cstheme="minorBidi"/>
          <w:i/>
          <w:iCs/>
          <w:sz w:val="24"/>
          <w:szCs w:val="24"/>
        </w:rPr>
        <w:t>ISO/IEC 27001:2022 Information Security Management Systems — Requirements</w:t>
      </w:r>
      <w:r w:rsidRPr="007E57DF">
        <w:rPr>
          <w:rFonts w:asciiTheme="minorBidi" w:hAnsiTheme="minorBidi" w:cstheme="minorBidi"/>
          <w:sz w:val="24"/>
          <w:szCs w:val="24"/>
        </w:rPr>
        <w:t>, Geneva, Switzerland, 2022.</w:t>
      </w:r>
    </w:p>
    <w:p w14:paraId="14D1107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[11] International Organization for Standardization, </w:t>
      </w:r>
      <w:r w:rsidRPr="007E57DF">
        <w:rPr>
          <w:rFonts w:asciiTheme="minorBidi" w:hAnsiTheme="minorBidi" w:cstheme="minorBidi"/>
          <w:i/>
          <w:iCs/>
          <w:sz w:val="24"/>
          <w:szCs w:val="24"/>
        </w:rPr>
        <w:t>ISO/IEC 27002:2022 Information Security Controls</w:t>
      </w:r>
      <w:r w:rsidRPr="007E57DF">
        <w:rPr>
          <w:rFonts w:asciiTheme="minorBidi" w:hAnsiTheme="minorBidi" w:cstheme="minorBidi"/>
          <w:sz w:val="24"/>
          <w:szCs w:val="24"/>
        </w:rPr>
        <w:t>, Geneva, Switzerland, 2022.</w:t>
      </w:r>
    </w:p>
    <w:p w14:paraId="33723A64"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[12] AXELOS, </w:t>
      </w:r>
      <w:r w:rsidRPr="007E57DF">
        <w:rPr>
          <w:rFonts w:asciiTheme="minorBidi" w:hAnsiTheme="minorBidi" w:cstheme="minorBidi"/>
          <w:i/>
          <w:iCs/>
          <w:sz w:val="24"/>
          <w:szCs w:val="24"/>
        </w:rPr>
        <w:t>ITIL® Foundation: ITIL 4 Edition</w:t>
      </w:r>
      <w:r w:rsidRPr="007E57DF">
        <w:rPr>
          <w:rFonts w:asciiTheme="minorBidi" w:hAnsiTheme="minorBidi" w:cstheme="minorBidi"/>
          <w:sz w:val="24"/>
          <w:szCs w:val="24"/>
        </w:rPr>
        <w:t>, London, U.K.: TSO, 2019.</w:t>
      </w:r>
    </w:p>
    <w:p w14:paraId="4036E3E6"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[13] International Organization for Standardization, </w:t>
      </w:r>
      <w:r w:rsidRPr="007E57DF">
        <w:rPr>
          <w:rFonts w:asciiTheme="minorBidi" w:hAnsiTheme="minorBidi" w:cstheme="minorBidi"/>
          <w:i/>
          <w:iCs/>
          <w:sz w:val="24"/>
          <w:szCs w:val="24"/>
        </w:rPr>
        <w:t>ISO/IEC 27005:2022 Information Security Risk Management</w:t>
      </w:r>
      <w:r w:rsidRPr="007E57DF">
        <w:rPr>
          <w:rFonts w:asciiTheme="minorBidi" w:hAnsiTheme="minorBidi" w:cstheme="minorBidi"/>
          <w:sz w:val="24"/>
          <w:szCs w:val="24"/>
        </w:rPr>
        <w:t>, Geneva, Switzerland, 2022.</w:t>
      </w:r>
    </w:p>
    <w:p w14:paraId="14D1B2AB"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lastRenderedPageBreak/>
        <w:t xml:space="preserve">[14] National Institute of Standards and Technology, </w:t>
      </w:r>
      <w:r w:rsidRPr="007E57DF">
        <w:rPr>
          <w:rFonts w:asciiTheme="minorBidi" w:hAnsiTheme="minorBidi" w:cstheme="minorBidi"/>
          <w:i/>
          <w:iCs/>
          <w:sz w:val="24"/>
          <w:szCs w:val="24"/>
        </w:rPr>
        <w:t>NIST Cybersecurity Framework (CSF) 2.0</w:t>
      </w:r>
      <w:r w:rsidRPr="007E57DF">
        <w:rPr>
          <w:rFonts w:asciiTheme="minorBidi" w:hAnsiTheme="minorBidi" w:cstheme="minorBidi"/>
          <w:sz w:val="24"/>
          <w:szCs w:val="24"/>
        </w:rPr>
        <w:t>, Gaithersburg, MD, USA, 2024.</w:t>
      </w:r>
    </w:p>
    <w:p w14:paraId="4BC001DE"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[15] National Institute of Standards and Technology, </w:t>
      </w:r>
      <w:r w:rsidRPr="007E57DF">
        <w:rPr>
          <w:rFonts w:asciiTheme="minorBidi" w:hAnsiTheme="minorBidi" w:cstheme="minorBidi"/>
          <w:i/>
          <w:iCs/>
          <w:sz w:val="24"/>
          <w:szCs w:val="24"/>
        </w:rPr>
        <w:t>Security and Privacy Controls for Information Systems and Organizations</w:t>
      </w:r>
      <w:r w:rsidRPr="007E57DF">
        <w:rPr>
          <w:rFonts w:asciiTheme="minorBidi" w:hAnsiTheme="minorBidi" w:cstheme="minorBidi"/>
          <w:sz w:val="24"/>
          <w:szCs w:val="24"/>
        </w:rPr>
        <w:t>, NIST SP 800-53 Rev. 5, Gaithersburg, MD, USA, 2020.</w:t>
      </w:r>
    </w:p>
    <w:p w14:paraId="201480E2"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[16] National Institute of Standards and Technology, </w:t>
      </w:r>
      <w:r w:rsidRPr="007E57DF">
        <w:rPr>
          <w:rFonts w:asciiTheme="minorBidi" w:hAnsiTheme="minorBidi" w:cstheme="minorBidi"/>
          <w:i/>
          <w:iCs/>
          <w:sz w:val="24"/>
          <w:szCs w:val="24"/>
        </w:rPr>
        <w:t>Guide to Attribute-Based Access Control (ABAC)</w:t>
      </w:r>
      <w:r w:rsidRPr="007E57DF">
        <w:rPr>
          <w:rFonts w:asciiTheme="minorBidi" w:hAnsiTheme="minorBidi" w:cstheme="minorBidi"/>
          <w:sz w:val="24"/>
          <w:szCs w:val="24"/>
        </w:rPr>
        <w:t>, NIST SP 800-162, Gaithersburg, MD, USA, 2014.</w:t>
      </w:r>
    </w:p>
    <w:p w14:paraId="4DA132C5"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[17] European Union, </w:t>
      </w:r>
      <w:r w:rsidRPr="007E57DF">
        <w:rPr>
          <w:rFonts w:asciiTheme="minorBidi" w:hAnsiTheme="minorBidi" w:cstheme="minorBidi"/>
          <w:i/>
          <w:iCs/>
          <w:sz w:val="24"/>
          <w:szCs w:val="24"/>
        </w:rPr>
        <w:t>General Data Protection Regulation (GDPR)</w:t>
      </w:r>
      <w:r w:rsidRPr="007E57DF">
        <w:rPr>
          <w:rFonts w:asciiTheme="minorBidi" w:hAnsiTheme="minorBidi" w:cstheme="minorBidi"/>
          <w:sz w:val="24"/>
          <w:szCs w:val="24"/>
        </w:rPr>
        <w:t>, Regulation (EU) 2016/679, Brussels, Belgium, 2016.</w:t>
      </w:r>
    </w:p>
    <w:p w14:paraId="3C259326"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[18] A. Chiquito </w:t>
      </w:r>
      <w:r w:rsidRPr="007E57DF">
        <w:rPr>
          <w:rFonts w:asciiTheme="minorBidi" w:hAnsiTheme="minorBidi" w:cstheme="minorBidi"/>
          <w:i/>
          <w:iCs/>
          <w:sz w:val="24"/>
          <w:szCs w:val="24"/>
        </w:rPr>
        <w:t>et al.</w:t>
      </w:r>
      <w:r w:rsidRPr="007E57DF">
        <w:rPr>
          <w:rFonts w:asciiTheme="minorBidi" w:hAnsiTheme="minorBidi" w:cstheme="minorBidi"/>
          <w:sz w:val="24"/>
          <w:szCs w:val="24"/>
        </w:rPr>
        <w:t xml:space="preserve">, “Automated management of attribute-based access control policies,” in </w:t>
      </w:r>
      <w:r w:rsidRPr="007E57DF">
        <w:rPr>
          <w:rFonts w:asciiTheme="minorBidi" w:hAnsiTheme="minorBidi" w:cstheme="minorBidi"/>
          <w:i/>
          <w:iCs/>
          <w:sz w:val="24"/>
          <w:szCs w:val="24"/>
        </w:rPr>
        <w:t>Proc. IEEE IECON</w:t>
      </w:r>
      <w:r w:rsidRPr="007E57DF">
        <w:rPr>
          <w:rFonts w:asciiTheme="minorBidi" w:hAnsiTheme="minorBidi" w:cstheme="minorBidi"/>
          <w:sz w:val="24"/>
          <w:szCs w:val="24"/>
        </w:rPr>
        <w:t>, 2023, pp. 1–7.</w:t>
      </w:r>
    </w:p>
    <w:p w14:paraId="088ADBA5"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[19] L. Sun and Y. Long, “RACAC: A hybrid RBAC and ABAC access control model,” in </w:t>
      </w:r>
      <w:r w:rsidRPr="007E57DF">
        <w:rPr>
          <w:rFonts w:asciiTheme="minorBidi" w:hAnsiTheme="minorBidi" w:cstheme="minorBidi"/>
          <w:i/>
          <w:iCs/>
          <w:sz w:val="24"/>
          <w:szCs w:val="24"/>
        </w:rPr>
        <w:t>Proc. IEEE ICCC</w:t>
      </w:r>
      <w:r w:rsidRPr="007E57DF">
        <w:rPr>
          <w:rFonts w:asciiTheme="minorBidi" w:hAnsiTheme="minorBidi" w:cstheme="minorBidi"/>
          <w:sz w:val="24"/>
          <w:szCs w:val="24"/>
        </w:rPr>
        <w:t>, 2019, pp. 1221–1226.</w:t>
      </w:r>
    </w:p>
    <w:p w14:paraId="5218FD51"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[20] C. Li </w:t>
      </w:r>
      <w:r w:rsidRPr="007E57DF">
        <w:rPr>
          <w:rFonts w:asciiTheme="minorBidi" w:hAnsiTheme="minorBidi" w:cstheme="minorBidi"/>
          <w:i/>
          <w:iCs/>
          <w:sz w:val="24"/>
          <w:szCs w:val="24"/>
        </w:rPr>
        <w:t>et al.</w:t>
      </w:r>
      <w:r w:rsidRPr="007E57DF">
        <w:rPr>
          <w:rFonts w:asciiTheme="minorBidi" w:hAnsiTheme="minorBidi" w:cstheme="minorBidi"/>
          <w:sz w:val="24"/>
          <w:szCs w:val="24"/>
        </w:rPr>
        <w:t xml:space="preserve">, “RBAC-based access control for SaaS systems,” in </w:t>
      </w:r>
      <w:r w:rsidRPr="007E57DF">
        <w:rPr>
          <w:rFonts w:asciiTheme="minorBidi" w:hAnsiTheme="minorBidi" w:cstheme="minorBidi"/>
          <w:i/>
          <w:iCs/>
          <w:sz w:val="24"/>
          <w:szCs w:val="24"/>
        </w:rPr>
        <w:t>Proc. IEEE Int. Conf. Computer Science and Software Engineering</w:t>
      </w:r>
      <w:r w:rsidRPr="007E57DF">
        <w:rPr>
          <w:rFonts w:asciiTheme="minorBidi" w:hAnsiTheme="minorBidi" w:cstheme="minorBidi"/>
          <w:sz w:val="24"/>
          <w:szCs w:val="24"/>
        </w:rPr>
        <w:t>, 2010, pp. 1–6.</w:t>
      </w:r>
    </w:p>
    <w:p w14:paraId="23BAE4FE"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[21] NIST, </w:t>
      </w:r>
      <w:r w:rsidRPr="007E57DF">
        <w:rPr>
          <w:rFonts w:asciiTheme="minorBidi" w:hAnsiTheme="minorBidi" w:cstheme="minorBidi"/>
          <w:i/>
          <w:iCs/>
          <w:sz w:val="24"/>
          <w:szCs w:val="24"/>
        </w:rPr>
        <w:t>Guide to Enterprise Patch Management Technologies</w:t>
      </w:r>
      <w:r w:rsidRPr="007E57DF">
        <w:rPr>
          <w:rFonts w:asciiTheme="minorBidi" w:hAnsiTheme="minorBidi" w:cstheme="minorBidi"/>
          <w:sz w:val="24"/>
          <w:szCs w:val="24"/>
        </w:rPr>
        <w:t>, NIST SP 800-40 Rev. 4, Gaithersburg, MD, USA, 2022.</w:t>
      </w:r>
    </w:p>
    <w:p w14:paraId="53EFB293"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[22] NIST, </w:t>
      </w:r>
      <w:r w:rsidRPr="007E57DF">
        <w:rPr>
          <w:rFonts w:asciiTheme="minorBidi" w:hAnsiTheme="minorBidi" w:cstheme="minorBidi"/>
          <w:i/>
          <w:iCs/>
          <w:sz w:val="24"/>
          <w:szCs w:val="24"/>
        </w:rPr>
        <w:t>Guidelines on Firewalls and Firewall Policy</w:t>
      </w:r>
      <w:r w:rsidRPr="007E57DF">
        <w:rPr>
          <w:rFonts w:asciiTheme="minorBidi" w:hAnsiTheme="minorBidi" w:cstheme="minorBidi"/>
          <w:sz w:val="24"/>
          <w:szCs w:val="24"/>
        </w:rPr>
        <w:t>, NIST SP 800-41 Rev. 1, Gaithersburg, MD, USA, 2009.</w:t>
      </w:r>
    </w:p>
    <w:p w14:paraId="2DA28420"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[23] NIST, </w:t>
      </w:r>
      <w:r w:rsidRPr="007E57DF">
        <w:rPr>
          <w:rFonts w:asciiTheme="minorBidi" w:hAnsiTheme="minorBidi" w:cstheme="minorBidi"/>
          <w:i/>
          <w:iCs/>
          <w:sz w:val="24"/>
          <w:szCs w:val="24"/>
        </w:rPr>
        <w:t>Zero Trust Architecture</w:t>
      </w:r>
      <w:r w:rsidRPr="007E57DF">
        <w:rPr>
          <w:rFonts w:asciiTheme="minorBidi" w:hAnsiTheme="minorBidi" w:cstheme="minorBidi"/>
          <w:sz w:val="24"/>
          <w:szCs w:val="24"/>
        </w:rPr>
        <w:t>, NIST SP 800-207, Gaithersburg, MD, USA, 2020.</w:t>
      </w:r>
    </w:p>
    <w:p w14:paraId="4EB3877B"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[24] ISO/IEC, </w:t>
      </w:r>
      <w:r w:rsidRPr="007E57DF">
        <w:rPr>
          <w:rFonts w:asciiTheme="minorBidi" w:hAnsiTheme="minorBidi" w:cstheme="minorBidi"/>
          <w:i/>
          <w:iCs/>
          <w:sz w:val="24"/>
          <w:szCs w:val="24"/>
        </w:rPr>
        <w:t>ISO/IEC 27035-1:2016 Information Security Incident Management — Principles</w:t>
      </w:r>
      <w:r w:rsidRPr="007E57DF">
        <w:rPr>
          <w:rFonts w:asciiTheme="minorBidi" w:hAnsiTheme="minorBidi" w:cstheme="minorBidi"/>
          <w:sz w:val="24"/>
          <w:szCs w:val="24"/>
        </w:rPr>
        <w:t>, Geneva, Switzerland, 2016.</w:t>
      </w:r>
    </w:p>
    <w:p w14:paraId="58615AF0"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[25] ISO/IEC, </w:t>
      </w:r>
      <w:r w:rsidRPr="007E57DF">
        <w:rPr>
          <w:rFonts w:asciiTheme="minorBidi" w:hAnsiTheme="minorBidi" w:cstheme="minorBidi"/>
          <w:i/>
          <w:iCs/>
          <w:sz w:val="24"/>
          <w:szCs w:val="24"/>
        </w:rPr>
        <w:t>ISO/IEC 27035-2:2016 Incident Response Planning and Preparation</w:t>
      </w:r>
      <w:r w:rsidRPr="007E57DF">
        <w:rPr>
          <w:rFonts w:asciiTheme="minorBidi" w:hAnsiTheme="minorBidi" w:cstheme="minorBidi"/>
          <w:sz w:val="24"/>
          <w:szCs w:val="24"/>
        </w:rPr>
        <w:t>, Geneva, Switzerland, 2016.</w:t>
      </w:r>
    </w:p>
    <w:p w14:paraId="29EAA08D"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[26] ISO/IEC, </w:t>
      </w:r>
      <w:r w:rsidRPr="007E57DF">
        <w:rPr>
          <w:rFonts w:asciiTheme="minorBidi" w:hAnsiTheme="minorBidi" w:cstheme="minorBidi"/>
          <w:i/>
          <w:iCs/>
          <w:sz w:val="24"/>
          <w:szCs w:val="24"/>
        </w:rPr>
        <w:t>ISO/IEC 27035-3:2020 Incident Response Operations</w:t>
      </w:r>
      <w:r w:rsidRPr="007E57DF">
        <w:rPr>
          <w:rFonts w:asciiTheme="minorBidi" w:hAnsiTheme="minorBidi" w:cstheme="minorBidi"/>
          <w:sz w:val="24"/>
          <w:szCs w:val="24"/>
        </w:rPr>
        <w:t>, Geneva, Switzerland, 2020.</w:t>
      </w:r>
    </w:p>
    <w:p w14:paraId="291E0243"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[27] ENISA, </w:t>
      </w:r>
      <w:r w:rsidRPr="007E57DF">
        <w:rPr>
          <w:rFonts w:asciiTheme="minorBidi" w:hAnsiTheme="minorBidi" w:cstheme="minorBidi"/>
          <w:i/>
          <w:iCs/>
          <w:sz w:val="24"/>
          <w:szCs w:val="24"/>
        </w:rPr>
        <w:t>Threat Landscape for Supply Chain Attacks</w:t>
      </w:r>
      <w:r w:rsidRPr="007E57DF">
        <w:rPr>
          <w:rFonts w:asciiTheme="minorBidi" w:hAnsiTheme="minorBidi" w:cstheme="minorBidi"/>
          <w:sz w:val="24"/>
          <w:szCs w:val="24"/>
        </w:rPr>
        <w:t>, Athens, Greece, 2022.</w:t>
      </w:r>
    </w:p>
    <w:p w14:paraId="7F49914A"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[28] World Economic Forum, </w:t>
      </w:r>
      <w:r w:rsidRPr="007E57DF">
        <w:rPr>
          <w:rFonts w:asciiTheme="minorBidi" w:hAnsiTheme="minorBidi" w:cstheme="minorBidi"/>
          <w:i/>
          <w:iCs/>
          <w:sz w:val="24"/>
          <w:szCs w:val="24"/>
        </w:rPr>
        <w:t>Global Cybersecurity Outlook</w:t>
      </w:r>
      <w:r w:rsidRPr="007E57DF">
        <w:rPr>
          <w:rFonts w:asciiTheme="minorBidi" w:hAnsiTheme="minorBidi" w:cstheme="minorBidi"/>
          <w:sz w:val="24"/>
          <w:szCs w:val="24"/>
        </w:rPr>
        <w:t>, Geneva, Switzerland, 2024.</w:t>
      </w:r>
    </w:p>
    <w:p w14:paraId="4457B2A0" w14:textId="77777777" w:rsidR="006235EB" w:rsidRPr="007E57DF" w:rsidRDefault="00000000">
      <w:pPr>
        <w:rPr>
          <w:rFonts w:asciiTheme="minorBidi" w:hAnsiTheme="minorBidi" w:cstheme="minorBidi"/>
          <w:sz w:val="24"/>
          <w:szCs w:val="24"/>
        </w:rPr>
      </w:pPr>
      <w:r w:rsidRPr="007E57DF">
        <w:rPr>
          <w:rFonts w:asciiTheme="minorBidi" w:hAnsiTheme="minorBidi" w:cstheme="minorBidi"/>
          <w:sz w:val="24"/>
          <w:szCs w:val="24"/>
        </w:rPr>
        <w:t xml:space="preserve">[29] International Organization for Standardization, </w:t>
      </w:r>
      <w:r w:rsidRPr="007E57DF">
        <w:rPr>
          <w:rFonts w:asciiTheme="minorBidi" w:hAnsiTheme="minorBidi" w:cstheme="minorBidi"/>
          <w:i/>
          <w:iCs/>
          <w:sz w:val="24"/>
          <w:szCs w:val="24"/>
        </w:rPr>
        <w:t>ISO/IEC 27001:2022 — Continuous Improvement and Governance Guidance</w:t>
      </w:r>
      <w:r w:rsidRPr="007E57DF">
        <w:rPr>
          <w:rFonts w:asciiTheme="minorBidi" w:hAnsiTheme="minorBidi" w:cstheme="minorBidi"/>
          <w:sz w:val="24"/>
          <w:szCs w:val="24"/>
        </w:rPr>
        <w:t>, Geneva, Switzerland, 2022.</w:t>
      </w:r>
    </w:p>
    <w:p w14:paraId="736C8FF2" w14:textId="77777777" w:rsidR="006235EB" w:rsidRDefault="006235EB">
      <w:pPr>
        <w:rPr>
          <w:rFonts w:asciiTheme="minorBidi" w:hAnsiTheme="minorBidi" w:cstheme="minorBidi"/>
          <w:sz w:val="24"/>
          <w:szCs w:val="24"/>
        </w:rPr>
      </w:pPr>
    </w:p>
    <w:p w14:paraId="1A375371" w14:textId="77777777" w:rsidR="00B96353" w:rsidRDefault="00B96353">
      <w:pPr>
        <w:rPr>
          <w:rFonts w:asciiTheme="minorBidi" w:hAnsiTheme="minorBidi" w:cstheme="minorBidi"/>
          <w:sz w:val="24"/>
          <w:szCs w:val="24"/>
        </w:rPr>
      </w:pPr>
    </w:p>
    <w:p w14:paraId="389EEF93" w14:textId="77777777" w:rsidR="00B96353" w:rsidRDefault="00B96353">
      <w:pPr>
        <w:rPr>
          <w:rFonts w:asciiTheme="minorBidi" w:hAnsiTheme="minorBidi" w:cstheme="minorBidi"/>
          <w:sz w:val="24"/>
          <w:szCs w:val="24"/>
        </w:rPr>
      </w:pPr>
    </w:p>
    <w:p w14:paraId="3E4258C5" w14:textId="77777777" w:rsidR="00B96353" w:rsidRDefault="00B96353">
      <w:pPr>
        <w:rPr>
          <w:rFonts w:asciiTheme="minorBidi" w:hAnsiTheme="minorBidi" w:cstheme="minorBidi"/>
          <w:sz w:val="24"/>
          <w:szCs w:val="24"/>
        </w:rPr>
      </w:pPr>
    </w:p>
    <w:p w14:paraId="4534AA49" w14:textId="4B5EE8C5" w:rsidR="00B96353" w:rsidRDefault="00B96353">
      <w:pPr>
        <w:rPr>
          <w:rFonts w:asciiTheme="minorBidi" w:hAnsiTheme="minorBidi" w:cstheme="minorBidi"/>
          <w:sz w:val="24"/>
          <w:szCs w:val="24"/>
        </w:rPr>
      </w:pPr>
      <w:r>
        <w:rPr>
          <w:rFonts w:asciiTheme="minorBidi" w:hAnsiTheme="minorBidi" w:cstheme="minorBidi"/>
          <w:noProof/>
          <w:sz w:val="24"/>
          <w:szCs w:val="24"/>
        </w:rPr>
        <w:lastRenderedPageBreak/>
        <w:drawing>
          <wp:anchor distT="0" distB="0" distL="114300" distR="114300" simplePos="0" relativeHeight="251660288" behindDoc="0" locked="0" layoutInCell="1" allowOverlap="1" wp14:anchorId="6D17B4E9" wp14:editId="200A2B96">
            <wp:simplePos x="0" y="0"/>
            <wp:positionH relativeFrom="column">
              <wp:posOffset>-876301</wp:posOffset>
            </wp:positionH>
            <wp:positionV relativeFrom="paragraph">
              <wp:posOffset>288925</wp:posOffset>
            </wp:positionV>
            <wp:extent cx="7520305" cy="5591175"/>
            <wp:effectExtent l="0" t="0" r="4445" b="9525"/>
            <wp:wrapNone/>
            <wp:docPr id="3154746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74617" name="Picture 3154746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21543" cy="5592095"/>
                    </a:xfrm>
                    <a:prstGeom prst="rect">
                      <a:avLst/>
                    </a:prstGeom>
                  </pic:spPr>
                </pic:pic>
              </a:graphicData>
            </a:graphic>
            <wp14:sizeRelH relativeFrom="margin">
              <wp14:pctWidth>0</wp14:pctWidth>
            </wp14:sizeRelH>
          </wp:anchor>
        </w:drawing>
      </w:r>
      <w:r>
        <w:rPr>
          <w:rFonts w:asciiTheme="minorBidi" w:hAnsiTheme="minorBidi" w:cstheme="minorBidi"/>
          <w:sz w:val="24"/>
          <w:szCs w:val="24"/>
        </w:rPr>
        <w:t>All Layout</w:t>
      </w:r>
    </w:p>
    <w:p w14:paraId="3FD5054C" w14:textId="77D1EC30" w:rsidR="00B96353" w:rsidRDefault="00B96353">
      <w:pPr>
        <w:rPr>
          <w:rFonts w:asciiTheme="minorBidi" w:hAnsiTheme="minorBidi" w:cstheme="minorBidi"/>
          <w:sz w:val="24"/>
          <w:szCs w:val="24"/>
        </w:rPr>
      </w:pPr>
    </w:p>
    <w:p w14:paraId="0903B22F" w14:textId="77777777" w:rsidR="00B96353" w:rsidRPr="007E57DF" w:rsidRDefault="00B96353">
      <w:pPr>
        <w:rPr>
          <w:rFonts w:asciiTheme="minorBidi" w:hAnsiTheme="minorBidi" w:cstheme="minorBidi"/>
          <w:sz w:val="24"/>
          <w:szCs w:val="24"/>
        </w:rPr>
      </w:pPr>
    </w:p>
    <w:sectPr w:rsidR="00B96353" w:rsidRPr="007E57DF" w:rsidSect="007E57DF">
      <w:headerReference w:type="default" r:id="rId9"/>
      <w:footerReference w:type="default" r:id="rId10"/>
      <w:pgSz w:w="11906" w:h="16838"/>
      <w:pgMar w:top="1135"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7474B4" w14:textId="77777777" w:rsidR="00053E23" w:rsidRDefault="00053E23" w:rsidP="007E57DF">
      <w:pPr>
        <w:spacing w:after="0" w:line="240" w:lineRule="auto"/>
      </w:pPr>
      <w:r>
        <w:separator/>
      </w:r>
    </w:p>
  </w:endnote>
  <w:endnote w:type="continuationSeparator" w:id="0">
    <w:p w14:paraId="631E3034" w14:textId="77777777" w:rsidR="00053E23" w:rsidRDefault="00053E23" w:rsidP="007E57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7E87FE" w14:textId="77777777" w:rsidR="007E57DF" w:rsidRDefault="007E57DF">
    <w:pPr>
      <w:pStyle w:val="Header"/>
      <w:pBdr>
        <w:top w:val="single" w:sz="6" w:space="10" w:color="4F81BD" w:themeColor="accent1"/>
      </w:pBdr>
      <w:spacing w:before="240"/>
      <w:jc w:val="center"/>
      <w:rPr>
        <w:color w:val="4F81BD" w:themeColor="accent1"/>
      </w:rPr>
    </w:pPr>
    <w:r>
      <w:rPr>
        <w:noProof/>
        <w:color w:val="4F81BD" w:themeColor="accent1"/>
      </w:rPr>
      <w:drawing>
        <wp:inline distT="0" distB="0" distL="0" distR="0" wp14:anchorId="0333E7EE" wp14:editId="795541F7">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2F47F0E2" w14:textId="77777777" w:rsidR="007E57DF" w:rsidRDefault="007E57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FE61C" w14:textId="77777777" w:rsidR="00053E23" w:rsidRDefault="00053E23" w:rsidP="007E57DF">
      <w:pPr>
        <w:spacing w:after="0" w:line="240" w:lineRule="auto"/>
      </w:pPr>
      <w:r>
        <w:separator/>
      </w:r>
    </w:p>
  </w:footnote>
  <w:footnote w:type="continuationSeparator" w:id="0">
    <w:p w14:paraId="6F554A5C" w14:textId="77777777" w:rsidR="00053E23" w:rsidRDefault="00053E23" w:rsidP="007E57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DAF29" w14:textId="6EBC6244" w:rsidR="007E57DF" w:rsidRDefault="007E57DF">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4C12BE8B" wp14:editId="0624B8D6">
              <wp:simplePos x="0" y="0"/>
              <wp:positionH relativeFrom="page">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24130"/>
              <wp:wrapNone/>
              <wp:docPr id="167" name="Group 179"/>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68" name="Group 168"/>
                      <wpg:cNvGrpSpPr/>
                      <wpg:grpSpPr>
                        <a:xfrm>
                          <a:off x="0" y="0"/>
                          <a:ext cx="1700784" cy="1024128"/>
                          <a:chOff x="0" y="0"/>
                          <a:chExt cx="1700784" cy="1024128"/>
                        </a:xfrm>
                      </wpg:grpSpPr>
                      <wps:wsp>
                        <wps:cNvPr id="169" name="Rectangle 169"/>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0" name="Rectangle 12"/>
                        <wps:cNvSpPr/>
                        <wps:spPr>
                          <a:xfrm>
                            <a:off x="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1462822 w 1462822"/>
                              <a:gd name="connsiteY2" fmla="*/ 1014481 h 1014481"/>
                              <a:gd name="connsiteX3" fmla="*/ 638269 w 1462822"/>
                              <a:gd name="connsiteY3" fmla="*/ 407899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1462822" y="1014481"/>
                                </a:lnTo>
                                <a:lnTo>
                                  <a:pt x="638269" y="407899"/>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1" name="Rectangle 171"/>
                        <wps:cNvSpPr/>
                        <wps:spPr>
                          <a:xfrm>
                            <a:off x="0" y="0"/>
                            <a:ext cx="1472184" cy="1024128"/>
                          </a:xfrm>
                          <a:prstGeom prst="rect">
                            <a:avLst/>
                          </a:prstGeom>
                          <a:blipFill>
                            <a:blip r:embed="rId1"/>
                            <a:stretch>
                              <a:fillRect/>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2" name="Text Box 172"/>
                      <wps:cNvSpPr txBox="1"/>
                      <wps:spPr>
                        <a:xfrm>
                          <a:off x="1032625" y="9510"/>
                          <a:ext cx="438150"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AB721F" w14:textId="77777777" w:rsidR="007E57DF" w:rsidRDefault="007E57DF">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C12BE8B" id="Group 179" o:spid="_x0000_s1026" style="position:absolute;margin-left:82.7pt;margin-top:0;width:133.9pt;height:80.65pt;z-index:251659264;mso-top-percent:23;mso-position-horizontal:righ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&#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">
              <v:group id="Group 168"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rect id="Rectangle 169"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" fillcolor="white [3212]" stroked="f" strokeweight="2pt">
                  <v:fill opacity="0"/>
                </v:rect>
                <v:shape id="Rectangle 12" o:spid="_x0000_s1029" style="position:absolute;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" path="m,l1462822,r,1014481l638269,407899,,xe" fillcolor="#4f81bd [3204]" stroked="f" strokeweight="2pt">
                  <v:path arrowok="t" o:connecttype="custom" o:connectlocs="0,0;1463040,0;1463040,1014984;638364,408101;0,0" o:connectangles="0,0,0,0,0"/>
                </v:shape>
                <v:rect id="Rectangle 171" o:spid="_x0000_s1030" style="position:absolute;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" strokecolor="white [3212]" strokeweight="2pt">
                  <v:fill r:id="rId2" o:title="" recolor="t" rotate="t" type="frame"/>
                </v:rect>
              </v:group>
              <v:shapetype id="_x0000_t202" coordsize="21600,21600" o:spt="202" path="m,l,21600r21600,l21600,xe">
                <v:stroke joinstyle="miter"/>
                <v:path gradientshapeok="t" o:connecttype="rect"/>
              </v:shapetype>
              <v:shape id="Text Box 172" o:spid="_x0000_s1031" type="#_x0000_t202" style="position:absolute;left:10326;top:95;width:4381;height:37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" filled="f" stroked="f" strokeweight=".5pt">
                <v:textbox inset=",7.2pt,,7.2pt">
                  <w:txbxContent>
                    <w:p w14:paraId="39AB721F" w14:textId="77777777" w:rsidR="007E57DF" w:rsidRDefault="007E57DF">
                      <w:pPr>
                        <w:pStyle w:val="Header"/>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5EB"/>
    <w:rsid w:val="00053E23"/>
    <w:rsid w:val="003D299E"/>
    <w:rsid w:val="00404EC9"/>
    <w:rsid w:val="006235EB"/>
    <w:rsid w:val="0075698C"/>
    <w:rsid w:val="007E57DF"/>
    <w:rsid w:val="00B96353"/>
    <w:rsid w:val="00D358EC"/>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C42B0"/>
  <w15:docId w15:val="{C0BE0449-E3B1-423B-AD56-4C8E8AA47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P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Calibri Light" w:eastAsia="SimSun" w:hAnsi="Calibri Light" w:cs="Times New Roman"/>
      <w:color w:val="2F5496"/>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Calibri Light" w:eastAsia="SimSun" w:hAnsi="Calibri Light" w:cs="Times New Roman"/>
      <w:color w:val="2F5496"/>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SimSun" w:cs="Times New Roma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cs="Times New Roma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s="Times New Roma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s="Times New Roman"/>
      <w:color w:val="595959"/>
    </w:rPr>
  </w:style>
  <w:style w:type="paragraph" w:styleId="Heading8">
    <w:name w:val="heading 8"/>
    <w:basedOn w:val="Normal"/>
    <w:next w:val="Normal"/>
    <w:link w:val="Heading8Char"/>
    <w:uiPriority w:val="9"/>
    <w:qFormat/>
    <w:pPr>
      <w:keepNext/>
      <w:keepLines/>
      <w:spacing w:after="0"/>
      <w:outlineLvl w:val="7"/>
    </w:pPr>
    <w:rPr>
      <w:rFonts w:eastAsia="SimSun" w:cs="Times New Roma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SimSun" w:hAnsi="Calibri Light" w:cs="Times New Roman"/>
      <w:color w:val="2F5496"/>
      <w:sz w:val="40"/>
      <w:szCs w:val="40"/>
    </w:rPr>
  </w:style>
  <w:style w:type="character" w:customStyle="1" w:styleId="Heading2Char">
    <w:name w:val="Heading 2 Char"/>
    <w:basedOn w:val="DefaultParagraphFont"/>
    <w:link w:val="Heading2"/>
    <w:uiPriority w:val="9"/>
    <w:rPr>
      <w:rFonts w:ascii="Calibri Light" w:eastAsia="SimSun" w:hAnsi="Calibri Light" w:cs="Times New Roman"/>
      <w:color w:val="2F5496"/>
      <w:sz w:val="32"/>
      <w:szCs w:val="32"/>
    </w:rPr>
  </w:style>
  <w:style w:type="character" w:customStyle="1" w:styleId="Heading3Char">
    <w:name w:val="Heading 3 Char"/>
    <w:basedOn w:val="DefaultParagraphFont"/>
    <w:link w:val="Heading3"/>
    <w:uiPriority w:val="9"/>
    <w:rPr>
      <w:rFonts w:eastAsia="SimSun" w:cs="Times New Roman"/>
      <w:color w:val="2F5496"/>
      <w:sz w:val="28"/>
      <w:szCs w:val="28"/>
    </w:rPr>
  </w:style>
  <w:style w:type="character" w:customStyle="1" w:styleId="Heading4Char">
    <w:name w:val="Heading 4 Char"/>
    <w:basedOn w:val="DefaultParagraphFont"/>
    <w:link w:val="Heading4"/>
    <w:uiPriority w:val="9"/>
    <w:rPr>
      <w:rFonts w:eastAsia="SimSun" w:cs="Times New Roman"/>
      <w:i/>
      <w:iCs/>
      <w:color w:val="2F5496"/>
    </w:rPr>
  </w:style>
  <w:style w:type="character" w:customStyle="1" w:styleId="Heading5Char">
    <w:name w:val="Heading 5 Char"/>
    <w:basedOn w:val="DefaultParagraphFont"/>
    <w:link w:val="Heading5"/>
    <w:uiPriority w:val="9"/>
    <w:rPr>
      <w:rFonts w:eastAsia="SimSun" w:cs="Times New Roman"/>
      <w:color w:val="2F5496"/>
    </w:rPr>
  </w:style>
  <w:style w:type="character" w:customStyle="1" w:styleId="Heading6Char">
    <w:name w:val="Heading 6 Char"/>
    <w:basedOn w:val="DefaultParagraphFont"/>
    <w:link w:val="Heading6"/>
    <w:uiPriority w:val="9"/>
    <w:rPr>
      <w:rFonts w:eastAsia="SimSun" w:cs="Times New Roman"/>
      <w:i/>
      <w:iCs/>
      <w:color w:val="595959"/>
    </w:rPr>
  </w:style>
  <w:style w:type="character" w:customStyle="1" w:styleId="Heading7Char">
    <w:name w:val="Heading 7 Char"/>
    <w:basedOn w:val="DefaultParagraphFont"/>
    <w:link w:val="Heading7"/>
    <w:uiPriority w:val="9"/>
    <w:rPr>
      <w:rFonts w:eastAsia="SimSun" w:cs="Times New Roman"/>
      <w:color w:val="595959"/>
    </w:rPr>
  </w:style>
  <w:style w:type="character" w:customStyle="1" w:styleId="Heading8Char">
    <w:name w:val="Heading 8 Char"/>
    <w:basedOn w:val="DefaultParagraphFont"/>
    <w:link w:val="Heading8"/>
    <w:uiPriority w:val="9"/>
    <w:rPr>
      <w:rFonts w:eastAsia="SimSun" w:cs="Times New Roman"/>
      <w:i/>
      <w:iCs/>
      <w:color w:val="272727"/>
    </w:rPr>
  </w:style>
  <w:style w:type="character" w:customStyle="1" w:styleId="Heading9Char">
    <w:name w:val="Heading 9 Char"/>
    <w:basedOn w:val="DefaultParagraphFont"/>
    <w:link w:val="Heading9"/>
    <w:uiPriority w:val="9"/>
    <w:rPr>
      <w:rFonts w:eastAsia="SimSun" w:cs="Times New Roma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cs="Times New Roman"/>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Times New Roma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s="Times New Roman"/>
      <w:color w:val="595959"/>
      <w:spacing w:val="15"/>
      <w:sz w:val="28"/>
      <w:szCs w:val="28"/>
    </w:rPr>
  </w:style>
  <w:style w:type="character" w:customStyle="1" w:styleId="SubtitleChar">
    <w:name w:val="Subtitle Char"/>
    <w:basedOn w:val="DefaultParagraphFont"/>
    <w:link w:val="Subtitle"/>
    <w:uiPriority w:val="11"/>
    <w:rPr>
      <w:rFonts w:eastAsia="SimSun" w:cs="Times New Roma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paragraph" w:styleId="Header">
    <w:name w:val="header"/>
    <w:basedOn w:val="Normal"/>
    <w:link w:val="HeaderChar"/>
    <w:uiPriority w:val="99"/>
    <w:unhideWhenUsed/>
    <w:rsid w:val="007E5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7DF"/>
  </w:style>
  <w:style w:type="paragraph" w:styleId="Footer">
    <w:name w:val="footer"/>
    <w:basedOn w:val="Normal"/>
    <w:link w:val="FooterChar"/>
    <w:uiPriority w:val="99"/>
    <w:unhideWhenUsed/>
    <w:rsid w:val="007E5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7DF"/>
  </w:style>
  <w:style w:type="paragraph" w:styleId="TOCHeading">
    <w:name w:val="TOC Heading"/>
    <w:basedOn w:val="Heading1"/>
    <w:next w:val="Normal"/>
    <w:uiPriority w:val="39"/>
    <w:unhideWhenUsed/>
    <w:qFormat/>
    <w:rsid w:val="00404EC9"/>
    <w:pPr>
      <w:spacing w:before="240" w:after="0"/>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404EC9"/>
    <w:pPr>
      <w:spacing w:after="100"/>
    </w:pPr>
  </w:style>
  <w:style w:type="character" w:styleId="Hyperlink">
    <w:name w:val="Hyperlink"/>
    <w:basedOn w:val="DefaultParagraphFont"/>
    <w:uiPriority w:val="99"/>
    <w:unhideWhenUsed/>
    <w:rsid w:val="00404EC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123F2-5817-496F-A3BC-F53147EB1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4335</Words>
  <Characters>24711</Characters>
  <Application>Microsoft Office Word</Application>
  <DocSecurity>0</DocSecurity>
  <Lines>205</Lines>
  <Paragraphs>57</Paragraphs>
  <ScaleCrop>false</ScaleCrop>
  <Company/>
  <LinksUpToDate>false</LinksUpToDate>
  <CharactersWithSpaces>28989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ANF</dc:creator>
  <cp:lastModifiedBy>ANF</cp:lastModifiedBy>
  <cp:revision>5</cp:revision>
  <dcterms:created xsi:type="dcterms:W3CDTF">2025-12-17T08:47:00Z</dcterms:created>
  <dcterms:modified xsi:type="dcterms:W3CDTF">2025-12-17T21:33:00Z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7b514996268a4eb982e9aa79bd986952</vt:lpwstr>
  </property>
</Properties>
</file>