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56B" w:rsidRPr="00741025" w:rsidRDefault="0088456B" w:rsidP="00837FDB">
      <w:pPr>
        <w:jc w:val="both"/>
        <w:rPr>
          <w:rFonts w:asciiTheme="minorHAnsi" w:hAnsiTheme="minorHAnsi" w:cs="Arial"/>
          <w:b/>
          <w:sz w:val="28"/>
          <w:szCs w:val="28"/>
          <w:u w:val="single"/>
        </w:rPr>
      </w:pPr>
      <w:r w:rsidRPr="00741025">
        <w:rPr>
          <w:rFonts w:asciiTheme="minorHAnsi" w:hAnsiTheme="minorHAnsi" w:cs="Arial"/>
          <w:b/>
          <w:sz w:val="28"/>
          <w:szCs w:val="28"/>
          <w:u w:val="single"/>
        </w:rPr>
        <w:t>Motorsport and Emissions Reduction</w:t>
      </w:r>
    </w:p>
    <w:p w:rsidR="000825A3" w:rsidRPr="00741025" w:rsidRDefault="000825A3" w:rsidP="00837FDB">
      <w:pPr>
        <w:jc w:val="both"/>
        <w:rPr>
          <w:rFonts w:asciiTheme="minorHAnsi" w:hAnsiTheme="minorHAnsi" w:cs="Arial"/>
          <w:b/>
          <w:sz w:val="28"/>
          <w:szCs w:val="28"/>
        </w:rPr>
      </w:pPr>
      <w:r w:rsidRPr="00741025">
        <w:rPr>
          <w:rFonts w:asciiTheme="minorHAnsi" w:hAnsiTheme="minorHAnsi" w:cs="Arial"/>
          <w:b/>
          <w:sz w:val="28"/>
          <w:szCs w:val="28"/>
        </w:rPr>
        <w:t xml:space="preserve">Race Engine Technology Monitor </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The MSA BTCC instigated a world first in 2009 when it began testing the CO2 outputs of its race cars.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For 2009 the race cars will have to show that their CO2 emissions are at or below the levels of their production car counterparts, based on rolling road testing which uses a specifically designed two part drive cycle.</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The BTCC have devised a drive cycle which is suitable for the race cars, which due to issues such as gearing would not even run on the conventional Euro 4 production car drive cycle.  The drive cycle consists of a 300 second warm up phase, followed by a 330 second sampling phase. </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The tests are conducted in one of Jaguar Land Rover’s state-of-the-art emissions test laboratories at Land Rover, </w:t>
      </w:r>
      <w:proofErr w:type="spellStart"/>
      <w:r w:rsidRPr="00741025">
        <w:rPr>
          <w:rFonts w:asciiTheme="minorHAnsi" w:hAnsiTheme="minorHAnsi"/>
          <w:sz w:val="28"/>
          <w:szCs w:val="28"/>
          <w:lang w:val="en-US"/>
        </w:rPr>
        <w:t>Solihull</w:t>
      </w:r>
      <w:proofErr w:type="spellEnd"/>
      <w:r w:rsidRPr="00741025">
        <w:rPr>
          <w:rFonts w:asciiTheme="minorHAnsi" w:hAnsiTheme="minorHAnsi"/>
          <w:sz w:val="28"/>
          <w:szCs w:val="28"/>
          <w:lang w:val="en-US"/>
        </w:rPr>
        <w:t xml:space="preserve">, on a Hatton Systems 900 kW rolling road using the latest Horiba gas analyzing equipment. The car is manually driven on the rolling road to a very exacting tolerance of ±2 </w:t>
      </w:r>
      <w:proofErr w:type="spellStart"/>
      <w:r w:rsidRPr="00741025">
        <w:rPr>
          <w:rFonts w:asciiTheme="minorHAnsi" w:hAnsiTheme="minorHAnsi"/>
          <w:sz w:val="28"/>
          <w:szCs w:val="28"/>
          <w:lang w:val="en-US"/>
        </w:rPr>
        <w:t>kph</w:t>
      </w:r>
      <w:proofErr w:type="spellEnd"/>
      <w:r w:rsidRPr="00741025">
        <w:rPr>
          <w:rFonts w:asciiTheme="minorHAnsi" w:hAnsiTheme="minorHAnsi"/>
          <w:sz w:val="28"/>
          <w:szCs w:val="28"/>
          <w:lang w:val="en-US"/>
        </w:rPr>
        <w:t xml:space="preserve"> with a maximum 1 second delay to ensure consistency.</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The move is significant for the BTCC and for the motorsport industry as a whole in the context of a world which is becoming increasingly unsympathetic towards perceived energy wastage and air pollution.</w:t>
      </w:r>
      <w:r w:rsidRPr="00741025">
        <w:rPr>
          <w:rFonts w:asciiTheme="minorHAnsi" w:hAnsiTheme="minorHAnsi"/>
          <w:sz w:val="28"/>
          <w:szCs w:val="28"/>
          <w:lang w:val="en-US"/>
        </w:rPr>
        <w:tab/>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In particular in the UK the purchasing decisions of the car buying public are </w:t>
      </w:r>
      <w:proofErr w:type="gramStart"/>
      <w:r w:rsidRPr="00741025">
        <w:rPr>
          <w:rFonts w:asciiTheme="minorHAnsi" w:hAnsiTheme="minorHAnsi"/>
          <w:sz w:val="28"/>
          <w:szCs w:val="28"/>
          <w:lang w:val="en-US"/>
        </w:rPr>
        <w:t>increasingly</w:t>
      </w:r>
      <w:proofErr w:type="gramEnd"/>
      <w:r w:rsidRPr="00741025">
        <w:rPr>
          <w:rFonts w:asciiTheme="minorHAnsi" w:hAnsiTheme="minorHAnsi"/>
          <w:sz w:val="28"/>
          <w:szCs w:val="28"/>
          <w:lang w:val="en-US"/>
        </w:rPr>
        <w:t xml:space="preserve"> influenced by the CO2 output of any given vehicle due to the country’s tax regime. </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The close link between production and race cars in the BTCC is obvious and one can envisage marketing departments keen to use motorsport to re-enforce the low CO2 outputs of their production cars.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Peter Riches, Technical Manager, BTCC, told Race Engine Technology that if the motorsport industry didn’t </w:t>
      </w:r>
      <w:r w:rsidR="00741025" w:rsidRPr="00741025">
        <w:rPr>
          <w:rFonts w:asciiTheme="minorHAnsi" w:hAnsiTheme="minorHAnsi"/>
          <w:sz w:val="28"/>
          <w:szCs w:val="28"/>
          <w:lang w:val="en-US"/>
        </w:rPr>
        <w:t>self-regulate</w:t>
      </w:r>
      <w:r w:rsidRPr="00741025">
        <w:rPr>
          <w:rFonts w:asciiTheme="minorHAnsi" w:hAnsiTheme="minorHAnsi"/>
          <w:sz w:val="28"/>
          <w:szCs w:val="28"/>
          <w:lang w:val="en-US"/>
        </w:rPr>
        <w:t xml:space="preserve"> soon on emissions there could be a repeat of what happened with noise pollution.</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‘In the past as an industry we didn’t do enough quickly enough to control noise pollution at circuits and as a result we had harsh restrictions imposed, and we </w:t>
      </w:r>
      <w:r w:rsidRPr="00741025">
        <w:rPr>
          <w:rFonts w:asciiTheme="minorHAnsi" w:hAnsiTheme="minorHAnsi"/>
          <w:sz w:val="28"/>
          <w:szCs w:val="28"/>
          <w:lang w:val="en-US"/>
        </w:rPr>
        <w:lastRenderedPageBreak/>
        <w:t>now have a situation where testing and racing time is severely limited at certain circuits.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By starting to </w:t>
      </w:r>
      <w:r w:rsidR="00741025" w:rsidRPr="00741025">
        <w:rPr>
          <w:rFonts w:asciiTheme="minorHAnsi" w:hAnsiTheme="minorHAnsi"/>
          <w:sz w:val="28"/>
          <w:szCs w:val="28"/>
          <w:lang w:val="en-US"/>
        </w:rPr>
        <w:t>self-regulate</w:t>
      </w:r>
      <w:r w:rsidRPr="00741025">
        <w:rPr>
          <w:rFonts w:asciiTheme="minorHAnsi" w:hAnsiTheme="minorHAnsi"/>
          <w:sz w:val="28"/>
          <w:szCs w:val="28"/>
          <w:lang w:val="en-US"/>
        </w:rPr>
        <w:t xml:space="preserve"> early on emissions we can avoid imposed regulations which can only be helpful.’</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The implications are clear; noise problems only carry as far as they can be heard, but emissions is a worldwide issue of massive concern to governments and the general public. </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BTCC Series Director Alan </w:t>
      </w:r>
      <w:proofErr w:type="spellStart"/>
      <w:r w:rsidRPr="00741025">
        <w:rPr>
          <w:rFonts w:asciiTheme="minorHAnsi" w:hAnsiTheme="minorHAnsi"/>
          <w:sz w:val="28"/>
          <w:szCs w:val="28"/>
          <w:lang w:val="en-US"/>
        </w:rPr>
        <w:t>Gow</w:t>
      </w:r>
      <w:proofErr w:type="spellEnd"/>
      <w:r w:rsidRPr="00741025">
        <w:rPr>
          <w:rFonts w:asciiTheme="minorHAnsi" w:hAnsiTheme="minorHAnsi"/>
          <w:sz w:val="28"/>
          <w:szCs w:val="28"/>
          <w:lang w:val="en-US"/>
        </w:rPr>
        <w:t xml:space="preserve"> conceived the idea in September 2007:</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‘We could have gone down the easier path of simply mandating the use of bio-fuels or adopting a less technically challenging ‘panacea’. But the BTCC wants to see emissions levels genuinely reduced and that is why we are taking this route – in other words tackling CO2 emissions directly at their source; namely the engines themselves.  This is of course the beginning of a long term strategy from the BTCC and we hope in future to push our race cars’ CO2 levels to beneath those of their road-going equivalents.’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Riches explained in more detail how the future might take shape:</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‘Really what we are doing now is to baseline the emissions of the 2009 field, and to show that over a representative drive cycle the race cars are at least as clean as the road cars. Where we go from here is very much open. The desire for reduced emissions and improved efficiency is very real. As a series our primary aim is to be entertaining but we also have to be technically relevant.   In the future this could see a move away from Super 2000 regulations; potentially we could be looking at reducing CO2 levels by using supercharged engines with a smaller capacity. We are also keen to incorporate energy recovery systems.  Of course we also need to keep operating costs down for the teams, in particular given the strains which the credit crunch is putting on advertising and sponsorship revenues.’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Mark De Jong of EEMS, Energy Efficient Motorsport, who have supported and fully endorse the BTCC’s emissions testing program:</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‘Energy efficiency is a topic which is high on many agendas. High performance motorsport engineers have always contributed to innovation in the motor </w:t>
      </w:r>
      <w:r w:rsidRPr="00741025">
        <w:rPr>
          <w:rFonts w:asciiTheme="minorHAnsi" w:hAnsiTheme="minorHAnsi"/>
          <w:sz w:val="28"/>
          <w:szCs w:val="28"/>
          <w:lang w:val="en-US"/>
        </w:rPr>
        <w:lastRenderedPageBreak/>
        <w:t>industry, and this initiative will stimulate their natural instinct to innovate in this area.  The short term objective is to show that no race car has worse emissions than its road going equivalent. Longer term, it gives BTCC the option to set ever more challenging targets and make energy efficiency even more important.’</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BTCC teams have welcomed the move, a sign that it will help to attract sponsors who want to be associated with the glamour of motorsport but not with a sport which is adversely affecting the environment.</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 Future BTCC regulations could bring in maximum CO2 outputs, or dictate weight penalties to more polluting cars; there are limitless possibilities.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Of course the vast majority of race engines are already designed to be efficient in terms of converting fuel into power, particularly in endurance racing, where the </w:t>
      </w:r>
      <w:r w:rsidR="00741025" w:rsidRPr="00741025">
        <w:rPr>
          <w:rFonts w:asciiTheme="minorHAnsi" w:hAnsiTheme="minorHAnsi"/>
          <w:sz w:val="28"/>
          <w:szCs w:val="28"/>
          <w:lang w:val="en-US"/>
        </w:rPr>
        <w:t>Holy Grail</w:t>
      </w:r>
      <w:r w:rsidRPr="00741025">
        <w:rPr>
          <w:rFonts w:asciiTheme="minorHAnsi" w:hAnsiTheme="minorHAnsi"/>
          <w:sz w:val="28"/>
          <w:szCs w:val="28"/>
          <w:lang w:val="en-US"/>
        </w:rPr>
        <w:t xml:space="preserve"> is always to go longer between stops, but there is a potential mood change which could see a big shift in emphasis towards CO2 output reduction and energy recovery.</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Alan </w:t>
      </w:r>
      <w:proofErr w:type="spellStart"/>
      <w:r w:rsidRPr="00741025">
        <w:rPr>
          <w:rFonts w:asciiTheme="minorHAnsi" w:hAnsiTheme="minorHAnsi"/>
          <w:sz w:val="28"/>
          <w:szCs w:val="28"/>
          <w:lang w:val="en-US"/>
        </w:rPr>
        <w:t>Gow</w:t>
      </w:r>
      <w:proofErr w:type="spellEnd"/>
      <w:r w:rsidRPr="00741025">
        <w:rPr>
          <w:rFonts w:asciiTheme="minorHAnsi" w:hAnsiTheme="minorHAnsi"/>
          <w:sz w:val="28"/>
          <w:szCs w:val="28"/>
          <w:lang w:val="en-US"/>
        </w:rPr>
        <w:t xml:space="preserve"> again:</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‘this initiative is a meaningful demonstration of our credentials to motor manufacturers, environmental groups, sponsors, the Government, motorists and the BTCC’s many millions of fans.’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 xml:space="preserve">The BTCC are clearly intent on taking a lead with </w:t>
      </w:r>
      <w:r w:rsidR="00741025" w:rsidRPr="00741025">
        <w:rPr>
          <w:rFonts w:asciiTheme="minorHAnsi" w:hAnsiTheme="minorHAnsi"/>
          <w:sz w:val="28"/>
          <w:szCs w:val="28"/>
          <w:lang w:val="en-US"/>
        </w:rPr>
        <w:t>self-regulation</w:t>
      </w:r>
      <w:r w:rsidRPr="00741025">
        <w:rPr>
          <w:rFonts w:asciiTheme="minorHAnsi" w:hAnsiTheme="minorHAnsi"/>
          <w:sz w:val="28"/>
          <w:szCs w:val="28"/>
          <w:lang w:val="en-US"/>
        </w:rPr>
        <w:t xml:space="preserve"> of CO2 output, and it’s easy to see why. </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There is of course a risk that in the short term this move could be interpreted as a “green wash”; at present the regulations have been set up such that everyone will be able to pass without too much trouble; whether the teams would be so happy if expensive reworking of their engines was required is doubtful, as is whether or not teams who fail the tests will face any penalties.</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t>The BTCC is effectively easing everyone into the area of CO2 testing and that’s probably sensible. Whether or not this is taken up on a wider stage in professional motorsport will eventually be dependent on the manufacturers for whom the industry is just one marketing tool.</w:t>
      </w:r>
    </w:p>
    <w:p w:rsidR="004C79F8" w:rsidRPr="00741025" w:rsidRDefault="004C79F8" w:rsidP="004C79F8">
      <w:pPr>
        <w:jc w:val="both"/>
        <w:rPr>
          <w:rFonts w:asciiTheme="minorHAnsi" w:hAnsiTheme="minorHAnsi"/>
          <w:sz w:val="28"/>
          <w:szCs w:val="28"/>
          <w:lang w:val="en-US"/>
        </w:rPr>
      </w:pPr>
      <w:r w:rsidRPr="00741025">
        <w:rPr>
          <w:rFonts w:asciiTheme="minorHAnsi" w:hAnsiTheme="minorHAnsi"/>
          <w:sz w:val="28"/>
          <w:szCs w:val="28"/>
          <w:lang w:val="en-US"/>
        </w:rPr>
        <w:lastRenderedPageBreak/>
        <w:t>Vauxhall’s recent announcement of their withdrawal from the BTCC in 2010 indicates how high financial pressures are at present, and makes the environmental aims of the BTCC and the MSA even braver and even more necessary.</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RET was recently invited to Jaguar Land Rover’s PCC – Product Compliance Centre – at their </w:t>
      </w:r>
      <w:proofErr w:type="spellStart"/>
      <w:r w:rsidRPr="00741025">
        <w:rPr>
          <w:rFonts w:asciiTheme="minorHAnsi" w:hAnsiTheme="minorHAnsi"/>
          <w:sz w:val="28"/>
          <w:szCs w:val="28"/>
          <w:lang w:val="en-US"/>
        </w:rPr>
        <w:t>Solihull</w:t>
      </w:r>
      <w:proofErr w:type="spellEnd"/>
      <w:r w:rsidRPr="00741025">
        <w:rPr>
          <w:rFonts w:asciiTheme="minorHAnsi" w:hAnsiTheme="minorHAnsi"/>
          <w:sz w:val="28"/>
          <w:szCs w:val="28"/>
          <w:lang w:val="en-US"/>
        </w:rPr>
        <w:t xml:space="preserve"> plant to witness the CO2 emissions testing of the 2009 BTCC race cars.</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The PCC consists of two rolling road dynamometers.   Hatton Systems Ltd </w:t>
      </w:r>
      <w:proofErr w:type="gramStart"/>
      <w:r w:rsidRPr="00741025">
        <w:rPr>
          <w:rFonts w:asciiTheme="minorHAnsi" w:hAnsiTheme="minorHAnsi"/>
          <w:sz w:val="28"/>
          <w:szCs w:val="28"/>
          <w:lang w:val="en-US"/>
        </w:rPr>
        <w:t>are</w:t>
      </w:r>
      <w:proofErr w:type="gramEnd"/>
      <w:r w:rsidRPr="00741025">
        <w:rPr>
          <w:rFonts w:asciiTheme="minorHAnsi" w:hAnsiTheme="minorHAnsi"/>
          <w:sz w:val="28"/>
          <w:szCs w:val="28"/>
          <w:lang w:val="en-US"/>
        </w:rPr>
        <w:t xml:space="preserve"> responsible for the dynamometer equipment and control systems and HORIBA for the gas </w:t>
      </w:r>
      <w:proofErr w:type="spellStart"/>
      <w:r w:rsidRPr="00741025">
        <w:rPr>
          <w:rFonts w:asciiTheme="minorHAnsi" w:hAnsiTheme="minorHAnsi"/>
          <w:sz w:val="28"/>
          <w:szCs w:val="28"/>
          <w:lang w:val="en-US"/>
        </w:rPr>
        <w:t>analysing</w:t>
      </w:r>
      <w:proofErr w:type="spellEnd"/>
      <w:r w:rsidRPr="00741025">
        <w:rPr>
          <w:rFonts w:asciiTheme="minorHAnsi" w:hAnsiTheme="minorHAnsi"/>
          <w:sz w:val="28"/>
          <w:szCs w:val="28"/>
          <w:lang w:val="en-US"/>
        </w:rPr>
        <w:t xml:space="preserve"> technology.</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Vehicles running on carbon based fuels (gasoline, diesel, LPG etc) fill their tanks by volume – gallon or </w:t>
      </w:r>
      <w:proofErr w:type="spellStart"/>
      <w:r w:rsidRPr="00741025">
        <w:rPr>
          <w:rFonts w:asciiTheme="minorHAnsi" w:hAnsiTheme="minorHAnsi"/>
          <w:sz w:val="28"/>
          <w:szCs w:val="28"/>
          <w:lang w:val="en-US"/>
        </w:rPr>
        <w:t>litre</w:t>
      </w:r>
      <w:proofErr w:type="spellEnd"/>
      <w:r w:rsidRPr="00741025">
        <w:rPr>
          <w:rFonts w:asciiTheme="minorHAnsi" w:hAnsiTheme="minorHAnsi"/>
          <w:sz w:val="28"/>
          <w:szCs w:val="28"/>
          <w:lang w:val="en-US"/>
        </w:rPr>
        <w:t>. It’s generally easier to meter fuel by volume than to weigh it. Vehicle exhaust emissions are regulated and have to be measured. This is done by measuring volumes rather than trying to weigh the gases.</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If a carbon fuel burns efficiently carbon dioxide and water are produced. Inefficient combustion is cleaned up by a vehicle’s catalyst; with everything working as expected 99.9% of the fuel is emitted as carbon dioxide. This has become a measure of a vehicles ‘green-ness’, the lower the amount of carbon dioxide emitted, the greener the vehicle is perceived to be.</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For the BTCC test program, carbon dioxide emissions are measured over a drive cycle which has been specified for the purpose.</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While the vehicle is being driven through the drive cycle, exhaust gases are measured using a special type of flow meter. This is referred to as a Constant Volume Sampling system (CVS). This overcomes the problem with pulsating flows by diluting the exhaust with as much clean air as necessary to </w:t>
      </w:r>
      <w:r w:rsidRPr="00741025">
        <w:rPr>
          <w:rFonts w:asciiTheme="minorHAnsi" w:hAnsiTheme="minorHAnsi" w:cs="Arial"/>
          <w:sz w:val="28"/>
          <w:szCs w:val="28"/>
        </w:rPr>
        <w:t xml:space="preserve">stop condensation of the water vapour and to </w:t>
      </w:r>
      <w:r w:rsidRPr="00741025">
        <w:rPr>
          <w:rFonts w:asciiTheme="minorHAnsi" w:hAnsiTheme="minorHAnsi"/>
          <w:sz w:val="28"/>
          <w:szCs w:val="28"/>
          <w:lang w:val="en-US"/>
        </w:rPr>
        <w:t>maintain a constant volume at the flow meter.</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A sample of the diluting air is taken throughout the test period and </w:t>
      </w:r>
      <w:proofErr w:type="spellStart"/>
      <w:r w:rsidRPr="00741025">
        <w:rPr>
          <w:rFonts w:asciiTheme="minorHAnsi" w:hAnsiTheme="minorHAnsi"/>
          <w:sz w:val="28"/>
          <w:szCs w:val="28"/>
          <w:lang w:val="en-US"/>
        </w:rPr>
        <w:t>analysed</w:t>
      </w:r>
      <w:proofErr w:type="spellEnd"/>
      <w:r w:rsidRPr="00741025">
        <w:rPr>
          <w:rFonts w:asciiTheme="minorHAnsi" w:hAnsiTheme="minorHAnsi"/>
          <w:sz w:val="28"/>
          <w:szCs w:val="28"/>
          <w:lang w:val="en-US"/>
        </w:rPr>
        <w:t xml:space="preserve"> for carbon dioxide. The proportion of carbon dioxide found in the sample is applied to the volume of diluted exhaust gas measured by the CVS which gives the volume of carbon dioxide emitted during the test period. Multiplying the </w:t>
      </w:r>
      <w:r w:rsidRPr="00741025">
        <w:rPr>
          <w:rFonts w:asciiTheme="minorHAnsi" w:hAnsiTheme="minorHAnsi"/>
          <w:sz w:val="28"/>
          <w:szCs w:val="28"/>
          <w:lang w:val="en-US"/>
        </w:rPr>
        <w:lastRenderedPageBreak/>
        <w:t>volume by the density of carbon dioxide and dividing by the distance travelled during the test period gives a result for carbon dioxide in g/km.</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The proportion of carbon dioxide in the sample gas – the sample concentration – is obtained by the use of a fast response and highly accurate emission </w:t>
      </w:r>
      <w:proofErr w:type="spellStart"/>
      <w:r w:rsidRPr="00741025">
        <w:rPr>
          <w:rFonts w:asciiTheme="minorHAnsi" w:hAnsiTheme="minorHAnsi"/>
          <w:sz w:val="28"/>
          <w:szCs w:val="28"/>
          <w:lang w:val="en-US"/>
        </w:rPr>
        <w:t>analyser</w:t>
      </w:r>
      <w:proofErr w:type="spellEnd"/>
      <w:r w:rsidRPr="00741025">
        <w:rPr>
          <w:rFonts w:asciiTheme="minorHAnsi" w:hAnsiTheme="minorHAnsi"/>
          <w:sz w:val="28"/>
          <w:szCs w:val="28"/>
          <w:lang w:val="en-US"/>
        </w:rPr>
        <w:t xml:space="preserve"> such as the top of the range HORIBA MEXA-7000.</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The HORIBA MEXA systems make use of the NIDR (Non-Dispersive Infra-Red) technique. </w:t>
      </w:r>
      <w:r w:rsidRPr="00741025">
        <w:rPr>
          <w:rFonts w:asciiTheme="minorHAnsi" w:hAnsiTheme="minorHAnsi" w:cs="Arial"/>
          <w:sz w:val="28"/>
          <w:szCs w:val="28"/>
        </w:rPr>
        <w:t>Carbon Dioxide has a strong absorption at a specific wavelength region of the infra-red spectrum. The analyser works by measuring the intensity of this absorption and comparing it that of a known CO2 calibration gas.</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cs="Arial"/>
          <w:sz w:val="28"/>
          <w:szCs w:val="28"/>
        </w:rPr>
        <w:t>A sample of the ambient air used to dilute the exhaust gas and a sample of the diluted exhaust itself are piped to the CVS system and stored in special bags.</w:t>
      </w:r>
      <w:r w:rsidRPr="00741025">
        <w:rPr>
          <w:rFonts w:asciiTheme="minorHAnsi" w:hAnsiTheme="minorHAnsi"/>
          <w:sz w:val="28"/>
          <w:szCs w:val="28"/>
        </w:rPr>
        <w:t xml:space="preserve"> </w:t>
      </w:r>
      <w:r w:rsidRPr="00741025">
        <w:rPr>
          <w:rFonts w:asciiTheme="minorHAnsi" w:hAnsiTheme="minorHAnsi"/>
          <w:sz w:val="28"/>
          <w:szCs w:val="28"/>
          <w:lang w:val="en-US"/>
        </w:rPr>
        <w:t xml:space="preserve">From here they are sent into the </w:t>
      </w:r>
      <w:proofErr w:type="spellStart"/>
      <w:r w:rsidRPr="00741025">
        <w:rPr>
          <w:rFonts w:asciiTheme="minorHAnsi" w:hAnsiTheme="minorHAnsi"/>
          <w:sz w:val="28"/>
          <w:szCs w:val="28"/>
          <w:lang w:val="en-US"/>
        </w:rPr>
        <w:t>analyser</w:t>
      </w:r>
      <w:proofErr w:type="spellEnd"/>
      <w:r w:rsidRPr="00741025">
        <w:rPr>
          <w:rFonts w:asciiTheme="minorHAnsi" w:hAnsiTheme="minorHAnsi"/>
          <w:sz w:val="28"/>
          <w:szCs w:val="28"/>
          <w:lang w:val="en-US"/>
        </w:rPr>
        <w:t xml:space="preserve"> which measures the concentration or amount of carbon dioxide in each bag. The mass of carbon dioxide can then be obtained.</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Obtaining the concentration of other emissions components follows the same systematic flow but uses different methods, which include;</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THC</w:t>
      </w:r>
      <w:r w:rsidRPr="00741025">
        <w:rPr>
          <w:rFonts w:asciiTheme="minorHAnsi" w:hAnsiTheme="minorHAnsi"/>
          <w:sz w:val="28"/>
          <w:szCs w:val="28"/>
          <w:lang w:val="en-US"/>
        </w:rPr>
        <w:tab/>
        <w:t>Total Hydrocarbons</w:t>
      </w:r>
      <w:r w:rsidRPr="00741025">
        <w:rPr>
          <w:rFonts w:asciiTheme="minorHAnsi" w:hAnsiTheme="minorHAnsi"/>
          <w:sz w:val="28"/>
          <w:szCs w:val="28"/>
          <w:lang w:val="en-US"/>
        </w:rPr>
        <w:tab/>
        <w:t xml:space="preserve">Flame </w:t>
      </w:r>
      <w:proofErr w:type="spellStart"/>
      <w:r w:rsidRPr="00741025">
        <w:rPr>
          <w:rFonts w:asciiTheme="minorHAnsi" w:hAnsiTheme="minorHAnsi"/>
          <w:sz w:val="28"/>
          <w:szCs w:val="28"/>
          <w:lang w:val="en-US"/>
        </w:rPr>
        <w:t>Ionisation</w:t>
      </w:r>
      <w:proofErr w:type="spellEnd"/>
      <w:r w:rsidRPr="00741025">
        <w:rPr>
          <w:rFonts w:asciiTheme="minorHAnsi" w:hAnsiTheme="minorHAnsi"/>
          <w:sz w:val="28"/>
          <w:szCs w:val="28"/>
          <w:lang w:val="en-US"/>
        </w:rPr>
        <w:t xml:space="preserve"> Detector</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CO</w:t>
      </w:r>
      <w:r w:rsidRPr="00741025">
        <w:rPr>
          <w:rFonts w:asciiTheme="minorHAnsi" w:hAnsiTheme="minorHAnsi"/>
          <w:sz w:val="28"/>
          <w:szCs w:val="28"/>
          <w:lang w:val="en-US"/>
        </w:rPr>
        <w:tab/>
        <w:t>Carbon Monoxide</w:t>
      </w:r>
      <w:r w:rsidRPr="00741025">
        <w:rPr>
          <w:rFonts w:asciiTheme="minorHAnsi" w:hAnsiTheme="minorHAnsi"/>
          <w:sz w:val="28"/>
          <w:szCs w:val="28"/>
          <w:lang w:val="en-US"/>
        </w:rPr>
        <w:tab/>
      </w:r>
      <w:r w:rsidR="00741025" w:rsidRPr="00741025">
        <w:rPr>
          <w:rFonts w:asciiTheme="minorHAnsi" w:hAnsiTheme="minorHAnsi"/>
          <w:sz w:val="28"/>
          <w:szCs w:val="28"/>
          <w:lang w:val="en-US"/>
        </w:rPr>
        <w:tab/>
      </w:r>
      <w:r w:rsidRPr="00741025">
        <w:rPr>
          <w:rFonts w:asciiTheme="minorHAnsi" w:hAnsiTheme="minorHAnsi"/>
          <w:sz w:val="28"/>
          <w:szCs w:val="28"/>
          <w:lang w:val="en-US"/>
        </w:rPr>
        <w:t>NDIR</w:t>
      </w:r>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NOx</w:t>
      </w:r>
      <w:r w:rsidRPr="00741025">
        <w:rPr>
          <w:rFonts w:asciiTheme="minorHAnsi" w:hAnsiTheme="minorHAnsi"/>
          <w:sz w:val="28"/>
          <w:szCs w:val="28"/>
          <w:lang w:val="en-US"/>
        </w:rPr>
        <w:tab/>
        <w:t>Nitrous Oxides</w:t>
      </w:r>
      <w:r w:rsidRPr="00741025">
        <w:rPr>
          <w:rFonts w:asciiTheme="minorHAnsi" w:hAnsiTheme="minorHAnsi"/>
          <w:sz w:val="28"/>
          <w:szCs w:val="28"/>
          <w:lang w:val="en-US"/>
        </w:rPr>
        <w:tab/>
      </w:r>
      <w:r w:rsidRPr="00741025">
        <w:rPr>
          <w:rFonts w:asciiTheme="minorHAnsi" w:hAnsiTheme="minorHAnsi"/>
          <w:sz w:val="28"/>
          <w:szCs w:val="28"/>
          <w:lang w:val="en-US"/>
        </w:rPr>
        <w:tab/>
      </w:r>
      <w:proofErr w:type="spellStart"/>
      <w:r w:rsidRPr="00741025">
        <w:rPr>
          <w:rFonts w:asciiTheme="minorHAnsi" w:hAnsiTheme="minorHAnsi"/>
          <w:sz w:val="28"/>
          <w:szCs w:val="28"/>
          <w:lang w:val="en-US"/>
        </w:rPr>
        <w:t>Chemiluminescence</w:t>
      </w:r>
      <w:proofErr w:type="spellEnd"/>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02</w:t>
      </w:r>
      <w:r w:rsidRPr="00741025">
        <w:rPr>
          <w:rFonts w:asciiTheme="minorHAnsi" w:hAnsiTheme="minorHAnsi"/>
          <w:sz w:val="28"/>
          <w:szCs w:val="28"/>
          <w:lang w:val="en-US"/>
        </w:rPr>
        <w:tab/>
        <w:t>Oxygen</w:t>
      </w:r>
      <w:r w:rsidRPr="00741025">
        <w:rPr>
          <w:rFonts w:asciiTheme="minorHAnsi" w:hAnsiTheme="minorHAnsi"/>
          <w:sz w:val="28"/>
          <w:szCs w:val="28"/>
          <w:lang w:val="en-US"/>
        </w:rPr>
        <w:tab/>
      </w:r>
      <w:r w:rsidRPr="00741025">
        <w:rPr>
          <w:rFonts w:asciiTheme="minorHAnsi" w:hAnsiTheme="minorHAnsi"/>
          <w:sz w:val="28"/>
          <w:szCs w:val="28"/>
          <w:lang w:val="en-US"/>
        </w:rPr>
        <w:tab/>
      </w:r>
      <w:r w:rsidRPr="00741025">
        <w:rPr>
          <w:rFonts w:asciiTheme="minorHAnsi" w:hAnsiTheme="minorHAnsi"/>
          <w:sz w:val="28"/>
          <w:szCs w:val="28"/>
          <w:lang w:val="en-US"/>
        </w:rPr>
        <w:tab/>
        <w:t xml:space="preserve">Paramagnetic Oxygen </w:t>
      </w:r>
      <w:proofErr w:type="spellStart"/>
      <w:r w:rsidRPr="00741025">
        <w:rPr>
          <w:rFonts w:asciiTheme="minorHAnsi" w:hAnsiTheme="minorHAnsi"/>
          <w:sz w:val="28"/>
          <w:szCs w:val="28"/>
          <w:lang w:val="en-US"/>
        </w:rPr>
        <w:t>Analysers</w:t>
      </w:r>
      <w:proofErr w:type="spellEnd"/>
    </w:p>
    <w:p w:rsidR="0088456B" w:rsidRPr="00741025" w:rsidRDefault="0088456B" w:rsidP="00837FDB">
      <w:pPr>
        <w:jc w:val="both"/>
        <w:rPr>
          <w:rFonts w:asciiTheme="minorHAnsi" w:hAnsiTheme="minorHAnsi"/>
          <w:sz w:val="28"/>
          <w:szCs w:val="28"/>
          <w:lang w:val="en-US"/>
        </w:rPr>
      </w:pPr>
      <w:r w:rsidRPr="00741025">
        <w:rPr>
          <w:rFonts w:asciiTheme="minorHAnsi" w:hAnsiTheme="minorHAnsi"/>
          <w:sz w:val="28"/>
          <w:szCs w:val="28"/>
          <w:lang w:val="en-US"/>
        </w:rPr>
        <w:t xml:space="preserve">There is a clear need for very accurate emissions analysis systems in automotive testing. It is further clear that by investing in the HORIBA MEXA system at </w:t>
      </w:r>
      <w:r w:rsidR="00837FDB" w:rsidRPr="00741025">
        <w:rPr>
          <w:rFonts w:asciiTheme="minorHAnsi" w:hAnsiTheme="minorHAnsi"/>
          <w:sz w:val="28"/>
          <w:szCs w:val="28"/>
          <w:lang w:val="en-US"/>
        </w:rPr>
        <w:t>the</w:t>
      </w:r>
      <w:r w:rsidRPr="00741025">
        <w:rPr>
          <w:rFonts w:asciiTheme="minorHAnsi" w:hAnsiTheme="minorHAnsi"/>
          <w:sz w:val="28"/>
          <w:szCs w:val="28"/>
          <w:lang w:val="en-US"/>
        </w:rPr>
        <w:t xml:space="preserve"> </w:t>
      </w:r>
      <w:r w:rsidR="00837FDB" w:rsidRPr="00741025">
        <w:rPr>
          <w:rFonts w:asciiTheme="minorHAnsi" w:hAnsiTheme="minorHAnsi"/>
          <w:sz w:val="28"/>
          <w:szCs w:val="28"/>
          <w:lang w:val="en-US"/>
        </w:rPr>
        <w:t>PCC facility</w:t>
      </w:r>
      <w:r w:rsidRPr="00741025">
        <w:rPr>
          <w:rFonts w:asciiTheme="minorHAnsi" w:hAnsiTheme="minorHAnsi"/>
          <w:sz w:val="28"/>
          <w:szCs w:val="28"/>
          <w:lang w:val="en-US"/>
        </w:rPr>
        <w:t>.</w:t>
      </w:r>
    </w:p>
    <w:p w:rsidR="00781459" w:rsidRPr="00741025" w:rsidRDefault="00781459">
      <w:pPr>
        <w:rPr>
          <w:rFonts w:asciiTheme="minorHAnsi" w:hAnsiTheme="minorHAnsi"/>
        </w:rPr>
      </w:pPr>
      <w:r w:rsidRPr="00741025">
        <w:rPr>
          <w:rFonts w:asciiTheme="minorHAnsi" w:hAnsiTheme="minorHAnsi"/>
        </w:rPr>
        <w:br w:type="page"/>
      </w:r>
    </w:p>
    <w:p w:rsidR="00CB44A5" w:rsidRPr="00741025" w:rsidRDefault="00781459">
      <w:pPr>
        <w:rPr>
          <w:rFonts w:asciiTheme="minorHAnsi" w:hAnsiTheme="minorHAnsi"/>
        </w:rPr>
      </w:pPr>
      <w:r w:rsidRPr="00741025">
        <w:rPr>
          <w:rFonts w:asciiTheme="minorHAnsi" w:hAnsiTheme="minorHAnsi"/>
        </w:rPr>
        <w:lastRenderedPageBreak/>
        <w:t xml:space="preserve">Perform a </w:t>
      </w:r>
      <w:r w:rsidRPr="00741025">
        <w:rPr>
          <w:rFonts w:asciiTheme="minorHAnsi" w:hAnsiTheme="minorHAnsi"/>
          <w:b/>
        </w:rPr>
        <w:t>SWOT</w:t>
      </w:r>
      <w:r w:rsidRPr="00741025">
        <w:rPr>
          <w:rFonts w:asciiTheme="minorHAnsi" w:hAnsiTheme="minorHAnsi"/>
        </w:rPr>
        <w:t xml:space="preserve"> analysis on the introduction of emissions monitoring within motorsport series.  You should consider the impact of monitoring on the different levels in motorsport and also how this might impact on </w:t>
      </w:r>
      <w:r w:rsidR="00810BF4" w:rsidRPr="00741025">
        <w:rPr>
          <w:rFonts w:asciiTheme="minorHAnsi" w:hAnsiTheme="minorHAnsi"/>
        </w:rPr>
        <w:t xml:space="preserve">the perception of motorsport by </w:t>
      </w:r>
      <w:r w:rsidRPr="00741025">
        <w:rPr>
          <w:rFonts w:asciiTheme="minorHAnsi" w:hAnsiTheme="minorHAnsi"/>
        </w:rPr>
        <w:t>society</w:t>
      </w:r>
      <w:r w:rsidR="00810BF4" w:rsidRPr="00741025">
        <w:rPr>
          <w:rFonts w:asciiTheme="minorHAnsi" w:hAnsiTheme="minorHAnsi"/>
        </w:rPr>
        <w:t xml:space="preserve"> and </w:t>
      </w:r>
      <w:r w:rsidRPr="00741025">
        <w:rPr>
          <w:rFonts w:asciiTheme="minorHAnsi" w:hAnsiTheme="minorHAnsi"/>
        </w:rPr>
        <w:t>the motor industry</w:t>
      </w:r>
      <w:r w:rsidR="00810BF4" w:rsidRPr="00741025">
        <w:rPr>
          <w:rFonts w:asciiTheme="minorHAnsi" w:hAnsiTheme="minorHAnsi"/>
        </w:rPr>
        <w:t>.</w:t>
      </w:r>
    </w:p>
    <w:p w:rsidR="00810BF4" w:rsidRPr="00741025" w:rsidRDefault="00810BF4">
      <w:pPr>
        <w:rPr>
          <w:rFonts w:asciiTheme="minorHAnsi" w:hAnsiTheme="minorHAnsi"/>
          <w:b/>
        </w:rPr>
      </w:pPr>
      <w:r w:rsidRPr="00741025">
        <w:rPr>
          <w:rFonts w:asciiTheme="minorHAnsi" w:hAnsiTheme="minorHAnsi"/>
          <w:b/>
        </w:rPr>
        <w:t>Strengths</w:t>
      </w:r>
    </w:p>
    <w:p w:rsidR="00810BF4" w:rsidRPr="00741025" w:rsidRDefault="00810BF4">
      <w:pPr>
        <w:rPr>
          <w:rFonts w:asciiTheme="minorHAnsi" w:hAnsiTheme="minorHAnsi"/>
          <w:b/>
        </w:rPr>
      </w:pPr>
      <w:r w:rsidRPr="00741025">
        <w:rPr>
          <w:rFonts w:asciiTheme="minorHAnsi" w:hAnsiTheme="minorHAnsi"/>
        </w:rPr>
        <w:t>…………………………………………………………………………………………………………………………………………………………………………………………………………………………………………………………………………………………………………………………………………………………………………………………………………………………………………………………………………………………………………………………………………………………………………………………………………………………………………………………………………………………………………………………………………………………………………………………………………………………………………………………………………………………………………………………………………………………………………………………………………………...</w:t>
      </w:r>
      <w:r w:rsidR="00E75353" w:rsidRPr="00741025">
        <w:rPr>
          <w:rFonts w:asciiTheme="minorHAnsi" w:hAnsiTheme="minorHAnsi"/>
        </w:rPr>
        <w:t>…</w:t>
      </w:r>
      <w:r w:rsidR="00741025">
        <w:rPr>
          <w:rFonts w:asciiTheme="minorHAnsi" w:hAnsiTheme="minorHAnsi"/>
        </w:rPr>
        <w:t>………………………………………………………………………………………………………………….</w:t>
      </w:r>
    </w:p>
    <w:p w:rsidR="00810BF4" w:rsidRPr="00741025" w:rsidRDefault="00810BF4">
      <w:pPr>
        <w:rPr>
          <w:rFonts w:asciiTheme="minorHAnsi" w:hAnsiTheme="minorHAnsi"/>
          <w:b/>
        </w:rPr>
      </w:pPr>
      <w:r w:rsidRPr="00741025">
        <w:rPr>
          <w:rFonts w:asciiTheme="minorHAnsi" w:hAnsiTheme="minorHAnsi"/>
          <w:b/>
        </w:rPr>
        <w:t>Weaknesses</w:t>
      </w:r>
    </w:p>
    <w:p w:rsidR="00810BF4" w:rsidRPr="00741025" w:rsidRDefault="00810BF4">
      <w:pPr>
        <w:rPr>
          <w:rFonts w:asciiTheme="minorHAnsi" w:hAnsiTheme="minorHAnsi"/>
          <w:b/>
        </w:rPr>
      </w:pPr>
      <w:r w:rsidRPr="00741025">
        <w:rPr>
          <w:rFonts w:asciiTheme="minorHAnsi" w:hAnsiTheme="minorHAnsi"/>
        </w:rPr>
        <w:t>………………………………………………………………………………………………………………………………………………………………………………………………………………………………………………………………………………………………………………………………………………………………………………………………………………………………………………………………………………………………………………………………………………………………………………………………………………………………………………………………………………………………………………………………………………………………………………………………………………………………………………………………………………………………………………………………………………………………………………………………………………………</w:t>
      </w:r>
      <w:r w:rsidR="00741025">
        <w:rPr>
          <w:rFonts w:asciiTheme="minorHAnsi" w:hAnsiTheme="minorHAnsi"/>
        </w:rPr>
        <w:t>…………………………………………………………………………………………………………………..</w:t>
      </w:r>
    </w:p>
    <w:p w:rsidR="00810BF4" w:rsidRPr="00741025" w:rsidRDefault="00810BF4">
      <w:pPr>
        <w:rPr>
          <w:rFonts w:asciiTheme="minorHAnsi" w:hAnsiTheme="minorHAnsi"/>
          <w:b/>
        </w:rPr>
      </w:pPr>
      <w:r w:rsidRPr="00741025">
        <w:rPr>
          <w:rFonts w:asciiTheme="minorHAnsi" w:hAnsiTheme="minorHAnsi"/>
          <w:b/>
        </w:rPr>
        <w:t>Opportunities</w:t>
      </w:r>
      <w:r w:rsidRPr="00741025">
        <w:rPr>
          <w:rFonts w:asciiTheme="minorHAnsi" w:hAnsiTheme="minorHAnsi"/>
          <w:b/>
        </w:rPr>
        <w:tab/>
      </w:r>
    </w:p>
    <w:p w:rsidR="00810BF4" w:rsidRPr="00741025" w:rsidRDefault="00810BF4">
      <w:pPr>
        <w:rPr>
          <w:rFonts w:asciiTheme="minorHAnsi" w:hAnsiTheme="minorHAnsi"/>
          <w:b/>
        </w:rPr>
      </w:pPr>
      <w:r w:rsidRPr="00741025">
        <w:rPr>
          <w:rFonts w:asciiTheme="minorHAnsi" w:hAnsiTheme="minorHAnsi"/>
        </w:rPr>
        <w:t>………………………………………………………………………………………………………………………………………………………………………………………………………………………………………………………………………………………………………………………………………………………………………………………………………………………………………………………………………………………………………………………………………………………………………………………………………………………………………………………………………………………………………………………………………………………………………………………………………………………………………………………………………………………………………………………………………………………………………………………………………...........................</w:t>
      </w:r>
      <w:r w:rsidR="00741025">
        <w:rPr>
          <w:rFonts w:asciiTheme="minorHAnsi" w:hAnsiTheme="minorHAnsi"/>
        </w:rPr>
        <w:t>.............................................................................................................</w:t>
      </w:r>
    </w:p>
    <w:p w:rsidR="00810BF4" w:rsidRPr="00741025" w:rsidRDefault="00810BF4">
      <w:pPr>
        <w:rPr>
          <w:rFonts w:asciiTheme="minorHAnsi" w:hAnsiTheme="minorHAnsi"/>
          <w:b/>
        </w:rPr>
      </w:pPr>
      <w:r w:rsidRPr="00741025">
        <w:rPr>
          <w:rFonts w:asciiTheme="minorHAnsi" w:hAnsiTheme="minorHAnsi"/>
          <w:b/>
        </w:rPr>
        <w:t>Threats</w:t>
      </w:r>
    </w:p>
    <w:p w:rsidR="00810BF4" w:rsidRPr="00741025" w:rsidRDefault="00810BF4" w:rsidP="00810BF4">
      <w:pPr>
        <w:rPr>
          <w:rFonts w:asciiTheme="minorHAnsi" w:hAnsiTheme="minorHAnsi"/>
          <w:b/>
        </w:rPr>
      </w:pPr>
      <w:r w:rsidRPr="00741025">
        <w:rPr>
          <w:rFonts w:asciiTheme="minorHAnsi" w:hAnsiTheme="minorHAnsi"/>
        </w:rPr>
        <w:t>…………………………………………………………………………………………………………………………………………………………………………………………………………………………………………………………………………………………………………………………………………………………………………………………………………………………………………………………………………………………………………………………………………………………………………………………………………………………………………………………………………………………………………………………………………………………………………………………………………………………………………………………………………………………………………</w:t>
      </w:r>
      <w:r w:rsidR="00741025">
        <w:rPr>
          <w:rFonts w:asciiTheme="minorHAnsi" w:hAnsiTheme="minorHAnsi"/>
        </w:rPr>
        <w:t>………………………………………………………………………………………………………………………………………………………………………………………………………………………………………………………………………………………………………………………………………………………………………………………………</w:t>
      </w:r>
      <w:bookmarkStart w:id="0" w:name="_GoBack"/>
      <w:bookmarkEnd w:id="0"/>
    </w:p>
    <w:sectPr w:rsidR="00810BF4" w:rsidRPr="00741025" w:rsidSect="00EB264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3DE" w:rsidRDefault="00F333DE" w:rsidP="00837FDB">
      <w:pPr>
        <w:spacing w:after="0" w:line="240" w:lineRule="auto"/>
      </w:pPr>
      <w:r>
        <w:separator/>
      </w:r>
    </w:p>
  </w:endnote>
  <w:endnote w:type="continuationSeparator" w:id="0">
    <w:p w:rsidR="00F333DE" w:rsidRDefault="00F333DE" w:rsidP="00837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94848"/>
      <w:docPartObj>
        <w:docPartGallery w:val="Page Numbers (Bottom of Page)"/>
        <w:docPartUnique/>
      </w:docPartObj>
    </w:sdtPr>
    <w:sdtEndPr/>
    <w:sdtContent>
      <w:p w:rsidR="00837FDB" w:rsidRDefault="00F333DE">
        <w:pPr>
          <w:pStyle w:val="Footer"/>
          <w:jc w:val="center"/>
        </w:pPr>
        <w:r>
          <w:fldChar w:fldCharType="begin"/>
        </w:r>
        <w:r>
          <w:instrText xml:space="preserve"> PAGE   \* MERGEFORMAT </w:instrText>
        </w:r>
        <w:r>
          <w:fldChar w:fldCharType="separate"/>
        </w:r>
        <w:r w:rsidR="00741025">
          <w:rPr>
            <w:noProof/>
          </w:rPr>
          <w:t>6</w:t>
        </w:r>
        <w:r>
          <w:rPr>
            <w:noProof/>
          </w:rPr>
          <w:fldChar w:fldCharType="end"/>
        </w:r>
      </w:p>
    </w:sdtContent>
  </w:sdt>
  <w:p w:rsidR="00837FDB" w:rsidRDefault="00837F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3DE" w:rsidRDefault="00F333DE" w:rsidP="00837FDB">
      <w:pPr>
        <w:spacing w:after="0" w:line="240" w:lineRule="auto"/>
      </w:pPr>
      <w:r>
        <w:separator/>
      </w:r>
    </w:p>
  </w:footnote>
  <w:footnote w:type="continuationSeparator" w:id="0">
    <w:p w:rsidR="00F333DE" w:rsidRDefault="00F333DE" w:rsidP="00837F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FDB" w:rsidRPr="00741025" w:rsidRDefault="00741025">
    <w:pPr>
      <w:pStyle w:val="Header"/>
      <w:rPr>
        <w:rFonts w:asciiTheme="minorHAnsi" w:hAnsiTheme="minorHAnsi"/>
        <w:sz w:val="20"/>
        <w:szCs w:val="20"/>
      </w:rPr>
    </w:pPr>
    <w:r w:rsidRPr="00741025">
      <w:rPr>
        <w:rFonts w:asciiTheme="minorHAnsi" w:hAnsiTheme="minorHAnsi"/>
        <w:sz w:val="20"/>
        <w:szCs w:val="20"/>
      </w:rPr>
      <w:t>Sustainability through technology</w:t>
    </w:r>
    <w:r w:rsidR="00837FDB" w:rsidRPr="00741025">
      <w:rPr>
        <w:rFonts w:asciiTheme="minorHAnsi" w:hAnsiTheme="minorHAnsi"/>
        <w:sz w:val="20"/>
        <w:szCs w:val="20"/>
      </w:rPr>
      <w:tab/>
    </w:r>
    <w:r w:rsidR="00837FDB" w:rsidRPr="00741025">
      <w:rPr>
        <w:rFonts w:asciiTheme="minorHAnsi" w:hAnsiTheme="minorHAnsi"/>
        <w:sz w:val="20"/>
        <w:szCs w:val="20"/>
      </w:rPr>
      <w:tab/>
      <w:t>Emissions Reduction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825A3"/>
    <w:rsid w:val="000825A3"/>
    <w:rsid w:val="00303FE0"/>
    <w:rsid w:val="003959EC"/>
    <w:rsid w:val="004C72D6"/>
    <w:rsid w:val="004C79F8"/>
    <w:rsid w:val="00741025"/>
    <w:rsid w:val="00781459"/>
    <w:rsid w:val="00810BF4"/>
    <w:rsid w:val="00837FDB"/>
    <w:rsid w:val="00851639"/>
    <w:rsid w:val="0088456B"/>
    <w:rsid w:val="00A8701A"/>
    <w:rsid w:val="00CB44A5"/>
    <w:rsid w:val="00CF2954"/>
    <w:rsid w:val="00E75353"/>
    <w:rsid w:val="00F33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5A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FDB"/>
    <w:rPr>
      <w:rFonts w:ascii="Calibri" w:eastAsia="Calibri" w:hAnsi="Calibri" w:cs="Times New Roman"/>
    </w:rPr>
  </w:style>
  <w:style w:type="paragraph" w:styleId="Footer">
    <w:name w:val="footer"/>
    <w:basedOn w:val="Normal"/>
    <w:link w:val="FooterChar"/>
    <w:uiPriority w:val="99"/>
    <w:unhideWhenUsed/>
    <w:rsid w:val="00837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FDB"/>
    <w:rPr>
      <w:rFonts w:ascii="Calibri" w:eastAsia="Calibri" w:hAnsi="Calibri" w:cs="Times New Roman"/>
    </w:rPr>
  </w:style>
  <w:style w:type="paragraph" w:styleId="BalloonText">
    <w:name w:val="Balloon Text"/>
    <w:basedOn w:val="Normal"/>
    <w:link w:val="BalloonTextChar"/>
    <w:uiPriority w:val="99"/>
    <w:semiHidden/>
    <w:unhideWhenUsed/>
    <w:rsid w:val="00837F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FD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Summerfield</dc:creator>
  <cp:keywords/>
  <dc:description/>
  <cp:lastModifiedBy>Summerfield, Abi</cp:lastModifiedBy>
  <cp:revision>3</cp:revision>
  <dcterms:created xsi:type="dcterms:W3CDTF">2009-11-02T08:04:00Z</dcterms:created>
  <dcterms:modified xsi:type="dcterms:W3CDTF">2015-02-03T09:55:00Z</dcterms:modified>
</cp:coreProperties>
</file>