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2D39" w:rsidRPr="005677F5" w:rsidRDefault="00F02D39" w:rsidP="00F02D39">
      <w:pPr>
        <w:rPr>
          <w:b/>
        </w:rPr>
      </w:pPr>
      <w:r>
        <w:rPr>
          <w:b/>
        </w:rPr>
        <w:t xml:space="preserve">CHAPTER </w:t>
      </w:r>
      <w:r w:rsidRPr="005677F5">
        <w:rPr>
          <w:b/>
        </w:rPr>
        <w:t xml:space="preserve">1: INTRODUCTION </w:t>
      </w:r>
    </w:p>
    <w:p w:rsidR="00F02D39" w:rsidRPr="005677F5" w:rsidRDefault="00F02D39" w:rsidP="00F02D39"/>
    <w:p w:rsidR="00F02D39" w:rsidRPr="005677F5" w:rsidRDefault="00F02D39" w:rsidP="00F02D39">
      <w:pPr>
        <w:spacing w:after="240"/>
        <w:rPr>
          <w:i/>
        </w:rPr>
      </w:pPr>
      <w:r w:rsidRPr="005677F5">
        <w:rPr>
          <w:i/>
        </w:rPr>
        <w:t>Introduction</w:t>
      </w:r>
    </w:p>
    <w:p w:rsidR="00F02D39" w:rsidRPr="005677F5" w:rsidRDefault="00F02D39" w:rsidP="00F02D39">
      <w:pPr>
        <w:spacing w:line="360" w:lineRule="auto"/>
      </w:pPr>
      <w:r w:rsidRPr="005677F5">
        <w:t>This study has been designed to analyse the provision, by the Welsh Archaeological Trusts</w:t>
      </w:r>
      <w:r>
        <w:t xml:space="preserve"> (hereafter WATs)</w:t>
      </w:r>
      <w:r w:rsidRPr="005677F5">
        <w:t>, of archaeological planning advice in Wales. The effectiveness of the service will be evaluated, and the current level of expertise assessed by data gathering and analysis.  Unusually for this type of service, it is provided by a third sector organisation as a statutory function for Welsh Government, and provides the means within the development process of managing the impact of development of the buried and upstanding archaeological resource, and its setting, to preserve this cultural inheritance for future generations.</w:t>
      </w:r>
    </w:p>
    <w:p w:rsidR="00F02D39" w:rsidRPr="005677F5" w:rsidRDefault="00F02D39" w:rsidP="00F02D39">
      <w:pPr>
        <w:spacing w:line="360" w:lineRule="auto"/>
      </w:pPr>
    </w:p>
    <w:p w:rsidR="00F02D39" w:rsidRPr="005677F5" w:rsidRDefault="00F02D39" w:rsidP="00F02D39">
      <w:pPr>
        <w:spacing w:line="360" w:lineRule="auto"/>
      </w:pPr>
      <w:r w:rsidRPr="005677F5">
        <w:t>This chapter provides the background and context to the study, and the key issues that are apparent, leading to the rationale as</w:t>
      </w:r>
      <w:r>
        <w:t xml:space="preserve"> to why this study is necessary; the efficacy and provision of the service has not previously been evaluated</w:t>
      </w:r>
      <w:r w:rsidRPr="005677F5">
        <w:t xml:space="preserve"> </w:t>
      </w:r>
    </w:p>
    <w:p w:rsidR="00F02D39" w:rsidRPr="005677F5" w:rsidRDefault="00F02D39" w:rsidP="00F02D39">
      <w:pPr>
        <w:spacing w:line="360" w:lineRule="auto"/>
      </w:pPr>
    </w:p>
    <w:p w:rsidR="00F02D39" w:rsidRPr="005677F5" w:rsidRDefault="00F02D39" w:rsidP="00F02D39">
      <w:pPr>
        <w:spacing w:line="360" w:lineRule="auto"/>
        <w:rPr>
          <w:i/>
        </w:rPr>
      </w:pPr>
      <w:r w:rsidRPr="005677F5">
        <w:rPr>
          <w:i/>
        </w:rPr>
        <w:t>Policy</w:t>
      </w:r>
    </w:p>
    <w:p w:rsidR="00F02D39" w:rsidRPr="005677F5" w:rsidRDefault="00F02D39" w:rsidP="00F02D39">
      <w:pPr>
        <w:spacing w:line="360" w:lineRule="auto"/>
        <w:rPr>
          <w:rFonts w:cs="Arial"/>
        </w:rPr>
      </w:pPr>
      <w:r w:rsidRPr="005677F5">
        <w:t>The archaeological planning service, its operation and strategy, is set within the hierarchy of The Well-being of Future Generations (Wales) Act, introduced in 2015 (Welsh Government, 2015b), and includes the Planning (Wales ) Act 2015 (Welsh Government, 2015a) and the Historic Environment (Wales) Act 2016. The hierarchy relationship chart can be viewed in Appendix One. As an overarching broad scale strategy, this aims to create a sustainable country, with seven goals of well-being, by making public bodies “</w:t>
      </w:r>
      <w:r w:rsidRPr="005677F5">
        <w:rPr>
          <w:i/>
        </w:rPr>
        <w:t>think more about the long term, work better with people and communities and each other, look to prevent problems and take a more joined-up approach</w:t>
      </w:r>
      <w:r w:rsidRPr="005677F5">
        <w:t xml:space="preserve">” (Welsh Government, 2015). This impacts on every aspect of life in Wales, and emphasises </w:t>
      </w:r>
      <w:r w:rsidRPr="005677F5">
        <w:rPr>
          <w:szCs w:val="24"/>
        </w:rPr>
        <w:t>“</w:t>
      </w:r>
      <w:r w:rsidRPr="005677F5">
        <w:rPr>
          <w:rFonts w:cs="Arial"/>
          <w:i/>
          <w:szCs w:val="24"/>
        </w:rPr>
        <w:t>A society that promotes and protects culture, heritage and the Welsh language, and which encourages people to participate in the arts, and sports and recreation</w:t>
      </w:r>
      <w:r w:rsidRPr="005677F5">
        <w:rPr>
          <w:rFonts w:cs="Arial"/>
          <w:szCs w:val="24"/>
        </w:rPr>
        <w:t>.</w:t>
      </w:r>
      <w:r w:rsidRPr="005677F5">
        <w:t xml:space="preserve">” The aim is for this to be achieved by partnership and collaboration between public bodies and the third sector, and involving people. Involvement will be measured by indicators and milestones (Welsh Government, 2015). The WATs archaeological planning service forms an important, statutory element of this. This can be viewed in the context of social policy, discussed and defined by Titmuss </w:t>
      </w:r>
      <w:r w:rsidRPr="005677F5">
        <w:lastRenderedPageBreak/>
        <w:t xml:space="preserve">(1974) as </w:t>
      </w:r>
      <w:r w:rsidRPr="005677F5">
        <w:rPr>
          <w:rFonts w:cs="Arial"/>
          <w:i/>
        </w:rPr>
        <w:t xml:space="preserve">the </w:t>
      </w:r>
      <w:r w:rsidRPr="005677F5">
        <w:rPr>
          <w:rFonts w:eastAsia="Times New Roman" w:cs="Arial"/>
          <w:i/>
          <w:szCs w:val="24"/>
          <w:lang w:eastAsia="en-GB"/>
        </w:rPr>
        <w:t xml:space="preserve">principles that govern action directed towards given ends </w:t>
      </w:r>
      <w:r w:rsidRPr="005677F5">
        <w:rPr>
          <w:rFonts w:eastAsia="Times New Roman" w:cs="Arial"/>
          <w:szCs w:val="24"/>
          <w:lang w:eastAsia="en-GB"/>
        </w:rPr>
        <w:t>(Chapter 5),</w:t>
      </w:r>
      <w:r w:rsidRPr="005677F5">
        <w:rPr>
          <w:rFonts w:eastAsia="Times New Roman" w:cs="Arial"/>
          <w:i/>
          <w:szCs w:val="24"/>
          <w:lang w:eastAsia="en-GB"/>
        </w:rPr>
        <w:t xml:space="preserve"> </w:t>
      </w:r>
      <w:r w:rsidRPr="005677F5">
        <w:rPr>
          <w:rFonts w:eastAsia="Times New Roman" w:cs="Arial"/>
          <w:szCs w:val="24"/>
          <w:lang w:eastAsia="en-GB"/>
        </w:rPr>
        <w:t xml:space="preserve">for example, the government’s role in increasing and modulating life standards. </w:t>
      </w:r>
    </w:p>
    <w:p w:rsidR="00F02D39" w:rsidRPr="005677F5" w:rsidRDefault="00F02D39" w:rsidP="00F02D39">
      <w:pPr>
        <w:spacing w:line="360" w:lineRule="auto"/>
      </w:pPr>
    </w:p>
    <w:p w:rsidR="00F02D39" w:rsidRPr="005677F5" w:rsidRDefault="00F02D39" w:rsidP="00F02D39">
      <w:pPr>
        <w:spacing w:line="360" w:lineRule="auto"/>
      </w:pPr>
      <w:r w:rsidRPr="005677F5">
        <w:t xml:space="preserve">The Well-being of Future Generations (Wales) Act, promotes the importance of cultural heritage, and recognises in regard to heritage, that Wales is a nation blessed with thousands of archaeological sites.  Some of those, such as the Roman fortress and amphitheatre at Caerleon (Cadw, 2017), the great Medieval castles at Cardiff and Caernarvon (Cadw, 2017) and modern tourist attractions such as Big Pit (National Museum of Wales, 2017), are familiar to most people; all are part of our cultural heritage, with a huge range in date and differing management needs. The aim of the Act and supporting Policy relating to heritage (Welsh Government, 2016) is to involve the public in Welsh heritage and culture, and a route to achieve this is via the delivery of archaeological planning in Wales. The public generally, however, do not see how these are managed, and nor do they see the mostly buried remains of associated settlements, burials, transport networks and industry; the everyday remains of how people lived, worked and died. Increasingly, via outreach as a result of the planning system, via websites and open days, is a growing means of education (Glamorgan Gwent Archaeological Trust, Ynysfach Ironworks micro-site, 2017). </w:t>
      </w:r>
    </w:p>
    <w:p w:rsidR="00F02D39" w:rsidRPr="005677F5" w:rsidRDefault="00F02D39" w:rsidP="00F02D39">
      <w:pPr>
        <w:spacing w:line="360" w:lineRule="auto"/>
      </w:pPr>
    </w:p>
    <w:p w:rsidR="00F02D39" w:rsidRPr="005677F5" w:rsidRDefault="00F02D39" w:rsidP="00F02D39">
      <w:pPr>
        <w:spacing w:line="360" w:lineRule="auto"/>
      </w:pPr>
      <w:r w:rsidRPr="005677F5">
        <w:t>The greater sites and buildings are all statutorily protected, but these only amount to less than around 2% of all archaeological sites and monuments (GGAT HER, 2017). The other 98% of archaeological sites are managed, in Wales, by the landowners, who are a variety of private, local authority, or corporate (Cadw, 2017). Changes to these sites and these settings can have sudden, severe, or minor and accumulative impacts, resulting in an impact on the wellbeing of cultural inheritance, and therefore these changes must be monitored and managed.</w:t>
      </w:r>
    </w:p>
    <w:p w:rsidR="00F02D39" w:rsidRPr="005677F5" w:rsidRDefault="00F02D39" w:rsidP="00F02D39">
      <w:pPr>
        <w:spacing w:line="360" w:lineRule="auto"/>
      </w:pPr>
    </w:p>
    <w:p w:rsidR="00F02D39" w:rsidRDefault="00F02D39" w:rsidP="00F02D39">
      <w:pPr>
        <w:spacing w:line="360" w:lineRule="auto"/>
      </w:pPr>
      <w:r w:rsidRPr="005677F5">
        <w:t xml:space="preserve">These sites vary in date from the early pre-historic period, tens of thousands of years old, to the twentieth century, and are a mix of types, including upstanding buildings, ruins, earthworks, deserted sites, habited buildings, scatters of flint tools, shipwrecks, religious sites, human remains and industrial landscapes (GGAT HER, 2017). All are vulnerable to pressures from a number of sources, climate, pollution, changing natural habitats, but mainly by proposed developments: some 30,000 </w:t>
      </w:r>
      <w:r w:rsidRPr="005677F5">
        <w:lastRenderedPageBreak/>
        <w:t>applications are submitted in Wales each year on average and of these approximately 10% require archaeological planning input (GGAT, 2017). The archaeological planning service manages this on behalf of local government and Cadw.</w:t>
      </w:r>
    </w:p>
    <w:p w:rsidR="00F02D39" w:rsidRDefault="00F02D39" w:rsidP="00F02D39"/>
    <w:p w:rsidR="00F02D39" w:rsidRPr="005677F5" w:rsidRDefault="00F02D39" w:rsidP="00F02D39">
      <w:r>
        <w:rPr>
          <w:noProof/>
          <w:lang w:eastAsia="en-GB"/>
        </w:rPr>
        <mc:AlternateContent>
          <mc:Choice Requires="wps">
            <w:drawing>
              <wp:anchor distT="0" distB="0" distL="114300" distR="114300" simplePos="0" relativeHeight="251661312" behindDoc="0" locked="0" layoutInCell="1" allowOverlap="1" wp14:anchorId="2A7ECA18" wp14:editId="5D1BB59C">
                <wp:simplePos x="0" y="0"/>
                <wp:positionH relativeFrom="column">
                  <wp:posOffset>-1021</wp:posOffset>
                </wp:positionH>
                <wp:positionV relativeFrom="paragraph">
                  <wp:posOffset>36079</wp:posOffset>
                </wp:positionV>
                <wp:extent cx="5561351" cy="3357797"/>
                <wp:effectExtent l="0" t="0" r="20320" b="14605"/>
                <wp:wrapNone/>
                <wp:docPr id="12" name="Text Box 12"/>
                <wp:cNvGraphicFramePr/>
                <a:graphic xmlns:a="http://schemas.openxmlformats.org/drawingml/2006/main">
                  <a:graphicData uri="http://schemas.microsoft.com/office/word/2010/wordprocessingShape">
                    <wps:wsp>
                      <wps:cNvSpPr txBox="1"/>
                      <wps:spPr>
                        <a:xfrm>
                          <a:off x="0" y="0"/>
                          <a:ext cx="5561351" cy="335779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02D39" w:rsidRDefault="00F02D39" w:rsidP="00F02D39">
                            <w:r w:rsidRPr="00387621">
                              <w:rPr>
                                <w:noProof/>
                                <w:lang w:eastAsia="en-GB"/>
                              </w:rPr>
                              <w:drawing>
                                <wp:inline distT="0" distB="0" distL="0" distR="0" wp14:anchorId="24B10754" wp14:editId="3672F79C">
                                  <wp:extent cx="5372100" cy="316427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31642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7ECA18" id="_x0000_t202" coordsize="21600,21600" o:spt="202" path="m,l,21600r21600,l21600,xe">
                <v:stroke joinstyle="miter"/>
                <v:path gradientshapeok="t" o:connecttype="rect"/>
              </v:shapetype>
              <v:shape id="Text Box 12" o:spid="_x0000_s1026" type="#_x0000_t202" style="position:absolute;margin-left:-.1pt;margin-top:2.85pt;width:437.9pt;height:26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" fillcolor="white [3201]" strokeweight=".5pt">
                <v:textbox>
                  <w:txbxContent>
                    <w:p w:rsidR="00F02D39" w:rsidRDefault="00F02D39" w:rsidP="00F02D39">
                      <w:r w:rsidRPr="00387621">
                        <w:rPr>
                          <w:noProof/>
                          <w:lang w:eastAsia="en-GB"/>
                        </w:rPr>
                        <w:drawing>
                          <wp:inline distT="0" distB="0" distL="0" distR="0" wp14:anchorId="24B10754" wp14:editId="3672F79C">
                            <wp:extent cx="5372100" cy="316427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3164277"/>
                                    </a:xfrm>
                                    <a:prstGeom prst="rect">
                                      <a:avLst/>
                                    </a:prstGeom>
                                    <a:noFill/>
                                    <a:ln>
                                      <a:noFill/>
                                    </a:ln>
                                  </pic:spPr>
                                </pic:pic>
                              </a:graphicData>
                            </a:graphic>
                          </wp:inline>
                        </w:drawing>
                      </w:r>
                    </w:p>
                  </w:txbxContent>
                </v:textbox>
              </v:shape>
            </w:pict>
          </mc:Fallback>
        </mc:AlternateContent>
      </w:r>
    </w:p>
    <w:p w:rsidR="00F02D39" w:rsidRPr="005677F5" w:rsidRDefault="00F02D39" w:rsidP="00F02D39"/>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p>
    <w:p w:rsidR="00F02D39" w:rsidRDefault="00F02D39" w:rsidP="00F02D39">
      <w:pPr>
        <w:rPr>
          <w:i/>
        </w:rPr>
      </w:pPr>
      <w:r>
        <w:rPr>
          <w:i/>
        </w:rPr>
        <w:t>Figure 1: Funding cycle for archaeological planning delivery</w:t>
      </w:r>
    </w:p>
    <w:p w:rsidR="00F02D39" w:rsidRDefault="00F02D39" w:rsidP="00F02D39">
      <w:pPr>
        <w:rPr>
          <w:i/>
        </w:rPr>
      </w:pPr>
    </w:p>
    <w:p w:rsidR="00F02D39" w:rsidRPr="005677F5" w:rsidRDefault="00F02D39" w:rsidP="00F02D39">
      <w:pPr>
        <w:spacing w:after="240"/>
        <w:rPr>
          <w:i/>
        </w:rPr>
      </w:pPr>
      <w:r w:rsidRPr="005677F5">
        <w:rPr>
          <w:i/>
        </w:rPr>
        <w:t>Background and Context</w:t>
      </w:r>
    </w:p>
    <w:p w:rsidR="00F02D39" w:rsidRPr="005677F5" w:rsidRDefault="00F02D39" w:rsidP="00F02D39">
      <w:pPr>
        <w:spacing w:line="360" w:lineRule="auto"/>
        <w:rPr>
          <w:rFonts w:cs="Arial"/>
        </w:rPr>
      </w:pPr>
      <w:r w:rsidRPr="005677F5">
        <w:t xml:space="preserve">Provision of archaeological planning advice in Wales to the Local Planning Authorities is currently delivered by the WATs (Welsh Government, 2016; Planning Policy Wales, 2016). Required by legislation (Welsh Government, 2016) the </w:t>
      </w:r>
      <w:r w:rsidRPr="005677F5">
        <w:rPr>
          <w:rFonts w:cs="Arial"/>
        </w:rPr>
        <w:t>Archaeological Planning advice to local Planning Authorities is provided by the four Welsh Archaeological Trusts; a statutory function provided by third sector. The Trusts, established during the mid-1970s, are not for profit organisations which are charitable trusts; they are: Glamorgan Gwent Archaeological Trust, Dyfed archaeological Trust, Clwyd Powys Archaeological Trust and Gwynedd Archaeological Trust. They cover Wales as geographical areas, covering a number of local authorities.</w:t>
      </w:r>
    </w:p>
    <w:p w:rsidR="00F02D39" w:rsidRPr="005677F5" w:rsidRDefault="00F02D39" w:rsidP="00F02D39">
      <w:pPr>
        <w:spacing w:line="360" w:lineRule="auto"/>
      </w:pPr>
    </w:p>
    <w:p w:rsidR="00F02D39" w:rsidRPr="005677F5" w:rsidRDefault="00F02D39" w:rsidP="00F02D39">
      <w:pPr>
        <w:autoSpaceDE w:val="0"/>
        <w:autoSpaceDN w:val="0"/>
        <w:adjustRightInd w:val="0"/>
        <w:spacing w:line="360" w:lineRule="auto"/>
        <w:rPr>
          <w:rFonts w:cs="Arial"/>
          <w:szCs w:val="24"/>
        </w:rPr>
      </w:pPr>
      <w:r w:rsidRPr="005677F5">
        <w:t xml:space="preserve">To assist in defining archaeological planning, the term heritage planning appears to be used in the wider academic analysis; van Assche and Duineveld (2013) state </w:t>
      </w:r>
      <w:r w:rsidRPr="005677F5">
        <w:lastRenderedPageBreak/>
        <w:t>“</w:t>
      </w:r>
      <w:r w:rsidRPr="005677F5">
        <w:rPr>
          <w:rFonts w:cs="Arial"/>
          <w:i/>
          <w:szCs w:val="24"/>
        </w:rPr>
        <w:t xml:space="preserve">Heritage planning is an integrated approach for dealing with traces of the past in spatial organisation.” </w:t>
      </w:r>
      <w:r w:rsidRPr="005677F5">
        <w:rPr>
          <w:rFonts w:cs="Arial"/>
          <w:szCs w:val="24"/>
        </w:rPr>
        <w:t>The integrated approach analysed in this study is that provided by the WATs, as charities which are limited companies, on behalf of both local and national government, as a statutory function. Corry (in Taylor, 2010) notes that the third sector is unsuited in its nature to a single definition, and is open to confusion with voluntary action and social enterprises. He does state that the third sector definition is it’s “</w:t>
      </w:r>
      <w:r w:rsidRPr="005677F5">
        <w:rPr>
          <w:rFonts w:cs="Arial"/>
          <w:i/>
          <w:szCs w:val="24"/>
        </w:rPr>
        <w:t>not being part of the state or the market sectors</w:t>
      </w:r>
      <w:r w:rsidRPr="005677F5">
        <w:rPr>
          <w:rFonts w:cs="Arial"/>
          <w:szCs w:val="24"/>
        </w:rPr>
        <w:t>” (2010).</w:t>
      </w:r>
    </w:p>
    <w:p w:rsidR="00F02D39" w:rsidRPr="005677F5" w:rsidRDefault="00F02D39" w:rsidP="00F02D39">
      <w:pPr>
        <w:rPr>
          <w:rFonts w:cs="Arial"/>
        </w:rPr>
      </w:pPr>
      <w:r w:rsidRPr="005677F5">
        <w:rPr>
          <w:rFonts w:cs="Arial"/>
          <w:noProof/>
          <w:szCs w:val="24"/>
          <w:lang w:eastAsia="en-GB"/>
        </w:rPr>
        <w:drawing>
          <wp:inline distT="0" distB="0" distL="0" distR="0" wp14:anchorId="0B131909" wp14:editId="76B42F4E">
            <wp:extent cx="5419725" cy="2562225"/>
            <wp:effectExtent l="0" t="0" r="952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F02D39" w:rsidRPr="00387621" w:rsidRDefault="00F02D39" w:rsidP="00F02D39">
      <w:pPr>
        <w:rPr>
          <w:rFonts w:cs="Arial"/>
          <w:i/>
          <w:szCs w:val="24"/>
        </w:rPr>
      </w:pPr>
      <w:r w:rsidRPr="00387621">
        <w:rPr>
          <w:rFonts w:cs="Arial"/>
          <w:i/>
          <w:szCs w:val="24"/>
        </w:rPr>
        <w:t>Figure 2: Hierarchy for the Glamorgan Gwent Archaeological Trust (GGAT).</w:t>
      </w:r>
    </w:p>
    <w:p w:rsidR="00F02D39" w:rsidRPr="005677F5" w:rsidRDefault="00F02D39" w:rsidP="00F02D39">
      <w:pPr>
        <w:rPr>
          <w:rFonts w:cs="Arial"/>
          <w:szCs w:val="24"/>
        </w:rPr>
      </w:pPr>
    </w:p>
    <w:p w:rsidR="00F02D39" w:rsidRPr="005677F5" w:rsidRDefault="00F02D39" w:rsidP="00F02D39">
      <w:pPr>
        <w:spacing w:line="360" w:lineRule="auto"/>
        <w:rPr>
          <w:rFonts w:cs="Arial"/>
        </w:rPr>
      </w:pPr>
      <w:r w:rsidRPr="005677F5">
        <w:rPr>
          <w:rFonts w:cs="Arial"/>
          <w:szCs w:val="24"/>
        </w:rPr>
        <w:t xml:space="preserve">Within the Trusts, there is also a separate administration section that includes administration and financial service (for example, HR, billing </w:t>
      </w:r>
      <w:r>
        <w:rPr>
          <w:rFonts w:cs="Arial"/>
          <w:szCs w:val="24"/>
        </w:rPr>
        <w:t>and</w:t>
      </w:r>
      <w:r w:rsidRPr="005677F5">
        <w:rPr>
          <w:rFonts w:cs="Arial"/>
          <w:szCs w:val="24"/>
        </w:rPr>
        <w:t xml:space="preserve"> invoicing). The Historic Environment Record (HER) is a separate charitable Trust that operates within the WATs system. Funding for this was originally from the Royal Commission on Ancient and Historic Monuments of Wales (RCAHMW), but the grant responsibility moved to Welsh Government via Cadw, and is now paid as part of the grants for archaeological advice to the WATs (Cadw, 2017). The Archaeological Planning area is ring fenced, </w:t>
      </w:r>
      <w:r>
        <w:rPr>
          <w:rFonts w:cs="Arial"/>
          <w:szCs w:val="24"/>
        </w:rPr>
        <w:t xml:space="preserve">as a statutory function, </w:t>
      </w:r>
      <w:r w:rsidRPr="005677F5">
        <w:rPr>
          <w:rFonts w:cs="Arial"/>
          <w:szCs w:val="24"/>
        </w:rPr>
        <w:t xml:space="preserve">meaning that funds allocated for this purpose are not transferrable to any other function. </w:t>
      </w:r>
      <w:r w:rsidRPr="005677F5">
        <w:rPr>
          <w:rFonts w:cs="Arial"/>
        </w:rPr>
        <w:t xml:space="preserve">This service is delivered also to other statutory bodies, Natural Resources Wales - a recent change - and Cadw. Indirectly, via archaeological consultants and contractors, it is delivered to developers and to other </w:t>
      </w:r>
      <w:r>
        <w:rPr>
          <w:rFonts w:cs="Arial"/>
        </w:rPr>
        <w:t>WATs</w:t>
      </w:r>
      <w:r w:rsidRPr="005677F5">
        <w:rPr>
          <w:rFonts w:cs="Arial"/>
        </w:rPr>
        <w:t xml:space="preserve">, and by way of involvement in the planning system, to members of the public. </w:t>
      </w:r>
    </w:p>
    <w:p w:rsidR="00F02D39" w:rsidRPr="005677F5" w:rsidRDefault="00F02D39" w:rsidP="00F02D39">
      <w:pPr>
        <w:spacing w:line="360" w:lineRule="auto"/>
        <w:rPr>
          <w:rFonts w:cs="Arial"/>
        </w:rPr>
      </w:pPr>
    </w:p>
    <w:p w:rsidR="00F02D39" w:rsidRPr="005677F5" w:rsidRDefault="00F02D39" w:rsidP="00F02D39">
      <w:pPr>
        <w:spacing w:line="360" w:lineRule="auto"/>
        <w:rPr>
          <w:rFonts w:cs="Arial"/>
        </w:rPr>
      </w:pPr>
      <w:r w:rsidRPr="005677F5">
        <w:rPr>
          <w:rFonts w:cs="Arial"/>
        </w:rPr>
        <w:lastRenderedPageBreak/>
        <w:t xml:space="preserve">This system, whereby a statutory function as a service is delivered by a third sector organisation is more commonly seen in health, social and education related industries; this sector, which includes not for profit organisations and NGOs  has become one of the main channels for employment services in Europe (Clark </w:t>
      </w:r>
      <w:r w:rsidRPr="005677F5">
        <w:rPr>
          <w:rFonts w:cs="Arial"/>
          <w:i/>
        </w:rPr>
        <w:t>et al</w:t>
      </w:r>
      <w:r w:rsidRPr="005677F5">
        <w:rPr>
          <w:rFonts w:cs="Arial"/>
        </w:rPr>
        <w:t xml:space="preserve">, 2009). </w:t>
      </w:r>
    </w:p>
    <w:p w:rsidR="00F02D39" w:rsidRPr="005677F5" w:rsidRDefault="00F02D39" w:rsidP="00F02D39">
      <w:pPr>
        <w:spacing w:line="360" w:lineRule="auto"/>
        <w:rPr>
          <w:rFonts w:cs="Arial"/>
        </w:rPr>
      </w:pPr>
    </w:p>
    <w:p w:rsidR="00F02D39" w:rsidRPr="005677F5" w:rsidRDefault="00F02D39" w:rsidP="00F02D39">
      <w:pPr>
        <w:spacing w:line="360" w:lineRule="auto"/>
        <w:rPr>
          <w:rFonts w:cs="Arial"/>
        </w:rPr>
      </w:pPr>
      <w:r w:rsidRPr="005677F5">
        <w:rPr>
          <w:rFonts w:cs="Arial"/>
        </w:rPr>
        <w:t xml:space="preserve">However, the context under discussion is different from many of the relationships stated above, as the </w:t>
      </w:r>
      <w:r>
        <w:rPr>
          <w:rFonts w:cs="Arial"/>
        </w:rPr>
        <w:t>WATs</w:t>
      </w:r>
      <w:r w:rsidRPr="005677F5">
        <w:rPr>
          <w:rFonts w:cs="Arial"/>
        </w:rPr>
        <w:t xml:space="preserve"> archaeological planners are currently the only means of achieving the service delivery Welsh Government, 2016). In contrast to the current business world, where there is competition and organisations seeking to win contracts usually tender for them, the WATs service is a monopoly. This is unusual and there is not immediately an apparent measure for analysing the system and the efficacy of its strategy and operation.</w:t>
      </w:r>
    </w:p>
    <w:p w:rsidR="00F02D39" w:rsidRPr="005677F5" w:rsidRDefault="00F02D39" w:rsidP="00F02D39">
      <w:pPr>
        <w:spacing w:line="360" w:lineRule="auto"/>
        <w:rPr>
          <w:rFonts w:cs="Arial"/>
        </w:rPr>
      </w:pPr>
    </w:p>
    <w:p w:rsidR="00F02D39" w:rsidRPr="005677F5" w:rsidRDefault="00F02D39" w:rsidP="00F02D39">
      <w:pPr>
        <w:spacing w:line="360" w:lineRule="auto"/>
        <w:rPr>
          <w:rFonts w:cs="Arial"/>
          <w:i/>
        </w:rPr>
      </w:pPr>
      <w:r w:rsidRPr="005677F5">
        <w:rPr>
          <w:rFonts w:cs="Arial"/>
          <w:i/>
        </w:rPr>
        <w:t>Rationale</w:t>
      </w:r>
    </w:p>
    <w:p w:rsidR="00F02D39" w:rsidRPr="005677F5" w:rsidRDefault="00F02D39" w:rsidP="00F02D39">
      <w:pPr>
        <w:spacing w:line="360" w:lineRule="auto"/>
        <w:rPr>
          <w:rFonts w:cs="Arial"/>
        </w:rPr>
      </w:pPr>
      <w:r w:rsidRPr="005677F5">
        <w:rPr>
          <w:rFonts w:cs="Arial"/>
        </w:rPr>
        <w:t xml:space="preserve">The importance of the service essentially lies in two relationships, the organisational and social policy aspect where the heritage, archaeology and historic assets are protected; and the cultural relationship of Wales’ residents to the heritage in the current day. Studying the legislation and policy, the current means of service delivery and associated outreach, enables questions to be raised and answered, concerning how the partnerships, strategy and delivery can be understood, evaluated and assessed for efficacy. </w:t>
      </w:r>
    </w:p>
    <w:p w:rsidR="00F02D39" w:rsidRPr="005677F5" w:rsidRDefault="00F02D39" w:rsidP="00F02D39">
      <w:pPr>
        <w:spacing w:line="360" w:lineRule="auto"/>
        <w:rPr>
          <w:rFonts w:cs="Arial"/>
        </w:rPr>
      </w:pPr>
    </w:p>
    <w:p w:rsidR="00F02D39" w:rsidRPr="005677F5" w:rsidRDefault="00F02D39" w:rsidP="00F02D39">
      <w:pPr>
        <w:spacing w:line="360" w:lineRule="auto"/>
        <w:rPr>
          <w:i/>
        </w:rPr>
      </w:pPr>
      <w:r w:rsidRPr="005677F5">
        <w:rPr>
          <w:i/>
        </w:rPr>
        <w:t>Aims and objectives</w:t>
      </w:r>
    </w:p>
    <w:p w:rsidR="00F02D39" w:rsidRPr="005677F5" w:rsidRDefault="00F02D39" w:rsidP="00F02D39">
      <w:pPr>
        <w:spacing w:line="360" w:lineRule="auto"/>
      </w:pPr>
      <w:r w:rsidRPr="005677F5">
        <w:t xml:space="preserve">The aim of this study is to critically </w:t>
      </w:r>
      <w:r>
        <w:t>evaluate</w:t>
      </w:r>
      <w:r w:rsidRPr="005677F5">
        <w:t xml:space="preserve"> the archaeological planning function in Wales, and in order to achieve this, this will undertake the following objectives. </w:t>
      </w:r>
    </w:p>
    <w:p w:rsidR="00F02D39" w:rsidRPr="005677F5" w:rsidRDefault="00F02D39" w:rsidP="00F02D39">
      <w:pPr>
        <w:spacing w:line="360" w:lineRule="auto"/>
      </w:pPr>
    </w:p>
    <w:p w:rsidR="00F02D39" w:rsidRPr="005677F5" w:rsidRDefault="00F02D39" w:rsidP="00F02D39">
      <w:pPr>
        <w:numPr>
          <w:ilvl w:val="0"/>
          <w:numId w:val="1"/>
        </w:numPr>
        <w:spacing w:line="360" w:lineRule="auto"/>
        <w:contextualSpacing/>
        <w:rPr>
          <w:rFonts w:eastAsia="Times New Roman" w:cs="Arial"/>
          <w:szCs w:val="24"/>
          <w:lang w:eastAsia="en-GB"/>
        </w:rPr>
      </w:pPr>
      <w:r w:rsidRPr="005677F5">
        <w:rPr>
          <w:rFonts w:eastAsia="Times New Roman" w:cs="Arial"/>
          <w:szCs w:val="24"/>
          <w:lang w:eastAsia="en-GB"/>
        </w:rPr>
        <w:t xml:space="preserve">To analyse the current system in relation to efficiency during falling government grants using strategic analysis models and theories </w:t>
      </w:r>
    </w:p>
    <w:p w:rsidR="00F02D39" w:rsidRPr="005677F5" w:rsidRDefault="00F02D39" w:rsidP="00F02D39">
      <w:pPr>
        <w:numPr>
          <w:ilvl w:val="0"/>
          <w:numId w:val="1"/>
        </w:numPr>
        <w:spacing w:line="360" w:lineRule="auto"/>
        <w:contextualSpacing/>
        <w:rPr>
          <w:rFonts w:eastAsia="Times New Roman" w:cs="Arial"/>
          <w:szCs w:val="24"/>
          <w:lang w:eastAsia="en-GB"/>
        </w:rPr>
      </w:pPr>
      <w:r w:rsidRPr="005677F5">
        <w:rPr>
          <w:rFonts w:eastAsia="Times New Roman" w:cs="Arial"/>
          <w:szCs w:val="24"/>
          <w:lang w:eastAsia="en-GB"/>
        </w:rPr>
        <w:t>To evaluate the efficacy of using Welsh Archaeological Trusts by means of gathering data by survey and interview</w:t>
      </w:r>
    </w:p>
    <w:p w:rsidR="00F02D39" w:rsidRPr="005677F5" w:rsidRDefault="00F02D39" w:rsidP="00F02D39">
      <w:pPr>
        <w:numPr>
          <w:ilvl w:val="0"/>
          <w:numId w:val="1"/>
        </w:numPr>
        <w:spacing w:line="360" w:lineRule="auto"/>
        <w:contextualSpacing/>
        <w:rPr>
          <w:rFonts w:eastAsia="Times New Roman" w:cs="Arial"/>
          <w:szCs w:val="24"/>
          <w:lang w:eastAsia="en-GB"/>
        </w:rPr>
      </w:pPr>
      <w:r w:rsidRPr="005677F5">
        <w:rPr>
          <w:rFonts w:eastAsia="Times New Roman" w:cs="Arial"/>
          <w:szCs w:val="24"/>
          <w:lang w:eastAsia="en-GB"/>
        </w:rPr>
        <w:t>To assess the current level of expertise in this field gathering data by survey and interview</w:t>
      </w:r>
    </w:p>
    <w:p w:rsidR="00F02D39" w:rsidRPr="005677F5" w:rsidRDefault="00F02D39" w:rsidP="00F02D39">
      <w:pPr>
        <w:numPr>
          <w:ilvl w:val="0"/>
          <w:numId w:val="1"/>
        </w:numPr>
        <w:spacing w:line="360" w:lineRule="auto"/>
        <w:contextualSpacing/>
        <w:rPr>
          <w:rFonts w:eastAsia="Times New Roman" w:cs="Arial"/>
          <w:szCs w:val="24"/>
          <w:lang w:eastAsia="en-GB"/>
        </w:rPr>
      </w:pPr>
      <w:r w:rsidRPr="005677F5">
        <w:rPr>
          <w:rFonts w:eastAsia="Times New Roman" w:cs="Arial"/>
          <w:szCs w:val="24"/>
          <w:lang w:eastAsia="en-GB"/>
        </w:rPr>
        <w:lastRenderedPageBreak/>
        <w:t>Upon analysis, to potentially make recommendations relating to the system to create stronger relationships</w:t>
      </w:r>
    </w:p>
    <w:p w:rsidR="00F02D39" w:rsidRPr="005677F5" w:rsidRDefault="00F02D39" w:rsidP="00F02D39">
      <w:pPr>
        <w:spacing w:line="360" w:lineRule="auto"/>
      </w:pPr>
    </w:p>
    <w:p w:rsidR="00F02D39" w:rsidRPr="005677F5" w:rsidRDefault="00F02D39" w:rsidP="00F02D39">
      <w:pPr>
        <w:spacing w:line="360" w:lineRule="auto"/>
        <w:rPr>
          <w:rFonts w:cs="Arial"/>
        </w:rPr>
      </w:pPr>
      <w:r w:rsidRPr="005677F5">
        <w:rPr>
          <w:rFonts w:cs="Arial"/>
        </w:rPr>
        <w:t>Therefore, this study aims to research the current situation, evaluating its governance and structure, culture and organisational change.</w:t>
      </w:r>
    </w:p>
    <w:p w:rsidR="00F02D39" w:rsidRPr="005677F5" w:rsidRDefault="00F02D39" w:rsidP="00F02D39">
      <w:pPr>
        <w:spacing w:line="360" w:lineRule="auto"/>
        <w:rPr>
          <w:rFonts w:cs="Arial"/>
          <w:i/>
        </w:rPr>
      </w:pPr>
    </w:p>
    <w:p w:rsidR="00F02D39" w:rsidRPr="005677F5" w:rsidRDefault="00F02D39" w:rsidP="00F02D39">
      <w:pPr>
        <w:spacing w:line="360" w:lineRule="auto"/>
        <w:rPr>
          <w:rFonts w:cs="Arial"/>
          <w:i/>
          <w:color w:val="000000" w:themeColor="text1"/>
        </w:rPr>
      </w:pPr>
      <w:r w:rsidRPr="005677F5">
        <w:rPr>
          <w:rFonts w:cs="Arial"/>
          <w:i/>
          <w:color w:val="000000" w:themeColor="text1"/>
        </w:rPr>
        <w:t>Structure</w:t>
      </w:r>
    </w:p>
    <w:p w:rsidR="00F02D39" w:rsidRPr="005677F5" w:rsidRDefault="00F02D39" w:rsidP="00F02D39">
      <w:pPr>
        <w:spacing w:line="360" w:lineRule="auto"/>
        <w:rPr>
          <w:rFonts w:cs="Arial"/>
        </w:rPr>
      </w:pPr>
      <w:r w:rsidRPr="005677F5">
        <w:rPr>
          <w:rFonts w:cs="Arial"/>
        </w:rPr>
        <w:t xml:space="preserve">In order to achieve these aims, and expand upon </w:t>
      </w:r>
      <w:r w:rsidRPr="005677F5">
        <w:rPr>
          <w:rFonts w:cs="Arial"/>
          <w:szCs w:val="24"/>
        </w:rPr>
        <w:t>these points, Chapter Two will</w:t>
      </w:r>
      <w:r w:rsidRPr="005677F5">
        <w:rPr>
          <w:rFonts w:cs="Arial"/>
        </w:rPr>
        <w:t xml:space="preserve"> examine the available literature concerning the relationships between government and third sector, governance of organisations in this context, financing, the wider aspects of managing heritage and archaeological planning.  Any topical literature that is directly relevant will be examined. </w:t>
      </w:r>
    </w:p>
    <w:p w:rsidR="00F02D39" w:rsidRPr="005677F5" w:rsidRDefault="00F02D39" w:rsidP="00F02D39">
      <w:pPr>
        <w:spacing w:line="360" w:lineRule="auto"/>
        <w:rPr>
          <w:rFonts w:cs="Arial"/>
        </w:rPr>
      </w:pPr>
    </w:p>
    <w:p w:rsidR="00F02D39" w:rsidRPr="005677F5" w:rsidRDefault="00F02D39" w:rsidP="00F02D39">
      <w:pPr>
        <w:spacing w:line="360" w:lineRule="auto"/>
        <w:rPr>
          <w:rFonts w:cs="Arial"/>
        </w:rPr>
      </w:pPr>
      <w:r w:rsidRPr="005677F5">
        <w:rPr>
          <w:rFonts w:cs="Arial"/>
        </w:rPr>
        <w:t xml:space="preserve">From the results of Chapter Two, points and issues raised lead to the content of Chapter Three, identifying the philosophy, the appropriate methodology and leading to the process of devising suitable questionnaires and interviews.    </w:t>
      </w:r>
    </w:p>
    <w:p w:rsidR="00F02D39" w:rsidRPr="005677F5" w:rsidRDefault="00F02D39" w:rsidP="00F02D39">
      <w:pPr>
        <w:spacing w:line="360" w:lineRule="auto"/>
        <w:rPr>
          <w:rFonts w:cs="Arial"/>
        </w:rPr>
      </w:pPr>
    </w:p>
    <w:p w:rsidR="00F02D39" w:rsidRPr="005677F5" w:rsidRDefault="00F02D39" w:rsidP="00F02D39">
      <w:pPr>
        <w:spacing w:line="360" w:lineRule="auto"/>
        <w:rPr>
          <w:rFonts w:cs="Arial"/>
        </w:rPr>
      </w:pPr>
      <w:r w:rsidRPr="005677F5">
        <w:rPr>
          <w:rFonts w:cs="Arial"/>
        </w:rPr>
        <w:t xml:space="preserve">Chapter Four will provide the collation and analysis of both the online questionnaires, which provide the bigger picture, and the more detailed questions which have arisen from the results of the large scale questionnaire. </w:t>
      </w:r>
    </w:p>
    <w:p w:rsidR="00F02D39" w:rsidRPr="005677F5" w:rsidRDefault="00F02D39" w:rsidP="00F02D39">
      <w:pPr>
        <w:spacing w:line="360" w:lineRule="auto"/>
        <w:rPr>
          <w:rFonts w:cs="Arial"/>
        </w:rPr>
      </w:pPr>
    </w:p>
    <w:p w:rsidR="00F02D39" w:rsidRPr="005677F5" w:rsidRDefault="00F02D39" w:rsidP="00F02D39">
      <w:pPr>
        <w:spacing w:line="360" w:lineRule="auto"/>
        <w:rPr>
          <w:rFonts w:cs="Arial"/>
        </w:rPr>
      </w:pPr>
      <w:r w:rsidRPr="005677F5">
        <w:rPr>
          <w:rFonts w:cs="Arial"/>
        </w:rPr>
        <w:t xml:space="preserve">Chapter Five will be the discussion of the results of the analysis, and lead to recommendations for further research topics, and potential recommendations to allow a more effective operation for the service. The benefits of this will allow greater understanding of the current situation, shaping future strategic development and consistency, and also to undertake a re-survey at some point in the future. </w:t>
      </w:r>
    </w:p>
    <w:p w:rsidR="00F02D39" w:rsidRPr="005677F5" w:rsidRDefault="00F02D39" w:rsidP="00F02D39">
      <w:pPr>
        <w:spacing w:line="360" w:lineRule="auto"/>
        <w:rPr>
          <w:rFonts w:cs="Arial"/>
        </w:rPr>
      </w:pPr>
    </w:p>
    <w:p w:rsidR="00F02D39" w:rsidRDefault="00F02D39" w:rsidP="00F02D39">
      <w:pPr>
        <w:spacing w:line="360" w:lineRule="auto"/>
        <w:rPr>
          <w:rFonts w:cs="Arial"/>
        </w:rPr>
      </w:pPr>
      <w:r>
        <w:rPr>
          <w:rFonts w:cs="Arial"/>
        </w:rPr>
        <w:t>Pressures which affect this sector</w:t>
      </w:r>
      <w:r w:rsidRPr="005677F5">
        <w:rPr>
          <w:rFonts w:cs="Arial"/>
        </w:rPr>
        <w:t xml:space="preserve">, both internal and external, are financial and economic, and are likely to have impacts that are both strategic and long term. Planning issues often create public, often heated, campaigns and the process must be clear, auditable and transparent (Wales Audit Office, 2017). Policy has developed since the introduction of Planning Policy Wales (Welsh Government, 1991) and the creation of this, and subsequent Policy and suites of supporting documentation has </w:t>
      </w:r>
      <w:r w:rsidRPr="005677F5">
        <w:rPr>
          <w:rFonts w:cs="Arial"/>
        </w:rPr>
        <w:lastRenderedPageBreak/>
        <w:t>been created via the process of consultation, both initially with heritage professionals and subsequently public consultation via the Welsh Government website.</w:t>
      </w:r>
    </w:p>
    <w:p w:rsidR="00F02D39" w:rsidRDefault="00F02D39" w:rsidP="00F02D39">
      <w:pPr>
        <w:rPr>
          <w:rFonts w:cs="Arial"/>
        </w:rPr>
      </w:pPr>
      <w:r>
        <w:rPr>
          <w:rFonts w:cs="Arial"/>
        </w:rPr>
        <w:br w:type="page"/>
      </w:r>
    </w:p>
    <w:p w:rsidR="00F02D39" w:rsidRPr="00B539EE" w:rsidRDefault="00F02D39" w:rsidP="00F02D39">
      <w:pPr>
        <w:spacing w:line="360" w:lineRule="auto"/>
        <w:rPr>
          <w:rFonts w:cs="Arial"/>
          <w:i/>
        </w:rPr>
      </w:pPr>
      <w:r w:rsidRPr="00B539EE">
        <w:rPr>
          <w:rFonts w:cs="Arial"/>
          <w:i/>
        </w:rPr>
        <w:lastRenderedPageBreak/>
        <w:t>Personal note</w:t>
      </w:r>
    </w:p>
    <w:p w:rsidR="00F02D39" w:rsidRDefault="00F02D39" w:rsidP="00F02D39">
      <w:pPr>
        <w:spacing w:line="360" w:lineRule="auto"/>
        <w:rPr>
          <w:rFonts w:cs="Arial"/>
        </w:rPr>
      </w:pPr>
      <w:r>
        <w:rPr>
          <w:rFonts w:cs="Arial"/>
        </w:rPr>
        <w:t xml:space="preserve">The researcher brings tacit knowledge of this subject, from thirty years of professional, practical experience. </w:t>
      </w:r>
    </w:p>
    <w:p w:rsidR="00F02D39" w:rsidRDefault="00F02D39" w:rsidP="00F02D39">
      <w:pPr>
        <w:spacing w:line="360" w:lineRule="auto"/>
        <w:rPr>
          <w:rFonts w:cs="Arial"/>
        </w:rPr>
      </w:pPr>
    </w:p>
    <w:p w:rsidR="00F02D39" w:rsidRDefault="00F02D39" w:rsidP="00F02D39">
      <w:pPr>
        <w:spacing w:line="360" w:lineRule="auto"/>
        <w:rPr>
          <w:rFonts w:cs="Arial"/>
        </w:rPr>
      </w:pPr>
      <w:r>
        <w:rPr>
          <w:rFonts w:cs="Arial"/>
        </w:rPr>
        <w:t xml:space="preserve">Two specific business challenges were faced in undertaking this study. Firstly, that archaeological planning does not fit any specific business module, being rather a mix of different areas. Secondly, it is a specialist, esoteric sector, somewhat overlooked, where little research of any type has been undertaken. </w:t>
      </w:r>
    </w:p>
    <w:p w:rsidR="00F02D39" w:rsidRDefault="00F02D39" w:rsidP="00F02D39">
      <w:pPr>
        <w:spacing w:line="360" w:lineRule="auto"/>
        <w:rPr>
          <w:rFonts w:cs="Arial"/>
        </w:rPr>
      </w:pPr>
    </w:p>
    <w:p w:rsidR="00F02D39" w:rsidRDefault="00F02D39" w:rsidP="00F02D39">
      <w:pPr>
        <w:spacing w:line="360" w:lineRule="auto"/>
        <w:rPr>
          <w:rFonts w:cs="Arial"/>
        </w:rPr>
      </w:pPr>
      <w:r>
        <w:rPr>
          <w:rFonts w:cs="Arial"/>
        </w:rPr>
        <w:t>Additionally, there was the challenge of a change of dissertation tutor part way through the process, with associated changes in direction.</w:t>
      </w:r>
    </w:p>
    <w:p w:rsidR="00F02D39" w:rsidRDefault="00F02D39" w:rsidP="00F02D39">
      <w:pPr>
        <w:spacing w:line="360" w:lineRule="auto"/>
        <w:rPr>
          <w:rFonts w:cs="Arial"/>
        </w:rPr>
      </w:pPr>
    </w:p>
    <w:p w:rsidR="00F02D39" w:rsidRPr="005677F5" w:rsidRDefault="00F02D39" w:rsidP="00F02D39">
      <w:pPr>
        <w:spacing w:line="360" w:lineRule="auto"/>
        <w:rPr>
          <w:rFonts w:cs="Arial"/>
        </w:rPr>
      </w:pPr>
    </w:p>
    <w:p w:rsidR="00F02D39" w:rsidRPr="005677F5" w:rsidRDefault="00F02D39" w:rsidP="00F02D39">
      <w:pPr>
        <w:spacing w:line="360" w:lineRule="auto"/>
        <w:rPr>
          <w:rFonts w:cs="Arial"/>
          <w:i/>
        </w:rPr>
      </w:pPr>
      <w:r w:rsidRPr="005677F5">
        <w:rPr>
          <w:rFonts w:cs="Arial"/>
          <w:i/>
        </w:rPr>
        <w:t>Conclusion</w:t>
      </w:r>
    </w:p>
    <w:p w:rsidR="00F02D39" w:rsidRPr="005677F5" w:rsidRDefault="00F02D39" w:rsidP="00F02D39">
      <w:pPr>
        <w:spacing w:line="360" w:lineRule="auto"/>
        <w:rPr>
          <w:rFonts w:cs="Arial"/>
        </w:rPr>
      </w:pPr>
      <w:r w:rsidRPr="005677F5">
        <w:rPr>
          <w:rFonts w:cs="Arial"/>
        </w:rPr>
        <w:t xml:space="preserve">This chapter has detailed the aims and objectives of the study, and how the research process will be delineated and followed.  It has provided a background to the organisational structures and funding of the system, and also the hierarchy of the delivery set within the legislative process.  </w:t>
      </w:r>
    </w:p>
    <w:p w:rsidR="00F02D39" w:rsidRPr="005677F5" w:rsidRDefault="00F02D39" w:rsidP="00F02D39">
      <w:pPr>
        <w:spacing w:line="360" w:lineRule="auto"/>
        <w:rPr>
          <w:rFonts w:cs="Arial"/>
        </w:rPr>
      </w:pPr>
    </w:p>
    <w:p w:rsidR="00F02D39" w:rsidRPr="005677F5" w:rsidRDefault="00F02D39" w:rsidP="00F02D39">
      <w:pPr>
        <w:spacing w:line="360" w:lineRule="auto"/>
        <w:rPr>
          <w:rFonts w:cs="Arial"/>
        </w:rPr>
      </w:pPr>
      <w:r w:rsidRPr="005677F5">
        <w:rPr>
          <w:rFonts w:cs="Arial"/>
        </w:rPr>
        <w:t>Chapter Two, as stated, will seek out relevant literature on a legislative, academic and topical basis, from a range of published sources in order to identify and assess relevant key issues and themes.</w:t>
      </w:r>
    </w:p>
    <w:p w:rsidR="00F02D39" w:rsidRPr="005677F5" w:rsidRDefault="00F02D39" w:rsidP="00F02D39">
      <w:pPr>
        <w:spacing w:line="360" w:lineRule="auto"/>
        <w:rPr>
          <w:rFonts w:cs="Arial"/>
        </w:rPr>
      </w:pPr>
      <w:r w:rsidRPr="005677F5">
        <w:rPr>
          <w:rFonts w:cs="Arial"/>
        </w:rPr>
        <w:br w:type="page"/>
      </w:r>
    </w:p>
    <w:p w:rsidR="00F02D39" w:rsidRPr="00C7767E" w:rsidRDefault="00F02D39" w:rsidP="00F02D39">
      <w:pPr>
        <w:rPr>
          <w:b/>
          <w:szCs w:val="24"/>
        </w:rPr>
      </w:pPr>
      <w:r w:rsidRPr="00C7767E">
        <w:rPr>
          <w:b/>
          <w:szCs w:val="24"/>
        </w:rPr>
        <w:lastRenderedPageBreak/>
        <w:t>CHAPTER 2: LITERATURE REVIEW</w:t>
      </w:r>
    </w:p>
    <w:p w:rsidR="00F02D39" w:rsidRPr="005677F5" w:rsidRDefault="00F02D39" w:rsidP="00F02D39"/>
    <w:p w:rsidR="00F02D39" w:rsidRPr="00DE5915" w:rsidRDefault="00F02D39" w:rsidP="00F02D39">
      <w:pPr>
        <w:spacing w:line="360" w:lineRule="auto"/>
        <w:rPr>
          <w:i/>
        </w:rPr>
      </w:pPr>
      <w:r w:rsidRPr="00DE5915">
        <w:rPr>
          <w:i/>
        </w:rPr>
        <w:t>Introduction</w:t>
      </w:r>
    </w:p>
    <w:p w:rsidR="00F02D39" w:rsidRPr="005677F5" w:rsidRDefault="00F02D39" w:rsidP="00F02D39">
      <w:pPr>
        <w:spacing w:line="360" w:lineRule="auto"/>
      </w:pPr>
      <w:r w:rsidRPr="005677F5">
        <w:t xml:space="preserve">In this chapter, the existing literature will be reviewed, and as noted previously, this includes the Welsh Government Legislation, Policy, Technical Advice Notes and Best Practice Guidance, which provides the framework of the archaeological planning service, as well as peer reviewed journal articles relating to the management of heritage, and academic theories which are identified as relevant to this study. </w:t>
      </w:r>
    </w:p>
    <w:p w:rsidR="00F02D39" w:rsidRPr="005677F5" w:rsidRDefault="00F02D39" w:rsidP="00F02D39">
      <w:pPr>
        <w:spacing w:line="360" w:lineRule="auto"/>
      </w:pPr>
    </w:p>
    <w:p w:rsidR="00F02D39" w:rsidRPr="004730A0" w:rsidRDefault="00F02D39" w:rsidP="00F02D39">
      <w:pPr>
        <w:spacing w:line="360" w:lineRule="auto"/>
        <w:rPr>
          <w:color w:val="000000" w:themeColor="text1"/>
        </w:rPr>
      </w:pPr>
      <w:r w:rsidRPr="005677F5">
        <w:t xml:space="preserve">The current literature is primarily legislative, and at the outset there is a paucity of academic theory, frameworks and models which relate </w:t>
      </w:r>
      <w:r w:rsidRPr="004730A0">
        <w:rPr>
          <w:color w:val="000000" w:themeColor="text1"/>
        </w:rPr>
        <w:t xml:space="preserve">directly to the topic, showing there is a gap in the academic understanding of the arena. The business discipline of the organisational sphere of archaeological planning difficult to establish and does not fall into any particular arena of operation.  </w:t>
      </w:r>
    </w:p>
    <w:p w:rsidR="00F02D39" w:rsidRPr="005677F5" w:rsidRDefault="00F02D39" w:rsidP="00F02D39">
      <w:pPr>
        <w:spacing w:line="360" w:lineRule="auto"/>
      </w:pPr>
    </w:p>
    <w:p w:rsidR="00F02D39" w:rsidRPr="005677F5" w:rsidRDefault="00F02D39" w:rsidP="00F02D39">
      <w:pPr>
        <w:spacing w:line="360" w:lineRule="auto"/>
      </w:pPr>
      <w:r w:rsidRPr="005677F5">
        <w:t>As stated within the introduction, the aim of this dissertation is:</w:t>
      </w:r>
    </w:p>
    <w:p w:rsidR="00F02D39" w:rsidRPr="005677F5" w:rsidRDefault="00F02D39" w:rsidP="00F02D39">
      <w:pPr>
        <w:spacing w:line="360" w:lineRule="auto"/>
      </w:pPr>
    </w:p>
    <w:p w:rsidR="00F02D39" w:rsidRPr="005677F5" w:rsidRDefault="00F02D39" w:rsidP="00F02D39">
      <w:pPr>
        <w:spacing w:line="360" w:lineRule="auto"/>
        <w:ind w:left="420"/>
        <w:contextualSpacing/>
        <w:rPr>
          <w:rFonts w:eastAsia="Times New Roman" w:cs="Arial"/>
          <w:b/>
          <w:i/>
          <w:szCs w:val="24"/>
          <w:lang w:eastAsia="en-GB"/>
        </w:rPr>
      </w:pPr>
      <w:r w:rsidRPr="005677F5">
        <w:rPr>
          <w:rFonts w:eastAsia="Times New Roman" w:cs="Arial"/>
          <w:b/>
          <w:i/>
          <w:szCs w:val="24"/>
          <w:lang w:eastAsia="en-GB"/>
        </w:rPr>
        <w:t xml:space="preserve">To analyse the current system in relation to efficiency during falling government grants using strategic analysis, models and theories </w:t>
      </w:r>
    </w:p>
    <w:p w:rsidR="00F02D39" w:rsidRPr="005677F5" w:rsidRDefault="00F02D39" w:rsidP="00F02D39">
      <w:pPr>
        <w:spacing w:line="360" w:lineRule="auto"/>
      </w:pPr>
    </w:p>
    <w:p w:rsidR="00F02D39" w:rsidRPr="005677F5" w:rsidRDefault="00F02D39" w:rsidP="00F02D39">
      <w:pPr>
        <w:spacing w:line="360" w:lineRule="auto"/>
      </w:pPr>
      <w:r w:rsidRPr="005677F5">
        <w:t>The first aim is analysed in this chapter, and there are three categories of literature that are applicable to the study; these are:</w:t>
      </w:r>
    </w:p>
    <w:p w:rsidR="00F02D39" w:rsidRPr="005677F5" w:rsidRDefault="00F02D39" w:rsidP="00F02D39">
      <w:pPr>
        <w:numPr>
          <w:ilvl w:val="0"/>
          <w:numId w:val="2"/>
        </w:numPr>
        <w:spacing w:line="360" w:lineRule="auto"/>
        <w:contextualSpacing/>
      </w:pPr>
      <w:r w:rsidRPr="005677F5">
        <w:t xml:space="preserve">policy, which in this study has a high relevance relating to the current issues; </w:t>
      </w:r>
    </w:p>
    <w:p w:rsidR="00F02D39" w:rsidRPr="005677F5" w:rsidRDefault="00F02D39" w:rsidP="00F02D39">
      <w:pPr>
        <w:numPr>
          <w:ilvl w:val="0"/>
          <w:numId w:val="2"/>
        </w:numPr>
        <w:spacing w:line="360" w:lineRule="auto"/>
        <w:contextualSpacing/>
      </w:pPr>
      <w:r w:rsidRPr="005677F5">
        <w:t xml:space="preserve">theoretical, referring to the concepts and frameworks around the wider strategy of the topic; and </w:t>
      </w:r>
    </w:p>
    <w:p w:rsidR="00F02D39" w:rsidRPr="005677F5" w:rsidRDefault="00F02D39" w:rsidP="00F02D39">
      <w:pPr>
        <w:numPr>
          <w:ilvl w:val="0"/>
          <w:numId w:val="2"/>
        </w:numPr>
        <w:spacing w:line="360" w:lineRule="auto"/>
        <w:contextualSpacing/>
      </w:pPr>
      <w:r w:rsidRPr="005677F5">
        <w:t>topical, which in this study is the relationship of heritage to both legislation and as the delivery of a service in Wales.</w:t>
      </w:r>
    </w:p>
    <w:p w:rsidR="00F02D39" w:rsidRPr="005677F5" w:rsidRDefault="00F02D39" w:rsidP="00F02D39">
      <w:pPr>
        <w:spacing w:line="360" w:lineRule="auto"/>
        <w:rPr>
          <w:b/>
          <w:i/>
        </w:rPr>
      </w:pPr>
    </w:p>
    <w:p w:rsidR="00F02D39" w:rsidRPr="00DE5915" w:rsidRDefault="00F02D39" w:rsidP="00F02D39">
      <w:pPr>
        <w:spacing w:line="360" w:lineRule="auto"/>
        <w:rPr>
          <w:i/>
        </w:rPr>
      </w:pPr>
      <w:r w:rsidRPr="00DE5915">
        <w:rPr>
          <w:i/>
        </w:rPr>
        <w:t>Legislation and Policy</w:t>
      </w:r>
    </w:p>
    <w:p w:rsidR="00F02D39" w:rsidRPr="005677F5" w:rsidRDefault="00F02D39" w:rsidP="00F02D39">
      <w:pPr>
        <w:spacing w:line="360" w:lineRule="auto"/>
      </w:pPr>
      <w:r w:rsidRPr="005677F5">
        <w:t xml:space="preserve">With the introduction of The Historic Environment Act (Wales) 2016 (Welsh Government, 2016), the supporting changes in Planning Policy Wales (Welsh Government, 2016) and the supporting TAN 24 and best practice guidance  (Welsh Government, 2017), much has changed in Wales over the last two years regarding </w:t>
      </w:r>
      <w:r w:rsidRPr="005677F5">
        <w:lastRenderedPageBreak/>
        <w:t xml:space="preserve">statutory regulation and how protection of the archaeological resource and cultural heritage is implemented. The Act is the first piece of legislation passed following the extended legislative powers of the Welsh Government, and also the first legislation on the historic environment ever drafted specifically for Wales (Cadw, 2016) and clearly shows the importance to Wales of the historic environment. </w:t>
      </w:r>
    </w:p>
    <w:p w:rsidR="00F02D39" w:rsidRPr="005677F5" w:rsidRDefault="00F02D39" w:rsidP="00F02D39">
      <w:pPr>
        <w:spacing w:line="360" w:lineRule="auto"/>
      </w:pPr>
    </w:p>
    <w:p w:rsidR="00F02D39" w:rsidRPr="005677F5" w:rsidRDefault="00F02D39" w:rsidP="00F02D39">
      <w:pPr>
        <w:spacing w:line="360" w:lineRule="auto"/>
      </w:pPr>
      <w:r w:rsidRPr="005677F5">
        <w:t>Supported by a suite of policy, advice and guidance that the Cadw website details will “</w:t>
      </w:r>
      <w:r w:rsidRPr="005677F5">
        <w:rPr>
          <w:i/>
        </w:rPr>
        <w:t>keep the management of the Welsh historic environment in step with current conservation philosophy and practice</w:t>
      </w:r>
      <w:r w:rsidRPr="005677F5">
        <w:t>” (Cadw, 2017) the documents are the result of extensive consultation with heritage professionals from various specialisms, as well as public consultation.  The four levels of legislation (the Act, Planning Policy Wales, Technical Advice Notes and Best Practice Guides) whilst the result of consultation, are extremely detailed and subject to re-consultation, alteration, reading by legal teams, ministers, professionals and so on. Therefore the high end of legislation and policy is structured and sets a strong basis for the WATs to functions upon.</w:t>
      </w:r>
    </w:p>
    <w:p w:rsidR="00F02D39" w:rsidRPr="005677F5" w:rsidRDefault="00F02D39" w:rsidP="00F02D39">
      <w:pPr>
        <w:spacing w:line="360" w:lineRule="auto"/>
      </w:pPr>
    </w:p>
    <w:p w:rsidR="00F02D39" w:rsidRPr="005677F5" w:rsidRDefault="00F02D39" w:rsidP="00F02D39">
      <w:pPr>
        <w:spacing w:line="360" w:lineRule="auto"/>
      </w:pPr>
      <w:r w:rsidRPr="005677F5">
        <w:t>They are the result of hierarchical government and civil service, organisations not noted for speed in process or determination (Lynch, 2003). Essentially, they leave little room for interpretation of delivery, but with providing a framework can be seen to be a progression in management, having started with protection of individual monuments, moving towards identification of the landscapes in which they are located, then the wider aspects of enhancement and understanding as well as preservation (Cadw, 2011). These Principles are based on the then English Heritage Conservation Principles (English Heritage, 2008); there had been calls for such measures in Wales, but these had not been developed in tandem, or solely for Wales from an archaeological or cultural aspect, but appeared to some heritage professionals at the time to have been simply reactive to pressure.  It can be argued that the framework of delivery and reasoning behind it, clearly defined, can be seen to be the systems relationships defined by Luhmann in his systems theory (1997), Senge (2006) and expanded upon by van Assche and Duineveld (2013) in relation to heritage planning, with shared values and meanings. Senge (2006) also notes the shared vision can provide courage, quoting Maslow (1965) that “</w:t>
      </w:r>
      <w:r w:rsidRPr="005677F5">
        <w:rPr>
          <w:i/>
        </w:rPr>
        <w:t>task is no longer separate from self</w:t>
      </w:r>
      <w:r w:rsidRPr="005677F5">
        <w:t>”, but also noting the crucial contribution of investment in capacity building to achieve this (Senge, 2006).</w:t>
      </w:r>
    </w:p>
    <w:p w:rsidR="00F02D39" w:rsidRPr="005677F5" w:rsidRDefault="00F02D39" w:rsidP="00F02D39">
      <w:pPr>
        <w:spacing w:line="360" w:lineRule="auto"/>
      </w:pPr>
    </w:p>
    <w:p w:rsidR="00F02D39" w:rsidRPr="005677F5" w:rsidRDefault="00F02D39" w:rsidP="00F02D39">
      <w:pPr>
        <w:spacing w:line="360" w:lineRule="auto"/>
      </w:pPr>
      <w:r w:rsidRPr="005677F5">
        <w:t>Whilst this suite of legislation is live and worked to, there are following this, further consultations which will affect the working of the archaeological planning service. The White Paper on Regional Working is currently out for consultation (Welsh Government, 2017c); this appears to be looking towards a strategy for Wales’ local government, of partnerships and regional working, and indicates that the government would look favourably on organisations which are aligned in strategic direction, both in local government and third sector organisations which provide statutory services (Welsh Government, 2017, WCVA, 2013, and Kramer and Pfitzer, 2016).  Particularly, the Wales Council for Voluntary Action (WCVA</w:t>
      </w:r>
      <w:r w:rsidRPr="005677F5">
        <w:rPr>
          <w:vertAlign w:val="superscript"/>
        </w:rPr>
        <w:footnoteReference w:id="1"/>
      </w:r>
      <w:r w:rsidRPr="005677F5">
        <w:t xml:space="preserve">) document draws attention to this in that the fulfilment of provision of statutory services by the third sector organisations (TSOs) reflects the need to achieve maximum financial value via the procurement system (WCVA, 2013), and that this can be accomplished by combining services. </w:t>
      </w:r>
    </w:p>
    <w:p w:rsidR="00F02D39" w:rsidRPr="005677F5" w:rsidRDefault="00F02D39" w:rsidP="00F02D39">
      <w:pPr>
        <w:spacing w:line="360" w:lineRule="auto"/>
      </w:pPr>
    </w:p>
    <w:p w:rsidR="00F02D39" w:rsidRPr="005677F5" w:rsidRDefault="00F02D39" w:rsidP="00F02D39">
      <w:pPr>
        <w:spacing w:line="360" w:lineRule="auto"/>
      </w:pPr>
      <w:r w:rsidRPr="005677F5">
        <w:t>The Heritage Services Review, a current Welsh Government consultation (Welsh Government 2017b), is a framework for future working which will “</w:t>
      </w:r>
      <w:r w:rsidRPr="005677F5">
        <w:rPr>
          <w:i/>
        </w:rPr>
        <w:t xml:space="preserve">create a stronger unified identity”, </w:t>
      </w:r>
      <w:r w:rsidRPr="005677F5">
        <w:t xml:space="preserve">and leads on from previous attempts to merge services, which were rejected in March 2017. The potential for strengthening the system has therefore been proposed. This, although it has not succeeded previously, is clearly the way forward; it follows the Randerson Review of 2016 and the resulting PWC report (2016) and is again promoted and relates to four aspects. These are: joint working of heritage organisations; a new charity; a new executive agency; and merger of existing national heritage organisations. These have been examined as a framework by Hudson (2011), in which Arsenault’s Typology of Mergers (1998) is quoted. Looking at these, the four types of Horizontal, Vertical, Conglomerate and Concentric are assessed on aims, with Horizontal representing organisations in the same field, with aims of economies of scale appears to fit, although is used with takeovers, and Vertical uses the continuity of relationships with users and implemented as a group structure; Arsenault in her work (1998) also notes the move towards shared regional organisational conferences, with shared problems and approaches, experiences can </w:t>
      </w:r>
      <w:r w:rsidRPr="005677F5">
        <w:lastRenderedPageBreak/>
        <w:t>move towards adding value to such organisations. It can be argued that these aspects, which encompass finance, economy of scale, staffing and organisational and strategic alignment can be seen in current government guidance.</w:t>
      </w:r>
    </w:p>
    <w:p w:rsidR="00F02D39" w:rsidRPr="005677F5" w:rsidRDefault="00F02D39" w:rsidP="00F02D39"/>
    <w:p w:rsidR="00F02D39" w:rsidRPr="005677F5" w:rsidRDefault="00F02D39" w:rsidP="00F02D39">
      <w:pPr>
        <w:spacing w:line="360" w:lineRule="auto"/>
        <w:rPr>
          <w:color w:val="000000" w:themeColor="text1"/>
        </w:rPr>
      </w:pPr>
      <w:r w:rsidRPr="005677F5">
        <w:t xml:space="preserve">The latter two Reviews have been put out for consultation since the title of this dissertation was submitted, and within the political realm the relationships between third sector and statutory government are </w:t>
      </w:r>
      <w:r w:rsidRPr="005677F5">
        <w:rPr>
          <w:color w:val="000000" w:themeColor="text1"/>
        </w:rPr>
        <w:t>high profile and contemporary.</w:t>
      </w:r>
      <w:r>
        <w:rPr>
          <w:color w:val="000000" w:themeColor="text1"/>
        </w:rPr>
        <w:t xml:space="preserve"> The Welsh heritage legislation is purposeful, ground breaking and provides a strong foundation on which the WATs can build.</w:t>
      </w:r>
    </w:p>
    <w:p w:rsidR="00F02D39" w:rsidRPr="005677F5" w:rsidRDefault="00F02D39" w:rsidP="00F02D39">
      <w:pPr>
        <w:spacing w:line="360" w:lineRule="auto"/>
      </w:pPr>
    </w:p>
    <w:p w:rsidR="00F02D39" w:rsidRPr="005677F5" w:rsidRDefault="00F02D39" w:rsidP="00F02D39">
      <w:pPr>
        <w:spacing w:line="360" w:lineRule="auto"/>
        <w:rPr>
          <w:i/>
        </w:rPr>
      </w:pPr>
      <w:r w:rsidRPr="005677F5">
        <w:rPr>
          <w:i/>
        </w:rPr>
        <w:t>Comparative situation outside Wales</w:t>
      </w:r>
    </w:p>
    <w:p w:rsidR="00F02D39" w:rsidRPr="005677F5" w:rsidRDefault="00F02D39" w:rsidP="00F02D39">
      <w:pPr>
        <w:spacing w:line="360" w:lineRule="auto"/>
      </w:pPr>
      <w:r w:rsidRPr="005677F5">
        <w:t xml:space="preserve">The emphasis appears globally to be on collaborative working between government and universities; and generally developers are required to employ and involve archaeologists at early stages of planning (Davies and Parker, 2016). Ireland (National Monuments Service, 2017) and Italy (Pompeii, 2017) both have government funding and directed guidance service. Australia varies between States, with some legislation being stronger for indigenous sites, and government funded for mining (Victoria, 2017, and Queensland, 2013). Davies and Parker (2016) describe the evolution of archaeology relating to urban development, and the differing styles of delivery which are mainly the result of issues of finance. As far as can be ascertained, the Wales situation where a not-for profit, third sector organisation provides a statutory function is not replicated elsewhere. There is a growth of partnerships such as Planning and Heritage, an EU funded research network which examines the governance and regulation of heritage and urban planning (Planning and Heritage, 2017). It can be argued that the arrangement and delivery of heritage planning is growing in importance, especially on a European basis. The exit of the UK from the EU should be considered as part of this study, however, the details and forward strategies relating to heritage and its management are unknown at this time (May 2017).  </w:t>
      </w:r>
    </w:p>
    <w:p w:rsidR="00F02D39" w:rsidRPr="005677F5" w:rsidRDefault="00F02D39" w:rsidP="00F02D39">
      <w:pPr>
        <w:spacing w:line="360" w:lineRule="auto"/>
        <w:rPr>
          <w:i/>
          <w:color w:val="000000" w:themeColor="text1"/>
        </w:rPr>
      </w:pPr>
    </w:p>
    <w:p w:rsidR="00F02D39" w:rsidRPr="005677F5" w:rsidRDefault="00F02D39" w:rsidP="00F02D39">
      <w:pPr>
        <w:spacing w:line="360" w:lineRule="auto"/>
        <w:rPr>
          <w:i/>
          <w:color w:val="000000" w:themeColor="text1"/>
        </w:rPr>
      </w:pPr>
      <w:r w:rsidRPr="005677F5">
        <w:rPr>
          <w:i/>
          <w:color w:val="000000" w:themeColor="text1"/>
        </w:rPr>
        <w:t>External analysis</w:t>
      </w:r>
    </w:p>
    <w:p w:rsidR="00F02D39" w:rsidRPr="005677F5" w:rsidRDefault="00F02D39" w:rsidP="00F02D39">
      <w:pPr>
        <w:spacing w:line="360" w:lineRule="auto"/>
      </w:pPr>
      <w:r w:rsidRPr="005677F5">
        <w:t xml:space="preserve">Essentially, this study is a </w:t>
      </w:r>
      <w:r>
        <w:t>topical timeshot</w:t>
      </w:r>
      <w:r w:rsidRPr="005677F5">
        <w:t xml:space="preserve"> of the provision of this service</w:t>
      </w:r>
      <w:r>
        <w:t>. A</w:t>
      </w:r>
      <w:r w:rsidRPr="005677F5">
        <w:t xml:space="preserve"> PESTEL analysis (political, environmental, socio-cultural, technological, economic and legislative/legal) provide</w:t>
      </w:r>
      <w:r>
        <w:t>s</w:t>
      </w:r>
      <w:r w:rsidRPr="005677F5">
        <w:t xml:space="preserve"> the background to the situation and gives reasoning for the </w:t>
      </w:r>
      <w:r w:rsidRPr="005677F5">
        <w:lastRenderedPageBreak/>
        <w:t xml:space="preserve">influences and causes of the strategic direction and operational style. Lynch (2003, and 2015) describes this as a step in the environmental analysis which allows analysis of both the wider environmental and general sector trends; and will forecast all factors that are likely to have an impact on the organisation, whether positive or negative. Lynch (2015) notes the complexity of the process when applied to government, particularly economic and legislative, where macro decisions and policies have a micro effect, and where the PESTEL system is usually based on past events, can be used to forecast future events (Lynch, 2015, Chapter 3).  </w:t>
      </w:r>
    </w:p>
    <w:p w:rsidR="00F02D39" w:rsidRPr="005677F5" w:rsidRDefault="00F02D39" w:rsidP="00F02D39"/>
    <w:p w:rsidR="00F02D39" w:rsidRPr="005677F5" w:rsidRDefault="00F02D39" w:rsidP="00F02D39">
      <w:pPr>
        <w:spacing w:line="360" w:lineRule="auto"/>
      </w:pPr>
      <w:r w:rsidRPr="005677F5">
        <w:t xml:space="preserve">A study of these six factors (described in Lynch, 2003; Johnson </w:t>
      </w:r>
      <w:r w:rsidRPr="005677F5">
        <w:rPr>
          <w:i/>
        </w:rPr>
        <w:t>et al</w:t>
      </w:r>
      <w:r w:rsidRPr="005677F5">
        <w:t>, 2013; amongst others) shows that two are of particular relevance in the archaeological planning situation, legislation and political. These two influences are the basis, as the Welsh Government legislation in the form of the Historic Environment (Wales) Act, which states the delivery of the service must be provided (Welsh Government, 2016); although the Policy statements in PPW from 1991 onwards also state this, there had been no legislative basis, and rightly or wrongly, the WATs system was the only facility available.  In fact, whilst strengthening the position of the current system with the Act, the supporting policy also weakens it by stating that the service could be provided by “for example” the WATs but does not give any indication that such expertise that has been developed is in fact available elsewhere. The political drive behind this is also a consideration in that the less funding there is for the service, there appears to be an increased link between third sector organisations undertaking what was formerly provided by local government, particularly relating to health and social care (Hudson, 2011).It could be argued that this is due to financial considerations or necessity, or political ideology.</w:t>
      </w:r>
    </w:p>
    <w:p w:rsidR="00F02D39" w:rsidRPr="005677F5" w:rsidRDefault="00F02D39" w:rsidP="00F02D39">
      <w:pPr>
        <w:spacing w:line="360" w:lineRule="auto"/>
      </w:pPr>
    </w:p>
    <w:p w:rsidR="00F02D39" w:rsidRPr="005677F5" w:rsidRDefault="00F02D39" w:rsidP="00F02D39">
      <w:pPr>
        <w:spacing w:line="360" w:lineRule="auto"/>
      </w:pPr>
      <w:r w:rsidRPr="005677F5">
        <w:t xml:space="preserve">The current system has been in place since the </w:t>
      </w:r>
      <w:r>
        <w:t>WATs</w:t>
      </w:r>
      <w:r w:rsidRPr="005677F5">
        <w:t xml:space="preserve"> started to operate in the mid-1970s as a response to the destruction of Medieval town centres as the pressure of motor traffic became intense, although the pressure to halt or record the buildings and archaeological deposits came from local volunteer groups at that time (Field, 2001). The official legislative power was introduced only in 1991 with the introduction of PPG 16, followed by the Welsh equivalent with Planning Policy Wales 1991 (UK Government, 1991). This therefore shows that whilst the introduction of the system was cutting edge, it is also static and requires change as the development of </w:t>
      </w:r>
      <w:r w:rsidRPr="005677F5">
        <w:lastRenderedPageBreak/>
        <w:t>computerisation, changes to HR and employment law, and more complex planning regulations have all taken place without movement.</w:t>
      </w:r>
    </w:p>
    <w:p w:rsidR="00F02D39" w:rsidRPr="005677F5" w:rsidRDefault="00F02D39" w:rsidP="00F02D39">
      <w:pPr>
        <w:spacing w:line="360" w:lineRule="auto"/>
      </w:pPr>
    </w:p>
    <w:p w:rsidR="00F02D39" w:rsidRPr="005677F5" w:rsidRDefault="00F02D39" w:rsidP="00F02D39">
      <w:pPr>
        <w:spacing w:line="360" w:lineRule="auto"/>
      </w:pPr>
      <w:r w:rsidRPr="005677F5">
        <w:t>There have been many reviews following this introduction. Pickering (2002) is typical in that it shows an analysis of legislation that is England focused and particularly on urban London. Having reviews is positive, although an analysis of the Wales situation and delivery could not be found. Whilst this may show a need that has arisen, it leaves out the differing elements of rural, small urban archaeological management in England, and also Wales, Scotland and Northern Ireland. Reliance on the expertise of staff with a Wales based knowledge has been achieved but not necessarily by design. Each review, whether academic (Manley, 1987, Pickering, 2002) or political (Randerson, 2016) is valid as they have been examined and founded from the perspective of the commissioning requirements, and Manley particularly explained the then process in a Welsh context. Elements of the various works can be useful, as some of the main actors remain, but their analyses and conclus</w:t>
      </w:r>
      <w:r>
        <w:t xml:space="preserve">ions were based on what are now </w:t>
      </w:r>
      <w:r w:rsidRPr="005677F5">
        <w:t xml:space="preserve">outdated assumptions and scenarios. </w:t>
      </w:r>
    </w:p>
    <w:p w:rsidR="00F02D39" w:rsidRPr="005677F5" w:rsidRDefault="00F02D39" w:rsidP="00F02D39">
      <w:pPr>
        <w:spacing w:line="360" w:lineRule="auto"/>
      </w:pPr>
    </w:p>
    <w:p w:rsidR="00F02D39" w:rsidRPr="005677F5" w:rsidRDefault="00F02D39" w:rsidP="00F02D39">
      <w:pPr>
        <w:spacing w:line="360" w:lineRule="auto"/>
      </w:pPr>
      <w:r w:rsidRPr="005677F5">
        <w:t>With the introduction of PPW Wales (Welsh Government, 1991), the WATs archaeological planning teams had a firmer base from which to operate, and this formed the basis of the service, its system and delivery</w:t>
      </w:r>
      <w:r>
        <w:t>. D</w:t>
      </w:r>
      <w:r w:rsidRPr="005677F5">
        <w:t>etail</w:t>
      </w:r>
      <w:r>
        <w:t>s</w:t>
      </w:r>
      <w:r w:rsidRPr="005677F5">
        <w:t xml:space="preserve"> of funding were not included in any Policy or supporting documents</w:t>
      </w:r>
      <w:r>
        <w:t>, so whilst a string framework is positive, there is no certainty of future funding</w:t>
      </w:r>
      <w:r w:rsidRPr="005677F5">
        <w:t xml:space="preserve">.    </w:t>
      </w:r>
    </w:p>
    <w:p w:rsidR="00F02D39" w:rsidRPr="005677F5" w:rsidRDefault="00F02D39" w:rsidP="00F02D39">
      <w:pPr>
        <w:spacing w:after="240"/>
      </w:pPr>
    </w:p>
    <w:p w:rsidR="00F02D39" w:rsidRPr="005677F5" w:rsidRDefault="00F02D39" w:rsidP="00F02D39">
      <w:pPr>
        <w:spacing w:after="240"/>
        <w:rPr>
          <w:i/>
        </w:rPr>
      </w:pPr>
      <w:r w:rsidRPr="005677F5">
        <w:rPr>
          <w:i/>
        </w:rPr>
        <w:t>Relationships</w:t>
      </w:r>
    </w:p>
    <w:p w:rsidR="00F02D39" w:rsidRPr="005677F5" w:rsidRDefault="00F02D39" w:rsidP="00F02D39">
      <w:pPr>
        <w:spacing w:line="360" w:lineRule="auto"/>
      </w:pPr>
      <w:r w:rsidRPr="005677F5">
        <w:t>Later recognition of the changes in relationship</w:t>
      </w:r>
      <w:r>
        <w:t>s</w:t>
      </w:r>
      <w:r w:rsidRPr="005677F5">
        <w:t xml:space="preserve"> between government and third sector providers, again in the health sector is given </w:t>
      </w:r>
      <w:r>
        <w:t xml:space="preserve">in </w:t>
      </w:r>
      <w:r w:rsidRPr="005677F5">
        <w:t>WCVA</w:t>
      </w:r>
      <w:r>
        <w:t xml:space="preserve"> (</w:t>
      </w:r>
      <w:r w:rsidRPr="005677F5">
        <w:t>2013</w:t>
      </w:r>
      <w:r>
        <w:t>)</w:t>
      </w:r>
      <w:r w:rsidRPr="005677F5">
        <w:t xml:space="preserve"> </w:t>
      </w:r>
      <w:r>
        <w:t xml:space="preserve">explaining </w:t>
      </w:r>
      <w:r w:rsidRPr="005677F5">
        <w:t xml:space="preserve">changes in phraseology from a legal point of view.  Grant funding, as the grant was received by the WATs from Cadw and local government (Cadw, 2017), is now not referred to as a grant but as a contract, thereby identifying the recognition from Government of the role of the third sector in delivering public services (WCVA, 2013). </w:t>
      </w:r>
    </w:p>
    <w:p w:rsidR="00F02D39" w:rsidRDefault="00F02D39" w:rsidP="00F02D39">
      <w:pPr>
        <w:spacing w:line="360" w:lineRule="auto"/>
      </w:pPr>
    </w:p>
    <w:p w:rsidR="00F02D39" w:rsidRPr="005677F5" w:rsidRDefault="00F02D39" w:rsidP="00F02D39">
      <w:pPr>
        <w:spacing w:line="360" w:lineRule="auto"/>
      </w:pPr>
      <w:r w:rsidRPr="005677F5">
        <w:lastRenderedPageBreak/>
        <w:t xml:space="preserve">A better understanding of this can be gained by compiling an Inter-organisational Relationships infographic, following the model given by Narasimhan in Daft (2001), see Figure 1 below. This does produce a complex and network of relationships, and illustrates the direction the system has grown. </w:t>
      </w:r>
    </w:p>
    <w:p w:rsidR="00F02D39" w:rsidRPr="005677F5" w:rsidRDefault="00F02D39" w:rsidP="00F02D39">
      <w:pPr>
        <w:spacing w:line="360" w:lineRule="auto"/>
      </w:pPr>
    </w:p>
    <w:p w:rsidR="00F02D39" w:rsidRPr="005677F5" w:rsidRDefault="00F02D39" w:rsidP="00F02D39">
      <w:pPr>
        <w:spacing w:line="360" w:lineRule="auto"/>
      </w:pPr>
      <w:r w:rsidRPr="005677F5">
        <w:t xml:space="preserve">Whilst it is applicable to many business and organisational relationships, and has been so here, the naming of elements could be considered to be constrictive. For instance, all networks collaborate in the Wales system, and Cadw, using a hierarchical system of governance, could be considered as “Institutionalism” rather than Collaborative Network.  It is helpful to separate the types of organisation or section responsibilities, but also limiting in the sense that the “real world” cannot necessarily be boxed. Senge (2006) examines this complexity and the need for an organisation to have a </w:t>
      </w:r>
      <w:r w:rsidRPr="005677F5">
        <w:rPr>
          <w:i/>
        </w:rPr>
        <w:t xml:space="preserve">metanoia, </w:t>
      </w:r>
      <w:r w:rsidRPr="005677F5">
        <w:t>a mind shift to allow sustainable change and growth in complex relationships.</w:t>
      </w:r>
      <w:r>
        <w:t xml:space="preserve"> This, it could be argued, would be a positive element to promote within the WATs, potentially as strength for future organisational change.</w:t>
      </w:r>
    </w:p>
    <w:p w:rsidR="00F02D39" w:rsidRPr="005677F5" w:rsidRDefault="00F02D39" w:rsidP="00F02D39"/>
    <w:p w:rsidR="00F02D39" w:rsidRPr="005677F5" w:rsidRDefault="00F02D39" w:rsidP="00F02D39"/>
    <w:p w:rsidR="00F02D39" w:rsidRPr="005677F5" w:rsidRDefault="00F02D39" w:rsidP="00F02D39">
      <w:pPr>
        <w:rPr>
          <w:b/>
        </w:rPr>
      </w:pPr>
      <w:r w:rsidRPr="005677F5">
        <w:rPr>
          <w:b/>
        </w:rPr>
        <w:t>Dis-similar</w:t>
      </w:r>
      <w:r w:rsidRPr="005677F5">
        <w:tab/>
      </w:r>
      <w:r w:rsidRPr="005677F5">
        <w:tab/>
      </w:r>
      <w:r w:rsidRPr="005677F5">
        <w:tab/>
      </w:r>
      <w:r w:rsidRPr="005677F5">
        <w:tab/>
      </w:r>
      <w:r w:rsidRPr="005677F5">
        <w:tab/>
      </w:r>
      <w:r w:rsidRPr="005677F5">
        <w:tab/>
      </w:r>
      <w:r w:rsidRPr="005677F5">
        <w:rPr>
          <w:b/>
        </w:rPr>
        <w:t>Similar</w:t>
      </w:r>
    </w:p>
    <w:tbl>
      <w:tblPr>
        <w:tblStyle w:val="TableGrid11"/>
        <w:tblW w:w="0" w:type="auto"/>
        <w:tblLook w:val="04A0" w:firstRow="1" w:lastRow="0" w:firstColumn="1" w:lastColumn="0" w:noHBand="0" w:noVBand="1"/>
      </w:tblPr>
      <w:tblGrid>
        <w:gridCol w:w="4507"/>
        <w:gridCol w:w="4509"/>
      </w:tblGrid>
      <w:tr w:rsidR="00F02D39" w:rsidRPr="005677F5" w:rsidTr="00D45560">
        <w:tc>
          <w:tcPr>
            <w:tcW w:w="4640" w:type="dxa"/>
          </w:tcPr>
          <w:p w:rsidR="00F02D39" w:rsidRPr="005677F5" w:rsidRDefault="00F02D39" w:rsidP="00D45560"/>
          <w:p w:rsidR="00F02D39" w:rsidRPr="005677F5" w:rsidRDefault="00F02D39" w:rsidP="00D45560">
            <w:pPr>
              <w:jc w:val="center"/>
            </w:pPr>
            <w:r w:rsidRPr="005677F5">
              <w:t>Independent Organisations,</w:t>
            </w:r>
          </w:p>
          <w:p w:rsidR="00F02D39" w:rsidRPr="005677F5" w:rsidRDefault="00F02D39" w:rsidP="00D45560">
            <w:pPr>
              <w:jc w:val="center"/>
            </w:pPr>
            <w:r w:rsidRPr="005677F5">
              <w:t>Registered Organisations (ROs)</w:t>
            </w:r>
          </w:p>
          <w:p w:rsidR="00F02D39" w:rsidRPr="005677F5" w:rsidRDefault="00F02D39" w:rsidP="00D45560">
            <w:pPr>
              <w:jc w:val="center"/>
            </w:pPr>
            <w:r w:rsidRPr="005677F5">
              <w:t>Consultancies</w:t>
            </w:r>
          </w:p>
          <w:p w:rsidR="00F02D39" w:rsidRPr="005677F5" w:rsidRDefault="00F02D39" w:rsidP="00D45560">
            <w:pPr>
              <w:jc w:val="center"/>
            </w:pPr>
            <w:r w:rsidRPr="005677F5">
              <w:t>Independent Utilities</w:t>
            </w:r>
          </w:p>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Pr>
              <w:jc w:val="center"/>
              <w:rPr>
                <w:i/>
              </w:rPr>
            </w:pPr>
            <w:r w:rsidRPr="005677F5">
              <w:rPr>
                <w:i/>
              </w:rPr>
              <w:t>Resource Dependent</w:t>
            </w:r>
          </w:p>
        </w:tc>
        <w:tc>
          <w:tcPr>
            <w:tcW w:w="4640" w:type="dxa"/>
          </w:tcPr>
          <w:p w:rsidR="00F02D39" w:rsidRPr="005677F5" w:rsidRDefault="00F02D39" w:rsidP="00D45560"/>
          <w:p w:rsidR="00F02D39" w:rsidRPr="005677F5" w:rsidRDefault="00F02D39" w:rsidP="00D45560">
            <w:pPr>
              <w:jc w:val="center"/>
            </w:pPr>
            <w:r w:rsidRPr="005677F5">
              <w:t>Welsh Archaeological Trusts’ Contracting Sections</w:t>
            </w:r>
          </w:p>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Pr>
              <w:jc w:val="center"/>
              <w:rPr>
                <w:i/>
              </w:rPr>
            </w:pPr>
            <w:r w:rsidRPr="005677F5">
              <w:rPr>
                <w:i/>
              </w:rPr>
              <w:t>Population Ecology</w:t>
            </w:r>
          </w:p>
        </w:tc>
      </w:tr>
      <w:tr w:rsidR="00F02D39" w:rsidRPr="005677F5" w:rsidTr="00D45560">
        <w:tc>
          <w:tcPr>
            <w:tcW w:w="4640" w:type="dxa"/>
          </w:tcPr>
          <w:p w:rsidR="00F02D39" w:rsidRPr="005677F5" w:rsidRDefault="00F02D39" w:rsidP="00D45560"/>
          <w:p w:rsidR="00F02D39" w:rsidRPr="005677F5" w:rsidRDefault="00F02D39" w:rsidP="00D45560"/>
          <w:p w:rsidR="00F02D39" w:rsidRPr="005677F5" w:rsidRDefault="00F02D39" w:rsidP="00D45560">
            <w:pPr>
              <w:jc w:val="center"/>
            </w:pPr>
            <w:r w:rsidRPr="005677F5">
              <w:t>Welsh and Local Government</w:t>
            </w:r>
          </w:p>
          <w:p w:rsidR="00F02D39" w:rsidRPr="005677F5" w:rsidRDefault="00F02D39" w:rsidP="00D45560">
            <w:pPr>
              <w:jc w:val="center"/>
            </w:pPr>
            <w:r w:rsidRPr="005677F5">
              <w:t>Cadw</w:t>
            </w:r>
          </w:p>
          <w:p w:rsidR="00F02D39" w:rsidRPr="005677F5" w:rsidRDefault="00F02D39" w:rsidP="00D45560">
            <w:pPr>
              <w:jc w:val="center"/>
            </w:pPr>
            <w:r w:rsidRPr="005677F5">
              <w:t>NRW</w:t>
            </w:r>
          </w:p>
          <w:p w:rsidR="00F02D39" w:rsidRPr="005677F5" w:rsidRDefault="00F02D39" w:rsidP="00D45560">
            <w:pPr>
              <w:jc w:val="center"/>
            </w:pPr>
            <w:r w:rsidRPr="005677F5">
              <w:t>DCWW</w:t>
            </w:r>
          </w:p>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Pr>
              <w:jc w:val="center"/>
              <w:rPr>
                <w:i/>
              </w:rPr>
            </w:pPr>
            <w:r w:rsidRPr="005677F5">
              <w:rPr>
                <w:i/>
              </w:rPr>
              <w:t>Collaborative Networks</w:t>
            </w:r>
          </w:p>
        </w:tc>
        <w:tc>
          <w:tcPr>
            <w:tcW w:w="4640" w:type="dxa"/>
          </w:tcPr>
          <w:p w:rsidR="00F02D39" w:rsidRPr="005677F5" w:rsidRDefault="00F02D39" w:rsidP="00D45560"/>
          <w:p w:rsidR="00F02D39" w:rsidRPr="005677F5" w:rsidRDefault="00F02D39" w:rsidP="00D45560"/>
          <w:p w:rsidR="00F02D39" w:rsidRPr="005677F5" w:rsidRDefault="00F02D39" w:rsidP="00D45560">
            <w:pPr>
              <w:jc w:val="center"/>
            </w:pPr>
            <w:r w:rsidRPr="005677F5">
              <w:t>Welsh Archaeological Trusts Curatorial Sections: HER; APM; HER Wales</w:t>
            </w:r>
          </w:p>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 w:rsidR="00F02D39" w:rsidRPr="005677F5" w:rsidRDefault="00F02D39" w:rsidP="00D45560">
            <w:pPr>
              <w:jc w:val="center"/>
              <w:rPr>
                <w:i/>
              </w:rPr>
            </w:pPr>
            <w:r w:rsidRPr="005677F5">
              <w:rPr>
                <w:i/>
              </w:rPr>
              <w:t>Institutionalism</w:t>
            </w:r>
          </w:p>
        </w:tc>
      </w:tr>
    </w:tbl>
    <w:p w:rsidR="00F02D39" w:rsidRPr="009C45F2" w:rsidRDefault="00F02D39" w:rsidP="00F02D39">
      <w:pPr>
        <w:rPr>
          <w:i/>
        </w:rPr>
      </w:pPr>
      <w:r w:rsidRPr="009C45F2">
        <w:rPr>
          <w:i/>
        </w:rPr>
        <w:lastRenderedPageBreak/>
        <w:t>Figure 3: Inter-organisational Relationships: After Narasimhan, in Daft, 2001. Organisation Types: Resource Dependence and Population Ecology are Competitive in nature; Collaborative networks and Institutionalism are Co-operative in nature</w:t>
      </w:r>
    </w:p>
    <w:p w:rsidR="00F02D39" w:rsidRPr="005677F5" w:rsidRDefault="00F02D39" w:rsidP="00F02D39"/>
    <w:p w:rsidR="00F02D39" w:rsidRPr="005677F5" w:rsidRDefault="00F02D39" w:rsidP="00F02D39"/>
    <w:p w:rsidR="00F02D39" w:rsidRPr="005677F5" w:rsidRDefault="00F02D39" w:rsidP="00F02D39"/>
    <w:p w:rsidR="00F02D39" w:rsidRPr="00DE5915" w:rsidRDefault="00F02D39" w:rsidP="00F02D39">
      <w:pPr>
        <w:rPr>
          <w:i/>
        </w:rPr>
      </w:pPr>
      <w:r w:rsidRPr="00DE5915">
        <w:rPr>
          <w:i/>
        </w:rPr>
        <w:t>Theoretical Studies</w:t>
      </w:r>
    </w:p>
    <w:p w:rsidR="00F02D39" w:rsidRPr="005677F5" w:rsidRDefault="00F02D39" w:rsidP="00F02D39">
      <w:pPr>
        <w:rPr>
          <w:i/>
        </w:rPr>
      </w:pPr>
    </w:p>
    <w:p w:rsidR="00F02D39" w:rsidRPr="005677F5" w:rsidRDefault="00F02D39" w:rsidP="00F02D39">
      <w:pPr>
        <w:spacing w:line="360" w:lineRule="auto"/>
        <w:rPr>
          <w:i/>
        </w:rPr>
      </w:pPr>
      <w:r w:rsidRPr="005677F5">
        <w:rPr>
          <w:i/>
        </w:rPr>
        <w:t>The theoretical studies examined for this chapter referred to aspects of the delivery, and strategic and operational aspects of modern business practice. Many did not necessarily address the issues included in this study to any great depth, or could not be adapted with any degree of success, and were therefore not included in the chapter. The elements of theories which follow were chosen for their adaptability and relevance to the major aspects of business, policy and organisational relationships.</w:t>
      </w:r>
    </w:p>
    <w:p w:rsidR="00F02D39" w:rsidRPr="005677F5" w:rsidRDefault="00F02D39" w:rsidP="00F02D39">
      <w:pPr>
        <w:spacing w:line="360" w:lineRule="auto"/>
        <w:rPr>
          <w:i/>
        </w:rPr>
      </w:pPr>
    </w:p>
    <w:p w:rsidR="00F02D39" w:rsidRPr="005677F5" w:rsidRDefault="00F02D39" w:rsidP="00F02D39">
      <w:pPr>
        <w:spacing w:line="360" w:lineRule="auto"/>
        <w:rPr>
          <w:i/>
          <w:color w:val="000000" w:themeColor="text1"/>
        </w:rPr>
      </w:pPr>
      <w:r w:rsidRPr="005677F5">
        <w:rPr>
          <w:i/>
          <w:color w:val="000000" w:themeColor="text1"/>
        </w:rPr>
        <w:t>Policy</w:t>
      </w:r>
    </w:p>
    <w:p w:rsidR="00F02D39" w:rsidRDefault="00F02D39" w:rsidP="00F02D39">
      <w:pPr>
        <w:spacing w:line="360" w:lineRule="auto"/>
        <w:rPr>
          <w:color w:val="000000" w:themeColor="text1"/>
        </w:rPr>
      </w:pPr>
      <w:r>
        <w:rPr>
          <w:color w:val="000000" w:themeColor="text1"/>
        </w:rPr>
        <w:t>Differing from legal policy, in this case the wider examination of an agreed course of action, t</w:t>
      </w:r>
      <w:r w:rsidRPr="005677F5">
        <w:rPr>
          <w:color w:val="000000" w:themeColor="text1"/>
        </w:rPr>
        <w:t xml:space="preserve">he delivery of WATs archaeological planning is essentially governed by Planning Policy Wales (introduced 1991, current edition 9, 2016). As noted above, the relationship between the WATs and Welsh Government is unusual and frameworks for analysis of the overarching policy could not be found in the Welsh Government or archaeological sector. The model proposed by Shouwstra and Ellman (2006) whilst addressing the “how to” aspect of policy analysis, appears focussed on more project specific frameworks. However, the National Collaborating Centre for Healthy Public Policy (NCCHPP) in Quebec has a framework for the analysis of policy (Morestin, 2012) and this appears to be applicable to the WATs situation, in that whilst WATs archaeological planning is a project, it is cyclical and continuous, and requires analysis of the various stages within the cycle. </w:t>
      </w:r>
    </w:p>
    <w:p w:rsidR="00F02D39" w:rsidRDefault="00F02D39" w:rsidP="00F02D39">
      <w:pPr>
        <w:rPr>
          <w:color w:val="000000" w:themeColor="text1"/>
        </w:rPr>
      </w:pPr>
      <w:r>
        <w:rPr>
          <w:color w:val="000000" w:themeColor="text1"/>
        </w:rPr>
        <w:br w:type="page"/>
      </w:r>
    </w:p>
    <w:tbl>
      <w:tblPr>
        <w:tblStyle w:val="LightShading-Accent11"/>
        <w:tblW w:w="8767" w:type="dxa"/>
        <w:tblLook w:val="0480" w:firstRow="0" w:lastRow="0" w:firstColumn="1" w:lastColumn="0" w:noHBand="0" w:noVBand="1"/>
      </w:tblPr>
      <w:tblGrid>
        <w:gridCol w:w="2289"/>
        <w:gridCol w:w="1891"/>
        <w:gridCol w:w="4587"/>
      </w:tblGrid>
      <w:tr w:rsidR="00F02D39" w:rsidRPr="005677F5" w:rsidTr="00D4556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2289" w:type="dxa"/>
          </w:tcPr>
          <w:p w:rsidR="00F02D39" w:rsidRPr="005677F5" w:rsidRDefault="00F02D39" w:rsidP="00D45560">
            <w:r w:rsidRPr="005677F5">
              <w:lastRenderedPageBreak/>
              <w:t>Effects</w:t>
            </w:r>
          </w:p>
        </w:tc>
        <w:tc>
          <w:tcPr>
            <w:tcW w:w="1891" w:type="dxa"/>
          </w:tcPr>
          <w:p w:rsidR="00F02D39" w:rsidRPr="005677F5" w:rsidRDefault="00F02D39" w:rsidP="00D45560">
            <w:pPr>
              <w:cnfStyle w:val="000000100000" w:firstRow="0" w:lastRow="0" w:firstColumn="0" w:lastColumn="0" w:oddVBand="0" w:evenVBand="0" w:oddHBand="1" w:evenHBand="0" w:firstRowFirstColumn="0" w:firstRowLastColumn="0" w:lastRowFirstColumn="0" w:lastRowLastColumn="0"/>
            </w:pPr>
            <w:r w:rsidRPr="005677F5">
              <w:t>Effectiveness</w:t>
            </w:r>
          </w:p>
        </w:tc>
        <w:tc>
          <w:tcPr>
            <w:tcW w:w="4587" w:type="dxa"/>
          </w:tcPr>
          <w:p w:rsidR="00F02D39" w:rsidRPr="005677F5" w:rsidRDefault="00F02D39" w:rsidP="00D45560">
            <w:pPr>
              <w:cnfStyle w:val="000000100000" w:firstRow="0" w:lastRow="0" w:firstColumn="0" w:lastColumn="0" w:oddVBand="0" w:evenVBand="0" w:oddHBand="1" w:evenHBand="0" w:firstRowFirstColumn="0" w:firstRowLastColumn="0" w:lastRowFirstColumn="0" w:lastRowLastColumn="0"/>
            </w:pPr>
            <w:r w:rsidRPr="005677F5">
              <w:t>What effects does the policy have?</w:t>
            </w:r>
          </w:p>
        </w:tc>
      </w:tr>
      <w:tr w:rsidR="00F02D39" w:rsidRPr="005677F5" w:rsidTr="00D45560">
        <w:trPr>
          <w:trHeight w:val="1041"/>
        </w:trPr>
        <w:tc>
          <w:tcPr>
            <w:cnfStyle w:val="001000000000" w:firstRow="0" w:lastRow="0" w:firstColumn="1" w:lastColumn="0" w:oddVBand="0" w:evenVBand="0" w:oddHBand="0" w:evenHBand="0" w:firstRowFirstColumn="0" w:firstRowLastColumn="0" w:lastRowFirstColumn="0" w:lastRowLastColumn="0"/>
            <w:tcW w:w="2289" w:type="dxa"/>
          </w:tcPr>
          <w:p w:rsidR="00F02D39" w:rsidRPr="005677F5" w:rsidRDefault="00F02D39" w:rsidP="00D45560"/>
        </w:tc>
        <w:tc>
          <w:tcPr>
            <w:tcW w:w="1891" w:type="dxa"/>
          </w:tcPr>
          <w:p w:rsidR="00F02D39" w:rsidRPr="005677F5" w:rsidRDefault="00F02D39" w:rsidP="00D45560">
            <w:pPr>
              <w:cnfStyle w:val="000000000000" w:firstRow="0" w:lastRow="0" w:firstColumn="0" w:lastColumn="0" w:oddVBand="0" w:evenVBand="0" w:oddHBand="0" w:evenHBand="0" w:firstRowFirstColumn="0" w:firstRowLastColumn="0" w:lastRowFirstColumn="0" w:lastRowLastColumn="0"/>
            </w:pPr>
            <w:r w:rsidRPr="005677F5">
              <w:t>Unintended Effects</w:t>
            </w:r>
          </w:p>
        </w:tc>
        <w:tc>
          <w:tcPr>
            <w:tcW w:w="4587" w:type="dxa"/>
          </w:tcPr>
          <w:p w:rsidR="00F02D39" w:rsidRPr="005677F5" w:rsidRDefault="00F02D39" w:rsidP="00D45560">
            <w:pPr>
              <w:cnfStyle w:val="000000000000" w:firstRow="0" w:lastRow="0" w:firstColumn="0" w:lastColumn="0" w:oddVBand="0" w:evenVBand="0" w:oddHBand="0" w:evenHBand="0" w:firstRowFirstColumn="0" w:firstRowLastColumn="0" w:lastRowFirstColumn="0" w:lastRowLastColumn="0"/>
            </w:pPr>
            <w:r w:rsidRPr="005677F5">
              <w:t>What are the unintended effects of this policy?</w:t>
            </w:r>
          </w:p>
        </w:tc>
      </w:tr>
      <w:tr w:rsidR="00F02D39" w:rsidRPr="005677F5" w:rsidTr="00D45560">
        <w:trPr>
          <w:cnfStyle w:val="000000100000" w:firstRow="0" w:lastRow="0" w:firstColumn="0" w:lastColumn="0" w:oddVBand="0" w:evenVBand="0" w:oddHBand="1" w:evenHBand="0" w:firstRowFirstColumn="0" w:firstRowLastColumn="0" w:lastRowFirstColumn="0" w:lastRowLastColumn="0"/>
          <w:trHeight w:val="1080"/>
        </w:trPr>
        <w:tc>
          <w:tcPr>
            <w:cnfStyle w:val="001000000000" w:firstRow="0" w:lastRow="0" w:firstColumn="1" w:lastColumn="0" w:oddVBand="0" w:evenVBand="0" w:oddHBand="0" w:evenHBand="0" w:firstRowFirstColumn="0" w:firstRowLastColumn="0" w:lastRowFirstColumn="0" w:lastRowLastColumn="0"/>
            <w:tcW w:w="2289" w:type="dxa"/>
          </w:tcPr>
          <w:p w:rsidR="00F02D39" w:rsidRPr="005677F5" w:rsidRDefault="00F02D39" w:rsidP="00D45560"/>
        </w:tc>
        <w:tc>
          <w:tcPr>
            <w:tcW w:w="1891" w:type="dxa"/>
          </w:tcPr>
          <w:p w:rsidR="00F02D39" w:rsidRPr="005677F5" w:rsidRDefault="00F02D39" w:rsidP="00D45560">
            <w:pPr>
              <w:cnfStyle w:val="000000100000" w:firstRow="0" w:lastRow="0" w:firstColumn="0" w:lastColumn="0" w:oddVBand="0" w:evenVBand="0" w:oddHBand="1" w:evenHBand="0" w:firstRowFirstColumn="0" w:firstRowLastColumn="0" w:lastRowFirstColumn="0" w:lastRowLastColumn="0"/>
            </w:pPr>
            <w:r w:rsidRPr="005677F5">
              <w:t>Equity</w:t>
            </w:r>
          </w:p>
        </w:tc>
        <w:tc>
          <w:tcPr>
            <w:tcW w:w="4587" w:type="dxa"/>
          </w:tcPr>
          <w:p w:rsidR="00F02D39" w:rsidRPr="005677F5" w:rsidRDefault="00F02D39" w:rsidP="00D45560">
            <w:pPr>
              <w:cnfStyle w:val="000000100000" w:firstRow="0" w:lastRow="0" w:firstColumn="0" w:lastColumn="0" w:oddVBand="0" w:evenVBand="0" w:oddHBand="1" w:evenHBand="0" w:firstRowFirstColumn="0" w:firstRowLastColumn="0" w:lastRowFirstColumn="0" w:lastRowLastColumn="0"/>
            </w:pPr>
            <w:r w:rsidRPr="005677F5">
              <w:t>What are the effects of this policy on different groups?</w:t>
            </w:r>
          </w:p>
        </w:tc>
      </w:tr>
      <w:tr w:rsidR="00F02D39" w:rsidRPr="005677F5" w:rsidTr="00D45560">
        <w:trPr>
          <w:trHeight w:val="1041"/>
        </w:trPr>
        <w:tc>
          <w:tcPr>
            <w:cnfStyle w:val="001000000000" w:firstRow="0" w:lastRow="0" w:firstColumn="1" w:lastColumn="0" w:oddVBand="0" w:evenVBand="0" w:oddHBand="0" w:evenHBand="0" w:firstRowFirstColumn="0" w:firstRowLastColumn="0" w:lastRowFirstColumn="0" w:lastRowLastColumn="0"/>
            <w:tcW w:w="2289" w:type="dxa"/>
          </w:tcPr>
          <w:p w:rsidR="00F02D39" w:rsidRPr="005677F5" w:rsidRDefault="00F02D39" w:rsidP="00D45560">
            <w:r w:rsidRPr="005677F5">
              <w:t>Implementation</w:t>
            </w:r>
          </w:p>
        </w:tc>
        <w:tc>
          <w:tcPr>
            <w:tcW w:w="1891" w:type="dxa"/>
          </w:tcPr>
          <w:p w:rsidR="00F02D39" w:rsidRPr="005677F5" w:rsidRDefault="00F02D39" w:rsidP="00D45560">
            <w:pPr>
              <w:cnfStyle w:val="000000000000" w:firstRow="0" w:lastRow="0" w:firstColumn="0" w:lastColumn="0" w:oddVBand="0" w:evenVBand="0" w:oddHBand="0" w:evenHBand="0" w:firstRowFirstColumn="0" w:firstRowLastColumn="0" w:lastRowFirstColumn="0" w:lastRowLastColumn="0"/>
            </w:pPr>
            <w:r w:rsidRPr="005677F5">
              <w:t>Cost</w:t>
            </w:r>
          </w:p>
        </w:tc>
        <w:tc>
          <w:tcPr>
            <w:tcW w:w="4587" w:type="dxa"/>
          </w:tcPr>
          <w:p w:rsidR="00F02D39" w:rsidRPr="005677F5" w:rsidRDefault="00F02D39" w:rsidP="00D45560">
            <w:pPr>
              <w:cnfStyle w:val="000000000000" w:firstRow="0" w:lastRow="0" w:firstColumn="0" w:lastColumn="0" w:oddVBand="0" w:evenVBand="0" w:oddHBand="0" w:evenHBand="0" w:firstRowFirstColumn="0" w:firstRowLastColumn="0" w:lastRowFirstColumn="0" w:lastRowLastColumn="0"/>
            </w:pPr>
            <w:r w:rsidRPr="005677F5">
              <w:t>What is the financial cost of this policy?</w:t>
            </w:r>
          </w:p>
        </w:tc>
      </w:tr>
      <w:tr w:rsidR="00F02D39" w:rsidRPr="005677F5" w:rsidTr="00D45560">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2289" w:type="dxa"/>
          </w:tcPr>
          <w:p w:rsidR="00F02D39" w:rsidRPr="005677F5" w:rsidRDefault="00F02D39" w:rsidP="00D45560"/>
        </w:tc>
        <w:tc>
          <w:tcPr>
            <w:tcW w:w="1891" w:type="dxa"/>
          </w:tcPr>
          <w:p w:rsidR="00F02D39" w:rsidRPr="005677F5" w:rsidRDefault="00F02D39" w:rsidP="00D45560">
            <w:pPr>
              <w:cnfStyle w:val="000000100000" w:firstRow="0" w:lastRow="0" w:firstColumn="0" w:lastColumn="0" w:oddVBand="0" w:evenVBand="0" w:oddHBand="1" w:evenHBand="0" w:firstRowFirstColumn="0" w:firstRowLastColumn="0" w:lastRowFirstColumn="0" w:lastRowLastColumn="0"/>
            </w:pPr>
            <w:r w:rsidRPr="005677F5">
              <w:t>Feasibility</w:t>
            </w:r>
          </w:p>
        </w:tc>
        <w:tc>
          <w:tcPr>
            <w:tcW w:w="4587" w:type="dxa"/>
          </w:tcPr>
          <w:p w:rsidR="00F02D39" w:rsidRPr="005677F5" w:rsidRDefault="00F02D39" w:rsidP="00D45560">
            <w:pPr>
              <w:cnfStyle w:val="000000100000" w:firstRow="0" w:lastRow="0" w:firstColumn="0" w:lastColumn="0" w:oddVBand="0" w:evenVBand="0" w:oddHBand="1" w:evenHBand="0" w:firstRowFirstColumn="0" w:firstRowLastColumn="0" w:lastRowFirstColumn="0" w:lastRowLastColumn="0"/>
            </w:pPr>
            <w:r w:rsidRPr="005677F5">
              <w:t xml:space="preserve">Is this policy technically feasible? </w:t>
            </w:r>
          </w:p>
        </w:tc>
      </w:tr>
      <w:tr w:rsidR="00F02D39" w:rsidRPr="005677F5" w:rsidTr="00D45560">
        <w:trPr>
          <w:trHeight w:val="1080"/>
        </w:trPr>
        <w:tc>
          <w:tcPr>
            <w:cnfStyle w:val="001000000000" w:firstRow="0" w:lastRow="0" w:firstColumn="1" w:lastColumn="0" w:oddVBand="0" w:evenVBand="0" w:oddHBand="0" w:evenHBand="0" w:firstRowFirstColumn="0" w:firstRowLastColumn="0" w:lastRowFirstColumn="0" w:lastRowLastColumn="0"/>
            <w:tcW w:w="2289" w:type="dxa"/>
          </w:tcPr>
          <w:p w:rsidR="00F02D39" w:rsidRPr="005677F5" w:rsidRDefault="00F02D39" w:rsidP="00D45560"/>
        </w:tc>
        <w:tc>
          <w:tcPr>
            <w:tcW w:w="1891" w:type="dxa"/>
          </w:tcPr>
          <w:p w:rsidR="00F02D39" w:rsidRPr="005677F5" w:rsidRDefault="00F02D39" w:rsidP="00D45560">
            <w:pPr>
              <w:cnfStyle w:val="000000000000" w:firstRow="0" w:lastRow="0" w:firstColumn="0" w:lastColumn="0" w:oddVBand="0" w:evenVBand="0" w:oddHBand="0" w:evenHBand="0" w:firstRowFirstColumn="0" w:firstRowLastColumn="0" w:lastRowFirstColumn="0" w:lastRowLastColumn="0"/>
            </w:pPr>
            <w:r w:rsidRPr="005677F5">
              <w:t>Acceptability</w:t>
            </w:r>
          </w:p>
        </w:tc>
        <w:tc>
          <w:tcPr>
            <w:tcW w:w="4587" w:type="dxa"/>
          </w:tcPr>
          <w:p w:rsidR="00F02D39" w:rsidRPr="005677F5" w:rsidRDefault="00F02D39" w:rsidP="00D45560">
            <w:pPr>
              <w:cnfStyle w:val="000000000000" w:firstRow="0" w:lastRow="0" w:firstColumn="0" w:lastColumn="0" w:oddVBand="0" w:evenVBand="0" w:oddHBand="0" w:evenHBand="0" w:firstRowFirstColumn="0" w:firstRowLastColumn="0" w:lastRowFirstColumn="0" w:lastRowLastColumn="0"/>
            </w:pPr>
            <w:r w:rsidRPr="005677F5">
              <w:t>Do the relevant stakeholders view the policy as acceptable?</w:t>
            </w:r>
          </w:p>
        </w:tc>
      </w:tr>
    </w:tbl>
    <w:p w:rsidR="00F02D39" w:rsidRPr="005677F5" w:rsidRDefault="00F02D39" w:rsidP="00F02D39">
      <w:pPr>
        <w:rPr>
          <w:i/>
        </w:rPr>
      </w:pPr>
      <w:r w:rsidRPr="005677F5">
        <w:rPr>
          <w:i/>
        </w:rPr>
        <w:t xml:space="preserve">Figure </w:t>
      </w:r>
      <w:r>
        <w:rPr>
          <w:i/>
        </w:rPr>
        <w:t>4</w:t>
      </w:r>
      <w:r w:rsidRPr="005677F5">
        <w:rPr>
          <w:i/>
        </w:rPr>
        <w:t>: Dimensions for analysing public policy</w:t>
      </w:r>
    </w:p>
    <w:p w:rsidR="00F02D39" w:rsidRPr="005677F5" w:rsidRDefault="00F02D39" w:rsidP="00F02D39"/>
    <w:p w:rsidR="00F02D39" w:rsidRPr="005677F5" w:rsidRDefault="00F02D39" w:rsidP="00F02D39"/>
    <w:p w:rsidR="00F02D39" w:rsidRPr="005677F5" w:rsidRDefault="00F02D39" w:rsidP="00F02D39">
      <w:pPr>
        <w:rPr>
          <w:color w:val="FF0000"/>
        </w:rPr>
      </w:pPr>
    </w:p>
    <w:p w:rsidR="00F02D39" w:rsidRPr="005677F5" w:rsidRDefault="00F02D39" w:rsidP="00F02D39">
      <w:pPr>
        <w:spacing w:line="360" w:lineRule="auto"/>
        <w:rPr>
          <w:color w:val="000000" w:themeColor="text1"/>
        </w:rPr>
      </w:pPr>
      <w:r w:rsidRPr="005677F5">
        <w:rPr>
          <w:color w:val="000000" w:themeColor="text1"/>
        </w:rPr>
        <w:t xml:space="preserve">As can be seen above, the two main areas of the framework, effects and implementation, lead to subsections with spurs for analysis. The framework is intended for use in monitoring policy during preparation of and implementation policy; however, it could be applied to an ongoing policy by means of the audits from Welsh Government. </w:t>
      </w:r>
    </w:p>
    <w:p w:rsidR="00F02D39" w:rsidRPr="005677F5" w:rsidRDefault="00F02D39" w:rsidP="00F02D39">
      <w:pPr>
        <w:spacing w:line="360" w:lineRule="auto"/>
        <w:rPr>
          <w:color w:val="000000" w:themeColor="text1"/>
        </w:rPr>
      </w:pPr>
    </w:p>
    <w:p w:rsidR="00F02D39" w:rsidRPr="005677F5" w:rsidRDefault="00F02D39" w:rsidP="00F02D39">
      <w:pPr>
        <w:spacing w:line="360" w:lineRule="auto"/>
        <w:rPr>
          <w:color w:val="000000" w:themeColor="text1"/>
        </w:rPr>
      </w:pPr>
      <w:r>
        <w:rPr>
          <w:color w:val="000000" w:themeColor="text1"/>
        </w:rPr>
        <w:t>It could be argued that e</w:t>
      </w:r>
      <w:r w:rsidRPr="005677F5">
        <w:rPr>
          <w:color w:val="000000" w:themeColor="text1"/>
        </w:rPr>
        <w:t xml:space="preserve">ffectiveness can be measured by the fact that the policy and system are still workable, and have regular updates, the expected effects being that the policy guides and allows WATs planning to function, amongst other planning guidance, although this does not allow for knowledge that there may be room for improvement. Regular audits are undertaken for and by Cadw, although these primarily measure achievement with figures. Unintended effects are perhaps more difficult to assess, and given that the model was intended for a health service, effects were more predictable. It can be argued that pressures of limited time with limited staff within WATs to deal with upwards of 20,000 applications a year is unintended, if applications increase with no subsequent major increase in funding or staffing. This impacts on the organisations themselves and therefore also becomes part of the equity and the effect on differing groups. Developers, planning authorities and </w:t>
      </w:r>
      <w:r w:rsidRPr="005677F5">
        <w:rPr>
          <w:color w:val="000000" w:themeColor="text1"/>
        </w:rPr>
        <w:lastRenderedPageBreak/>
        <w:t xml:space="preserve">archaeological contractors all are also under pressure and time limited by the planning regulations. The implementation aspect appears to be intended for test prior to rolling out, although the checks could be applied to an ongoing policy, by checking financial cost on a regular basis. The feasibility and acceptability are obviously acceptable, although gathering the views of relevant stakeholders for this study would ensure effective feedback. </w:t>
      </w:r>
    </w:p>
    <w:p w:rsidR="00F02D39" w:rsidRDefault="00F02D39" w:rsidP="00F02D39">
      <w:pPr>
        <w:spacing w:line="360" w:lineRule="auto"/>
        <w:rPr>
          <w:i/>
        </w:rPr>
      </w:pPr>
    </w:p>
    <w:p w:rsidR="00F02D39" w:rsidRPr="005677F5" w:rsidRDefault="00F02D39" w:rsidP="00F02D39">
      <w:pPr>
        <w:spacing w:line="360" w:lineRule="auto"/>
        <w:rPr>
          <w:i/>
        </w:rPr>
      </w:pPr>
      <w:r w:rsidRPr="005677F5">
        <w:rPr>
          <w:i/>
        </w:rPr>
        <w:t>Planning</w:t>
      </w:r>
    </w:p>
    <w:p w:rsidR="00F02D39" w:rsidRPr="005677F5" w:rsidRDefault="00F02D39" w:rsidP="00F02D39">
      <w:pPr>
        <w:spacing w:line="360" w:lineRule="auto"/>
      </w:pPr>
      <w:r w:rsidRPr="005677F5">
        <w:t>There are many theories and academic works that have analysed, examined and described the nature of urban planning, planning as an element of government control, or of independence from it, post-modernism, and modernism. Allmendinger in his works of 1998, and 2009, has evaluated theory relating to planning although it is purely dealing with its philosophical nature. His examination of the post-modern (1998) does suggest that this aspect of interpretation and delivery could equate to neoliberalism.  Lord (2014) questions whether or not moving into the 21</w:t>
      </w:r>
      <w:r w:rsidRPr="005677F5">
        <w:rPr>
          <w:vertAlign w:val="superscript"/>
        </w:rPr>
        <w:t>st</w:t>
      </w:r>
      <w:r w:rsidRPr="005677F5">
        <w:t xml:space="preserve"> century is matched by an increase in uncertainty over the purpose of planning theory, and what the extent of planning theory should be. </w:t>
      </w:r>
    </w:p>
    <w:p w:rsidR="00F02D39" w:rsidRPr="005677F5" w:rsidRDefault="00F02D39" w:rsidP="00F02D39">
      <w:pPr>
        <w:spacing w:line="360" w:lineRule="auto"/>
      </w:pPr>
    </w:p>
    <w:p w:rsidR="00F02D39" w:rsidRPr="005677F5" w:rsidRDefault="00F02D39" w:rsidP="00F02D39">
      <w:pPr>
        <w:spacing w:line="360" w:lineRule="auto"/>
      </w:pPr>
      <w:r w:rsidRPr="005677F5">
        <w:t xml:space="preserve">In relation to this, Lord (2014) also asks how and if such theories should relate to making sense of the system, or to establish a methodological system to forecast the outcomes of planning and policy. If the setting of planning, not necessarily archaeological planning alone, does have such a wide scope, then the control of regulation could be argued to be an increase in neoliberalism. Lord (2014) also states Friedman (2008) arguing the long history of relevance and impact of planning outside the academic sphere. This, whilst not referring directly to archaeological planning, could be used to create a model to reflect its delivery and process, leading to opportunities for further study in the future. </w:t>
      </w:r>
    </w:p>
    <w:p w:rsidR="00F02D39" w:rsidRPr="005677F5" w:rsidRDefault="00F02D39" w:rsidP="00F02D39">
      <w:pPr>
        <w:spacing w:line="360" w:lineRule="auto"/>
        <w:rPr>
          <w:i/>
        </w:rPr>
      </w:pPr>
    </w:p>
    <w:p w:rsidR="00F02D39" w:rsidRPr="005677F5" w:rsidRDefault="00F02D39" w:rsidP="00F02D39">
      <w:pPr>
        <w:spacing w:line="360" w:lineRule="auto"/>
        <w:rPr>
          <w:i/>
        </w:rPr>
      </w:pPr>
    </w:p>
    <w:p w:rsidR="00F02D39" w:rsidRPr="005677F5" w:rsidRDefault="00F02D39" w:rsidP="00F02D39">
      <w:pPr>
        <w:spacing w:line="360" w:lineRule="auto"/>
        <w:rPr>
          <w:i/>
        </w:rPr>
      </w:pPr>
      <w:r w:rsidRPr="005677F5">
        <w:rPr>
          <w:i/>
        </w:rPr>
        <w:t xml:space="preserve">Stakeholder </w:t>
      </w:r>
    </w:p>
    <w:p w:rsidR="00F02D39" w:rsidRPr="005677F5" w:rsidRDefault="00F02D39" w:rsidP="00F02D39">
      <w:pPr>
        <w:spacing w:line="360" w:lineRule="auto"/>
      </w:pPr>
      <w:r w:rsidRPr="005677F5">
        <w:t xml:space="preserve">It is useful to identify the type of stakeholder involved and how they sit together, as there are a large number of stakeholders in the Wales archaeological world, with differing standpoints and differing responsibilities. Primarily, Welsh Government Ministers, Cadw and Local Government are the financiers and the policy guiders, </w:t>
      </w:r>
      <w:r w:rsidRPr="005677F5">
        <w:lastRenderedPageBreak/>
        <w:t xml:space="preserve">and data is collected for the Government in order to trigger further grants. The WATs as planners, </w:t>
      </w:r>
      <w:r>
        <w:t>HER</w:t>
      </w:r>
      <w:r w:rsidRPr="005677F5">
        <w:t xml:space="preserve"> data, all archaeological contractors who benefit from undertaking work, and the consultancies who represent developers, all have a part in knowing, being kept informed, expecting an adherence to codes of practice and conduct. It can be argued that all of the stakeholders are involved in the governance of archaeological planning, being related organisations where relationships influence systems by increasing diversity and strength (Senge, 2006).</w:t>
      </w:r>
    </w:p>
    <w:p w:rsidR="00F02D39" w:rsidRPr="005677F5" w:rsidRDefault="00F02D39" w:rsidP="00F02D39">
      <w:pPr>
        <w:spacing w:line="360" w:lineRule="auto"/>
      </w:pPr>
    </w:p>
    <w:p w:rsidR="00F02D39" w:rsidRPr="005677F5" w:rsidRDefault="00F02D39" w:rsidP="00F02D39">
      <w:pPr>
        <w:spacing w:line="360" w:lineRule="auto"/>
      </w:pPr>
      <w:r w:rsidRPr="005677F5">
        <w:t>Carroll (2009) questions whether having such codes goes far enough, but at the same time acknowledges that these codes give confidence to customers and other professionals, who expect responses that are timely, accurate and beneficial to the client and, in this case, the archaeological resource. Carroll (2009) also expects services that are “</w:t>
      </w:r>
      <w:r w:rsidRPr="005677F5">
        <w:rPr>
          <w:i/>
        </w:rPr>
        <w:t>truthful and honest</w:t>
      </w:r>
      <w:r w:rsidRPr="005677F5">
        <w:t>” and here, if the service is maintained as independent from client pressure, then the stakeholders can have confidence in it. As the WATs adhere to the Chartered Institute for Archaeologists (CIfA</w:t>
      </w:r>
      <w:r w:rsidRPr="005677F5">
        <w:rPr>
          <w:vertAlign w:val="superscript"/>
        </w:rPr>
        <w:footnoteReference w:id="2"/>
      </w:r>
      <w:r w:rsidRPr="005677F5">
        <w:t>) Code of Practice and the Welsh Curators’ Code of Conduct (WATs websites, 2017), and are auditable as Registered Organisations (RO</w:t>
      </w:r>
      <w:r w:rsidRPr="005677F5">
        <w:rPr>
          <w:vertAlign w:val="superscript"/>
        </w:rPr>
        <w:footnoteReference w:id="3"/>
      </w:r>
      <w:r w:rsidRPr="005677F5">
        <w:t>) with CIfA, and as receivers of government monies, this ensures transparency.  From the ethics management view, this has both self-regulatory and external regulatory elements, and both ensure that the service should be delivered professionally. If there is any perceived shortcoming in standards, then there is a pathway that a complainant could follow (CIfA, 2017). In reality, regular audits are more likely to pick up any divergence from the standard,   and as the WATs are subject to audit by both Welsh Government and CIfA, the criteria ensure that checks and balances are in place.</w:t>
      </w:r>
    </w:p>
    <w:p w:rsidR="00F02D39" w:rsidRPr="005677F5" w:rsidRDefault="00F02D39" w:rsidP="00F02D39">
      <w:pPr>
        <w:spacing w:line="360" w:lineRule="auto"/>
      </w:pPr>
    </w:p>
    <w:p w:rsidR="00F02D39" w:rsidRPr="005677F5" w:rsidRDefault="00F02D39" w:rsidP="00F02D39">
      <w:pPr>
        <w:spacing w:line="360" w:lineRule="auto"/>
      </w:pPr>
      <w:r w:rsidRPr="005677F5">
        <w:t>The Association of Local Government Archaeological Officers (ALGAO</w:t>
      </w:r>
      <w:r w:rsidRPr="005677F5">
        <w:rPr>
          <w:vertAlign w:val="superscript"/>
        </w:rPr>
        <w:footnoteReference w:id="4"/>
      </w:r>
      <w:r w:rsidRPr="005677F5">
        <w:t xml:space="preserve">), 2017) states its aim is to represent the local authority archaeologists although the web details are more than two years out of date and given the speed of change appears </w:t>
      </w:r>
      <w:r w:rsidRPr="005677F5">
        <w:lastRenderedPageBreak/>
        <w:t>not to be part of guidance or voice. The Earl of Clancarty, speaking in the House of Lords in March (Hansard, 2017), raises the importance of archaeology as culture and states clearly that government should support local government in its management, stating “</w:t>
      </w:r>
      <w:r w:rsidRPr="005677F5">
        <w:rPr>
          <w:i/>
        </w:rPr>
        <w:t>90% of known archaeological sites are undesignated and rely on local planning</w:t>
      </w:r>
      <w:r w:rsidRPr="005677F5">
        <w:t>”  and that “</w:t>
      </w:r>
      <w:r w:rsidRPr="005677F5">
        <w:rPr>
          <w:i/>
        </w:rPr>
        <w:t>local archaeology cannot be divorced from the work of local authorities</w:t>
      </w:r>
      <w:r w:rsidRPr="005677F5">
        <w:t>”.</w:t>
      </w:r>
    </w:p>
    <w:p w:rsidR="00F02D39" w:rsidRPr="005677F5" w:rsidRDefault="00F02D39" w:rsidP="00F02D39">
      <w:pPr>
        <w:spacing w:line="360" w:lineRule="auto"/>
      </w:pPr>
    </w:p>
    <w:p w:rsidR="00F02D39" w:rsidRPr="005677F5" w:rsidRDefault="00F02D39" w:rsidP="00F02D39">
      <w:pPr>
        <w:spacing w:line="360" w:lineRule="auto"/>
        <w:rPr>
          <w:i/>
        </w:rPr>
      </w:pPr>
      <w:r w:rsidRPr="005677F5">
        <w:rPr>
          <w:i/>
        </w:rPr>
        <w:t>Governance and Structure</w:t>
      </w:r>
    </w:p>
    <w:p w:rsidR="00F02D39" w:rsidRPr="005677F5" w:rsidRDefault="00F02D39" w:rsidP="00F02D39">
      <w:pPr>
        <w:spacing w:line="360" w:lineRule="auto"/>
      </w:pPr>
      <w:r w:rsidRPr="005677F5">
        <w:t xml:space="preserve">With the governance of these organisations (Raffel </w:t>
      </w:r>
      <w:r w:rsidRPr="005677F5">
        <w:rPr>
          <w:i/>
        </w:rPr>
        <w:t>et al</w:t>
      </w:r>
      <w:r w:rsidRPr="005677F5">
        <w:t>, 2009 and Hudson, 2011) there are a number of factors that influence a service - archaeological planning - and its delivery</w:t>
      </w:r>
      <w:r>
        <w:t xml:space="preserve"> (Mallin, 2013)</w:t>
      </w:r>
      <w:r w:rsidRPr="005677F5">
        <w:t>. Hudson (2011) reviews the nature, roles and structure of governance in a third sector organisation and in defining the meaning of the term “third sector” concludes that the definition has “</w:t>
      </w:r>
      <w:r w:rsidRPr="005677F5">
        <w:rPr>
          <w:i/>
        </w:rPr>
        <w:t>fuzzy</w:t>
      </w:r>
      <w:r w:rsidRPr="005677F5">
        <w:t xml:space="preserve">” boundaries as a sector. This can be true, but with the WATs the boundaries must be clear and align with ethical codes, HR laws, Government regulations, financial audits and metrics. Examining charitable status, there appears to be a dichotomy between the general understanding of what a charity is and the WATs. Whilst they are charities, not for profit organisations, they employ professional staff members who undertake a statutory function on behalf of government; they maintain a hierarchical structure, and are regulated by the Charities Commission (Charities Commission, 2017) which is a non-ministerial government department. </w:t>
      </w:r>
    </w:p>
    <w:p w:rsidR="00F02D39" w:rsidRPr="005677F5" w:rsidRDefault="00F02D39" w:rsidP="00F02D39">
      <w:pPr>
        <w:spacing w:line="360" w:lineRule="auto"/>
      </w:pPr>
    </w:p>
    <w:p w:rsidR="00F02D39" w:rsidRPr="005677F5" w:rsidRDefault="00F02D39" w:rsidP="00F02D39">
      <w:pPr>
        <w:spacing w:line="360" w:lineRule="auto"/>
      </w:pPr>
      <w:r w:rsidRPr="005677F5">
        <w:t>There is potentially a conflict in the theories of power and resources, leadership and management, as in an autonomous organisation there should be. This is discussed by Foucault (1982), and whilst it is a deeply philosophical examination, it does bear examination in that the WAT</w:t>
      </w:r>
      <w:r>
        <w:t>s</w:t>
      </w:r>
      <w:r w:rsidRPr="005677F5">
        <w:t xml:space="preserve"> are acting perhaps as civil servants, as agents of the government in this instance. In his power relations theory (</w:t>
      </w:r>
      <w:r w:rsidRPr="008D5FB3">
        <w:rPr>
          <w:i/>
        </w:rPr>
        <w:t>ibid</w:t>
      </w:r>
      <w:r w:rsidRPr="005677F5">
        <w:t xml:space="preserve">) </w:t>
      </w:r>
      <w:r>
        <w:t>defining</w:t>
      </w:r>
      <w:r w:rsidRPr="005677F5">
        <w:t xml:space="preserve"> the totality of the state in governing the individual at all levels could be interpreted as existing within the relationship between the government and a third sector organisation delivering policy.  The power and resource strategies are also examined by Daft (2001) in his resource dependency theory, where he considers the dependency of service or product users on an external monopoly, when the organisation minimises its dependence on other organisations, influencing its environment. In the WATs, this </w:t>
      </w:r>
      <w:r w:rsidRPr="005677F5">
        <w:lastRenderedPageBreak/>
        <w:t xml:space="preserve">can be seen as the archaeological planning service being ring fenced, giving some independence, but being dependent of external bodies for continuance. </w:t>
      </w:r>
    </w:p>
    <w:p w:rsidR="00F02D39" w:rsidRPr="005677F5" w:rsidRDefault="00F02D39" w:rsidP="00F02D39">
      <w:pPr>
        <w:spacing w:line="360" w:lineRule="auto"/>
        <w:rPr>
          <w:color w:val="000000" w:themeColor="text1"/>
        </w:rPr>
      </w:pPr>
      <w:r w:rsidRPr="005677F5">
        <w:t xml:space="preserve">Usually, the relationship between government and the third sector is seen as the delivery of a service, especially in the health and social care sector (Eastern Cheshire NHS, 2012). However, theories and frameworks can be employed to improve service delivery, metrics and auditing. Standfield (2005) designed “intangible finance” to measure performance and value in time, rather than solely production costs, and applied it to services, which could be said to be of interest in government and third sector.  Measuring and tracking processes appropriately should ensure the identification of key areas that would need development, and allow prioritisation and thereby progressing sustainability and longevity (Eastern Cheshire NHS, </w:t>
      </w:r>
      <w:r w:rsidRPr="005677F5">
        <w:rPr>
          <w:color w:val="000000" w:themeColor="text1"/>
        </w:rPr>
        <w:t>2012).</w:t>
      </w:r>
    </w:p>
    <w:p w:rsidR="00F02D39" w:rsidRPr="005677F5" w:rsidRDefault="00F02D39" w:rsidP="00F02D39">
      <w:pPr>
        <w:spacing w:line="360" w:lineRule="auto"/>
      </w:pPr>
    </w:p>
    <w:p w:rsidR="00F02D39" w:rsidRPr="005677F5" w:rsidRDefault="00F02D39" w:rsidP="00F02D39">
      <w:pPr>
        <w:spacing w:line="360" w:lineRule="auto"/>
      </w:pPr>
      <w:r w:rsidRPr="005677F5">
        <w:t xml:space="preserve">Although this referred to health and local government, the application of a framework such as McKinsey 7S Model with success can be shown to balance different hard and soft elements of strategy, and recognises wider issues that are also interlinked (Peters and Waterman, 2004). The development of such a model and its application to many areas of business show that it is applicable to a system such as the WATs, where there is a mix of hierarchical, set elements from government and legislation in authority relationships, and more creative, less hierarchical relationships in the WATs and between clients and partners. Style (culture) and skills (Bryan, 2008) are noted within this re-examination as of importance if change is necessary, enabling moving forward in an informed and aligned way; this meets the WATs service delivery in the current changing economic and cultural climate. </w:t>
      </w:r>
    </w:p>
    <w:p w:rsidR="00F02D39" w:rsidRPr="005677F5" w:rsidRDefault="00F02D39" w:rsidP="00F02D39">
      <w:pPr>
        <w:spacing w:line="360" w:lineRule="auto"/>
      </w:pPr>
    </w:p>
    <w:p w:rsidR="00F02D39" w:rsidRPr="005677F5" w:rsidRDefault="00F02D39" w:rsidP="00F02D39">
      <w:pPr>
        <w:spacing w:line="360" w:lineRule="auto"/>
      </w:pPr>
      <w:r>
        <w:t xml:space="preserve">Partnership, collaboration and joint working are necessary to allow the WATs planning to be funded and function. </w:t>
      </w:r>
      <w:r w:rsidRPr="005677F5">
        <w:t xml:space="preserve">Daft (2001) has examined joint working, and appears have a similar outlook to the McKinsey 7-S in that his sociotechnical systems model (2001) identifies two broad groups based largely on technical or social which must be considered in joint working. The collaborative aims are the shared goals, values and skills and abilities that enable achievement, the interaction that is at all levels.  The organisational ecosystem (Daft, 2001) allows identification of the spectrum of relationships of stakeholders, primarily a product, not service organisational base. It can be readily understood from viewing the relationships that </w:t>
      </w:r>
      <w:r w:rsidRPr="005677F5">
        <w:lastRenderedPageBreak/>
        <w:t>they are complex, multi-stranded and often appear to be replicating sections, which again could form the basis for further academic study with a view to practical application, where recognition and pooling of strengths produces a stronger organisation and system. The results of this could form a strategy for further investment, or to generate financial resourcing from other areas.</w:t>
      </w:r>
    </w:p>
    <w:p w:rsidR="00F02D39" w:rsidRPr="005677F5" w:rsidRDefault="00F02D39" w:rsidP="00F02D39">
      <w:pPr>
        <w:spacing w:line="360" w:lineRule="auto"/>
      </w:pPr>
    </w:p>
    <w:p w:rsidR="00F02D39" w:rsidRPr="005677F5" w:rsidRDefault="00F02D39" w:rsidP="00F02D39">
      <w:pPr>
        <w:spacing w:line="360" w:lineRule="auto"/>
        <w:rPr>
          <w:color w:val="000000" w:themeColor="text1"/>
        </w:rPr>
      </w:pPr>
      <w:r w:rsidRPr="005677F5">
        <w:t>The WATs are not a competition based system, although they have a contracts section that undertakes fieldwork (WATs websites, 2017) they tend to remain mainly in regions of Wales reflecting organisational expertise. The archaeological planning service within the WATs is not competitive, and this could raise the question, examining the literature, if it does somehow need to be.   Whilst the ecosystems relationships are based on shared visions, the elements of hierarchy, collaboration and partnership relate to manufacturing and supply, there are transferrable skills and strategies relating to lean systems that may be applicable.</w:t>
      </w:r>
      <w:r w:rsidRPr="005677F5">
        <w:rPr>
          <w:color w:val="FF0000"/>
        </w:rPr>
        <w:t xml:space="preserve">  </w:t>
      </w:r>
      <w:r w:rsidRPr="005677F5">
        <w:rPr>
          <w:color w:val="000000" w:themeColor="text1"/>
        </w:rPr>
        <w:t xml:space="preserve">If the services areas or Trusts were to be merged then the ecosystem would be simplified. The ecosystem is good in that it illustrates the complexity and extent of the everyday relationships; however, it also appears complex and somewhat unclear to trace, but this also shows the complexity of the relationships themselves. Billis (2010) has considered the structure and governance of third sector organisations against the delivery of their aims, and in his model, the WATs are certainly hybrid organisations, having differing core elements from public, private and straightforward third sector organisations.  </w:t>
      </w:r>
    </w:p>
    <w:p w:rsidR="00F02D39" w:rsidRPr="005677F5" w:rsidRDefault="00F02D39" w:rsidP="00F02D39"/>
    <w:p w:rsidR="00F02D39" w:rsidRPr="005677F5" w:rsidRDefault="00F02D39" w:rsidP="00F02D39">
      <w:pPr>
        <w:spacing w:line="360" w:lineRule="auto"/>
      </w:pPr>
    </w:p>
    <w:p w:rsidR="00F02D39" w:rsidRPr="005677F5" w:rsidRDefault="00F02D39" w:rsidP="00F02D39">
      <w:pPr>
        <w:spacing w:line="360" w:lineRule="auto"/>
        <w:rPr>
          <w:i/>
        </w:rPr>
      </w:pPr>
      <w:r w:rsidRPr="005677F5">
        <w:rPr>
          <w:i/>
        </w:rPr>
        <w:t>Organisational Change</w:t>
      </w:r>
    </w:p>
    <w:p w:rsidR="00F02D39" w:rsidRPr="005677F5" w:rsidRDefault="00F02D39" w:rsidP="00F02D39">
      <w:pPr>
        <w:spacing w:line="360" w:lineRule="auto"/>
      </w:pPr>
      <w:r w:rsidRPr="005677F5">
        <w:t xml:space="preserve">In a relationship such as the WATs, Welsh Government and Local Government, there will be an element of hierarchical management and culture as governmental organisations tend to be more rigid, with compliance with the more traditional management (Carroll, 2009, and Daft, 2001). From a strategic direction viewpoint, any change that occurs could be argued to be imposed rather than generated from teams at the active front (Lynch, 2015); where experience may drive change that could be more strongly embedded. Lynch (2015) also notes that in implementing public sector change, identifications of added value and budget constraints led to a more smooth implementation, and quotes Reich (1988) noting “ </w:t>
      </w:r>
      <w:r w:rsidRPr="005677F5">
        <w:rPr>
          <w:i/>
        </w:rPr>
        <w:t xml:space="preserve">the core </w:t>
      </w:r>
      <w:r w:rsidRPr="005677F5">
        <w:rPr>
          <w:i/>
        </w:rPr>
        <w:lastRenderedPageBreak/>
        <w:t>responsibility of those who deal in public policy</w:t>
      </w:r>
      <w:r w:rsidRPr="005677F5">
        <w:t>” is to stimulate deliberation of what is desirable and possible, with the value here of cultural protection by the best means.</w:t>
      </w:r>
    </w:p>
    <w:p w:rsidR="00F02D39" w:rsidRPr="005677F5" w:rsidRDefault="00F02D39" w:rsidP="00F02D39">
      <w:pPr>
        <w:spacing w:line="360" w:lineRule="auto"/>
      </w:pPr>
      <w:r>
        <w:t xml:space="preserve">WATs may be vulnerable to current and further financial cutbacks and these may have significant impacts on staffing and operation, as well as governance. </w:t>
      </w:r>
      <w:r w:rsidRPr="005677F5">
        <w:t xml:space="preserve">The life cycle of the organisation must also be considered; </w:t>
      </w:r>
      <w:r>
        <w:t>WATs</w:t>
      </w:r>
      <w:r w:rsidRPr="005677F5">
        <w:t xml:space="preserve"> were established in the mid-1970s in response to a specific threat</w:t>
      </w:r>
      <w:r w:rsidRPr="005677F5">
        <w:rPr>
          <w:vertAlign w:val="superscript"/>
        </w:rPr>
        <w:footnoteReference w:id="5"/>
      </w:r>
      <w:r w:rsidRPr="005677F5">
        <w:t>, their relationships internally and externally reflect the situation then (Welsh Trusts websites, and Archaeology in Trust, 2015), and forward strategies have been produced (for examples, GGAT website, 2017). Daft (2001)</w:t>
      </w:r>
      <w:r w:rsidRPr="005677F5">
        <w:rPr>
          <w:color w:val="FF0000"/>
        </w:rPr>
        <w:t xml:space="preserve"> </w:t>
      </w:r>
      <w:r w:rsidRPr="005677F5">
        <w:rPr>
          <w:color w:val="000000" w:themeColor="text1"/>
        </w:rPr>
        <w:t xml:space="preserve">notes periods </w:t>
      </w:r>
      <w:r w:rsidRPr="005677F5">
        <w:t xml:space="preserve">of crises and change in leadership and systems occur to meet needs, whilst an increase in bureaucracy details a need for further examination. Culture in older organisations is often rigid in hierarchy, whilst needing a strong framework for implementation of change, and implementing mergers or partnerships can lead to a single imposed culture.  </w:t>
      </w:r>
      <w:r>
        <w:t>The impact of change, and change itself could be argued to have both a positive and negative impact on WATs.</w:t>
      </w:r>
    </w:p>
    <w:p w:rsidR="00F02D39" w:rsidRPr="005677F5" w:rsidRDefault="00F02D39" w:rsidP="00F02D39">
      <w:pPr>
        <w:spacing w:line="360" w:lineRule="auto"/>
      </w:pPr>
    </w:p>
    <w:p w:rsidR="00F02D39" w:rsidRPr="005677F5" w:rsidRDefault="00F02D39" w:rsidP="00F02D39">
      <w:pPr>
        <w:spacing w:line="360" w:lineRule="auto"/>
      </w:pPr>
      <w:r w:rsidRPr="005677F5">
        <w:t>As with any organisation, there are day to day changes as well as large scale changes in policy, direction or governance that require successful implementation in order to ensure the continuance of service or product delivery. Lewin’s change model (1947) is broad and not detailed as to how changes are implemented, but necessarily describes the process of “</w:t>
      </w:r>
      <w:r w:rsidRPr="005677F5">
        <w:rPr>
          <w:i/>
        </w:rPr>
        <w:t>unfreeze – change – refreeze</w:t>
      </w:r>
      <w:r w:rsidRPr="005677F5">
        <w:t xml:space="preserve">” that ensures the ongoing circular embedding that must take place. </w:t>
      </w:r>
    </w:p>
    <w:p w:rsidR="00F02D39" w:rsidRPr="005677F5" w:rsidRDefault="00F02D39" w:rsidP="00F02D39">
      <w:pPr>
        <w:spacing w:line="360" w:lineRule="auto"/>
      </w:pPr>
    </w:p>
    <w:p w:rsidR="00F02D39" w:rsidRPr="005677F5" w:rsidRDefault="00F02D39" w:rsidP="00F02D39">
      <w:pPr>
        <w:spacing w:line="360" w:lineRule="auto"/>
      </w:pPr>
      <w:r w:rsidRPr="005677F5">
        <w:t xml:space="preserve">Change is more likely to come from the top down, although if the WATs are dependent on government policy there can only be a certain amount of autonomy in changing aspects of hierarchy, methodology of delivery and auditing the delivery. However, as Pascale (2016) and others have found, a measure of </w:t>
      </w:r>
      <w:r w:rsidRPr="005677F5">
        <w:rPr>
          <w:i/>
        </w:rPr>
        <w:t>positive deviance</w:t>
      </w:r>
      <w:r w:rsidRPr="005677F5">
        <w:t xml:space="preserve"> using the expertise of staff at the cutting edge can ensure change is more effective, as it is based on experience of delivery. </w:t>
      </w:r>
    </w:p>
    <w:p w:rsidR="00F02D39" w:rsidRPr="005677F5" w:rsidRDefault="00F02D39" w:rsidP="00F02D39">
      <w:pPr>
        <w:spacing w:line="360" w:lineRule="auto"/>
      </w:pPr>
    </w:p>
    <w:p w:rsidR="00F02D39" w:rsidRDefault="00F02D39" w:rsidP="00F02D39">
      <w:pPr>
        <w:spacing w:line="360" w:lineRule="auto"/>
      </w:pPr>
      <w:r w:rsidRPr="005677F5">
        <w:lastRenderedPageBreak/>
        <w:t>Being agile, either in responding to change, or being proactive and instigating change, whether large or small, will ensure organisational survival and growth, and sits with the Theory X and Y (McGregor, 2006) examined below.</w:t>
      </w:r>
    </w:p>
    <w:p w:rsidR="00F02D39" w:rsidRDefault="00F02D39" w:rsidP="00F02D39">
      <w:r>
        <w:br w:type="page"/>
      </w:r>
    </w:p>
    <w:p w:rsidR="00F02D39" w:rsidRPr="005677F5" w:rsidRDefault="00F02D39" w:rsidP="00F02D39">
      <w:pPr>
        <w:spacing w:line="360" w:lineRule="auto"/>
        <w:rPr>
          <w:i/>
        </w:rPr>
      </w:pPr>
      <w:r w:rsidRPr="005677F5">
        <w:rPr>
          <w:i/>
        </w:rPr>
        <w:lastRenderedPageBreak/>
        <w:t>Agency and Stewardship</w:t>
      </w:r>
    </w:p>
    <w:p w:rsidR="00F02D39" w:rsidRPr="005677F5" w:rsidRDefault="00F02D39" w:rsidP="00F02D39">
      <w:pPr>
        <w:spacing w:line="360" w:lineRule="auto"/>
        <w:rPr>
          <w:color w:val="000000" w:themeColor="text1"/>
        </w:rPr>
      </w:pPr>
      <w:r w:rsidRPr="005677F5">
        <w:t xml:space="preserve">Daft (2001) also examines the agency theory where there is a need for a strong, adaptive culture which is healthier. This is more likely to inspire input and allow a flowing change, which aids the decision making processes in team meetings within a flat organisation. In relation to the WATs archaeological planning, it sits within a set framework which generally would not allow a swift flowing change to its structure. Theories X and Y (McGregor, 2006) are clearly described and seen as the Government element of the partnership and by the WATs, where the civil service naturally has a Theory X style, traditionally bureaucratically shaped and which is a clash against Theory Y, which allows higher motivation, and a realisation of the organisations and individuals goals. McGregor (2006) describes the Y theory in the 21st century as more agile for encouraging and inspiring </w:t>
      </w:r>
      <w:r w:rsidRPr="005677F5">
        <w:rPr>
          <w:color w:val="000000" w:themeColor="text1"/>
        </w:rPr>
        <w:t xml:space="preserve">collaboration.  This line should ensure achievable goals and aligned working between government and third sector, especially in Wales, although again the set structural framework and hierarchy would have to be significantly altered to achieve it. </w:t>
      </w:r>
    </w:p>
    <w:p w:rsidR="00F02D39" w:rsidRPr="005677F5" w:rsidRDefault="00F02D39" w:rsidP="00F02D39">
      <w:pPr>
        <w:spacing w:line="360" w:lineRule="auto"/>
      </w:pPr>
    </w:p>
    <w:p w:rsidR="00F02D39" w:rsidRPr="005677F5" w:rsidRDefault="00F02D39" w:rsidP="00F02D39">
      <w:pPr>
        <w:spacing w:line="360" w:lineRule="auto"/>
        <w:rPr>
          <w:color w:val="FF0000"/>
        </w:rPr>
      </w:pPr>
      <w:r w:rsidRPr="005677F5">
        <w:rPr>
          <w:color w:val="000000" w:themeColor="text1"/>
        </w:rPr>
        <w:t xml:space="preserve">Van Slyke (2006) and Macmillan (2013) have examined agency and stewardship theories in a government – not for profit relationship, as have Donaldson and Davis (1991), proposing that where agency </w:t>
      </w:r>
      <w:r w:rsidRPr="005677F5">
        <w:t>theory invests a modicum of self-interest in the actions of managers, stewardship is a more responsible governance of these assets. The neoliberalism of deregulation could apply in this situation, although if the parameters are controlled by government, such as legislation sitting with the Well-being of Future Generations (Wales) Act (Welsh Government, 2015) then it could be argued that there is no great autonomy for the WATs planning service in which to operate. Stewardship does involve responsible governance and could be argued to apply to the WATs position, in order to comply with codes of practice and remain as a RO with CIfA. However, it is not clear that one theory would apply overall as both agency and stewardship have aspects which could apply to the WATs</w:t>
      </w:r>
      <w:r>
        <w:t>, whereby the responsibility of the WATs as stewards could be argued to be appropriate, the agency of the multi organisational operation could cause unaligned interests.</w:t>
      </w:r>
    </w:p>
    <w:p w:rsidR="00F02D39" w:rsidRPr="005677F5" w:rsidRDefault="00F02D39" w:rsidP="00F02D39">
      <w:pPr>
        <w:spacing w:line="360" w:lineRule="auto"/>
        <w:rPr>
          <w:color w:val="FF0000"/>
        </w:rPr>
      </w:pPr>
    </w:p>
    <w:p w:rsidR="00F02D39" w:rsidRPr="005677F5" w:rsidRDefault="00F02D39" w:rsidP="00F02D39">
      <w:pPr>
        <w:spacing w:line="360" w:lineRule="auto"/>
        <w:rPr>
          <w:i/>
        </w:rPr>
      </w:pPr>
      <w:r w:rsidRPr="005677F5">
        <w:rPr>
          <w:i/>
        </w:rPr>
        <w:t>Collaboration and Partnership</w:t>
      </w:r>
    </w:p>
    <w:p w:rsidR="00F02D39" w:rsidRPr="005677F5" w:rsidRDefault="00F02D39" w:rsidP="00F02D39">
      <w:pPr>
        <w:spacing w:line="360" w:lineRule="auto"/>
        <w:rPr>
          <w:color w:val="FF0000"/>
        </w:rPr>
      </w:pPr>
      <w:r w:rsidRPr="005677F5">
        <w:t xml:space="preserve">Hughes and Weiss (2007) emphasise the importance of collaborative working, and given that collaborative working in partnership with a range of organisations. How far </w:t>
      </w:r>
      <w:r w:rsidRPr="005677F5">
        <w:lastRenderedPageBreak/>
        <w:t>partnership could fully be achieved in the third sector relationship with government is limited by legislation and political hierarchy. Usually, partnerships are viewed with the intention of shareholder benefit and profit maximisation (Levin and Tadelis, 2002); although the aspect of sector prominence may be relevant here.  Levin and Tadelis (2002) also show that whilst their theory is based around products, the trend was even then towards collaborative, regional working and partnerships, identifying partnership equilibrium as a major factor in ensuring the balance of interests is maintained for the greater good.</w:t>
      </w:r>
      <w:r w:rsidRPr="005677F5">
        <w:rPr>
          <w:color w:val="FF0000"/>
        </w:rPr>
        <w:t xml:space="preserve"> </w:t>
      </w:r>
    </w:p>
    <w:p w:rsidR="00F02D39" w:rsidRPr="005677F5" w:rsidRDefault="00F02D39" w:rsidP="00F02D39">
      <w:pPr>
        <w:spacing w:line="360" w:lineRule="auto"/>
        <w:rPr>
          <w:color w:val="FF0000"/>
        </w:rPr>
      </w:pPr>
    </w:p>
    <w:p w:rsidR="00F02D39" w:rsidRPr="005677F5" w:rsidRDefault="00F02D39" w:rsidP="00F02D39">
      <w:pPr>
        <w:spacing w:line="360" w:lineRule="auto"/>
        <w:rPr>
          <w:color w:val="000000" w:themeColor="text1"/>
        </w:rPr>
      </w:pPr>
      <w:r w:rsidRPr="005677F5">
        <w:t>If the WATs were to be merged, for instance, there may be a loss in local expertise which is vital in maint</w:t>
      </w:r>
      <w:r w:rsidRPr="005677F5">
        <w:rPr>
          <w:color w:val="000000" w:themeColor="text1"/>
        </w:rPr>
        <w:t>aining knowledge of the archaeological resource, and thereby confidence in giving advice. Wider research and guidance relating to mergers and shared services is mooted by Welsh Government (Welsh Government, 2017c) in the Local Government Reform White Paper, and further explained by WCVA (2013) where services which benefit two or more parties are promoted. Regional expertise would need to be considered in techniques relating to identifying periodical settlement in varying geological areas. O</w:t>
      </w:r>
      <w:r w:rsidRPr="005677F5">
        <w:t xml:space="preserve">ne Trust rather than four could also lead to a reduction in independent negotiating power as well as skills. </w:t>
      </w:r>
      <w:r w:rsidRPr="005677F5">
        <w:rPr>
          <w:color w:val="000000" w:themeColor="text1"/>
        </w:rPr>
        <w:t>It is known (Billis, 2010) that grants are more likely to be awarded even if they cover part of a regular service, if there have been considerations and moves towards effective partnerships and collaborative working, a fact also noted by the Welsh Government (Audit Office, 2016).</w:t>
      </w:r>
    </w:p>
    <w:p w:rsidR="00F02D39" w:rsidRPr="005677F5" w:rsidRDefault="00F02D39" w:rsidP="00F02D39">
      <w:pPr>
        <w:spacing w:line="360" w:lineRule="auto"/>
      </w:pPr>
    </w:p>
    <w:p w:rsidR="00F02D39" w:rsidRPr="005677F5" w:rsidRDefault="00F02D39" w:rsidP="00F02D39">
      <w:pPr>
        <w:spacing w:line="360" w:lineRule="auto"/>
        <w:rPr>
          <w:i/>
        </w:rPr>
      </w:pPr>
      <w:r w:rsidRPr="005677F5">
        <w:rPr>
          <w:i/>
        </w:rPr>
        <w:t>Finance</w:t>
      </w:r>
    </w:p>
    <w:p w:rsidR="00F02D39" w:rsidRPr="005677F5" w:rsidRDefault="00F02D39" w:rsidP="00F02D39">
      <w:pPr>
        <w:spacing w:line="360" w:lineRule="auto"/>
      </w:pPr>
      <w:r w:rsidRPr="005677F5">
        <w:t xml:space="preserve">Although non-statutory (Keep, 2016) finance for the devolved Wales government is regulated by the mechanisms within the Barnett Formula, for block funding public spending (HM Government, Welsh Government, 2016). Alterations to this have left less spending per head than other home nations (Bristow, 2001) whilst allowing access to European Objective 1 Funding, although between 2007 and 2013, Wales benefitted from £1.8bn of EU funds (Welsh Government, 2017a).   </w:t>
      </w:r>
    </w:p>
    <w:p w:rsidR="00F02D39" w:rsidRPr="005677F5" w:rsidRDefault="00F02D39" w:rsidP="00F02D39">
      <w:pPr>
        <w:spacing w:line="360" w:lineRule="auto"/>
      </w:pPr>
    </w:p>
    <w:p w:rsidR="00F02D39" w:rsidRPr="005677F5" w:rsidRDefault="00F02D39" w:rsidP="00F02D39">
      <w:pPr>
        <w:spacing w:line="360" w:lineRule="auto"/>
      </w:pPr>
      <w:r w:rsidRPr="005677F5">
        <w:t xml:space="preserve">In respect of understanding this in relation to the WATs services, the efficacy of the archaeological planning provision is dependent on appropriate funding from national and local government, and cuts (or a reduction in real terms) in grants from all areas </w:t>
      </w:r>
      <w:r w:rsidRPr="005677F5">
        <w:lastRenderedPageBreak/>
        <w:t xml:space="preserve">of government (National, local and via Cadw) will have a significant effect on the service. A model for monitoring this is developed by the Chartered Institute of Procurement and Supply (CIPS, 2017) as a Risk Impact Grid, against which factors can be plotted with a probability of occurrence against severity of impact, with red, amber and green indicators (see below, figure 2). </w:t>
      </w:r>
    </w:p>
    <w:p w:rsidR="00F02D39" w:rsidRPr="005677F5" w:rsidRDefault="00F02D39" w:rsidP="00F02D39">
      <w:pPr>
        <w:spacing w:line="360" w:lineRule="auto"/>
      </w:pPr>
    </w:p>
    <w:p w:rsidR="00F02D39" w:rsidRPr="005677F5" w:rsidRDefault="00F02D39" w:rsidP="00F02D39">
      <w:pPr>
        <w:spacing w:line="360" w:lineRule="auto"/>
      </w:pPr>
      <w:r w:rsidRPr="005677F5">
        <w:t xml:space="preserve">CIPS’ recommendations, not only assessing where on the grid the risk may lie, but managing risk through a process chain of collaboration, communication, prioritisation, show a transferrable framework. Both strategic and operational areas are considered, and these are also in relation to people skills and capabilities to enhance resilience.  A continuing follow on process of monitoring identifies strengths and weaknesses; this can be applied logically to any business in any situation. </w:t>
      </w:r>
    </w:p>
    <w:p w:rsidR="00F02D39" w:rsidRPr="005677F5" w:rsidRDefault="00F02D39" w:rsidP="00F02D39">
      <w:pPr>
        <w:spacing w:line="360" w:lineRule="auto"/>
      </w:pPr>
    </w:p>
    <w:p w:rsidR="00F02D39" w:rsidRPr="005677F5" w:rsidRDefault="00F02D39" w:rsidP="00F02D39"/>
    <w:p w:rsidR="00F02D39" w:rsidRPr="005677F5" w:rsidRDefault="00F02D39" w:rsidP="00F02D39"/>
    <w:p w:rsidR="00F02D39" w:rsidRPr="005677F5" w:rsidRDefault="00F02D39" w:rsidP="00F02D39">
      <w:r w:rsidRPr="005677F5">
        <w:rPr>
          <w:noProof/>
          <w:lang w:eastAsia="en-GB"/>
        </w:rPr>
        <mc:AlternateContent>
          <mc:Choice Requires="wps">
            <w:drawing>
              <wp:anchor distT="0" distB="0" distL="114300" distR="114300" simplePos="0" relativeHeight="251659264" behindDoc="0" locked="0" layoutInCell="1" allowOverlap="1" wp14:anchorId="7987B6A6" wp14:editId="6676ED1F">
                <wp:simplePos x="0" y="0"/>
                <wp:positionH relativeFrom="column">
                  <wp:posOffset>3968115</wp:posOffset>
                </wp:positionH>
                <wp:positionV relativeFrom="paragraph">
                  <wp:posOffset>868680</wp:posOffset>
                </wp:positionV>
                <wp:extent cx="1115695" cy="831215"/>
                <wp:effectExtent l="0" t="0" r="27305" b="26035"/>
                <wp:wrapNone/>
                <wp:docPr id="2" name="Text Box 2"/>
                <wp:cNvGraphicFramePr/>
                <a:graphic xmlns:a="http://schemas.openxmlformats.org/drawingml/2006/main">
                  <a:graphicData uri="http://schemas.microsoft.com/office/word/2010/wordprocessingShape">
                    <wps:wsp>
                      <wps:cNvSpPr txBox="1"/>
                      <wps:spPr>
                        <a:xfrm>
                          <a:off x="0" y="0"/>
                          <a:ext cx="1115695" cy="831215"/>
                        </a:xfrm>
                        <a:prstGeom prst="rect">
                          <a:avLst/>
                        </a:prstGeom>
                        <a:solidFill>
                          <a:sysClr val="window" lastClr="FFFFFF"/>
                        </a:solidFill>
                        <a:ln w="25400" cap="flat" cmpd="sng" algn="ctr">
                          <a:solidFill>
                            <a:srgbClr val="C0504D"/>
                          </a:solidFill>
                          <a:prstDash val="solid"/>
                        </a:ln>
                        <a:effectLst/>
                      </wps:spPr>
                      <wps:txbx>
                        <w:txbxContent>
                          <w:p w:rsidR="00F02D39" w:rsidRDefault="00F02D39" w:rsidP="00F02D39">
                            <w:r>
                              <w:t>Potentially less grant funding in real terms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87B6A6" id="Text Box 2" o:spid="_x0000_s1027" type="#_x0000_t202" style="position:absolute;margin-left:312.45pt;margin-top:68.4pt;width:87.85pt;height:65.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" fillcolor="window" strokecolor="#c0504d" strokeweight="2pt">
                <v:textbox>
                  <w:txbxContent>
                    <w:p w:rsidR="00F02D39" w:rsidRDefault="00F02D39" w:rsidP="00F02D39">
                      <w:r>
                        <w:t>Potentially less grant funding in real terms</w:t>
                      </w:r>
                    </w:p>
                  </w:txbxContent>
                </v:textbox>
              </v:shape>
            </w:pict>
          </mc:Fallback>
        </mc:AlternateContent>
      </w:r>
      <w:r w:rsidRPr="005677F5">
        <w:rPr>
          <w:noProof/>
          <w:lang w:eastAsia="en-GB"/>
        </w:rPr>
        <mc:AlternateContent>
          <mc:Choice Requires="wps">
            <w:drawing>
              <wp:anchor distT="0" distB="0" distL="114300" distR="114300" simplePos="0" relativeHeight="251660288" behindDoc="0" locked="0" layoutInCell="1" allowOverlap="1" wp14:anchorId="7B73B0F9" wp14:editId="2059442F">
                <wp:simplePos x="0" y="0"/>
                <wp:positionH relativeFrom="column">
                  <wp:posOffset>2923425</wp:posOffset>
                </wp:positionH>
                <wp:positionV relativeFrom="paragraph">
                  <wp:posOffset>2745294</wp:posOffset>
                </wp:positionV>
                <wp:extent cx="1436914" cy="617517"/>
                <wp:effectExtent l="0" t="0" r="11430" b="11430"/>
                <wp:wrapNone/>
                <wp:docPr id="3" name="Text Box 3"/>
                <wp:cNvGraphicFramePr/>
                <a:graphic xmlns:a="http://schemas.openxmlformats.org/drawingml/2006/main">
                  <a:graphicData uri="http://schemas.microsoft.com/office/word/2010/wordprocessingShape">
                    <wps:wsp>
                      <wps:cNvSpPr txBox="1"/>
                      <wps:spPr>
                        <a:xfrm>
                          <a:off x="0" y="0"/>
                          <a:ext cx="1436914" cy="617517"/>
                        </a:xfrm>
                        <a:prstGeom prst="rect">
                          <a:avLst/>
                        </a:prstGeom>
                        <a:solidFill>
                          <a:sysClr val="window" lastClr="FFFFFF"/>
                        </a:solidFill>
                        <a:ln w="25400" cap="flat" cmpd="sng" algn="ctr">
                          <a:solidFill>
                            <a:srgbClr val="C0504D"/>
                          </a:solidFill>
                          <a:prstDash val="solid"/>
                        </a:ln>
                        <a:effectLst/>
                      </wps:spPr>
                      <wps:txbx>
                        <w:txbxContent>
                          <w:p w:rsidR="00F02D39" w:rsidRDefault="00F02D39" w:rsidP="00F02D39">
                            <w:r>
                              <w:t>Less investment in staff and resources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73B0F9" id="Text Box 3" o:spid="_x0000_s1028" type="#_x0000_t202" style="position:absolute;margin-left:230.2pt;margin-top:216.15pt;width:113.15pt;height:48.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" fillcolor="window" strokecolor="#c0504d" strokeweight="2pt">
                <v:textbox>
                  <w:txbxContent>
                    <w:p w:rsidR="00F02D39" w:rsidRDefault="00F02D39" w:rsidP="00F02D39">
                      <w:r>
                        <w:t>Less investment in staff and resources</w:t>
                      </w:r>
                    </w:p>
                  </w:txbxContent>
                </v:textbox>
              </v:shape>
            </w:pict>
          </mc:Fallback>
        </mc:AlternateContent>
      </w:r>
      <w:r w:rsidRPr="005677F5">
        <w:rPr>
          <w:noProof/>
          <w:lang w:eastAsia="en-GB"/>
        </w:rPr>
        <w:drawing>
          <wp:inline distT="0" distB="0" distL="0" distR="0" wp14:anchorId="1B997F24" wp14:editId="6AAF472A">
            <wp:extent cx="5755640" cy="385826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5640" cy="3858260"/>
                    </a:xfrm>
                    <a:prstGeom prst="rect">
                      <a:avLst/>
                    </a:prstGeom>
                    <a:noFill/>
                    <a:ln>
                      <a:noFill/>
                    </a:ln>
                  </pic:spPr>
                </pic:pic>
              </a:graphicData>
            </a:graphic>
          </wp:inline>
        </w:drawing>
      </w:r>
    </w:p>
    <w:p w:rsidR="00F02D39" w:rsidRPr="005677F5" w:rsidRDefault="00F02D39" w:rsidP="00F02D39">
      <w:pPr>
        <w:rPr>
          <w:i/>
        </w:rPr>
      </w:pPr>
      <w:r w:rsidRPr="005677F5">
        <w:rPr>
          <w:i/>
        </w:rPr>
        <w:t xml:space="preserve">Figure </w:t>
      </w:r>
      <w:r>
        <w:rPr>
          <w:i/>
        </w:rPr>
        <w:t>5</w:t>
      </w:r>
      <w:r w:rsidRPr="005677F5">
        <w:rPr>
          <w:i/>
        </w:rPr>
        <w:t>: Risk impact and management grid: adapted from CIPS Brexit Health Check</w:t>
      </w:r>
    </w:p>
    <w:p w:rsidR="00F02D39" w:rsidRPr="005677F5" w:rsidRDefault="00F02D39" w:rsidP="00F02D39"/>
    <w:p w:rsidR="00F02D39" w:rsidRPr="005677F5" w:rsidRDefault="00F02D39" w:rsidP="00F02D39"/>
    <w:p w:rsidR="00F02D39" w:rsidRPr="005677F5" w:rsidRDefault="00F02D39" w:rsidP="00F02D39">
      <w:pPr>
        <w:spacing w:line="360" w:lineRule="auto"/>
      </w:pPr>
      <w:r w:rsidRPr="005677F5">
        <w:t xml:space="preserve">Funding is necessary for the provision of the service, although its origins within government face severe cuts and are likely to have to change (Wales Audit Office, 2016). The Audit Office found that local authority financial management must be </w:t>
      </w:r>
      <w:r w:rsidRPr="005677F5">
        <w:lastRenderedPageBreak/>
        <w:t>resilient in order to face the “</w:t>
      </w:r>
      <w:r w:rsidRPr="005677F5">
        <w:rPr>
          <w:i/>
        </w:rPr>
        <w:t>seismic</w:t>
      </w:r>
      <w:r w:rsidRPr="005677F5">
        <w:t xml:space="preserve">” changes that must be addressed in order to deliver their budget commitments; the finance received from the Welsh Government budget is decreased overall but aspects of the grant to local authorities remains the same (Welsh Government Budget, 2016). </w:t>
      </w:r>
    </w:p>
    <w:p w:rsidR="00F02D39" w:rsidRPr="005677F5" w:rsidRDefault="00F02D39" w:rsidP="00F02D39">
      <w:pPr>
        <w:spacing w:line="360" w:lineRule="auto"/>
      </w:pPr>
    </w:p>
    <w:p w:rsidR="00F02D39" w:rsidRPr="005677F5" w:rsidRDefault="00F02D39" w:rsidP="00F02D39">
      <w:pPr>
        <w:spacing w:line="360" w:lineRule="auto"/>
        <w:rPr>
          <w:color w:val="000000" w:themeColor="text1"/>
        </w:rPr>
      </w:pPr>
      <w:r w:rsidRPr="005677F5">
        <w:t xml:space="preserve">Raffel </w:t>
      </w:r>
      <w:r w:rsidRPr="005677F5">
        <w:rPr>
          <w:i/>
        </w:rPr>
        <w:t>et al</w:t>
      </w:r>
      <w:r w:rsidRPr="005677F5">
        <w:t xml:space="preserve"> (2009) have recognised and examined the theory of shortfall, and balance it with a rise in the shift from government responsibility for certain areas of work to a more dispersed responsibility in the third sector, in not for profit organisations. Any strategy for long term aims requires robustness in all aspects, yet the third sector when it undertakes statutory work, cannot raise funds by leverage due to its very nature.  Financial shortfall would adversely impact on the quality of staff, as described by Dobbs </w:t>
      </w:r>
      <w:r w:rsidRPr="005677F5">
        <w:rPr>
          <w:i/>
        </w:rPr>
        <w:t>et al</w:t>
      </w:r>
      <w:r w:rsidRPr="005677F5">
        <w:t xml:space="preserve"> (2016); the importance of expertise is </w:t>
      </w:r>
      <w:r w:rsidRPr="005677F5">
        <w:rPr>
          <w:color w:val="000000" w:themeColor="text1"/>
        </w:rPr>
        <w:t xml:space="preserve">recognised by Carnwell and Carson (in Carnwell and Buchanan, 2009), and by Macmillan (2013) in their assessments of partnership processes and collaboration between the third sector and government. Macmillan also quotes Salamon (1987) emphasising the importance of the growth of this relationship although it is generally overlooked in research analyses. A robust optimisation theory would be required to be developed and implemented to take the organisations forward sustainably, taking into account the growth of interdependence between third sector and state (Salomon, 1987). </w:t>
      </w:r>
    </w:p>
    <w:p w:rsidR="00F02D39" w:rsidRDefault="00F02D39" w:rsidP="00F02D39">
      <w:pPr>
        <w:spacing w:line="360" w:lineRule="auto"/>
        <w:rPr>
          <w:color w:val="000000" w:themeColor="text1"/>
        </w:rPr>
      </w:pPr>
    </w:p>
    <w:p w:rsidR="00F02D39" w:rsidRPr="00DE5915" w:rsidRDefault="00F02D39" w:rsidP="00F02D39">
      <w:pPr>
        <w:spacing w:line="360" w:lineRule="auto"/>
        <w:rPr>
          <w:i/>
        </w:rPr>
      </w:pPr>
      <w:r w:rsidRPr="00DE5915">
        <w:rPr>
          <w:i/>
        </w:rPr>
        <w:t xml:space="preserve">Topical Literature </w:t>
      </w:r>
    </w:p>
    <w:p w:rsidR="00F02D39" w:rsidRPr="005677F5" w:rsidRDefault="00F02D39" w:rsidP="00F02D39">
      <w:pPr>
        <w:spacing w:line="360" w:lineRule="auto"/>
      </w:pPr>
      <w:r w:rsidRPr="005677F5">
        <w:t xml:space="preserve">Academic articles analysing any aspect of this unusual provision by a third sector not for profit organisation are rare, and therefore a true strategic analysis of the situation is limited in this area: this study is the first to address this provision in the current Welsh context. Mainly dealing with an English perspective, which has a different system in implementing archaeological planning, there are only three journal articles that have some direct relevance (Wainwright, 1983, and Manley, 1987 and 1987). </w:t>
      </w:r>
      <w:r>
        <w:t>In evaluating the planning function in Wales, therefore, there are no current academic articles, theories or frameworks to consider.</w:t>
      </w:r>
    </w:p>
    <w:p w:rsidR="00F02D39" w:rsidRPr="005677F5" w:rsidRDefault="00F02D39" w:rsidP="00F02D39">
      <w:pPr>
        <w:spacing w:line="360" w:lineRule="auto"/>
      </w:pPr>
    </w:p>
    <w:p w:rsidR="00F02D39" w:rsidRPr="005677F5" w:rsidRDefault="00F02D39" w:rsidP="00F02D39">
      <w:pPr>
        <w:spacing w:line="360" w:lineRule="auto"/>
      </w:pPr>
      <w:r w:rsidRPr="005677F5">
        <w:t xml:space="preserve">Firstly, Wainwright (1983) in response to the pan-European Charter looked towards a hopeful heritage, managed not only by site, by country or by volunteers, but by a partnership that covers a thoughtful, focused long term management with clear goals that are achievable (strategy). It is useful to note that whilst Wainwright does refer to </w:t>
      </w:r>
      <w:r w:rsidRPr="005677F5">
        <w:lastRenderedPageBreak/>
        <w:t>Wales, this in the context of the legislatively conjoined “England and Wales” prior to the establishment of the Welsh Assembly and with more power the Welsh government. Wainwright (1983) does not refer to the differences of the Welsh system, and it can be argued that Manley (1987) although also pre-Welsh Government, does more to acknowledge the speciality of the Welsh arrangement. However, where Manley misses an opportunity is to look for analysis of the provision in the local government structure plans to protect archaeological remains. He is dismissive of the system in which he worked and quotes Hedges (1985) as supporting his belief that the WATs is “</w:t>
      </w:r>
      <w:r w:rsidRPr="005677F5">
        <w:rPr>
          <w:i/>
        </w:rPr>
        <w:t>too expensive</w:t>
      </w:r>
      <w:r w:rsidRPr="005677F5">
        <w:t>”. This is not supported in the current system, as there is no in-house local government expertise in archaeological planning, and it can be argued that this surmise was a false premise as it is based on an English system viewpoint.    Given the current situation in England with severe financial cutbacks (CIfA, 2017, and Hansard, 2</w:t>
      </w:r>
      <w:r>
        <w:t>01</w:t>
      </w:r>
      <w:r w:rsidRPr="005677F5">
        <w:t xml:space="preserve">7) the Welsh system still is delivering what it was established to do.      </w:t>
      </w:r>
    </w:p>
    <w:p w:rsidR="00F02D39" w:rsidRPr="005677F5" w:rsidRDefault="00F02D39" w:rsidP="00F02D39">
      <w:pPr>
        <w:spacing w:before="240" w:line="360" w:lineRule="auto"/>
      </w:pPr>
      <w:r w:rsidRPr="005677F5">
        <w:t xml:space="preserve">Of more modern date is Forrest (2010) which whilst being more concerned with the impact of damage, theft and war on tangible heritage, considers the variety of the meanings of heritage and looks at how it can be protected within the scope of international law and conventions. This is viewed from an international point of view, and it is also weighted towards physical site and artefact management and does not look at how protection is delivered. However, the reasoning behind this is topical to current affairs, and relevant in this study as the WATs have powers within the scope of the Treasure Act Code of Practice (DCMS, 2008) as local government archaeological officers.  Forrest does however ask a pertinent question when considering how to provide a regime to protect culture, which is essentially what archaeological planning in Wales is, when he queries what are we trying to protect, how and why are we attempt to do so?. The definitions are helpful in a legal sense, but against a prescription for a methodology for a sound delivery of protection for archaeology in the planning system, it is a reactive rather than proactive analysis and approach. </w:t>
      </w:r>
    </w:p>
    <w:p w:rsidR="00F02D39" w:rsidRPr="005677F5" w:rsidRDefault="00F02D39" w:rsidP="00F02D39">
      <w:pPr>
        <w:spacing w:line="360" w:lineRule="auto"/>
      </w:pPr>
    </w:p>
    <w:p w:rsidR="00F02D39" w:rsidRPr="005677F5" w:rsidRDefault="00F02D39" w:rsidP="00F02D39">
      <w:pPr>
        <w:spacing w:line="360" w:lineRule="auto"/>
        <w:rPr>
          <w:color w:val="000000" w:themeColor="text1"/>
        </w:rPr>
      </w:pPr>
      <w:r w:rsidRPr="005677F5">
        <w:t xml:space="preserve">The same issues are dealt with by other authors, especially Paterson and Karjala (2003) who have examined intangible areas and how they can be protected.  Neither they nor Forrest (2010) propose how this can be achieved, although they agree it </w:t>
      </w:r>
      <w:r w:rsidRPr="005677F5">
        <w:lastRenderedPageBreak/>
        <w:t>must have balance. This can be difficult to achieve and is recognised in Conservation Principles (Welsh Government, 2011</w:t>
      </w:r>
      <w:r w:rsidRPr="005677F5">
        <w:rPr>
          <w:color w:val="000000" w:themeColor="text1"/>
        </w:rPr>
        <w:t>). How this can be monitored and understood is partly explained in the Wales Audit Office document of 2016, where there is expansion of key strategies especially in aligned provision. The use of Key Performance Indicators (KPIs) is part of government audit metrics; however if the number of applications varies (approximately 15,000 for SE Wales), and there is up to five years to reapply, then unless individual applications is tracked, there cannot be a true audit figure for archaeological planning services.</w:t>
      </w:r>
    </w:p>
    <w:p w:rsidR="00F02D39" w:rsidRPr="005677F5" w:rsidRDefault="00F02D39" w:rsidP="00F02D39">
      <w:pPr>
        <w:spacing w:line="360" w:lineRule="auto"/>
        <w:rPr>
          <w:color w:val="FF0000"/>
        </w:rPr>
      </w:pPr>
    </w:p>
    <w:p w:rsidR="00F02D39" w:rsidRPr="005677F5" w:rsidRDefault="00F02D39" w:rsidP="00F02D39">
      <w:pPr>
        <w:spacing w:line="360" w:lineRule="auto"/>
        <w:rPr>
          <w:color w:val="000000" w:themeColor="text1"/>
        </w:rPr>
      </w:pPr>
      <w:r w:rsidRPr="005677F5">
        <w:rPr>
          <w:color w:val="000000" w:themeColor="text1"/>
        </w:rPr>
        <w:t>Van Assche and Duineveld (2013) make an analysis of heritage planning looking at Luhmann’s systems theory. A great deal of what is examined is relevant in some way to the WATs archaeological planning, although the terms van Assche and Duineveld use are much broader. It is helpful to define heritage planning, although their scope includes other specialisms such as art history, geography, anthropology and sociology. The reasoning for the inclusions can be understood as an input to broader planning and development; however, these other areas are not relevant to the Wales situation. The relationship of archaeology and planning is defined in the planning policies (Welsh Government, 2016); a seemingly unique relationship that does not exist elsewhere.</w:t>
      </w:r>
    </w:p>
    <w:p w:rsidR="00F02D39" w:rsidRPr="005677F5" w:rsidRDefault="00F02D39" w:rsidP="00F02D39">
      <w:pPr>
        <w:spacing w:line="360" w:lineRule="auto"/>
      </w:pPr>
    </w:p>
    <w:p w:rsidR="00F02D39" w:rsidRPr="005677F5" w:rsidRDefault="00F02D39" w:rsidP="00F02D39">
      <w:pPr>
        <w:spacing w:line="360" w:lineRule="auto"/>
      </w:pPr>
      <w:r w:rsidRPr="005677F5">
        <w:t xml:space="preserve">In </w:t>
      </w:r>
      <w:r>
        <w:t>summary</w:t>
      </w:r>
      <w:r w:rsidRPr="005677F5">
        <w:t>, having examined the available literature, what is relevant to the delivery in Wales by the WATs appears to be legislation and supporting guidance, and two articles, both of which pre-date the establishment of the Welsh Assembly and local government re-organisation in 1999 and 1996 respectively. The content of the latter in the current situation is not relevant to the relationships of the WATs and the Welsh Government, or to the WATs and local government, given that there is more alignment and collaborative working towards a pan-Wales system. Much literature is primarily international, and artefactually or site based. Academic theories whilst not targeted at archaeological planning allow understanding of relationships with stakeholders, patterns of management in third sector, and emphasise a basis for moving forward in aligned and collaborative strategic directions.</w:t>
      </w:r>
    </w:p>
    <w:p w:rsidR="00F02D39" w:rsidRPr="005677F5" w:rsidRDefault="00F02D39" w:rsidP="00F02D39">
      <w:pPr>
        <w:spacing w:line="360" w:lineRule="auto"/>
      </w:pPr>
    </w:p>
    <w:p w:rsidR="00F02D39" w:rsidRPr="005677F5" w:rsidRDefault="00F02D39" w:rsidP="00F02D39">
      <w:pPr>
        <w:spacing w:line="360" w:lineRule="auto"/>
      </w:pPr>
      <w:r w:rsidRPr="005677F5">
        <w:t xml:space="preserve">There is an inherent dichotomy between the hierarchical system that has provided the legislative basis for the undertaking of the service, and the delivery of the service </w:t>
      </w:r>
      <w:r w:rsidRPr="005677F5">
        <w:lastRenderedPageBreak/>
        <w:t xml:space="preserve">which increasingly requires agile, aligned and collaborative systems.  There appears to be a lack of research in understanding Welsh archaeological planning and its delivery, post The Heritage (Wales) Act and post Planning Policy Wales. This gap also appears in the metrics for feedback from the local planning authorities to Cadw, and from the WATs to the local planning authorities. </w:t>
      </w:r>
    </w:p>
    <w:p w:rsidR="00F02D39" w:rsidRPr="005677F5" w:rsidRDefault="00F02D39" w:rsidP="00F02D39">
      <w:pPr>
        <w:spacing w:line="360" w:lineRule="auto"/>
      </w:pPr>
    </w:p>
    <w:p w:rsidR="00F02D39" w:rsidRPr="005677F5" w:rsidRDefault="00F02D39" w:rsidP="00F02D39">
      <w:pPr>
        <w:spacing w:line="360" w:lineRule="auto"/>
      </w:pPr>
      <w:r w:rsidRPr="005677F5">
        <w:t>The legislation and policy show what must be delivered, and taken into consideration, the legal framework, which highlights an absence of methodology for delivery, and absence of funding and governance direction. The Heritage Act and supporting documents are cutting edge, and this analysis of Welsh archaeological planning is timely with the regional working and heritage review.</w:t>
      </w:r>
    </w:p>
    <w:p w:rsidR="00F02D39" w:rsidRDefault="00F02D39" w:rsidP="00F02D39">
      <w:pPr>
        <w:spacing w:line="360" w:lineRule="auto"/>
        <w:rPr>
          <w:b/>
          <w:i/>
          <w:color w:val="000000" w:themeColor="text1"/>
        </w:rPr>
      </w:pPr>
    </w:p>
    <w:p w:rsidR="00F02D39" w:rsidRPr="00DE5915" w:rsidRDefault="00F02D39" w:rsidP="00F02D39">
      <w:pPr>
        <w:spacing w:line="360" w:lineRule="auto"/>
        <w:rPr>
          <w:i/>
          <w:color w:val="000000" w:themeColor="text1"/>
        </w:rPr>
      </w:pPr>
      <w:r w:rsidRPr="00DE5915">
        <w:rPr>
          <w:i/>
          <w:color w:val="000000" w:themeColor="text1"/>
        </w:rPr>
        <w:t>Conclusions</w:t>
      </w:r>
    </w:p>
    <w:p w:rsidR="00F02D39" w:rsidRPr="005677F5" w:rsidRDefault="00F02D39" w:rsidP="00F02D39">
      <w:pPr>
        <w:spacing w:line="360" w:lineRule="auto"/>
      </w:pPr>
      <w:r w:rsidRPr="005677F5">
        <w:t>This chapter has reviewed all the appropriate and, as far as possible, up to date material; many theories and models are available for the individual areas of planning, policy analysis, governance, organisational change and other business sectors, although there is no specific area for archaeological planning in Wales. It has highlighted a gap in our knowledge which this study will address.</w:t>
      </w:r>
    </w:p>
    <w:p w:rsidR="00F02D39" w:rsidRPr="005677F5" w:rsidRDefault="00F02D39" w:rsidP="00F02D39">
      <w:pPr>
        <w:spacing w:line="360" w:lineRule="auto"/>
      </w:pPr>
    </w:p>
    <w:p w:rsidR="00F02D39" w:rsidRPr="005677F5" w:rsidRDefault="00F02D39" w:rsidP="00F02D39">
      <w:pPr>
        <w:spacing w:line="360" w:lineRule="auto"/>
      </w:pPr>
      <w:r w:rsidRPr="005677F5">
        <w:t>The next chapter explains the methods that will be used to address this by means of undertaking a mixed methods survey, by quantitative online questionnaire and qualitative targeted email interviews.</w:t>
      </w:r>
    </w:p>
    <w:p w:rsidR="00F02D39" w:rsidRPr="005677F5" w:rsidRDefault="00F02D39" w:rsidP="00F02D39">
      <w:pPr>
        <w:spacing w:line="360" w:lineRule="auto"/>
      </w:pPr>
    </w:p>
    <w:p w:rsidR="00732E06" w:rsidRDefault="00F02D39" w:rsidP="00F02D39">
      <w:r w:rsidRPr="005677F5">
        <w:rPr>
          <w:rFonts w:eastAsia="Times New Roman" w:cs="Arial"/>
          <w:b/>
          <w:i/>
          <w:szCs w:val="24"/>
          <w:lang w:eastAsia="en-GB"/>
        </w:rPr>
        <w:br w:type="page"/>
      </w:r>
      <w:bookmarkStart w:id="0" w:name="_GoBack"/>
      <w:bookmarkEnd w:id="0"/>
    </w:p>
    <w:sectPr w:rsidR="00732E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245" w:rsidRDefault="00CD4245" w:rsidP="00F02D39">
      <w:r>
        <w:separator/>
      </w:r>
    </w:p>
  </w:endnote>
  <w:endnote w:type="continuationSeparator" w:id="0">
    <w:p w:rsidR="00CD4245" w:rsidRDefault="00CD4245" w:rsidP="00F02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245" w:rsidRDefault="00CD4245" w:rsidP="00F02D39">
      <w:r>
        <w:separator/>
      </w:r>
    </w:p>
  </w:footnote>
  <w:footnote w:type="continuationSeparator" w:id="0">
    <w:p w:rsidR="00CD4245" w:rsidRDefault="00CD4245" w:rsidP="00F02D39">
      <w:r>
        <w:continuationSeparator/>
      </w:r>
    </w:p>
  </w:footnote>
  <w:footnote w:id="1">
    <w:p w:rsidR="00F02D39" w:rsidRDefault="00F02D39" w:rsidP="00F02D39">
      <w:pPr>
        <w:pStyle w:val="FootnoteText"/>
      </w:pPr>
      <w:r>
        <w:rPr>
          <w:rStyle w:val="FootnoteReference"/>
        </w:rPr>
        <w:footnoteRef/>
      </w:r>
      <w:r>
        <w:t xml:space="preserve"> Wales Council for Voluntary Action: the national membership organisation for the third sector in Wales.</w:t>
      </w:r>
    </w:p>
  </w:footnote>
  <w:footnote w:id="2">
    <w:p w:rsidR="00F02D39" w:rsidRDefault="00F02D39" w:rsidP="00F02D39">
      <w:pPr>
        <w:pStyle w:val="FootnoteText"/>
      </w:pPr>
      <w:r>
        <w:rPr>
          <w:rStyle w:val="FootnoteReference"/>
        </w:rPr>
        <w:footnoteRef/>
      </w:r>
      <w:r>
        <w:t xml:space="preserve"> Chartered Institute for Archaeologists: the leading professional body representing archaeologists working in the UK and overseas.</w:t>
      </w:r>
    </w:p>
  </w:footnote>
  <w:footnote w:id="3">
    <w:p w:rsidR="00F02D39" w:rsidRDefault="00F02D39" w:rsidP="00F02D39">
      <w:pPr>
        <w:pStyle w:val="FootnoteText"/>
      </w:pPr>
      <w:r>
        <w:rPr>
          <w:rStyle w:val="FootnoteReference"/>
        </w:rPr>
        <w:footnoteRef/>
      </w:r>
      <w:r>
        <w:t xml:space="preserve"> Registered Organisation: CIfA's Registered Organisation scheme is a unique quality assurance scheme. There is no equivalent in the historic environment. It is a ‘kite mark’ of commitment to professional standards and competence (</w:t>
      </w:r>
      <w:r w:rsidRPr="009551C4">
        <w:t>http://www.archaeologists.net/regulation/organisations</w:t>
      </w:r>
      <w:r>
        <w:t>).</w:t>
      </w:r>
    </w:p>
  </w:footnote>
  <w:footnote w:id="4">
    <w:p w:rsidR="00F02D39" w:rsidRDefault="00F02D39" w:rsidP="00F02D39">
      <w:pPr>
        <w:pStyle w:val="FootnoteText"/>
      </w:pPr>
      <w:r>
        <w:rPr>
          <w:rStyle w:val="FootnoteReference"/>
        </w:rPr>
        <w:footnoteRef/>
      </w:r>
      <w:r>
        <w:t xml:space="preserve"> Association of Local Government Archaeological Officers: provides a forum representing archaeologists working for local authorities and national parks throughout the UK.</w:t>
      </w:r>
      <w:r w:rsidRPr="00490E46">
        <w:t xml:space="preserve"> http://www.algao.org.uk/</w:t>
      </w:r>
    </w:p>
  </w:footnote>
  <w:footnote w:id="5">
    <w:p w:rsidR="00F02D39" w:rsidRDefault="00F02D39" w:rsidP="00F02D39">
      <w:pPr>
        <w:pStyle w:val="FootnoteText"/>
      </w:pPr>
      <w:r>
        <w:rPr>
          <w:rStyle w:val="FootnoteReference"/>
        </w:rPr>
        <w:footnoteRef/>
      </w:r>
      <w:r>
        <w:t xml:space="preserve"> Many major cities in England and Wales had their Medieval and early post-Medieval narrow streets, buildings, bridges and layouts demolished and removed due to the pressure of access for modern traffic and the need for updated safety and services in buildings.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2A37A4"/>
    <w:multiLevelType w:val="hybridMultilevel"/>
    <w:tmpl w:val="9BFCB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2F548F"/>
    <w:multiLevelType w:val="hybridMultilevel"/>
    <w:tmpl w:val="BB646B3C"/>
    <w:lvl w:ilvl="0" w:tplc="210A00D2">
      <w:start w:val="1"/>
      <w:numFmt w:val="decimal"/>
      <w:lvlText w:val="%1."/>
      <w:lvlJc w:val="left"/>
      <w:pPr>
        <w:ind w:left="420" w:hanging="360"/>
      </w:pPr>
      <w:rPr>
        <w:rFonts w:hint="default"/>
        <w:b/>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D39"/>
    <w:rsid w:val="00000199"/>
    <w:rsid w:val="00004B38"/>
    <w:rsid w:val="00010A3F"/>
    <w:rsid w:val="000153BF"/>
    <w:rsid w:val="00050D8D"/>
    <w:rsid w:val="00054434"/>
    <w:rsid w:val="00060CD2"/>
    <w:rsid w:val="00065EF3"/>
    <w:rsid w:val="00077AC8"/>
    <w:rsid w:val="000B1EA9"/>
    <w:rsid w:val="000C5A7D"/>
    <w:rsid w:val="000E0110"/>
    <w:rsid w:val="0012056A"/>
    <w:rsid w:val="00124C80"/>
    <w:rsid w:val="0013188A"/>
    <w:rsid w:val="00167A5B"/>
    <w:rsid w:val="0017412A"/>
    <w:rsid w:val="0018229F"/>
    <w:rsid w:val="00183A6F"/>
    <w:rsid w:val="0018757B"/>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2F2A18"/>
    <w:rsid w:val="00310A9B"/>
    <w:rsid w:val="0032075F"/>
    <w:rsid w:val="00322164"/>
    <w:rsid w:val="003261AB"/>
    <w:rsid w:val="003672B1"/>
    <w:rsid w:val="003A38E5"/>
    <w:rsid w:val="003B7874"/>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D4245"/>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241F"/>
    <w:rsid w:val="00EC4F83"/>
    <w:rsid w:val="00EF02D8"/>
    <w:rsid w:val="00EF0955"/>
    <w:rsid w:val="00F02D39"/>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D52C02-083B-4ECB-BB6A-BB8634DC9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D39"/>
    <w:pPr>
      <w:spacing w:after="0"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02D39"/>
    <w:rPr>
      <w:sz w:val="20"/>
      <w:szCs w:val="20"/>
    </w:rPr>
  </w:style>
  <w:style w:type="character" w:customStyle="1" w:styleId="FootnoteTextChar">
    <w:name w:val="Footnote Text Char"/>
    <w:basedOn w:val="DefaultParagraphFont"/>
    <w:link w:val="FootnoteText"/>
    <w:uiPriority w:val="99"/>
    <w:semiHidden/>
    <w:rsid w:val="00F02D39"/>
    <w:rPr>
      <w:rFonts w:ascii="Arial" w:hAnsi="Arial"/>
      <w:sz w:val="20"/>
      <w:szCs w:val="20"/>
    </w:rPr>
  </w:style>
  <w:style w:type="character" w:styleId="FootnoteReference">
    <w:name w:val="footnote reference"/>
    <w:basedOn w:val="DefaultParagraphFont"/>
    <w:uiPriority w:val="99"/>
    <w:semiHidden/>
    <w:unhideWhenUsed/>
    <w:rsid w:val="00F02D39"/>
    <w:rPr>
      <w:vertAlign w:val="superscript"/>
    </w:rPr>
  </w:style>
  <w:style w:type="table" w:customStyle="1" w:styleId="LightShading-Accent11">
    <w:name w:val="Light Shading - Accent 11"/>
    <w:basedOn w:val="TableNormal"/>
    <w:next w:val="LightShading-Accent1"/>
    <w:uiPriority w:val="60"/>
    <w:rsid w:val="00F02D39"/>
    <w:pPr>
      <w:spacing w:after="0" w:line="240" w:lineRule="auto"/>
    </w:pPr>
    <w:rPr>
      <w:rFonts w:ascii="Arial" w:hAnsi="Arial"/>
      <w:color w:val="2E74B5" w:themeColor="accent1" w:themeShade="BF"/>
      <w:sz w:val="24"/>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eGrid11">
    <w:name w:val="Table Grid11"/>
    <w:basedOn w:val="TableNormal"/>
    <w:next w:val="TableGrid"/>
    <w:uiPriority w:val="59"/>
    <w:rsid w:val="00F02D39"/>
    <w:pPr>
      <w:spacing w:after="0" w:line="240" w:lineRule="auto"/>
    </w:pPr>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semiHidden/>
    <w:unhideWhenUsed/>
    <w:rsid w:val="00F02D39"/>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TableGrid">
    <w:name w:val="Table Grid"/>
    <w:basedOn w:val="TableNormal"/>
    <w:uiPriority w:val="39"/>
    <w:rsid w:val="00F02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wmf"/><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4D46E9-B9E4-4418-826F-43D07F42C4AF}" type="doc">
      <dgm:prSet loTypeId="urn:microsoft.com/office/officeart/2005/8/layout/hierarchy6" loCatId="hierarchy" qsTypeId="urn:microsoft.com/office/officeart/2005/8/quickstyle/simple1" qsCatId="simple" csTypeId="urn:microsoft.com/office/officeart/2005/8/colors/accent1_2" csCatId="accent1" phldr="1"/>
      <dgm:spPr/>
      <dgm:t>
        <a:bodyPr/>
        <a:lstStyle/>
        <a:p>
          <a:endParaRPr lang="en-GB"/>
        </a:p>
      </dgm:t>
    </dgm:pt>
    <dgm:pt modelId="{D06C849E-8605-4335-A7DB-B1BC32948E1C}">
      <dgm:prSet phldrT="[Text]"/>
      <dgm:spPr>
        <a:xfrm>
          <a:off x="3581358" y="329132"/>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Board of Trustees via Chief Executive Officer</a:t>
          </a:r>
        </a:p>
      </dgm:t>
    </dgm:pt>
    <dgm:pt modelId="{CE6DA68F-2588-4B68-A00F-433B3623829C}" type="parTrans" cxnId="{22B735A0-CFB7-44FD-9245-D9C717D70385}">
      <dgm:prSet/>
      <dgm:spPr/>
      <dgm:t>
        <a:bodyPr/>
        <a:lstStyle/>
        <a:p>
          <a:endParaRPr lang="en-GB"/>
        </a:p>
      </dgm:t>
    </dgm:pt>
    <dgm:pt modelId="{6FE9E630-A999-4E9B-A432-61D69175ED4C}" type="sibTrans" cxnId="{22B735A0-CFB7-44FD-9245-D9C717D70385}">
      <dgm:prSet/>
      <dgm:spPr/>
      <dgm:t>
        <a:bodyPr/>
        <a:lstStyle/>
        <a:p>
          <a:endParaRPr lang="en-GB"/>
        </a:p>
      </dgm:t>
    </dgm:pt>
    <dgm:pt modelId="{D0EA0E87-45EE-4A39-AEE8-998CFC8DF4E9}">
      <dgm:prSet phldrT="[Text]"/>
      <dgm:spPr>
        <a:xfrm>
          <a:off x="2604326" y="1030591"/>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Advisory</a:t>
          </a:r>
        </a:p>
      </dgm:t>
    </dgm:pt>
    <dgm:pt modelId="{6AB067A0-4561-4668-9D9B-DCE850B630BF}" type="parTrans" cxnId="{90CE7540-BFE4-4E3A-BE17-4EA57A0BE7F9}">
      <dgm:prSet/>
      <dgm:spPr>
        <a:xfrm>
          <a:off x="2980107" y="830174"/>
          <a:ext cx="977032" cy="200416"/>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46A152DA-9539-4B64-9C1D-75EC8207F38A}" type="sibTrans" cxnId="{90CE7540-BFE4-4E3A-BE17-4EA57A0BE7F9}">
      <dgm:prSet/>
      <dgm:spPr/>
      <dgm:t>
        <a:bodyPr/>
        <a:lstStyle/>
        <a:p>
          <a:endParaRPr lang="en-GB"/>
        </a:p>
      </dgm:t>
    </dgm:pt>
    <dgm:pt modelId="{C5100B21-B9C6-4AF4-A4D7-1DA5139605E7}">
      <dgm:prSet phldrT="[Text]"/>
      <dgm:spPr>
        <a:xfrm>
          <a:off x="1627293" y="1738964"/>
          <a:ext cx="751563" cy="501042"/>
        </a:xfrm>
        <a:solidFill>
          <a:srgbClr val="C0504D">
            <a:lumMod val="7500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Archaeological Planning</a:t>
          </a:r>
        </a:p>
      </dgm:t>
    </dgm:pt>
    <dgm:pt modelId="{7CCDE0F6-CA62-48AF-A8C0-0F1571C0DE34}" type="parTrans" cxnId="{9725B10A-84AB-4302-BB42-333575476BDE}">
      <dgm:prSet/>
      <dgm:spPr>
        <a:xfrm>
          <a:off x="2003075" y="1531633"/>
          <a:ext cx="977032" cy="207331"/>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9C4AD8BA-9897-4C9A-B48C-64E84A05A06F}" type="sibTrans" cxnId="{9725B10A-84AB-4302-BB42-333575476BDE}">
      <dgm:prSet/>
      <dgm:spPr/>
      <dgm:t>
        <a:bodyPr/>
        <a:lstStyle/>
        <a:p>
          <a:endParaRPr lang="en-GB"/>
        </a:p>
      </dgm:t>
    </dgm:pt>
    <dgm:pt modelId="{9025A5DE-C7C7-4D69-9CD9-3D5F538E9397}">
      <dgm:prSet phldrT="[Text]"/>
      <dgm:spPr>
        <a:xfrm>
          <a:off x="2604326" y="1732050"/>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Heritage Managment and Outreach/Education</a:t>
          </a:r>
        </a:p>
      </dgm:t>
    </dgm:pt>
    <dgm:pt modelId="{1084F477-30D5-42E7-907B-B25EE2CB4622}" type="parTrans" cxnId="{2934F94D-A472-4270-B588-1D36F818686E}">
      <dgm:prSet/>
      <dgm:spPr>
        <a:xfrm>
          <a:off x="2934387" y="1531633"/>
          <a:ext cx="91440" cy="200416"/>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CFA85ABE-480F-4046-9C9E-08F0657F95FA}" type="sibTrans" cxnId="{2934F94D-A472-4270-B588-1D36F818686E}">
      <dgm:prSet/>
      <dgm:spPr/>
      <dgm:t>
        <a:bodyPr/>
        <a:lstStyle/>
        <a:p>
          <a:endParaRPr lang="en-GB"/>
        </a:p>
      </dgm:t>
    </dgm:pt>
    <dgm:pt modelId="{B413BDB7-C23B-4D77-B010-CF3CC709630E}">
      <dgm:prSet phldrT="[Text]"/>
      <dgm:spPr>
        <a:xfrm>
          <a:off x="4558390" y="1030591"/>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Practitioner</a:t>
          </a:r>
        </a:p>
      </dgm:t>
    </dgm:pt>
    <dgm:pt modelId="{20F6ECE6-9BED-44AE-9B02-3B09003D5EEB}" type="parTrans" cxnId="{34CB6554-E0FF-4306-B01C-262947C00E77}">
      <dgm:prSet/>
      <dgm:spPr>
        <a:xfrm>
          <a:off x="3957140" y="830174"/>
          <a:ext cx="977032" cy="200416"/>
        </a:xfrm>
        <a:noFill/>
        <a:ln w="25400" cap="flat" cmpd="sng" algn="ctr">
          <a:solidFill>
            <a:srgbClr val="4F81BD">
              <a:shade val="60000"/>
              <a:hueOff val="0"/>
              <a:satOff val="0"/>
              <a:lumOff val="0"/>
              <a:alphaOff val="0"/>
            </a:srgbClr>
          </a:solidFill>
          <a:prstDash val="solid"/>
        </a:ln>
        <a:effectLst/>
      </dgm:spPr>
      <dgm:t>
        <a:bodyPr/>
        <a:lstStyle/>
        <a:p>
          <a:endParaRPr lang="en-GB"/>
        </a:p>
      </dgm:t>
    </dgm:pt>
    <dgm:pt modelId="{66A22AB1-7859-4507-88A9-7CA48D2E6793}" type="sibTrans" cxnId="{34CB6554-E0FF-4306-B01C-262947C00E77}">
      <dgm:prSet/>
      <dgm:spPr/>
      <dgm:t>
        <a:bodyPr/>
        <a:lstStyle/>
        <a:p>
          <a:endParaRPr lang="en-GB"/>
        </a:p>
      </dgm:t>
    </dgm:pt>
    <dgm:pt modelId="{8179CDF0-F33A-4E70-B13D-7AC1476C5001}">
      <dgm:prSet phldrT="[Text]"/>
      <dgm:spPr>
        <a:xfrm>
          <a:off x="4558390" y="1732050"/>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Field Staff</a:t>
          </a:r>
        </a:p>
      </dgm:t>
    </dgm:pt>
    <dgm:pt modelId="{CF2ECAF2-6B03-4BEF-A194-D5FE5BDD3668}" type="parTrans" cxnId="{CB94005D-87EB-43C6-A67A-E176E60ECFC8}">
      <dgm:prSet/>
      <dgm:spPr>
        <a:xfrm>
          <a:off x="4888452" y="1531633"/>
          <a:ext cx="91440" cy="200416"/>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28FCDED4-E723-4732-B1C5-00CCE53715D4}" type="sibTrans" cxnId="{CB94005D-87EB-43C6-A67A-E176E60ECFC8}">
      <dgm:prSet/>
      <dgm:spPr/>
      <dgm:t>
        <a:bodyPr/>
        <a:lstStyle/>
        <a:p>
          <a:endParaRPr lang="en-GB"/>
        </a:p>
      </dgm:t>
    </dgm:pt>
    <dgm:pt modelId="{E9B87071-B31F-4C3F-8809-D39BE609B7FC}">
      <dgm:prSet phldrT="[Text]"/>
      <dgm:spPr>
        <a:xfrm>
          <a:off x="0" y="279027"/>
          <a:ext cx="5419725" cy="601250"/>
        </a:xfrm>
        <a:solidFill>
          <a:srgbClr val="4F81BD">
            <a:tint val="40000"/>
            <a:hueOff val="0"/>
            <a:satOff val="0"/>
            <a:lumOff val="0"/>
            <a:alphaOff val="0"/>
          </a:srgbClr>
        </a:solidFill>
        <a:ln>
          <a:noFill/>
        </a:ln>
        <a:effectLst/>
      </dgm:spPr>
      <dgm:t>
        <a:bodyPr/>
        <a:lstStyle/>
        <a:p>
          <a:r>
            <a:rPr lang="en-GB">
              <a:solidFill>
                <a:sysClr val="windowText" lastClr="000000">
                  <a:hueOff val="0"/>
                  <a:satOff val="0"/>
                  <a:lumOff val="0"/>
                  <a:alphaOff val="0"/>
                </a:sysClr>
              </a:solidFill>
              <a:latin typeface="Calibri"/>
              <a:ea typeface="+mn-ea"/>
              <a:cs typeface="+mn-cs"/>
            </a:rPr>
            <a:t>Policy Fed From Welsh Government, via Local Government</a:t>
          </a:r>
        </a:p>
      </dgm:t>
    </dgm:pt>
    <dgm:pt modelId="{CAF94ADD-2D0E-42C6-AAE1-856B95B2FAE2}" type="parTrans" cxnId="{7FD12AD5-E44C-49AD-8EC5-7EE95C3A1E54}">
      <dgm:prSet/>
      <dgm:spPr/>
      <dgm:t>
        <a:bodyPr/>
        <a:lstStyle/>
        <a:p>
          <a:endParaRPr lang="en-GB"/>
        </a:p>
      </dgm:t>
    </dgm:pt>
    <dgm:pt modelId="{C61C9118-5440-4141-BDDE-F84B560FC879}" type="sibTrans" cxnId="{7FD12AD5-E44C-49AD-8EC5-7EE95C3A1E54}">
      <dgm:prSet/>
      <dgm:spPr/>
      <dgm:t>
        <a:bodyPr/>
        <a:lstStyle/>
        <a:p>
          <a:endParaRPr lang="en-GB"/>
        </a:p>
      </dgm:t>
    </dgm:pt>
    <dgm:pt modelId="{0E6354F5-5C4A-49B4-A7F1-78A83C469007}">
      <dgm:prSet phldrT="[Text]"/>
      <dgm:spPr>
        <a:xfrm>
          <a:off x="0" y="980487"/>
          <a:ext cx="5419725" cy="601250"/>
        </a:xfrm>
        <a:solidFill>
          <a:srgbClr val="4F81BD">
            <a:tint val="40000"/>
            <a:hueOff val="0"/>
            <a:satOff val="0"/>
            <a:lumOff val="0"/>
            <a:alphaOff val="0"/>
          </a:srgbClr>
        </a:solidFill>
        <a:ln>
          <a:noFill/>
        </a:ln>
        <a:effectLst/>
      </dgm:spPr>
      <dgm:t>
        <a:bodyPr/>
        <a:lstStyle/>
        <a:p>
          <a:r>
            <a:rPr lang="en-GB">
              <a:solidFill>
                <a:sysClr val="windowText" lastClr="000000">
                  <a:hueOff val="0"/>
                  <a:satOff val="0"/>
                  <a:lumOff val="0"/>
                  <a:alphaOff val="0"/>
                </a:sysClr>
              </a:solidFill>
              <a:latin typeface="Calibri"/>
              <a:ea typeface="+mn-ea"/>
              <a:cs typeface="+mn-cs"/>
            </a:rPr>
            <a:t>Two Distinct Spheres of Operation</a:t>
          </a:r>
        </a:p>
      </dgm:t>
    </dgm:pt>
    <dgm:pt modelId="{44F0B050-D576-48C9-888F-0D636327C30C}" type="parTrans" cxnId="{B53AF3BC-A49F-4808-94A1-50A959C50787}">
      <dgm:prSet/>
      <dgm:spPr/>
      <dgm:t>
        <a:bodyPr/>
        <a:lstStyle/>
        <a:p>
          <a:endParaRPr lang="en-GB"/>
        </a:p>
      </dgm:t>
    </dgm:pt>
    <dgm:pt modelId="{E65B8FC6-B8D6-43C3-8FF2-77FEB7E0AEBD}" type="sibTrans" cxnId="{B53AF3BC-A49F-4808-94A1-50A959C50787}">
      <dgm:prSet/>
      <dgm:spPr/>
      <dgm:t>
        <a:bodyPr/>
        <a:lstStyle/>
        <a:p>
          <a:endParaRPr lang="en-GB"/>
        </a:p>
      </dgm:t>
    </dgm:pt>
    <dgm:pt modelId="{B97609F8-CAA7-4413-A54D-3477931CD31B}">
      <dgm:prSet phldrT="[Text]"/>
      <dgm:spPr>
        <a:xfrm>
          <a:off x="0" y="1681946"/>
          <a:ext cx="5419725" cy="601250"/>
        </a:xfrm>
        <a:solidFill>
          <a:srgbClr val="4F81BD">
            <a:tint val="40000"/>
            <a:hueOff val="0"/>
            <a:satOff val="0"/>
            <a:lumOff val="0"/>
            <a:alphaOff val="0"/>
          </a:srgbClr>
        </a:solidFill>
        <a:ln>
          <a:noFill/>
        </a:ln>
        <a:effectLst/>
      </dgm:spPr>
      <dgm:t>
        <a:bodyPr/>
        <a:lstStyle/>
        <a:p>
          <a:r>
            <a:rPr lang="en-GB">
              <a:solidFill>
                <a:sysClr val="windowText" lastClr="000000">
                  <a:hueOff val="0"/>
                  <a:satOff val="0"/>
                  <a:lumOff val="0"/>
                  <a:alphaOff val="0"/>
                </a:sysClr>
              </a:solidFill>
              <a:latin typeface="Calibri"/>
              <a:ea typeface="+mn-ea"/>
              <a:cs typeface="+mn-cs"/>
            </a:rPr>
            <a:t>Archaeological Planning is the only "Ring Fenced" section of the Trust </a:t>
          </a:r>
        </a:p>
      </dgm:t>
    </dgm:pt>
    <dgm:pt modelId="{BDE58072-6F42-4CC6-8EC3-6E2A9790D6BA}" type="parTrans" cxnId="{39C2DDF0-2694-4283-BDB7-2D403307D0C7}">
      <dgm:prSet/>
      <dgm:spPr/>
      <dgm:t>
        <a:bodyPr/>
        <a:lstStyle/>
        <a:p>
          <a:endParaRPr lang="en-GB"/>
        </a:p>
      </dgm:t>
    </dgm:pt>
    <dgm:pt modelId="{34B3FD73-17CF-4F91-954A-F0FEF47EF2B1}" type="sibTrans" cxnId="{39C2DDF0-2694-4283-BDB7-2D403307D0C7}">
      <dgm:prSet/>
      <dgm:spPr/>
      <dgm:t>
        <a:bodyPr/>
        <a:lstStyle/>
        <a:p>
          <a:endParaRPr lang="en-GB"/>
        </a:p>
      </dgm:t>
    </dgm:pt>
    <dgm:pt modelId="{88266A85-59AF-4901-85A3-5B8E960EB5C4}">
      <dgm:prSet/>
      <dgm:spPr>
        <a:xfrm>
          <a:off x="3581358" y="1732050"/>
          <a:ext cx="751563" cy="501042"/>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Calibri"/>
              <a:ea typeface="+mn-ea"/>
              <a:cs typeface="+mn-cs"/>
            </a:rPr>
            <a:t>Historic Environment Record </a:t>
          </a:r>
        </a:p>
      </dgm:t>
    </dgm:pt>
    <dgm:pt modelId="{F93ADAEC-BE4D-4D4B-A85D-340E81BC173C}" type="parTrans" cxnId="{D91D9343-1980-4776-B4AA-DE8C5B68877B}">
      <dgm:prSet/>
      <dgm:spPr>
        <a:xfrm>
          <a:off x="2980107" y="1531633"/>
          <a:ext cx="977032" cy="200416"/>
        </a:xfrm>
        <a:noFill/>
        <a:ln w="25400" cap="flat" cmpd="sng" algn="ctr">
          <a:solidFill>
            <a:srgbClr val="4F81BD">
              <a:shade val="80000"/>
              <a:hueOff val="0"/>
              <a:satOff val="0"/>
              <a:lumOff val="0"/>
              <a:alphaOff val="0"/>
            </a:srgbClr>
          </a:solidFill>
          <a:prstDash val="solid"/>
        </a:ln>
        <a:effectLst/>
      </dgm:spPr>
      <dgm:t>
        <a:bodyPr/>
        <a:lstStyle/>
        <a:p>
          <a:endParaRPr lang="en-GB"/>
        </a:p>
      </dgm:t>
    </dgm:pt>
    <dgm:pt modelId="{6B13B453-165C-4DF2-8663-89C3D82713F4}" type="sibTrans" cxnId="{D91D9343-1980-4776-B4AA-DE8C5B68877B}">
      <dgm:prSet/>
      <dgm:spPr/>
      <dgm:t>
        <a:bodyPr/>
        <a:lstStyle/>
        <a:p>
          <a:endParaRPr lang="en-GB"/>
        </a:p>
      </dgm:t>
    </dgm:pt>
    <dgm:pt modelId="{CE9AA32A-1584-4443-B0C5-7095732FF583}" type="pres">
      <dgm:prSet presAssocID="{BB4D46E9-B9E4-4418-826F-43D07F42C4AF}" presName="mainComposite" presStyleCnt="0">
        <dgm:presLayoutVars>
          <dgm:chPref val="1"/>
          <dgm:dir/>
          <dgm:animOne val="branch"/>
          <dgm:animLvl val="lvl"/>
          <dgm:resizeHandles val="exact"/>
        </dgm:presLayoutVars>
      </dgm:prSet>
      <dgm:spPr/>
      <dgm:t>
        <a:bodyPr/>
        <a:lstStyle/>
        <a:p>
          <a:endParaRPr lang="en-GB"/>
        </a:p>
      </dgm:t>
    </dgm:pt>
    <dgm:pt modelId="{A7F086D6-5A0A-4B1F-B365-4776976E443A}" type="pres">
      <dgm:prSet presAssocID="{BB4D46E9-B9E4-4418-826F-43D07F42C4AF}" presName="hierFlow" presStyleCnt="0"/>
      <dgm:spPr/>
    </dgm:pt>
    <dgm:pt modelId="{C1686B3C-22F7-47CD-9255-E0CE05BF96DD}" type="pres">
      <dgm:prSet presAssocID="{BB4D46E9-B9E4-4418-826F-43D07F42C4AF}" presName="firstBuf" presStyleCnt="0"/>
      <dgm:spPr/>
    </dgm:pt>
    <dgm:pt modelId="{4D41B96C-1894-4889-8039-20F1ACA73C42}" type="pres">
      <dgm:prSet presAssocID="{BB4D46E9-B9E4-4418-826F-43D07F42C4AF}" presName="hierChild1" presStyleCnt="0">
        <dgm:presLayoutVars>
          <dgm:chPref val="1"/>
          <dgm:animOne val="branch"/>
          <dgm:animLvl val="lvl"/>
        </dgm:presLayoutVars>
      </dgm:prSet>
      <dgm:spPr/>
    </dgm:pt>
    <dgm:pt modelId="{F00C8A72-DF11-4593-B283-B3B41218D771}" type="pres">
      <dgm:prSet presAssocID="{D06C849E-8605-4335-A7DB-B1BC32948E1C}" presName="Name14" presStyleCnt="0"/>
      <dgm:spPr/>
    </dgm:pt>
    <dgm:pt modelId="{622DF492-5CBB-4659-9A9E-97C0A6CBBE91}" type="pres">
      <dgm:prSet presAssocID="{D06C849E-8605-4335-A7DB-B1BC32948E1C}" presName="level1Shape" presStyleLbl="node0" presStyleIdx="0" presStyleCnt="1">
        <dgm:presLayoutVars>
          <dgm:chPref val="3"/>
        </dgm:presLayoutVars>
      </dgm:prSet>
      <dgm:spPr>
        <a:prstGeom prst="roundRect">
          <a:avLst>
            <a:gd name="adj" fmla="val 10000"/>
          </a:avLst>
        </a:prstGeom>
      </dgm:spPr>
      <dgm:t>
        <a:bodyPr/>
        <a:lstStyle/>
        <a:p>
          <a:endParaRPr lang="en-GB"/>
        </a:p>
      </dgm:t>
    </dgm:pt>
    <dgm:pt modelId="{3DD6D4BA-1AB9-4FD6-AAC8-07F7F86F9465}" type="pres">
      <dgm:prSet presAssocID="{D06C849E-8605-4335-A7DB-B1BC32948E1C}" presName="hierChild2" presStyleCnt="0"/>
      <dgm:spPr/>
    </dgm:pt>
    <dgm:pt modelId="{2BE39914-ECF4-4738-8F93-AC2BD9B8C8C4}" type="pres">
      <dgm:prSet presAssocID="{6AB067A0-4561-4668-9D9B-DCE850B630BF}" presName="Name19" presStyleLbl="parChTrans1D2" presStyleIdx="0" presStyleCnt="2"/>
      <dgm:spPr>
        <a:custGeom>
          <a:avLst/>
          <a:gdLst/>
          <a:ahLst/>
          <a:cxnLst/>
          <a:rect l="0" t="0" r="0" b="0"/>
          <a:pathLst>
            <a:path>
              <a:moveTo>
                <a:pt x="977032" y="0"/>
              </a:moveTo>
              <a:lnTo>
                <a:pt x="977032" y="100208"/>
              </a:lnTo>
              <a:lnTo>
                <a:pt x="0" y="100208"/>
              </a:lnTo>
              <a:lnTo>
                <a:pt x="0" y="200416"/>
              </a:lnTo>
            </a:path>
          </a:pathLst>
        </a:custGeom>
      </dgm:spPr>
      <dgm:t>
        <a:bodyPr/>
        <a:lstStyle/>
        <a:p>
          <a:endParaRPr lang="en-GB"/>
        </a:p>
      </dgm:t>
    </dgm:pt>
    <dgm:pt modelId="{76135A0A-8717-4EE4-BD2F-476FA7773974}" type="pres">
      <dgm:prSet presAssocID="{D0EA0E87-45EE-4A39-AEE8-998CFC8DF4E9}" presName="Name21" presStyleCnt="0"/>
      <dgm:spPr/>
    </dgm:pt>
    <dgm:pt modelId="{D969901B-35C6-4C19-BA95-8999F124D986}" type="pres">
      <dgm:prSet presAssocID="{D0EA0E87-45EE-4A39-AEE8-998CFC8DF4E9}" presName="level2Shape" presStyleLbl="node2" presStyleIdx="0" presStyleCnt="2"/>
      <dgm:spPr>
        <a:prstGeom prst="roundRect">
          <a:avLst>
            <a:gd name="adj" fmla="val 10000"/>
          </a:avLst>
        </a:prstGeom>
      </dgm:spPr>
      <dgm:t>
        <a:bodyPr/>
        <a:lstStyle/>
        <a:p>
          <a:endParaRPr lang="en-GB"/>
        </a:p>
      </dgm:t>
    </dgm:pt>
    <dgm:pt modelId="{1B2CD7C3-0813-4615-8AAE-B019EE8E7CB8}" type="pres">
      <dgm:prSet presAssocID="{D0EA0E87-45EE-4A39-AEE8-998CFC8DF4E9}" presName="hierChild3" presStyleCnt="0"/>
      <dgm:spPr/>
    </dgm:pt>
    <dgm:pt modelId="{A7663B00-67EC-4CBA-A06D-62DE5F0ABD4B}" type="pres">
      <dgm:prSet presAssocID="{7CCDE0F6-CA62-48AF-A8C0-0F1571C0DE34}" presName="Name19" presStyleLbl="parChTrans1D3" presStyleIdx="0" presStyleCnt="4"/>
      <dgm:spPr>
        <a:custGeom>
          <a:avLst/>
          <a:gdLst/>
          <a:ahLst/>
          <a:cxnLst/>
          <a:rect l="0" t="0" r="0" b="0"/>
          <a:pathLst>
            <a:path>
              <a:moveTo>
                <a:pt x="977032" y="0"/>
              </a:moveTo>
              <a:lnTo>
                <a:pt x="977032" y="103665"/>
              </a:lnTo>
              <a:lnTo>
                <a:pt x="0" y="103665"/>
              </a:lnTo>
              <a:lnTo>
                <a:pt x="0" y="207331"/>
              </a:lnTo>
            </a:path>
          </a:pathLst>
        </a:custGeom>
      </dgm:spPr>
      <dgm:t>
        <a:bodyPr/>
        <a:lstStyle/>
        <a:p>
          <a:endParaRPr lang="en-GB"/>
        </a:p>
      </dgm:t>
    </dgm:pt>
    <dgm:pt modelId="{17971C07-AFB5-4F6C-A311-29C3C72933AA}" type="pres">
      <dgm:prSet presAssocID="{C5100B21-B9C6-4AF4-A4D7-1DA5139605E7}" presName="Name21" presStyleCnt="0"/>
      <dgm:spPr/>
    </dgm:pt>
    <dgm:pt modelId="{36856098-8F80-4C7E-B897-5B087505DA2D}" type="pres">
      <dgm:prSet presAssocID="{C5100B21-B9C6-4AF4-A4D7-1DA5139605E7}" presName="level2Shape" presStyleLbl="node3" presStyleIdx="0" presStyleCnt="4" custLinFactNeighborY="1380"/>
      <dgm:spPr>
        <a:prstGeom prst="roundRect">
          <a:avLst>
            <a:gd name="adj" fmla="val 10000"/>
          </a:avLst>
        </a:prstGeom>
      </dgm:spPr>
      <dgm:t>
        <a:bodyPr/>
        <a:lstStyle/>
        <a:p>
          <a:endParaRPr lang="en-GB"/>
        </a:p>
      </dgm:t>
    </dgm:pt>
    <dgm:pt modelId="{C56D0446-1F54-43B6-BC40-E90FDB790687}" type="pres">
      <dgm:prSet presAssocID="{C5100B21-B9C6-4AF4-A4D7-1DA5139605E7}" presName="hierChild3" presStyleCnt="0"/>
      <dgm:spPr/>
    </dgm:pt>
    <dgm:pt modelId="{272448C4-EB18-4180-9664-FCF6E1E692BD}" type="pres">
      <dgm:prSet presAssocID="{1084F477-30D5-42E7-907B-B25EE2CB4622}" presName="Name19" presStyleLbl="parChTrans1D3" presStyleIdx="1" presStyleCnt="4"/>
      <dgm:spPr>
        <a:custGeom>
          <a:avLst/>
          <a:gdLst/>
          <a:ahLst/>
          <a:cxnLst/>
          <a:rect l="0" t="0" r="0" b="0"/>
          <a:pathLst>
            <a:path>
              <a:moveTo>
                <a:pt x="45720" y="0"/>
              </a:moveTo>
              <a:lnTo>
                <a:pt x="45720" y="200416"/>
              </a:lnTo>
            </a:path>
          </a:pathLst>
        </a:custGeom>
      </dgm:spPr>
      <dgm:t>
        <a:bodyPr/>
        <a:lstStyle/>
        <a:p>
          <a:endParaRPr lang="en-GB"/>
        </a:p>
      </dgm:t>
    </dgm:pt>
    <dgm:pt modelId="{2FDDCDBB-861E-4DF7-B3AF-864CBE7651F9}" type="pres">
      <dgm:prSet presAssocID="{9025A5DE-C7C7-4D69-9CD9-3D5F538E9397}" presName="Name21" presStyleCnt="0"/>
      <dgm:spPr/>
    </dgm:pt>
    <dgm:pt modelId="{90E8EF8A-30E1-4379-8591-CAD6FA930D5E}" type="pres">
      <dgm:prSet presAssocID="{9025A5DE-C7C7-4D69-9CD9-3D5F538E9397}" presName="level2Shape" presStyleLbl="node3" presStyleIdx="1" presStyleCnt="4"/>
      <dgm:spPr>
        <a:prstGeom prst="roundRect">
          <a:avLst>
            <a:gd name="adj" fmla="val 10000"/>
          </a:avLst>
        </a:prstGeom>
      </dgm:spPr>
      <dgm:t>
        <a:bodyPr/>
        <a:lstStyle/>
        <a:p>
          <a:endParaRPr lang="en-GB"/>
        </a:p>
      </dgm:t>
    </dgm:pt>
    <dgm:pt modelId="{410AEB52-71DA-4BD6-98E6-6CAC2128B91B}" type="pres">
      <dgm:prSet presAssocID="{9025A5DE-C7C7-4D69-9CD9-3D5F538E9397}" presName="hierChild3" presStyleCnt="0"/>
      <dgm:spPr/>
    </dgm:pt>
    <dgm:pt modelId="{EFAED439-2D4A-413A-999B-07AE9931B839}" type="pres">
      <dgm:prSet presAssocID="{F93ADAEC-BE4D-4D4B-A85D-340E81BC173C}" presName="Name19" presStyleLbl="parChTrans1D3" presStyleIdx="2" presStyleCnt="4"/>
      <dgm:spPr>
        <a:custGeom>
          <a:avLst/>
          <a:gdLst/>
          <a:ahLst/>
          <a:cxnLst/>
          <a:rect l="0" t="0" r="0" b="0"/>
          <a:pathLst>
            <a:path>
              <a:moveTo>
                <a:pt x="0" y="0"/>
              </a:moveTo>
              <a:lnTo>
                <a:pt x="0" y="100208"/>
              </a:lnTo>
              <a:lnTo>
                <a:pt x="977032" y="100208"/>
              </a:lnTo>
              <a:lnTo>
                <a:pt x="977032" y="200416"/>
              </a:lnTo>
            </a:path>
          </a:pathLst>
        </a:custGeom>
      </dgm:spPr>
      <dgm:t>
        <a:bodyPr/>
        <a:lstStyle/>
        <a:p>
          <a:endParaRPr lang="en-GB"/>
        </a:p>
      </dgm:t>
    </dgm:pt>
    <dgm:pt modelId="{A68B026E-4F9F-4922-8D58-17812F6E8A8D}" type="pres">
      <dgm:prSet presAssocID="{88266A85-59AF-4901-85A3-5B8E960EB5C4}" presName="Name21" presStyleCnt="0"/>
      <dgm:spPr/>
    </dgm:pt>
    <dgm:pt modelId="{384E4C59-2E07-4227-8574-A1FE8B9E1385}" type="pres">
      <dgm:prSet presAssocID="{88266A85-59AF-4901-85A3-5B8E960EB5C4}" presName="level2Shape" presStyleLbl="node3" presStyleIdx="2" presStyleCnt="4"/>
      <dgm:spPr>
        <a:prstGeom prst="roundRect">
          <a:avLst>
            <a:gd name="adj" fmla="val 10000"/>
          </a:avLst>
        </a:prstGeom>
      </dgm:spPr>
      <dgm:t>
        <a:bodyPr/>
        <a:lstStyle/>
        <a:p>
          <a:endParaRPr lang="en-GB"/>
        </a:p>
      </dgm:t>
    </dgm:pt>
    <dgm:pt modelId="{FD98FC7C-F6BE-4C4A-B8B9-0CAA241DC4E8}" type="pres">
      <dgm:prSet presAssocID="{88266A85-59AF-4901-85A3-5B8E960EB5C4}" presName="hierChild3" presStyleCnt="0"/>
      <dgm:spPr/>
    </dgm:pt>
    <dgm:pt modelId="{338B7127-B7C2-4F76-9A34-46015B4686EF}" type="pres">
      <dgm:prSet presAssocID="{20F6ECE6-9BED-44AE-9B02-3B09003D5EEB}" presName="Name19" presStyleLbl="parChTrans1D2" presStyleIdx="1" presStyleCnt="2"/>
      <dgm:spPr>
        <a:custGeom>
          <a:avLst/>
          <a:gdLst/>
          <a:ahLst/>
          <a:cxnLst/>
          <a:rect l="0" t="0" r="0" b="0"/>
          <a:pathLst>
            <a:path>
              <a:moveTo>
                <a:pt x="0" y="0"/>
              </a:moveTo>
              <a:lnTo>
                <a:pt x="0" y="100208"/>
              </a:lnTo>
              <a:lnTo>
                <a:pt x="977032" y="100208"/>
              </a:lnTo>
              <a:lnTo>
                <a:pt x="977032" y="200416"/>
              </a:lnTo>
            </a:path>
          </a:pathLst>
        </a:custGeom>
      </dgm:spPr>
      <dgm:t>
        <a:bodyPr/>
        <a:lstStyle/>
        <a:p>
          <a:endParaRPr lang="en-GB"/>
        </a:p>
      </dgm:t>
    </dgm:pt>
    <dgm:pt modelId="{33FDCDEB-B63F-455E-8804-20ABB5255FBD}" type="pres">
      <dgm:prSet presAssocID="{B413BDB7-C23B-4D77-B010-CF3CC709630E}" presName="Name21" presStyleCnt="0"/>
      <dgm:spPr/>
    </dgm:pt>
    <dgm:pt modelId="{C6620A83-16CC-48F2-A0D5-1F33E2E05C0D}" type="pres">
      <dgm:prSet presAssocID="{B413BDB7-C23B-4D77-B010-CF3CC709630E}" presName="level2Shape" presStyleLbl="node2" presStyleIdx="1" presStyleCnt="2"/>
      <dgm:spPr>
        <a:prstGeom prst="roundRect">
          <a:avLst>
            <a:gd name="adj" fmla="val 10000"/>
          </a:avLst>
        </a:prstGeom>
      </dgm:spPr>
      <dgm:t>
        <a:bodyPr/>
        <a:lstStyle/>
        <a:p>
          <a:endParaRPr lang="en-GB"/>
        </a:p>
      </dgm:t>
    </dgm:pt>
    <dgm:pt modelId="{67C007CC-BAC0-4297-9E23-DA9968887EF4}" type="pres">
      <dgm:prSet presAssocID="{B413BDB7-C23B-4D77-B010-CF3CC709630E}" presName="hierChild3" presStyleCnt="0"/>
      <dgm:spPr/>
    </dgm:pt>
    <dgm:pt modelId="{67DE375A-F332-40F0-B92F-2365CB0A4E57}" type="pres">
      <dgm:prSet presAssocID="{CF2ECAF2-6B03-4BEF-A194-D5FE5BDD3668}" presName="Name19" presStyleLbl="parChTrans1D3" presStyleIdx="3" presStyleCnt="4"/>
      <dgm:spPr>
        <a:custGeom>
          <a:avLst/>
          <a:gdLst/>
          <a:ahLst/>
          <a:cxnLst/>
          <a:rect l="0" t="0" r="0" b="0"/>
          <a:pathLst>
            <a:path>
              <a:moveTo>
                <a:pt x="45720" y="0"/>
              </a:moveTo>
              <a:lnTo>
                <a:pt x="45720" y="200416"/>
              </a:lnTo>
            </a:path>
          </a:pathLst>
        </a:custGeom>
      </dgm:spPr>
      <dgm:t>
        <a:bodyPr/>
        <a:lstStyle/>
        <a:p>
          <a:endParaRPr lang="en-GB"/>
        </a:p>
      </dgm:t>
    </dgm:pt>
    <dgm:pt modelId="{B69ECB0B-7BBB-4A17-BF4F-8A78BFF40091}" type="pres">
      <dgm:prSet presAssocID="{8179CDF0-F33A-4E70-B13D-7AC1476C5001}" presName="Name21" presStyleCnt="0"/>
      <dgm:spPr/>
    </dgm:pt>
    <dgm:pt modelId="{875AC7B8-2764-4BB9-A162-021218586672}" type="pres">
      <dgm:prSet presAssocID="{8179CDF0-F33A-4E70-B13D-7AC1476C5001}" presName="level2Shape" presStyleLbl="node3" presStyleIdx="3" presStyleCnt="4"/>
      <dgm:spPr>
        <a:prstGeom prst="roundRect">
          <a:avLst>
            <a:gd name="adj" fmla="val 10000"/>
          </a:avLst>
        </a:prstGeom>
      </dgm:spPr>
      <dgm:t>
        <a:bodyPr/>
        <a:lstStyle/>
        <a:p>
          <a:endParaRPr lang="en-GB"/>
        </a:p>
      </dgm:t>
    </dgm:pt>
    <dgm:pt modelId="{D41C1D19-665A-4691-979D-E4E8D0D482A0}" type="pres">
      <dgm:prSet presAssocID="{8179CDF0-F33A-4E70-B13D-7AC1476C5001}" presName="hierChild3" presStyleCnt="0"/>
      <dgm:spPr/>
    </dgm:pt>
    <dgm:pt modelId="{07BD22C1-DB6D-4DCF-9DBF-C569D30868AD}" type="pres">
      <dgm:prSet presAssocID="{BB4D46E9-B9E4-4418-826F-43D07F42C4AF}" presName="bgShapesFlow" presStyleCnt="0"/>
      <dgm:spPr/>
    </dgm:pt>
    <dgm:pt modelId="{81FBCD9D-D6A3-4BF8-837C-8BE82F6C1546}" type="pres">
      <dgm:prSet presAssocID="{E9B87071-B31F-4C3F-8809-D39BE609B7FC}" presName="rectComp" presStyleCnt="0"/>
      <dgm:spPr/>
    </dgm:pt>
    <dgm:pt modelId="{A41F92C9-EB6A-455D-B558-7390EE5A97B1}" type="pres">
      <dgm:prSet presAssocID="{E9B87071-B31F-4C3F-8809-D39BE609B7FC}" presName="bgRect" presStyleLbl="bgShp" presStyleIdx="0" presStyleCnt="3"/>
      <dgm:spPr>
        <a:prstGeom prst="roundRect">
          <a:avLst>
            <a:gd name="adj" fmla="val 10000"/>
          </a:avLst>
        </a:prstGeom>
      </dgm:spPr>
      <dgm:t>
        <a:bodyPr/>
        <a:lstStyle/>
        <a:p>
          <a:endParaRPr lang="en-GB"/>
        </a:p>
      </dgm:t>
    </dgm:pt>
    <dgm:pt modelId="{4A347390-8D40-4F01-817B-E6354EC566E6}" type="pres">
      <dgm:prSet presAssocID="{E9B87071-B31F-4C3F-8809-D39BE609B7FC}" presName="bgRectTx" presStyleLbl="bgShp" presStyleIdx="0" presStyleCnt="3">
        <dgm:presLayoutVars>
          <dgm:bulletEnabled val="1"/>
        </dgm:presLayoutVars>
      </dgm:prSet>
      <dgm:spPr/>
      <dgm:t>
        <a:bodyPr/>
        <a:lstStyle/>
        <a:p>
          <a:endParaRPr lang="en-GB"/>
        </a:p>
      </dgm:t>
    </dgm:pt>
    <dgm:pt modelId="{716A37F8-60CD-4FD7-BAB2-EED3C02690D4}" type="pres">
      <dgm:prSet presAssocID="{E9B87071-B31F-4C3F-8809-D39BE609B7FC}" presName="spComp" presStyleCnt="0"/>
      <dgm:spPr/>
    </dgm:pt>
    <dgm:pt modelId="{30D30400-9C83-4B8E-9E53-3692920BBE34}" type="pres">
      <dgm:prSet presAssocID="{E9B87071-B31F-4C3F-8809-D39BE609B7FC}" presName="vSp" presStyleCnt="0"/>
      <dgm:spPr/>
    </dgm:pt>
    <dgm:pt modelId="{313C8E74-4F8E-40C8-977C-AEFDE624D818}" type="pres">
      <dgm:prSet presAssocID="{0E6354F5-5C4A-49B4-A7F1-78A83C469007}" presName="rectComp" presStyleCnt="0"/>
      <dgm:spPr/>
    </dgm:pt>
    <dgm:pt modelId="{F62A3BF4-23ED-41DA-8FCF-87B6C7CC67D6}" type="pres">
      <dgm:prSet presAssocID="{0E6354F5-5C4A-49B4-A7F1-78A83C469007}" presName="bgRect" presStyleLbl="bgShp" presStyleIdx="1" presStyleCnt="3"/>
      <dgm:spPr>
        <a:prstGeom prst="roundRect">
          <a:avLst>
            <a:gd name="adj" fmla="val 10000"/>
          </a:avLst>
        </a:prstGeom>
      </dgm:spPr>
      <dgm:t>
        <a:bodyPr/>
        <a:lstStyle/>
        <a:p>
          <a:endParaRPr lang="en-GB"/>
        </a:p>
      </dgm:t>
    </dgm:pt>
    <dgm:pt modelId="{4EC5B2C9-88CC-4935-8DA6-DBF36AD40BD8}" type="pres">
      <dgm:prSet presAssocID="{0E6354F5-5C4A-49B4-A7F1-78A83C469007}" presName="bgRectTx" presStyleLbl="bgShp" presStyleIdx="1" presStyleCnt="3">
        <dgm:presLayoutVars>
          <dgm:bulletEnabled val="1"/>
        </dgm:presLayoutVars>
      </dgm:prSet>
      <dgm:spPr/>
      <dgm:t>
        <a:bodyPr/>
        <a:lstStyle/>
        <a:p>
          <a:endParaRPr lang="en-GB"/>
        </a:p>
      </dgm:t>
    </dgm:pt>
    <dgm:pt modelId="{D12DED6C-C8E2-4D6A-8AAA-0C176D2285B2}" type="pres">
      <dgm:prSet presAssocID="{0E6354F5-5C4A-49B4-A7F1-78A83C469007}" presName="spComp" presStyleCnt="0"/>
      <dgm:spPr/>
    </dgm:pt>
    <dgm:pt modelId="{114F1A24-E308-46B8-A6A0-BF50D0FCEF1E}" type="pres">
      <dgm:prSet presAssocID="{0E6354F5-5C4A-49B4-A7F1-78A83C469007}" presName="vSp" presStyleCnt="0"/>
      <dgm:spPr/>
    </dgm:pt>
    <dgm:pt modelId="{49607059-A9FD-40BF-A30A-C9AB14B165E8}" type="pres">
      <dgm:prSet presAssocID="{B97609F8-CAA7-4413-A54D-3477931CD31B}" presName="rectComp" presStyleCnt="0"/>
      <dgm:spPr/>
    </dgm:pt>
    <dgm:pt modelId="{EB9316C2-C6BE-469D-9B83-BFEF33DEA212}" type="pres">
      <dgm:prSet presAssocID="{B97609F8-CAA7-4413-A54D-3477931CD31B}" presName="bgRect" presStyleLbl="bgShp" presStyleIdx="2" presStyleCnt="3"/>
      <dgm:spPr>
        <a:prstGeom prst="roundRect">
          <a:avLst>
            <a:gd name="adj" fmla="val 10000"/>
          </a:avLst>
        </a:prstGeom>
      </dgm:spPr>
      <dgm:t>
        <a:bodyPr/>
        <a:lstStyle/>
        <a:p>
          <a:endParaRPr lang="en-GB"/>
        </a:p>
      </dgm:t>
    </dgm:pt>
    <dgm:pt modelId="{AE1983EE-D0A1-4801-BEF3-FAA633BB374A}" type="pres">
      <dgm:prSet presAssocID="{B97609F8-CAA7-4413-A54D-3477931CD31B}" presName="bgRectTx" presStyleLbl="bgShp" presStyleIdx="2" presStyleCnt="3">
        <dgm:presLayoutVars>
          <dgm:bulletEnabled val="1"/>
        </dgm:presLayoutVars>
      </dgm:prSet>
      <dgm:spPr/>
      <dgm:t>
        <a:bodyPr/>
        <a:lstStyle/>
        <a:p>
          <a:endParaRPr lang="en-GB"/>
        </a:p>
      </dgm:t>
    </dgm:pt>
  </dgm:ptLst>
  <dgm:cxnLst>
    <dgm:cxn modelId="{2E67EA7E-5216-4040-93A1-7FBBF65213FB}" type="presOf" srcId="{BB4D46E9-B9E4-4418-826F-43D07F42C4AF}" destId="{CE9AA32A-1584-4443-B0C5-7095732FF583}" srcOrd="0" destOrd="0" presId="urn:microsoft.com/office/officeart/2005/8/layout/hierarchy6"/>
    <dgm:cxn modelId="{8F7F5AE9-5410-4DFC-9A26-048E25536126}" type="presOf" srcId="{F93ADAEC-BE4D-4D4B-A85D-340E81BC173C}" destId="{EFAED439-2D4A-413A-999B-07AE9931B839}" srcOrd="0" destOrd="0" presId="urn:microsoft.com/office/officeart/2005/8/layout/hierarchy6"/>
    <dgm:cxn modelId="{33B14B40-8769-4F26-B3A9-7BBBCC43828E}" type="presOf" srcId="{B97609F8-CAA7-4413-A54D-3477931CD31B}" destId="{AE1983EE-D0A1-4801-BEF3-FAA633BB374A}" srcOrd="1" destOrd="0" presId="urn:microsoft.com/office/officeart/2005/8/layout/hierarchy6"/>
    <dgm:cxn modelId="{64CCC892-04F5-4A11-85E4-DD1D3D34B808}" type="presOf" srcId="{9025A5DE-C7C7-4D69-9CD9-3D5F538E9397}" destId="{90E8EF8A-30E1-4379-8591-CAD6FA930D5E}" srcOrd="0" destOrd="0" presId="urn:microsoft.com/office/officeart/2005/8/layout/hierarchy6"/>
    <dgm:cxn modelId="{1A31C811-B716-422A-8E81-6858DFF1EB3E}" type="presOf" srcId="{0E6354F5-5C4A-49B4-A7F1-78A83C469007}" destId="{4EC5B2C9-88CC-4935-8DA6-DBF36AD40BD8}" srcOrd="1" destOrd="0" presId="urn:microsoft.com/office/officeart/2005/8/layout/hierarchy6"/>
    <dgm:cxn modelId="{DB7FCFE6-134D-43F8-9906-5B58ED63FBEF}" type="presOf" srcId="{D0EA0E87-45EE-4A39-AEE8-998CFC8DF4E9}" destId="{D969901B-35C6-4C19-BA95-8999F124D986}" srcOrd="0" destOrd="0" presId="urn:microsoft.com/office/officeart/2005/8/layout/hierarchy6"/>
    <dgm:cxn modelId="{79A6F254-B97E-4D97-BCCB-06A159744778}" type="presOf" srcId="{1084F477-30D5-42E7-907B-B25EE2CB4622}" destId="{272448C4-EB18-4180-9664-FCF6E1E692BD}" srcOrd="0" destOrd="0" presId="urn:microsoft.com/office/officeart/2005/8/layout/hierarchy6"/>
    <dgm:cxn modelId="{22B735A0-CFB7-44FD-9245-D9C717D70385}" srcId="{BB4D46E9-B9E4-4418-826F-43D07F42C4AF}" destId="{D06C849E-8605-4335-A7DB-B1BC32948E1C}" srcOrd="0" destOrd="0" parTransId="{CE6DA68F-2588-4B68-A00F-433B3623829C}" sibTransId="{6FE9E630-A999-4E9B-A432-61D69175ED4C}"/>
    <dgm:cxn modelId="{DD6B4019-A7FD-4CE0-AD2B-FCCCB1DCB990}" type="presOf" srcId="{20F6ECE6-9BED-44AE-9B02-3B09003D5EEB}" destId="{338B7127-B7C2-4F76-9A34-46015B4686EF}" srcOrd="0" destOrd="0" presId="urn:microsoft.com/office/officeart/2005/8/layout/hierarchy6"/>
    <dgm:cxn modelId="{2CB38490-61BE-425B-8252-58B5562D4EA2}" type="presOf" srcId="{88266A85-59AF-4901-85A3-5B8E960EB5C4}" destId="{384E4C59-2E07-4227-8574-A1FE8B9E1385}" srcOrd="0" destOrd="0" presId="urn:microsoft.com/office/officeart/2005/8/layout/hierarchy6"/>
    <dgm:cxn modelId="{7FD12AD5-E44C-49AD-8EC5-7EE95C3A1E54}" srcId="{BB4D46E9-B9E4-4418-826F-43D07F42C4AF}" destId="{E9B87071-B31F-4C3F-8809-D39BE609B7FC}" srcOrd="1" destOrd="0" parTransId="{CAF94ADD-2D0E-42C6-AAE1-856B95B2FAE2}" sibTransId="{C61C9118-5440-4141-BDDE-F84B560FC879}"/>
    <dgm:cxn modelId="{CB94005D-87EB-43C6-A67A-E176E60ECFC8}" srcId="{B413BDB7-C23B-4D77-B010-CF3CC709630E}" destId="{8179CDF0-F33A-4E70-B13D-7AC1476C5001}" srcOrd="0" destOrd="0" parTransId="{CF2ECAF2-6B03-4BEF-A194-D5FE5BDD3668}" sibTransId="{28FCDED4-E723-4732-B1C5-00CCE53715D4}"/>
    <dgm:cxn modelId="{C9C5F481-079E-4169-B0A4-4C169248E773}" type="presOf" srcId="{8179CDF0-F33A-4E70-B13D-7AC1476C5001}" destId="{875AC7B8-2764-4BB9-A162-021218586672}" srcOrd="0" destOrd="0" presId="urn:microsoft.com/office/officeart/2005/8/layout/hierarchy6"/>
    <dgm:cxn modelId="{4CE9FE15-BF67-4648-B50E-6B11FC458411}" type="presOf" srcId="{B97609F8-CAA7-4413-A54D-3477931CD31B}" destId="{EB9316C2-C6BE-469D-9B83-BFEF33DEA212}" srcOrd="0" destOrd="0" presId="urn:microsoft.com/office/officeart/2005/8/layout/hierarchy6"/>
    <dgm:cxn modelId="{312EF04C-A7B4-4867-91AD-DF80BE359AE3}" type="presOf" srcId="{D06C849E-8605-4335-A7DB-B1BC32948E1C}" destId="{622DF492-5CBB-4659-9A9E-97C0A6CBBE91}" srcOrd="0" destOrd="0" presId="urn:microsoft.com/office/officeart/2005/8/layout/hierarchy6"/>
    <dgm:cxn modelId="{34CB6554-E0FF-4306-B01C-262947C00E77}" srcId="{D06C849E-8605-4335-A7DB-B1BC32948E1C}" destId="{B413BDB7-C23B-4D77-B010-CF3CC709630E}" srcOrd="1" destOrd="0" parTransId="{20F6ECE6-9BED-44AE-9B02-3B09003D5EEB}" sibTransId="{66A22AB1-7859-4507-88A9-7CA48D2E6793}"/>
    <dgm:cxn modelId="{D8376D10-C378-481C-BB2F-996526C47BA2}" type="presOf" srcId="{E9B87071-B31F-4C3F-8809-D39BE609B7FC}" destId="{4A347390-8D40-4F01-817B-E6354EC566E6}" srcOrd="1" destOrd="0" presId="urn:microsoft.com/office/officeart/2005/8/layout/hierarchy6"/>
    <dgm:cxn modelId="{1F3B884B-23A7-4768-8BD9-4E9BE9AB349B}" type="presOf" srcId="{CF2ECAF2-6B03-4BEF-A194-D5FE5BDD3668}" destId="{67DE375A-F332-40F0-B92F-2365CB0A4E57}" srcOrd="0" destOrd="0" presId="urn:microsoft.com/office/officeart/2005/8/layout/hierarchy6"/>
    <dgm:cxn modelId="{EB41C6A9-ACF4-4F19-B8D0-163FEEA3470A}" type="presOf" srcId="{6AB067A0-4561-4668-9D9B-DCE850B630BF}" destId="{2BE39914-ECF4-4738-8F93-AC2BD9B8C8C4}" srcOrd="0" destOrd="0" presId="urn:microsoft.com/office/officeart/2005/8/layout/hierarchy6"/>
    <dgm:cxn modelId="{2934F94D-A472-4270-B588-1D36F818686E}" srcId="{D0EA0E87-45EE-4A39-AEE8-998CFC8DF4E9}" destId="{9025A5DE-C7C7-4D69-9CD9-3D5F538E9397}" srcOrd="1" destOrd="0" parTransId="{1084F477-30D5-42E7-907B-B25EE2CB4622}" sibTransId="{CFA85ABE-480F-4046-9C9E-08F0657F95FA}"/>
    <dgm:cxn modelId="{03E4C6C7-0E78-44C7-B8DB-90AB7994CC4F}" type="presOf" srcId="{C5100B21-B9C6-4AF4-A4D7-1DA5139605E7}" destId="{36856098-8F80-4C7E-B897-5B087505DA2D}" srcOrd="0" destOrd="0" presId="urn:microsoft.com/office/officeart/2005/8/layout/hierarchy6"/>
    <dgm:cxn modelId="{9725B10A-84AB-4302-BB42-333575476BDE}" srcId="{D0EA0E87-45EE-4A39-AEE8-998CFC8DF4E9}" destId="{C5100B21-B9C6-4AF4-A4D7-1DA5139605E7}" srcOrd="0" destOrd="0" parTransId="{7CCDE0F6-CA62-48AF-A8C0-0F1571C0DE34}" sibTransId="{9C4AD8BA-9897-4C9A-B48C-64E84A05A06F}"/>
    <dgm:cxn modelId="{D91D9343-1980-4776-B4AA-DE8C5B68877B}" srcId="{D0EA0E87-45EE-4A39-AEE8-998CFC8DF4E9}" destId="{88266A85-59AF-4901-85A3-5B8E960EB5C4}" srcOrd="2" destOrd="0" parTransId="{F93ADAEC-BE4D-4D4B-A85D-340E81BC173C}" sibTransId="{6B13B453-165C-4DF2-8663-89C3D82713F4}"/>
    <dgm:cxn modelId="{39C2DDF0-2694-4283-BDB7-2D403307D0C7}" srcId="{BB4D46E9-B9E4-4418-826F-43D07F42C4AF}" destId="{B97609F8-CAA7-4413-A54D-3477931CD31B}" srcOrd="3" destOrd="0" parTransId="{BDE58072-6F42-4CC6-8EC3-6E2A9790D6BA}" sibTransId="{34B3FD73-17CF-4F91-954A-F0FEF47EF2B1}"/>
    <dgm:cxn modelId="{E1A5BA02-D685-4077-ABC3-C6BC915F365E}" type="presOf" srcId="{E9B87071-B31F-4C3F-8809-D39BE609B7FC}" destId="{A41F92C9-EB6A-455D-B558-7390EE5A97B1}" srcOrd="0" destOrd="0" presId="urn:microsoft.com/office/officeart/2005/8/layout/hierarchy6"/>
    <dgm:cxn modelId="{05662757-469D-4767-B655-AEC838EBBD0E}" type="presOf" srcId="{B413BDB7-C23B-4D77-B010-CF3CC709630E}" destId="{C6620A83-16CC-48F2-A0D5-1F33E2E05C0D}" srcOrd="0" destOrd="0" presId="urn:microsoft.com/office/officeart/2005/8/layout/hierarchy6"/>
    <dgm:cxn modelId="{B53AF3BC-A49F-4808-94A1-50A959C50787}" srcId="{BB4D46E9-B9E4-4418-826F-43D07F42C4AF}" destId="{0E6354F5-5C4A-49B4-A7F1-78A83C469007}" srcOrd="2" destOrd="0" parTransId="{44F0B050-D576-48C9-888F-0D636327C30C}" sibTransId="{E65B8FC6-B8D6-43C3-8FF2-77FEB7E0AEBD}"/>
    <dgm:cxn modelId="{DEB2F0C3-C6A5-4BA2-A8AD-28575E67C11B}" type="presOf" srcId="{0E6354F5-5C4A-49B4-A7F1-78A83C469007}" destId="{F62A3BF4-23ED-41DA-8FCF-87B6C7CC67D6}" srcOrd="0" destOrd="0" presId="urn:microsoft.com/office/officeart/2005/8/layout/hierarchy6"/>
    <dgm:cxn modelId="{90CE7540-BFE4-4E3A-BE17-4EA57A0BE7F9}" srcId="{D06C849E-8605-4335-A7DB-B1BC32948E1C}" destId="{D0EA0E87-45EE-4A39-AEE8-998CFC8DF4E9}" srcOrd="0" destOrd="0" parTransId="{6AB067A0-4561-4668-9D9B-DCE850B630BF}" sibTransId="{46A152DA-9539-4B64-9C1D-75EC8207F38A}"/>
    <dgm:cxn modelId="{B700C9C0-71DE-4973-90B2-6B15E673D590}" type="presOf" srcId="{7CCDE0F6-CA62-48AF-A8C0-0F1571C0DE34}" destId="{A7663B00-67EC-4CBA-A06D-62DE5F0ABD4B}" srcOrd="0" destOrd="0" presId="urn:microsoft.com/office/officeart/2005/8/layout/hierarchy6"/>
    <dgm:cxn modelId="{538C09A7-75EA-40FF-B51A-3A5ACA763154}" type="presParOf" srcId="{CE9AA32A-1584-4443-B0C5-7095732FF583}" destId="{A7F086D6-5A0A-4B1F-B365-4776976E443A}" srcOrd="0" destOrd="0" presId="urn:microsoft.com/office/officeart/2005/8/layout/hierarchy6"/>
    <dgm:cxn modelId="{75BE57BB-88A8-4428-AF5E-8611629D2AAD}" type="presParOf" srcId="{A7F086D6-5A0A-4B1F-B365-4776976E443A}" destId="{C1686B3C-22F7-47CD-9255-E0CE05BF96DD}" srcOrd="0" destOrd="0" presId="urn:microsoft.com/office/officeart/2005/8/layout/hierarchy6"/>
    <dgm:cxn modelId="{CB00645D-7F36-4409-AE2C-79120E8AB0DA}" type="presParOf" srcId="{A7F086D6-5A0A-4B1F-B365-4776976E443A}" destId="{4D41B96C-1894-4889-8039-20F1ACA73C42}" srcOrd="1" destOrd="0" presId="urn:microsoft.com/office/officeart/2005/8/layout/hierarchy6"/>
    <dgm:cxn modelId="{BB166907-2D14-4A57-A0FA-065BE3A762B9}" type="presParOf" srcId="{4D41B96C-1894-4889-8039-20F1ACA73C42}" destId="{F00C8A72-DF11-4593-B283-B3B41218D771}" srcOrd="0" destOrd="0" presId="urn:microsoft.com/office/officeart/2005/8/layout/hierarchy6"/>
    <dgm:cxn modelId="{33C8ACCA-EF03-493A-B88D-995D96674BD8}" type="presParOf" srcId="{F00C8A72-DF11-4593-B283-B3B41218D771}" destId="{622DF492-5CBB-4659-9A9E-97C0A6CBBE91}" srcOrd="0" destOrd="0" presId="urn:microsoft.com/office/officeart/2005/8/layout/hierarchy6"/>
    <dgm:cxn modelId="{AF8BF5EE-2CAE-4DA3-AE8A-D8AC48750616}" type="presParOf" srcId="{F00C8A72-DF11-4593-B283-B3B41218D771}" destId="{3DD6D4BA-1AB9-4FD6-AAC8-07F7F86F9465}" srcOrd="1" destOrd="0" presId="urn:microsoft.com/office/officeart/2005/8/layout/hierarchy6"/>
    <dgm:cxn modelId="{CE471153-B361-4BDD-9AFB-00E4FE9DBD6F}" type="presParOf" srcId="{3DD6D4BA-1AB9-4FD6-AAC8-07F7F86F9465}" destId="{2BE39914-ECF4-4738-8F93-AC2BD9B8C8C4}" srcOrd="0" destOrd="0" presId="urn:microsoft.com/office/officeart/2005/8/layout/hierarchy6"/>
    <dgm:cxn modelId="{E7006B5C-C4E4-4EA4-B7E7-2051F3F583F9}" type="presParOf" srcId="{3DD6D4BA-1AB9-4FD6-AAC8-07F7F86F9465}" destId="{76135A0A-8717-4EE4-BD2F-476FA7773974}" srcOrd="1" destOrd="0" presId="urn:microsoft.com/office/officeart/2005/8/layout/hierarchy6"/>
    <dgm:cxn modelId="{E57D642F-07A9-4582-8207-0870A31252C9}" type="presParOf" srcId="{76135A0A-8717-4EE4-BD2F-476FA7773974}" destId="{D969901B-35C6-4C19-BA95-8999F124D986}" srcOrd="0" destOrd="0" presId="urn:microsoft.com/office/officeart/2005/8/layout/hierarchy6"/>
    <dgm:cxn modelId="{96C9E012-36A0-43FB-B613-7A5667A62911}" type="presParOf" srcId="{76135A0A-8717-4EE4-BD2F-476FA7773974}" destId="{1B2CD7C3-0813-4615-8AAE-B019EE8E7CB8}" srcOrd="1" destOrd="0" presId="urn:microsoft.com/office/officeart/2005/8/layout/hierarchy6"/>
    <dgm:cxn modelId="{96EDC6BB-43AA-42CD-88CA-64D1AF1241BD}" type="presParOf" srcId="{1B2CD7C3-0813-4615-8AAE-B019EE8E7CB8}" destId="{A7663B00-67EC-4CBA-A06D-62DE5F0ABD4B}" srcOrd="0" destOrd="0" presId="urn:microsoft.com/office/officeart/2005/8/layout/hierarchy6"/>
    <dgm:cxn modelId="{C1956490-11BF-445D-B755-C5B0B9E19F63}" type="presParOf" srcId="{1B2CD7C3-0813-4615-8AAE-B019EE8E7CB8}" destId="{17971C07-AFB5-4F6C-A311-29C3C72933AA}" srcOrd="1" destOrd="0" presId="urn:microsoft.com/office/officeart/2005/8/layout/hierarchy6"/>
    <dgm:cxn modelId="{685D9D5D-00EA-458E-8E3F-083EFC540CA5}" type="presParOf" srcId="{17971C07-AFB5-4F6C-A311-29C3C72933AA}" destId="{36856098-8F80-4C7E-B897-5B087505DA2D}" srcOrd="0" destOrd="0" presId="urn:microsoft.com/office/officeart/2005/8/layout/hierarchy6"/>
    <dgm:cxn modelId="{299E488F-9246-4915-8927-89546168A829}" type="presParOf" srcId="{17971C07-AFB5-4F6C-A311-29C3C72933AA}" destId="{C56D0446-1F54-43B6-BC40-E90FDB790687}" srcOrd="1" destOrd="0" presId="urn:microsoft.com/office/officeart/2005/8/layout/hierarchy6"/>
    <dgm:cxn modelId="{A5C252AF-058F-4EC9-977A-87F4D09CFF56}" type="presParOf" srcId="{1B2CD7C3-0813-4615-8AAE-B019EE8E7CB8}" destId="{272448C4-EB18-4180-9664-FCF6E1E692BD}" srcOrd="2" destOrd="0" presId="urn:microsoft.com/office/officeart/2005/8/layout/hierarchy6"/>
    <dgm:cxn modelId="{9649D8A0-D180-46A3-B87C-4F1EE4EE21EA}" type="presParOf" srcId="{1B2CD7C3-0813-4615-8AAE-B019EE8E7CB8}" destId="{2FDDCDBB-861E-4DF7-B3AF-864CBE7651F9}" srcOrd="3" destOrd="0" presId="urn:microsoft.com/office/officeart/2005/8/layout/hierarchy6"/>
    <dgm:cxn modelId="{BB8C50D7-8F32-4ED1-8BC4-2EAF2A252A12}" type="presParOf" srcId="{2FDDCDBB-861E-4DF7-B3AF-864CBE7651F9}" destId="{90E8EF8A-30E1-4379-8591-CAD6FA930D5E}" srcOrd="0" destOrd="0" presId="urn:microsoft.com/office/officeart/2005/8/layout/hierarchy6"/>
    <dgm:cxn modelId="{0BCA3805-D31D-4C33-AFF3-140F9FD952FF}" type="presParOf" srcId="{2FDDCDBB-861E-4DF7-B3AF-864CBE7651F9}" destId="{410AEB52-71DA-4BD6-98E6-6CAC2128B91B}" srcOrd="1" destOrd="0" presId="urn:microsoft.com/office/officeart/2005/8/layout/hierarchy6"/>
    <dgm:cxn modelId="{250A1DD8-9CF0-4212-803B-9E5D15438B40}" type="presParOf" srcId="{1B2CD7C3-0813-4615-8AAE-B019EE8E7CB8}" destId="{EFAED439-2D4A-413A-999B-07AE9931B839}" srcOrd="4" destOrd="0" presId="urn:microsoft.com/office/officeart/2005/8/layout/hierarchy6"/>
    <dgm:cxn modelId="{3D06CC3C-19A2-4BA4-BB7B-AE031F24ED2B}" type="presParOf" srcId="{1B2CD7C3-0813-4615-8AAE-B019EE8E7CB8}" destId="{A68B026E-4F9F-4922-8D58-17812F6E8A8D}" srcOrd="5" destOrd="0" presId="urn:microsoft.com/office/officeart/2005/8/layout/hierarchy6"/>
    <dgm:cxn modelId="{1676ED66-B52C-45BC-BFCD-BAAEE877A712}" type="presParOf" srcId="{A68B026E-4F9F-4922-8D58-17812F6E8A8D}" destId="{384E4C59-2E07-4227-8574-A1FE8B9E1385}" srcOrd="0" destOrd="0" presId="urn:microsoft.com/office/officeart/2005/8/layout/hierarchy6"/>
    <dgm:cxn modelId="{2687F4D1-1A64-42C7-BB5D-3AC7A44E7F4F}" type="presParOf" srcId="{A68B026E-4F9F-4922-8D58-17812F6E8A8D}" destId="{FD98FC7C-F6BE-4C4A-B8B9-0CAA241DC4E8}" srcOrd="1" destOrd="0" presId="urn:microsoft.com/office/officeart/2005/8/layout/hierarchy6"/>
    <dgm:cxn modelId="{F283DBBB-4A65-4DC2-8A86-24E8D03C6286}" type="presParOf" srcId="{3DD6D4BA-1AB9-4FD6-AAC8-07F7F86F9465}" destId="{338B7127-B7C2-4F76-9A34-46015B4686EF}" srcOrd="2" destOrd="0" presId="urn:microsoft.com/office/officeart/2005/8/layout/hierarchy6"/>
    <dgm:cxn modelId="{28D7C371-3C94-40CF-B3F8-AC397580B933}" type="presParOf" srcId="{3DD6D4BA-1AB9-4FD6-AAC8-07F7F86F9465}" destId="{33FDCDEB-B63F-455E-8804-20ABB5255FBD}" srcOrd="3" destOrd="0" presId="urn:microsoft.com/office/officeart/2005/8/layout/hierarchy6"/>
    <dgm:cxn modelId="{BE1CE2F9-44EB-4485-BE9C-DA3B7A26C34E}" type="presParOf" srcId="{33FDCDEB-B63F-455E-8804-20ABB5255FBD}" destId="{C6620A83-16CC-48F2-A0D5-1F33E2E05C0D}" srcOrd="0" destOrd="0" presId="urn:microsoft.com/office/officeart/2005/8/layout/hierarchy6"/>
    <dgm:cxn modelId="{AAF8127D-6549-445A-8354-11F537EA49A0}" type="presParOf" srcId="{33FDCDEB-B63F-455E-8804-20ABB5255FBD}" destId="{67C007CC-BAC0-4297-9E23-DA9968887EF4}" srcOrd="1" destOrd="0" presId="urn:microsoft.com/office/officeart/2005/8/layout/hierarchy6"/>
    <dgm:cxn modelId="{D03F6C16-8DD4-497D-87C4-333BA1C16BED}" type="presParOf" srcId="{67C007CC-BAC0-4297-9E23-DA9968887EF4}" destId="{67DE375A-F332-40F0-B92F-2365CB0A4E57}" srcOrd="0" destOrd="0" presId="urn:microsoft.com/office/officeart/2005/8/layout/hierarchy6"/>
    <dgm:cxn modelId="{5980F633-5A62-4DB7-911F-033B152E0D1B}" type="presParOf" srcId="{67C007CC-BAC0-4297-9E23-DA9968887EF4}" destId="{B69ECB0B-7BBB-4A17-BF4F-8A78BFF40091}" srcOrd="1" destOrd="0" presId="urn:microsoft.com/office/officeart/2005/8/layout/hierarchy6"/>
    <dgm:cxn modelId="{EA4EE82E-F91C-47CC-830E-25F2D3F01EA1}" type="presParOf" srcId="{B69ECB0B-7BBB-4A17-BF4F-8A78BFF40091}" destId="{875AC7B8-2764-4BB9-A162-021218586672}" srcOrd="0" destOrd="0" presId="urn:microsoft.com/office/officeart/2005/8/layout/hierarchy6"/>
    <dgm:cxn modelId="{FCA23580-4583-4204-8BB1-FEDD1F1CA85C}" type="presParOf" srcId="{B69ECB0B-7BBB-4A17-BF4F-8A78BFF40091}" destId="{D41C1D19-665A-4691-979D-E4E8D0D482A0}" srcOrd="1" destOrd="0" presId="urn:microsoft.com/office/officeart/2005/8/layout/hierarchy6"/>
    <dgm:cxn modelId="{DED35E2C-5BB0-4309-8E86-D0BC38696869}" type="presParOf" srcId="{CE9AA32A-1584-4443-B0C5-7095732FF583}" destId="{07BD22C1-DB6D-4DCF-9DBF-C569D30868AD}" srcOrd="1" destOrd="0" presId="urn:microsoft.com/office/officeart/2005/8/layout/hierarchy6"/>
    <dgm:cxn modelId="{D133DEC7-698B-4695-A8EF-205C4CD88076}" type="presParOf" srcId="{07BD22C1-DB6D-4DCF-9DBF-C569D30868AD}" destId="{81FBCD9D-D6A3-4BF8-837C-8BE82F6C1546}" srcOrd="0" destOrd="0" presId="urn:microsoft.com/office/officeart/2005/8/layout/hierarchy6"/>
    <dgm:cxn modelId="{A4CD5D9F-78E1-42AA-AA15-C25BD15A7920}" type="presParOf" srcId="{81FBCD9D-D6A3-4BF8-837C-8BE82F6C1546}" destId="{A41F92C9-EB6A-455D-B558-7390EE5A97B1}" srcOrd="0" destOrd="0" presId="urn:microsoft.com/office/officeart/2005/8/layout/hierarchy6"/>
    <dgm:cxn modelId="{C7FBF376-D6BA-442F-B361-BA93F8E584C7}" type="presParOf" srcId="{81FBCD9D-D6A3-4BF8-837C-8BE82F6C1546}" destId="{4A347390-8D40-4F01-817B-E6354EC566E6}" srcOrd="1" destOrd="0" presId="urn:microsoft.com/office/officeart/2005/8/layout/hierarchy6"/>
    <dgm:cxn modelId="{697A1177-D7D2-4B09-8154-EE7AC8AAF4A1}" type="presParOf" srcId="{07BD22C1-DB6D-4DCF-9DBF-C569D30868AD}" destId="{716A37F8-60CD-4FD7-BAB2-EED3C02690D4}" srcOrd="1" destOrd="0" presId="urn:microsoft.com/office/officeart/2005/8/layout/hierarchy6"/>
    <dgm:cxn modelId="{F8016ABE-5F0A-4DC9-A100-7F73D0D78F9E}" type="presParOf" srcId="{716A37F8-60CD-4FD7-BAB2-EED3C02690D4}" destId="{30D30400-9C83-4B8E-9E53-3692920BBE34}" srcOrd="0" destOrd="0" presId="urn:microsoft.com/office/officeart/2005/8/layout/hierarchy6"/>
    <dgm:cxn modelId="{5D70315B-D2CF-4D72-887A-3724EFD357B8}" type="presParOf" srcId="{07BD22C1-DB6D-4DCF-9DBF-C569D30868AD}" destId="{313C8E74-4F8E-40C8-977C-AEFDE624D818}" srcOrd="2" destOrd="0" presId="urn:microsoft.com/office/officeart/2005/8/layout/hierarchy6"/>
    <dgm:cxn modelId="{DEFC9A42-E1EB-4352-B8D9-E79233B63A57}" type="presParOf" srcId="{313C8E74-4F8E-40C8-977C-AEFDE624D818}" destId="{F62A3BF4-23ED-41DA-8FCF-87B6C7CC67D6}" srcOrd="0" destOrd="0" presId="urn:microsoft.com/office/officeart/2005/8/layout/hierarchy6"/>
    <dgm:cxn modelId="{C6D39446-02A7-4E52-B164-CE78DEDB9CD0}" type="presParOf" srcId="{313C8E74-4F8E-40C8-977C-AEFDE624D818}" destId="{4EC5B2C9-88CC-4935-8DA6-DBF36AD40BD8}" srcOrd="1" destOrd="0" presId="urn:microsoft.com/office/officeart/2005/8/layout/hierarchy6"/>
    <dgm:cxn modelId="{225F75B9-7CE8-422B-AFD2-F93A851EC3D1}" type="presParOf" srcId="{07BD22C1-DB6D-4DCF-9DBF-C569D30868AD}" destId="{D12DED6C-C8E2-4D6A-8AAA-0C176D2285B2}" srcOrd="3" destOrd="0" presId="urn:microsoft.com/office/officeart/2005/8/layout/hierarchy6"/>
    <dgm:cxn modelId="{848CC18F-A29A-423A-B488-8EE34624913E}" type="presParOf" srcId="{D12DED6C-C8E2-4D6A-8AAA-0C176D2285B2}" destId="{114F1A24-E308-46B8-A6A0-BF50D0FCEF1E}" srcOrd="0" destOrd="0" presId="urn:microsoft.com/office/officeart/2005/8/layout/hierarchy6"/>
    <dgm:cxn modelId="{7B4D5B30-E76E-42C9-B552-1676B1260687}" type="presParOf" srcId="{07BD22C1-DB6D-4DCF-9DBF-C569D30868AD}" destId="{49607059-A9FD-40BF-A30A-C9AB14B165E8}" srcOrd="4" destOrd="0" presId="urn:microsoft.com/office/officeart/2005/8/layout/hierarchy6"/>
    <dgm:cxn modelId="{17AA55BE-EABB-435F-9A4F-97B3881844EB}" type="presParOf" srcId="{49607059-A9FD-40BF-A30A-C9AB14B165E8}" destId="{EB9316C2-C6BE-469D-9B83-BFEF33DEA212}" srcOrd="0" destOrd="0" presId="urn:microsoft.com/office/officeart/2005/8/layout/hierarchy6"/>
    <dgm:cxn modelId="{AC065993-7003-4B69-8B4B-F689150BD482}" type="presParOf" srcId="{49607059-A9FD-40BF-A30A-C9AB14B165E8}" destId="{AE1983EE-D0A1-4801-BEF3-FAA633BB374A}" srcOrd="1" destOrd="0" presId="urn:microsoft.com/office/officeart/2005/8/layout/hierarchy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9316C2-C6BE-469D-9B83-BFEF33DEA212}">
      <dsp:nvSpPr>
        <dsp:cNvPr id="0" name=""/>
        <dsp:cNvSpPr/>
      </dsp:nvSpPr>
      <dsp:spPr>
        <a:xfrm>
          <a:off x="0" y="1681946"/>
          <a:ext cx="5419725" cy="601250"/>
        </a:xfrm>
        <a:prstGeom prst="roundRect">
          <a:avLst>
            <a:gd name="adj" fmla="val 10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solidFill>
                <a:sysClr val="windowText" lastClr="000000">
                  <a:hueOff val="0"/>
                  <a:satOff val="0"/>
                  <a:lumOff val="0"/>
                  <a:alphaOff val="0"/>
                </a:sysClr>
              </a:solidFill>
              <a:latin typeface="Calibri"/>
              <a:ea typeface="+mn-ea"/>
              <a:cs typeface="+mn-cs"/>
            </a:rPr>
            <a:t>Archaeological Planning is the only "Ring Fenced" section of the Trust </a:t>
          </a:r>
        </a:p>
      </dsp:txBody>
      <dsp:txXfrm>
        <a:off x="0" y="1681946"/>
        <a:ext cx="1625917" cy="601250"/>
      </dsp:txXfrm>
    </dsp:sp>
    <dsp:sp modelId="{F62A3BF4-23ED-41DA-8FCF-87B6C7CC67D6}">
      <dsp:nvSpPr>
        <dsp:cNvPr id="0" name=""/>
        <dsp:cNvSpPr/>
      </dsp:nvSpPr>
      <dsp:spPr>
        <a:xfrm>
          <a:off x="0" y="980487"/>
          <a:ext cx="5419725" cy="601250"/>
        </a:xfrm>
        <a:prstGeom prst="roundRect">
          <a:avLst>
            <a:gd name="adj" fmla="val 10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solidFill>
                <a:sysClr val="windowText" lastClr="000000">
                  <a:hueOff val="0"/>
                  <a:satOff val="0"/>
                  <a:lumOff val="0"/>
                  <a:alphaOff val="0"/>
                </a:sysClr>
              </a:solidFill>
              <a:latin typeface="Calibri"/>
              <a:ea typeface="+mn-ea"/>
              <a:cs typeface="+mn-cs"/>
            </a:rPr>
            <a:t>Two Distinct Spheres of Operation</a:t>
          </a:r>
        </a:p>
      </dsp:txBody>
      <dsp:txXfrm>
        <a:off x="0" y="980487"/>
        <a:ext cx="1625917" cy="601250"/>
      </dsp:txXfrm>
    </dsp:sp>
    <dsp:sp modelId="{A41F92C9-EB6A-455D-B558-7390EE5A97B1}">
      <dsp:nvSpPr>
        <dsp:cNvPr id="0" name=""/>
        <dsp:cNvSpPr/>
      </dsp:nvSpPr>
      <dsp:spPr>
        <a:xfrm>
          <a:off x="0" y="279027"/>
          <a:ext cx="5419725" cy="601250"/>
        </a:xfrm>
        <a:prstGeom prst="roundRect">
          <a:avLst>
            <a:gd name="adj" fmla="val 10000"/>
          </a:avLst>
        </a:prstGeom>
        <a:solidFill>
          <a:srgbClr val="4F81B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en-GB" sz="1000" kern="1200">
              <a:solidFill>
                <a:sysClr val="windowText" lastClr="000000">
                  <a:hueOff val="0"/>
                  <a:satOff val="0"/>
                  <a:lumOff val="0"/>
                  <a:alphaOff val="0"/>
                </a:sysClr>
              </a:solidFill>
              <a:latin typeface="Calibri"/>
              <a:ea typeface="+mn-ea"/>
              <a:cs typeface="+mn-cs"/>
            </a:rPr>
            <a:t>Policy Fed From Welsh Government, via Local Government</a:t>
          </a:r>
        </a:p>
      </dsp:txBody>
      <dsp:txXfrm>
        <a:off x="0" y="279027"/>
        <a:ext cx="1625917" cy="601250"/>
      </dsp:txXfrm>
    </dsp:sp>
    <dsp:sp modelId="{622DF492-5CBB-4659-9A9E-97C0A6CBBE91}">
      <dsp:nvSpPr>
        <dsp:cNvPr id="0" name=""/>
        <dsp:cNvSpPr/>
      </dsp:nvSpPr>
      <dsp:spPr>
        <a:xfrm>
          <a:off x="3581358" y="329132"/>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GB" sz="600" kern="1200">
              <a:solidFill>
                <a:sysClr val="window" lastClr="FFFFFF"/>
              </a:solidFill>
              <a:latin typeface="Calibri"/>
              <a:ea typeface="+mn-ea"/>
              <a:cs typeface="+mn-cs"/>
            </a:rPr>
            <a:t>Board of Trustees via Chief Executive Officer</a:t>
          </a:r>
        </a:p>
      </dsp:txBody>
      <dsp:txXfrm>
        <a:off x="3596033" y="343807"/>
        <a:ext cx="722213" cy="471692"/>
      </dsp:txXfrm>
    </dsp:sp>
    <dsp:sp modelId="{2BE39914-ECF4-4738-8F93-AC2BD9B8C8C4}">
      <dsp:nvSpPr>
        <dsp:cNvPr id="0" name=""/>
        <dsp:cNvSpPr/>
      </dsp:nvSpPr>
      <dsp:spPr>
        <a:xfrm>
          <a:off x="2980107" y="830174"/>
          <a:ext cx="977032" cy="200416"/>
        </a:xfrm>
        <a:custGeom>
          <a:avLst/>
          <a:gdLst/>
          <a:ahLst/>
          <a:cxnLst/>
          <a:rect l="0" t="0" r="0" b="0"/>
          <a:pathLst>
            <a:path>
              <a:moveTo>
                <a:pt x="977032" y="0"/>
              </a:moveTo>
              <a:lnTo>
                <a:pt x="977032" y="100208"/>
              </a:lnTo>
              <a:lnTo>
                <a:pt x="0" y="100208"/>
              </a:lnTo>
              <a:lnTo>
                <a:pt x="0" y="200416"/>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969901B-35C6-4C19-BA95-8999F124D986}">
      <dsp:nvSpPr>
        <dsp:cNvPr id="0" name=""/>
        <dsp:cNvSpPr/>
      </dsp:nvSpPr>
      <dsp:spPr>
        <a:xfrm>
          <a:off x="2604326" y="1030591"/>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GB" sz="600" kern="1200">
              <a:solidFill>
                <a:sysClr val="window" lastClr="FFFFFF"/>
              </a:solidFill>
              <a:latin typeface="Calibri"/>
              <a:ea typeface="+mn-ea"/>
              <a:cs typeface="+mn-cs"/>
            </a:rPr>
            <a:t>Advisory</a:t>
          </a:r>
        </a:p>
      </dsp:txBody>
      <dsp:txXfrm>
        <a:off x="2619001" y="1045266"/>
        <a:ext cx="722213" cy="471692"/>
      </dsp:txXfrm>
    </dsp:sp>
    <dsp:sp modelId="{A7663B00-67EC-4CBA-A06D-62DE5F0ABD4B}">
      <dsp:nvSpPr>
        <dsp:cNvPr id="0" name=""/>
        <dsp:cNvSpPr/>
      </dsp:nvSpPr>
      <dsp:spPr>
        <a:xfrm>
          <a:off x="2003075" y="1531633"/>
          <a:ext cx="977032" cy="207331"/>
        </a:xfrm>
        <a:custGeom>
          <a:avLst/>
          <a:gdLst/>
          <a:ahLst/>
          <a:cxnLst/>
          <a:rect l="0" t="0" r="0" b="0"/>
          <a:pathLst>
            <a:path>
              <a:moveTo>
                <a:pt x="977032" y="0"/>
              </a:moveTo>
              <a:lnTo>
                <a:pt x="977032" y="103665"/>
              </a:lnTo>
              <a:lnTo>
                <a:pt x="0" y="103665"/>
              </a:lnTo>
              <a:lnTo>
                <a:pt x="0" y="207331"/>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6856098-8F80-4C7E-B897-5B087505DA2D}">
      <dsp:nvSpPr>
        <dsp:cNvPr id="0" name=""/>
        <dsp:cNvSpPr/>
      </dsp:nvSpPr>
      <dsp:spPr>
        <a:xfrm>
          <a:off x="1627293" y="1738964"/>
          <a:ext cx="751563" cy="501042"/>
        </a:xfrm>
        <a:prstGeom prst="roundRect">
          <a:avLst>
            <a:gd name="adj" fmla="val 10000"/>
          </a:avLst>
        </a:prstGeom>
        <a:solidFill>
          <a:srgbClr val="C0504D">
            <a:lumMod val="75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GB" sz="600" kern="1200">
              <a:solidFill>
                <a:sysClr val="window" lastClr="FFFFFF"/>
              </a:solidFill>
              <a:latin typeface="Calibri"/>
              <a:ea typeface="+mn-ea"/>
              <a:cs typeface="+mn-cs"/>
            </a:rPr>
            <a:t>Archaeological Planning</a:t>
          </a:r>
        </a:p>
      </dsp:txBody>
      <dsp:txXfrm>
        <a:off x="1641968" y="1753639"/>
        <a:ext cx="722213" cy="471692"/>
      </dsp:txXfrm>
    </dsp:sp>
    <dsp:sp modelId="{272448C4-EB18-4180-9664-FCF6E1E692BD}">
      <dsp:nvSpPr>
        <dsp:cNvPr id="0" name=""/>
        <dsp:cNvSpPr/>
      </dsp:nvSpPr>
      <dsp:spPr>
        <a:xfrm>
          <a:off x="2934387" y="1531633"/>
          <a:ext cx="91440" cy="200416"/>
        </a:xfrm>
        <a:custGeom>
          <a:avLst/>
          <a:gdLst/>
          <a:ahLst/>
          <a:cxnLst/>
          <a:rect l="0" t="0" r="0" b="0"/>
          <a:pathLst>
            <a:path>
              <a:moveTo>
                <a:pt x="45720" y="0"/>
              </a:moveTo>
              <a:lnTo>
                <a:pt x="45720" y="200416"/>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0E8EF8A-30E1-4379-8591-CAD6FA930D5E}">
      <dsp:nvSpPr>
        <dsp:cNvPr id="0" name=""/>
        <dsp:cNvSpPr/>
      </dsp:nvSpPr>
      <dsp:spPr>
        <a:xfrm>
          <a:off x="2604326" y="1732050"/>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GB" sz="600" kern="1200">
              <a:solidFill>
                <a:sysClr val="window" lastClr="FFFFFF"/>
              </a:solidFill>
              <a:latin typeface="Calibri"/>
              <a:ea typeface="+mn-ea"/>
              <a:cs typeface="+mn-cs"/>
            </a:rPr>
            <a:t>Heritage Managment and Outreach/Education</a:t>
          </a:r>
        </a:p>
      </dsp:txBody>
      <dsp:txXfrm>
        <a:off x="2619001" y="1746725"/>
        <a:ext cx="722213" cy="471692"/>
      </dsp:txXfrm>
    </dsp:sp>
    <dsp:sp modelId="{EFAED439-2D4A-413A-999B-07AE9931B839}">
      <dsp:nvSpPr>
        <dsp:cNvPr id="0" name=""/>
        <dsp:cNvSpPr/>
      </dsp:nvSpPr>
      <dsp:spPr>
        <a:xfrm>
          <a:off x="2980107" y="1531633"/>
          <a:ext cx="977032" cy="200416"/>
        </a:xfrm>
        <a:custGeom>
          <a:avLst/>
          <a:gdLst/>
          <a:ahLst/>
          <a:cxnLst/>
          <a:rect l="0" t="0" r="0" b="0"/>
          <a:pathLst>
            <a:path>
              <a:moveTo>
                <a:pt x="0" y="0"/>
              </a:moveTo>
              <a:lnTo>
                <a:pt x="0" y="100208"/>
              </a:lnTo>
              <a:lnTo>
                <a:pt x="977032" y="100208"/>
              </a:lnTo>
              <a:lnTo>
                <a:pt x="977032" y="200416"/>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84E4C59-2E07-4227-8574-A1FE8B9E1385}">
      <dsp:nvSpPr>
        <dsp:cNvPr id="0" name=""/>
        <dsp:cNvSpPr/>
      </dsp:nvSpPr>
      <dsp:spPr>
        <a:xfrm>
          <a:off x="3581358" y="1732050"/>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GB" sz="600" kern="1200">
              <a:solidFill>
                <a:sysClr val="window" lastClr="FFFFFF"/>
              </a:solidFill>
              <a:latin typeface="Calibri"/>
              <a:ea typeface="+mn-ea"/>
              <a:cs typeface="+mn-cs"/>
            </a:rPr>
            <a:t>Historic Environment Record </a:t>
          </a:r>
        </a:p>
      </dsp:txBody>
      <dsp:txXfrm>
        <a:off x="3596033" y="1746725"/>
        <a:ext cx="722213" cy="471692"/>
      </dsp:txXfrm>
    </dsp:sp>
    <dsp:sp modelId="{338B7127-B7C2-4F76-9A34-46015B4686EF}">
      <dsp:nvSpPr>
        <dsp:cNvPr id="0" name=""/>
        <dsp:cNvSpPr/>
      </dsp:nvSpPr>
      <dsp:spPr>
        <a:xfrm>
          <a:off x="3957140" y="830174"/>
          <a:ext cx="977032" cy="200416"/>
        </a:xfrm>
        <a:custGeom>
          <a:avLst/>
          <a:gdLst/>
          <a:ahLst/>
          <a:cxnLst/>
          <a:rect l="0" t="0" r="0" b="0"/>
          <a:pathLst>
            <a:path>
              <a:moveTo>
                <a:pt x="0" y="0"/>
              </a:moveTo>
              <a:lnTo>
                <a:pt x="0" y="100208"/>
              </a:lnTo>
              <a:lnTo>
                <a:pt x="977032" y="100208"/>
              </a:lnTo>
              <a:lnTo>
                <a:pt x="977032" y="200416"/>
              </a:lnTo>
            </a:path>
          </a:pathLst>
        </a:custGeom>
        <a:noFill/>
        <a:ln w="25400" cap="flat" cmpd="sng" algn="ctr">
          <a:solidFill>
            <a:srgbClr val="4F81BD">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6620A83-16CC-48F2-A0D5-1F33E2E05C0D}">
      <dsp:nvSpPr>
        <dsp:cNvPr id="0" name=""/>
        <dsp:cNvSpPr/>
      </dsp:nvSpPr>
      <dsp:spPr>
        <a:xfrm>
          <a:off x="4558390" y="1030591"/>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GB" sz="600" kern="1200">
              <a:solidFill>
                <a:sysClr val="window" lastClr="FFFFFF"/>
              </a:solidFill>
              <a:latin typeface="Calibri"/>
              <a:ea typeface="+mn-ea"/>
              <a:cs typeface="+mn-cs"/>
            </a:rPr>
            <a:t>Practitioner</a:t>
          </a:r>
        </a:p>
      </dsp:txBody>
      <dsp:txXfrm>
        <a:off x="4573065" y="1045266"/>
        <a:ext cx="722213" cy="471692"/>
      </dsp:txXfrm>
    </dsp:sp>
    <dsp:sp modelId="{67DE375A-F332-40F0-B92F-2365CB0A4E57}">
      <dsp:nvSpPr>
        <dsp:cNvPr id="0" name=""/>
        <dsp:cNvSpPr/>
      </dsp:nvSpPr>
      <dsp:spPr>
        <a:xfrm>
          <a:off x="4888452" y="1531633"/>
          <a:ext cx="91440" cy="200416"/>
        </a:xfrm>
        <a:custGeom>
          <a:avLst/>
          <a:gdLst/>
          <a:ahLst/>
          <a:cxnLst/>
          <a:rect l="0" t="0" r="0" b="0"/>
          <a:pathLst>
            <a:path>
              <a:moveTo>
                <a:pt x="45720" y="0"/>
              </a:moveTo>
              <a:lnTo>
                <a:pt x="45720" y="200416"/>
              </a:lnTo>
            </a:path>
          </a:pathLst>
        </a:custGeom>
        <a:noFill/>
        <a:ln w="25400" cap="flat" cmpd="sng" algn="ctr">
          <a:solidFill>
            <a:srgbClr val="4F81BD">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875AC7B8-2764-4BB9-A162-021218586672}">
      <dsp:nvSpPr>
        <dsp:cNvPr id="0" name=""/>
        <dsp:cNvSpPr/>
      </dsp:nvSpPr>
      <dsp:spPr>
        <a:xfrm>
          <a:off x="4558390" y="1732050"/>
          <a:ext cx="751563" cy="501042"/>
        </a:xfrm>
        <a:prstGeom prst="roundRect">
          <a:avLst>
            <a:gd name="adj" fmla="val 10000"/>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lvl="0" algn="ctr" defTabSz="266700">
            <a:lnSpc>
              <a:spcPct val="90000"/>
            </a:lnSpc>
            <a:spcBef>
              <a:spcPct val="0"/>
            </a:spcBef>
            <a:spcAft>
              <a:spcPct val="35000"/>
            </a:spcAft>
          </a:pPr>
          <a:r>
            <a:rPr lang="en-GB" sz="600" kern="1200">
              <a:solidFill>
                <a:sysClr val="window" lastClr="FFFFFF"/>
              </a:solidFill>
              <a:latin typeface="Calibri"/>
              <a:ea typeface="+mn-ea"/>
              <a:cs typeface="+mn-cs"/>
            </a:rPr>
            <a:t>Field Staff</a:t>
          </a:r>
        </a:p>
      </dsp:txBody>
      <dsp:txXfrm>
        <a:off x="4573065" y="1746725"/>
        <a:ext cx="722213" cy="471692"/>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8969</Words>
  <Characters>51128</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2019-11-25T09:36:00Z</dcterms:created>
  <dcterms:modified xsi:type="dcterms:W3CDTF">2019-11-25T09:36:00Z</dcterms:modified>
</cp:coreProperties>
</file>