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891720" w14:textId="77777777" w:rsidR="00C65ED0" w:rsidRPr="008A03F5" w:rsidRDefault="00C65ED0" w:rsidP="00C65ED0">
      <w:pPr>
        <w:widowControl w:val="0"/>
        <w:autoSpaceDE w:val="0"/>
        <w:autoSpaceDN w:val="0"/>
        <w:spacing w:after="0" w:line="240" w:lineRule="auto"/>
        <w:ind w:left="544"/>
        <w:rPr>
          <w:rFonts w:ascii="Times New Roman" w:eastAsia="Arial MT" w:hAnsi="Arial MT" w:cs="Arial MT"/>
          <w:kern w:val="0"/>
          <w:sz w:val="20"/>
          <w14:ligatures w14:val="none"/>
        </w:rPr>
      </w:pPr>
      <w:r w:rsidRPr="008A03F5">
        <w:rPr>
          <w:rFonts w:ascii="Arial MT" w:eastAsia="Arial MT" w:hAnsi="Arial MT" w:cs="Arial MT"/>
          <w:noProof/>
          <w:kern w:val="0"/>
          <w14:ligatures w14:val="none"/>
        </w:rPr>
        <mc:AlternateContent>
          <mc:Choice Requires="wps">
            <w:drawing>
              <wp:inline distT="0" distB="0" distL="0" distR="0" wp14:anchorId="1ECFB1FD" wp14:editId="20EBEC90">
                <wp:extent cx="6305550" cy="450850"/>
                <wp:effectExtent l="9525" t="9525" r="9525" b="6350"/>
                <wp:docPr id="1994022251"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5550" cy="450850"/>
                        </a:xfrm>
                        <a:prstGeom prst="rect">
                          <a:avLst/>
                        </a:prstGeom>
                        <a:solidFill>
                          <a:srgbClr val="C0C0C0"/>
                        </a:solidFill>
                        <a:ln w="6350">
                          <a:solidFill>
                            <a:srgbClr val="000000"/>
                          </a:solidFill>
                          <a:miter lim="800000"/>
                          <a:headEnd/>
                          <a:tailEnd/>
                        </a:ln>
                      </wps:spPr>
                      <wps:txbx>
                        <w:txbxContent>
                          <w:p w14:paraId="1CC91105" w14:textId="77777777" w:rsidR="00C65ED0" w:rsidRDefault="00C65ED0" w:rsidP="00C65ED0">
                            <w:pPr>
                              <w:spacing w:before="120"/>
                              <w:ind w:left="1110"/>
                              <w:rPr>
                                <w:rFonts w:ascii="Arial"/>
                                <w:b/>
                                <w:color w:val="000000"/>
                                <w:sz w:val="40"/>
                              </w:rPr>
                            </w:pPr>
                            <w:r>
                              <w:rPr>
                                <w:rFonts w:ascii="Arial"/>
                                <w:b/>
                                <w:color w:val="000000"/>
                                <w:sz w:val="40"/>
                              </w:rPr>
                              <w:t>LEVEL</w:t>
                            </w:r>
                            <w:r>
                              <w:rPr>
                                <w:rFonts w:ascii="Arial"/>
                                <w:b/>
                                <w:color w:val="000000"/>
                                <w:spacing w:val="-6"/>
                                <w:sz w:val="40"/>
                              </w:rPr>
                              <w:t xml:space="preserve"> </w:t>
                            </w:r>
                            <w:r>
                              <w:rPr>
                                <w:rFonts w:ascii="Arial"/>
                                <w:b/>
                                <w:color w:val="000000"/>
                                <w:sz w:val="40"/>
                              </w:rPr>
                              <w:t>5</w:t>
                            </w:r>
                            <w:r>
                              <w:rPr>
                                <w:rFonts w:ascii="Arial"/>
                                <w:b/>
                                <w:color w:val="000000"/>
                                <w:spacing w:val="-3"/>
                                <w:sz w:val="40"/>
                              </w:rPr>
                              <w:t xml:space="preserve"> </w:t>
                            </w:r>
                            <w:r>
                              <w:rPr>
                                <w:rFonts w:ascii="Arial"/>
                                <w:b/>
                                <w:color w:val="000000"/>
                                <w:sz w:val="40"/>
                              </w:rPr>
                              <w:t>ASSESSMENT</w:t>
                            </w:r>
                            <w:r>
                              <w:rPr>
                                <w:rFonts w:ascii="Arial"/>
                                <w:b/>
                                <w:color w:val="000000"/>
                                <w:spacing w:val="2"/>
                                <w:sz w:val="40"/>
                              </w:rPr>
                              <w:t xml:space="preserve"> </w:t>
                            </w:r>
                            <w:r>
                              <w:rPr>
                                <w:rFonts w:ascii="Arial"/>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1ECFB1FD" id="_x0000_t202" coordsize="21600,21600" o:spt="202" path="m,l,21600r21600,l21600,xe">
                <v:stroke joinstyle="miter"/>
                <v:path gradientshapeok="t" o:connecttype="rect"/>
              </v:shapetype>
              <v:shape id="Textbox 2" o:spid="_x0000_s1026" type="#_x0000_t202" style="width:496.5pt;height: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" fillcolor="silver" strokeweight=".5pt">
                <v:path arrowok="t"/>
                <v:textbox inset="0,0,0,0">
                  <w:txbxContent>
                    <w:p w14:paraId="1CC91105" w14:textId="77777777" w:rsidR="00C65ED0" w:rsidRDefault="00C65ED0" w:rsidP="00C65ED0">
                      <w:pPr>
                        <w:spacing w:before="120"/>
                        <w:ind w:left="1110"/>
                        <w:rPr>
                          <w:rFonts w:ascii="Arial"/>
                          <w:b/>
                          <w:color w:val="000000"/>
                          <w:sz w:val="40"/>
                        </w:rPr>
                      </w:pPr>
                      <w:r>
                        <w:rPr>
                          <w:rFonts w:ascii="Arial"/>
                          <w:b/>
                          <w:color w:val="000000"/>
                          <w:sz w:val="40"/>
                        </w:rPr>
                        <w:t>LEVEL</w:t>
                      </w:r>
                      <w:r>
                        <w:rPr>
                          <w:rFonts w:ascii="Arial"/>
                          <w:b/>
                          <w:color w:val="000000"/>
                          <w:spacing w:val="-6"/>
                          <w:sz w:val="40"/>
                        </w:rPr>
                        <w:t xml:space="preserve"> </w:t>
                      </w:r>
                      <w:r>
                        <w:rPr>
                          <w:rFonts w:ascii="Arial"/>
                          <w:b/>
                          <w:color w:val="000000"/>
                          <w:sz w:val="40"/>
                        </w:rPr>
                        <w:t>5</w:t>
                      </w:r>
                      <w:r>
                        <w:rPr>
                          <w:rFonts w:ascii="Arial"/>
                          <w:b/>
                          <w:color w:val="000000"/>
                          <w:spacing w:val="-3"/>
                          <w:sz w:val="40"/>
                        </w:rPr>
                        <w:t xml:space="preserve"> </w:t>
                      </w:r>
                      <w:r>
                        <w:rPr>
                          <w:rFonts w:ascii="Arial"/>
                          <w:b/>
                          <w:color w:val="000000"/>
                          <w:sz w:val="40"/>
                        </w:rPr>
                        <w:t>ASSESSMENT</w:t>
                      </w:r>
                      <w:r>
                        <w:rPr>
                          <w:rFonts w:ascii="Arial"/>
                          <w:b/>
                          <w:color w:val="000000"/>
                          <w:spacing w:val="2"/>
                          <w:sz w:val="40"/>
                        </w:rPr>
                        <w:t xml:space="preserve"> </w:t>
                      </w:r>
                      <w:r>
                        <w:rPr>
                          <w:rFonts w:ascii="Arial"/>
                          <w:b/>
                          <w:color w:val="000000"/>
                          <w:spacing w:val="-2"/>
                          <w:sz w:val="40"/>
                        </w:rPr>
                        <w:t>SPECIFICATION</w:t>
                      </w:r>
                    </w:p>
                  </w:txbxContent>
                </v:textbox>
                <w10:anchorlock/>
              </v:shape>
            </w:pict>
          </mc:Fallback>
        </mc:AlternateContent>
      </w:r>
    </w:p>
    <w:p w14:paraId="6848E2A4" w14:textId="77777777" w:rsidR="00C65ED0" w:rsidRPr="008A03F5" w:rsidRDefault="00C65ED0" w:rsidP="00C65ED0">
      <w:pPr>
        <w:widowControl w:val="0"/>
        <w:autoSpaceDE w:val="0"/>
        <w:autoSpaceDN w:val="0"/>
        <w:spacing w:before="110" w:after="0" w:line="240" w:lineRule="auto"/>
        <w:rPr>
          <w:rFonts w:ascii="Times New Roman" w:eastAsia="Arial MT" w:hAnsi="Arial MT" w:cs="Arial MT"/>
          <w:kern w:val="0"/>
          <w:sz w:val="20"/>
          <w14:ligatures w14:val="none"/>
        </w:rPr>
      </w:pPr>
    </w:p>
    <w:tbl>
      <w:tblPr>
        <w:tblW w:w="0" w:type="auto"/>
        <w:tblInd w:w="5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21"/>
        <w:gridCol w:w="1560"/>
        <w:gridCol w:w="2950"/>
      </w:tblGrid>
      <w:tr w:rsidR="00C65ED0" w:rsidRPr="008A03F5" w14:paraId="7E2EC268" w14:textId="77777777" w:rsidTr="004356B2">
        <w:trPr>
          <w:trHeight w:val="745"/>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4F2B9A60"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 xml:space="preserve">Student </w:t>
            </w:r>
            <w:r w:rsidRPr="008A03F5">
              <w:rPr>
                <w:rFonts w:ascii="Arial" w:eastAsia="Arial MT" w:hAnsi="Arial MT" w:cs="Arial MT"/>
                <w:b/>
                <w:spacing w:val="-4"/>
                <w:kern w:val="0"/>
                <w:sz w:val="22"/>
                <w:szCs w:val="22"/>
                <w14:ligatures w14:val="none"/>
              </w:rPr>
              <w:t>name:</w:t>
            </w:r>
          </w:p>
        </w:tc>
        <w:tc>
          <w:tcPr>
            <w:tcW w:w="3321" w:type="dxa"/>
            <w:tcBorders>
              <w:top w:val="single" w:sz="4" w:space="0" w:color="000000"/>
              <w:left w:val="single" w:sz="4" w:space="0" w:color="000000"/>
              <w:bottom w:val="single" w:sz="4" w:space="0" w:color="000000"/>
              <w:right w:val="single" w:sz="4" w:space="0" w:color="000000"/>
            </w:tcBorders>
          </w:tcPr>
          <w:p w14:paraId="56CE24D3" w14:textId="77777777" w:rsidR="00C65ED0" w:rsidRPr="008A03F5" w:rsidRDefault="00C65ED0" w:rsidP="004356B2">
            <w:pPr>
              <w:widowControl w:val="0"/>
              <w:autoSpaceDE w:val="0"/>
              <w:autoSpaceDN w:val="0"/>
              <w:spacing w:before="123" w:after="0" w:line="240" w:lineRule="auto"/>
              <w:ind w:left="110"/>
              <w:rPr>
                <w:rFonts w:ascii="Times New Roman" w:eastAsia="Arial MT" w:hAnsi="Arial MT" w:cs="Arial MT"/>
                <w:kern w:val="0"/>
                <w:sz w:val="22"/>
                <w:szCs w:val="22"/>
                <w14:ligatures w14:val="none"/>
              </w:rPr>
            </w:pPr>
            <w:r w:rsidRPr="008A03F5">
              <w:rPr>
                <w:rFonts w:ascii="Arial" w:eastAsia="Arial MT" w:hAnsi="Arial MT" w:cs="Arial MT"/>
                <w:b/>
                <w:kern w:val="0"/>
                <w:sz w:val="22"/>
                <w:szCs w:val="22"/>
                <w14:ligatures w14:val="none"/>
              </w:rPr>
              <w:t>Mariyah saeed</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3D678539" w14:textId="77777777" w:rsidR="00C65ED0" w:rsidRPr="008A03F5" w:rsidRDefault="00C65ED0" w:rsidP="004356B2">
            <w:pPr>
              <w:widowControl w:val="0"/>
              <w:tabs>
                <w:tab w:val="left" w:pos="1239"/>
              </w:tabs>
              <w:autoSpaceDE w:val="0"/>
              <w:autoSpaceDN w:val="0"/>
              <w:spacing w:before="118" w:after="0" w:line="240" w:lineRule="auto"/>
              <w:ind w:left="110" w:right="89"/>
              <w:rPr>
                <w:rFonts w:ascii="Arial" w:eastAsia="Arial MT" w:hAnsi="Arial MT" w:cs="Arial MT"/>
                <w:b/>
                <w:kern w:val="0"/>
                <w:sz w:val="22"/>
                <w:szCs w:val="22"/>
                <w14:ligatures w14:val="none"/>
              </w:rPr>
            </w:pPr>
            <w:r w:rsidRPr="008A03F5">
              <w:rPr>
                <w:rFonts w:ascii="Arial" w:eastAsia="Arial MT" w:hAnsi="Arial MT" w:cs="Arial MT"/>
                <w:b/>
                <w:spacing w:val="-2"/>
                <w:kern w:val="0"/>
                <w:sz w:val="22"/>
                <w:szCs w:val="22"/>
                <w14:ligatures w14:val="none"/>
              </w:rPr>
              <w:t>Student</w:t>
            </w:r>
            <w:r w:rsidRPr="008A03F5">
              <w:rPr>
                <w:rFonts w:ascii="Arial" w:eastAsia="Arial MT" w:hAnsi="Arial MT" w:cs="Arial MT"/>
                <w:b/>
                <w:kern w:val="0"/>
                <w:sz w:val="22"/>
                <w:szCs w:val="22"/>
                <w14:ligatures w14:val="none"/>
              </w:rPr>
              <w:tab/>
            </w:r>
            <w:r w:rsidRPr="008A03F5">
              <w:rPr>
                <w:rFonts w:ascii="Arial" w:eastAsia="Arial MT" w:hAnsi="Arial MT" w:cs="Arial MT"/>
                <w:b/>
                <w:spacing w:val="-6"/>
                <w:kern w:val="0"/>
                <w:sz w:val="22"/>
                <w:szCs w:val="22"/>
                <w14:ligatures w14:val="none"/>
              </w:rPr>
              <w:t xml:space="preserve">ID </w:t>
            </w:r>
            <w:r w:rsidRPr="008A03F5">
              <w:rPr>
                <w:rFonts w:ascii="Arial" w:eastAsia="Arial MT" w:hAnsi="Arial MT" w:cs="Arial MT"/>
                <w:b/>
                <w:spacing w:val="-2"/>
                <w:kern w:val="0"/>
                <w:sz w:val="22"/>
                <w:szCs w:val="22"/>
                <w14:ligatures w14:val="none"/>
              </w:rPr>
              <w:t>number:</w:t>
            </w:r>
          </w:p>
        </w:tc>
        <w:tc>
          <w:tcPr>
            <w:tcW w:w="2950" w:type="dxa"/>
            <w:tcBorders>
              <w:top w:val="single" w:sz="4" w:space="0" w:color="000000"/>
              <w:left w:val="single" w:sz="4" w:space="0" w:color="000000"/>
              <w:bottom w:val="single" w:sz="4" w:space="0" w:color="000000"/>
              <w:right w:val="single" w:sz="4" w:space="0" w:color="000000"/>
            </w:tcBorders>
          </w:tcPr>
          <w:p w14:paraId="476EBBFD" w14:textId="77777777" w:rsidR="00C65ED0" w:rsidRPr="008A03F5" w:rsidRDefault="00C65ED0" w:rsidP="004356B2">
            <w:pPr>
              <w:widowControl w:val="0"/>
              <w:autoSpaceDE w:val="0"/>
              <w:autoSpaceDN w:val="0"/>
              <w:spacing w:before="123" w:after="0" w:line="240" w:lineRule="auto"/>
              <w:ind w:left="110"/>
              <w:rPr>
                <w:rFonts w:ascii="Times New Roman" w:eastAsia="Arial MT" w:hAnsi="Arial MT" w:cs="Arial MT"/>
                <w:kern w:val="0"/>
                <w:sz w:val="22"/>
                <w:szCs w:val="22"/>
                <w14:ligatures w14:val="none"/>
              </w:rPr>
            </w:pPr>
            <w:r w:rsidRPr="008A03F5">
              <w:rPr>
                <w:rFonts w:ascii="Arial" w:eastAsia="Arial MT" w:hAnsi="Arial MT" w:cs="Arial MT"/>
                <w:b/>
                <w:kern w:val="0"/>
                <w:sz w:val="22"/>
                <w:szCs w:val="22"/>
                <w14:ligatures w14:val="none"/>
              </w:rPr>
              <w:t>2238801</w:t>
            </w:r>
          </w:p>
        </w:tc>
      </w:tr>
      <w:tr w:rsidR="00C65ED0" w:rsidRPr="008A03F5" w14:paraId="4E4D1399" w14:textId="77777777" w:rsidTr="004356B2">
        <w:trPr>
          <w:trHeight w:val="49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62E50664"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proofErr w:type="spellStart"/>
            <w:r w:rsidRPr="008A03F5">
              <w:rPr>
                <w:rFonts w:ascii="Arial" w:eastAsia="Arial MT" w:hAnsi="Arial MT" w:cs="Arial MT"/>
                <w:b/>
                <w:spacing w:val="-2"/>
                <w:kern w:val="0"/>
                <w:sz w:val="22"/>
                <w:szCs w:val="22"/>
                <w14:ligatures w14:val="none"/>
              </w:rPr>
              <w:t>Programme</w:t>
            </w:r>
            <w:proofErr w:type="spellEnd"/>
            <w:r w:rsidRPr="008A03F5">
              <w:rPr>
                <w:rFonts w:ascii="Arial" w:eastAsia="Arial MT" w:hAnsi="Arial MT" w:cs="Arial MT"/>
                <w:b/>
                <w:spacing w:val="-2"/>
                <w:kern w:val="0"/>
                <w:sz w:val="22"/>
                <w:szCs w:val="22"/>
                <w14:ligatures w14:val="none"/>
              </w:rPr>
              <w:t>:</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073318DA"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BA</w:t>
            </w:r>
            <w:r w:rsidRPr="008A03F5">
              <w:rPr>
                <w:rFonts w:ascii="Arial" w:eastAsia="Arial MT" w:hAnsi="Arial MT" w:cs="Arial MT"/>
                <w:b/>
                <w:spacing w:val="-6"/>
                <w:kern w:val="0"/>
                <w:sz w:val="22"/>
                <w:szCs w:val="22"/>
                <w14:ligatures w14:val="none"/>
              </w:rPr>
              <w:t xml:space="preserve"> </w:t>
            </w:r>
            <w:r w:rsidRPr="008A03F5">
              <w:rPr>
                <w:rFonts w:ascii="Arial" w:eastAsia="Arial MT" w:hAnsi="Arial MT" w:cs="Arial MT"/>
                <w:b/>
                <w:kern w:val="0"/>
                <w:sz w:val="22"/>
                <w:szCs w:val="22"/>
                <w14:ligatures w14:val="none"/>
              </w:rPr>
              <w:t>(Hons)</w:t>
            </w:r>
            <w:r w:rsidRPr="008A03F5">
              <w:rPr>
                <w:rFonts w:ascii="Arial" w:eastAsia="Arial MT" w:hAnsi="Arial MT" w:cs="Arial MT"/>
                <w:b/>
                <w:spacing w:val="-2"/>
                <w:kern w:val="0"/>
                <w:sz w:val="22"/>
                <w:szCs w:val="22"/>
                <w14:ligatures w14:val="none"/>
              </w:rPr>
              <w:t xml:space="preserve"> </w:t>
            </w:r>
            <w:r w:rsidRPr="008A03F5">
              <w:rPr>
                <w:rFonts w:ascii="Arial" w:eastAsia="Arial MT" w:hAnsi="Arial MT" w:cs="Arial MT"/>
                <w:b/>
                <w:kern w:val="0"/>
                <w:sz w:val="22"/>
                <w:szCs w:val="22"/>
                <w14:ligatures w14:val="none"/>
              </w:rPr>
              <w:t>Leadership</w:t>
            </w:r>
            <w:r w:rsidRPr="008A03F5">
              <w:rPr>
                <w:rFonts w:ascii="Arial" w:eastAsia="Arial MT" w:hAnsi="Arial MT" w:cs="Arial MT"/>
                <w:b/>
                <w:spacing w:val="-5"/>
                <w:kern w:val="0"/>
                <w:sz w:val="22"/>
                <w:szCs w:val="22"/>
                <w14:ligatures w14:val="none"/>
              </w:rPr>
              <w:t xml:space="preserve"> </w:t>
            </w:r>
            <w:r w:rsidRPr="008A03F5">
              <w:rPr>
                <w:rFonts w:ascii="Arial" w:eastAsia="Arial MT" w:hAnsi="Arial MT" w:cs="Arial MT"/>
                <w:b/>
                <w:kern w:val="0"/>
                <w:sz w:val="22"/>
                <w:szCs w:val="22"/>
                <w14:ligatures w14:val="none"/>
              </w:rPr>
              <w:t>and</w:t>
            </w:r>
            <w:r w:rsidRPr="008A03F5">
              <w:rPr>
                <w:rFonts w:ascii="Arial" w:eastAsia="Arial MT" w:hAnsi="Arial MT" w:cs="Arial MT"/>
                <w:b/>
                <w:spacing w:val="-2"/>
                <w:kern w:val="0"/>
                <w:sz w:val="22"/>
                <w:szCs w:val="22"/>
                <w14:ligatures w14:val="none"/>
              </w:rPr>
              <w:t xml:space="preserve"> </w:t>
            </w:r>
            <w:r w:rsidRPr="008A03F5">
              <w:rPr>
                <w:rFonts w:ascii="Arial" w:eastAsia="Arial MT" w:hAnsi="Arial MT" w:cs="Arial MT"/>
                <w:b/>
                <w:kern w:val="0"/>
                <w:sz w:val="22"/>
                <w:szCs w:val="22"/>
                <w14:ligatures w14:val="none"/>
              </w:rPr>
              <w:t>Management</w:t>
            </w:r>
            <w:r w:rsidRPr="008A03F5">
              <w:rPr>
                <w:rFonts w:ascii="Arial" w:eastAsia="Arial MT" w:hAnsi="Arial MT" w:cs="Arial MT"/>
                <w:b/>
                <w:spacing w:val="-1"/>
                <w:kern w:val="0"/>
                <w:sz w:val="22"/>
                <w:szCs w:val="22"/>
                <w14:ligatures w14:val="none"/>
              </w:rPr>
              <w:t xml:space="preserve"> </w:t>
            </w:r>
            <w:r w:rsidRPr="008A03F5">
              <w:rPr>
                <w:rFonts w:ascii="Arial" w:eastAsia="Arial MT" w:hAnsi="Arial MT" w:cs="Arial MT"/>
                <w:b/>
                <w:kern w:val="0"/>
                <w:sz w:val="22"/>
                <w:szCs w:val="22"/>
                <w14:ligatures w14:val="none"/>
              </w:rPr>
              <w:t>Skills</w:t>
            </w:r>
            <w:r w:rsidRPr="008A03F5">
              <w:rPr>
                <w:rFonts w:ascii="Arial" w:eastAsia="Arial MT" w:hAnsi="Arial MT" w:cs="Arial MT"/>
                <w:b/>
                <w:spacing w:val="-2"/>
                <w:kern w:val="0"/>
                <w:sz w:val="22"/>
                <w:szCs w:val="22"/>
                <w14:ligatures w14:val="none"/>
              </w:rPr>
              <w:t xml:space="preserve"> </w:t>
            </w:r>
            <w:r w:rsidRPr="008A03F5">
              <w:rPr>
                <w:rFonts w:ascii="Arial" w:eastAsia="Arial MT" w:hAnsi="Arial MT" w:cs="Arial MT"/>
                <w:b/>
                <w:kern w:val="0"/>
                <w:sz w:val="22"/>
                <w:szCs w:val="22"/>
                <w14:ligatures w14:val="none"/>
              </w:rPr>
              <w:t>in</w:t>
            </w:r>
            <w:r w:rsidRPr="008A03F5">
              <w:rPr>
                <w:rFonts w:ascii="Arial" w:eastAsia="Arial MT" w:hAnsi="Arial MT" w:cs="Arial MT"/>
                <w:b/>
                <w:spacing w:val="-8"/>
                <w:kern w:val="0"/>
                <w:sz w:val="22"/>
                <w:szCs w:val="22"/>
                <w14:ligatures w14:val="none"/>
              </w:rPr>
              <w:t xml:space="preserve"> </w:t>
            </w:r>
            <w:r w:rsidRPr="008A03F5">
              <w:rPr>
                <w:rFonts w:ascii="Arial" w:eastAsia="Arial MT" w:hAnsi="Arial MT" w:cs="Arial MT"/>
                <w:b/>
                <w:kern w:val="0"/>
                <w:sz w:val="22"/>
                <w:szCs w:val="22"/>
                <w14:ligatures w14:val="none"/>
              </w:rPr>
              <w:t>the</w:t>
            </w:r>
            <w:r w:rsidRPr="008A03F5">
              <w:rPr>
                <w:rFonts w:ascii="Arial" w:eastAsia="Arial MT" w:hAnsi="Arial MT" w:cs="Arial MT"/>
                <w:b/>
                <w:spacing w:val="-1"/>
                <w:kern w:val="0"/>
                <w:sz w:val="22"/>
                <w:szCs w:val="22"/>
                <w14:ligatures w14:val="none"/>
              </w:rPr>
              <w:t xml:space="preserve"> </w:t>
            </w:r>
            <w:r w:rsidRPr="008A03F5">
              <w:rPr>
                <w:rFonts w:ascii="Arial" w:eastAsia="Arial MT" w:hAnsi="Arial MT" w:cs="Arial MT"/>
                <w:b/>
                <w:spacing w:val="-2"/>
                <w:kern w:val="0"/>
                <w:sz w:val="22"/>
                <w:szCs w:val="22"/>
                <w14:ligatures w14:val="none"/>
              </w:rPr>
              <w:t>Workplace</w:t>
            </w:r>
          </w:p>
        </w:tc>
      </w:tr>
      <w:tr w:rsidR="00C65ED0" w:rsidRPr="008A03F5" w14:paraId="4FF034A5" w14:textId="77777777" w:rsidTr="004356B2">
        <w:trPr>
          <w:trHeight w:val="495"/>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DF5BB75"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spacing w:val="-2"/>
                <w:kern w:val="0"/>
                <w:sz w:val="22"/>
                <w:szCs w:val="22"/>
                <w14:ligatures w14:val="none"/>
              </w:rPr>
              <w:t>Module:</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57256067"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 xml:space="preserve">Project </w:t>
            </w:r>
            <w:r w:rsidRPr="008A03F5">
              <w:rPr>
                <w:rFonts w:ascii="Arial" w:eastAsia="Arial MT" w:hAnsi="Arial MT" w:cs="Arial MT"/>
                <w:b/>
                <w:spacing w:val="-2"/>
                <w:kern w:val="0"/>
                <w:sz w:val="22"/>
                <w:szCs w:val="22"/>
                <w14:ligatures w14:val="none"/>
              </w:rPr>
              <w:t>Management</w:t>
            </w:r>
          </w:p>
        </w:tc>
      </w:tr>
      <w:tr w:rsidR="00C65ED0" w:rsidRPr="008A03F5" w14:paraId="3768C752" w14:textId="77777777" w:rsidTr="004356B2">
        <w:trPr>
          <w:trHeight w:val="138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4D2086FE" w14:textId="77777777" w:rsidR="00C65ED0" w:rsidRPr="008A03F5" w:rsidRDefault="00C65ED0" w:rsidP="004356B2">
            <w:pPr>
              <w:widowControl w:val="0"/>
              <w:autoSpaceDE w:val="0"/>
              <w:autoSpaceDN w:val="0"/>
              <w:spacing w:before="124"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Module</w:t>
            </w:r>
            <w:r w:rsidRPr="008A03F5">
              <w:rPr>
                <w:rFonts w:ascii="Arial" w:eastAsia="Arial MT" w:hAnsi="Arial MT" w:cs="Arial MT"/>
                <w:b/>
                <w:spacing w:val="-1"/>
                <w:kern w:val="0"/>
                <w:sz w:val="22"/>
                <w:szCs w:val="22"/>
                <w14:ligatures w14:val="none"/>
              </w:rPr>
              <w:t xml:space="preserve"> </w:t>
            </w:r>
            <w:r w:rsidRPr="008A03F5">
              <w:rPr>
                <w:rFonts w:ascii="Arial" w:eastAsia="Arial MT" w:hAnsi="Arial MT" w:cs="Arial MT"/>
                <w:b/>
                <w:spacing w:val="-2"/>
                <w:kern w:val="0"/>
                <w:sz w:val="22"/>
                <w:szCs w:val="22"/>
                <w14:ligatures w14:val="none"/>
              </w:rPr>
              <w:t>code:</w:t>
            </w:r>
          </w:p>
        </w:tc>
        <w:tc>
          <w:tcPr>
            <w:tcW w:w="3321" w:type="dxa"/>
            <w:tcBorders>
              <w:top w:val="single" w:sz="4" w:space="0" w:color="000000"/>
              <w:left w:val="single" w:sz="4" w:space="0" w:color="000000"/>
              <w:bottom w:val="single" w:sz="4" w:space="0" w:color="000000"/>
              <w:right w:val="single" w:sz="4" w:space="0" w:color="000000"/>
            </w:tcBorders>
            <w:hideMark/>
          </w:tcPr>
          <w:p w14:paraId="73E78B12" w14:textId="77777777" w:rsidR="00C65ED0" w:rsidRPr="008A03F5" w:rsidRDefault="00C65ED0" w:rsidP="004356B2">
            <w:pPr>
              <w:widowControl w:val="0"/>
              <w:autoSpaceDE w:val="0"/>
              <w:autoSpaceDN w:val="0"/>
              <w:spacing w:before="121" w:after="0" w:line="240" w:lineRule="auto"/>
              <w:ind w:left="110"/>
              <w:rPr>
                <w:rFonts w:ascii="Times New Roman" w:eastAsia="Arial MT" w:hAnsi="Arial MT" w:cs="Arial MT"/>
                <w:b/>
                <w:kern w:val="0"/>
                <w:szCs w:val="22"/>
                <w14:ligatures w14:val="none"/>
              </w:rPr>
            </w:pPr>
            <w:r w:rsidRPr="008A03F5">
              <w:rPr>
                <w:rFonts w:ascii="Times New Roman" w:eastAsia="Arial MT" w:hAnsi="Arial MT" w:cs="Arial MT"/>
                <w:b/>
                <w:spacing w:val="-2"/>
                <w:kern w:val="0"/>
                <w:szCs w:val="22"/>
                <w14:ligatures w14:val="none"/>
              </w:rPr>
              <w:t>LCLM5003</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14CF38B6" w14:textId="77777777" w:rsidR="00C65ED0" w:rsidRPr="008A03F5" w:rsidRDefault="00C65ED0" w:rsidP="004356B2">
            <w:pPr>
              <w:widowControl w:val="0"/>
              <w:autoSpaceDE w:val="0"/>
              <w:autoSpaceDN w:val="0"/>
              <w:spacing w:before="1" w:after="0" w:line="240" w:lineRule="auto"/>
              <w:ind w:left="110" w:right="97"/>
              <w:rPr>
                <w:rFonts w:ascii="Times New Roman" w:eastAsia="Arial MT" w:hAnsi="Arial MT" w:cs="Arial MT"/>
                <w:b/>
                <w:kern w:val="0"/>
                <w:szCs w:val="22"/>
                <w14:ligatures w14:val="none"/>
              </w:rPr>
            </w:pPr>
            <w:proofErr w:type="spellStart"/>
            <w:r w:rsidRPr="008A03F5">
              <w:rPr>
                <w:rFonts w:ascii="Times New Roman" w:eastAsia="Arial MT" w:hAnsi="Arial MT" w:cs="Arial MT"/>
                <w:b/>
                <w:spacing w:val="-2"/>
                <w:kern w:val="0"/>
                <w:szCs w:val="22"/>
                <w14:ligatures w14:val="none"/>
              </w:rPr>
              <w:t>Contributio</w:t>
            </w:r>
            <w:proofErr w:type="spellEnd"/>
            <w:r w:rsidRPr="008A03F5">
              <w:rPr>
                <w:rFonts w:ascii="Times New Roman" w:eastAsia="Arial MT" w:hAnsi="Arial MT" w:cs="Arial MT"/>
                <w:b/>
                <w:kern w:val="0"/>
                <w:szCs w:val="22"/>
                <w14:ligatures w14:val="none"/>
              </w:rPr>
              <w:t xml:space="preserve"> n</w:t>
            </w:r>
            <w:r w:rsidRPr="008A03F5">
              <w:rPr>
                <w:rFonts w:ascii="Times New Roman" w:eastAsia="Arial MT" w:hAnsi="Arial MT" w:cs="Arial MT"/>
                <w:b/>
                <w:spacing w:val="39"/>
                <w:kern w:val="0"/>
                <w:szCs w:val="22"/>
                <w14:ligatures w14:val="none"/>
              </w:rPr>
              <w:t xml:space="preserve"> </w:t>
            </w:r>
            <w:r w:rsidRPr="008A03F5">
              <w:rPr>
                <w:rFonts w:ascii="Times New Roman" w:eastAsia="Arial MT" w:hAnsi="Arial MT" w:cs="Arial MT"/>
                <w:b/>
                <w:kern w:val="0"/>
                <w:szCs w:val="22"/>
                <w14:ligatures w14:val="none"/>
              </w:rPr>
              <w:t>to</w:t>
            </w:r>
            <w:r w:rsidRPr="008A03F5">
              <w:rPr>
                <w:rFonts w:ascii="Times New Roman" w:eastAsia="Arial MT" w:hAnsi="Arial MT" w:cs="Arial MT"/>
                <w:b/>
                <w:spacing w:val="37"/>
                <w:kern w:val="0"/>
                <w:szCs w:val="22"/>
                <w14:ligatures w14:val="none"/>
              </w:rPr>
              <w:t xml:space="preserve"> </w:t>
            </w:r>
            <w:r w:rsidRPr="008A03F5">
              <w:rPr>
                <w:rFonts w:ascii="Times New Roman" w:eastAsia="Arial MT" w:hAnsi="Arial MT" w:cs="Arial MT"/>
                <w:b/>
                <w:kern w:val="0"/>
                <w:szCs w:val="22"/>
                <w14:ligatures w14:val="none"/>
              </w:rPr>
              <w:t xml:space="preserve">Overall </w:t>
            </w:r>
            <w:r w:rsidRPr="008A03F5">
              <w:rPr>
                <w:rFonts w:ascii="Times New Roman" w:eastAsia="Arial MT" w:hAnsi="Arial MT" w:cs="Arial MT"/>
                <w:b/>
                <w:spacing w:val="-2"/>
                <w:kern w:val="0"/>
                <w:szCs w:val="22"/>
                <w14:ligatures w14:val="none"/>
              </w:rPr>
              <w:t>Module</w:t>
            </w:r>
          </w:p>
          <w:p w14:paraId="6CBF6BAA" w14:textId="77777777" w:rsidR="00C65ED0" w:rsidRPr="008A03F5" w:rsidRDefault="00C65ED0" w:rsidP="004356B2">
            <w:pPr>
              <w:widowControl w:val="0"/>
              <w:autoSpaceDE w:val="0"/>
              <w:autoSpaceDN w:val="0"/>
              <w:spacing w:after="0" w:line="276" w:lineRule="exact"/>
              <w:ind w:left="110"/>
              <w:rPr>
                <w:rFonts w:ascii="Times New Roman" w:eastAsia="Arial MT" w:hAnsi="Arial MT" w:cs="Arial MT"/>
                <w:b/>
                <w:kern w:val="0"/>
                <w:szCs w:val="22"/>
                <w14:ligatures w14:val="none"/>
              </w:rPr>
            </w:pPr>
            <w:r w:rsidRPr="008A03F5">
              <w:rPr>
                <w:rFonts w:ascii="Times New Roman" w:eastAsia="Arial MT" w:hAnsi="Arial MT" w:cs="Arial MT"/>
                <w:b/>
                <w:spacing w:val="-2"/>
                <w:kern w:val="0"/>
                <w:szCs w:val="22"/>
                <w14:ligatures w14:val="none"/>
              </w:rPr>
              <w:t xml:space="preserve">Assessment </w:t>
            </w:r>
            <w:r w:rsidRPr="008A03F5">
              <w:rPr>
                <w:rFonts w:ascii="Times New Roman" w:eastAsia="Arial MT" w:hAnsi="Arial MT" w:cs="Arial MT"/>
                <w:b/>
                <w:spacing w:val="-4"/>
                <w:kern w:val="0"/>
                <w:szCs w:val="22"/>
                <w14:ligatures w14:val="none"/>
              </w:rPr>
              <w:t>(%):</w:t>
            </w:r>
          </w:p>
        </w:tc>
        <w:tc>
          <w:tcPr>
            <w:tcW w:w="2950" w:type="dxa"/>
            <w:tcBorders>
              <w:top w:val="single" w:sz="4" w:space="0" w:color="000000"/>
              <w:left w:val="single" w:sz="4" w:space="0" w:color="000000"/>
              <w:bottom w:val="single" w:sz="4" w:space="0" w:color="000000"/>
              <w:right w:val="single" w:sz="4" w:space="0" w:color="000000"/>
            </w:tcBorders>
            <w:hideMark/>
          </w:tcPr>
          <w:p w14:paraId="069258E4" w14:textId="77777777" w:rsidR="00C65ED0" w:rsidRPr="008A03F5" w:rsidRDefault="00C65ED0" w:rsidP="004356B2">
            <w:pPr>
              <w:widowControl w:val="0"/>
              <w:autoSpaceDE w:val="0"/>
              <w:autoSpaceDN w:val="0"/>
              <w:spacing w:before="124" w:after="0" w:line="240" w:lineRule="auto"/>
              <w:ind w:left="111"/>
              <w:rPr>
                <w:rFonts w:ascii="Arial" w:eastAsia="Arial MT" w:hAnsi="Arial MT" w:cs="Arial MT"/>
                <w:b/>
                <w:kern w:val="0"/>
                <w:sz w:val="22"/>
                <w:szCs w:val="22"/>
                <w14:ligatures w14:val="none"/>
              </w:rPr>
            </w:pPr>
            <w:r w:rsidRPr="008A03F5">
              <w:rPr>
                <w:rFonts w:ascii="Arial" w:eastAsia="Arial MT" w:hAnsi="Arial MT" w:cs="Arial MT"/>
                <w:b/>
                <w:spacing w:val="-4"/>
                <w:kern w:val="0"/>
                <w:sz w:val="22"/>
                <w:szCs w:val="22"/>
                <w14:ligatures w14:val="none"/>
              </w:rPr>
              <w:t>100%</w:t>
            </w:r>
          </w:p>
        </w:tc>
      </w:tr>
      <w:tr w:rsidR="00C65ED0" w:rsidRPr="008A03F5" w14:paraId="3F20ACDC" w14:textId="77777777" w:rsidTr="004356B2">
        <w:trPr>
          <w:trHeight w:val="161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49B359DF" w14:textId="77777777" w:rsidR="00C65ED0" w:rsidRPr="008A03F5" w:rsidRDefault="00C65ED0" w:rsidP="004356B2">
            <w:pPr>
              <w:widowControl w:val="0"/>
              <w:autoSpaceDE w:val="0"/>
              <w:autoSpaceDN w:val="0"/>
              <w:spacing w:before="123" w:after="0" w:line="240" w:lineRule="auto"/>
              <w:ind w:left="17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Module</w:t>
            </w:r>
            <w:r w:rsidRPr="008A03F5">
              <w:rPr>
                <w:rFonts w:ascii="Arial" w:eastAsia="Arial MT" w:hAnsi="Arial MT" w:cs="Arial MT"/>
                <w:b/>
                <w:spacing w:val="-1"/>
                <w:kern w:val="0"/>
                <w:sz w:val="22"/>
                <w:szCs w:val="22"/>
                <w14:ligatures w14:val="none"/>
              </w:rPr>
              <w:t xml:space="preserve"> </w:t>
            </w:r>
            <w:r w:rsidRPr="008A03F5">
              <w:rPr>
                <w:rFonts w:ascii="Arial" w:eastAsia="Arial MT" w:hAnsi="Arial MT" w:cs="Arial MT"/>
                <w:b/>
                <w:spacing w:val="-2"/>
                <w:kern w:val="0"/>
                <w:sz w:val="22"/>
                <w:szCs w:val="22"/>
                <w14:ligatures w14:val="none"/>
              </w:rPr>
              <w:t>Leaders:</w:t>
            </w:r>
          </w:p>
        </w:tc>
        <w:tc>
          <w:tcPr>
            <w:tcW w:w="3321" w:type="dxa"/>
            <w:tcBorders>
              <w:top w:val="single" w:sz="4" w:space="0" w:color="000000"/>
              <w:left w:val="single" w:sz="4" w:space="0" w:color="000000"/>
              <w:bottom w:val="single" w:sz="4" w:space="0" w:color="000000"/>
              <w:right w:val="single" w:sz="4" w:space="0" w:color="000000"/>
            </w:tcBorders>
          </w:tcPr>
          <w:p w14:paraId="008BABFD" w14:textId="77777777" w:rsidR="00C65ED0" w:rsidRPr="008A03F5" w:rsidRDefault="00C65ED0" w:rsidP="004356B2">
            <w:pPr>
              <w:widowControl w:val="0"/>
              <w:autoSpaceDE w:val="0"/>
              <w:autoSpaceDN w:val="0"/>
              <w:spacing w:before="245" w:after="0" w:line="240" w:lineRule="auto"/>
              <w:rPr>
                <w:rFonts w:ascii="Times New Roman" w:eastAsia="Arial MT" w:hAnsi="Arial MT" w:cs="Arial MT"/>
                <w:kern w:val="0"/>
                <w:sz w:val="22"/>
                <w:szCs w:val="22"/>
                <w14:ligatures w14:val="none"/>
              </w:rPr>
            </w:pPr>
          </w:p>
          <w:p w14:paraId="0951B293" w14:textId="77777777" w:rsidR="00C65ED0" w:rsidRPr="008A03F5" w:rsidRDefault="00C65ED0" w:rsidP="004356B2">
            <w:pPr>
              <w:widowControl w:val="0"/>
              <w:autoSpaceDE w:val="0"/>
              <w:autoSpaceDN w:val="0"/>
              <w:spacing w:after="0" w:line="348" w:lineRule="auto"/>
              <w:ind w:left="110" w:right="1191"/>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Samson Oladejo Dr.</w:t>
            </w:r>
            <w:r w:rsidRPr="008A03F5">
              <w:rPr>
                <w:rFonts w:ascii="Arial" w:eastAsia="Arial MT" w:hAnsi="Arial MT" w:cs="Arial MT"/>
                <w:b/>
                <w:spacing w:val="-16"/>
                <w:kern w:val="0"/>
                <w:sz w:val="22"/>
                <w:szCs w:val="22"/>
                <w14:ligatures w14:val="none"/>
              </w:rPr>
              <w:t xml:space="preserve"> </w:t>
            </w:r>
            <w:r w:rsidRPr="008A03F5">
              <w:rPr>
                <w:rFonts w:ascii="Arial" w:eastAsia="Arial MT" w:hAnsi="Arial MT" w:cs="Arial MT"/>
                <w:b/>
                <w:kern w:val="0"/>
                <w:sz w:val="22"/>
                <w:szCs w:val="22"/>
                <w14:ligatures w14:val="none"/>
              </w:rPr>
              <w:t>Xavier</w:t>
            </w:r>
            <w:r w:rsidRPr="008A03F5">
              <w:rPr>
                <w:rFonts w:ascii="Arial" w:eastAsia="Arial MT" w:hAnsi="Arial MT" w:cs="Arial MT"/>
                <w:b/>
                <w:spacing w:val="-15"/>
                <w:kern w:val="0"/>
                <w:sz w:val="22"/>
                <w:szCs w:val="22"/>
                <w14:ligatures w14:val="none"/>
              </w:rPr>
              <w:t xml:space="preserve"> </w:t>
            </w:r>
            <w:proofErr w:type="spellStart"/>
            <w:r w:rsidRPr="008A03F5">
              <w:rPr>
                <w:rFonts w:ascii="Arial" w:eastAsia="Arial MT" w:hAnsi="Arial MT" w:cs="Arial MT"/>
                <w:b/>
                <w:kern w:val="0"/>
                <w:sz w:val="22"/>
                <w:szCs w:val="22"/>
                <w14:ligatures w14:val="none"/>
              </w:rPr>
              <w:t>Matieni</w:t>
            </w:r>
            <w:proofErr w:type="spellEnd"/>
          </w:p>
        </w:tc>
        <w:tc>
          <w:tcPr>
            <w:tcW w:w="1560" w:type="dxa"/>
            <w:tcBorders>
              <w:top w:val="single" w:sz="4" w:space="0" w:color="000000"/>
              <w:left w:val="single" w:sz="4" w:space="0" w:color="000000"/>
              <w:bottom w:val="single" w:sz="4" w:space="0" w:color="000000"/>
              <w:right w:val="single" w:sz="4" w:space="0" w:color="000000"/>
            </w:tcBorders>
            <w:shd w:val="clear" w:color="auto" w:fill="D9D9D9"/>
          </w:tcPr>
          <w:p w14:paraId="1E3C6495" w14:textId="77777777" w:rsidR="00C65ED0" w:rsidRPr="008A03F5" w:rsidRDefault="00C65ED0" w:rsidP="004356B2">
            <w:pPr>
              <w:widowControl w:val="0"/>
              <w:autoSpaceDE w:val="0"/>
              <w:autoSpaceDN w:val="0"/>
              <w:spacing w:after="0" w:line="240" w:lineRule="auto"/>
              <w:rPr>
                <w:rFonts w:ascii="Times New Roman" w:eastAsia="Arial MT" w:hAnsi="Arial MT" w:cs="Arial MT"/>
                <w:kern w:val="0"/>
                <w:sz w:val="22"/>
                <w:szCs w:val="22"/>
                <w14:ligatures w14:val="none"/>
              </w:rPr>
            </w:pPr>
          </w:p>
          <w:p w14:paraId="0DEB696F" w14:textId="77777777" w:rsidR="00C65ED0" w:rsidRPr="008A03F5" w:rsidRDefault="00C65ED0" w:rsidP="004356B2">
            <w:pPr>
              <w:widowControl w:val="0"/>
              <w:autoSpaceDE w:val="0"/>
              <w:autoSpaceDN w:val="0"/>
              <w:spacing w:before="47" w:after="0" w:line="240" w:lineRule="auto"/>
              <w:rPr>
                <w:rFonts w:ascii="Times New Roman" w:eastAsia="Arial MT" w:hAnsi="Arial MT" w:cs="Arial MT"/>
                <w:kern w:val="0"/>
                <w:sz w:val="22"/>
                <w:szCs w:val="22"/>
                <w14:ligatures w14:val="none"/>
              </w:rPr>
            </w:pPr>
          </w:p>
          <w:p w14:paraId="1B38731F" w14:textId="77777777" w:rsidR="00C65ED0" w:rsidRPr="008A03F5" w:rsidRDefault="00C65ED0" w:rsidP="004356B2">
            <w:pPr>
              <w:widowControl w:val="0"/>
              <w:autoSpaceDE w:val="0"/>
              <w:autoSpaceDN w:val="0"/>
              <w:spacing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spacing w:val="-2"/>
                <w:kern w:val="0"/>
                <w:sz w:val="22"/>
                <w:szCs w:val="22"/>
                <w14:ligatures w14:val="none"/>
              </w:rPr>
              <w:t>Internal Verifier:</w:t>
            </w:r>
          </w:p>
        </w:tc>
        <w:tc>
          <w:tcPr>
            <w:tcW w:w="2950" w:type="dxa"/>
            <w:tcBorders>
              <w:top w:val="single" w:sz="4" w:space="0" w:color="000000"/>
              <w:left w:val="single" w:sz="4" w:space="0" w:color="000000"/>
              <w:bottom w:val="single" w:sz="4" w:space="0" w:color="000000"/>
              <w:right w:val="single" w:sz="4" w:space="0" w:color="000000"/>
            </w:tcBorders>
          </w:tcPr>
          <w:p w14:paraId="5FA53966" w14:textId="77777777" w:rsidR="00C65ED0" w:rsidRPr="008A03F5" w:rsidRDefault="00C65ED0" w:rsidP="004356B2">
            <w:pPr>
              <w:widowControl w:val="0"/>
              <w:autoSpaceDE w:val="0"/>
              <w:autoSpaceDN w:val="0"/>
              <w:spacing w:before="245" w:after="0" w:line="240" w:lineRule="auto"/>
              <w:rPr>
                <w:rFonts w:ascii="Times New Roman" w:eastAsia="Arial MT" w:hAnsi="Arial MT" w:cs="Arial MT"/>
                <w:kern w:val="0"/>
                <w:sz w:val="22"/>
                <w:szCs w:val="22"/>
                <w14:ligatures w14:val="none"/>
              </w:rPr>
            </w:pPr>
          </w:p>
          <w:p w14:paraId="6097EB09" w14:textId="77777777" w:rsidR="00C65ED0" w:rsidRPr="008A03F5" w:rsidRDefault="00C65ED0" w:rsidP="004356B2">
            <w:pPr>
              <w:widowControl w:val="0"/>
              <w:autoSpaceDE w:val="0"/>
              <w:autoSpaceDN w:val="0"/>
              <w:spacing w:after="0" w:line="348" w:lineRule="auto"/>
              <w:ind w:left="111" w:right="1455"/>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Md Kalam Samuel</w:t>
            </w:r>
            <w:r w:rsidRPr="008A03F5">
              <w:rPr>
                <w:rFonts w:ascii="Arial" w:eastAsia="Arial MT" w:hAnsi="Arial MT" w:cs="Arial MT"/>
                <w:b/>
                <w:spacing w:val="-16"/>
                <w:kern w:val="0"/>
                <w:sz w:val="22"/>
                <w:szCs w:val="22"/>
                <w14:ligatures w14:val="none"/>
              </w:rPr>
              <w:t xml:space="preserve"> </w:t>
            </w:r>
            <w:r w:rsidRPr="008A03F5">
              <w:rPr>
                <w:rFonts w:ascii="Arial" w:eastAsia="Arial MT" w:hAnsi="Arial MT" w:cs="Arial MT"/>
                <w:b/>
                <w:kern w:val="0"/>
                <w:sz w:val="22"/>
                <w:szCs w:val="22"/>
                <w14:ligatures w14:val="none"/>
              </w:rPr>
              <w:t>Ofori</w:t>
            </w:r>
          </w:p>
        </w:tc>
      </w:tr>
      <w:tr w:rsidR="00C65ED0" w:rsidRPr="008A03F5" w14:paraId="74CAC245" w14:textId="77777777" w:rsidTr="004356B2">
        <w:trPr>
          <w:trHeight w:val="300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63943FAC" w14:textId="77777777" w:rsidR="00C65ED0" w:rsidRPr="008A03F5" w:rsidRDefault="00C65ED0" w:rsidP="004356B2">
            <w:pPr>
              <w:widowControl w:val="0"/>
              <w:autoSpaceDE w:val="0"/>
              <w:autoSpaceDN w:val="0"/>
              <w:spacing w:before="123"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Assignment</w:t>
            </w:r>
            <w:r w:rsidRPr="008A03F5">
              <w:rPr>
                <w:rFonts w:ascii="Arial" w:eastAsia="Arial MT" w:hAnsi="Arial MT" w:cs="Arial MT"/>
                <w:b/>
                <w:spacing w:val="-6"/>
                <w:kern w:val="0"/>
                <w:sz w:val="22"/>
                <w:szCs w:val="22"/>
                <w14:ligatures w14:val="none"/>
              </w:rPr>
              <w:t xml:space="preserve"> </w:t>
            </w:r>
            <w:r w:rsidRPr="008A03F5">
              <w:rPr>
                <w:rFonts w:ascii="Arial" w:eastAsia="Arial MT" w:hAnsi="Arial MT" w:cs="Arial MT"/>
                <w:b/>
                <w:spacing w:val="-2"/>
                <w:kern w:val="0"/>
                <w:sz w:val="22"/>
                <w:szCs w:val="22"/>
                <w14:ligatures w14:val="none"/>
              </w:rPr>
              <w:t>Title:</w:t>
            </w:r>
          </w:p>
        </w:tc>
        <w:tc>
          <w:tcPr>
            <w:tcW w:w="3321" w:type="dxa"/>
            <w:tcBorders>
              <w:top w:val="single" w:sz="4" w:space="0" w:color="000000"/>
              <w:left w:val="single" w:sz="4" w:space="0" w:color="000000"/>
              <w:bottom w:val="single" w:sz="4" w:space="0" w:color="000000"/>
              <w:right w:val="single" w:sz="4" w:space="0" w:color="000000"/>
            </w:tcBorders>
            <w:hideMark/>
          </w:tcPr>
          <w:p w14:paraId="495B9BD3" w14:textId="77777777" w:rsidR="00C65ED0" w:rsidRPr="008A03F5" w:rsidRDefault="00C65ED0" w:rsidP="004356B2">
            <w:pPr>
              <w:widowControl w:val="0"/>
              <w:autoSpaceDE w:val="0"/>
              <w:autoSpaceDN w:val="0"/>
              <w:spacing w:before="120" w:after="0" w:line="240" w:lineRule="auto"/>
              <w:ind w:left="110"/>
              <w:rPr>
                <w:rFonts w:ascii="Arial MT" w:eastAsia="Arial MT" w:hAnsi="Arial MT" w:cs="Arial MT"/>
                <w:kern w:val="0"/>
                <w:szCs w:val="22"/>
                <w14:ligatures w14:val="none"/>
              </w:rPr>
            </w:pPr>
            <w:r w:rsidRPr="008A03F5">
              <w:rPr>
                <w:rFonts w:ascii="Arial MT" w:eastAsia="Arial MT" w:hAnsi="Arial MT" w:cs="Arial MT"/>
                <w:kern w:val="0"/>
                <w:szCs w:val="22"/>
                <w14:ligatures w14:val="none"/>
              </w:rPr>
              <w:t>A</w:t>
            </w:r>
            <w:r w:rsidRPr="008A03F5">
              <w:rPr>
                <w:rFonts w:ascii="Arial MT" w:eastAsia="Arial MT" w:hAnsi="Arial MT" w:cs="Arial MT"/>
                <w:spacing w:val="-2"/>
                <w:kern w:val="0"/>
                <w:szCs w:val="22"/>
                <w14:ligatures w14:val="none"/>
              </w:rPr>
              <w:t xml:space="preserve"> </w:t>
            </w:r>
            <w:r w:rsidRPr="008A03F5">
              <w:rPr>
                <w:rFonts w:ascii="Arial MT" w:eastAsia="Arial MT" w:hAnsi="Arial MT" w:cs="Arial MT"/>
                <w:kern w:val="0"/>
                <w:szCs w:val="22"/>
                <w14:ligatures w14:val="none"/>
              </w:rPr>
              <w:t>Project</w:t>
            </w:r>
            <w:r w:rsidRPr="008A03F5">
              <w:rPr>
                <w:rFonts w:ascii="Arial MT" w:eastAsia="Arial MT" w:hAnsi="Arial MT" w:cs="Arial MT"/>
                <w:spacing w:val="-2"/>
                <w:kern w:val="0"/>
                <w:szCs w:val="22"/>
                <w14:ligatures w14:val="none"/>
              </w:rPr>
              <w:t xml:space="preserve"> portfolio.</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A75CE89" w14:textId="77777777" w:rsidR="00C65ED0" w:rsidRPr="008A03F5" w:rsidRDefault="00C65ED0" w:rsidP="004356B2">
            <w:pPr>
              <w:widowControl w:val="0"/>
              <w:autoSpaceDE w:val="0"/>
              <w:autoSpaceDN w:val="0"/>
              <w:spacing w:before="123" w:after="0" w:line="240" w:lineRule="auto"/>
              <w:ind w:left="110" w:right="98"/>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Word</w:t>
            </w:r>
            <w:r w:rsidRPr="008A03F5">
              <w:rPr>
                <w:rFonts w:ascii="Arial" w:eastAsia="Arial MT" w:hAnsi="Arial MT" w:cs="Arial MT"/>
                <w:b/>
                <w:spacing w:val="80"/>
                <w:kern w:val="0"/>
                <w:sz w:val="22"/>
                <w:szCs w:val="22"/>
                <w14:ligatures w14:val="none"/>
              </w:rPr>
              <w:t xml:space="preserve"> </w:t>
            </w:r>
            <w:r w:rsidRPr="008A03F5">
              <w:rPr>
                <w:rFonts w:ascii="Arial" w:eastAsia="Arial MT" w:hAnsi="Arial MT" w:cs="Arial MT"/>
                <w:b/>
                <w:kern w:val="0"/>
                <w:sz w:val="22"/>
                <w:szCs w:val="22"/>
                <w14:ligatures w14:val="none"/>
              </w:rPr>
              <w:t xml:space="preserve">count </w:t>
            </w:r>
            <w:r w:rsidRPr="008A03F5">
              <w:rPr>
                <w:rFonts w:ascii="Arial" w:eastAsia="Arial MT" w:hAnsi="Arial MT" w:cs="Arial MT"/>
                <w:b/>
                <w:spacing w:val="-6"/>
                <w:kern w:val="0"/>
                <w:sz w:val="22"/>
                <w:szCs w:val="22"/>
                <w14:ligatures w14:val="none"/>
              </w:rPr>
              <w:t xml:space="preserve">or </w:t>
            </w:r>
            <w:r w:rsidRPr="008A03F5">
              <w:rPr>
                <w:rFonts w:ascii="Arial" w:eastAsia="Arial MT" w:hAnsi="Arial MT" w:cs="Arial MT"/>
                <w:b/>
                <w:spacing w:val="-2"/>
                <w:kern w:val="0"/>
                <w:sz w:val="22"/>
                <w:szCs w:val="22"/>
                <w14:ligatures w14:val="none"/>
              </w:rPr>
              <w:t>equivalent.</w:t>
            </w:r>
          </w:p>
        </w:tc>
        <w:tc>
          <w:tcPr>
            <w:tcW w:w="2950" w:type="dxa"/>
            <w:tcBorders>
              <w:top w:val="single" w:sz="4" w:space="0" w:color="000000"/>
              <w:left w:val="single" w:sz="4" w:space="0" w:color="000000"/>
              <w:bottom w:val="single" w:sz="4" w:space="0" w:color="000000"/>
              <w:right w:val="single" w:sz="4" w:space="0" w:color="000000"/>
            </w:tcBorders>
          </w:tcPr>
          <w:p w14:paraId="74813249" w14:textId="77777777" w:rsidR="00C65ED0" w:rsidRPr="008A03F5" w:rsidRDefault="00C65ED0" w:rsidP="004356B2">
            <w:pPr>
              <w:widowControl w:val="0"/>
              <w:autoSpaceDE w:val="0"/>
              <w:autoSpaceDN w:val="0"/>
              <w:spacing w:before="123" w:after="0" w:line="240" w:lineRule="auto"/>
              <w:ind w:left="111" w:right="93"/>
              <w:jc w:val="both"/>
              <w:rPr>
                <w:rFonts w:ascii="Arial MT" w:eastAsia="Arial MT" w:hAnsi="Arial MT" w:cs="Arial MT"/>
                <w:kern w:val="0"/>
                <w:sz w:val="22"/>
                <w:szCs w:val="22"/>
                <w14:ligatures w14:val="none"/>
              </w:rPr>
            </w:pPr>
            <w:r w:rsidRPr="008A03F5">
              <w:rPr>
                <w:rFonts w:ascii="Arial MT" w:eastAsia="Arial MT" w:hAnsi="Arial MT" w:cs="Arial MT"/>
                <w:kern w:val="0"/>
                <w:sz w:val="22"/>
                <w:szCs w:val="22"/>
                <w14:ligatures w14:val="none"/>
              </w:rPr>
              <w:t>Part A (Poster): Equivalent of 500 words</w:t>
            </w:r>
          </w:p>
          <w:p w14:paraId="1B731687" w14:textId="77777777" w:rsidR="00C65ED0" w:rsidRPr="008A03F5" w:rsidRDefault="00C65ED0" w:rsidP="004356B2">
            <w:pPr>
              <w:widowControl w:val="0"/>
              <w:autoSpaceDE w:val="0"/>
              <w:autoSpaceDN w:val="0"/>
              <w:spacing w:before="237" w:after="0" w:line="240" w:lineRule="auto"/>
              <w:rPr>
                <w:rFonts w:ascii="Times New Roman" w:eastAsia="Arial MT" w:hAnsi="Arial MT" w:cs="Arial MT"/>
                <w:kern w:val="0"/>
                <w:sz w:val="22"/>
                <w:szCs w:val="22"/>
                <w14:ligatures w14:val="none"/>
              </w:rPr>
            </w:pPr>
          </w:p>
          <w:p w14:paraId="29340433" w14:textId="77777777" w:rsidR="00C65ED0" w:rsidRPr="008A03F5" w:rsidRDefault="00C65ED0" w:rsidP="004356B2">
            <w:pPr>
              <w:widowControl w:val="0"/>
              <w:autoSpaceDE w:val="0"/>
              <w:autoSpaceDN w:val="0"/>
              <w:spacing w:after="0" w:line="240" w:lineRule="auto"/>
              <w:ind w:left="111" w:right="94"/>
              <w:jc w:val="both"/>
              <w:rPr>
                <w:rFonts w:ascii="Arial MT" w:eastAsia="Arial MT" w:hAnsi="Arial MT" w:cs="Arial MT"/>
                <w:kern w:val="0"/>
                <w:sz w:val="22"/>
                <w:szCs w:val="22"/>
                <w14:ligatures w14:val="none"/>
              </w:rPr>
            </w:pPr>
            <w:r w:rsidRPr="008A03F5">
              <w:rPr>
                <w:rFonts w:ascii="Arial MT" w:eastAsia="Arial MT" w:hAnsi="Arial MT" w:cs="Arial MT"/>
                <w:kern w:val="0"/>
                <w:sz w:val="22"/>
                <w:szCs w:val="22"/>
                <w14:ligatures w14:val="none"/>
              </w:rPr>
              <w:t xml:space="preserve">Part B (Reflection on Feedback): 500 words </w:t>
            </w:r>
            <w:r w:rsidRPr="008A03F5">
              <w:rPr>
                <w:rFonts w:ascii="Arial MT" w:eastAsia="Arial MT" w:hAnsi="Arial MT" w:cs="Arial MT"/>
                <w:spacing w:val="-2"/>
                <w:kern w:val="0"/>
                <w:sz w:val="22"/>
                <w:szCs w:val="22"/>
                <w14:ligatures w14:val="none"/>
              </w:rPr>
              <w:t>(10%+/-)</w:t>
            </w:r>
          </w:p>
          <w:p w14:paraId="4B91D31F" w14:textId="77777777" w:rsidR="00C65ED0" w:rsidRPr="008A03F5" w:rsidRDefault="00C65ED0" w:rsidP="004356B2">
            <w:pPr>
              <w:widowControl w:val="0"/>
              <w:autoSpaceDE w:val="0"/>
              <w:autoSpaceDN w:val="0"/>
              <w:spacing w:before="238" w:after="0" w:line="240" w:lineRule="auto"/>
              <w:rPr>
                <w:rFonts w:ascii="Times New Roman" w:eastAsia="Arial MT" w:hAnsi="Arial MT" w:cs="Arial MT"/>
                <w:kern w:val="0"/>
                <w:sz w:val="22"/>
                <w:szCs w:val="22"/>
                <w14:ligatures w14:val="none"/>
              </w:rPr>
            </w:pPr>
          </w:p>
          <w:p w14:paraId="345D27C0" w14:textId="77777777" w:rsidR="00C65ED0" w:rsidRPr="008A03F5" w:rsidRDefault="00C65ED0" w:rsidP="004356B2">
            <w:pPr>
              <w:widowControl w:val="0"/>
              <w:autoSpaceDE w:val="0"/>
              <w:autoSpaceDN w:val="0"/>
              <w:spacing w:after="0" w:line="240" w:lineRule="auto"/>
              <w:ind w:left="111" w:right="92"/>
              <w:jc w:val="both"/>
              <w:rPr>
                <w:rFonts w:ascii="Arial MT" w:eastAsia="Arial MT" w:hAnsi="Arial MT" w:cs="Arial MT"/>
                <w:kern w:val="0"/>
                <w:sz w:val="22"/>
                <w:szCs w:val="22"/>
                <w14:ligatures w14:val="none"/>
              </w:rPr>
            </w:pPr>
            <w:r w:rsidRPr="008A03F5">
              <w:rPr>
                <w:rFonts w:ascii="Arial MT" w:eastAsia="Arial MT" w:hAnsi="Arial MT" w:cs="Arial MT"/>
                <w:kern w:val="0"/>
                <w:sz w:val="22"/>
                <w:szCs w:val="22"/>
                <w14:ligatures w14:val="none"/>
              </w:rPr>
              <w:t>Part</w:t>
            </w:r>
            <w:r w:rsidRPr="008A03F5">
              <w:rPr>
                <w:rFonts w:ascii="Arial MT" w:eastAsia="Arial MT" w:hAnsi="Arial MT" w:cs="Arial MT"/>
                <w:spacing w:val="-16"/>
                <w:kern w:val="0"/>
                <w:sz w:val="22"/>
                <w:szCs w:val="22"/>
                <w14:ligatures w14:val="none"/>
              </w:rPr>
              <w:t xml:space="preserve"> </w:t>
            </w:r>
            <w:r w:rsidRPr="008A03F5">
              <w:rPr>
                <w:rFonts w:ascii="Arial MT" w:eastAsia="Arial MT" w:hAnsi="Arial MT" w:cs="Arial MT"/>
                <w:kern w:val="0"/>
                <w:sz w:val="22"/>
                <w:szCs w:val="22"/>
                <w14:ligatures w14:val="none"/>
              </w:rPr>
              <w:t>C</w:t>
            </w:r>
            <w:r w:rsidRPr="008A03F5">
              <w:rPr>
                <w:rFonts w:ascii="Arial MT" w:eastAsia="Arial MT" w:hAnsi="Arial MT" w:cs="Arial MT"/>
                <w:spacing w:val="-15"/>
                <w:kern w:val="0"/>
                <w:sz w:val="22"/>
                <w:szCs w:val="22"/>
                <w14:ligatures w14:val="none"/>
              </w:rPr>
              <w:t xml:space="preserve"> </w:t>
            </w:r>
            <w:r w:rsidRPr="008A03F5">
              <w:rPr>
                <w:rFonts w:ascii="Arial MT" w:eastAsia="Arial MT" w:hAnsi="Arial MT" w:cs="Arial MT"/>
                <w:kern w:val="0"/>
                <w:sz w:val="22"/>
                <w:szCs w:val="22"/>
                <w14:ligatures w14:val="none"/>
              </w:rPr>
              <w:t>(project</w:t>
            </w:r>
            <w:r w:rsidRPr="008A03F5">
              <w:rPr>
                <w:rFonts w:ascii="Arial MT" w:eastAsia="Arial MT" w:hAnsi="Arial MT" w:cs="Arial MT"/>
                <w:spacing w:val="-15"/>
                <w:kern w:val="0"/>
                <w:sz w:val="22"/>
                <w:szCs w:val="22"/>
                <w14:ligatures w14:val="none"/>
              </w:rPr>
              <w:t xml:space="preserve"> </w:t>
            </w:r>
            <w:r w:rsidRPr="008A03F5">
              <w:rPr>
                <w:rFonts w:ascii="Arial MT" w:eastAsia="Arial MT" w:hAnsi="Arial MT" w:cs="Arial MT"/>
                <w:kern w:val="0"/>
                <w:sz w:val="22"/>
                <w:szCs w:val="22"/>
                <w14:ligatures w14:val="none"/>
              </w:rPr>
              <w:t>management plan): 2500 words (10%+/-)</w:t>
            </w:r>
          </w:p>
        </w:tc>
      </w:tr>
      <w:tr w:rsidR="00C65ED0" w:rsidRPr="008A03F5" w14:paraId="3A31AD3C" w14:textId="77777777" w:rsidTr="004356B2">
        <w:trPr>
          <w:trHeight w:val="263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218BC2E2" w14:textId="77777777" w:rsidR="00C65ED0" w:rsidRPr="008A03F5" w:rsidRDefault="00C65ED0" w:rsidP="004356B2">
            <w:pPr>
              <w:widowControl w:val="0"/>
              <w:autoSpaceDE w:val="0"/>
              <w:autoSpaceDN w:val="0"/>
              <w:spacing w:before="118"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spacing w:val="-2"/>
                <w:kern w:val="0"/>
                <w:sz w:val="22"/>
                <w:szCs w:val="22"/>
                <w14:ligatures w14:val="none"/>
              </w:rPr>
              <w:t>Submission deadline:</w:t>
            </w:r>
          </w:p>
        </w:tc>
        <w:tc>
          <w:tcPr>
            <w:tcW w:w="3321" w:type="dxa"/>
            <w:tcBorders>
              <w:top w:val="single" w:sz="4" w:space="0" w:color="000000"/>
              <w:left w:val="single" w:sz="4" w:space="0" w:color="000000"/>
              <w:bottom w:val="single" w:sz="4" w:space="0" w:color="000000"/>
              <w:right w:val="single" w:sz="4" w:space="0" w:color="000000"/>
            </w:tcBorders>
            <w:hideMark/>
          </w:tcPr>
          <w:p w14:paraId="09C02EA6" w14:textId="77777777" w:rsidR="00C65ED0" w:rsidRPr="008A03F5" w:rsidRDefault="00C65ED0" w:rsidP="004356B2">
            <w:pPr>
              <w:widowControl w:val="0"/>
              <w:autoSpaceDE w:val="0"/>
              <w:autoSpaceDN w:val="0"/>
              <w:spacing w:before="118" w:after="0" w:line="240" w:lineRule="auto"/>
              <w:ind w:left="110"/>
              <w:rPr>
                <w:rFonts w:ascii="Arial" w:eastAsia="Arial MT" w:hAnsi="Arial MT" w:cs="Arial MT"/>
                <w:b/>
                <w:kern w:val="0"/>
                <w:sz w:val="22"/>
                <w:szCs w:val="22"/>
                <w14:ligatures w14:val="none"/>
              </w:rPr>
            </w:pPr>
            <w:r w:rsidRPr="008A03F5">
              <w:rPr>
                <w:rFonts w:ascii="Arial" w:eastAsia="Arial MT" w:hAnsi="Arial MT" w:cs="Arial MT"/>
                <w:b/>
                <w:color w:val="FF0000"/>
                <w:kern w:val="0"/>
                <w:sz w:val="22"/>
                <w:szCs w:val="22"/>
                <w14:ligatures w14:val="none"/>
              </w:rPr>
              <w:t>Submit</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part</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A,</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B</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&amp;</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C</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as</w:t>
            </w:r>
            <w:r w:rsidRPr="008A03F5">
              <w:rPr>
                <w:rFonts w:ascii="Arial" w:eastAsia="Arial MT" w:hAnsi="Arial MT" w:cs="Arial MT"/>
                <w:b/>
                <w:color w:val="FF0000"/>
                <w:spacing w:val="40"/>
                <w:kern w:val="0"/>
                <w:sz w:val="22"/>
                <w:szCs w:val="22"/>
                <w14:ligatures w14:val="none"/>
              </w:rPr>
              <w:t xml:space="preserve"> </w:t>
            </w:r>
            <w:r w:rsidRPr="008A03F5">
              <w:rPr>
                <w:rFonts w:ascii="Arial" w:eastAsia="Arial MT" w:hAnsi="Arial MT" w:cs="Arial MT"/>
                <w:b/>
                <w:color w:val="FF0000"/>
                <w:kern w:val="0"/>
                <w:sz w:val="22"/>
                <w:szCs w:val="22"/>
                <w14:ligatures w14:val="none"/>
              </w:rPr>
              <w:t>a single portfolio document</w:t>
            </w:r>
          </w:p>
          <w:p w14:paraId="2CCA41EA" w14:textId="77777777" w:rsidR="00C65ED0" w:rsidRPr="008A03F5" w:rsidRDefault="00C65ED0" w:rsidP="004356B2">
            <w:pPr>
              <w:widowControl w:val="0"/>
              <w:autoSpaceDE w:val="0"/>
              <w:autoSpaceDN w:val="0"/>
              <w:spacing w:before="119" w:after="0" w:line="360" w:lineRule="auto"/>
              <w:ind w:left="136" w:right="124"/>
              <w:jc w:val="center"/>
              <w:rPr>
                <w:rFonts w:ascii="Trebuchet MS" w:eastAsia="Arial MT" w:hAnsi="Arial MT" w:cs="Arial MT"/>
                <w:b/>
                <w:kern w:val="0"/>
                <w:sz w:val="22"/>
                <w:szCs w:val="22"/>
                <w14:ligatures w14:val="none"/>
              </w:rPr>
            </w:pPr>
            <w:r w:rsidRPr="008A03F5">
              <w:rPr>
                <w:rFonts w:ascii="Trebuchet MS" w:eastAsia="Arial MT" w:hAnsi="Arial MT" w:cs="Arial MT"/>
                <w:b/>
                <w:spacing w:val="-2"/>
                <w:w w:val="90"/>
                <w:kern w:val="0"/>
                <w:sz w:val="22"/>
                <w:szCs w:val="22"/>
                <w14:ligatures w14:val="none"/>
              </w:rPr>
              <w:t xml:space="preserve">Weekdays/Weekends </w:t>
            </w:r>
            <w:r w:rsidRPr="008A03F5">
              <w:rPr>
                <w:rFonts w:ascii="Trebuchet MS" w:eastAsia="Arial MT" w:hAnsi="Arial MT" w:cs="Arial MT"/>
                <w:b/>
                <w:spacing w:val="-2"/>
                <w:kern w:val="0"/>
                <w:sz w:val="22"/>
                <w:szCs w:val="22"/>
                <w14:ligatures w14:val="none"/>
              </w:rPr>
              <w:t>27/07/2026</w:t>
            </w:r>
          </w:p>
          <w:p w14:paraId="664F7CE8" w14:textId="77777777" w:rsidR="00C65ED0" w:rsidRPr="008A03F5" w:rsidRDefault="00C65ED0" w:rsidP="004356B2">
            <w:pPr>
              <w:widowControl w:val="0"/>
              <w:autoSpaceDE w:val="0"/>
              <w:autoSpaceDN w:val="0"/>
              <w:spacing w:after="0" w:line="240" w:lineRule="exact"/>
              <w:ind w:left="136" w:right="127"/>
              <w:jc w:val="center"/>
              <w:rPr>
                <w:rFonts w:ascii="Arial" w:eastAsia="Arial MT" w:hAnsi="Arial MT" w:cs="Arial MT"/>
                <w:b/>
                <w:kern w:val="0"/>
                <w:sz w:val="21"/>
                <w:szCs w:val="22"/>
                <w14:ligatures w14:val="none"/>
              </w:rPr>
            </w:pPr>
            <w:r w:rsidRPr="008A03F5">
              <w:rPr>
                <w:rFonts w:ascii="Arial" w:eastAsia="Arial MT" w:hAnsi="Arial MT" w:cs="Arial MT"/>
                <w:b/>
                <w:kern w:val="0"/>
                <w:sz w:val="21"/>
                <w:szCs w:val="22"/>
                <w14:ligatures w14:val="none"/>
              </w:rPr>
              <w:t>14:00</w:t>
            </w:r>
            <w:r w:rsidRPr="008A03F5">
              <w:rPr>
                <w:rFonts w:ascii="Arial" w:eastAsia="Arial MT" w:hAnsi="Arial MT" w:cs="Arial MT"/>
                <w:b/>
                <w:spacing w:val="-10"/>
                <w:kern w:val="0"/>
                <w:sz w:val="21"/>
                <w:szCs w:val="22"/>
                <w14:ligatures w14:val="none"/>
              </w:rPr>
              <w:t xml:space="preserve"> </w:t>
            </w:r>
            <w:r w:rsidRPr="008A03F5">
              <w:rPr>
                <w:rFonts w:ascii="Arial" w:eastAsia="Arial MT" w:hAnsi="Arial MT" w:cs="Arial MT"/>
                <w:b/>
                <w:spacing w:val="-2"/>
                <w:kern w:val="0"/>
                <w:sz w:val="21"/>
                <w:szCs w:val="22"/>
                <w14:ligatures w14:val="none"/>
              </w:rPr>
              <w:t>(2PM)</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1277B463" w14:textId="77777777" w:rsidR="00C65ED0" w:rsidRPr="008A03F5" w:rsidRDefault="00C65ED0" w:rsidP="004356B2">
            <w:pPr>
              <w:widowControl w:val="0"/>
              <w:tabs>
                <w:tab w:val="left" w:pos="1064"/>
              </w:tabs>
              <w:autoSpaceDE w:val="0"/>
              <w:autoSpaceDN w:val="0"/>
              <w:spacing w:after="0" w:line="240" w:lineRule="auto"/>
              <w:ind w:left="110" w:right="89"/>
              <w:rPr>
                <w:rFonts w:ascii="Arial" w:eastAsia="Arial MT" w:hAnsi="Arial MT" w:cs="Arial MT"/>
                <w:b/>
                <w:kern w:val="0"/>
                <w:sz w:val="22"/>
                <w:szCs w:val="22"/>
                <w14:ligatures w14:val="none"/>
              </w:rPr>
            </w:pPr>
            <w:r w:rsidRPr="008A03F5">
              <w:rPr>
                <w:rFonts w:ascii="Arial" w:eastAsia="Arial MT" w:hAnsi="Arial MT" w:cs="Arial MT"/>
                <w:b/>
                <w:kern w:val="0"/>
                <w:sz w:val="22"/>
                <w:szCs w:val="22"/>
                <w14:ligatures w14:val="none"/>
              </w:rPr>
              <w:t>Return</w:t>
            </w:r>
            <w:r w:rsidRPr="008A03F5">
              <w:rPr>
                <w:rFonts w:ascii="Arial" w:eastAsia="Arial MT" w:hAnsi="Arial MT" w:cs="Arial MT"/>
                <w:b/>
                <w:spacing w:val="80"/>
                <w:kern w:val="0"/>
                <w:sz w:val="22"/>
                <w:szCs w:val="22"/>
                <w14:ligatures w14:val="none"/>
              </w:rPr>
              <w:t xml:space="preserve"> </w:t>
            </w:r>
            <w:r w:rsidRPr="008A03F5">
              <w:rPr>
                <w:rFonts w:ascii="Arial" w:eastAsia="Arial MT" w:hAnsi="Arial MT" w:cs="Arial MT"/>
                <w:b/>
                <w:kern w:val="0"/>
                <w:sz w:val="22"/>
                <w:szCs w:val="22"/>
                <w14:ligatures w14:val="none"/>
              </w:rPr>
              <w:t xml:space="preserve">date </w:t>
            </w:r>
            <w:r w:rsidRPr="008A03F5">
              <w:rPr>
                <w:rFonts w:ascii="Arial" w:eastAsia="Arial MT" w:hAnsi="Arial MT" w:cs="Arial MT"/>
                <w:b/>
                <w:spacing w:val="-4"/>
                <w:kern w:val="0"/>
                <w:sz w:val="22"/>
                <w:szCs w:val="22"/>
                <w14:ligatures w14:val="none"/>
              </w:rPr>
              <w:t xml:space="preserve">for </w:t>
            </w:r>
            <w:r w:rsidRPr="008A03F5">
              <w:rPr>
                <w:rFonts w:ascii="Arial" w:eastAsia="Arial MT" w:hAnsi="Arial MT" w:cs="Arial MT"/>
                <w:b/>
                <w:spacing w:val="-2"/>
                <w:kern w:val="0"/>
                <w:sz w:val="22"/>
                <w:szCs w:val="22"/>
                <w14:ligatures w14:val="none"/>
              </w:rPr>
              <w:t>provisional marks</w:t>
            </w:r>
            <w:r w:rsidRPr="008A03F5">
              <w:rPr>
                <w:rFonts w:ascii="Arial" w:eastAsia="Arial MT" w:hAnsi="Arial MT" w:cs="Arial MT"/>
                <w:b/>
                <w:kern w:val="0"/>
                <w:sz w:val="22"/>
                <w:szCs w:val="22"/>
                <w14:ligatures w14:val="none"/>
              </w:rPr>
              <w:tab/>
            </w:r>
            <w:r w:rsidRPr="008A03F5">
              <w:rPr>
                <w:rFonts w:ascii="Arial" w:eastAsia="Arial MT" w:hAnsi="Arial MT" w:cs="Arial MT"/>
                <w:b/>
                <w:spacing w:val="-4"/>
                <w:kern w:val="0"/>
                <w:sz w:val="22"/>
                <w:szCs w:val="22"/>
                <w14:ligatures w14:val="none"/>
              </w:rPr>
              <w:t xml:space="preserve">and </w:t>
            </w:r>
            <w:r w:rsidRPr="008A03F5">
              <w:rPr>
                <w:rFonts w:ascii="Arial" w:eastAsia="Arial MT" w:hAnsi="Arial MT" w:cs="Arial MT"/>
                <w:b/>
                <w:spacing w:val="-2"/>
                <w:kern w:val="0"/>
                <w:sz w:val="22"/>
                <w:szCs w:val="22"/>
                <w14:ligatures w14:val="none"/>
              </w:rPr>
              <w:t>written feedback:</w:t>
            </w:r>
          </w:p>
        </w:tc>
        <w:tc>
          <w:tcPr>
            <w:tcW w:w="2950" w:type="dxa"/>
            <w:tcBorders>
              <w:top w:val="single" w:sz="4" w:space="0" w:color="000000"/>
              <w:left w:val="single" w:sz="4" w:space="0" w:color="000000"/>
              <w:bottom w:val="single" w:sz="4" w:space="0" w:color="000000"/>
              <w:right w:val="single" w:sz="4" w:space="0" w:color="000000"/>
            </w:tcBorders>
            <w:hideMark/>
          </w:tcPr>
          <w:p w14:paraId="15500738" w14:textId="77777777" w:rsidR="00C65ED0" w:rsidRPr="008A03F5" w:rsidRDefault="00C65ED0" w:rsidP="004356B2">
            <w:pPr>
              <w:widowControl w:val="0"/>
              <w:autoSpaceDE w:val="0"/>
              <w:autoSpaceDN w:val="0"/>
              <w:spacing w:before="123" w:after="0" w:line="240" w:lineRule="auto"/>
              <w:ind w:left="111"/>
              <w:rPr>
                <w:rFonts w:ascii="Arial" w:eastAsia="Arial MT" w:hAnsi="Arial MT" w:cs="Arial MT"/>
                <w:b/>
                <w:kern w:val="0"/>
                <w:sz w:val="22"/>
                <w:szCs w:val="22"/>
                <w14:ligatures w14:val="none"/>
              </w:rPr>
            </w:pPr>
            <w:r w:rsidRPr="008A03F5">
              <w:rPr>
                <w:rFonts w:ascii="Arial" w:eastAsia="Arial MT" w:hAnsi="Arial MT" w:cs="Arial MT"/>
                <w:b/>
                <w:spacing w:val="-2"/>
                <w:kern w:val="0"/>
                <w:sz w:val="22"/>
                <w:szCs w:val="22"/>
                <w14:ligatures w14:val="none"/>
              </w:rPr>
              <w:t>18/08/2026</w:t>
            </w:r>
          </w:p>
        </w:tc>
      </w:tr>
    </w:tbl>
    <w:p w14:paraId="289F290F" w14:textId="77777777" w:rsidR="00C65ED0" w:rsidRDefault="00C65ED0">
      <w:pPr>
        <w:rPr>
          <w:b/>
          <w:bCs/>
        </w:rPr>
      </w:pPr>
      <w:r>
        <w:rPr>
          <w:b/>
          <w:bCs/>
        </w:rPr>
        <w:br w:type="page"/>
      </w:r>
    </w:p>
    <w:sdt>
      <w:sdtPr>
        <w:rPr>
          <w:rFonts w:asciiTheme="minorHAnsi" w:eastAsiaTheme="minorHAnsi" w:hAnsiTheme="minorHAnsi" w:cstheme="minorBidi"/>
          <w:color w:val="auto"/>
          <w:kern w:val="2"/>
          <w:sz w:val="24"/>
          <w:szCs w:val="24"/>
          <w14:ligatures w14:val="standardContextual"/>
        </w:rPr>
        <w:id w:val="1861849122"/>
        <w:docPartObj>
          <w:docPartGallery w:val="Table of Contents"/>
          <w:docPartUnique/>
        </w:docPartObj>
      </w:sdtPr>
      <w:sdtEndPr>
        <w:rPr>
          <w:rFonts w:asciiTheme="majorBidi" w:hAnsiTheme="majorBidi" w:cstheme="majorBidi"/>
          <w:b/>
          <w:bCs/>
          <w:noProof/>
        </w:rPr>
      </w:sdtEndPr>
      <w:sdtContent>
        <w:p w14:paraId="5E81D4AD" w14:textId="1505B003" w:rsidR="00DA428A" w:rsidRPr="00DA428A" w:rsidRDefault="00DA428A" w:rsidP="00DA428A">
          <w:pPr>
            <w:pStyle w:val="TOCHeading"/>
            <w:spacing w:before="0" w:after="200"/>
            <w:jc w:val="center"/>
            <w:rPr>
              <w:rFonts w:asciiTheme="majorBidi" w:hAnsiTheme="majorBidi"/>
              <w:b/>
              <w:bCs/>
              <w:color w:val="auto"/>
              <w:u w:val="single"/>
            </w:rPr>
          </w:pPr>
          <w:r w:rsidRPr="00DA428A">
            <w:rPr>
              <w:rFonts w:asciiTheme="majorBidi" w:hAnsiTheme="majorBidi"/>
              <w:b/>
              <w:bCs/>
              <w:color w:val="auto"/>
              <w:u w:val="single"/>
            </w:rPr>
            <w:t>Table of Contents</w:t>
          </w:r>
        </w:p>
        <w:p w14:paraId="3AFA4AAA" w14:textId="33C484B8" w:rsidR="00353067" w:rsidRPr="00353067" w:rsidRDefault="00DA428A">
          <w:pPr>
            <w:pStyle w:val="TOC1"/>
            <w:tabs>
              <w:tab w:val="right" w:leader="dot" w:pos="9350"/>
            </w:tabs>
            <w:rPr>
              <w:rFonts w:asciiTheme="majorBidi" w:eastAsiaTheme="minorEastAsia" w:hAnsiTheme="majorBidi" w:cstheme="majorBidi"/>
              <w:noProof/>
            </w:rPr>
          </w:pPr>
          <w:r w:rsidRPr="00353067">
            <w:rPr>
              <w:rFonts w:asciiTheme="majorBidi" w:hAnsiTheme="majorBidi" w:cstheme="majorBidi"/>
            </w:rPr>
            <w:fldChar w:fldCharType="begin"/>
          </w:r>
          <w:r w:rsidRPr="00353067">
            <w:rPr>
              <w:rFonts w:asciiTheme="majorBidi" w:hAnsiTheme="majorBidi" w:cstheme="majorBidi"/>
            </w:rPr>
            <w:instrText xml:space="preserve"> TOC \o "1-3" \h \z \u </w:instrText>
          </w:r>
          <w:r w:rsidRPr="00353067">
            <w:rPr>
              <w:rFonts w:asciiTheme="majorBidi" w:hAnsiTheme="majorBidi" w:cstheme="majorBidi"/>
            </w:rPr>
            <w:fldChar w:fldCharType="separate"/>
          </w:r>
          <w:hyperlink w:anchor="_Toc233323301" w:history="1">
            <w:r w:rsidR="00353067" w:rsidRPr="00353067">
              <w:rPr>
                <w:rStyle w:val="Hyperlink"/>
                <w:rFonts w:asciiTheme="majorBidi" w:hAnsiTheme="majorBidi" w:cstheme="majorBidi"/>
                <w:noProof/>
              </w:rPr>
              <w:t>Part A</w:t>
            </w:r>
            <w:r w:rsidR="00353067" w:rsidRPr="00353067">
              <w:rPr>
                <w:rFonts w:asciiTheme="majorBidi" w:hAnsiTheme="majorBidi" w:cstheme="majorBidi"/>
                <w:noProof/>
                <w:webHidden/>
              </w:rPr>
              <w:tab/>
            </w:r>
            <w:r w:rsidR="00353067" w:rsidRPr="00353067">
              <w:rPr>
                <w:rFonts w:asciiTheme="majorBidi" w:hAnsiTheme="majorBidi" w:cstheme="majorBidi"/>
                <w:noProof/>
                <w:webHidden/>
              </w:rPr>
              <w:fldChar w:fldCharType="begin"/>
            </w:r>
            <w:r w:rsidR="00353067" w:rsidRPr="00353067">
              <w:rPr>
                <w:rFonts w:asciiTheme="majorBidi" w:hAnsiTheme="majorBidi" w:cstheme="majorBidi"/>
                <w:noProof/>
                <w:webHidden/>
              </w:rPr>
              <w:instrText xml:space="preserve"> PAGEREF _Toc233323301 \h </w:instrText>
            </w:r>
            <w:r w:rsidR="00353067" w:rsidRPr="00353067">
              <w:rPr>
                <w:rFonts w:asciiTheme="majorBidi" w:hAnsiTheme="majorBidi" w:cstheme="majorBidi"/>
                <w:noProof/>
                <w:webHidden/>
              </w:rPr>
            </w:r>
            <w:r w:rsidR="00353067" w:rsidRPr="00353067">
              <w:rPr>
                <w:rFonts w:asciiTheme="majorBidi" w:hAnsiTheme="majorBidi" w:cstheme="majorBidi"/>
                <w:noProof/>
                <w:webHidden/>
              </w:rPr>
              <w:fldChar w:fldCharType="separate"/>
            </w:r>
            <w:r w:rsidR="00353067" w:rsidRPr="00353067">
              <w:rPr>
                <w:rFonts w:asciiTheme="majorBidi" w:hAnsiTheme="majorBidi" w:cstheme="majorBidi"/>
                <w:noProof/>
                <w:webHidden/>
              </w:rPr>
              <w:t>3</w:t>
            </w:r>
            <w:r w:rsidR="00353067" w:rsidRPr="00353067">
              <w:rPr>
                <w:rFonts w:asciiTheme="majorBidi" w:hAnsiTheme="majorBidi" w:cstheme="majorBidi"/>
                <w:noProof/>
                <w:webHidden/>
              </w:rPr>
              <w:fldChar w:fldCharType="end"/>
            </w:r>
          </w:hyperlink>
        </w:p>
        <w:p w14:paraId="2F0F22A4" w14:textId="2D7EA3B1" w:rsidR="00353067" w:rsidRPr="00353067" w:rsidRDefault="00353067">
          <w:pPr>
            <w:pStyle w:val="TOC1"/>
            <w:tabs>
              <w:tab w:val="right" w:leader="dot" w:pos="9350"/>
            </w:tabs>
            <w:rPr>
              <w:rFonts w:asciiTheme="majorBidi" w:eastAsiaTheme="minorEastAsia" w:hAnsiTheme="majorBidi" w:cstheme="majorBidi"/>
              <w:noProof/>
            </w:rPr>
          </w:pPr>
          <w:hyperlink w:anchor="_Toc233323302" w:history="1">
            <w:r w:rsidRPr="00353067">
              <w:rPr>
                <w:rStyle w:val="Hyperlink"/>
                <w:rFonts w:asciiTheme="majorBidi" w:hAnsiTheme="majorBidi" w:cstheme="majorBidi"/>
                <w:noProof/>
              </w:rPr>
              <w:t>Part B</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_Toc233323302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4</w:t>
            </w:r>
            <w:r w:rsidRPr="00353067">
              <w:rPr>
                <w:rFonts w:asciiTheme="majorBidi" w:hAnsiTheme="majorBidi" w:cstheme="majorBidi"/>
                <w:noProof/>
                <w:webHidden/>
              </w:rPr>
              <w:fldChar w:fldCharType="end"/>
            </w:r>
          </w:hyperlink>
        </w:p>
        <w:p w14:paraId="72B0C0F8" w14:textId="2051A0B3" w:rsidR="00353067" w:rsidRPr="00353067" w:rsidRDefault="00353067">
          <w:pPr>
            <w:pStyle w:val="TOC1"/>
            <w:tabs>
              <w:tab w:val="right" w:leader="dot" w:pos="9350"/>
            </w:tabs>
            <w:rPr>
              <w:rFonts w:asciiTheme="majorBidi" w:eastAsiaTheme="minorEastAsia" w:hAnsiTheme="majorBidi" w:cstheme="majorBidi"/>
              <w:noProof/>
            </w:rPr>
          </w:pPr>
          <w:hyperlink w:anchor="_Toc233323303" w:history="1">
            <w:r w:rsidRPr="00353067">
              <w:rPr>
                <w:rStyle w:val="Hyperlink"/>
                <w:rFonts w:asciiTheme="majorBidi" w:hAnsiTheme="majorBidi" w:cstheme="majorBidi"/>
                <w:noProof/>
              </w:rPr>
              <w:t>Part C</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_Toc233323303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6</w:t>
            </w:r>
            <w:r w:rsidRPr="00353067">
              <w:rPr>
                <w:rFonts w:asciiTheme="majorBidi" w:hAnsiTheme="majorBidi" w:cstheme="majorBidi"/>
                <w:noProof/>
                <w:webHidden/>
              </w:rPr>
              <w:fldChar w:fldCharType="end"/>
            </w:r>
          </w:hyperlink>
        </w:p>
        <w:p w14:paraId="01E7F0AB" w14:textId="597F7592"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4" w:history="1">
            <w:r w:rsidRPr="00353067">
              <w:rPr>
                <w:rStyle w:val="Hyperlink"/>
                <w:rFonts w:asciiTheme="majorBidi" w:hAnsiTheme="majorBidi" w:cstheme="majorBidi"/>
                <w:noProof/>
              </w:rPr>
              <w:t>1.</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Introduction</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_Toc233323304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6</w:t>
            </w:r>
            <w:r w:rsidRPr="00353067">
              <w:rPr>
                <w:rFonts w:asciiTheme="majorBidi" w:hAnsiTheme="majorBidi" w:cstheme="majorBidi"/>
                <w:noProof/>
                <w:webHidden/>
              </w:rPr>
              <w:fldChar w:fldCharType="end"/>
            </w:r>
          </w:hyperlink>
        </w:p>
        <w:p w14:paraId="3A088C4A" w14:textId="4701823D"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5" w:history="1">
            <w:r w:rsidRPr="00353067">
              <w:rPr>
                <w:rStyle w:val="Hyperlink"/>
                <w:rFonts w:asciiTheme="majorBidi" w:hAnsiTheme="majorBidi" w:cstheme="majorBidi"/>
                <w:noProof/>
              </w:rPr>
              <w:t>2.</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Detailed Project Description</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_Toc233323305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6</w:t>
            </w:r>
            <w:r w:rsidRPr="00353067">
              <w:rPr>
                <w:rFonts w:asciiTheme="majorBidi" w:hAnsiTheme="majorBidi" w:cstheme="majorBidi"/>
                <w:noProof/>
                <w:webHidden/>
              </w:rPr>
              <w:fldChar w:fldCharType="end"/>
            </w:r>
          </w:hyperlink>
        </w:p>
        <w:p w14:paraId="74FAC740" w14:textId="11C75F96"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6" w:history="1">
            <w:r w:rsidRPr="00353067">
              <w:rPr>
                <w:rStyle w:val="Hyperlink"/>
                <w:rFonts w:asciiTheme="majorBidi" w:hAnsiTheme="majorBidi" w:cstheme="majorBidi"/>
                <w:noProof/>
              </w:rPr>
              <w:t>3.</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Project Scope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_Toc233323306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7</w:t>
            </w:r>
            <w:r w:rsidRPr="00353067">
              <w:rPr>
                <w:rFonts w:asciiTheme="majorBidi" w:hAnsiTheme="majorBidi" w:cstheme="majorBidi"/>
                <w:noProof/>
                <w:webHidden/>
              </w:rPr>
              <w:fldChar w:fldCharType="end"/>
            </w:r>
          </w:hyperlink>
        </w:p>
        <w:p w14:paraId="53BAE752" w14:textId="3AD4C36B"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7" w:history="1">
            <w:r w:rsidRPr="00353067">
              <w:rPr>
                <w:rStyle w:val="Hyperlink"/>
                <w:rFonts w:asciiTheme="majorBidi" w:hAnsiTheme="majorBidi" w:cstheme="majorBidi"/>
                <w:noProof/>
              </w:rPr>
              <w:t>4.</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Work Breakdown Structure (WBS) and Deliverables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_Toc233323307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8</w:t>
            </w:r>
            <w:r w:rsidRPr="00353067">
              <w:rPr>
                <w:rFonts w:asciiTheme="majorBidi" w:hAnsiTheme="majorBidi" w:cstheme="majorBidi"/>
                <w:noProof/>
                <w:webHidden/>
              </w:rPr>
              <w:fldChar w:fldCharType="end"/>
            </w:r>
          </w:hyperlink>
        </w:p>
        <w:p w14:paraId="44492568" w14:textId="7D2E2FB4"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8" w:history="1">
            <w:r w:rsidRPr="00353067">
              <w:rPr>
                <w:rStyle w:val="Hyperlink"/>
                <w:rFonts w:asciiTheme="majorBidi" w:hAnsiTheme="majorBidi" w:cstheme="majorBidi"/>
                <w:noProof/>
              </w:rPr>
              <w:t>5.</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Quad Chart Analysis</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_Toc233323308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10</w:t>
            </w:r>
            <w:r w:rsidRPr="00353067">
              <w:rPr>
                <w:rFonts w:asciiTheme="majorBidi" w:hAnsiTheme="majorBidi" w:cstheme="majorBidi"/>
                <w:noProof/>
                <w:webHidden/>
              </w:rPr>
              <w:fldChar w:fldCharType="end"/>
            </w:r>
          </w:hyperlink>
        </w:p>
        <w:p w14:paraId="452CE0D8" w14:textId="5A89757B"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09" w:history="1">
            <w:r w:rsidRPr="00353067">
              <w:rPr>
                <w:rStyle w:val="Hyperlink"/>
                <w:rFonts w:asciiTheme="majorBidi" w:hAnsiTheme="majorBidi" w:cstheme="majorBidi"/>
                <w:noProof/>
              </w:rPr>
              <w:t>6.</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Gantt Chart and Schedule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_Toc233323309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11</w:t>
            </w:r>
            <w:r w:rsidRPr="00353067">
              <w:rPr>
                <w:rFonts w:asciiTheme="majorBidi" w:hAnsiTheme="majorBidi" w:cstheme="majorBidi"/>
                <w:noProof/>
                <w:webHidden/>
              </w:rPr>
              <w:fldChar w:fldCharType="end"/>
            </w:r>
          </w:hyperlink>
        </w:p>
        <w:p w14:paraId="65BAA50B" w14:textId="79F14384"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10" w:history="1">
            <w:r w:rsidRPr="00353067">
              <w:rPr>
                <w:rStyle w:val="Hyperlink"/>
                <w:rFonts w:asciiTheme="majorBidi" w:hAnsiTheme="majorBidi" w:cstheme="majorBidi"/>
                <w:noProof/>
              </w:rPr>
              <w:t>7.</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Stakeholder Involvement and Communication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_Toc233323310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13</w:t>
            </w:r>
            <w:r w:rsidRPr="00353067">
              <w:rPr>
                <w:rFonts w:asciiTheme="majorBidi" w:hAnsiTheme="majorBidi" w:cstheme="majorBidi"/>
                <w:noProof/>
                <w:webHidden/>
              </w:rPr>
              <w:fldChar w:fldCharType="end"/>
            </w:r>
          </w:hyperlink>
        </w:p>
        <w:p w14:paraId="445A8A63" w14:textId="2D0059BF"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11" w:history="1">
            <w:r w:rsidRPr="00353067">
              <w:rPr>
                <w:rStyle w:val="Hyperlink"/>
                <w:rFonts w:asciiTheme="majorBidi" w:hAnsiTheme="majorBidi" w:cstheme="majorBidi"/>
                <w:noProof/>
              </w:rPr>
              <w:t>8.</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Resource Allocation and Cost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_Toc233323311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14</w:t>
            </w:r>
            <w:r w:rsidRPr="00353067">
              <w:rPr>
                <w:rFonts w:asciiTheme="majorBidi" w:hAnsiTheme="majorBidi" w:cstheme="majorBidi"/>
                <w:noProof/>
                <w:webHidden/>
              </w:rPr>
              <w:fldChar w:fldCharType="end"/>
            </w:r>
          </w:hyperlink>
        </w:p>
        <w:p w14:paraId="607BC750" w14:textId="1C73D723" w:rsidR="00353067" w:rsidRPr="00353067" w:rsidRDefault="00353067">
          <w:pPr>
            <w:pStyle w:val="TOC1"/>
            <w:tabs>
              <w:tab w:val="left" w:pos="480"/>
              <w:tab w:val="right" w:leader="dot" w:pos="9350"/>
            </w:tabs>
            <w:rPr>
              <w:rFonts w:asciiTheme="majorBidi" w:eastAsiaTheme="minorEastAsia" w:hAnsiTheme="majorBidi" w:cstheme="majorBidi"/>
              <w:noProof/>
            </w:rPr>
          </w:pPr>
          <w:hyperlink w:anchor="_Toc233323312" w:history="1">
            <w:r w:rsidRPr="00353067">
              <w:rPr>
                <w:rStyle w:val="Hyperlink"/>
                <w:rFonts w:asciiTheme="majorBidi" w:hAnsiTheme="majorBidi" w:cstheme="majorBidi"/>
                <w:noProof/>
              </w:rPr>
              <w:t>9.</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Risk Analysis and Mitigation Plan</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_Toc233323312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15</w:t>
            </w:r>
            <w:r w:rsidRPr="00353067">
              <w:rPr>
                <w:rFonts w:asciiTheme="majorBidi" w:hAnsiTheme="majorBidi" w:cstheme="majorBidi"/>
                <w:noProof/>
                <w:webHidden/>
              </w:rPr>
              <w:fldChar w:fldCharType="end"/>
            </w:r>
          </w:hyperlink>
        </w:p>
        <w:p w14:paraId="079A2F9E" w14:textId="6189FE95" w:rsidR="00353067" w:rsidRPr="00353067" w:rsidRDefault="00353067">
          <w:pPr>
            <w:pStyle w:val="TOC1"/>
            <w:tabs>
              <w:tab w:val="left" w:pos="720"/>
              <w:tab w:val="right" w:leader="dot" w:pos="9350"/>
            </w:tabs>
            <w:rPr>
              <w:rFonts w:asciiTheme="majorBidi" w:eastAsiaTheme="minorEastAsia" w:hAnsiTheme="majorBidi" w:cstheme="majorBidi"/>
              <w:noProof/>
            </w:rPr>
          </w:pPr>
          <w:hyperlink w:anchor="_Toc233323313" w:history="1">
            <w:r w:rsidRPr="00353067">
              <w:rPr>
                <w:rStyle w:val="Hyperlink"/>
                <w:rFonts w:asciiTheme="majorBidi" w:hAnsiTheme="majorBidi" w:cstheme="majorBidi"/>
                <w:noProof/>
              </w:rPr>
              <w:t>10.</w:t>
            </w:r>
            <w:r w:rsidRPr="00353067">
              <w:rPr>
                <w:rFonts w:asciiTheme="majorBidi" w:eastAsiaTheme="minorEastAsia" w:hAnsiTheme="majorBidi" w:cstheme="majorBidi"/>
                <w:noProof/>
              </w:rPr>
              <w:tab/>
            </w:r>
            <w:r w:rsidRPr="00353067">
              <w:rPr>
                <w:rStyle w:val="Hyperlink"/>
                <w:rFonts w:asciiTheme="majorBidi" w:hAnsiTheme="majorBidi" w:cstheme="majorBidi"/>
                <w:noProof/>
              </w:rPr>
              <w:t>Conclusion</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_Toc233323313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16</w:t>
            </w:r>
            <w:r w:rsidRPr="00353067">
              <w:rPr>
                <w:rFonts w:asciiTheme="majorBidi" w:hAnsiTheme="majorBidi" w:cstheme="majorBidi"/>
                <w:noProof/>
                <w:webHidden/>
              </w:rPr>
              <w:fldChar w:fldCharType="end"/>
            </w:r>
          </w:hyperlink>
        </w:p>
        <w:p w14:paraId="412174EC" w14:textId="2AE58BDE" w:rsidR="00353067" w:rsidRPr="00353067" w:rsidRDefault="00353067">
          <w:pPr>
            <w:pStyle w:val="TOC1"/>
            <w:tabs>
              <w:tab w:val="right" w:leader="dot" w:pos="9350"/>
            </w:tabs>
            <w:rPr>
              <w:rFonts w:asciiTheme="majorBidi" w:eastAsiaTheme="minorEastAsia" w:hAnsiTheme="majorBidi" w:cstheme="majorBidi"/>
              <w:noProof/>
            </w:rPr>
          </w:pPr>
          <w:hyperlink w:anchor="_Toc233323314" w:history="1">
            <w:r w:rsidRPr="00353067">
              <w:rPr>
                <w:rStyle w:val="Hyperlink"/>
                <w:rFonts w:asciiTheme="majorBidi" w:hAnsiTheme="majorBidi" w:cstheme="majorBidi"/>
                <w:noProof/>
              </w:rPr>
              <w:t>References</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_Toc233323314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17</w:t>
            </w:r>
            <w:r w:rsidRPr="00353067">
              <w:rPr>
                <w:rFonts w:asciiTheme="majorBidi" w:hAnsiTheme="majorBidi" w:cstheme="majorBidi"/>
                <w:noProof/>
                <w:webHidden/>
              </w:rPr>
              <w:fldChar w:fldCharType="end"/>
            </w:r>
          </w:hyperlink>
        </w:p>
        <w:p w14:paraId="7784FF71" w14:textId="3B8F683D" w:rsidR="004605EC" w:rsidRPr="00353067" w:rsidRDefault="00DA428A" w:rsidP="004605EC">
          <w:pPr>
            <w:jc w:val="center"/>
            <w:rPr>
              <w:rFonts w:asciiTheme="majorBidi" w:eastAsiaTheme="majorEastAsia" w:hAnsiTheme="majorBidi" w:cstheme="majorBidi"/>
              <w:b/>
              <w:bCs/>
              <w:kern w:val="0"/>
              <w:sz w:val="32"/>
              <w:szCs w:val="32"/>
              <w:u w:val="single"/>
              <w14:ligatures w14:val="none"/>
            </w:rPr>
          </w:pPr>
          <w:r w:rsidRPr="00353067">
            <w:rPr>
              <w:rFonts w:asciiTheme="majorBidi" w:hAnsiTheme="majorBidi" w:cstheme="majorBidi"/>
              <w:noProof/>
            </w:rPr>
            <w:fldChar w:fldCharType="end"/>
          </w:r>
          <w:r w:rsidR="004605EC" w:rsidRPr="00353067">
            <w:rPr>
              <w:rFonts w:asciiTheme="majorBidi" w:eastAsiaTheme="majorEastAsia" w:hAnsiTheme="majorBidi" w:cstheme="majorBidi"/>
              <w:b/>
              <w:bCs/>
              <w:kern w:val="0"/>
              <w:sz w:val="32"/>
              <w:szCs w:val="32"/>
              <w:u w:val="single"/>
              <w14:ligatures w14:val="none"/>
            </w:rPr>
            <w:t>List of Tables</w:t>
          </w:r>
        </w:p>
        <w:p w14:paraId="2F62E88A" w14:textId="77777777" w:rsidR="004605EC" w:rsidRPr="00353067" w:rsidRDefault="004605EC">
          <w:pPr>
            <w:pStyle w:val="TableofFigures"/>
            <w:tabs>
              <w:tab w:val="right" w:leader="dot" w:pos="9350"/>
            </w:tabs>
            <w:rPr>
              <w:rFonts w:asciiTheme="majorBidi" w:hAnsiTheme="majorBidi" w:cstheme="majorBidi"/>
              <w:noProof/>
            </w:rPr>
          </w:pPr>
          <w:r w:rsidRPr="00353067">
            <w:rPr>
              <w:rFonts w:asciiTheme="majorBidi" w:hAnsiTheme="majorBidi" w:cstheme="majorBidi"/>
              <w:noProof/>
            </w:rPr>
            <w:fldChar w:fldCharType="begin"/>
          </w:r>
          <w:r w:rsidRPr="00353067">
            <w:rPr>
              <w:rFonts w:asciiTheme="majorBidi" w:hAnsiTheme="majorBidi" w:cstheme="majorBidi"/>
              <w:noProof/>
            </w:rPr>
            <w:instrText xml:space="preserve"> TOC \h \z \c "Table" </w:instrText>
          </w:r>
          <w:r w:rsidRPr="00353067">
            <w:rPr>
              <w:rFonts w:asciiTheme="majorBidi" w:hAnsiTheme="majorBidi" w:cstheme="majorBidi"/>
              <w:noProof/>
            </w:rPr>
            <w:fldChar w:fldCharType="separate"/>
          </w:r>
          <w:hyperlink w:anchor="_Toc232338913" w:history="1">
            <w:r w:rsidRPr="00353067">
              <w:rPr>
                <w:rStyle w:val="Hyperlink"/>
                <w:rFonts w:asciiTheme="majorBidi" w:hAnsiTheme="majorBidi" w:cstheme="majorBidi"/>
                <w:noProof/>
              </w:rPr>
              <w:t>Table 1: Work Breakdown Structure (WBS) and Deliverables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_Toc232338913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5</w:t>
            </w:r>
            <w:r w:rsidRPr="00353067">
              <w:rPr>
                <w:rFonts w:asciiTheme="majorBidi" w:hAnsiTheme="majorBidi" w:cstheme="majorBidi"/>
                <w:noProof/>
                <w:webHidden/>
              </w:rPr>
              <w:fldChar w:fldCharType="end"/>
            </w:r>
          </w:hyperlink>
        </w:p>
        <w:p w14:paraId="007FB839" w14:textId="77777777" w:rsidR="004605EC" w:rsidRPr="00353067" w:rsidRDefault="004605EC">
          <w:pPr>
            <w:pStyle w:val="TableofFigures"/>
            <w:tabs>
              <w:tab w:val="right" w:leader="dot" w:pos="9350"/>
            </w:tabs>
            <w:rPr>
              <w:rFonts w:asciiTheme="majorBidi" w:hAnsiTheme="majorBidi" w:cstheme="majorBidi"/>
              <w:noProof/>
            </w:rPr>
          </w:pPr>
          <w:hyperlink w:anchor="_Toc232338914" w:history="1">
            <w:r w:rsidRPr="00353067">
              <w:rPr>
                <w:rStyle w:val="Hyperlink"/>
                <w:rFonts w:asciiTheme="majorBidi" w:hAnsiTheme="majorBidi" w:cstheme="majorBidi"/>
                <w:noProof/>
              </w:rPr>
              <w:t>Table 2: Stakeholder Matrix (Power–Interest Grid)</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_Toc232338914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10</w:t>
            </w:r>
            <w:r w:rsidRPr="00353067">
              <w:rPr>
                <w:rFonts w:asciiTheme="majorBidi" w:hAnsiTheme="majorBidi" w:cstheme="majorBidi"/>
                <w:noProof/>
                <w:webHidden/>
              </w:rPr>
              <w:fldChar w:fldCharType="end"/>
            </w:r>
          </w:hyperlink>
        </w:p>
        <w:p w14:paraId="3ECB1E20" w14:textId="77777777" w:rsidR="004605EC" w:rsidRPr="00353067" w:rsidRDefault="004605EC">
          <w:pPr>
            <w:pStyle w:val="TableofFigures"/>
            <w:tabs>
              <w:tab w:val="right" w:leader="dot" w:pos="9350"/>
            </w:tabs>
            <w:rPr>
              <w:rFonts w:asciiTheme="majorBidi" w:hAnsiTheme="majorBidi" w:cstheme="majorBidi"/>
              <w:noProof/>
            </w:rPr>
          </w:pPr>
          <w:hyperlink w:anchor="_Toc232338915" w:history="1">
            <w:r w:rsidRPr="00353067">
              <w:rPr>
                <w:rStyle w:val="Hyperlink"/>
                <w:rFonts w:asciiTheme="majorBidi" w:hAnsiTheme="majorBidi" w:cstheme="majorBidi"/>
                <w:noProof/>
              </w:rPr>
              <w:t>Table 3: Communication Plan</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_Toc232338915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10</w:t>
            </w:r>
            <w:r w:rsidRPr="00353067">
              <w:rPr>
                <w:rFonts w:asciiTheme="majorBidi" w:hAnsiTheme="majorBidi" w:cstheme="majorBidi"/>
                <w:noProof/>
                <w:webHidden/>
              </w:rPr>
              <w:fldChar w:fldCharType="end"/>
            </w:r>
          </w:hyperlink>
        </w:p>
        <w:p w14:paraId="114F8D0B" w14:textId="77777777" w:rsidR="004605EC" w:rsidRPr="00353067" w:rsidRDefault="004605EC">
          <w:pPr>
            <w:pStyle w:val="TableofFigures"/>
            <w:tabs>
              <w:tab w:val="right" w:leader="dot" w:pos="9350"/>
            </w:tabs>
            <w:rPr>
              <w:rFonts w:asciiTheme="majorBidi" w:hAnsiTheme="majorBidi" w:cstheme="majorBidi"/>
              <w:noProof/>
            </w:rPr>
          </w:pPr>
          <w:hyperlink w:anchor="_Toc232338916" w:history="1">
            <w:r w:rsidRPr="00353067">
              <w:rPr>
                <w:rStyle w:val="Hyperlink"/>
                <w:rFonts w:asciiTheme="majorBidi" w:hAnsiTheme="majorBidi" w:cstheme="majorBidi"/>
                <w:noProof/>
              </w:rPr>
              <w:t>Table 4: Risk Register</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_Toc232338916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12</w:t>
            </w:r>
            <w:r w:rsidRPr="00353067">
              <w:rPr>
                <w:rFonts w:asciiTheme="majorBidi" w:hAnsiTheme="majorBidi" w:cstheme="majorBidi"/>
                <w:noProof/>
                <w:webHidden/>
              </w:rPr>
              <w:fldChar w:fldCharType="end"/>
            </w:r>
          </w:hyperlink>
        </w:p>
        <w:p w14:paraId="33E28EA7" w14:textId="77777777" w:rsidR="004605EC" w:rsidRPr="00353067" w:rsidRDefault="004605EC">
          <w:pPr>
            <w:pStyle w:val="TableofFigures"/>
            <w:tabs>
              <w:tab w:val="right" w:leader="dot" w:pos="9350"/>
            </w:tabs>
            <w:rPr>
              <w:rFonts w:asciiTheme="majorBidi" w:hAnsiTheme="majorBidi" w:cstheme="majorBidi"/>
              <w:noProof/>
            </w:rPr>
          </w:pPr>
          <w:hyperlink w:anchor="_Toc232338917" w:history="1">
            <w:r w:rsidRPr="00353067">
              <w:rPr>
                <w:rStyle w:val="Hyperlink"/>
                <w:rFonts w:asciiTheme="majorBidi" w:hAnsiTheme="majorBidi" w:cstheme="majorBidi"/>
                <w:noProof/>
              </w:rPr>
              <w:t>Table 5: Risk Matrix</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_Toc232338917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12</w:t>
            </w:r>
            <w:r w:rsidRPr="00353067">
              <w:rPr>
                <w:rFonts w:asciiTheme="majorBidi" w:hAnsiTheme="majorBidi" w:cstheme="majorBidi"/>
                <w:noProof/>
                <w:webHidden/>
              </w:rPr>
              <w:fldChar w:fldCharType="end"/>
            </w:r>
          </w:hyperlink>
        </w:p>
        <w:p w14:paraId="41D63692" w14:textId="53B05E2F" w:rsidR="004605EC" w:rsidRPr="00353067" w:rsidRDefault="004605EC" w:rsidP="004605EC">
          <w:pPr>
            <w:rPr>
              <w:rFonts w:asciiTheme="majorBidi" w:eastAsiaTheme="majorEastAsia" w:hAnsiTheme="majorBidi" w:cstheme="majorBidi"/>
              <w:b/>
              <w:bCs/>
              <w:kern w:val="0"/>
              <w:sz w:val="32"/>
              <w:szCs w:val="32"/>
              <w:u w:val="single"/>
              <w14:ligatures w14:val="none"/>
            </w:rPr>
          </w:pPr>
          <w:r w:rsidRPr="00353067">
            <w:rPr>
              <w:rFonts w:asciiTheme="majorBidi" w:hAnsiTheme="majorBidi" w:cstheme="majorBidi"/>
              <w:noProof/>
            </w:rPr>
            <w:fldChar w:fldCharType="end"/>
          </w:r>
          <w:r w:rsidRPr="00353067">
            <w:rPr>
              <w:rFonts w:asciiTheme="majorBidi" w:eastAsiaTheme="majorEastAsia" w:hAnsiTheme="majorBidi" w:cstheme="majorBidi"/>
              <w:b/>
              <w:bCs/>
              <w:kern w:val="0"/>
              <w:sz w:val="32"/>
              <w:szCs w:val="32"/>
              <w:u w:val="single"/>
              <w14:ligatures w14:val="none"/>
            </w:rPr>
            <w:t>List of Figures</w:t>
          </w:r>
        </w:p>
        <w:p w14:paraId="286D73BC" w14:textId="77777777" w:rsidR="004605EC" w:rsidRPr="00353067" w:rsidRDefault="004605EC">
          <w:pPr>
            <w:pStyle w:val="TableofFigures"/>
            <w:tabs>
              <w:tab w:val="right" w:leader="dot" w:pos="9350"/>
            </w:tabs>
            <w:rPr>
              <w:rFonts w:asciiTheme="majorBidi" w:eastAsiaTheme="minorEastAsia" w:hAnsiTheme="majorBidi" w:cstheme="majorBidi"/>
              <w:noProof/>
              <w:kern w:val="0"/>
              <w:sz w:val="22"/>
              <w:szCs w:val="22"/>
              <w14:ligatures w14:val="none"/>
            </w:rPr>
          </w:pPr>
          <w:r w:rsidRPr="00353067">
            <w:rPr>
              <w:rFonts w:asciiTheme="majorBidi" w:hAnsiTheme="majorBidi" w:cstheme="majorBidi"/>
              <w:noProof/>
            </w:rPr>
            <w:fldChar w:fldCharType="begin"/>
          </w:r>
          <w:r w:rsidRPr="00353067">
            <w:rPr>
              <w:rFonts w:asciiTheme="majorBidi" w:hAnsiTheme="majorBidi" w:cstheme="majorBidi"/>
              <w:noProof/>
            </w:rPr>
            <w:instrText xml:space="preserve"> TOC \h \z \c "Figure" </w:instrText>
          </w:r>
          <w:r w:rsidRPr="00353067">
            <w:rPr>
              <w:rFonts w:asciiTheme="majorBidi" w:hAnsiTheme="majorBidi" w:cstheme="majorBidi"/>
              <w:noProof/>
            </w:rPr>
            <w:fldChar w:fldCharType="separate"/>
          </w:r>
          <w:hyperlink w:anchor="_Toc232338928" w:history="1">
            <w:r w:rsidRPr="00353067">
              <w:rPr>
                <w:rStyle w:val="Hyperlink"/>
                <w:rFonts w:asciiTheme="majorBidi" w:hAnsiTheme="majorBidi" w:cstheme="majorBidi"/>
                <w:noProof/>
              </w:rPr>
              <w:t>Figure 1: Effective Scope Management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_Toc232338928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4</w:t>
            </w:r>
            <w:r w:rsidRPr="00353067">
              <w:rPr>
                <w:rFonts w:asciiTheme="majorBidi" w:hAnsiTheme="majorBidi" w:cstheme="majorBidi"/>
                <w:noProof/>
                <w:webHidden/>
              </w:rPr>
              <w:fldChar w:fldCharType="end"/>
            </w:r>
          </w:hyperlink>
        </w:p>
        <w:p w14:paraId="09FDC127" w14:textId="77777777" w:rsidR="004605EC" w:rsidRPr="00353067" w:rsidRDefault="004605EC">
          <w:pPr>
            <w:pStyle w:val="TableofFigures"/>
            <w:tabs>
              <w:tab w:val="right" w:leader="dot" w:pos="9350"/>
            </w:tabs>
            <w:rPr>
              <w:rFonts w:asciiTheme="majorBidi" w:eastAsiaTheme="minorEastAsia" w:hAnsiTheme="majorBidi" w:cstheme="majorBidi"/>
              <w:noProof/>
              <w:kern w:val="0"/>
              <w:sz w:val="22"/>
              <w:szCs w:val="22"/>
              <w14:ligatures w14:val="none"/>
            </w:rPr>
          </w:pPr>
          <w:hyperlink w:anchor="_Toc232338929" w:history="1">
            <w:r w:rsidRPr="00353067">
              <w:rPr>
                <w:rStyle w:val="Hyperlink"/>
                <w:rFonts w:asciiTheme="majorBidi" w:hAnsiTheme="majorBidi" w:cstheme="majorBidi"/>
                <w:noProof/>
              </w:rPr>
              <w:t>Figure 2: Quad Chart</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_Toc232338929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8</w:t>
            </w:r>
            <w:r w:rsidRPr="00353067">
              <w:rPr>
                <w:rFonts w:asciiTheme="majorBidi" w:hAnsiTheme="majorBidi" w:cstheme="majorBidi"/>
                <w:noProof/>
                <w:webHidden/>
              </w:rPr>
              <w:fldChar w:fldCharType="end"/>
            </w:r>
          </w:hyperlink>
        </w:p>
        <w:p w14:paraId="66E79E14" w14:textId="77777777" w:rsidR="004605EC" w:rsidRPr="00353067" w:rsidRDefault="004605EC">
          <w:pPr>
            <w:pStyle w:val="TableofFigures"/>
            <w:tabs>
              <w:tab w:val="right" w:leader="dot" w:pos="9350"/>
            </w:tabs>
            <w:rPr>
              <w:rFonts w:asciiTheme="majorBidi" w:eastAsiaTheme="minorEastAsia" w:hAnsiTheme="majorBidi" w:cstheme="majorBidi"/>
              <w:noProof/>
              <w:kern w:val="0"/>
              <w:sz w:val="22"/>
              <w:szCs w:val="22"/>
              <w14:ligatures w14:val="none"/>
            </w:rPr>
          </w:pPr>
          <w:hyperlink w:anchor="_Toc232338930" w:history="1">
            <w:r w:rsidRPr="00353067">
              <w:rPr>
                <w:rStyle w:val="Hyperlink"/>
                <w:rFonts w:asciiTheme="majorBidi" w:hAnsiTheme="majorBidi" w:cstheme="majorBidi"/>
                <w:noProof/>
              </w:rPr>
              <w:t>Figure 3: Proposed Gantt Schedule</w:t>
            </w:r>
            <w:r w:rsidRPr="00353067">
              <w:rPr>
                <w:rFonts w:asciiTheme="majorBidi" w:hAnsiTheme="majorBidi" w:cstheme="majorBidi"/>
                <w:noProof/>
                <w:webHidden/>
              </w:rPr>
              <w:tab/>
            </w:r>
            <w:r w:rsidRPr="00353067">
              <w:rPr>
                <w:rFonts w:asciiTheme="majorBidi" w:hAnsiTheme="majorBidi" w:cstheme="majorBidi"/>
                <w:noProof/>
                <w:webHidden/>
              </w:rPr>
              <w:fldChar w:fldCharType="begin"/>
            </w:r>
            <w:r w:rsidRPr="00353067">
              <w:rPr>
                <w:rFonts w:asciiTheme="majorBidi" w:hAnsiTheme="majorBidi" w:cstheme="majorBidi"/>
                <w:noProof/>
                <w:webHidden/>
              </w:rPr>
              <w:instrText xml:space="preserve"> PAGEREF _Toc232338930 \h </w:instrText>
            </w:r>
            <w:r w:rsidRPr="00353067">
              <w:rPr>
                <w:rFonts w:asciiTheme="majorBidi" w:hAnsiTheme="majorBidi" w:cstheme="majorBidi"/>
                <w:noProof/>
                <w:webHidden/>
              </w:rPr>
            </w:r>
            <w:r w:rsidRPr="00353067">
              <w:rPr>
                <w:rFonts w:asciiTheme="majorBidi" w:hAnsiTheme="majorBidi" w:cstheme="majorBidi"/>
                <w:noProof/>
                <w:webHidden/>
              </w:rPr>
              <w:fldChar w:fldCharType="separate"/>
            </w:r>
            <w:r w:rsidRPr="00353067">
              <w:rPr>
                <w:rFonts w:asciiTheme="majorBidi" w:hAnsiTheme="majorBidi" w:cstheme="majorBidi"/>
                <w:noProof/>
                <w:webHidden/>
              </w:rPr>
              <w:t>9</w:t>
            </w:r>
            <w:r w:rsidRPr="00353067">
              <w:rPr>
                <w:rFonts w:asciiTheme="majorBidi" w:hAnsiTheme="majorBidi" w:cstheme="majorBidi"/>
                <w:noProof/>
                <w:webHidden/>
              </w:rPr>
              <w:fldChar w:fldCharType="end"/>
            </w:r>
          </w:hyperlink>
        </w:p>
        <w:p w14:paraId="35C8C85D" w14:textId="3F6B423C" w:rsidR="00DA428A" w:rsidRPr="00353067" w:rsidRDefault="004605EC" w:rsidP="004605EC">
          <w:pPr>
            <w:rPr>
              <w:rFonts w:asciiTheme="majorBidi" w:hAnsiTheme="majorBidi" w:cstheme="majorBidi"/>
            </w:rPr>
          </w:pPr>
          <w:r w:rsidRPr="00353067">
            <w:rPr>
              <w:rFonts w:asciiTheme="majorBidi" w:hAnsiTheme="majorBidi" w:cstheme="majorBidi"/>
              <w:noProof/>
            </w:rPr>
            <w:fldChar w:fldCharType="end"/>
          </w:r>
        </w:p>
      </w:sdtContent>
    </w:sdt>
    <w:p w14:paraId="26DFF896" w14:textId="77777777" w:rsidR="00C65ED0" w:rsidRDefault="00C65ED0">
      <w:pPr>
        <w:rPr>
          <w:b/>
          <w:bCs/>
        </w:rPr>
      </w:pPr>
      <w:r>
        <w:rPr>
          <w:b/>
          <w:bCs/>
        </w:rPr>
        <w:br w:type="page"/>
      </w:r>
    </w:p>
    <w:p w14:paraId="60D376BF" w14:textId="40440278" w:rsidR="00353067" w:rsidRPr="00353067" w:rsidRDefault="00353067" w:rsidP="00353067">
      <w:pPr>
        <w:pStyle w:val="Heading1"/>
        <w:spacing w:before="0" w:after="200"/>
        <w:jc w:val="center"/>
        <w:rPr>
          <w:rFonts w:asciiTheme="majorBidi" w:hAnsiTheme="majorBidi"/>
          <w:b/>
          <w:bCs/>
          <w:u w:val="single"/>
        </w:rPr>
      </w:pPr>
      <w:bookmarkStart w:id="0" w:name="_Toc233323301"/>
      <w:r w:rsidRPr="00353067">
        <w:rPr>
          <w:rFonts w:asciiTheme="majorBidi" w:hAnsiTheme="majorBidi"/>
          <w:b/>
          <w:bCs/>
          <w:u w:val="single"/>
        </w:rPr>
        <w:t xml:space="preserve">Part </w:t>
      </w:r>
      <w:r>
        <w:rPr>
          <w:rFonts w:asciiTheme="majorBidi" w:hAnsiTheme="majorBidi"/>
          <w:b/>
          <w:bCs/>
          <w:u w:val="single"/>
        </w:rPr>
        <w:t>A</w:t>
      </w:r>
      <w:bookmarkEnd w:id="0"/>
    </w:p>
    <w:p w14:paraId="5ABC6C59" w14:textId="2B7F7520" w:rsidR="00353067" w:rsidRDefault="00353067">
      <w:pPr>
        <w:rPr>
          <w:rFonts w:asciiTheme="majorBidi" w:hAnsiTheme="majorBidi" w:cstheme="majorBidi"/>
          <w:b/>
          <w:bCs/>
          <w:sz w:val="32"/>
          <w:szCs w:val="32"/>
          <w:u w:val="single"/>
        </w:rPr>
      </w:pPr>
      <w:r>
        <w:rPr>
          <w:noProof/>
        </w:rPr>
        <w:drawing>
          <wp:inline distT="0" distB="0" distL="0" distR="0" wp14:anchorId="53BD0A24" wp14:editId="6BACE5B1">
            <wp:extent cx="5943600" cy="3343228"/>
            <wp:effectExtent l="0" t="0" r="0" b="0"/>
            <wp:docPr id="2056355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355379"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28"/>
                    </a:xfrm>
                    <a:prstGeom prst="rect">
                      <a:avLst/>
                    </a:prstGeom>
                  </pic:spPr>
                </pic:pic>
              </a:graphicData>
            </a:graphic>
          </wp:inline>
        </w:drawing>
      </w:r>
      <w:r>
        <w:rPr>
          <w:rFonts w:asciiTheme="majorBidi" w:hAnsiTheme="majorBidi" w:cstheme="majorBidi"/>
          <w:b/>
          <w:bCs/>
          <w:sz w:val="32"/>
          <w:szCs w:val="32"/>
          <w:u w:val="single"/>
        </w:rPr>
        <w:br w:type="page"/>
      </w:r>
    </w:p>
    <w:p w14:paraId="1D1C5AD2" w14:textId="15CFAA14" w:rsidR="00353067" w:rsidRPr="00353067" w:rsidRDefault="00353067" w:rsidP="00353067">
      <w:pPr>
        <w:pStyle w:val="Heading1"/>
        <w:spacing w:before="0" w:after="200"/>
        <w:jc w:val="center"/>
        <w:rPr>
          <w:rFonts w:asciiTheme="majorBidi" w:hAnsiTheme="majorBidi"/>
          <w:b/>
          <w:bCs/>
          <w:u w:val="single"/>
        </w:rPr>
      </w:pPr>
      <w:bookmarkStart w:id="1" w:name="_Toc233323302"/>
      <w:r w:rsidRPr="00353067">
        <w:rPr>
          <w:rFonts w:asciiTheme="majorBidi" w:hAnsiTheme="majorBidi"/>
          <w:b/>
          <w:bCs/>
          <w:u w:val="single"/>
        </w:rPr>
        <w:t>Part B</w:t>
      </w:r>
      <w:bookmarkEnd w:id="1"/>
    </w:p>
    <w:p w14:paraId="60F5A630" w14:textId="77777777"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 xml:space="preserve">The feedback by both the tutor and peers was very useful to assess the project poster's strengths and weaknesses. In general, the comments reflected that the project was pertinent, well </w:t>
      </w:r>
      <w:proofErr w:type="spellStart"/>
      <w:r w:rsidRPr="00353067">
        <w:rPr>
          <w:rFonts w:asciiTheme="majorBidi" w:hAnsiTheme="majorBidi" w:cstheme="majorBidi"/>
        </w:rPr>
        <w:t>organised</w:t>
      </w:r>
      <w:proofErr w:type="spellEnd"/>
      <w:r w:rsidRPr="00353067">
        <w:rPr>
          <w:rFonts w:asciiTheme="majorBidi" w:hAnsiTheme="majorBidi" w:cstheme="majorBidi"/>
        </w:rPr>
        <w:t xml:space="preserve"> and well presented, as well as identifying some areas that needed further development. Looking back at this feedback has helped me to better understand what was done well and what still needs to be done to create a final project management plan.</w:t>
      </w:r>
    </w:p>
    <w:p w14:paraId="4AF571B4" w14:textId="77777777"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 xml:space="preserve">The ability to select a project that is very relevant and directly tackles the issues related to the closure of the transport hub is one of the strengths identified in the feedback. This shows that the learner understands the situation of the assessment and its implications. The tutor also </w:t>
      </w:r>
      <w:proofErr w:type="spellStart"/>
      <w:r w:rsidRPr="00353067">
        <w:rPr>
          <w:rFonts w:asciiTheme="majorBidi" w:hAnsiTheme="majorBidi" w:cstheme="majorBidi"/>
        </w:rPr>
        <w:t>recognised</w:t>
      </w:r>
      <w:proofErr w:type="spellEnd"/>
      <w:r w:rsidRPr="00353067">
        <w:rPr>
          <w:rFonts w:asciiTheme="majorBidi" w:hAnsiTheme="majorBidi" w:cstheme="majorBidi"/>
        </w:rPr>
        <w:t xml:space="preserve"> that the poster had a logical structure and that the aims and objectives, scope, stakeholders and strategic value were clear. The poster was well structured, I think this helped with the effectiveness of the poster as it allowed stakeholders to easily understand the purpose of the project and the outcomes that were expected. In addition, the goals were directed towards topics relevant to current priorities, such as safety, accessibility, sustainability and digital transformation, contributing to the quality and relevance of the proposal.</w:t>
      </w:r>
    </w:p>
    <w:p w14:paraId="4517E04E" w14:textId="77777777"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The explicit identification of the stakeholder groups and the project scope were another major strength. It was possible to separate the stakeholders and better understand the project's needs and aspirations. Further, the use of recognized project management approaches— PRINCE2 and PMBOK—showed a knowledge of existing project management approaches and provided a solid basis for the proposal. The overall presentation and aesthetics of the poster were also commended, highlighting good communication and presentation abilities.</w:t>
      </w:r>
    </w:p>
    <w:p w14:paraId="4004E8FA" w14:textId="77777777"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 xml:space="preserve">However, there were a number of areas identified for development based on the feedback received. One of the most important issues is that, in the first poster, there was not enough critical discussion of project risks and trade-offs. While risks were identified, they were not </w:t>
      </w:r>
      <w:proofErr w:type="spellStart"/>
      <w:r w:rsidRPr="00353067">
        <w:rPr>
          <w:rFonts w:asciiTheme="majorBidi" w:hAnsiTheme="majorBidi" w:cstheme="majorBidi"/>
        </w:rPr>
        <w:t>analysed</w:t>
      </w:r>
      <w:proofErr w:type="spellEnd"/>
      <w:r w:rsidRPr="00353067">
        <w:rPr>
          <w:rFonts w:asciiTheme="majorBidi" w:hAnsiTheme="majorBidi" w:cstheme="majorBidi"/>
        </w:rPr>
        <w:t xml:space="preserve"> in detail enough to assess how the risk might impact on project objectives and what could be done to mitigate that risk. For the final project management plan, I would like to overcome this by doing a more detailed risk assessment. This will involve assessing the probability and consequences of each risk, considering any cost, time, quality and scope compromises, and recommending the appropriate mitigation and contingency strategies.</w:t>
      </w:r>
    </w:p>
    <w:p w14:paraId="176A9417" w14:textId="77777777"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Secondly, it was recommended that reasons for project decisions should be reinforced. I will be making more evidence-based decisions on key decisions including resource allocation, scheduling decisions, and decisions on stakeholder engagement, to improve this aspect. This will make the project decisions transparent, rational and consistent with project goals.</w:t>
      </w:r>
    </w:p>
    <w:p w14:paraId="1968F016" w14:textId="6EC004F4" w:rsidR="00353067" w:rsidRPr="00353067" w:rsidRDefault="00353067" w:rsidP="00353067">
      <w:pPr>
        <w:spacing w:after="200" w:line="360" w:lineRule="auto"/>
        <w:jc w:val="both"/>
        <w:rPr>
          <w:rFonts w:asciiTheme="majorBidi" w:hAnsiTheme="majorBidi" w:cstheme="majorBidi"/>
        </w:rPr>
      </w:pPr>
      <w:r w:rsidRPr="00353067">
        <w:rPr>
          <w:rFonts w:asciiTheme="majorBidi" w:hAnsiTheme="majorBidi" w:cstheme="majorBidi"/>
        </w:rPr>
        <w:t>Lastly, the tutor suggested broadening the scope of academic writing to include more academic references to support the proposal. The poster contained appropriate citations and reference to scholarly work, but more scholarly literature should be included to increase the academic rigor of the final submission. Therefore, I will include more diverse peer-reviewed journal articles, books, and industry reports to substantiate arguments, support decisions, and show a critical engagement with current literature in the field of Project management.</w:t>
      </w:r>
    </w:p>
    <w:p w14:paraId="354BDD68" w14:textId="77777777" w:rsidR="00353067" w:rsidRDefault="00353067">
      <w:pPr>
        <w:rPr>
          <w:rFonts w:asciiTheme="majorBidi" w:hAnsiTheme="majorBidi" w:cstheme="majorBidi"/>
        </w:rPr>
      </w:pPr>
      <w:r>
        <w:rPr>
          <w:rFonts w:asciiTheme="majorBidi" w:hAnsiTheme="majorBidi" w:cstheme="majorBidi"/>
        </w:rPr>
        <w:br w:type="page"/>
      </w:r>
    </w:p>
    <w:p w14:paraId="51014A5E" w14:textId="553CD8D0" w:rsidR="00353067" w:rsidRPr="00353067" w:rsidRDefault="00353067" w:rsidP="00353067">
      <w:pPr>
        <w:pStyle w:val="Heading1"/>
        <w:spacing w:before="0" w:after="200"/>
        <w:jc w:val="center"/>
        <w:rPr>
          <w:rFonts w:asciiTheme="majorBidi" w:hAnsiTheme="majorBidi"/>
          <w:b/>
          <w:bCs/>
          <w:u w:val="single"/>
        </w:rPr>
      </w:pPr>
      <w:bookmarkStart w:id="2" w:name="_Toc233323303"/>
      <w:r w:rsidRPr="00353067">
        <w:rPr>
          <w:rFonts w:asciiTheme="majorBidi" w:hAnsiTheme="majorBidi"/>
          <w:b/>
          <w:bCs/>
          <w:u w:val="single"/>
        </w:rPr>
        <w:t>Part C</w:t>
      </w:r>
      <w:bookmarkEnd w:id="2"/>
    </w:p>
    <w:p w14:paraId="7DF4B703" w14:textId="7EDF7B3A" w:rsidR="00F63910" w:rsidRPr="008E1D10" w:rsidRDefault="00FB1D0E" w:rsidP="008E1D10">
      <w:pPr>
        <w:pStyle w:val="Heading1"/>
        <w:numPr>
          <w:ilvl w:val="0"/>
          <w:numId w:val="6"/>
        </w:numPr>
        <w:spacing w:before="0" w:after="200"/>
        <w:ind w:left="360"/>
        <w:rPr>
          <w:rFonts w:asciiTheme="majorBidi" w:hAnsiTheme="majorBidi"/>
          <w:b/>
          <w:bCs/>
          <w:color w:val="auto"/>
          <w:sz w:val="32"/>
          <w:szCs w:val="24"/>
          <w:u w:val="single"/>
        </w:rPr>
      </w:pPr>
      <w:bookmarkStart w:id="3" w:name="_Toc233323304"/>
      <w:r w:rsidRPr="008E1D10">
        <w:rPr>
          <w:rFonts w:asciiTheme="majorBidi" w:hAnsiTheme="majorBidi"/>
          <w:b/>
          <w:bCs/>
          <w:color w:val="auto"/>
          <w:sz w:val="32"/>
          <w:szCs w:val="24"/>
          <w:u w:val="single"/>
        </w:rPr>
        <w:t>Introduction</w:t>
      </w:r>
      <w:bookmarkEnd w:id="3"/>
    </w:p>
    <w:p w14:paraId="08795758" w14:textId="4B251E52" w:rsidR="00F63910"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The reconstruction of the main transport hub has begun due to the lack of an adequate safety, accessibility and operational level of the critical urban interchange. The purpose of the urban transformation plan is to solve the transport and urban form problems (Anton et al., 2025). The goal of the project is to restore transport capacity and to support sustainable urban regeneration, digital transformation and inclusive mobility. This report serves as a detailed project management plan that details the processes, tools and governance that will be required to successfully deliver the project. Project management is crucial for managing the various aspects of a project, including cost, schedule, quality, risk, and stakeholder expectations, throughout its lifecycle. The plan is based on PMBOK and PRINCE2 principles for ensuring business justification, clear accountability and structured governance throughout the life of the project (Omnicom, 2023). </w:t>
      </w:r>
    </w:p>
    <w:p w14:paraId="32187348" w14:textId="2376101D"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4" w:name="_Toc233323305"/>
      <w:r w:rsidRPr="008E1D10">
        <w:rPr>
          <w:rFonts w:asciiTheme="majorBidi" w:hAnsiTheme="majorBidi"/>
          <w:b/>
          <w:bCs/>
          <w:color w:val="auto"/>
          <w:sz w:val="32"/>
          <w:szCs w:val="24"/>
          <w:u w:val="single"/>
        </w:rPr>
        <w:t>Detailed Project Description</w:t>
      </w:r>
      <w:bookmarkEnd w:id="4"/>
    </w:p>
    <w:p w14:paraId="6E1173C4" w14:textId="77777777" w:rsidR="00FB1D0E"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The central transport hub closure has caused massive disruption to commuters, freight and local economies. Infrastructure connectivity is considered as one of the key infrastructures for external economic shocks resistance (Wang et al., 2025). The three major challenges in city logistics in both types of economies are urban growth, environmental issues and traffic congestion, respectively (</w:t>
      </w:r>
      <w:proofErr w:type="spellStart"/>
      <w:r w:rsidRPr="008E1D10">
        <w:rPr>
          <w:rFonts w:asciiTheme="majorBidi" w:hAnsiTheme="majorBidi" w:cstheme="majorBidi"/>
        </w:rPr>
        <w:t>Arvianto</w:t>
      </w:r>
      <w:proofErr w:type="spellEnd"/>
      <w:r w:rsidRPr="008E1D10">
        <w:rPr>
          <w:rFonts w:asciiTheme="majorBidi" w:hAnsiTheme="majorBidi" w:cstheme="majorBidi"/>
        </w:rPr>
        <w:t xml:space="preserve"> et al., 2021). Businesses and residents have suffered from greater travel time, inefficiencies in the supply chain, and diminished access. Therefore, a holistic redevelopment project is needed to deliver modern infrastructure that will be able to meet future transport needs and facilitate sustainable urban development (Qualify Nation, 2026). </w:t>
      </w:r>
    </w:p>
    <w:p w14:paraId="2E93189F" w14:textId="77777777" w:rsidR="00FB1D0E"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The project will bring a comprehensive rail and bus hub, optimized freight logistics infrastructure, intelligent passenger management systems, digital ticketing solutions, real-time information provision, sustainable energy facilities and enhanced accessibility to meet current regulations. Energy efficient building systems, low carbon construction and environmental stewardship in building construction will be part of the sustainability measures. The following are the deliverables that align with the urban regeneration goals and smart city development strategies. </w:t>
      </w:r>
    </w:p>
    <w:p w14:paraId="3CD60DCA" w14:textId="77B74084" w:rsidR="00F63910"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The success of this project will be evaluated on the following: improvement of transport capacity, on-going budget and schedule baseline compliance, carbon reduction baseline achievement, regulatory compliance, and stakeholder satisfaction. Redevelopment is better than a temporary transport solution, as it offers a permanent and resilient infrastructure asset. Transport investment stimulates regional economy and attracts other economic activities, which leads to increased investments, regional GDP and urban development (Pokharel et al., 2023). Digital </w:t>
      </w:r>
      <w:proofErr w:type="spellStart"/>
      <w:r w:rsidRPr="008E1D10">
        <w:rPr>
          <w:rFonts w:asciiTheme="majorBidi" w:hAnsiTheme="majorBidi" w:cstheme="majorBidi"/>
        </w:rPr>
        <w:t>modernisation</w:t>
      </w:r>
      <w:proofErr w:type="spellEnd"/>
      <w:r w:rsidRPr="008E1D10">
        <w:rPr>
          <w:rFonts w:asciiTheme="majorBidi" w:hAnsiTheme="majorBidi" w:cstheme="majorBidi"/>
        </w:rPr>
        <w:t xml:space="preserve"> alone would not resolve structural issues; a partial refurbishment would not meet long-term operational and sustainability needs. Hence, the benefits of complete redevelopment are </w:t>
      </w:r>
      <w:proofErr w:type="spellStart"/>
      <w:r w:rsidRPr="008E1D10">
        <w:rPr>
          <w:rFonts w:asciiTheme="majorBidi" w:hAnsiTheme="majorBidi" w:cstheme="majorBidi"/>
        </w:rPr>
        <w:t>maximised</w:t>
      </w:r>
      <w:proofErr w:type="spellEnd"/>
      <w:r w:rsidRPr="008E1D10">
        <w:rPr>
          <w:rFonts w:asciiTheme="majorBidi" w:hAnsiTheme="majorBidi" w:cstheme="majorBidi"/>
        </w:rPr>
        <w:t xml:space="preserve"> in terms of strategic, economic and social value (</w:t>
      </w:r>
      <w:proofErr w:type="spellStart"/>
      <w:r w:rsidRPr="008E1D10">
        <w:rPr>
          <w:rFonts w:asciiTheme="majorBidi" w:hAnsiTheme="majorBidi" w:cstheme="majorBidi"/>
        </w:rPr>
        <w:t>Xebrio</w:t>
      </w:r>
      <w:proofErr w:type="spellEnd"/>
      <w:r w:rsidRPr="008E1D10">
        <w:rPr>
          <w:rFonts w:asciiTheme="majorBidi" w:hAnsiTheme="majorBidi" w:cstheme="majorBidi"/>
        </w:rPr>
        <w:t>, 2021).</w:t>
      </w:r>
    </w:p>
    <w:p w14:paraId="7ADBCB7B" w14:textId="0354E48F"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5" w:name="_Toc233323306"/>
      <w:r w:rsidRPr="008E1D10">
        <w:rPr>
          <w:rFonts w:asciiTheme="majorBidi" w:hAnsiTheme="majorBidi"/>
          <w:b/>
          <w:bCs/>
          <w:color w:val="auto"/>
          <w:sz w:val="32"/>
          <w:szCs w:val="24"/>
          <w:u w:val="single"/>
        </w:rPr>
        <w:t xml:space="preserve">Project Scope </w:t>
      </w:r>
      <w:r w:rsidR="00FB1D0E" w:rsidRPr="008E1D10">
        <w:rPr>
          <w:rFonts w:asciiTheme="majorBidi" w:hAnsiTheme="majorBidi"/>
          <w:b/>
          <w:bCs/>
          <w:color w:val="auto"/>
          <w:sz w:val="32"/>
          <w:szCs w:val="24"/>
          <w:u w:val="single"/>
        </w:rPr>
        <w:t>Management</w:t>
      </w:r>
      <w:bookmarkEnd w:id="5"/>
      <w:r w:rsidR="00FB1D0E" w:rsidRPr="008E1D10">
        <w:rPr>
          <w:rFonts w:asciiTheme="majorBidi" w:hAnsiTheme="majorBidi"/>
          <w:b/>
          <w:bCs/>
          <w:color w:val="auto"/>
          <w:sz w:val="32"/>
          <w:szCs w:val="24"/>
          <w:u w:val="single"/>
        </w:rPr>
        <w:t xml:space="preserve"> </w:t>
      </w:r>
    </w:p>
    <w:p w14:paraId="5D1A2A5D" w14:textId="1167222B" w:rsidR="00F63910"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Project scope management sets the limits of the redevelopment project and helps to make sure that only approved work is carried out (Cockfield, 2025). For PMBOK, a clear scope is the base for planning, scheduling, budgeting and measuring performance. This is especially crucial in large infrastructure projects where expectations and technical needs are complex amongst stakeholders (PM-Library, 2018). The scope management flow is shown in the figure below:</w:t>
      </w:r>
    </w:p>
    <w:p w14:paraId="343C5A98" w14:textId="22C4CDF6" w:rsidR="001141C7" w:rsidRPr="008E1D10" w:rsidRDefault="001141C7" w:rsidP="008E1D10">
      <w:pPr>
        <w:spacing w:after="200" w:line="360" w:lineRule="auto"/>
        <w:jc w:val="center"/>
        <w:rPr>
          <w:rFonts w:asciiTheme="majorBidi" w:hAnsiTheme="majorBidi" w:cstheme="majorBidi"/>
        </w:rPr>
      </w:pPr>
      <w:r w:rsidRPr="008E1D10">
        <w:rPr>
          <w:rFonts w:asciiTheme="majorBidi" w:hAnsiTheme="majorBidi" w:cstheme="majorBidi"/>
          <w:noProof/>
        </w:rPr>
        <w:drawing>
          <wp:inline distT="0" distB="0" distL="0" distR="0" wp14:anchorId="2D1B85D5" wp14:editId="4464FF75">
            <wp:extent cx="4376519" cy="3440430"/>
            <wp:effectExtent l="0" t="0" r="5080" b="7620"/>
            <wp:docPr id="1185769657" name="Picture 1" descr="PROJECT-SCOPE-MANAGEMENT-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PROJECT-SCOPE-MANAGEMENT-PROCES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3362" cy="3445809"/>
                    </a:xfrm>
                    <a:prstGeom prst="rect">
                      <a:avLst/>
                    </a:prstGeom>
                    <a:noFill/>
                    <a:ln>
                      <a:noFill/>
                    </a:ln>
                  </pic:spPr>
                </pic:pic>
              </a:graphicData>
            </a:graphic>
          </wp:inline>
        </w:drawing>
      </w:r>
    </w:p>
    <w:p w14:paraId="505C4685" w14:textId="2FA2E0FA" w:rsidR="001141C7" w:rsidRPr="002E64F5" w:rsidRDefault="002E64F5" w:rsidP="002E64F5">
      <w:pPr>
        <w:pStyle w:val="Caption"/>
        <w:jc w:val="center"/>
        <w:rPr>
          <w:rFonts w:asciiTheme="majorBidi" w:hAnsiTheme="majorBidi" w:cstheme="majorBidi"/>
          <w:color w:val="auto"/>
          <w:sz w:val="22"/>
          <w:szCs w:val="22"/>
        </w:rPr>
      </w:pPr>
      <w:bookmarkStart w:id="6" w:name="_Toc232338928"/>
      <w:r w:rsidRPr="002E64F5">
        <w:rPr>
          <w:rFonts w:asciiTheme="majorBidi" w:hAnsiTheme="majorBidi" w:cstheme="majorBidi"/>
          <w:color w:val="auto"/>
          <w:sz w:val="22"/>
          <w:szCs w:val="22"/>
        </w:rPr>
        <w:t xml:space="preserve">Figure </w:t>
      </w:r>
      <w:r w:rsidRPr="002E64F5">
        <w:rPr>
          <w:rFonts w:asciiTheme="majorBidi" w:hAnsiTheme="majorBidi" w:cstheme="majorBidi"/>
          <w:color w:val="auto"/>
          <w:sz w:val="22"/>
          <w:szCs w:val="22"/>
        </w:rPr>
        <w:fldChar w:fldCharType="begin"/>
      </w:r>
      <w:r w:rsidRPr="002E64F5">
        <w:rPr>
          <w:rFonts w:asciiTheme="majorBidi" w:hAnsiTheme="majorBidi" w:cstheme="majorBidi"/>
          <w:color w:val="auto"/>
          <w:sz w:val="22"/>
          <w:szCs w:val="22"/>
        </w:rPr>
        <w:instrText xml:space="preserve"> SEQ Figure \* ARABIC </w:instrText>
      </w:r>
      <w:r w:rsidRPr="002E64F5">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1</w:t>
      </w:r>
      <w:r w:rsidRPr="002E64F5">
        <w:rPr>
          <w:rFonts w:asciiTheme="majorBidi" w:hAnsiTheme="majorBidi" w:cstheme="majorBidi"/>
          <w:color w:val="auto"/>
          <w:sz w:val="22"/>
          <w:szCs w:val="22"/>
        </w:rPr>
        <w:fldChar w:fldCharType="end"/>
      </w:r>
      <w:r w:rsidRPr="002E64F5">
        <w:rPr>
          <w:rFonts w:asciiTheme="majorBidi" w:hAnsiTheme="majorBidi" w:cstheme="majorBidi"/>
          <w:color w:val="auto"/>
          <w:sz w:val="22"/>
          <w:szCs w:val="22"/>
        </w:rPr>
        <w:t xml:space="preserve">: </w:t>
      </w:r>
      <w:r w:rsidR="00674FF3" w:rsidRPr="002E64F5">
        <w:rPr>
          <w:rFonts w:asciiTheme="majorBidi" w:hAnsiTheme="majorBidi" w:cstheme="majorBidi"/>
          <w:color w:val="auto"/>
          <w:sz w:val="22"/>
          <w:szCs w:val="22"/>
        </w:rPr>
        <w:t>Effective Scope Management</w:t>
      </w:r>
      <w:bookmarkEnd w:id="6"/>
    </w:p>
    <w:p w14:paraId="7E05B322" w14:textId="77777777" w:rsidR="00FB1D0E"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This project's scope encompasses the reconstruction of the transport hub, installation of digital transport technologies, implementation of sustainable features, and delivery of accessibility improvements. The impact of transport infrastructure on regional economy is mainly dependent on the community's use of infrastructure facilities and devices, which is determined by the level of their participation (Prus and Sikora, 2021). Key achievements include the new rail/bus interchange, freight logistics facilities, smart ticketing systems, passenger information technology, renewable energy and accessible infrastructure for those with disabilities. The project scope explicitly excludes activities like residential development, commercial expansion outside the boundary of the hub and extensions to the regional rail network. </w:t>
      </w:r>
    </w:p>
    <w:p w14:paraId="7B405062" w14:textId="3BB62E3E" w:rsidR="00FB1D0E"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A formal change control process will be in place to help maintain control. Brena et al., (2023) end up with a formally verified Integrated Change Control process and more robust assurance of its correctness than can be reached for its informal counterpart. All suggested scope changes are considered before being approved for the project, and impact on cost, time, quality and resources of scope changes are reviewed. Scope verification is conducted to make sure that deliverables fulfill the accepted scope criteria, and the change control process describes how changes in scope will be requested, assessed, and accepted or rejected (Asana, 2024). Scope Verification Procedures will ensure deliverables completed meet agreed requirements and Baseline Management will provide a reference to monitor performance during the project lifecycle. </w:t>
      </w:r>
    </w:p>
    <w:p w14:paraId="69828FAD" w14:textId="6D58AD85" w:rsidR="00F63910" w:rsidRPr="008E1D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If poor scope management, it can lead to scope creep, which will lead to cost and schedule overrun. When requesting facilities and/or design changes for the transport hub, there is a potential for an impact on construction time and costs. So, it is vital to have strong scope management to keep the project under control and deliver it successfully.</w:t>
      </w:r>
    </w:p>
    <w:p w14:paraId="50CEDB8E" w14:textId="6AD0E204"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7" w:name="_Toc233323307"/>
      <w:r w:rsidRPr="008E1D10">
        <w:rPr>
          <w:rFonts w:asciiTheme="majorBidi" w:hAnsiTheme="majorBidi"/>
          <w:b/>
          <w:bCs/>
          <w:color w:val="auto"/>
          <w:sz w:val="32"/>
          <w:szCs w:val="24"/>
          <w:u w:val="single"/>
        </w:rPr>
        <w:t>Work Breakdown Structure (WBS) and Deliverables Management</w:t>
      </w:r>
      <w:bookmarkEnd w:id="7"/>
      <w:r w:rsidRPr="008E1D10">
        <w:rPr>
          <w:rFonts w:asciiTheme="majorBidi" w:hAnsiTheme="majorBidi"/>
          <w:b/>
          <w:bCs/>
          <w:color w:val="auto"/>
          <w:sz w:val="32"/>
          <w:szCs w:val="24"/>
          <w:u w:val="single"/>
        </w:rPr>
        <w:t xml:space="preserve"> </w:t>
      </w:r>
    </w:p>
    <w:p w14:paraId="2AC9AC28" w14:textId="5064408F" w:rsidR="00F63910" w:rsidRDefault="00FB1D0E" w:rsidP="008E1D10">
      <w:pPr>
        <w:spacing w:after="200" w:line="360" w:lineRule="auto"/>
        <w:jc w:val="both"/>
        <w:rPr>
          <w:rFonts w:asciiTheme="majorBidi" w:hAnsiTheme="majorBidi" w:cstheme="majorBidi"/>
        </w:rPr>
      </w:pPr>
      <w:r w:rsidRPr="008E1D10">
        <w:rPr>
          <w:rFonts w:asciiTheme="majorBidi" w:hAnsiTheme="majorBidi" w:cstheme="majorBidi"/>
        </w:rPr>
        <w:t xml:space="preserve">Project management is a powerful tool and the Work Breakdown Structure (WBS) is one of them. It is the foundations of project planning, execution, controlling, </w:t>
      </w:r>
      <w:proofErr w:type="spellStart"/>
      <w:r w:rsidRPr="008E1D10">
        <w:rPr>
          <w:rFonts w:asciiTheme="majorBidi" w:hAnsiTheme="majorBidi" w:cstheme="majorBidi"/>
        </w:rPr>
        <w:t>statusing</w:t>
      </w:r>
      <w:proofErr w:type="spellEnd"/>
      <w:r w:rsidRPr="008E1D10">
        <w:rPr>
          <w:rFonts w:asciiTheme="majorBidi" w:hAnsiTheme="majorBidi" w:cstheme="majorBidi"/>
        </w:rPr>
        <w:t xml:space="preserve"> and reporting (</w:t>
      </w:r>
      <w:proofErr w:type="spellStart"/>
      <w:r w:rsidRPr="008E1D10">
        <w:rPr>
          <w:rFonts w:asciiTheme="majorBidi" w:hAnsiTheme="majorBidi" w:cstheme="majorBidi"/>
        </w:rPr>
        <w:t>Burghate</w:t>
      </w:r>
      <w:proofErr w:type="spellEnd"/>
      <w:r w:rsidRPr="008E1D10">
        <w:rPr>
          <w:rFonts w:asciiTheme="majorBidi" w:hAnsiTheme="majorBidi" w:cstheme="majorBidi"/>
        </w:rPr>
        <w:t>, 2018). PMBOK considers the WBS as a fundamental planning tool because it will give clarity about deliverables, responsibilities, resource requirement, and scope of a project. A properly developed WBS can lead to better planning accuracy and provide the foundation for scheduling, budgeting and monitoring performance (Webster, 1994).</w:t>
      </w:r>
    </w:p>
    <w:p w14:paraId="6BBE7431" w14:textId="4D18A04C" w:rsidR="00FB4448" w:rsidRPr="00FB4448" w:rsidRDefault="00FB4448" w:rsidP="00FB4448">
      <w:pPr>
        <w:pStyle w:val="Caption"/>
        <w:jc w:val="center"/>
        <w:rPr>
          <w:rFonts w:asciiTheme="majorBidi" w:hAnsiTheme="majorBidi" w:cstheme="majorBidi"/>
          <w:color w:val="auto"/>
          <w:sz w:val="22"/>
          <w:szCs w:val="22"/>
        </w:rPr>
      </w:pPr>
      <w:bookmarkStart w:id="8" w:name="_Toc232338913"/>
      <w:r w:rsidRPr="00FB4448">
        <w:rPr>
          <w:rFonts w:asciiTheme="majorBidi" w:hAnsiTheme="majorBidi" w:cstheme="majorBidi"/>
          <w:color w:val="auto"/>
          <w:sz w:val="22"/>
          <w:szCs w:val="22"/>
        </w:rPr>
        <w:t xml:space="preserve">Table </w:t>
      </w:r>
      <w:r w:rsidRPr="00FB4448">
        <w:rPr>
          <w:rFonts w:asciiTheme="majorBidi" w:hAnsiTheme="majorBidi" w:cstheme="majorBidi"/>
          <w:color w:val="auto"/>
          <w:sz w:val="22"/>
          <w:szCs w:val="22"/>
        </w:rPr>
        <w:fldChar w:fldCharType="begin"/>
      </w:r>
      <w:r w:rsidRPr="00FB4448">
        <w:rPr>
          <w:rFonts w:asciiTheme="majorBidi" w:hAnsiTheme="majorBidi" w:cstheme="majorBidi"/>
          <w:color w:val="auto"/>
          <w:sz w:val="22"/>
          <w:szCs w:val="22"/>
        </w:rPr>
        <w:instrText xml:space="preserve"> SEQ Table \* ARABIC </w:instrText>
      </w:r>
      <w:r w:rsidRPr="00FB4448">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1</w:t>
      </w:r>
      <w:r w:rsidRPr="00FB4448">
        <w:rPr>
          <w:rFonts w:asciiTheme="majorBidi" w:hAnsiTheme="majorBidi" w:cstheme="majorBidi"/>
          <w:color w:val="auto"/>
          <w:sz w:val="22"/>
          <w:szCs w:val="22"/>
        </w:rPr>
        <w:fldChar w:fldCharType="end"/>
      </w:r>
      <w:r w:rsidRPr="00FB4448">
        <w:rPr>
          <w:rFonts w:asciiTheme="majorBidi" w:hAnsiTheme="majorBidi" w:cstheme="majorBidi"/>
          <w:color w:val="auto"/>
          <w:sz w:val="22"/>
          <w:szCs w:val="22"/>
        </w:rPr>
        <w:t>: Work Breakdown Structure (WBS) and Deliverables Management</w:t>
      </w:r>
      <w:bookmarkEnd w:id="8"/>
    </w:p>
    <w:tbl>
      <w:tblPr>
        <w:tblStyle w:val="GridTable5Dark-Accent6"/>
        <w:tblW w:w="0" w:type="auto"/>
        <w:tblLook w:val="04A0" w:firstRow="1" w:lastRow="0" w:firstColumn="1" w:lastColumn="0" w:noHBand="0" w:noVBand="1"/>
      </w:tblPr>
      <w:tblGrid>
        <w:gridCol w:w="2440"/>
        <w:gridCol w:w="2438"/>
        <w:gridCol w:w="4472"/>
      </w:tblGrid>
      <w:tr w:rsidR="006645D9" w:rsidRPr="008E1D10" w14:paraId="24DED81E" w14:textId="77777777" w:rsidTr="008E1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5EBC4C"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WBS Level</w:t>
            </w:r>
          </w:p>
        </w:tc>
        <w:tc>
          <w:tcPr>
            <w:tcW w:w="0" w:type="auto"/>
            <w:vAlign w:val="center"/>
            <w:hideMark/>
          </w:tcPr>
          <w:p w14:paraId="226A9EBB" w14:textId="77777777" w:rsidR="006645D9" w:rsidRPr="008E1D10" w:rsidRDefault="006645D9" w:rsidP="008E1D10">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Work Package</w:t>
            </w:r>
          </w:p>
        </w:tc>
        <w:tc>
          <w:tcPr>
            <w:tcW w:w="0" w:type="auto"/>
            <w:vAlign w:val="center"/>
            <w:hideMark/>
          </w:tcPr>
          <w:p w14:paraId="6F582DB8" w14:textId="77777777" w:rsidR="006645D9" w:rsidRPr="008E1D10" w:rsidRDefault="006645D9" w:rsidP="008E1D10">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Sub-Activities / Deliverables</w:t>
            </w:r>
          </w:p>
        </w:tc>
      </w:tr>
      <w:tr w:rsidR="006645D9" w:rsidRPr="008E1D10" w14:paraId="32F8608C"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15BC83"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1</w:t>
            </w:r>
          </w:p>
        </w:tc>
        <w:tc>
          <w:tcPr>
            <w:tcW w:w="0" w:type="auto"/>
            <w:vAlign w:val="center"/>
            <w:hideMark/>
          </w:tcPr>
          <w:p w14:paraId="20ED9741"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b/>
                <w:bCs/>
              </w:rPr>
              <w:t>Transport Hub Redevelopment</w:t>
            </w:r>
          </w:p>
        </w:tc>
        <w:tc>
          <w:tcPr>
            <w:tcW w:w="0" w:type="auto"/>
            <w:vAlign w:val="center"/>
            <w:hideMark/>
          </w:tcPr>
          <w:p w14:paraId="55D04BCA"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Overall project for the redevelopment of the central transport hub</w:t>
            </w:r>
          </w:p>
        </w:tc>
      </w:tr>
      <w:tr w:rsidR="006645D9" w:rsidRPr="008E1D10" w14:paraId="341C3EBF"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9C9E5E"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7C746F3C"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Project Initiation</w:t>
            </w:r>
          </w:p>
        </w:tc>
        <w:tc>
          <w:tcPr>
            <w:tcW w:w="0" w:type="auto"/>
            <w:vAlign w:val="center"/>
            <w:hideMark/>
          </w:tcPr>
          <w:p w14:paraId="19DC5100"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Feasibility studies, business case development, stakeholder approvals, project charter preparation</w:t>
            </w:r>
          </w:p>
        </w:tc>
      </w:tr>
      <w:tr w:rsidR="006645D9" w:rsidRPr="008E1D10" w14:paraId="2E6FC960"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A005BF"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28093A7E"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Design Development</w:t>
            </w:r>
          </w:p>
        </w:tc>
        <w:tc>
          <w:tcPr>
            <w:tcW w:w="0" w:type="auto"/>
            <w:vAlign w:val="center"/>
            <w:hideMark/>
          </w:tcPr>
          <w:p w14:paraId="0515BFE8"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Architectural design, engineering design, sustainability planning, accessibility design</w:t>
            </w:r>
          </w:p>
        </w:tc>
      </w:tr>
      <w:tr w:rsidR="006645D9" w:rsidRPr="008E1D10" w14:paraId="7226C779"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8D3428"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7116928F"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Procurement</w:t>
            </w:r>
          </w:p>
        </w:tc>
        <w:tc>
          <w:tcPr>
            <w:tcW w:w="0" w:type="auto"/>
            <w:vAlign w:val="center"/>
            <w:hideMark/>
          </w:tcPr>
          <w:p w14:paraId="0A01625A"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Tender preparation, contractor selection, supplier contracting, procurement of materials and equipment</w:t>
            </w:r>
          </w:p>
        </w:tc>
      </w:tr>
      <w:tr w:rsidR="006645D9" w:rsidRPr="008E1D10" w14:paraId="56C59B1E"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BF5050"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4A78E182"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Construction</w:t>
            </w:r>
          </w:p>
        </w:tc>
        <w:tc>
          <w:tcPr>
            <w:tcW w:w="0" w:type="auto"/>
            <w:vAlign w:val="center"/>
            <w:hideMark/>
          </w:tcPr>
          <w:p w14:paraId="1A7006E7"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See Level 3 activities below</w:t>
            </w:r>
          </w:p>
        </w:tc>
      </w:tr>
      <w:tr w:rsidR="006645D9" w:rsidRPr="008E1D10" w14:paraId="196D198E"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DCA782"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2D132FB9"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Technology Integration</w:t>
            </w:r>
          </w:p>
        </w:tc>
        <w:tc>
          <w:tcPr>
            <w:tcW w:w="0" w:type="auto"/>
            <w:vAlign w:val="center"/>
            <w:hideMark/>
          </w:tcPr>
          <w:p w14:paraId="541A8BAC"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See Level 3 activities below</w:t>
            </w:r>
          </w:p>
        </w:tc>
      </w:tr>
      <w:tr w:rsidR="006645D9" w:rsidRPr="008E1D10" w14:paraId="27847F0C"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7A2EC9"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2F619276"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Testing and Commissioning</w:t>
            </w:r>
          </w:p>
        </w:tc>
        <w:tc>
          <w:tcPr>
            <w:tcW w:w="0" w:type="auto"/>
            <w:vAlign w:val="center"/>
            <w:hideMark/>
          </w:tcPr>
          <w:p w14:paraId="4D3C909C"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See Level 3 activities below</w:t>
            </w:r>
          </w:p>
        </w:tc>
      </w:tr>
      <w:tr w:rsidR="006645D9" w:rsidRPr="008E1D10" w14:paraId="1B036131"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0AC90D"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2</w:t>
            </w:r>
          </w:p>
        </w:tc>
        <w:tc>
          <w:tcPr>
            <w:tcW w:w="0" w:type="auto"/>
            <w:vAlign w:val="center"/>
            <w:hideMark/>
          </w:tcPr>
          <w:p w14:paraId="35CFBB75"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Handover and Closure</w:t>
            </w:r>
          </w:p>
        </w:tc>
        <w:tc>
          <w:tcPr>
            <w:tcW w:w="0" w:type="auto"/>
            <w:vAlign w:val="center"/>
            <w:hideMark/>
          </w:tcPr>
          <w:p w14:paraId="7D575922"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Final inspections, documentation, stakeholder acceptance, operational handover, project closure</w:t>
            </w:r>
          </w:p>
        </w:tc>
      </w:tr>
      <w:tr w:rsidR="006645D9" w:rsidRPr="008E1D10" w14:paraId="18E871E5"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B467BE"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(Construction)</w:t>
            </w:r>
          </w:p>
        </w:tc>
        <w:tc>
          <w:tcPr>
            <w:tcW w:w="0" w:type="auto"/>
            <w:vAlign w:val="center"/>
            <w:hideMark/>
          </w:tcPr>
          <w:p w14:paraId="02FCE727"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Demolition of Unsafe Structures</w:t>
            </w:r>
          </w:p>
        </w:tc>
        <w:tc>
          <w:tcPr>
            <w:tcW w:w="0" w:type="auto"/>
            <w:vAlign w:val="center"/>
            <w:hideMark/>
          </w:tcPr>
          <w:p w14:paraId="3B3C71D9"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Removal of existing damaged or non-compliant infrastructure</w:t>
            </w:r>
          </w:p>
        </w:tc>
      </w:tr>
      <w:tr w:rsidR="006645D9" w:rsidRPr="008E1D10" w14:paraId="7F906C24"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866236D"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(Construction)</w:t>
            </w:r>
          </w:p>
        </w:tc>
        <w:tc>
          <w:tcPr>
            <w:tcW w:w="0" w:type="auto"/>
            <w:vAlign w:val="center"/>
            <w:hideMark/>
          </w:tcPr>
          <w:p w14:paraId="7169E024"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Foundation and Groundworks</w:t>
            </w:r>
          </w:p>
        </w:tc>
        <w:tc>
          <w:tcPr>
            <w:tcW w:w="0" w:type="auto"/>
            <w:vAlign w:val="center"/>
            <w:hideMark/>
          </w:tcPr>
          <w:p w14:paraId="05C8B33A"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Site preparation, excavation, foundation installation</w:t>
            </w:r>
          </w:p>
        </w:tc>
      </w:tr>
      <w:tr w:rsidR="006645D9" w:rsidRPr="008E1D10" w14:paraId="4994FEBA"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291AA7F"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(Construction)</w:t>
            </w:r>
          </w:p>
        </w:tc>
        <w:tc>
          <w:tcPr>
            <w:tcW w:w="0" w:type="auto"/>
            <w:vAlign w:val="center"/>
            <w:hideMark/>
          </w:tcPr>
          <w:p w14:paraId="0946A913"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Structural Construction</w:t>
            </w:r>
          </w:p>
        </w:tc>
        <w:tc>
          <w:tcPr>
            <w:tcW w:w="0" w:type="auto"/>
            <w:vAlign w:val="center"/>
            <w:hideMark/>
          </w:tcPr>
          <w:p w14:paraId="76D0F6B2"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Construction of transport hub buildings, platforms, and supporting structures</w:t>
            </w:r>
          </w:p>
        </w:tc>
      </w:tr>
      <w:tr w:rsidR="006645D9" w:rsidRPr="008E1D10" w14:paraId="16A5865E"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FD0D58"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(Construction)</w:t>
            </w:r>
          </w:p>
        </w:tc>
        <w:tc>
          <w:tcPr>
            <w:tcW w:w="0" w:type="auto"/>
            <w:vAlign w:val="center"/>
            <w:hideMark/>
          </w:tcPr>
          <w:p w14:paraId="4DF5D8C3"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Utilities and Services Installation</w:t>
            </w:r>
          </w:p>
        </w:tc>
        <w:tc>
          <w:tcPr>
            <w:tcW w:w="0" w:type="auto"/>
            <w:vAlign w:val="center"/>
            <w:hideMark/>
          </w:tcPr>
          <w:p w14:paraId="6B898AFA"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Installation of electricity, water, drainage, telecommunications, and transport systems</w:t>
            </w:r>
          </w:p>
        </w:tc>
      </w:tr>
      <w:tr w:rsidR="006645D9" w:rsidRPr="008E1D10" w14:paraId="05FECC20"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208D34"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(Construction)</w:t>
            </w:r>
          </w:p>
        </w:tc>
        <w:tc>
          <w:tcPr>
            <w:tcW w:w="0" w:type="auto"/>
            <w:vAlign w:val="center"/>
            <w:hideMark/>
          </w:tcPr>
          <w:p w14:paraId="66D5E18D"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External Landscaping</w:t>
            </w:r>
          </w:p>
        </w:tc>
        <w:tc>
          <w:tcPr>
            <w:tcW w:w="0" w:type="auto"/>
            <w:vAlign w:val="center"/>
            <w:hideMark/>
          </w:tcPr>
          <w:p w14:paraId="363ABA03"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Roads, walkways, green spaces, public realm improvements</w:t>
            </w:r>
          </w:p>
        </w:tc>
      </w:tr>
      <w:tr w:rsidR="006645D9" w:rsidRPr="008E1D10" w14:paraId="3626E763"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E9A299"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(Technology Integration)</w:t>
            </w:r>
          </w:p>
        </w:tc>
        <w:tc>
          <w:tcPr>
            <w:tcW w:w="0" w:type="auto"/>
            <w:vAlign w:val="center"/>
            <w:hideMark/>
          </w:tcPr>
          <w:p w14:paraId="100F7930"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Smart Ticketing Systems</w:t>
            </w:r>
          </w:p>
        </w:tc>
        <w:tc>
          <w:tcPr>
            <w:tcW w:w="0" w:type="auto"/>
            <w:vAlign w:val="center"/>
            <w:hideMark/>
          </w:tcPr>
          <w:p w14:paraId="3CA8E35B"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Digital ticketing and payment technologies</w:t>
            </w:r>
          </w:p>
        </w:tc>
      </w:tr>
      <w:tr w:rsidR="006645D9" w:rsidRPr="008E1D10" w14:paraId="2F1678DA"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8785D4"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(Technology Integration)</w:t>
            </w:r>
          </w:p>
        </w:tc>
        <w:tc>
          <w:tcPr>
            <w:tcW w:w="0" w:type="auto"/>
            <w:vAlign w:val="center"/>
            <w:hideMark/>
          </w:tcPr>
          <w:p w14:paraId="2325C6B9"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Passenger Information Systems</w:t>
            </w:r>
          </w:p>
        </w:tc>
        <w:tc>
          <w:tcPr>
            <w:tcW w:w="0" w:type="auto"/>
            <w:vAlign w:val="center"/>
            <w:hideMark/>
          </w:tcPr>
          <w:p w14:paraId="7B455D3A"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Real-time travel information displays and communication systems</w:t>
            </w:r>
          </w:p>
        </w:tc>
      </w:tr>
      <w:tr w:rsidR="006645D9" w:rsidRPr="008E1D10" w14:paraId="1AB04FD7"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270390"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(Technology Integration)</w:t>
            </w:r>
          </w:p>
        </w:tc>
        <w:tc>
          <w:tcPr>
            <w:tcW w:w="0" w:type="auto"/>
            <w:vAlign w:val="center"/>
            <w:hideMark/>
          </w:tcPr>
          <w:p w14:paraId="4FC05FE9"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Freight Logistics Software</w:t>
            </w:r>
          </w:p>
        </w:tc>
        <w:tc>
          <w:tcPr>
            <w:tcW w:w="0" w:type="auto"/>
            <w:vAlign w:val="center"/>
            <w:hideMark/>
          </w:tcPr>
          <w:p w14:paraId="222C5B1E"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Digital systems for freight coordination and tracking</w:t>
            </w:r>
          </w:p>
        </w:tc>
      </w:tr>
      <w:tr w:rsidR="006645D9" w:rsidRPr="008E1D10" w14:paraId="2FCF6C08"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F39895"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(Technology Integration)</w:t>
            </w:r>
          </w:p>
        </w:tc>
        <w:tc>
          <w:tcPr>
            <w:tcW w:w="0" w:type="auto"/>
            <w:vAlign w:val="center"/>
            <w:hideMark/>
          </w:tcPr>
          <w:p w14:paraId="34319626"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Security and Surveillance Technologies</w:t>
            </w:r>
          </w:p>
        </w:tc>
        <w:tc>
          <w:tcPr>
            <w:tcW w:w="0" w:type="auto"/>
            <w:vAlign w:val="center"/>
            <w:hideMark/>
          </w:tcPr>
          <w:p w14:paraId="6D59F9C2"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CCTV, monitoring systems, and access control technologies</w:t>
            </w:r>
          </w:p>
        </w:tc>
      </w:tr>
      <w:tr w:rsidR="006645D9" w:rsidRPr="008E1D10" w14:paraId="3DDB4700"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703FC1"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(Testing &amp; Commissioning)</w:t>
            </w:r>
          </w:p>
        </w:tc>
        <w:tc>
          <w:tcPr>
            <w:tcW w:w="0" w:type="auto"/>
            <w:vAlign w:val="center"/>
            <w:hideMark/>
          </w:tcPr>
          <w:p w14:paraId="444AA894"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Safety Inspections</w:t>
            </w:r>
          </w:p>
        </w:tc>
        <w:tc>
          <w:tcPr>
            <w:tcW w:w="0" w:type="auto"/>
            <w:vAlign w:val="center"/>
            <w:hideMark/>
          </w:tcPr>
          <w:p w14:paraId="7F320AF5"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Compliance checks against safety regulations and standards</w:t>
            </w:r>
          </w:p>
        </w:tc>
      </w:tr>
      <w:tr w:rsidR="006645D9" w:rsidRPr="008E1D10" w14:paraId="4FC0074D" w14:textId="77777777" w:rsidTr="008E1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3F975B"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(Testing &amp; Commissioning)</w:t>
            </w:r>
          </w:p>
        </w:tc>
        <w:tc>
          <w:tcPr>
            <w:tcW w:w="0" w:type="auto"/>
            <w:vAlign w:val="center"/>
            <w:hideMark/>
          </w:tcPr>
          <w:p w14:paraId="429E350E"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System Integration Testing</w:t>
            </w:r>
          </w:p>
        </w:tc>
        <w:tc>
          <w:tcPr>
            <w:tcW w:w="0" w:type="auto"/>
            <w:vAlign w:val="center"/>
            <w:hideMark/>
          </w:tcPr>
          <w:p w14:paraId="4A66405D" w14:textId="77777777" w:rsidR="006645D9" w:rsidRPr="008E1D10" w:rsidRDefault="006645D9"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Testing interoperability of transport and digital systems</w:t>
            </w:r>
          </w:p>
        </w:tc>
      </w:tr>
      <w:tr w:rsidR="006645D9" w:rsidRPr="008E1D10" w14:paraId="368175E3" w14:textId="77777777" w:rsidTr="008E1D1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E4F4CF" w14:textId="77777777" w:rsidR="006645D9" w:rsidRPr="008E1D10" w:rsidRDefault="006645D9" w:rsidP="008E1D10">
            <w:pPr>
              <w:spacing w:after="200"/>
              <w:jc w:val="both"/>
              <w:rPr>
                <w:rFonts w:asciiTheme="majorBidi" w:hAnsiTheme="majorBidi" w:cstheme="majorBidi"/>
              </w:rPr>
            </w:pPr>
            <w:r w:rsidRPr="008E1D10">
              <w:rPr>
                <w:rFonts w:asciiTheme="majorBidi" w:hAnsiTheme="majorBidi" w:cstheme="majorBidi"/>
              </w:rPr>
              <w:t>Level 3 (Testing &amp; Commissioning)</w:t>
            </w:r>
          </w:p>
        </w:tc>
        <w:tc>
          <w:tcPr>
            <w:tcW w:w="0" w:type="auto"/>
            <w:vAlign w:val="center"/>
            <w:hideMark/>
          </w:tcPr>
          <w:p w14:paraId="2E9068E4"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Operational Readiness Assessment</w:t>
            </w:r>
          </w:p>
        </w:tc>
        <w:tc>
          <w:tcPr>
            <w:tcW w:w="0" w:type="auto"/>
            <w:vAlign w:val="center"/>
            <w:hideMark/>
          </w:tcPr>
          <w:p w14:paraId="7514B570" w14:textId="77777777" w:rsidR="006645D9" w:rsidRPr="008E1D10" w:rsidRDefault="006645D9"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Final performance evaluation and readiness for public operation</w:t>
            </w:r>
          </w:p>
        </w:tc>
      </w:tr>
    </w:tbl>
    <w:p w14:paraId="57D5C3C7" w14:textId="74F79C6C" w:rsidR="00F63910" w:rsidRPr="008E1D10" w:rsidRDefault="00A75159" w:rsidP="008E1D10">
      <w:pPr>
        <w:spacing w:after="200" w:line="360" w:lineRule="auto"/>
        <w:jc w:val="both"/>
        <w:rPr>
          <w:rFonts w:asciiTheme="majorBidi" w:hAnsiTheme="majorBidi" w:cstheme="majorBidi"/>
        </w:rPr>
      </w:pPr>
      <w:r w:rsidRPr="008E1D10">
        <w:rPr>
          <w:rFonts w:asciiTheme="majorBidi" w:hAnsiTheme="majorBidi" w:cstheme="majorBidi"/>
        </w:rPr>
        <w:t>Effective deliverables management is achieved through the WBS because it gives clear responsibility for each work package, and measurable deliverables for evaluating results. It is useful in planning resources as it shows the need for labour, equipment and materials on each stage. In addition, the WBS enhances accountability as individual teams can be given specific deliverables and performance targets to meet. The WBS is also used by project managers for progress tracking, schedule variance and to foresee potential risks that could impact project outcomes. If a project is not managed with a proper WBS, it is often plagued by scope ambiguity and cost overruns, delays, etc.</w:t>
      </w:r>
    </w:p>
    <w:p w14:paraId="3EC493D7" w14:textId="6A7BA9C4"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9" w:name="_Toc233323308"/>
      <w:r w:rsidRPr="008E1D10">
        <w:rPr>
          <w:rFonts w:asciiTheme="majorBidi" w:hAnsiTheme="majorBidi"/>
          <w:b/>
          <w:bCs/>
          <w:color w:val="auto"/>
          <w:sz w:val="32"/>
          <w:szCs w:val="24"/>
          <w:u w:val="single"/>
        </w:rPr>
        <w:t xml:space="preserve">Quad Chart </w:t>
      </w:r>
      <w:r w:rsidR="000C7F5A" w:rsidRPr="008E1D10">
        <w:rPr>
          <w:rFonts w:asciiTheme="majorBidi" w:hAnsiTheme="majorBidi"/>
          <w:b/>
          <w:bCs/>
          <w:color w:val="auto"/>
          <w:sz w:val="32"/>
          <w:szCs w:val="24"/>
          <w:u w:val="single"/>
        </w:rPr>
        <w:t>Analysis</w:t>
      </w:r>
      <w:bookmarkEnd w:id="9"/>
      <w:r w:rsidR="000C7F5A" w:rsidRPr="008E1D10">
        <w:rPr>
          <w:rFonts w:asciiTheme="majorBidi" w:hAnsiTheme="majorBidi"/>
          <w:b/>
          <w:bCs/>
          <w:color w:val="auto"/>
          <w:sz w:val="32"/>
          <w:szCs w:val="24"/>
          <w:u w:val="single"/>
        </w:rPr>
        <w:t xml:space="preserve"> </w:t>
      </w:r>
    </w:p>
    <w:p w14:paraId="05AE5D29" w14:textId="530BEEBB" w:rsidR="000C7F5A" w:rsidRPr="008E1D10" w:rsidRDefault="000C7F5A" w:rsidP="008E1D10">
      <w:pPr>
        <w:spacing w:after="200" w:line="360" w:lineRule="auto"/>
        <w:jc w:val="both"/>
        <w:rPr>
          <w:rFonts w:asciiTheme="majorBidi" w:hAnsiTheme="majorBidi" w:cstheme="majorBidi"/>
        </w:rPr>
      </w:pPr>
      <w:r w:rsidRPr="008E1D10">
        <w:rPr>
          <w:rFonts w:asciiTheme="majorBidi" w:hAnsiTheme="majorBidi" w:cstheme="majorBidi"/>
        </w:rPr>
        <w:t>The Quad Chart is an executive project management chart to present important project data at a glance. It helps facilitate decision making through summarizing the project objectives, deliverables, schedule and budget, for quick review by senior stakeholders. PRINCE2 puts emphasis on governance, business justification and stage-based control, all of which are captured by the use of high level reporting tools in the form of the Quad Chart.</w:t>
      </w:r>
    </w:p>
    <w:p w14:paraId="515A7143" w14:textId="3C27293F" w:rsidR="006645D9" w:rsidRPr="008E1D10" w:rsidRDefault="006645D9" w:rsidP="008E1D10">
      <w:pPr>
        <w:spacing w:after="200" w:line="360" w:lineRule="auto"/>
        <w:jc w:val="center"/>
        <w:rPr>
          <w:rFonts w:asciiTheme="majorBidi" w:hAnsiTheme="majorBidi" w:cstheme="majorBidi"/>
        </w:rPr>
      </w:pPr>
      <w:r w:rsidRPr="008E1D10">
        <w:rPr>
          <w:rFonts w:asciiTheme="majorBidi" w:hAnsiTheme="majorBidi" w:cstheme="majorBidi"/>
          <w:noProof/>
          <w:sz w:val="26"/>
          <w:szCs w:val="26"/>
        </w:rPr>
        <w:drawing>
          <wp:inline distT="0" distB="0" distL="0" distR="0" wp14:anchorId="456628D5" wp14:editId="5E76FA18">
            <wp:extent cx="4457700" cy="3530600"/>
            <wp:effectExtent l="0" t="0" r="0" b="0"/>
            <wp:docPr id="37892194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A3DA30" w14:textId="79C2F7E0" w:rsidR="00F63910" w:rsidRPr="002E64F5" w:rsidRDefault="002E64F5" w:rsidP="002E64F5">
      <w:pPr>
        <w:pStyle w:val="Caption"/>
        <w:jc w:val="center"/>
        <w:rPr>
          <w:rFonts w:asciiTheme="majorBidi" w:hAnsiTheme="majorBidi" w:cstheme="majorBidi"/>
          <w:color w:val="auto"/>
          <w:sz w:val="22"/>
          <w:szCs w:val="22"/>
        </w:rPr>
      </w:pPr>
      <w:bookmarkStart w:id="10" w:name="_Toc232338929"/>
      <w:r w:rsidRPr="002E64F5">
        <w:rPr>
          <w:rFonts w:asciiTheme="majorBidi" w:hAnsiTheme="majorBidi" w:cstheme="majorBidi"/>
          <w:color w:val="auto"/>
          <w:sz w:val="22"/>
          <w:szCs w:val="22"/>
        </w:rPr>
        <w:t xml:space="preserve">Figure </w:t>
      </w:r>
      <w:r w:rsidRPr="002E64F5">
        <w:rPr>
          <w:rFonts w:asciiTheme="majorBidi" w:hAnsiTheme="majorBidi" w:cstheme="majorBidi"/>
          <w:color w:val="auto"/>
          <w:sz w:val="22"/>
          <w:szCs w:val="22"/>
        </w:rPr>
        <w:fldChar w:fldCharType="begin"/>
      </w:r>
      <w:r w:rsidRPr="002E64F5">
        <w:rPr>
          <w:rFonts w:asciiTheme="majorBidi" w:hAnsiTheme="majorBidi" w:cstheme="majorBidi"/>
          <w:color w:val="auto"/>
          <w:sz w:val="22"/>
          <w:szCs w:val="22"/>
        </w:rPr>
        <w:instrText xml:space="preserve"> SEQ Figure \* ARABIC </w:instrText>
      </w:r>
      <w:r w:rsidRPr="002E64F5">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2</w:t>
      </w:r>
      <w:r w:rsidRPr="002E64F5">
        <w:rPr>
          <w:rFonts w:asciiTheme="majorBidi" w:hAnsiTheme="majorBidi" w:cstheme="majorBidi"/>
          <w:color w:val="auto"/>
          <w:sz w:val="22"/>
          <w:szCs w:val="22"/>
        </w:rPr>
        <w:fldChar w:fldCharType="end"/>
      </w:r>
      <w:r w:rsidRPr="002E64F5">
        <w:rPr>
          <w:rFonts w:asciiTheme="majorBidi" w:hAnsiTheme="majorBidi" w:cstheme="majorBidi"/>
          <w:color w:val="auto"/>
          <w:sz w:val="22"/>
          <w:szCs w:val="22"/>
        </w:rPr>
        <w:t xml:space="preserve">: </w:t>
      </w:r>
      <w:r w:rsidR="00F63910" w:rsidRPr="002E64F5">
        <w:rPr>
          <w:rFonts w:asciiTheme="majorBidi" w:hAnsiTheme="majorBidi" w:cstheme="majorBidi"/>
          <w:color w:val="auto"/>
          <w:sz w:val="22"/>
          <w:szCs w:val="22"/>
        </w:rPr>
        <w:t>Quad Chart</w:t>
      </w:r>
      <w:bookmarkEnd w:id="10"/>
    </w:p>
    <w:tbl>
      <w:tblPr>
        <w:tblStyle w:val="TableGrid"/>
        <w:tblW w:w="0" w:type="auto"/>
        <w:tblLook w:val="04A0" w:firstRow="1" w:lastRow="0" w:firstColumn="1" w:lastColumn="0" w:noHBand="0" w:noVBand="1"/>
      </w:tblPr>
      <w:tblGrid>
        <w:gridCol w:w="5226"/>
        <w:gridCol w:w="4124"/>
      </w:tblGrid>
      <w:tr w:rsidR="00F63910" w:rsidRPr="008E1D10" w14:paraId="1DC69B9F" w14:textId="77777777" w:rsidTr="006645D9">
        <w:tc>
          <w:tcPr>
            <w:tcW w:w="0" w:type="auto"/>
            <w:hideMark/>
          </w:tcPr>
          <w:p w14:paraId="7A63CEC2" w14:textId="77777777" w:rsidR="00F63910" w:rsidRPr="008E1D10" w:rsidRDefault="00F63910" w:rsidP="002E64F5">
            <w:pPr>
              <w:spacing w:after="200"/>
              <w:jc w:val="both"/>
              <w:rPr>
                <w:rFonts w:asciiTheme="majorBidi" w:hAnsiTheme="majorBidi" w:cstheme="majorBidi"/>
                <w:b/>
                <w:bCs/>
              </w:rPr>
            </w:pPr>
            <w:r w:rsidRPr="008E1D10">
              <w:rPr>
                <w:rFonts w:asciiTheme="majorBidi" w:hAnsiTheme="majorBidi" w:cstheme="majorBidi"/>
                <w:b/>
                <w:bCs/>
              </w:rPr>
              <w:t>Objectives</w:t>
            </w:r>
          </w:p>
          <w:p w14:paraId="22F6387C" w14:textId="61FFE9A7" w:rsidR="006645D9" w:rsidRPr="008E1D10" w:rsidRDefault="006645D9" w:rsidP="002E64F5">
            <w:pPr>
              <w:spacing w:after="200"/>
              <w:jc w:val="both"/>
              <w:rPr>
                <w:rFonts w:asciiTheme="majorBidi" w:hAnsiTheme="majorBidi" w:cstheme="majorBidi"/>
                <w:b/>
                <w:bCs/>
              </w:rPr>
            </w:pPr>
            <w:r w:rsidRPr="008E1D10">
              <w:rPr>
                <w:rFonts w:asciiTheme="majorBidi" w:hAnsiTheme="majorBidi" w:cstheme="majorBidi"/>
              </w:rPr>
              <w:t>Restore transport capacity, improve accessibility, support sustainability goals, enhance logistics efficiency</w:t>
            </w:r>
          </w:p>
        </w:tc>
        <w:tc>
          <w:tcPr>
            <w:tcW w:w="0" w:type="auto"/>
            <w:hideMark/>
          </w:tcPr>
          <w:p w14:paraId="079B8BE1" w14:textId="77777777" w:rsidR="00F63910" w:rsidRPr="008E1D10" w:rsidRDefault="00F63910" w:rsidP="002E64F5">
            <w:pPr>
              <w:spacing w:after="200"/>
              <w:jc w:val="both"/>
              <w:rPr>
                <w:rFonts w:asciiTheme="majorBidi" w:hAnsiTheme="majorBidi" w:cstheme="majorBidi"/>
                <w:b/>
                <w:bCs/>
              </w:rPr>
            </w:pPr>
            <w:r w:rsidRPr="008E1D10">
              <w:rPr>
                <w:rFonts w:asciiTheme="majorBidi" w:hAnsiTheme="majorBidi" w:cstheme="majorBidi"/>
                <w:b/>
                <w:bCs/>
              </w:rPr>
              <w:t>Deliverables</w:t>
            </w:r>
          </w:p>
          <w:p w14:paraId="5AE1A6BE" w14:textId="7551E33E" w:rsidR="006645D9" w:rsidRPr="008E1D10" w:rsidRDefault="006645D9" w:rsidP="002E64F5">
            <w:pPr>
              <w:spacing w:after="200"/>
              <w:jc w:val="both"/>
              <w:rPr>
                <w:rFonts w:asciiTheme="majorBidi" w:hAnsiTheme="majorBidi" w:cstheme="majorBidi"/>
                <w:b/>
                <w:bCs/>
              </w:rPr>
            </w:pPr>
            <w:r w:rsidRPr="008E1D10">
              <w:rPr>
                <w:rFonts w:asciiTheme="majorBidi" w:hAnsiTheme="majorBidi" w:cstheme="majorBidi"/>
              </w:rPr>
              <w:t>New transport hub, digital systems, freight facilities, sustainable infrastructure</w:t>
            </w:r>
          </w:p>
        </w:tc>
      </w:tr>
      <w:tr w:rsidR="00F63910" w:rsidRPr="008E1D10" w14:paraId="240419BA" w14:textId="77777777" w:rsidTr="006645D9">
        <w:tc>
          <w:tcPr>
            <w:tcW w:w="0" w:type="auto"/>
            <w:hideMark/>
          </w:tcPr>
          <w:p w14:paraId="01C9A0C6" w14:textId="77777777" w:rsidR="00F63910" w:rsidRPr="008E1D10" w:rsidRDefault="006645D9" w:rsidP="002E64F5">
            <w:pPr>
              <w:spacing w:after="200"/>
              <w:jc w:val="both"/>
              <w:rPr>
                <w:rFonts w:asciiTheme="majorBidi" w:hAnsiTheme="majorBidi" w:cstheme="majorBidi"/>
                <w:b/>
                <w:bCs/>
              </w:rPr>
            </w:pPr>
            <w:r w:rsidRPr="008E1D10">
              <w:rPr>
                <w:rFonts w:asciiTheme="majorBidi" w:hAnsiTheme="majorBidi" w:cstheme="majorBidi"/>
                <w:b/>
                <w:bCs/>
              </w:rPr>
              <w:t>Schedule</w:t>
            </w:r>
          </w:p>
          <w:p w14:paraId="224B64B6" w14:textId="41635D41" w:rsidR="006645D9" w:rsidRPr="008E1D10" w:rsidRDefault="006645D9" w:rsidP="002E64F5">
            <w:pPr>
              <w:spacing w:after="200"/>
              <w:jc w:val="both"/>
              <w:rPr>
                <w:rFonts w:asciiTheme="majorBidi" w:hAnsiTheme="majorBidi" w:cstheme="majorBidi"/>
                <w:b/>
                <w:bCs/>
              </w:rPr>
            </w:pPr>
            <w:r w:rsidRPr="008E1D10">
              <w:rPr>
                <w:rFonts w:asciiTheme="majorBidi" w:hAnsiTheme="majorBidi" w:cstheme="majorBidi"/>
              </w:rPr>
              <w:t xml:space="preserve">36-month delivery </w:t>
            </w:r>
            <w:proofErr w:type="spellStart"/>
            <w:r w:rsidRPr="008E1D10">
              <w:rPr>
                <w:rFonts w:asciiTheme="majorBidi" w:hAnsiTheme="majorBidi" w:cstheme="majorBidi"/>
              </w:rPr>
              <w:t>programme</w:t>
            </w:r>
            <w:proofErr w:type="spellEnd"/>
          </w:p>
          <w:p w14:paraId="674CD902" w14:textId="6DA8D32C" w:rsidR="006645D9" w:rsidRPr="008E1D10" w:rsidRDefault="006645D9" w:rsidP="002E64F5">
            <w:pPr>
              <w:spacing w:after="200"/>
              <w:jc w:val="both"/>
              <w:rPr>
                <w:rFonts w:asciiTheme="majorBidi" w:hAnsiTheme="majorBidi" w:cstheme="majorBidi"/>
              </w:rPr>
            </w:pPr>
          </w:p>
        </w:tc>
        <w:tc>
          <w:tcPr>
            <w:tcW w:w="0" w:type="auto"/>
            <w:hideMark/>
          </w:tcPr>
          <w:p w14:paraId="2979FC5F" w14:textId="77777777" w:rsidR="00F63910" w:rsidRPr="008E1D10" w:rsidRDefault="006645D9" w:rsidP="002E64F5">
            <w:pPr>
              <w:spacing w:after="200"/>
              <w:jc w:val="both"/>
              <w:rPr>
                <w:rFonts w:asciiTheme="majorBidi" w:hAnsiTheme="majorBidi" w:cstheme="majorBidi"/>
                <w:b/>
                <w:bCs/>
              </w:rPr>
            </w:pPr>
            <w:r w:rsidRPr="008E1D10">
              <w:rPr>
                <w:rFonts w:asciiTheme="majorBidi" w:hAnsiTheme="majorBidi" w:cstheme="majorBidi"/>
                <w:b/>
                <w:bCs/>
              </w:rPr>
              <w:t>Budget</w:t>
            </w:r>
          </w:p>
          <w:p w14:paraId="0A2E0F0D" w14:textId="2C311077" w:rsidR="006645D9" w:rsidRPr="008E1D10" w:rsidRDefault="006645D9" w:rsidP="002E64F5">
            <w:pPr>
              <w:spacing w:after="200"/>
              <w:jc w:val="both"/>
              <w:rPr>
                <w:rFonts w:asciiTheme="majorBidi" w:hAnsiTheme="majorBidi" w:cstheme="majorBidi"/>
              </w:rPr>
            </w:pPr>
            <w:r w:rsidRPr="008E1D10">
              <w:rPr>
                <w:rFonts w:asciiTheme="majorBidi" w:hAnsiTheme="majorBidi" w:cstheme="majorBidi"/>
              </w:rPr>
              <w:t>£450 million estimated budget</w:t>
            </w:r>
          </w:p>
        </w:tc>
      </w:tr>
    </w:tbl>
    <w:p w14:paraId="4C5BAA4B" w14:textId="77777777" w:rsidR="00F63910" w:rsidRPr="008E1D10" w:rsidRDefault="00F63910" w:rsidP="008E1D10">
      <w:pPr>
        <w:spacing w:after="200" w:line="360" w:lineRule="auto"/>
        <w:jc w:val="both"/>
        <w:rPr>
          <w:rFonts w:asciiTheme="majorBidi" w:hAnsiTheme="majorBidi" w:cstheme="majorBidi"/>
          <w:vanish/>
        </w:rPr>
      </w:pPr>
    </w:p>
    <w:p w14:paraId="2E1415A8" w14:textId="5274CC61" w:rsidR="00F63910" w:rsidRPr="008E1D10" w:rsidRDefault="000C7F5A" w:rsidP="008E1D10">
      <w:pPr>
        <w:spacing w:after="200" w:line="360" w:lineRule="auto"/>
        <w:jc w:val="both"/>
        <w:rPr>
          <w:rFonts w:asciiTheme="majorBidi" w:hAnsiTheme="majorBidi" w:cstheme="majorBidi"/>
        </w:rPr>
      </w:pPr>
      <w:r w:rsidRPr="008E1D10">
        <w:rPr>
          <w:rFonts w:asciiTheme="majorBidi" w:hAnsiTheme="majorBidi" w:cstheme="majorBidi"/>
        </w:rPr>
        <w:t>The Quad Chart can be used by project sponsors and city officials to track strategic performance to meet established project goals. It helps with governance, keeping everyone aware of the project's progress, reporting at stage reviews and supporting senior decision makers to assess the project's direction of travel in relation to the business's objectives and priorities for urban regeneration.</w:t>
      </w:r>
    </w:p>
    <w:p w14:paraId="6D6F6B9E" w14:textId="582F0091"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11" w:name="_Toc233323309"/>
      <w:r w:rsidRPr="008E1D10">
        <w:rPr>
          <w:rFonts w:asciiTheme="majorBidi" w:hAnsiTheme="majorBidi"/>
          <w:b/>
          <w:bCs/>
          <w:color w:val="auto"/>
          <w:sz w:val="32"/>
          <w:szCs w:val="24"/>
          <w:u w:val="single"/>
        </w:rPr>
        <w:t>Gantt</w:t>
      </w:r>
      <w:r w:rsidR="000C7F5A" w:rsidRPr="008E1D10">
        <w:rPr>
          <w:rFonts w:asciiTheme="majorBidi" w:hAnsiTheme="majorBidi"/>
          <w:b/>
          <w:bCs/>
          <w:color w:val="auto"/>
          <w:sz w:val="32"/>
          <w:szCs w:val="24"/>
          <w:u w:val="single"/>
        </w:rPr>
        <w:t xml:space="preserve"> Chart and Schedule Management</w:t>
      </w:r>
      <w:bookmarkEnd w:id="11"/>
      <w:r w:rsidR="000C7F5A" w:rsidRPr="008E1D10">
        <w:rPr>
          <w:rFonts w:asciiTheme="majorBidi" w:hAnsiTheme="majorBidi"/>
          <w:b/>
          <w:bCs/>
          <w:color w:val="auto"/>
          <w:sz w:val="32"/>
          <w:szCs w:val="24"/>
          <w:u w:val="single"/>
        </w:rPr>
        <w:t xml:space="preserve"> </w:t>
      </w:r>
    </w:p>
    <w:p w14:paraId="6680742C" w14:textId="397BA6CC" w:rsidR="00F63910" w:rsidRPr="008E1D10" w:rsidRDefault="000C7F5A" w:rsidP="008E1D10">
      <w:pPr>
        <w:spacing w:after="200" w:line="360" w:lineRule="auto"/>
        <w:jc w:val="both"/>
        <w:rPr>
          <w:rFonts w:asciiTheme="majorBidi" w:hAnsiTheme="majorBidi" w:cstheme="majorBidi"/>
        </w:rPr>
      </w:pPr>
      <w:r w:rsidRPr="008E1D10">
        <w:rPr>
          <w:rFonts w:asciiTheme="majorBidi" w:hAnsiTheme="majorBidi" w:cstheme="majorBidi"/>
        </w:rPr>
        <w:t>Scheduling is a vital challenge in delivering the redevelopment of the central transport hub on time, without disrupting transport services and the local economy. A Gantt Chart is a visual tool that displays project activities, durations, dependencies, and milestones, allowing project managers to track progress and allocate resources.A Gantt Chart is a graphical, visual project management tool that shows project activities, durations, dependencies, and milestones to help project managers keep track of progress and coordinate resources (Margret et al., 2026).</w:t>
      </w:r>
    </w:p>
    <w:p w14:paraId="06AE24B0" w14:textId="77777777" w:rsidR="006645D9" w:rsidRPr="008E1D10" w:rsidRDefault="006645D9" w:rsidP="008E1D10">
      <w:pPr>
        <w:spacing w:after="200" w:line="360" w:lineRule="auto"/>
        <w:jc w:val="center"/>
        <w:rPr>
          <w:rFonts w:asciiTheme="majorBidi" w:hAnsiTheme="majorBidi" w:cstheme="majorBidi"/>
          <w:b/>
          <w:bCs/>
        </w:rPr>
      </w:pPr>
      <w:r w:rsidRPr="008E1D10">
        <w:rPr>
          <w:rFonts w:asciiTheme="majorBidi" w:hAnsiTheme="majorBidi" w:cstheme="majorBidi"/>
          <w:b/>
          <w:bCs/>
          <w:noProof/>
        </w:rPr>
        <w:drawing>
          <wp:inline distT="0" distB="0" distL="0" distR="0" wp14:anchorId="6315E67A" wp14:editId="16FB8B4E">
            <wp:extent cx="5943600" cy="2994660"/>
            <wp:effectExtent l="0" t="0" r="0" b="0"/>
            <wp:docPr id="1497638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38214" name=""/>
                    <pic:cNvPicPr/>
                  </pic:nvPicPr>
                  <pic:blipFill>
                    <a:blip r:embed="rId14"/>
                    <a:stretch>
                      <a:fillRect/>
                    </a:stretch>
                  </pic:blipFill>
                  <pic:spPr>
                    <a:xfrm>
                      <a:off x="0" y="0"/>
                      <a:ext cx="5943600" cy="2994660"/>
                    </a:xfrm>
                    <a:prstGeom prst="rect">
                      <a:avLst/>
                    </a:prstGeom>
                  </pic:spPr>
                </pic:pic>
              </a:graphicData>
            </a:graphic>
          </wp:inline>
        </w:drawing>
      </w:r>
    </w:p>
    <w:p w14:paraId="68F5ABDA" w14:textId="0E9BF8BB" w:rsidR="00F63910" w:rsidRPr="002E64F5" w:rsidRDefault="002E64F5" w:rsidP="002E64F5">
      <w:pPr>
        <w:pStyle w:val="Caption"/>
        <w:jc w:val="center"/>
        <w:rPr>
          <w:rFonts w:asciiTheme="majorBidi" w:hAnsiTheme="majorBidi" w:cstheme="majorBidi"/>
          <w:color w:val="auto"/>
          <w:sz w:val="22"/>
          <w:szCs w:val="22"/>
        </w:rPr>
      </w:pPr>
      <w:bookmarkStart w:id="12" w:name="_Toc232338930"/>
      <w:r w:rsidRPr="002E64F5">
        <w:rPr>
          <w:rFonts w:asciiTheme="majorBidi" w:hAnsiTheme="majorBidi" w:cstheme="majorBidi"/>
          <w:color w:val="auto"/>
          <w:sz w:val="22"/>
          <w:szCs w:val="22"/>
        </w:rPr>
        <w:t xml:space="preserve">Figure </w:t>
      </w:r>
      <w:r w:rsidRPr="002E64F5">
        <w:rPr>
          <w:rFonts w:asciiTheme="majorBidi" w:hAnsiTheme="majorBidi" w:cstheme="majorBidi"/>
          <w:color w:val="auto"/>
          <w:sz w:val="22"/>
          <w:szCs w:val="22"/>
        </w:rPr>
        <w:fldChar w:fldCharType="begin"/>
      </w:r>
      <w:r w:rsidRPr="002E64F5">
        <w:rPr>
          <w:rFonts w:asciiTheme="majorBidi" w:hAnsiTheme="majorBidi" w:cstheme="majorBidi"/>
          <w:color w:val="auto"/>
          <w:sz w:val="22"/>
          <w:szCs w:val="22"/>
        </w:rPr>
        <w:instrText xml:space="preserve"> SEQ Figure \* ARABIC </w:instrText>
      </w:r>
      <w:r w:rsidRPr="002E64F5">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3</w:t>
      </w:r>
      <w:r w:rsidRPr="002E64F5">
        <w:rPr>
          <w:rFonts w:asciiTheme="majorBidi" w:hAnsiTheme="majorBidi" w:cstheme="majorBidi"/>
          <w:color w:val="auto"/>
          <w:sz w:val="22"/>
          <w:szCs w:val="22"/>
        </w:rPr>
        <w:fldChar w:fldCharType="end"/>
      </w:r>
      <w:r w:rsidRPr="002E64F5">
        <w:rPr>
          <w:rFonts w:asciiTheme="majorBidi" w:hAnsiTheme="majorBidi" w:cstheme="majorBidi"/>
          <w:color w:val="auto"/>
          <w:sz w:val="22"/>
          <w:szCs w:val="22"/>
        </w:rPr>
        <w:t xml:space="preserve">: </w:t>
      </w:r>
      <w:r w:rsidR="00F63910" w:rsidRPr="002E64F5">
        <w:rPr>
          <w:rFonts w:asciiTheme="majorBidi" w:hAnsiTheme="majorBidi" w:cstheme="majorBidi"/>
          <w:color w:val="auto"/>
          <w:sz w:val="22"/>
          <w:szCs w:val="22"/>
        </w:rPr>
        <w:t>Proposed Gantt Schedule</w:t>
      </w:r>
      <w:bookmarkEnd w:id="12"/>
    </w:p>
    <w:p w14:paraId="7882BE6C" w14:textId="77777777" w:rsidR="000C7F5A" w:rsidRPr="008E1D10" w:rsidRDefault="000C7F5A" w:rsidP="008E1D10">
      <w:pPr>
        <w:spacing w:after="200" w:line="360" w:lineRule="auto"/>
        <w:jc w:val="both"/>
        <w:rPr>
          <w:rFonts w:asciiTheme="majorBidi" w:hAnsiTheme="majorBidi" w:cstheme="majorBidi"/>
        </w:rPr>
      </w:pPr>
      <w:r w:rsidRPr="008E1D10">
        <w:rPr>
          <w:rFonts w:asciiTheme="majorBidi" w:hAnsiTheme="majorBidi" w:cstheme="majorBidi"/>
        </w:rPr>
        <w:t xml:space="preserve">Project activities start with initiation activities such as feasibility assessment, stakeholder approvals and detailed planning and design (Sima, 2022). Procurement activities will build a pool of contractors and materials ahead of construction, the most time consuming and resource intensive phase. Project life cycle concludes with the integration, testing and final handing-over of technology. </w:t>
      </w:r>
    </w:p>
    <w:p w14:paraId="1D20D6D7" w14:textId="4AD025A0" w:rsidR="00F63910" w:rsidRPr="008E1D10" w:rsidRDefault="000C7F5A" w:rsidP="008E1D10">
      <w:pPr>
        <w:spacing w:after="200" w:line="360" w:lineRule="auto"/>
        <w:jc w:val="both"/>
        <w:rPr>
          <w:rFonts w:asciiTheme="majorBidi" w:hAnsiTheme="majorBidi" w:cstheme="majorBidi"/>
        </w:rPr>
      </w:pPr>
      <w:r w:rsidRPr="008E1D10">
        <w:rPr>
          <w:rFonts w:asciiTheme="majorBidi" w:hAnsiTheme="majorBidi" w:cstheme="majorBidi"/>
        </w:rPr>
        <w:t>There will be multiple schedule control tools used. The Critical Path Method (CPM) will be used to pinpoint activities that directly affect the project's completion dates and need to be closely monitored (PM, 2024). Progress will be measured at significant delivery points using milestone tracking and Earned Value Management (EVM) will be used to identify any variances from the schedule early on. Effective schedule management ensures that there are no delays in project delivery by detecting issues that can cause a slowdown before they become a problem. It also removes resource conflicts, streamlines labour and equipment needs throughout the different phases, and eliminates contractor inefficiencies, as it provides clear timelines, accountability systems and performance monitoring.</w:t>
      </w:r>
    </w:p>
    <w:p w14:paraId="0FDECA41" w14:textId="0CB40DE8"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13" w:name="_Toc233323310"/>
      <w:r w:rsidRPr="008E1D10">
        <w:rPr>
          <w:rFonts w:asciiTheme="majorBidi" w:hAnsiTheme="majorBidi"/>
          <w:b/>
          <w:bCs/>
          <w:color w:val="auto"/>
          <w:sz w:val="32"/>
          <w:szCs w:val="24"/>
          <w:u w:val="single"/>
        </w:rPr>
        <w:t>Stakeholder Involvement and Communication Management</w:t>
      </w:r>
      <w:bookmarkEnd w:id="13"/>
      <w:r w:rsidRPr="008E1D10">
        <w:rPr>
          <w:rFonts w:asciiTheme="majorBidi" w:hAnsiTheme="majorBidi"/>
          <w:b/>
          <w:bCs/>
          <w:color w:val="auto"/>
          <w:sz w:val="32"/>
          <w:szCs w:val="24"/>
          <w:u w:val="single"/>
        </w:rPr>
        <w:t xml:space="preserve"> </w:t>
      </w:r>
    </w:p>
    <w:p w14:paraId="7101D269" w14:textId="35779C0C" w:rsidR="00F63910" w:rsidRPr="008E1D10" w:rsidRDefault="0062430B" w:rsidP="008E1D10">
      <w:pPr>
        <w:spacing w:after="200" w:line="360" w:lineRule="auto"/>
        <w:jc w:val="both"/>
        <w:rPr>
          <w:rFonts w:asciiTheme="majorBidi" w:hAnsiTheme="majorBidi" w:cstheme="majorBidi"/>
        </w:rPr>
      </w:pPr>
      <w:r w:rsidRPr="008E1D10">
        <w:rPr>
          <w:rFonts w:asciiTheme="majorBidi" w:hAnsiTheme="majorBidi" w:cstheme="majorBidi"/>
        </w:rPr>
        <w:t>Successful delivery of infrastructure projects depends on managing relationships with a broad array of stakeholders who have differing interests and expectations, and who possess differing levels of influence, with the project. PMBOK puts a lot of emphasis on gaining an understanding of stakeholders early in the project and designing stakeholder engagement strategies that encourage collaboration and reduce conflict (</w:t>
      </w:r>
      <w:proofErr w:type="spellStart"/>
      <w:r w:rsidRPr="008E1D10">
        <w:rPr>
          <w:rFonts w:asciiTheme="majorBidi" w:hAnsiTheme="majorBidi" w:cstheme="majorBidi"/>
        </w:rPr>
        <w:t>Vogwell</w:t>
      </w:r>
      <w:proofErr w:type="spellEnd"/>
      <w:r w:rsidRPr="008E1D10">
        <w:rPr>
          <w:rFonts w:asciiTheme="majorBidi" w:hAnsiTheme="majorBidi" w:cstheme="majorBidi"/>
        </w:rPr>
        <w:t>, 2003).</w:t>
      </w:r>
    </w:p>
    <w:p w14:paraId="6DF20C30" w14:textId="77777777" w:rsidR="00F63910" w:rsidRDefault="00F63910" w:rsidP="008E1D10">
      <w:pPr>
        <w:spacing w:after="200" w:line="360" w:lineRule="auto"/>
        <w:jc w:val="both"/>
        <w:rPr>
          <w:rFonts w:asciiTheme="majorBidi" w:hAnsiTheme="majorBidi" w:cstheme="majorBidi"/>
          <w:b/>
          <w:bCs/>
        </w:rPr>
      </w:pPr>
      <w:r w:rsidRPr="008E1D10">
        <w:rPr>
          <w:rFonts w:asciiTheme="majorBidi" w:hAnsiTheme="majorBidi" w:cstheme="majorBidi"/>
          <w:b/>
          <w:bCs/>
        </w:rPr>
        <w:t>Stakeholder Matrix (Power–Interest Grid)</w:t>
      </w:r>
    </w:p>
    <w:p w14:paraId="25CE2FA7" w14:textId="6A234A81" w:rsidR="00FB4448" w:rsidRPr="00FB4448" w:rsidRDefault="00FB4448" w:rsidP="00FB4448">
      <w:pPr>
        <w:pStyle w:val="Caption"/>
        <w:jc w:val="center"/>
        <w:rPr>
          <w:rFonts w:asciiTheme="majorBidi" w:hAnsiTheme="majorBidi" w:cstheme="majorBidi"/>
          <w:color w:val="auto"/>
          <w:sz w:val="22"/>
          <w:szCs w:val="22"/>
        </w:rPr>
      </w:pPr>
      <w:bookmarkStart w:id="14" w:name="_Toc232338914"/>
      <w:r w:rsidRPr="00FB4448">
        <w:rPr>
          <w:rFonts w:asciiTheme="majorBidi" w:hAnsiTheme="majorBidi" w:cstheme="majorBidi"/>
          <w:color w:val="auto"/>
          <w:sz w:val="22"/>
          <w:szCs w:val="22"/>
        </w:rPr>
        <w:t xml:space="preserve">Table </w:t>
      </w:r>
      <w:r w:rsidRPr="00FB4448">
        <w:rPr>
          <w:rFonts w:asciiTheme="majorBidi" w:hAnsiTheme="majorBidi" w:cstheme="majorBidi"/>
          <w:color w:val="auto"/>
          <w:sz w:val="22"/>
          <w:szCs w:val="22"/>
        </w:rPr>
        <w:fldChar w:fldCharType="begin"/>
      </w:r>
      <w:r w:rsidRPr="00FB4448">
        <w:rPr>
          <w:rFonts w:asciiTheme="majorBidi" w:hAnsiTheme="majorBidi" w:cstheme="majorBidi"/>
          <w:color w:val="auto"/>
          <w:sz w:val="22"/>
          <w:szCs w:val="22"/>
        </w:rPr>
        <w:instrText xml:space="preserve"> SEQ Table \* ARABIC </w:instrText>
      </w:r>
      <w:r w:rsidRPr="00FB4448">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2</w:t>
      </w:r>
      <w:r w:rsidRPr="00FB4448">
        <w:rPr>
          <w:rFonts w:asciiTheme="majorBidi" w:hAnsiTheme="majorBidi" w:cstheme="majorBidi"/>
          <w:color w:val="auto"/>
          <w:sz w:val="22"/>
          <w:szCs w:val="22"/>
        </w:rPr>
        <w:fldChar w:fldCharType="end"/>
      </w:r>
      <w:r w:rsidRPr="00FB4448">
        <w:rPr>
          <w:rFonts w:asciiTheme="majorBidi" w:hAnsiTheme="majorBidi" w:cstheme="majorBidi"/>
          <w:color w:val="auto"/>
          <w:sz w:val="22"/>
          <w:szCs w:val="22"/>
        </w:rPr>
        <w:t>: Stakeholder Matrix (Power–Interest Grid)</w:t>
      </w:r>
      <w:bookmarkEnd w:id="14"/>
    </w:p>
    <w:tbl>
      <w:tblPr>
        <w:tblStyle w:val="TableGrid"/>
        <w:tblW w:w="0" w:type="auto"/>
        <w:jc w:val="center"/>
        <w:tblLook w:val="04A0" w:firstRow="1" w:lastRow="0" w:firstColumn="1" w:lastColumn="0" w:noHBand="0" w:noVBand="1"/>
      </w:tblPr>
      <w:tblGrid>
        <w:gridCol w:w="2147"/>
        <w:gridCol w:w="1030"/>
        <w:gridCol w:w="1012"/>
      </w:tblGrid>
      <w:tr w:rsidR="00F63910" w:rsidRPr="008E1D10" w14:paraId="09B0851B" w14:textId="77777777" w:rsidTr="004701E6">
        <w:trPr>
          <w:jc w:val="center"/>
        </w:trPr>
        <w:tc>
          <w:tcPr>
            <w:tcW w:w="0" w:type="auto"/>
            <w:hideMark/>
          </w:tcPr>
          <w:p w14:paraId="79CA8BFD" w14:textId="77777777" w:rsidR="00F63910" w:rsidRPr="008E1D10" w:rsidRDefault="00F63910" w:rsidP="008E1D10">
            <w:pPr>
              <w:spacing w:after="200"/>
              <w:jc w:val="both"/>
              <w:rPr>
                <w:rFonts w:asciiTheme="majorBidi" w:hAnsiTheme="majorBidi" w:cstheme="majorBidi"/>
                <w:b/>
                <w:bCs/>
              </w:rPr>
            </w:pPr>
            <w:r w:rsidRPr="008E1D10">
              <w:rPr>
                <w:rFonts w:asciiTheme="majorBidi" w:hAnsiTheme="majorBidi" w:cstheme="majorBidi"/>
                <w:b/>
                <w:bCs/>
              </w:rPr>
              <w:t>Stakeholder</w:t>
            </w:r>
          </w:p>
        </w:tc>
        <w:tc>
          <w:tcPr>
            <w:tcW w:w="0" w:type="auto"/>
            <w:hideMark/>
          </w:tcPr>
          <w:p w14:paraId="6A69612B" w14:textId="77777777" w:rsidR="00F63910" w:rsidRPr="008E1D10" w:rsidRDefault="00F63910" w:rsidP="008E1D10">
            <w:pPr>
              <w:spacing w:after="200"/>
              <w:jc w:val="both"/>
              <w:rPr>
                <w:rFonts w:asciiTheme="majorBidi" w:hAnsiTheme="majorBidi" w:cstheme="majorBidi"/>
                <w:b/>
                <w:bCs/>
              </w:rPr>
            </w:pPr>
            <w:r w:rsidRPr="008E1D10">
              <w:rPr>
                <w:rFonts w:asciiTheme="majorBidi" w:hAnsiTheme="majorBidi" w:cstheme="majorBidi"/>
                <w:b/>
                <w:bCs/>
              </w:rPr>
              <w:t>Power</w:t>
            </w:r>
          </w:p>
        </w:tc>
        <w:tc>
          <w:tcPr>
            <w:tcW w:w="0" w:type="auto"/>
            <w:hideMark/>
          </w:tcPr>
          <w:p w14:paraId="67C19CFD" w14:textId="77777777" w:rsidR="00F63910" w:rsidRPr="008E1D10" w:rsidRDefault="00F63910" w:rsidP="008E1D10">
            <w:pPr>
              <w:spacing w:after="200"/>
              <w:jc w:val="both"/>
              <w:rPr>
                <w:rFonts w:asciiTheme="majorBidi" w:hAnsiTheme="majorBidi" w:cstheme="majorBidi"/>
                <w:b/>
                <w:bCs/>
              </w:rPr>
            </w:pPr>
            <w:r w:rsidRPr="008E1D10">
              <w:rPr>
                <w:rFonts w:asciiTheme="majorBidi" w:hAnsiTheme="majorBidi" w:cstheme="majorBidi"/>
                <w:b/>
                <w:bCs/>
              </w:rPr>
              <w:t>Interest</w:t>
            </w:r>
          </w:p>
        </w:tc>
      </w:tr>
      <w:tr w:rsidR="00196376" w:rsidRPr="008E1D10" w14:paraId="3F658E9D" w14:textId="77777777" w:rsidTr="004701E6">
        <w:trPr>
          <w:jc w:val="center"/>
        </w:trPr>
        <w:tc>
          <w:tcPr>
            <w:tcW w:w="0" w:type="auto"/>
            <w:hideMark/>
          </w:tcPr>
          <w:p w14:paraId="53EF2590"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Local Authority</w:t>
            </w:r>
          </w:p>
        </w:tc>
        <w:tc>
          <w:tcPr>
            <w:tcW w:w="0" w:type="auto"/>
            <w:shd w:val="clear" w:color="000000" w:fill="F8696B"/>
            <w:vAlign w:val="center"/>
            <w:hideMark/>
          </w:tcPr>
          <w:p w14:paraId="1880ED77" w14:textId="1216D70C"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shd w:val="clear" w:color="000000" w:fill="F8696B"/>
            <w:vAlign w:val="center"/>
            <w:hideMark/>
          </w:tcPr>
          <w:p w14:paraId="2522B424" w14:textId="0F56BC88"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r w:rsidR="00196376" w:rsidRPr="008E1D10" w14:paraId="1D76E08F" w14:textId="77777777" w:rsidTr="004701E6">
        <w:trPr>
          <w:jc w:val="center"/>
        </w:trPr>
        <w:tc>
          <w:tcPr>
            <w:tcW w:w="0" w:type="auto"/>
            <w:hideMark/>
          </w:tcPr>
          <w:p w14:paraId="361CE617"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Transport Operators</w:t>
            </w:r>
          </w:p>
        </w:tc>
        <w:tc>
          <w:tcPr>
            <w:tcW w:w="0" w:type="auto"/>
            <w:shd w:val="clear" w:color="000000" w:fill="F8696B"/>
            <w:vAlign w:val="center"/>
            <w:hideMark/>
          </w:tcPr>
          <w:p w14:paraId="0DB3DE05" w14:textId="367836A1"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shd w:val="clear" w:color="000000" w:fill="F8696B"/>
            <w:vAlign w:val="center"/>
            <w:hideMark/>
          </w:tcPr>
          <w:p w14:paraId="48591B3D" w14:textId="41101545"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r w:rsidR="00196376" w:rsidRPr="008E1D10" w14:paraId="5CCDFEBF" w14:textId="77777777" w:rsidTr="004701E6">
        <w:trPr>
          <w:jc w:val="center"/>
        </w:trPr>
        <w:tc>
          <w:tcPr>
            <w:tcW w:w="0" w:type="auto"/>
            <w:hideMark/>
          </w:tcPr>
          <w:p w14:paraId="749188EA"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Funding Bodies</w:t>
            </w:r>
          </w:p>
        </w:tc>
        <w:tc>
          <w:tcPr>
            <w:tcW w:w="0" w:type="auto"/>
            <w:shd w:val="clear" w:color="000000" w:fill="F8696B"/>
            <w:vAlign w:val="center"/>
            <w:hideMark/>
          </w:tcPr>
          <w:p w14:paraId="0E3E7757" w14:textId="00FAC432"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shd w:val="clear" w:color="000000" w:fill="F8696B"/>
            <w:vAlign w:val="center"/>
            <w:hideMark/>
          </w:tcPr>
          <w:p w14:paraId="0D7501AD" w14:textId="12061106"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r w:rsidR="00196376" w:rsidRPr="008E1D10" w14:paraId="5F3C8078" w14:textId="77777777" w:rsidTr="004701E6">
        <w:trPr>
          <w:jc w:val="center"/>
        </w:trPr>
        <w:tc>
          <w:tcPr>
            <w:tcW w:w="0" w:type="auto"/>
            <w:hideMark/>
          </w:tcPr>
          <w:p w14:paraId="65B2C85D"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Commuters</w:t>
            </w:r>
          </w:p>
        </w:tc>
        <w:tc>
          <w:tcPr>
            <w:tcW w:w="0" w:type="auto"/>
            <w:shd w:val="clear" w:color="000000" w:fill="63BE7B"/>
            <w:vAlign w:val="center"/>
            <w:hideMark/>
          </w:tcPr>
          <w:p w14:paraId="16BD95F8" w14:textId="4720B9FB"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Low</w:t>
            </w:r>
          </w:p>
        </w:tc>
        <w:tc>
          <w:tcPr>
            <w:tcW w:w="0" w:type="auto"/>
            <w:shd w:val="clear" w:color="000000" w:fill="F8696B"/>
            <w:vAlign w:val="center"/>
            <w:hideMark/>
          </w:tcPr>
          <w:p w14:paraId="022EFA14" w14:textId="00497B4A"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r w:rsidR="00196376" w:rsidRPr="008E1D10" w14:paraId="4586285E" w14:textId="77777777" w:rsidTr="004701E6">
        <w:trPr>
          <w:jc w:val="center"/>
        </w:trPr>
        <w:tc>
          <w:tcPr>
            <w:tcW w:w="0" w:type="auto"/>
            <w:hideMark/>
          </w:tcPr>
          <w:p w14:paraId="2F196612"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Local Residents</w:t>
            </w:r>
          </w:p>
        </w:tc>
        <w:tc>
          <w:tcPr>
            <w:tcW w:w="0" w:type="auto"/>
            <w:shd w:val="clear" w:color="000000" w:fill="63BE7B"/>
            <w:vAlign w:val="center"/>
            <w:hideMark/>
          </w:tcPr>
          <w:p w14:paraId="7C6D8F49" w14:textId="3B8035F9"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Low</w:t>
            </w:r>
          </w:p>
        </w:tc>
        <w:tc>
          <w:tcPr>
            <w:tcW w:w="0" w:type="auto"/>
            <w:shd w:val="clear" w:color="000000" w:fill="F8696B"/>
            <w:vAlign w:val="center"/>
            <w:hideMark/>
          </w:tcPr>
          <w:p w14:paraId="121EE00E" w14:textId="5669AA86"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r w:rsidR="00196376" w:rsidRPr="008E1D10" w14:paraId="459D8399" w14:textId="77777777" w:rsidTr="004701E6">
        <w:trPr>
          <w:jc w:val="center"/>
        </w:trPr>
        <w:tc>
          <w:tcPr>
            <w:tcW w:w="0" w:type="auto"/>
            <w:hideMark/>
          </w:tcPr>
          <w:p w14:paraId="46C7693A" w14:textId="77777777" w:rsidR="00196376" w:rsidRPr="008E1D10" w:rsidRDefault="00196376" w:rsidP="008E1D10">
            <w:pPr>
              <w:spacing w:after="200"/>
              <w:jc w:val="both"/>
              <w:rPr>
                <w:rFonts w:asciiTheme="majorBidi" w:hAnsiTheme="majorBidi" w:cstheme="majorBidi"/>
              </w:rPr>
            </w:pPr>
            <w:r w:rsidRPr="008E1D10">
              <w:rPr>
                <w:rFonts w:asciiTheme="majorBidi" w:hAnsiTheme="majorBidi" w:cstheme="majorBidi"/>
              </w:rPr>
              <w:t>Businesses</w:t>
            </w:r>
          </w:p>
        </w:tc>
        <w:tc>
          <w:tcPr>
            <w:tcW w:w="0" w:type="auto"/>
            <w:shd w:val="clear" w:color="000000" w:fill="B1D580"/>
            <w:vAlign w:val="center"/>
            <w:hideMark/>
          </w:tcPr>
          <w:p w14:paraId="6B1CB00F" w14:textId="0D8FD136"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Medium</w:t>
            </w:r>
          </w:p>
        </w:tc>
        <w:tc>
          <w:tcPr>
            <w:tcW w:w="0" w:type="auto"/>
            <w:shd w:val="clear" w:color="000000" w:fill="F8696B"/>
            <w:vAlign w:val="center"/>
            <w:hideMark/>
          </w:tcPr>
          <w:p w14:paraId="469B0F0F" w14:textId="4C652675" w:rsidR="00196376" w:rsidRPr="008E1D10" w:rsidRDefault="00196376" w:rsidP="008E1D10">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r>
    </w:tbl>
    <w:p w14:paraId="46CE538E" w14:textId="20EA439D" w:rsidR="00F63910" w:rsidRPr="008E1D10" w:rsidRDefault="0062430B" w:rsidP="008E1D10">
      <w:pPr>
        <w:spacing w:after="200" w:line="360" w:lineRule="auto"/>
        <w:jc w:val="both"/>
        <w:rPr>
          <w:rFonts w:asciiTheme="majorBidi" w:hAnsiTheme="majorBidi" w:cstheme="majorBidi"/>
        </w:rPr>
      </w:pPr>
      <w:r w:rsidRPr="008E1D10">
        <w:rPr>
          <w:rFonts w:asciiTheme="majorBidi" w:hAnsiTheme="majorBidi" w:cstheme="majorBidi"/>
        </w:rPr>
        <w:t>High power and high interest stakeholders, such as local authorities, transport operators and funding bodies, need to be closely managed as they can impact project approvals, funding and strategic decisions. Commuters, residents and local businesses, on the other hand, have low formal power but are very interested in the effect of construction activities and the future transport services.</w:t>
      </w:r>
    </w:p>
    <w:p w14:paraId="746859A8" w14:textId="6226CA04" w:rsidR="00F63910" w:rsidRDefault="00F63910" w:rsidP="008E1D10">
      <w:pPr>
        <w:spacing w:after="200" w:line="360" w:lineRule="auto"/>
        <w:jc w:val="both"/>
        <w:rPr>
          <w:rFonts w:asciiTheme="majorBidi" w:hAnsiTheme="majorBidi" w:cstheme="majorBidi"/>
          <w:b/>
          <w:bCs/>
        </w:rPr>
      </w:pPr>
      <w:r w:rsidRPr="008E1D10">
        <w:rPr>
          <w:rFonts w:asciiTheme="majorBidi" w:hAnsiTheme="majorBidi" w:cstheme="majorBidi"/>
          <w:b/>
          <w:bCs/>
        </w:rPr>
        <w:t>Communication Plan</w:t>
      </w:r>
    </w:p>
    <w:p w14:paraId="5BEE76E8" w14:textId="5B8C3195" w:rsidR="00FB4448" w:rsidRPr="00FB4448" w:rsidRDefault="00FB4448" w:rsidP="00FB4448">
      <w:pPr>
        <w:pStyle w:val="Caption"/>
        <w:jc w:val="center"/>
        <w:rPr>
          <w:rFonts w:asciiTheme="majorBidi" w:hAnsiTheme="majorBidi" w:cstheme="majorBidi"/>
          <w:color w:val="auto"/>
          <w:sz w:val="22"/>
          <w:szCs w:val="22"/>
        </w:rPr>
      </w:pPr>
      <w:bookmarkStart w:id="15" w:name="_Toc232338915"/>
      <w:r w:rsidRPr="00FB4448">
        <w:rPr>
          <w:rFonts w:asciiTheme="majorBidi" w:hAnsiTheme="majorBidi" w:cstheme="majorBidi"/>
          <w:color w:val="auto"/>
          <w:sz w:val="22"/>
          <w:szCs w:val="22"/>
        </w:rPr>
        <w:t xml:space="preserve">Table </w:t>
      </w:r>
      <w:r w:rsidRPr="00FB4448">
        <w:rPr>
          <w:rFonts w:asciiTheme="majorBidi" w:hAnsiTheme="majorBidi" w:cstheme="majorBidi"/>
          <w:color w:val="auto"/>
          <w:sz w:val="22"/>
          <w:szCs w:val="22"/>
        </w:rPr>
        <w:fldChar w:fldCharType="begin"/>
      </w:r>
      <w:r w:rsidRPr="00FB4448">
        <w:rPr>
          <w:rFonts w:asciiTheme="majorBidi" w:hAnsiTheme="majorBidi" w:cstheme="majorBidi"/>
          <w:color w:val="auto"/>
          <w:sz w:val="22"/>
          <w:szCs w:val="22"/>
        </w:rPr>
        <w:instrText xml:space="preserve"> SEQ Table \* ARABIC </w:instrText>
      </w:r>
      <w:r w:rsidRPr="00FB4448">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3</w:t>
      </w:r>
      <w:r w:rsidRPr="00FB4448">
        <w:rPr>
          <w:rFonts w:asciiTheme="majorBidi" w:hAnsiTheme="majorBidi" w:cstheme="majorBidi"/>
          <w:color w:val="auto"/>
          <w:sz w:val="22"/>
          <w:szCs w:val="22"/>
        </w:rPr>
        <w:fldChar w:fldCharType="end"/>
      </w:r>
      <w:r w:rsidRPr="00FB4448">
        <w:rPr>
          <w:rFonts w:asciiTheme="majorBidi" w:hAnsiTheme="majorBidi" w:cstheme="majorBidi"/>
          <w:color w:val="auto"/>
          <w:sz w:val="22"/>
          <w:szCs w:val="22"/>
        </w:rPr>
        <w:t>: Communication Plan</w:t>
      </w:r>
      <w:bookmarkEnd w:id="15"/>
    </w:p>
    <w:tbl>
      <w:tblPr>
        <w:tblStyle w:val="GridTable4-Accent6"/>
        <w:tblW w:w="0" w:type="auto"/>
        <w:jc w:val="center"/>
        <w:tblLook w:val="04A0" w:firstRow="1" w:lastRow="0" w:firstColumn="1" w:lastColumn="0" w:noHBand="0" w:noVBand="1"/>
      </w:tblPr>
      <w:tblGrid>
        <w:gridCol w:w="2350"/>
        <w:gridCol w:w="2436"/>
        <w:gridCol w:w="1305"/>
      </w:tblGrid>
      <w:tr w:rsidR="00F63910" w:rsidRPr="008E1D10" w14:paraId="0F3CC9B5" w14:textId="77777777" w:rsidTr="004701E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447186" w14:textId="77777777" w:rsidR="00F63910" w:rsidRPr="008E1D10" w:rsidRDefault="00F63910" w:rsidP="008E1D10">
            <w:pPr>
              <w:spacing w:after="200"/>
              <w:jc w:val="both"/>
              <w:rPr>
                <w:rFonts w:asciiTheme="majorBidi" w:hAnsiTheme="majorBidi" w:cstheme="majorBidi"/>
              </w:rPr>
            </w:pPr>
            <w:r w:rsidRPr="008E1D10">
              <w:rPr>
                <w:rFonts w:asciiTheme="majorBidi" w:hAnsiTheme="majorBidi" w:cstheme="majorBidi"/>
              </w:rPr>
              <w:t>Stakeholder</w:t>
            </w:r>
          </w:p>
        </w:tc>
        <w:tc>
          <w:tcPr>
            <w:tcW w:w="0" w:type="auto"/>
            <w:hideMark/>
          </w:tcPr>
          <w:p w14:paraId="76C4064E" w14:textId="77777777" w:rsidR="00F63910" w:rsidRPr="008E1D10" w:rsidRDefault="00F63910" w:rsidP="008E1D10">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Method</w:t>
            </w:r>
          </w:p>
        </w:tc>
        <w:tc>
          <w:tcPr>
            <w:tcW w:w="0" w:type="auto"/>
            <w:hideMark/>
          </w:tcPr>
          <w:p w14:paraId="5932DC5D" w14:textId="77777777" w:rsidR="00F63910" w:rsidRPr="008E1D10" w:rsidRDefault="00F63910" w:rsidP="008E1D10">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Frequency</w:t>
            </w:r>
          </w:p>
        </w:tc>
      </w:tr>
      <w:tr w:rsidR="00F63910" w:rsidRPr="008E1D10" w14:paraId="72596D36" w14:textId="77777777" w:rsidTr="004701E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12EA24" w14:textId="77777777" w:rsidR="00F63910" w:rsidRPr="008E1D10" w:rsidRDefault="00F63910" w:rsidP="008E1D10">
            <w:pPr>
              <w:spacing w:after="200"/>
              <w:jc w:val="both"/>
              <w:rPr>
                <w:rFonts w:asciiTheme="majorBidi" w:hAnsiTheme="majorBidi" w:cstheme="majorBidi"/>
                <w:b w:val="0"/>
                <w:bCs w:val="0"/>
              </w:rPr>
            </w:pPr>
            <w:r w:rsidRPr="008E1D10">
              <w:rPr>
                <w:rFonts w:asciiTheme="majorBidi" w:hAnsiTheme="majorBidi" w:cstheme="majorBidi"/>
                <w:b w:val="0"/>
                <w:bCs w:val="0"/>
              </w:rPr>
              <w:t>Local Authority</w:t>
            </w:r>
          </w:p>
        </w:tc>
        <w:tc>
          <w:tcPr>
            <w:tcW w:w="0" w:type="auto"/>
            <w:hideMark/>
          </w:tcPr>
          <w:p w14:paraId="32AD2233" w14:textId="77777777" w:rsidR="00F63910" w:rsidRPr="008E1D10" w:rsidRDefault="00F63910"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Progress Reports</w:t>
            </w:r>
          </w:p>
        </w:tc>
        <w:tc>
          <w:tcPr>
            <w:tcW w:w="0" w:type="auto"/>
            <w:hideMark/>
          </w:tcPr>
          <w:p w14:paraId="3705BE11" w14:textId="77777777" w:rsidR="00F63910" w:rsidRPr="008E1D10" w:rsidRDefault="00F63910"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Monthly</w:t>
            </w:r>
          </w:p>
        </w:tc>
      </w:tr>
      <w:tr w:rsidR="00F63910" w:rsidRPr="008E1D10" w14:paraId="1EE84386" w14:textId="77777777" w:rsidTr="004701E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BFA50E" w14:textId="77777777" w:rsidR="00F63910" w:rsidRPr="008E1D10" w:rsidRDefault="00F63910" w:rsidP="008E1D10">
            <w:pPr>
              <w:spacing w:after="200"/>
              <w:jc w:val="both"/>
              <w:rPr>
                <w:rFonts w:asciiTheme="majorBidi" w:hAnsiTheme="majorBidi" w:cstheme="majorBidi"/>
                <w:b w:val="0"/>
                <w:bCs w:val="0"/>
              </w:rPr>
            </w:pPr>
            <w:r w:rsidRPr="008E1D10">
              <w:rPr>
                <w:rFonts w:asciiTheme="majorBidi" w:hAnsiTheme="majorBidi" w:cstheme="majorBidi"/>
                <w:b w:val="0"/>
                <w:bCs w:val="0"/>
              </w:rPr>
              <w:t>Contractors</w:t>
            </w:r>
          </w:p>
        </w:tc>
        <w:tc>
          <w:tcPr>
            <w:tcW w:w="0" w:type="auto"/>
            <w:hideMark/>
          </w:tcPr>
          <w:p w14:paraId="322BEE6B" w14:textId="77777777" w:rsidR="00F63910" w:rsidRPr="008E1D10" w:rsidRDefault="00F63910"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Coordination Meetings</w:t>
            </w:r>
          </w:p>
        </w:tc>
        <w:tc>
          <w:tcPr>
            <w:tcW w:w="0" w:type="auto"/>
            <w:hideMark/>
          </w:tcPr>
          <w:p w14:paraId="5A663ABD" w14:textId="77777777" w:rsidR="00F63910" w:rsidRPr="008E1D10" w:rsidRDefault="00F63910" w:rsidP="008E1D10">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Weekly</w:t>
            </w:r>
          </w:p>
        </w:tc>
      </w:tr>
      <w:tr w:rsidR="00F63910" w:rsidRPr="008E1D10" w14:paraId="192D32EC" w14:textId="77777777" w:rsidTr="004701E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731D82" w14:textId="77777777" w:rsidR="00F63910" w:rsidRPr="008E1D10" w:rsidRDefault="00F63910" w:rsidP="008E1D10">
            <w:pPr>
              <w:spacing w:after="200"/>
              <w:jc w:val="both"/>
              <w:rPr>
                <w:rFonts w:asciiTheme="majorBidi" w:hAnsiTheme="majorBidi" w:cstheme="majorBidi"/>
                <w:b w:val="0"/>
                <w:bCs w:val="0"/>
              </w:rPr>
            </w:pPr>
            <w:r w:rsidRPr="008E1D10">
              <w:rPr>
                <w:rFonts w:asciiTheme="majorBidi" w:hAnsiTheme="majorBidi" w:cstheme="majorBidi"/>
                <w:b w:val="0"/>
                <w:bCs w:val="0"/>
              </w:rPr>
              <w:t>Public and Businesses</w:t>
            </w:r>
          </w:p>
        </w:tc>
        <w:tc>
          <w:tcPr>
            <w:tcW w:w="0" w:type="auto"/>
            <w:hideMark/>
          </w:tcPr>
          <w:p w14:paraId="0E3FD60D" w14:textId="77777777" w:rsidR="00F63910" w:rsidRPr="008E1D10" w:rsidRDefault="00F63910"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Website Updates</w:t>
            </w:r>
          </w:p>
        </w:tc>
        <w:tc>
          <w:tcPr>
            <w:tcW w:w="0" w:type="auto"/>
            <w:hideMark/>
          </w:tcPr>
          <w:p w14:paraId="420371B0" w14:textId="77777777" w:rsidR="00F63910" w:rsidRPr="008E1D10" w:rsidRDefault="00F63910" w:rsidP="008E1D10">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Monthly</w:t>
            </w:r>
          </w:p>
        </w:tc>
      </w:tr>
    </w:tbl>
    <w:p w14:paraId="627C5459" w14:textId="77777777" w:rsidR="0062430B" w:rsidRPr="008E1D10" w:rsidRDefault="0062430B" w:rsidP="008E1D10">
      <w:pPr>
        <w:spacing w:after="200" w:line="360" w:lineRule="auto"/>
        <w:jc w:val="both"/>
        <w:rPr>
          <w:rFonts w:asciiTheme="majorBidi" w:hAnsiTheme="majorBidi" w:cstheme="majorBidi"/>
        </w:rPr>
      </w:pPr>
      <w:r w:rsidRPr="008E1D10">
        <w:rPr>
          <w:rFonts w:asciiTheme="majorBidi" w:hAnsiTheme="majorBidi" w:cstheme="majorBidi"/>
        </w:rPr>
        <w:t>By communicating effectively, transparency and trust is fostered, and the stakeholders are kept informed along the project lifecycle. Effective communication is pre-eminent in project management, markedly for intermeshing variegated stakeholders (Reddy, 2023). Regular updates and communication with stakeholders help gain trust and ensure their involvement in the project's development (</w:t>
      </w:r>
      <w:proofErr w:type="spellStart"/>
      <w:r w:rsidRPr="008E1D10">
        <w:rPr>
          <w:rFonts w:asciiTheme="majorBidi" w:hAnsiTheme="majorBidi" w:cstheme="majorBidi"/>
        </w:rPr>
        <w:t>Minois</w:t>
      </w:r>
      <w:proofErr w:type="spellEnd"/>
      <w:r w:rsidRPr="008E1D10">
        <w:rPr>
          <w:rFonts w:asciiTheme="majorBidi" w:hAnsiTheme="majorBidi" w:cstheme="majorBidi"/>
        </w:rPr>
        <w:t xml:space="preserve">, 2023). </w:t>
      </w:r>
    </w:p>
    <w:p w14:paraId="6578B31D" w14:textId="72863E2B" w:rsidR="0062430B" w:rsidRPr="008E1D10" w:rsidRDefault="0062430B" w:rsidP="008E1D10">
      <w:pPr>
        <w:spacing w:after="200" w:line="360" w:lineRule="auto"/>
        <w:jc w:val="both"/>
        <w:rPr>
          <w:rFonts w:asciiTheme="majorBidi" w:hAnsiTheme="majorBidi" w:cstheme="majorBidi"/>
        </w:rPr>
      </w:pPr>
      <w:r w:rsidRPr="008E1D10">
        <w:rPr>
          <w:rFonts w:asciiTheme="majorBidi" w:hAnsiTheme="majorBidi" w:cstheme="majorBidi"/>
        </w:rPr>
        <w:t>Engaging stakeholders can help to minimize resistance by ensuring that the people impacted in the decision-making process understand the issues and are involved in the solution. It helps to increase community acceptance of projects by showing community responsiveness and encourages informed decision making with ongoing feedback and consultation. If stakeholders are not involved in an adequate way, they might raise concerns, slow down the project, damage the reputation and raise the project cost.</w:t>
      </w:r>
    </w:p>
    <w:p w14:paraId="6DA63760" w14:textId="230BDD00"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16" w:name="_Toc233323311"/>
      <w:r w:rsidRPr="008E1D10">
        <w:rPr>
          <w:rFonts w:asciiTheme="majorBidi" w:hAnsiTheme="majorBidi"/>
          <w:b/>
          <w:bCs/>
          <w:color w:val="auto"/>
          <w:sz w:val="32"/>
          <w:szCs w:val="24"/>
          <w:u w:val="single"/>
        </w:rPr>
        <w:t xml:space="preserve">Resource </w:t>
      </w:r>
      <w:r w:rsidR="0040103A" w:rsidRPr="008E1D10">
        <w:rPr>
          <w:rFonts w:asciiTheme="majorBidi" w:hAnsiTheme="majorBidi"/>
          <w:b/>
          <w:bCs/>
          <w:color w:val="auto"/>
          <w:sz w:val="32"/>
          <w:szCs w:val="24"/>
          <w:u w:val="single"/>
        </w:rPr>
        <w:t>Allocation and Cost Management</w:t>
      </w:r>
      <w:bookmarkEnd w:id="16"/>
      <w:r w:rsidR="0040103A" w:rsidRPr="008E1D10">
        <w:rPr>
          <w:rFonts w:asciiTheme="majorBidi" w:hAnsiTheme="majorBidi"/>
          <w:b/>
          <w:bCs/>
          <w:color w:val="auto"/>
          <w:sz w:val="32"/>
          <w:szCs w:val="24"/>
          <w:u w:val="single"/>
        </w:rPr>
        <w:t xml:space="preserve"> </w:t>
      </w:r>
    </w:p>
    <w:p w14:paraId="53A35863" w14:textId="77777777" w:rsidR="0040103A" w:rsidRPr="008E1D10" w:rsidRDefault="0040103A" w:rsidP="008E1D10">
      <w:pPr>
        <w:spacing w:after="200" w:line="360" w:lineRule="auto"/>
        <w:jc w:val="both"/>
        <w:rPr>
          <w:rFonts w:asciiTheme="majorBidi" w:hAnsiTheme="majorBidi" w:cstheme="majorBidi"/>
        </w:rPr>
      </w:pPr>
      <w:r w:rsidRPr="008E1D10">
        <w:rPr>
          <w:rFonts w:asciiTheme="majorBidi" w:hAnsiTheme="majorBidi" w:cstheme="majorBidi"/>
        </w:rPr>
        <w:t xml:space="preserve">Proper resource allocation provides the proper resources at proper time to meet the project goals. It is crucial in the success of a project and in maximizing </w:t>
      </w:r>
      <w:proofErr w:type="spellStart"/>
      <w:r w:rsidRPr="008E1D10">
        <w:rPr>
          <w:rFonts w:asciiTheme="majorBidi" w:hAnsiTheme="majorBidi" w:cstheme="majorBidi"/>
        </w:rPr>
        <w:t>organisational</w:t>
      </w:r>
      <w:proofErr w:type="spellEnd"/>
      <w:r w:rsidRPr="008E1D10">
        <w:rPr>
          <w:rFonts w:asciiTheme="majorBidi" w:hAnsiTheme="majorBidi" w:cstheme="majorBidi"/>
        </w:rPr>
        <w:t xml:space="preserve"> productivity (</w:t>
      </w:r>
      <w:proofErr w:type="spellStart"/>
      <w:r w:rsidRPr="008E1D10">
        <w:rPr>
          <w:rFonts w:asciiTheme="majorBidi" w:hAnsiTheme="majorBidi" w:cstheme="majorBidi"/>
        </w:rPr>
        <w:t>Ahsun</w:t>
      </w:r>
      <w:proofErr w:type="spellEnd"/>
      <w:r w:rsidRPr="008E1D10">
        <w:rPr>
          <w:rFonts w:asciiTheme="majorBidi" w:hAnsiTheme="majorBidi" w:cstheme="majorBidi"/>
        </w:rPr>
        <w:t xml:space="preserve"> and Elly, 2024). Due to the size and complexity of the redevelopment of the transport hub, effective management of human, physical and financial resources will be necessary to ensure high productivity and cost control. </w:t>
      </w:r>
    </w:p>
    <w:p w14:paraId="7E91374B" w14:textId="77777777" w:rsidR="0040103A" w:rsidRPr="008E1D10" w:rsidRDefault="0040103A" w:rsidP="008E1D10">
      <w:pPr>
        <w:spacing w:after="200" w:line="360" w:lineRule="auto"/>
        <w:jc w:val="both"/>
        <w:rPr>
          <w:rFonts w:asciiTheme="majorBidi" w:hAnsiTheme="majorBidi" w:cstheme="majorBidi"/>
        </w:rPr>
      </w:pPr>
      <w:r w:rsidRPr="008E1D10">
        <w:rPr>
          <w:rFonts w:asciiTheme="majorBidi" w:hAnsiTheme="majorBidi" w:cstheme="majorBidi"/>
        </w:rPr>
        <w:t xml:space="preserve">HR will comprise the Project Manager, civil &amp; structural engineers, architects, construction staff, procurement staff, environmental consultants, IT experts for digital transport systems. Physical resources are construction machines, construction materials, parts of transport infrastructure and technology that is necessary for smart ticketing and passenger information services. Main sources of funding will be the government funding allocations, supported by contingency reserves for unforeseen funding needs. </w:t>
      </w:r>
    </w:p>
    <w:p w14:paraId="2A152B7A" w14:textId="77777777" w:rsidR="0040103A" w:rsidRPr="008E1D10" w:rsidRDefault="0040103A" w:rsidP="008E1D10">
      <w:pPr>
        <w:spacing w:after="200" w:line="360" w:lineRule="auto"/>
        <w:jc w:val="both"/>
        <w:rPr>
          <w:rFonts w:asciiTheme="majorBidi" w:hAnsiTheme="majorBidi" w:cstheme="majorBidi"/>
        </w:rPr>
      </w:pPr>
      <w:r w:rsidRPr="008E1D10">
        <w:rPr>
          <w:rFonts w:asciiTheme="majorBidi" w:hAnsiTheme="majorBidi" w:cstheme="majorBidi"/>
        </w:rPr>
        <w:t xml:space="preserve">The resource leveling will be done to ensure that the workload is not over-allocated by personnel or equipment, especially when it comes to construction and technology integration (Branco, 2019). Resource smoothing will ensure efficient use of resources whilst keeping the project schedule and milestones on track. </w:t>
      </w:r>
    </w:p>
    <w:p w14:paraId="3C1460CD" w14:textId="42EC39D2" w:rsidR="00F63910" w:rsidRPr="008E1D10" w:rsidRDefault="0040103A" w:rsidP="008E1D10">
      <w:pPr>
        <w:spacing w:after="200" w:line="360" w:lineRule="auto"/>
        <w:jc w:val="both"/>
        <w:rPr>
          <w:rFonts w:asciiTheme="majorBidi" w:hAnsiTheme="majorBidi" w:cstheme="majorBidi"/>
        </w:rPr>
      </w:pPr>
      <w:r w:rsidRPr="008E1D10">
        <w:rPr>
          <w:rFonts w:asciiTheme="majorBidi" w:hAnsiTheme="majorBidi" w:cstheme="majorBidi"/>
        </w:rPr>
        <w:t>Resource allocation is a critical aspect in large-scale infrastructure projects, especially where delays with labor, material or equipment can affect the timeline and budget of the project.</w:t>
      </w:r>
    </w:p>
    <w:p w14:paraId="74D27202" w14:textId="192A19B3" w:rsidR="00F63910" w:rsidRPr="008E1D10" w:rsidRDefault="00F63910" w:rsidP="008E1D10">
      <w:pPr>
        <w:pStyle w:val="Heading1"/>
        <w:numPr>
          <w:ilvl w:val="0"/>
          <w:numId w:val="6"/>
        </w:numPr>
        <w:spacing w:before="0" w:after="200"/>
        <w:ind w:left="360"/>
        <w:rPr>
          <w:rFonts w:asciiTheme="majorBidi" w:hAnsiTheme="majorBidi"/>
          <w:b/>
          <w:bCs/>
          <w:color w:val="auto"/>
          <w:sz w:val="32"/>
          <w:szCs w:val="24"/>
          <w:u w:val="single"/>
        </w:rPr>
      </w:pPr>
      <w:bookmarkStart w:id="17" w:name="_Toc233323312"/>
      <w:r w:rsidRPr="008E1D10">
        <w:rPr>
          <w:rFonts w:asciiTheme="majorBidi" w:hAnsiTheme="majorBidi"/>
          <w:b/>
          <w:bCs/>
          <w:color w:val="auto"/>
          <w:sz w:val="32"/>
          <w:szCs w:val="24"/>
          <w:u w:val="single"/>
        </w:rPr>
        <w:t>Ris</w:t>
      </w:r>
      <w:r w:rsidR="00B21333" w:rsidRPr="008E1D10">
        <w:rPr>
          <w:rFonts w:asciiTheme="majorBidi" w:hAnsiTheme="majorBidi"/>
          <w:b/>
          <w:bCs/>
          <w:color w:val="auto"/>
          <w:sz w:val="32"/>
          <w:szCs w:val="24"/>
          <w:u w:val="single"/>
        </w:rPr>
        <w:t>k Analysis and Mitigation Plan</w:t>
      </w:r>
      <w:bookmarkEnd w:id="17"/>
      <w:r w:rsidR="00B21333" w:rsidRPr="008E1D10">
        <w:rPr>
          <w:rFonts w:asciiTheme="majorBidi" w:hAnsiTheme="majorBidi"/>
          <w:b/>
          <w:bCs/>
          <w:color w:val="auto"/>
          <w:sz w:val="32"/>
          <w:szCs w:val="24"/>
          <w:u w:val="single"/>
        </w:rPr>
        <w:t xml:space="preserve"> </w:t>
      </w:r>
    </w:p>
    <w:p w14:paraId="486CB940" w14:textId="2600CD6D" w:rsidR="00F63910" w:rsidRPr="008E1D10" w:rsidRDefault="00B21333" w:rsidP="008E1D10">
      <w:pPr>
        <w:spacing w:after="200" w:line="360" w:lineRule="auto"/>
        <w:jc w:val="both"/>
        <w:rPr>
          <w:rFonts w:asciiTheme="majorBidi" w:hAnsiTheme="majorBidi" w:cstheme="majorBidi"/>
        </w:rPr>
      </w:pPr>
      <w:r w:rsidRPr="008E1D10">
        <w:rPr>
          <w:rFonts w:asciiTheme="majorBidi" w:hAnsiTheme="majorBidi" w:cstheme="majorBidi"/>
        </w:rPr>
        <w:t>Risk management is an ongoing activity which helps project teams to recognize risks, assess their consequences, take risk mitigation action and track risk exposure throughout the project's life cycle. The Project Management Body of Knowledge (PMBOK) recognizes risk management as a factor that has an impact on project success, especially in projects with the scale of infrastructure construction that contain uncertainty and complexity.</w:t>
      </w:r>
    </w:p>
    <w:p w14:paraId="0E0BB647" w14:textId="77777777" w:rsidR="00F63910" w:rsidRPr="008E1D10" w:rsidRDefault="00F63910" w:rsidP="008E1D10">
      <w:pPr>
        <w:spacing w:after="200" w:line="360" w:lineRule="auto"/>
        <w:jc w:val="both"/>
        <w:rPr>
          <w:rFonts w:asciiTheme="majorBidi" w:hAnsiTheme="majorBidi" w:cstheme="majorBidi"/>
          <w:b/>
          <w:bCs/>
        </w:rPr>
      </w:pPr>
      <w:r w:rsidRPr="008E1D10">
        <w:rPr>
          <w:rFonts w:asciiTheme="majorBidi" w:hAnsiTheme="majorBidi" w:cstheme="majorBidi"/>
          <w:b/>
          <w:bCs/>
        </w:rPr>
        <w:t>Risk Management Process</w:t>
      </w:r>
    </w:p>
    <w:p w14:paraId="2C0F8BAD" w14:textId="5491CA93" w:rsidR="00DD28AC" w:rsidRPr="008E1D10" w:rsidRDefault="00DD28AC" w:rsidP="008E1D10">
      <w:pPr>
        <w:spacing w:after="200" w:line="360" w:lineRule="auto"/>
        <w:jc w:val="both"/>
        <w:rPr>
          <w:rFonts w:asciiTheme="majorBidi" w:hAnsiTheme="majorBidi" w:cstheme="majorBidi"/>
          <w:b/>
          <w:bCs/>
        </w:rPr>
      </w:pPr>
      <w:r w:rsidRPr="008E1D10">
        <w:rPr>
          <w:rFonts w:asciiTheme="majorBidi" w:hAnsiTheme="majorBidi" w:cstheme="majorBidi"/>
          <w:b/>
          <w:bCs/>
          <w:noProof/>
        </w:rPr>
        <w:drawing>
          <wp:inline distT="0" distB="0" distL="0" distR="0" wp14:anchorId="781558E4" wp14:editId="6B92FABE">
            <wp:extent cx="5276850" cy="647700"/>
            <wp:effectExtent l="19050" t="0" r="38100" b="0"/>
            <wp:docPr id="34331123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02B4850" w14:textId="77777777" w:rsidR="00F63910" w:rsidRDefault="00F63910" w:rsidP="008E1D10">
      <w:pPr>
        <w:spacing w:after="200" w:line="360" w:lineRule="auto"/>
        <w:jc w:val="both"/>
        <w:rPr>
          <w:rFonts w:asciiTheme="majorBidi" w:hAnsiTheme="majorBidi" w:cstheme="majorBidi"/>
          <w:b/>
          <w:bCs/>
        </w:rPr>
      </w:pPr>
      <w:r w:rsidRPr="008E1D10">
        <w:rPr>
          <w:rFonts w:asciiTheme="majorBidi" w:hAnsiTheme="majorBidi" w:cstheme="majorBidi"/>
          <w:b/>
          <w:bCs/>
        </w:rPr>
        <w:t>Risk Register</w:t>
      </w:r>
    </w:p>
    <w:p w14:paraId="21B878D1" w14:textId="1E89136C" w:rsidR="00FB4448" w:rsidRPr="00FB4448" w:rsidRDefault="00FB4448" w:rsidP="00FB4448">
      <w:pPr>
        <w:pStyle w:val="Caption"/>
        <w:jc w:val="center"/>
        <w:rPr>
          <w:rFonts w:asciiTheme="majorBidi" w:hAnsiTheme="majorBidi" w:cstheme="majorBidi"/>
          <w:color w:val="auto"/>
          <w:sz w:val="22"/>
          <w:szCs w:val="22"/>
        </w:rPr>
      </w:pPr>
      <w:bookmarkStart w:id="18" w:name="_Toc232338916"/>
      <w:r w:rsidRPr="00FB4448">
        <w:rPr>
          <w:rFonts w:asciiTheme="majorBidi" w:hAnsiTheme="majorBidi" w:cstheme="majorBidi"/>
          <w:color w:val="auto"/>
          <w:sz w:val="22"/>
          <w:szCs w:val="22"/>
        </w:rPr>
        <w:t xml:space="preserve">Table </w:t>
      </w:r>
      <w:r w:rsidRPr="00FB4448">
        <w:rPr>
          <w:rFonts w:asciiTheme="majorBidi" w:hAnsiTheme="majorBidi" w:cstheme="majorBidi"/>
          <w:color w:val="auto"/>
          <w:sz w:val="22"/>
          <w:szCs w:val="22"/>
        </w:rPr>
        <w:fldChar w:fldCharType="begin"/>
      </w:r>
      <w:r w:rsidRPr="00FB4448">
        <w:rPr>
          <w:rFonts w:asciiTheme="majorBidi" w:hAnsiTheme="majorBidi" w:cstheme="majorBidi"/>
          <w:color w:val="auto"/>
          <w:sz w:val="22"/>
          <w:szCs w:val="22"/>
        </w:rPr>
        <w:instrText xml:space="preserve"> SEQ Table \* ARABIC </w:instrText>
      </w:r>
      <w:r w:rsidRPr="00FB4448">
        <w:rPr>
          <w:rFonts w:asciiTheme="majorBidi" w:hAnsiTheme="majorBidi" w:cstheme="majorBidi"/>
          <w:color w:val="auto"/>
          <w:sz w:val="22"/>
          <w:szCs w:val="22"/>
        </w:rPr>
        <w:fldChar w:fldCharType="separate"/>
      </w:r>
      <w:r>
        <w:rPr>
          <w:rFonts w:asciiTheme="majorBidi" w:hAnsiTheme="majorBidi" w:cstheme="majorBidi"/>
          <w:noProof/>
          <w:color w:val="auto"/>
          <w:sz w:val="22"/>
          <w:szCs w:val="22"/>
        </w:rPr>
        <w:t>4</w:t>
      </w:r>
      <w:r w:rsidRPr="00FB4448">
        <w:rPr>
          <w:rFonts w:asciiTheme="majorBidi" w:hAnsiTheme="majorBidi" w:cstheme="majorBidi"/>
          <w:color w:val="auto"/>
          <w:sz w:val="22"/>
          <w:szCs w:val="22"/>
        </w:rPr>
        <w:fldChar w:fldCharType="end"/>
      </w:r>
      <w:r w:rsidRPr="00FB4448">
        <w:rPr>
          <w:rFonts w:asciiTheme="majorBidi" w:hAnsiTheme="majorBidi" w:cstheme="majorBidi"/>
          <w:color w:val="auto"/>
          <w:sz w:val="22"/>
          <w:szCs w:val="22"/>
        </w:rPr>
        <w:t>: Risk Register</w:t>
      </w:r>
      <w:bookmarkEnd w:id="18"/>
    </w:p>
    <w:tbl>
      <w:tblPr>
        <w:tblStyle w:val="TableGrid"/>
        <w:tblW w:w="0" w:type="auto"/>
        <w:jc w:val="center"/>
        <w:tblLook w:val="04A0" w:firstRow="1" w:lastRow="0" w:firstColumn="1" w:lastColumn="0" w:noHBand="0" w:noVBand="1"/>
      </w:tblPr>
      <w:tblGrid>
        <w:gridCol w:w="2710"/>
        <w:gridCol w:w="1324"/>
        <w:gridCol w:w="1030"/>
        <w:gridCol w:w="2423"/>
      </w:tblGrid>
      <w:tr w:rsidR="00F63910" w:rsidRPr="008E1D10" w14:paraId="2F80A50E" w14:textId="77777777" w:rsidTr="008E1E71">
        <w:trPr>
          <w:jc w:val="center"/>
        </w:trPr>
        <w:tc>
          <w:tcPr>
            <w:tcW w:w="0" w:type="auto"/>
            <w:hideMark/>
          </w:tcPr>
          <w:p w14:paraId="77821DEB" w14:textId="77777777" w:rsidR="00F63910" w:rsidRPr="008E1D10" w:rsidRDefault="00F63910" w:rsidP="008E1E71">
            <w:pPr>
              <w:spacing w:after="200"/>
              <w:jc w:val="both"/>
              <w:rPr>
                <w:rFonts w:asciiTheme="majorBidi" w:hAnsiTheme="majorBidi" w:cstheme="majorBidi"/>
                <w:b/>
                <w:bCs/>
              </w:rPr>
            </w:pPr>
            <w:r w:rsidRPr="008E1D10">
              <w:rPr>
                <w:rFonts w:asciiTheme="majorBidi" w:hAnsiTheme="majorBidi" w:cstheme="majorBidi"/>
                <w:b/>
                <w:bCs/>
              </w:rPr>
              <w:t>Risk</w:t>
            </w:r>
          </w:p>
        </w:tc>
        <w:tc>
          <w:tcPr>
            <w:tcW w:w="0" w:type="auto"/>
            <w:tcBorders>
              <w:bottom w:val="single" w:sz="4" w:space="0" w:color="auto"/>
            </w:tcBorders>
            <w:hideMark/>
          </w:tcPr>
          <w:p w14:paraId="55C2C00C" w14:textId="77777777" w:rsidR="00F63910" w:rsidRPr="008E1D10" w:rsidRDefault="00F63910" w:rsidP="008E1E71">
            <w:pPr>
              <w:spacing w:after="200"/>
              <w:jc w:val="both"/>
              <w:rPr>
                <w:rFonts w:asciiTheme="majorBidi" w:hAnsiTheme="majorBidi" w:cstheme="majorBidi"/>
                <w:b/>
                <w:bCs/>
              </w:rPr>
            </w:pPr>
            <w:r w:rsidRPr="008E1D10">
              <w:rPr>
                <w:rFonts w:asciiTheme="majorBidi" w:hAnsiTheme="majorBidi" w:cstheme="majorBidi"/>
                <w:b/>
                <w:bCs/>
              </w:rPr>
              <w:t>Likelihood</w:t>
            </w:r>
          </w:p>
        </w:tc>
        <w:tc>
          <w:tcPr>
            <w:tcW w:w="0" w:type="auto"/>
            <w:tcBorders>
              <w:bottom w:val="single" w:sz="4" w:space="0" w:color="auto"/>
            </w:tcBorders>
            <w:hideMark/>
          </w:tcPr>
          <w:p w14:paraId="2B4E79FB" w14:textId="77777777" w:rsidR="00F63910" w:rsidRPr="008E1D10" w:rsidRDefault="00F63910" w:rsidP="008E1E71">
            <w:pPr>
              <w:spacing w:after="200"/>
              <w:jc w:val="both"/>
              <w:rPr>
                <w:rFonts w:asciiTheme="majorBidi" w:hAnsiTheme="majorBidi" w:cstheme="majorBidi"/>
                <w:b/>
                <w:bCs/>
              </w:rPr>
            </w:pPr>
            <w:r w:rsidRPr="008E1D10">
              <w:rPr>
                <w:rFonts w:asciiTheme="majorBidi" w:hAnsiTheme="majorBidi" w:cstheme="majorBidi"/>
                <w:b/>
                <w:bCs/>
              </w:rPr>
              <w:t>Impact</w:t>
            </w:r>
          </w:p>
        </w:tc>
        <w:tc>
          <w:tcPr>
            <w:tcW w:w="0" w:type="auto"/>
            <w:hideMark/>
          </w:tcPr>
          <w:p w14:paraId="7CAA620E" w14:textId="77777777" w:rsidR="00F63910" w:rsidRPr="008E1D10" w:rsidRDefault="00F63910" w:rsidP="008E1E71">
            <w:pPr>
              <w:spacing w:after="200"/>
              <w:jc w:val="both"/>
              <w:rPr>
                <w:rFonts w:asciiTheme="majorBidi" w:hAnsiTheme="majorBidi" w:cstheme="majorBidi"/>
                <w:b/>
                <w:bCs/>
              </w:rPr>
            </w:pPr>
            <w:r w:rsidRPr="008E1D10">
              <w:rPr>
                <w:rFonts w:asciiTheme="majorBidi" w:hAnsiTheme="majorBidi" w:cstheme="majorBidi"/>
                <w:b/>
                <w:bCs/>
              </w:rPr>
              <w:t>Mitigation Strategy</w:t>
            </w:r>
          </w:p>
        </w:tc>
      </w:tr>
      <w:tr w:rsidR="00DD28AC" w:rsidRPr="008E1D10" w14:paraId="4C3377A8" w14:textId="77777777" w:rsidTr="008E1E71">
        <w:trPr>
          <w:jc w:val="center"/>
        </w:trPr>
        <w:tc>
          <w:tcPr>
            <w:tcW w:w="0" w:type="auto"/>
            <w:hideMark/>
          </w:tcPr>
          <w:p w14:paraId="7548C833"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Cost Overruns</w:t>
            </w:r>
          </w:p>
        </w:tc>
        <w:tc>
          <w:tcPr>
            <w:tcW w:w="0" w:type="auto"/>
            <w:tcBorders>
              <w:top w:val="single" w:sz="4" w:space="0" w:color="auto"/>
              <w:left w:val="nil"/>
              <w:bottom w:val="single" w:sz="4" w:space="0" w:color="auto"/>
              <w:right w:val="single" w:sz="4" w:space="0" w:color="auto"/>
            </w:tcBorders>
            <w:shd w:val="clear" w:color="000000" w:fill="F8696B"/>
            <w:vAlign w:val="center"/>
            <w:hideMark/>
          </w:tcPr>
          <w:p w14:paraId="04353CA0" w14:textId="2822FD5D"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tcBorders>
              <w:top w:val="single" w:sz="4" w:space="0" w:color="auto"/>
              <w:left w:val="single" w:sz="4" w:space="0" w:color="auto"/>
              <w:bottom w:val="single" w:sz="4" w:space="0" w:color="auto"/>
              <w:right w:val="nil"/>
            </w:tcBorders>
            <w:shd w:val="clear" w:color="000000" w:fill="F8696B"/>
            <w:vAlign w:val="center"/>
            <w:hideMark/>
          </w:tcPr>
          <w:p w14:paraId="09636F6A" w14:textId="0390D402"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hideMark/>
          </w:tcPr>
          <w:p w14:paraId="46B5EC35"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Contingency budget</w:t>
            </w:r>
          </w:p>
        </w:tc>
      </w:tr>
      <w:tr w:rsidR="00DD28AC" w:rsidRPr="008E1D10" w14:paraId="56923963" w14:textId="77777777" w:rsidTr="008E1E71">
        <w:trPr>
          <w:jc w:val="center"/>
        </w:trPr>
        <w:tc>
          <w:tcPr>
            <w:tcW w:w="0" w:type="auto"/>
            <w:hideMark/>
          </w:tcPr>
          <w:p w14:paraId="6D825007"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Construction Delays</w:t>
            </w:r>
          </w:p>
        </w:tc>
        <w:tc>
          <w:tcPr>
            <w:tcW w:w="0" w:type="auto"/>
            <w:tcBorders>
              <w:top w:val="single" w:sz="4" w:space="0" w:color="auto"/>
              <w:left w:val="nil"/>
              <w:bottom w:val="single" w:sz="4" w:space="0" w:color="auto"/>
              <w:right w:val="single" w:sz="4" w:space="0" w:color="auto"/>
            </w:tcBorders>
            <w:shd w:val="clear" w:color="000000" w:fill="F8696B"/>
            <w:vAlign w:val="center"/>
            <w:hideMark/>
          </w:tcPr>
          <w:p w14:paraId="3B45213E" w14:textId="40110732"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tcBorders>
              <w:top w:val="single" w:sz="4" w:space="0" w:color="auto"/>
              <w:left w:val="single" w:sz="4" w:space="0" w:color="auto"/>
              <w:bottom w:val="single" w:sz="4" w:space="0" w:color="auto"/>
              <w:right w:val="nil"/>
            </w:tcBorders>
            <w:shd w:val="clear" w:color="000000" w:fill="F8696B"/>
            <w:vAlign w:val="center"/>
            <w:hideMark/>
          </w:tcPr>
          <w:p w14:paraId="6619155F" w14:textId="0DD11D23"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hideMark/>
          </w:tcPr>
          <w:p w14:paraId="6B55D326"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Buffer scheduling</w:t>
            </w:r>
          </w:p>
        </w:tc>
      </w:tr>
      <w:tr w:rsidR="00DD28AC" w:rsidRPr="008E1D10" w14:paraId="2BA060B5" w14:textId="77777777" w:rsidTr="008E1E71">
        <w:trPr>
          <w:jc w:val="center"/>
        </w:trPr>
        <w:tc>
          <w:tcPr>
            <w:tcW w:w="0" w:type="auto"/>
            <w:hideMark/>
          </w:tcPr>
          <w:p w14:paraId="42B06A0D"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Supply Chain Disruptions</w:t>
            </w:r>
          </w:p>
        </w:tc>
        <w:tc>
          <w:tcPr>
            <w:tcW w:w="0" w:type="auto"/>
            <w:tcBorders>
              <w:top w:val="single" w:sz="4" w:space="0" w:color="auto"/>
              <w:left w:val="nil"/>
              <w:bottom w:val="single" w:sz="4" w:space="0" w:color="auto"/>
              <w:right w:val="single" w:sz="4" w:space="0" w:color="auto"/>
            </w:tcBorders>
            <w:shd w:val="clear" w:color="000000" w:fill="B1D580"/>
            <w:vAlign w:val="center"/>
            <w:hideMark/>
          </w:tcPr>
          <w:p w14:paraId="04E13B75" w14:textId="77604C84"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Medium</w:t>
            </w:r>
          </w:p>
        </w:tc>
        <w:tc>
          <w:tcPr>
            <w:tcW w:w="0" w:type="auto"/>
            <w:tcBorders>
              <w:top w:val="single" w:sz="4" w:space="0" w:color="auto"/>
              <w:left w:val="single" w:sz="4" w:space="0" w:color="auto"/>
              <w:bottom w:val="single" w:sz="4" w:space="0" w:color="auto"/>
              <w:right w:val="nil"/>
            </w:tcBorders>
            <w:shd w:val="clear" w:color="000000" w:fill="F8696B"/>
            <w:vAlign w:val="center"/>
            <w:hideMark/>
          </w:tcPr>
          <w:p w14:paraId="4FB2BCF6" w14:textId="584F5C47"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hideMark/>
          </w:tcPr>
          <w:p w14:paraId="170811D2"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Multiple suppliers</w:t>
            </w:r>
          </w:p>
        </w:tc>
      </w:tr>
      <w:tr w:rsidR="00DD28AC" w:rsidRPr="008E1D10" w14:paraId="158DC68B" w14:textId="77777777" w:rsidTr="008E1E71">
        <w:trPr>
          <w:jc w:val="center"/>
        </w:trPr>
        <w:tc>
          <w:tcPr>
            <w:tcW w:w="0" w:type="auto"/>
            <w:hideMark/>
          </w:tcPr>
          <w:p w14:paraId="42AADB2B"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Stakeholder Opposition</w:t>
            </w:r>
          </w:p>
        </w:tc>
        <w:tc>
          <w:tcPr>
            <w:tcW w:w="0" w:type="auto"/>
            <w:tcBorders>
              <w:top w:val="single" w:sz="4" w:space="0" w:color="auto"/>
              <w:left w:val="nil"/>
              <w:bottom w:val="single" w:sz="4" w:space="0" w:color="auto"/>
              <w:right w:val="single" w:sz="4" w:space="0" w:color="auto"/>
            </w:tcBorders>
            <w:shd w:val="clear" w:color="000000" w:fill="B1D580"/>
            <w:vAlign w:val="center"/>
            <w:hideMark/>
          </w:tcPr>
          <w:p w14:paraId="2FA6CB2D" w14:textId="01C14EA8"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Medium</w:t>
            </w:r>
          </w:p>
        </w:tc>
        <w:tc>
          <w:tcPr>
            <w:tcW w:w="0" w:type="auto"/>
            <w:tcBorders>
              <w:top w:val="single" w:sz="4" w:space="0" w:color="auto"/>
              <w:left w:val="single" w:sz="4" w:space="0" w:color="auto"/>
              <w:bottom w:val="single" w:sz="4" w:space="0" w:color="auto"/>
              <w:right w:val="nil"/>
            </w:tcBorders>
            <w:shd w:val="clear" w:color="000000" w:fill="B1D580"/>
            <w:vAlign w:val="center"/>
            <w:hideMark/>
          </w:tcPr>
          <w:p w14:paraId="2CCD4CEC" w14:textId="5E6842F4"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Medium</w:t>
            </w:r>
          </w:p>
        </w:tc>
        <w:tc>
          <w:tcPr>
            <w:tcW w:w="0" w:type="auto"/>
            <w:hideMark/>
          </w:tcPr>
          <w:p w14:paraId="5B0CCFD3"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Early consultation</w:t>
            </w:r>
          </w:p>
        </w:tc>
      </w:tr>
      <w:tr w:rsidR="00DD28AC" w:rsidRPr="008E1D10" w14:paraId="5DD96DA8" w14:textId="77777777" w:rsidTr="008E1E71">
        <w:trPr>
          <w:jc w:val="center"/>
        </w:trPr>
        <w:tc>
          <w:tcPr>
            <w:tcW w:w="0" w:type="auto"/>
            <w:hideMark/>
          </w:tcPr>
          <w:p w14:paraId="7B0683C1"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Technology Failure</w:t>
            </w:r>
          </w:p>
        </w:tc>
        <w:tc>
          <w:tcPr>
            <w:tcW w:w="0" w:type="auto"/>
            <w:tcBorders>
              <w:top w:val="single" w:sz="4" w:space="0" w:color="auto"/>
              <w:left w:val="nil"/>
              <w:bottom w:val="single" w:sz="4" w:space="0" w:color="auto"/>
              <w:right w:val="single" w:sz="4" w:space="0" w:color="auto"/>
            </w:tcBorders>
            <w:shd w:val="clear" w:color="000000" w:fill="63BE7B"/>
            <w:vAlign w:val="center"/>
            <w:hideMark/>
          </w:tcPr>
          <w:p w14:paraId="43F98B55" w14:textId="2BABEE98"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Low</w:t>
            </w:r>
          </w:p>
        </w:tc>
        <w:tc>
          <w:tcPr>
            <w:tcW w:w="0" w:type="auto"/>
            <w:tcBorders>
              <w:top w:val="single" w:sz="4" w:space="0" w:color="auto"/>
              <w:left w:val="single" w:sz="4" w:space="0" w:color="auto"/>
              <w:bottom w:val="single" w:sz="4" w:space="0" w:color="auto"/>
              <w:right w:val="nil"/>
            </w:tcBorders>
            <w:shd w:val="clear" w:color="000000" w:fill="F8696B"/>
            <w:vAlign w:val="center"/>
            <w:hideMark/>
          </w:tcPr>
          <w:p w14:paraId="57631E69" w14:textId="096CC537" w:rsidR="00DD28AC" w:rsidRPr="008E1D10" w:rsidRDefault="00DD28AC" w:rsidP="008E1E71">
            <w:pPr>
              <w:spacing w:after="200"/>
              <w:jc w:val="both"/>
              <w:rPr>
                <w:rFonts w:asciiTheme="majorBidi" w:hAnsiTheme="majorBidi" w:cstheme="majorBidi"/>
              </w:rPr>
            </w:pPr>
            <w:r w:rsidRPr="008E1D10">
              <w:rPr>
                <w:rFonts w:asciiTheme="majorBidi" w:eastAsia="Times New Roman" w:hAnsiTheme="majorBidi" w:cstheme="majorBidi"/>
                <w:color w:val="000000"/>
                <w:kern w:val="0"/>
                <w14:ligatures w14:val="none"/>
              </w:rPr>
              <w:t>High</w:t>
            </w:r>
          </w:p>
        </w:tc>
        <w:tc>
          <w:tcPr>
            <w:tcW w:w="0" w:type="auto"/>
            <w:hideMark/>
          </w:tcPr>
          <w:p w14:paraId="10927684" w14:textId="77777777" w:rsidR="00DD28AC" w:rsidRPr="008E1D10" w:rsidRDefault="00DD28AC" w:rsidP="008E1E71">
            <w:pPr>
              <w:spacing w:after="200"/>
              <w:jc w:val="both"/>
              <w:rPr>
                <w:rFonts w:asciiTheme="majorBidi" w:hAnsiTheme="majorBidi" w:cstheme="majorBidi"/>
              </w:rPr>
            </w:pPr>
            <w:r w:rsidRPr="008E1D10">
              <w:rPr>
                <w:rFonts w:asciiTheme="majorBidi" w:hAnsiTheme="majorBidi" w:cstheme="majorBidi"/>
              </w:rPr>
              <w:t>Comprehensive testing</w:t>
            </w:r>
          </w:p>
        </w:tc>
      </w:tr>
    </w:tbl>
    <w:p w14:paraId="7950BFB6" w14:textId="2D6DF392" w:rsidR="00F63910" w:rsidRPr="002E64F5" w:rsidRDefault="00FB4448" w:rsidP="00FB4448">
      <w:pPr>
        <w:pStyle w:val="Caption"/>
        <w:jc w:val="center"/>
        <w:rPr>
          <w:rFonts w:asciiTheme="majorBidi" w:hAnsiTheme="majorBidi" w:cstheme="majorBidi"/>
          <w:color w:val="auto"/>
          <w:sz w:val="22"/>
          <w:szCs w:val="22"/>
        </w:rPr>
      </w:pPr>
      <w:bookmarkStart w:id="19" w:name="_Toc232338917"/>
      <w:r w:rsidRPr="00FB4448">
        <w:rPr>
          <w:rFonts w:asciiTheme="majorBidi" w:hAnsiTheme="majorBidi" w:cstheme="majorBidi"/>
          <w:color w:val="auto"/>
          <w:sz w:val="22"/>
          <w:szCs w:val="22"/>
        </w:rPr>
        <w:t xml:space="preserve">Table </w:t>
      </w:r>
      <w:r w:rsidRPr="00FB4448">
        <w:rPr>
          <w:rFonts w:asciiTheme="majorBidi" w:hAnsiTheme="majorBidi" w:cstheme="majorBidi"/>
          <w:color w:val="auto"/>
          <w:sz w:val="22"/>
          <w:szCs w:val="22"/>
        </w:rPr>
        <w:fldChar w:fldCharType="begin"/>
      </w:r>
      <w:r w:rsidRPr="00FB4448">
        <w:rPr>
          <w:rFonts w:asciiTheme="majorBidi" w:hAnsiTheme="majorBidi" w:cstheme="majorBidi"/>
          <w:color w:val="auto"/>
          <w:sz w:val="22"/>
          <w:szCs w:val="22"/>
        </w:rPr>
        <w:instrText xml:space="preserve"> SEQ Table \* ARABIC </w:instrText>
      </w:r>
      <w:r w:rsidRPr="00FB4448">
        <w:rPr>
          <w:rFonts w:asciiTheme="majorBidi" w:hAnsiTheme="majorBidi" w:cstheme="majorBidi"/>
          <w:color w:val="auto"/>
          <w:sz w:val="22"/>
          <w:szCs w:val="22"/>
        </w:rPr>
        <w:fldChar w:fldCharType="separate"/>
      </w:r>
      <w:r w:rsidRPr="00FB4448">
        <w:rPr>
          <w:rFonts w:asciiTheme="majorBidi" w:hAnsiTheme="majorBidi" w:cstheme="majorBidi"/>
          <w:color w:val="auto"/>
          <w:sz w:val="22"/>
          <w:szCs w:val="22"/>
        </w:rPr>
        <w:t>5</w:t>
      </w:r>
      <w:r w:rsidRPr="00FB4448">
        <w:rPr>
          <w:rFonts w:asciiTheme="majorBidi" w:hAnsiTheme="majorBidi" w:cstheme="majorBidi"/>
          <w:color w:val="auto"/>
          <w:sz w:val="22"/>
          <w:szCs w:val="22"/>
        </w:rPr>
        <w:fldChar w:fldCharType="end"/>
      </w:r>
      <w:r w:rsidR="002E64F5" w:rsidRPr="002E64F5">
        <w:rPr>
          <w:rFonts w:asciiTheme="majorBidi" w:hAnsiTheme="majorBidi" w:cstheme="majorBidi"/>
          <w:color w:val="auto"/>
          <w:sz w:val="22"/>
          <w:szCs w:val="22"/>
        </w:rPr>
        <w:t xml:space="preserve">: </w:t>
      </w:r>
      <w:r w:rsidR="00F63910" w:rsidRPr="002E64F5">
        <w:rPr>
          <w:rFonts w:asciiTheme="majorBidi" w:hAnsiTheme="majorBidi" w:cstheme="majorBidi"/>
          <w:color w:val="auto"/>
          <w:sz w:val="22"/>
          <w:szCs w:val="22"/>
        </w:rPr>
        <w:t>Risk Matrix</w:t>
      </w:r>
      <w:bookmarkEnd w:id="19"/>
    </w:p>
    <w:tbl>
      <w:tblPr>
        <w:tblStyle w:val="GridTable4-Accent6"/>
        <w:tblW w:w="0" w:type="auto"/>
        <w:jc w:val="center"/>
        <w:tblLook w:val="04A0" w:firstRow="1" w:lastRow="0" w:firstColumn="1" w:lastColumn="0" w:noHBand="0" w:noVBand="1"/>
      </w:tblPr>
      <w:tblGrid>
        <w:gridCol w:w="2292"/>
        <w:gridCol w:w="2086"/>
        <w:gridCol w:w="2490"/>
        <w:gridCol w:w="2396"/>
      </w:tblGrid>
      <w:tr w:rsidR="00F63910" w:rsidRPr="008E1D10" w14:paraId="600B1DE4" w14:textId="77777777" w:rsidTr="008E1E7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D7A8B9" w14:textId="77777777" w:rsidR="00F63910" w:rsidRPr="008E1D10" w:rsidRDefault="00F63910" w:rsidP="008E1E71">
            <w:pPr>
              <w:spacing w:after="200"/>
              <w:jc w:val="both"/>
              <w:rPr>
                <w:rFonts w:asciiTheme="majorBidi" w:hAnsiTheme="majorBidi" w:cstheme="majorBidi"/>
              </w:rPr>
            </w:pPr>
            <w:r w:rsidRPr="008E1D10">
              <w:rPr>
                <w:rFonts w:asciiTheme="majorBidi" w:hAnsiTheme="majorBidi" w:cstheme="majorBidi"/>
              </w:rPr>
              <w:t>Impact / Probability</w:t>
            </w:r>
          </w:p>
        </w:tc>
        <w:tc>
          <w:tcPr>
            <w:tcW w:w="0" w:type="auto"/>
            <w:hideMark/>
          </w:tcPr>
          <w:p w14:paraId="51708192" w14:textId="77777777" w:rsidR="00F63910" w:rsidRPr="008E1D10" w:rsidRDefault="00F63910" w:rsidP="008E1E71">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Low</w:t>
            </w:r>
          </w:p>
        </w:tc>
        <w:tc>
          <w:tcPr>
            <w:tcW w:w="0" w:type="auto"/>
            <w:hideMark/>
          </w:tcPr>
          <w:p w14:paraId="64279900" w14:textId="77777777" w:rsidR="00F63910" w:rsidRPr="008E1D10" w:rsidRDefault="00F63910" w:rsidP="008E1E71">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Medium</w:t>
            </w:r>
          </w:p>
        </w:tc>
        <w:tc>
          <w:tcPr>
            <w:tcW w:w="0" w:type="auto"/>
            <w:hideMark/>
          </w:tcPr>
          <w:p w14:paraId="5E258278" w14:textId="77777777" w:rsidR="00F63910" w:rsidRPr="008E1D10" w:rsidRDefault="00F63910" w:rsidP="008E1E71">
            <w:pPr>
              <w:spacing w:after="20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High</w:t>
            </w:r>
          </w:p>
        </w:tc>
      </w:tr>
      <w:tr w:rsidR="00F63910" w:rsidRPr="008E1D10" w14:paraId="287933B6" w14:textId="77777777" w:rsidTr="008E1E7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86AE0A" w14:textId="77777777" w:rsidR="00F63910" w:rsidRPr="008E1D10" w:rsidRDefault="00F63910" w:rsidP="008E1E71">
            <w:pPr>
              <w:spacing w:after="200"/>
              <w:jc w:val="both"/>
              <w:rPr>
                <w:rFonts w:asciiTheme="majorBidi" w:hAnsiTheme="majorBidi" w:cstheme="majorBidi"/>
              </w:rPr>
            </w:pPr>
            <w:r w:rsidRPr="008E1D10">
              <w:rPr>
                <w:rFonts w:asciiTheme="majorBidi" w:hAnsiTheme="majorBidi" w:cstheme="majorBidi"/>
              </w:rPr>
              <w:t>High Impact</w:t>
            </w:r>
          </w:p>
        </w:tc>
        <w:tc>
          <w:tcPr>
            <w:tcW w:w="0" w:type="auto"/>
            <w:hideMark/>
          </w:tcPr>
          <w:p w14:paraId="3ACF72ED"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Technology Failure</w:t>
            </w:r>
          </w:p>
        </w:tc>
        <w:tc>
          <w:tcPr>
            <w:tcW w:w="0" w:type="auto"/>
            <w:hideMark/>
          </w:tcPr>
          <w:p w14:paraId="4378B7E7"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Supply Chain Issues</w:t>
            </w:r>
          </w:p>
        </w:tc>
        <w:tc>
          <w:tcPr>
            <w:tcW w:w="0" w:type="auto"/>
            <w:hideMark/>
          </w:tcPr>
          <w:p w14:paraId="0933EF8A"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Cost Overruns, Delays</w:t>
            </w:r>
          </w:p>
        </w:tc>
      </w:tr>
      <w:tr w:rsidR="00F63910" w:rsidRPr="008E1D10" w14:paraId="5171168C" w14:textId="77777777" w:rsidTr="008E1E7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C197E5" w14:textId="77777777" w:rsidR="00F63910" w:rsidRPr="008E1D10" w:rsidRDefault="00F63910" w:rsidP="008E1E71">
            <w:pPr>
              <w:spacing w:after="200"/>
              <w:jc w:val="both"/>
              <w:rPr>
                <w:rFonts w:asciiTheme="majorBidi" w:hAnsiTheme="majorBidi" w:cstheme="majorBidi"/>
              </w:rPr>
            </w:pPr>
            <w:r w:rsidRPr="008E1D10">
              <w:rPr>
                <w:rFonts w:asciiTheme="majorBidi" w:hAnsiTheme="majorBidi" w:cstheme="majorBidi"/>
              </w:rPr>
              <w:t>Medium Impact</w:t>
            </w:r>
          </w:p>
        </w:tc>
        <w:tc>
          <w:tcPr>
            <w:tcW w:w="0" w:type="auto"/>
            <w:hideMark/>
          </w:tcPr>
          <w:p w14:paraId="39ED10AC" w14:textId="77777777" w:rsidR="00F63910" w:rsidRPr="008E1D10" w:rsidRDefault="00F63910" w:rsidP="008E1E71">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t>
            </w:r>
          </w:p>
        </w:tc>
        <w:tc>
          <w:tcPr>
            <w:tcW w:w="0" w:type="auto"/>
            <w:hideMark/>
          </w:tcPr>
          <w:p w14:paraId="56A56036" w14:textId="77777777" w:rsidR="00F63910" w:rsidRPr="008E1D10" w:rsidRDefault="00F63910" w:rsidP="008E1E71">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Stakeholder Opposition</w:t>
            </w:r>
          </w:p>
        </w:tc>
        <w:tc>
          <w:tcPr>
            <w:tcW w:w="0" w:type="auto"/>
            <w:hideMark/>
          </w:tcPr>
          <w:p w14:paraId="2168EDA2" w14:textId="77777777" w:rsidR="00F63910" w:rsidRPr="008E1D10" w:rsidRDefault="00F63910" w:rsidP="008E1E71">
            <w:pPr>
              <w:spacing w:after="200"/>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t>
            </w:r>
          </w:p>
        </w:tc>
      </w:tr>
      <w:tr w:rsidR="00F63910" w:rsidRPr="008E1D10" w14:paraId="6D81C6BF" w14:textId="77777777" w:rsidTr="008E1E7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7AE9A0" w14:textId="77777777" w:rsidR="00F63910" w:rsidRPr="008E1D10" w:rsidRDefault="00F63910" w:rsidP="008E1E71">
            <w:pPr>
              <w:spacing w:after="200"/>
              <w:jc w:val="both"/>
              <w:rPr>
                <w:rFonts w:asciiTheme="majorBidi" w:hAnsiTheme="majorBidi" w:cstheme="majorBidi"/>
              </w:rPr>
            </w:pPr>
            <w:r w:rsidRPr="008E1D10">
              <w:rPr>
                <w:rFonts w:asciiTheme="majorBidi" w:hAnsiTheme="majorBidi" w:cstheme="majorBidi"/>
              </w:rPr>
              <w:t>Low Impact</w:t>
            </w:r>
          </w:p>
        </w:tc>
        <w:tc>
          <w:tcPr>
            <w:tcW w:w="0" w:type="auto"/>
            <w:hideMark/>
          </w:tcPr>
          <w:p w14:paraId="58618720"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t>
            </w:r>
          </w:p>
        </w:tc>
        <w:tc>
          <w:tcPr>
            <w:tcW w:w="0" w:type="auto"/>
            <w:hideMark/>
          </w:tcPr>
          <w:p w14:paraId="3089B4F6"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t>
            </w:r>
          </w:p>
        </w:tc>
        <w:tc>
          <w:tcPr>
            <w:tcW w:w="0" w:type="auto"/>
            <w:hideMark/>
          </w:tcPr>
          <w:p w14:paraId="2DF00F25" w14:textId="77777777" w:rsidR="00F63910" w:rsidRPr="008E1D10" w:rsidRDefault="00F63910" w:rsidP="008E1E71">
            <w:pPr>
              <w:spacing w:after="20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8E1D10">
              <w:rPr>
                <w:rFonts w:asciiTheme="majorBidi" w:hAnsiTheme="majorBidi" w:cstheme="majorBidi"/>
              </w:rPr>
              <w:t>-</w:t>
            </w:r>
          </w:p>
        </w:tc>
      </w:tr>
    </w:tbl>
    <w:p w14:paraId="3B4F2C36" w14:textId="77777777" w:rsidR="00B21333" w:rsidRPr="008E1D10" w:rsidRDefault="00B21333" w:rsidP="008E1D10">
      <w:pPr>
        <w:spacing w:after="200" w:line="360" w:lineRule="auto"/>
        <w:jc w:val="both"/>
        <w:rPr>
          <w:rFonts w:asciiTheme="majorBidi" w:hAnsiTheme="majorBidi" w:cstheme="majorBidi"/>
        </w:rPr>
      </w:pPr>
      <w:r w:rsidRPr="008E1D10">
        <w:rPr>
          <w:rFonts w:asciiTheme="majorBidi" w:hAnsiTheme="majorBidi" w:cstheme="majorBidi"/>
        </w:rPr>
        <w:t xml:space="preserve">The risks most likely to impact project budget and date are cost overruns and construction delays. A mean cost overrun of 28% is an unavoidable situation in construction projects (Atapattu et al., 2023). Construction projects are often subjected to budget issues and delays, which may have a significant effect on the profitability and quality of the construction projects (Daoud et al., 2023). Financial and schedule control are often especially critical to infrastructure projects where unexpected site conditions or labour shortages can cause inflationary pressures. Amini et al. (2022) stated that frequent changes in the design, error and mistake made in the construction process, and delays over the schedule were defined as the most significant cause of cost overrun. </w:t>
      </w:r>
    </w:p>
    <w:p w14:paraId="2355FD23" w14:textId="675FEDAE" w:rsidR="00F63910" w:rsidRPr="008E1D10" w:rsidRDefault="00B21333" w:rsidP="008E1D10">
      <w:pPr>
        <w:spacing w:after="200" w:line="360" w:lineRule="auto"/>
        <w:jc w:val="both"/>
        <w:rPr>
          <w:rFonts w:asciiTheme="majorBidi" w:hAnsiTheme="majorBidi" w:cstheme="majorBidi"/>
        </w:rPr>
      </w:pPr>
      <w:r w:rsidRPr="008E1D10">
        <w:rPr>
          <w:rFonts w:asciiTheme="majorBidi" w:hAnsiTheme="majorBidi" w:cstheme="majorBidi"/>
        </w:rPr>
        <w:t>Construction material and technology systems might be impacted by supply chain disruptions. To reduce this risk, procurement groups will source from multiple suppliers and have alternatives. All stakeholders will be consulted and communicated with throughout the process to manage potential opposition. Phased testing and commissioning will be used to respond to technology integration risks. Proactive risk management plays a major part in the success of a project by minimizing uncertainty and helping to make informed decisions. Good risk responses will safeguard cost, schedule and quality goals and increase project resilience. Continuous monitoring may also help to identify emerging risks and resolve them before they become a significant project problem (ISO, 2018).</w:t>
      </w:r>
    </w:p>
    <w:p w14:paraId="34DCE78E" w14:textId="060B9946" w:rsidR="00F63910" w:rsidRPr="008E1E71" w:rsidRDefault="00B21333" w:rsidP="008E1E71">
      <w:pPr>
        <w:pStyle w:val="Heading1"/>
        <w:numPr>
          <w:ilvl w:val="0"/>
          <w:numId w:val="6"/>
        </w:numPr>
        <w:spacing w:before="0" w:after="200"/>
        <w:ind w:left="360"/>
        <w:rPr>
          <w:rFonts w:asciiTheme="majorBidi" w:hAnsiTheme="majorBidi"/>
          <w:b/>
          <w:bCs/>
          <w:color w:val="auto"/>
          <w:sz w:val="32"/>
          <w:szCs w:val="24"/>
          <w:u w:val="single"/>
        </w:rPr>
      </w:pPr>
      <w:bookmarkStart w:id="20" w:name="_Toc233323313"/>
      <w:r w:rsidRPr="008E1E71">
        <w:rPr>
          <w:rFonts w:asciiTheme="majorBidi" w:hAnsiTheme="majorBidi"/>
          <w:b/>
          <w:bCs/>
          <w:color w:val="auto"/>
          <w:sz w:val="32"/>
          <w:szCs w:val="24"/>
          <w:u w:val="single"/>
        </w:rPr>
        <w:t>Conclusion</w:t>
      </w:r>
      <w:bookmarkEnd w:id="20"/>
      <w:r w:rsidRPr="008E1E71">
        <w:rPr>
          <w:rFonts w:asciiTheme="majorBidi" w:hAnsiTheme="majorBidi"/>
          <w:b/>
          <w:bCs/>
          <w:color w:val="auto"/>
          <w:sz w:val="32"/>
          <w:szCs w:val="24"/>
          <w:u w:val="single"/>
        </w:rPr>
        <w:t xml:space="preserve"> </w:t>
      </w:r>
    </w:p>
    <w:p w14:paraId="19AC0323" w14:textId="74DAAAFE" w:rsidR="00F63910" w:rsidRPr="008E1D10" w:rsidRDefault="00B21333" w:rsidP="008E1D10">
      <w:pPr>
        <w:spacing w:after="200" w:line="360" w:lineRule="auto"/>
        <w:jc w:val="both"/>
        <w:rPr>
          <w:rFonts w:asciiTheme="majorBidi" w:hAnsiTheme="majorBidi" w:cstheme="majorBidi"/>
        </w:rPr>
      </w:pPr>
      <w:r w:rsidRPr="008E1D10">
        <w:rPr>
          <w:rFonts w:asciiTheme="majorBidi" w:hAnsiTheme="majorBidi" w:cstheme="majorBidi"/>
        </w:rPr>
        <w:t>The redevelopment of the central transport hub is a strategically important urban regeneration project that will restore the transport capacity, accessibility and contribute to sustainable economic development in the long term. Gantt Charts, stakeholder management, resource allocation and risk management are some of the project management tools that can be used to ensure project success. The principles of PMBOK and PRINCE2 can be used to provide the project with enhanced cost, schedule, quality, and stakeholder expectation control. Overall, the redevelopment will provide sustainable transport infrastructure, improve city mobility, foster social inclusion and support the overall city regeneration goals.</w:t>
      </w:r>
    </w:p>
    <w:p w14:paraId="6F2463A2" w14:textId="09DDCF62"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br w:type="page"/>
      </w:r>
    </w:p>
    <w:p w14:paraId="1D69A152" w14:textId="40F3BBE4" w:rsidR="004B1FF2" w:rsidRPr="008E1E71" w:rsidRDefault="004701E6" w:rsidP="008E1E71">
      <w:pPr>
        <w:pStyle w:val="Heading1"/>
        <w:spacing w:before="0" w:after="200"/>
        <w:rPr>
          <w:rFonts w:asciiTheme="majorBidi" w:hAnsiTheme="majorBidi"/>
          <w:b/>
          <w:bCs/>
          <w:color w:val="auto"/>
          <w:sz w:val="32"/>
          <w:szCs w:val="24"/>
          <w:u w:val="single"/>
        </w:rPr>
      </w:pPr>
      <w:bookmarkStart w:id="21" w:name="_Toc233323314"/>
      <w:r w:rsidRPr="008E1E71">
        <w:rPr>
          <w:rFonts w:asciiTheme="majorBidi" w:hAnsiTheme="majorBidi"/>
          <w:b/>
          <w:bCs/>
          <w:color w:val="auto"/>
          <w:sz w:val="32"/>
          <w:szCs w:val="24"/>
          <w:u w:val="single"/>
        </w:rPr>
        <w:t>References</w:t>
      </w:r>
      <w:bookmarkEnd w:id="21"/>
    </w:p>
    <w:p w14:paraId="22548696"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 xml:space="preserve">Anton, L., </w:t>
      </w:r>
      <w:proofErr w:type="spellStart"/>
      <w:r w:rsidRPr="008E1D10">
        <w:rPr>
          <w:rFonts w:asciiTheme="majorBidi" w:hAnsiTheme="majorBidi" w:cstheme="majorBidi"/>
        </w:rPr>
        <w:t>Šmit</w:t>
      </w:r>
      <w:proofErr w:type="spellEnd"/>
      <w:r w:rsidRPr="008E1D10">
        <w:rPr>
          <w:rFonts w:asciiTheme="majorBidi" w:hAnsiTheme="majorBidi" w:cstheme="majorBidi"/>
        </w:rPr>
        <w:t>, K. and Gašparović, S. (2025). The Concentration of Urban Functions Within Transformed City Areas Due to the Deployment of a Multimodal Transit Hub—A Case Study: Barcelona, Berlin, and London. </w:t>
      </w:r>
      <w:r w:rsidRPr="008E1D10">
        <w:rPr>
          <w:rFonts w:asciiTheme="majorBidi" w:hAnsiTheme="majorBidi" w:cstheme="majorBidi"/>
          <w:i/>
          <w:iCs/>
        </w:rPr>
        <w:t>Urban Science</w:t>
      </w:r>
      <w:r w:rsidRPr="008E1D10">
        <w:rPr>
          <w:rFonts w:asciiTheme="majorBidi" w:hAnsiTheme="majorBidi" w:cstheme="majorBidi"/>
        </w:rPr>
        <w:t xml:space="preserve">, 9(8), p.327. </w:t>
      </w:r>
      <w:proofErr w:type="spellStart"/>
      <w:r w:rsidRPr="008E1D10">
        <w:rPr>
          <w:rFonts w:asciiTheme="majorBidi" w:hAnsiTheme="majorBidi" w:cstheme="majorBidi"/>
        </w:rPr>
        <w:t>doi:https</w:t>
      </w:r>
      <w:proofErr w:type="spellEnd"/>
      <w:r w:rsidRPr="008E1D10">
        <w:rPr>
          <w:rFonts w:asciiTheme="majorBidi" w:hAnsiTheme="majorBidi" w:cstheme="majorBidi"/>
        </w:rPr>
        <w:t>://doi.org/10.3390/urbansci9080327.</w:t>
      </w:r>
    </w:p>
    <w:p w14:paraId="1FBBF080"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Omnicom (2023). </w:t>
      </w:r>
      <w:r w:rsidRPr="008E1D10">
        <w:rPr>
          <w:rFonts w:asciiTheme="majorBidi" w:hAnsiTheme="majorBidi" w:cstheme="majorBidi"/>
          <w:i/>
          <w:iCs/>
        </w:rPr>
        <w:t>PRINCE2® Principles</w:t>
      </w:r>
      <w:r w:rsidRPr="008E1D10">
        <w:rPr>
          <w:rFonts w:asciiTheme="majorBidi" w:hAnsiTheme="majorBidi" w:cstheme="majorBidi"/>
        </w:rPr>
        <w:t xml:space="preserve">. [online] OMNICOM. Available at: </w:t>
      </w:r>
      <w:hyperlink r:id="rId20" w:history="1">
        <w:r w:rsidRPr="008E1D10">
          <w:rPr>
            <w:rStyle w:val="Hyperlink"/>
            <w:rFonts w:asciiTheme="majorBidi" w:hAnsiTheme="majorBidi" w:cstheme="majorBidi"/>
          </w:rPr>
          <w:t>https://www.omnicom.digital/en/areas-of-interest/project-management-prince2-2/prince2-principles/</w:t>
        </w:r>
      </w:hyperlink>
    </w:p>
    <w:p w14:paraId="08062756"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Wang, Y., Xu, Z. and Liang, J. (2025). Impact of transportation hubs on urban economic resilience: Evidence from national comprehensive transportation hub cities. </w:t>
      </w:r>
      <w:r w:rsidRPr="008E1D10">
        <w:rPr>
          <w:rFonts w:asciiTheme="majorBidi" w:hAnsiTheme="majorBidi" w:cstheme="majorBidi"/>
          <w:i/>
          <w:iCs/>
        </w:rPr>
        <w:t>Transportation Research Part A: Policy and Practice</w:t>
      </w:r>
      <w:r w:rsidRPr="008E1D10">
        <w:rPr>
          <w:rFonts w:asciiTheme="majorBidi" w:hAnsiTheme="majorBidi" w:cstheme="majorBidi"/>
        </w:rPr>
        <w:t xml:space="preserve">, [online] 203, p.104751.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://doi.org/10.1016/j.tra.2025.104751.</w:t>
      </w:r>
    </w:p>
    <w:p w14:paraId="6F1FB0A2"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Arvianto</w:t>
      </w:r>
      <w:proofErr w:type="spellEnd"/>
      <w:r w:rsidRPr="008E1D10">
        <w:rPr>
          <w:rFonts w:asciiTheme="majorBidi" w:hAnsiTheme="majorBidi" w:cstheme="majorBidi"/>
        </w:rPr>
        <w:t>, A., Sopha, B.M., Asih, A.M.S. and Imron, M.A. (2021). City logistics challenges and innovative solutions in developed and developing economies: A systematic literature review. </w:t>
      </w:r>
      <w:r w:rsidRPr="008E1D10">
        <w:rPr>
          <w:rFonts w:asciiTheme="majorBidi" w:hAnsiTheme="majorBidi" w:cstheme="majorBidi"/>
          <w:i/>
          <w:iCs/>
        </w:rPr>
        <w:t>International Journal of Engineering Business Management</w:t>
      </w:r>
      <w:r w:rsidRPr="008E1D10">
        <w:rPr>
          <w:rFonts w:asciiTheme="majorBidi" w:hAnsiTheme="majorBidi" w:cstheme="majorBidi"/>
        </w:rPr>
        <w:t xml:space="preserve">, 13, p.184797902110397.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://doi.org/10.1177/18479790211039723.</w:t>
      </w:r>
    </w:p>
    <w:p w14:paraId="2DC81F01"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QualifyNation (2026). </w:t>
      </w:r>
      <w:r w:rsidRPr="008E1D10">
        <w:rPr>
          <w:rFonts w:asciiTheme="majorBidi" w:hAnsiTheme="majorBidi" w:cstheme="majorBidi"/>
          <w:i/>
          <w:iCs/>
        </w:rPr>
        <w:t>PRINCE2 in Practice: Applying the 7 Principles, Themes &amp; Processes to Real Projects</w:t>
      </w:r>
      <w:r w:rsidRPr="008E1D10">
        <w:rPr>
          <w:rFonts w:asciiTheme="majorBidi" w:hAnsiTheme="majorBidi" w:cstheme="majorBidi"/>
        </w:rPr>
        <w:t xml:space="preserve">. [online] QualifyNation®. Available at: </w:t>
      </w:r>
      <w:hyperlink r:id="rId21" w:history="1">
        <w:r w:rsidRPr="008E1D10">
          <w:rPr>
            <w:rStyle w:val="Hyperlink"/>
            <w:rFonts w:asciiTheme="majorBidi" w:hAnsiTheme="majorBidi" w:cstheme="majorBidi"/>
          </w:rPr>
          <w:t>https://qualifynation.com/en-gb/guides/project-management/prince2-in-practice-7-principles-themes-processes/</w:t>
        </w:r>
      </w:hyperlink>
    </w:p>
    <w:p w14:paraId="715A2F6B"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Qualify Nation (2026). </w:t>
      </w:r>
      <w:r w:rsidRPr="008E1D10">
        <w:rPr>
          <w:rFonts w:asciiTheme="majorBidi" w:hAnsiTheme="majorBidi" w:cstheme="majorBidi"/>
          <w:i/>
          <w:iCs/>
        </w:rPr>
        <w:t>PRINCE2 in Practice: Applying the 7 Principles, Themes &amp; Processes to Real Projects</w:t>
      </w:r>
      <w:r w:rsidRPr="008E1D10">
        <w:rPr>
          <w:rFonts w:asciiTheme="majorBidi" w:hAnsiTheme="majorBidi" w:cstheme="majorBidi"/>
        </w:rPr>
        <w:t xml:space="preserve">. [online] QualifyNation®. Available at: </w:t>
      </w:r>
      <w:hyperlink r:id="rId22" w:history="1">
        <w:r w:rsidRPr="008E1D10">
          <w:rPr>
            <w:rStyle w:val="Hyperlink"/>
            <w:rFonts w:asciiTheme="majorBidi" w:hAnsiTheme="majorBidi" w:cstheme="majorBidi"/>
          </w:rPr>
          <w:t>https://qualifynation.com/en-gb/guides/project-management/prince2-in-practice-7-principles-themes-processes/</w:t>
        </w:r>
      </w:hyperlink>
    </w:p>
    <w:p w14:paraId="2BDA15B5"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 xml:space="preserve">Pokharel, R., Bertolini, L. and </w:t>
      </w:r>
      <w:proofErr w:type="spellStart"/>
      <w:r w:rsidRPr="008E1D10">
        <w:rPr>
          <w:rFonts w:asciiTheme="majorBidi" w:hAnsiTheme="majorBidi" w:cstheme="majorBidi"/>
        </w:rPr>
        <w:t>te</w:t>
      </w:r>
      <w:proofErr w:type="spellEnd"/>
      <w:r w:rsidRPr="008E1D10">
        <w:rPr>
          <w:rFonts w:asciiTheme="majorBidi" w:hAnsiTheme="majorBidi" w:cstheme="majorBidi"/>
        </w:rPr>
        <w:t xml:space="preserve"> </w:t>
      </w:r>
      <w:proofErr w:type="spellStart"/>
      <w:r w:rsidRPr="008E1D10">
        <w:rPr>
          <w:rFonts w:asciiTheme="majorBidi" w:hAnsiTheme="majorBidi" w:cstheme="majorBidi"/>
        </w:rPr>
        <w:t>Brömmelstroet</w:t>
      </w:r>
      <w:proofErr w:type="spellEnd"/>
      <w:r w:rsidRPr="008E1D10">
        <w:rPr>
          <w:rFonts w:asciiTheme="majorBidi" w:hAnsiTheme="majorBidi" w:cstheme="majorBidi"/>
        </w:rPr>
        <w:t>, M. (2023). How does transportation facilitate regional economic development? A heuristic mapping of the literature. </w:t>
      </w:r>
      <w:r w:rsidRPr="008E1D10">
        <w:rPr>
          <w:rFonts w:asciiTheme="majorBidi" w:hAnsiTheme="majorBidi" w:cstheme="majorBidi"/>
          <w:i/>
          <w:iCs/>
        </w:rPr>
        <w:t>Transportation Research Interdisciplinary Perspectives</w:t>
      </w:r>
      <w:r w:rsidRPr="008E1D10">
        <w:rPr>
          <w:rFonts w:asciiTheme="majorBidi" w:hAnsiTheme="majorBidi" w:cstheme="majorBidi"/>
        </w:rPr>
        <w:t xml:space="preserve">, [online] 19, p.100817.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://doi.org/10.1016/j.trip.2023.100817.</w:t>
      </w:r>
    </w:p>
    <w:p w14:paraId="687F81B7"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Xebrio</w:t>
      </w:r>
      <w:proofErr w:type="spellEnd"/>
      <w:r w:rsidRPr="008E1D10">
        <w:rPr>
          <w:rFonts w:asciiTheme="majorBidi" w:hAnsiTheme="majorBidi" w:cstheme="majorBidi"/>
        </w:rPr>
        <w:t xml:space="preserve"> (2021). </w:t>
      </w:r>
      <w:r w:rsidRPr="008E1D10">
        <w:rPr>
          <w:rFonts w:asciiTheme="majorBidi" w:hAnsiTheme="majorBidi" w:cstheme="majorBidi"/>
          <w:i/>
          <w:iCs/>
        </w:rPr>
        <w:t>PRINCE2 Project Management</w:t>
      </w:r>
      <w:r w:rsidRPr="008E1D10">
        <w:rPr>
          <w:rFonts w:asciiTheme="majorBidi" w:hAnsiTheme="majorBidi" w:cstheme="majorBidi"/>
        </w:rPr>
        <w:t xml:space="preserve">. [online] </w:t>
      </w:r>
      <w:proofErr w:type="spellStart"/>
      <w:r w:rsidRPr="008E1D10">
        <w:rPr>
          <w:rFonts w:asciiTheme="majorBidi" w:hAnsiTheme="majorBidi" w:cstheme="majorBidi"/>
        </w:rPr>
        <w:t>Xebrio</w:t>
      </w:r>
      <w:proofErr w:type="spellEnd"/>
      <w:r w:rsidRPr="008E1D10">
        <w:rPr>
          <w:rFonts w:asciiTheme="majorBidi" w:hAnsiTheme="majorBidi" w:cstheme="majorBidi"/>
        </w:rPr>
        <w:t xml:space="preserve"> | Project Management Software. Available at: </w:t>
      </w:r>
      <w:hyperlink r:id="rId23" w:history="1">
        <w:r w:rsidRPr="008E1D10">
          <w:rPr>
            <w:rStyle w:val="Hyperlink"/>
            <w:rFonts w:asciiTheme="majorBidi" w:hAnsiTheme="majorBidi" w:cstheme="majorBidi"/>
          </w:rPr>
          <w:t>https://xebrio.com/project-management-methodology/prince2-project-management/</w:t>
        </w:r>
      </w:hyperlink>
    </w:p>
    <w:p w14:paraId="7EA035D3"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Cockfield, R. (2025). </w:t>
      </w:r>
      <w:r w:rsidRPr="008E1D10">
        <w:rPr>
          <w:rFonts w:asciiTheme="majorBidi" w:hAnsiTheme="majorBidi" w:cstheme="majorBidi"/>
          <w:i/>
          <w:iCs/>
        </w:rPr>
        <w:t>Scope Management</w:t>
      </w:r>
      <w:r w:rsidRPr="008E1D10">
        <w:rPr>
          <w:rFonts w:asciiTheme="majorBidi" w:hAnsiTheme="majorBidi" w:cstheme="majorBidi"/>
        </w:rPr>
        <w:t xml:space="preserve">. [online] www.pmi.org. Available at: </w:t>
      </w:r>
      <w:hyperlink r:id="rId24" w:history="1">
        <w:r w:rsidRPr="008E1D10">
          <w:rPr>
            <w:rStyle w:val="Hyperlink"/>
            <w:rFonts w:asciiTheme="majorBidi" w:hAnsiTheme="majorBidi" w:cstheme="majorBidi"/>
          </w:rPr>
          <w:t>https://www.pmi.org/learning/library/scope-management-9099</w:t>
        </w:r>
      </w:hyperlink>
    </w:p>
    <w:p w14:paraId="633DD284"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PM-Library (2018). </w:t>
      </w:r>
      <w:r w:rsidRPr="008E1D10">
        <w:rPr>
          <w:rFonts w:asciiTheme="majorBidi" w:hAnsiTheme="majorBidi" w:cstheme="majorBidi"/>
          <w:i/>
          <w:iCs/>
        </w:rPr>
        <w:t>Defining Scope and WBS</w:t>
      </w:r>
      <w:r w:rsidRPr="008E1D10">
        <w:rPr>
          <w:rFonts w:asciiTheme="majorBidi" w:hAnsiTheme="majorBidi" w:cstheme="majorBidi"/>
        </w:rPr>
        <w:t xml:space="preserve">. [online] Project Management Library. Available at: </w:t>
      </w:r>
      <w:hyperlink r:id="rId25" w:history="1">
        <w:r w:rsidRPr="008E1D10">
          <w:rPr>
            <w:rStyle w:val="Hyperlink"/>
            <w:rFonts w:asciiTheme="majorBidi" w:hAnsiTheme="majorBidi" w:cstheme="majorBidi"/>
          </w:rPr>
          <w:t>https://pm-library.com/project-planning/defining-scope-and-wbs/</w:t>
        </w:r>
      </w:hyperlink>
    </w:p>
    <w:p w14:paraId="55C1FD53"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Prus, P. and Sikora, M. (2021). The Impact of Transport Infrastructure on the Sustainable Development of the Region—Case Study. </w:t>
      </w:r>
      <w:r w:rsidRPr="008E1D10">
        <w:rPr>
          <w:rFonts w:asciiTheme="majorBidi" w:hAnsiTheme="majorBidi" w:cstheme="majorBidi"/>
          <w:i/>
          <w:iCs/>
        </w:rPr>
        <w:t>Agriculture</w:t>
      </w:r>
      <w:r w:rsidRPr="008E1D10">
        <w:rPr>
          <w:rFonts w:asciiTheme="majorBidi" w:hAnsiTheme="majorBidi" w:cstheme="majorBidi"/>
        </w:rPr>
        <w:t>, 11(4), p.279.</w:t>
      </w:r>
    </w:p>
    <w:p w14:paraId="0E203E29"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Brena, R., Vazquez-Nava, A., Nolazco, J.A., Icaza, J.I. and Fangmeyer, J.A. (2023). Formal Verification of a Change Control Process in Project Management. </w:t>
      </w:r>
      <w:proofErr w:type="spellStart"/>
      <w:r w:rsidRPr="008E1D10">
        <w:rPr>
          <w:rFonts w:asciiTheme="majorBidi" w:hAnsiTheme="majorBidi" w:cstheme="majorBidi"/>
          <w:i/>
          <w:iCs/>
        </w:rPr>
        <w:t>Qeios</w:t>
      </w:r>
      <w:proofErr w:type="spellEnd"/>
      <w:r w:rsidRPr="008E1D10">
        <w:rPr>
          <w:rFonts w:asciiTheme="majorBidi" w:hAnsiTheme="majorBidi" w:cstheme="majorBidi"/>
        </w:rPr>
        <w:t xml:space="preserve">. [online] </w:t>
      </w:r>
      <w:proofErr w:type="spellStart"/>
      <w:r w:rsidRPr="008E1D10">
        <w:rPr>
          <w:rFonts w:asciiTheme="majorBidi" w:hAnsiTheme="majorBidi" w:cstheme="majorBidi"/>
        </w:rPr>
        <w:t>doi:https</w:t>
      </w:r>
      <w:proofErr w:type="spellEnd"/>
      <w:r w:rsidRPr="008E1D10">
        <w:rPr>
          <w:rFonts w:asciiTheme="majorBidi" w:hAnsiTheme="majorBidi" w:cstheme="majorBidi"/>
        </w:rPr>
        <w:t>://doi.org/10.32388/KD99XX.</w:t>
      </w:r>
    </w:p>
    <w:p w14:paraId="05FD58AE"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Asana (2024). </w:t>
      </w:r>
      <w:r w:rsidRPr="008E1D10">
        <w:rPr>
          <w:rFonts w:asciiTheme="majorBidi" w:hAnsiTheme="majorBidi" w:cstheme="majorBidi"/>
          <w:i/>
          <w:iCs/>
        </w:rPr>
        <w:t>Scope Management Plan: What Is It and How To Create One • Asana</w:t>
      </w:r>
      <w:r w:rsidRPr="008E1D10">
        <w:rPr>
          <w:rFonts w:asciiTheme="majorBidi" w:hAnsiTheme="majorBidi" w:cstheme="majorBidi"/>
        </w:rPr>
        <w:t xml:space="preserve">. [online] Asana. Available at: </w:t>
      </w:r>
      <w:hyperlink r:id="rId26" w:history="1">
        <w:r w:rsidRPr="008E1D10">
          <w:rPr>
            <w:rStyle w:val="Hyperlink"/>
            <w:rFonts w:asciiTheme="majorBidi" w:hAnsiTheme="majorBidi" w:cstheme="majorBidi"/>
          </w:rPr>
          <w:t>https://asana.com/resources/scope-management-plan</w:t>
        </w:r>
      </w:hyperlink>
    </w:p>
    <w:p w14:paraId="633FBE03"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Webster, F.M. (1994). </w:t>
      </w:r>
      <w:r w:rsidRPr="008E1D10">
        <w:rPr>
          <w:rFonts w:asciiTheme="majorBidi" w:hAnsiTheme="majorBidi" w:cstheme="majorBidi"/>
          <w:i/>
          <w:iCs/>
        </w:rPr>
        <w:t>Work Breakdown Structure (WBS) - Basic Principles</w:t>
      </w:r>
      <w:r w:rsidRPr="008E1D10">
        <w:rPr>
          <w:rFonts w:asciiTheme="majorBidi" w:hAnsiTheme="majorBidi" w:cstheme="majorBidi"/>
        </w:rPr>
        <w:t xml:space="preserve">. [online] www.pmi.org. Available at: </w:t>
      </w:r>
      <w:hyperlink r:id="rId27" w:history="1">
        <w:r w:rsidRPr="008E1D10">
          <w:rPr>
            <w:rStyle w:val="Hyperlink"/>
            <w:rFonts w:asciiTheme="majorBidi" w:hAnsiTheme="majorBidi" w:cstheme="majorBidi"/>
          </w:rPr>
          <w:t>https://www.pmi.org/learning/library/work-breakdown-structure-basic-principles-4883</w:t>
        </w:r>
      </w:hyperlink>
    </w:p>
    <w:p w14:paraId="1F6958C7"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Burghate</w:t>
      </w:r>
      <w:proofErr w:type="spellEnd"/>
      <w:r w:rsidRPr="008E1D10">
        <w:rPr>
          <w:rFonts w:asciiTheme="majorBidi" w:hAnsiTheme="majorBidi" w:cstheme="majorBidi"/>
        </w:rPr>
        <w:t>, M. (2018). </w:t>
      </w:r>
      <w:r w:rsidRPr="008E1D10">
        <w:rPr>
          <w:rFonts w:asciiTheme="majorBidi" w:hAnsiTheme="majorBidi" w:cstheme="majorBidi"/>
          <w:i/>
          <w:iCs/>
        </w:rPr>
        <w:t>Work Breakdown Structure: Simplifying Project Management</w:t>
      </w:r>
      <w:r w:rsidRPr="008E1D10">
        <w:rPr>
          <w:rFonts w:asciiTheme="majorBidi" w:hAnsiTheme="majorBidi" w:cstheme="majorBidi"/>
        </w:rPr>
        <w:t xml:space="preserve">. [online] International Journal of Commerce and Management Studies. Available at: </w:t>
      </w:r>
      <w:hyperlink r:id="rId28" w:history="1">
        <w:r w:rsidRPr="008E1D10">
          <w:rPr>
            <w:rStyle w:val="Hyperlink"/>
            <w:rFonts w:asciiTheme="majorBidi" w:hAnsiTheme="majorBidi" w:cstheme="majorBidi"/>
          </w:rPr>
          <w:t>https://www.researchgate.net/publication/345762461_Work_Breakdown_Structure_Simplifying_Project_Management</w:t>
        </w:r>
      </w:hyperlink>
    </w:p>
    <w:p w14:paraId="277F7C0C"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Margret, O., Emily, T. and Annamary, N. (2026). Gantt chart for the project. </w:t>
      </w:r>
      <w:r w:rsidRPr="008E1D10">
        <w:rPr>
          <w:rFonts w:asciiTheme="majorBidi" w:hAnsiTheme="majorBidi" w:cstheme="majorBidi"/>
          <w:i/>
          <w:iCs/>
        </w:rPr>
        <w:t>ResearchGate</w:t>
      </w:r>
      <w:r w:rsidRPr="008E1D10">
        <w:rPr>
          <w:rFonts w:asciiTheme="majorBidi" w:hAnsiTheme="majorBidi" w:cstheme="majorBidi"/>
        </w:rPr>
        <w:t xml:space="preserve">. [online]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://doi.org/10.13140/RG.2.2.36237.19681.</w:t>
      </w:r>
    </w:p>
    <w:p w14:paraId="60C6A336"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Sima, K. (2022). </w:t>
      </w:r>
      <w:r w:rsidRPr="008E1D10">
        <w:rPr>
          <w:rFonts w:asciiTheme="majorBidi" w:hAnsiTheme="majorBidi" w:cstheme="majorBidi"/>
          <w:i/>
          <w:iCs/>
        </w:rPr>
        <w:t>Initiating a Project, the right way</w:t>
      </w:r>
      <w:r w:rsidRPr="008E1D10">
        <w:rPr>
          <w:rFonts w:asciiTheme="majorBidi" w:hAnsiTheme="majorBidi" w:cstheme="majorBidi"/>
        </w:rPr>
        <w:t xml:space="preserve">. [online] ResearchGate. Available at: </w:t>
      </w:r>
      <w:hyperlink r:id="rId29" w:history="1">
        <w:r w:rsidRPr="008E1D10">
          <w:rPr>
            <w:rStyle w:val="Hyperlink"/>
            <w:rFonts w:asciiTheme="majorBidi" w:hAnsiTheme="majorBidi" w:cstheme="majorBidi"/>
          </w:rPr>
          <w:t>https://www.researchgate.net/publication/362176085_Initiating_a_Project_the_right_way</w:t>
        </w:r>
      </w:hyperlink>
    </w:p>
    <w:p w14:paraId="3F703A11"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PM (2024). </w:t>
      </w:r>
      <w:r w:rsidRPr="008E1D10">
        <w:rPr>
          <w:rFonts w:asciiTheme="majorBidi" w:hAnsiTheme="majorBidi" w:cstheme="majorBidi"/>
          <w:i/>
          <w:iCs/>
        </w:rPr>
        <w:t>Critical Path Method</w:t>
      </w:r>
      <w:r w:rsidRPr="008E1D10">
        <w:rPr>
          <w:rFonts w:asciiTheme="majorBidi" w:hAnsiTheme="majorBidi" w:cstheme="majorBidi"/>
        </w:rPr>
        <w:t xml:space="preserve">. [online] ProjectManager. Available at: </w:t>
      </w:r>
      <w:hyperlink r:id="rId30" w:history="1">
        <w:r w:rsidRPr="008E1D10">
          <w:rPr>
            <w:rStyle w:val="Hyperlink"/>
            <w:rFonts w:asciiTheme="majorBidi" w:hAnsiTheme="majorBidi" w:cstheme="majorBidi"/>
          </w:rPr>
          <w:t>https://www.projectmanager.com/guides/critical-path-method</w:t>
        </w:r>
      </w:hyperlink>
    </w:p>
    <w:p w14:paraId="4F7063C9"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Vogwell</w:t>
      </w:r>
      <w:proofErr w:type="spellEnd"/>
      <w:r w:rsidRPr="008E1D10">
        <w:rPr>
          <w:rFonts w:asciiTheme="majorBidi" w:hAnsiTheme="majorBidi" w:cstheme="majorBidi"/>
        </w:rPr>
        <w:t>, D. (2003). </w:t>
      </w:r>
      <w:r w:rsidRPr="008E1D10">
        <w:rPr>
          <w:rFonts w:asciiTheme="majorBidi" w:hAnsiTheme="majorBidi" w:cstheme="majorBidi"/>
          <w:i/>
          <w:iCs/>
        </w:rPr>
        <w:t>Stakeholder management</w:t>
      </w:r>
      <w:r w:rsidRPr="008E1D10">
        <w:rPr>
          <w:rFonts w:asciiTheme="majorBidi" w:hAnsiTheme="majorBidi" w:cstheme="majorBidi"/>
        </w:rPr>
        <w:t xml:space="preserve">. [online] Project Management Institute. Available at: </w:t>
      </w:r>
      <w:hyperlink r:id="rId31" w:history="1">
        <w:r w:rsidRPr="008E1D10">
          <w:rPr>
            <w:rStyle w:val="Hyperlink"/>
            <w:rFonts w:asciiTheme="majorBidi" w:hAnsiTheme="majorBidi" w:cstheme="majorBidi"/>
          </w:rPr>
          <w:t>https://www.pmi.org/learning/library/stakeholder-management-task-project-success-7736</w:t>
        </w:r>
      </w:hyperlink>
    </w:p>
    <w:p w14:paraId="25B0E60B"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Minois</w:t>
      </w:r>
      <w:proofErr w:type="spellEnd"/>
      <w:r w:rsidRPr="008E1D10">
        <w:rPr>
          <w:rFonts w:asciiTheme="majorBidi" w:hAnsiTheme="majorBidi" w:cstheme="majorBidi"/>
        </w:rPr>
        <w:t>, N. (2023). </w:t>
      </w:r>
      <w:r w:rsidRPr="008E1D10">
        <w:rPr>
          <w:rFonts w:asciiTheme="majorBidi" w:hAnsiTheme="majorBidi" w:cstheme="majorBidi"/>
          <w:i/>
          <w:iCs/>
        </w:rPr>
        <w:t>The Importance of Communication in Project Management</w:t>
      </w:r>
      <w:r w:rsidRPr="008E1D10">
        <w:rPr>
          <w:rFonts w:asciiTheme="majorBidi" w:hAnsiTheme="majorBidi" w:cstheme="majorBidi"/>
        </w:rPr>
        <w:t xml:space="preserve">. [online] Institute of Project Management. Available at: </w:t>
      </w:r>
      <w:hyperlink r:id="rId32" w:history="1">
        <w:r w:rsidRPr="008E1D10">
          <w:rPr>
            <w:rStyle w:val="Hyperlink"/>
            <w:rFonts w:asciiTheme="majorBidi" w:hAnsiTheme="majorBidi" w:cstheme="majorBidi"/>
          </w:rPr>
          <w:t>https://instituteprojectmanagement.com/fr/blog/the-crucial-role-of-communication-in-project-management/</w:t>
        </w:r>
      </w:hyperlink>
    </w:p>
    <w:p w14:paraId="0E760D8A"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Reddy, R. (2023). </w:t>
      </w:r>
      <w:r w:rsidRPr="008E1D10">
        <w:rPr>
          <w:rFonts w:asciiTheme="majorBidi" w:hAnsiTheme="majorBidi" w:cstheme="majorBidi"/>
          <w:i/>
          <w:iCs/>
        </w:rPr>
        <w:t>Effective Communication Strategies for Stakeholder Engagement</w:t>
      </w:r>
      <w:r w:rsidRPr="008E1D10">
        <w:rPr>
          <w:rFonts w:asciiTheme="majorBidi" w:hAnsiTheme="majorBidi" w:cstheme="majorBidi"/>
        </w:rPr>
        <w:t xml:space="preserve">. [online] </w:t>
      </w:r>
      <w:proofErr w:type="spellStart"/>
      <w:r w:rsidRPr="008E1D10">
        <w:rPr>
          <w:rFonts w:asciiTheme="majorBidi" w:hAnsiTheme="majorBidi" w:cstheme="majorBidi"/>
        </w:rPr>
        <w:t>Researchgate</w:t>
      </w:r>
      <w:proofErr w:type="spellEnd"/>
      <w:r w:rsidRPr="008E1D10">
        <w:rPr>
          <w:rFonts w:asciiTheme="majorBidi" w:hAnsiTheme="majorBidi" w:cstheme="majorBidi"/>
        </w:rPr>
        <w:t xml:space="preserve">.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://doi.org/10.13140/RG.2.2.13590.36162.</w:t>
      </w:r>
    </w:p>
    <w:p w14:paraId="61F21CEE"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Ahsun</w:t>
      </w:r>
      <w:proofErr w:type="spellEnd"/>
      <w:r w:rsidRPr="008E1D10">
        <w:rPr>
          <w:rFonts w:asciiTheme="majorBidi" w:hAnsiTheme="majorBidi" w:cstheme="majorBidi"/>
        </w:rPr>
        <w:t>, A. and Elly, B. (2024). </w:t>
      </w:r>
      <w:r w:rsidRPr="008E1D10">
        <w:rPr>
          <w:rFonts w:asciiTheme="majorBidi" w:hAnsiTheme="majorBidi" w:cstheme="majorBidi"/>
          <w:i/>
          <w:iCs/>
        </w:rPr>
        <w:t>Optimizing Resource Allocation for Enhanced Project Efficiency</w:t>
      </w:r>
      <w:r w:rsidRPr="008E1D10">
        <w:rPr>
          <w:rFonts w:asciiTheme="majorBidi" w:hAnsiTheme="majorBidi" w:cstheme="majorBidi"/>
        </w:rPr>
        <w:t xml:space="preserve">. [online] ResearchGate. Available at: </w:t>
      </w:r>
      <w:hyperlink r:id="rId33" w:history="1">
        <w:r w:rsidRPr="008E1D10">
          <w:rPr>
            <w:rStyle w:val="Hyperlink"/>
            <w:rFonts w:asciiTheme="majorBidi" w:hAnsiTheme="majorBidi" w:cstheme="majorBidi"/>
          </w:rPr>
          <w:t>https://www.researchgate.net/publication/385560767_Optimizing_Resource_Allocation_for_Enhanced_Project_Efficiency</w:t>
        </w:r>
      </w:hyperlink>
    </w:p>
    <w:p w14:paraId="204CC056"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Branco, L. (2019). </w:t>
      </w:r>
      <w:r w:rsidRPr="008E1D10">
        <w:rPr>
          <w:rFonts w:asciiTheme="majorBidi" w:hAnsiTheme="majorBidi" w:cstheme="majorBidi"/>
          <w:i/>
          <w:iCs/>
        </w:rPr>
        <w:t>Resource leveling</w:t>
      </w:r>
      <w:r w:rsidRPr="008E1D10">
        <w:rPr>
          <w:rFonts w:asciiTheme="majorBidi" w:hAnsiTheme="majorBidi" w:cstheme="majorBidi"/>
        </w:rPr>
        <w:t xml:space="preserve">. [online] Projectmanagement.com. Available at: </w:t>
      </w:r>
      <w:hyperlink r:id="rId34" w:anchor="_" w:history="1">
        <w:r w:rsidRPr="008E1D10">
          <w:rPr>
            <w:rStyle w:val="Hyperlink"/>
            <w:rFonts w:asciiTheme="majorBidi" w:hAnsiTheme="majorBidi" w:cstheme="majorBidi"/>
          </w:rPr>
          <w:t>https://www.projectmanagement.com/wikis/351458/resource-leveling#_</w:t>
        </w:r>
      </w:hyperlink>
    </w:p>
    <w:p w14:paraId="3B7B6FF8"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 xml:space="preserve">Atapattu, C., Domingo, N. and </w:t>
      </w:r>
      <w:proofErr w:type="spellStart"/>
      <w:r w:rsidRPr="008E1D10">
        <w:rPr>
          <w:rFonts w:asciiTheme="majorBidi" w:hAnsiTheme="majorBidi" w:cstheme="majorBidi"/>
        </w:rPr>
        <w:t>Sutrisna</w:t>
      </w:r>
      <w:proofErr w:type="spellEnd"/>
      <w:r w:rsidRPr="008E1D10">
        <w:rPr>
          <w:rFonts w:asciiTheme="majorBidi" w:hAnsiTheme="majorBidi" w:cstheme="majorBidi"/>
        </w:rPr>
        <w:t>, M. (2023). </w:t>
      </w:r>
      <w:r w:rsidRPr="008E1D10">
        <w:rPr>
          <w:rFonts w:asciiTheme="majorBidi" w:hAnsiTheme="majorBidi" w:cstheme="majorBidi"/>
          <w:i/>
          <w:iCs/>
        </w:rPr>
        <w:t>Causes and Effects of Cost Overruns in Construction Projects</w:t>
      </w:r>
      <w:r w:rsidRPr="008E1D10">
        <w:rPr>
          <w:rFonts w:asciiTheme="majorBidi" w:hAnsiTheme="majorBidi" w:cstheme="majorBidi"/>
        </w:rPr>
        <w:t xml:space="preserve">. [online] ResearchGate. Available at: </w:t>
      </w:r>
      <w:hyperlink r:id="rId35" w:history="1">
        <w:r w:rsidRPr="008E1D10">
          <w:rPr>
            <w:rStyle w:val="Hyperlink"/>
            <w:rFonts w:asciiTheme="majorBidi" w:hAnsiTheme="majorBidi" w:cstheme="majorBidi"/>
          </w:rPr>
          <w:t>https://www.researchgate.net/publication/366897935_Causes_and_Effects_of_Cost_Overruns_in_Construction_Projects</w:t>
        </w:r>
      </w:hyperlink>
    </w:p>
    <w:p w14:paraId="098356F0" w14:textId="77777777" w:rsidR="004701E6" w:rsidRPr="008E1D10" w:rsidRDefault="004701E6" w:rsidP="008E1D10">
      <w:pPr>
        <w:spacing w:after="200" w:line="360" w:lineRule="auto"/>
        <w:jc w:val="both"/>
        <w:rPr>
          <w:rFonts w:asciiTheme="majorBidi" w:hAnsiTheme="majorBidi" w:cstheme="majorBidi"/>
        </w:rPr>
      </w:pPr>
      <w:proofErr w:type="spellStart"/>
      <w:r w:rsidRPr="008E1D10">
        <w:rPr>
          <w:rFonts w:asciiTheme="majorBidi" w:hAnsiTheme="majorBidi" w:cstheme="majorBidi"/>
        </w:rPr>
        <w:t>Daoud</w:t>
      </w:r>
      <w:proofErr w:type="spellEnd"/>
      <w:r w:rsidRPr="008E1D10">
        <w:rPr>
          <w:rFonts w:asciiTheme="majorBidi" w:hAnsiTheme="majorBidi" w:cstheme="majorBidi"/>
        </w:rPr>
        <w:t xml:space="preserve">, A.O., </w:t>
      </w:r>
      <w:proofErr w:type="spellStart"/>
      <w:r w:rsidRPr="008E1D10">
        <w:rPr>
          <w:rFonts w:asciiTheme="majorBidi" w:hAnsiTheme="majorBidi" w:cstheme="majorBidi"/>
        </w:rPr>
        <w:t>Hefnawy</w:t>
      </w:r>
      <w:proofErr w:type="spellEnd"/>
      <w:r w:rsidRPr="008E1D10">
        <w:rPr>
          <w:rFonts w:asciiTheme="majorBidi" w:hAnsiTheme="majorBidi" w:cstheme="majorBidi"/>
        </w:rPr>
        <w:t xml:space="preserve">, M.E. and </w:t>
      </w:r>
      <w:proofErr w:type="spellStart"/>
      <w:r w:rsidRPr="008E1D10">
        <w:rPr>
          <w:rFonts w:asciiTheme="majorBidi" w:hAnsiTheme="majorBidi" w:cstheme="majorBidi"/>
        </w:rPr>
        <w:t>Wefki</w:t>
      </w:r>
      <w:proofErr w:type="spellEnd"/>
      <w:r w:rsidRPr="008E1D10">
        <w:rPr>
          <w:rFonts w:asciiTheme="majorBidi" w:hAnsiTheme="majorBidi" w:cstheme="majorBidi"/>
        </w:rPr>
        <w:t xml:space="preserve">, H. (2023). Investigation of critical factors affecting cost overruns and delays in Egyptian </w:t>
      </w:r>
      <w:proofErr w:type="spellStart"/>
      <w:r w:rsidRPr="008E1D10">
        <w:rPr>
          <w:rFonts w:asciiTheme="majorBidi" w:hAnsiTheme="majorBidi" w:cstheme="majorBidi"/>
        </w:rPr>
        <w:t>megaconstruction</w:t>
      </w:r>
      <w:proofErr w:type="spellEnd"/>
      <w:r w:rsidRPr="008E1D10">
        <w:rPr>
          <w:rFonts w:asciiTheme="majorBidi" w:hAnsiTheme="majorBidi" w:cstheme="majorBidi"/>
        </w:rPr>
        <w:t xml:space="preserve"> projects. </w:t>
      </w:r>
      <w:r w:rsidRPr="008E1D10">
        <w:rPr>
          <w:rFonts w:asciiTheme="majorBidi" w:hAnsiTheme="majorBidi" w:cstheme="majorBidi"/>
          <w:i/>
          <w:iCs/>
        </w:rPr>
        <w:t>Alexandria Engineering Journal</w:t>
      </w:r>
      <w:r w:rsidRPr="008E1D10">
        <w:rPr>
          <w:rFonts w:asciiTheme="majorBidi" w:hAnsiTheme="majorBidi" w:cstheme="majorBidi"/>
        </w:rPr>
        <w:t xml:space="preserve">, 83, pp.326–334.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://doi.org/10.1016/j.aej.2023.10.052.</w:t>
      </w:r>
    </w:p>
    <w:p w14:paraId="0EAAE080"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lang w:val="it-IT"/>
        </w:rPr>
        <w:t xml:space="preserve">Amini, S., Rezvani, A., Tabassi, M. and Malek Sadati, S.S. (2022). </w:t>
      </w:r>
      <w:r w:rsidRPr="008E1D10">
        <w:rPr>
          <w:rFonts w:asciiTheme="majorBidi" w:hAnsiTheme="majorBidi" w:cstheme="majorBidi"/>
        </w:rPr>
        <w:t>Causes of cost overruns in building construction projects in Asian countries; Iran as a case study. </w:t>
      </w:r>
      <w:r w:rsidRPr="008E1D10">
        <w:rPr>
          <w:rFonts w:asciiTheme="majorBidi" w:hAnsiTheme="majorBidi" w:cstheme="majorBidi"/>
          <w:i/>
          <w:iCs/>
        </w:rPr>
        <w:t>Engineering, Construction and Architectural Management</w:t>
      </w:r>
      <w:r w:rsidRPr="008E1D10">
        <w:rPr>
          <w:rFonts w:asciiTheme="majorBidi" w:hAnsiTheme="majorBidi" w:cstheme="majorBidi"/>
        </w:rPr>
        <w:t xml:space="preserve">, 30(7). </w:t>
      </w:r>
      <w:proofErr w:type="spellStart"/>
      <w:r w:rsidRPr="008E1D10">
        <w:rPr>
          <w:rFonts w:asciiTheme="majorBidi" w:hAnsiTheme="majorBidi" w:cstheme="majorBidi"/>
        </w:rPr>
        <w:t>doi:https</w:t>
      </w:r>
      <w:proofErr w:type="spellEnd"/>
      <w:r w:rsidRPr="008E1D10">
        <w:rPr>
          <w:rFonts w:asciiTheme="majorBidi" w:hAnsiTheme="majorBidi" w:cstheme="majorBidi"/>
        </w:rPr>
        <w:t>://doi.org/10.1108/ecam-05-2021-0445.</w:t>
      </w:r>
    </w:p>
    <w:p w14:paraId="4C734187" w14:textId="77777777" w:rsidR="004701E6" w:rsidRPr="008E1D10" w:rsidRDefault="004701E6" w:rsidP="008E1D10">
      <w:pPr>
        <w:spacing w:after="200" w:line="360" w:lineRule="auto"/>
        <w:jc w:val="both"/>
        <w:rPr>
          <w:rFonts w:asciiTheme="majorBidi" w:hAnsiTheme="majorBidi" w:cstheme="majorBidi"/>
        </w:rPr>
      </w:pPr>
      <w:r w:rsidRPr="008E1D10">
        <w:rPr>
          <w:rFonts w:asciiTheme="majorBidi" w:hAnsiTheme="majorBidi" w:cstheme="majorBidi"/>
        </w:rPr>
        <w:t>ISO (2018). </w:t>
      </w:r>
      <w:r w:rsidRPr="008E1D10">
        <w:rPr>
          <w:rFonts w:asciiTheme="majorBidi" w:hAnsiTheme="majorBidi" w:cstheme="majorBidi"/>
          <w:i/>
          <w:iCs/>
        </w:rPr>
        <w:t>ISO 31000:2018 Risk management — Guidelines</w:t>
      </w:r>
      <w:r w:rsidRPr="008E1D10">
        <w:rPr>
          <w:rFonts w:asciiTheme="majorBidi" w:hAnsiTheme="majorBidi" w:cstheme="majorBidi"/>
        </w:rPr>
        <w:t xml:space="preserve">. [online] ISO. Available at: </w:t>
      </w:r>
      <w:hyperlink r:id="rId36" w:history="1">
        <w:r w:rsidRPr="008E1D10">
          <w:rPr>
            <w:rStyle w:val="Hyperlink"/>
            <w:rFonts w:asciiTheme="majorBidi" w:hAnsiTheme="majorBidi" w:cstheme="majorBidi"/>
          </w:rPr>
          <w:t>https://www.iso.org/standard/65694.html</w:t>
        </w:r>
      </w:hyperlink>
    </w:p>
    <w:sectPr w:rsidR="004701E6" w:rsidRPr="008E1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MT">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7838B9"/>
    <w:multiLevelType w:val="hybridMultilevel"/>
    <w:tmpl w:val="99FCFE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C66805"/>
    <w:multiLevelType w:val="multilevel"/>
    <w:tmpl w:val="975C4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C17BB0"/>
    <w:multiLevelType w:val="multilevel"/>
    <w:tmpl w:val="CE0A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315FD"/>
    <w:multiLevelType w:val="multilevel"/>
    <w:tmpl w:val="7432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F43C1C"/>
    <w:multiLevelType w:val="hybridMultilevel"/>
    <w:tmpl w:val="5E0A27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EEC19A2"/>
    <w:multiLevelType w:val="multilevel"/>
    <w:tmpl w:val="0FE0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22215">
    <w:abstractNumId w:val="1"/>
  </w:num>
  <w:num w:numId="2" w16cid:durableId="895121952">
    <w:abstractNumId w:val="3"/>
  </w:num>
  <w:num w:numId="3" w16cid:durableId="1641576976">
    <w:abstractNumId w:val="2"/>
  </w:num>
  <w:num w:numId="4" w16cid:durableId="283580654">
    <w:abstractNumId w:val="5"/>
  </w:num>
  <w:num w:numId="5" w16cid:durableId="747918496">
    <w:abstractNumId w:val="0"/>
  </w:num>
  <w:num w:numId="6" w16cid:durableId="162562090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FF2"/>
    <w:rsid w:val="00037E53"/>
    <w:rsid w:val="00041AFD"/>
    <w:rsid w:val="00085B52"/>
    <w:rsid w:val="000C7F5A"/>
    <w:rsid w:val="001141C7"/>
    <w:rsid w:val="0015727E"/>
    <w:rsid w:val="00196376"/>
    <w:rsid w:val="002B2870"/>
    <w:rsid w:val="002E64F5"/>
    <w:rsid w:val="0031779D"/>
    <w:rsid w:val="00353067"/>
    <w:rsid w:val="0040103A"/>
    <w:rsid w:val="004605EC"/>
    <w:rsid w:val="004701E6"/>
    <w:rsid w:val="004B1FF2"/>
    <w:rsid w:val="004F5CBB"/>
    <w:rsid w:val="0062430B"/>
    <w:rsid w:val="006645D9"/>
    <w:rsid w:val="00674FF3"/>
    <w:rsid w:val="007E3FA7"/>
    <w:rsid w:val="008E1D10"/>
    <w:rsid w:val="008E1E71"/>
    <w:rsid w:val="00962850"/>
    <w:rsid w:val="0099097A"/>
    <w:rsid w:val="009B1893"/>
    <w:rsid w:val="00A32213"/>
    <w:rsid w:val="00A565ED"/>
    <w:rsid w:val="00A75159"/>
    <w:rsid w:val="00AE3476"/>
    <w:rsid w:val="00B21333"/>
    <w:rsid w:val="00B67CCA"/>
    <w:rsid w:val="00BF6670"/>
    <w:rsid w:val="00C43F6D"/>
    <w:rsid w:val="00C65ED0"/>
    <w:rsid w:val="00CC67CD"/>
    <w:rsid w:val="00D14912"/>
    <w:rsid w:val="00D17F72"/>
    <w:rsid w:val="00D50806"/>
    <w:rsid w:val="00DA428A"/>
    <w:rsid w:val="00DD28AC"/>
    <w:rsid w:val="00E549F8"/>
    <w:rsid w:val="00F63910"/>
    <w:rsid w:val="00F64885"/>
    <w:rsid w:val="00FB1D0E"/>
    <w:rsid w:val="00FB4448"/>
    <w:rsid w:val="00FC16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A8F9B"/>
  <w15:chartTrackingRefBased/>
  <w15:docId w15:val="{E32FA2FA-2DF4-40A7-A171-BB1474EFF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FF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B1FF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B1FF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B1FF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B1FF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B1F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F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F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F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FF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B1FF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B1FF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B1FF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B1FF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B1F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F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F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FF2"/>
    <w:rPr>
      <w:rFonts w:eastAsiaTheme="majorEastAsia" w:cstheme="majorBidi"/>
      <w:color w:val="272727" w:themeColor="text1" w:themeTint="D8"/>
    </w:rPr>
  </w:style>
  <w:style w:type="paragraph" w:styleId="Title">
    <w:name w:val="Title"/>
    <w:basedOn w:val="Normal"/>
    <w:next w:val="Normal"/>
    <w:link w:val="TitleChar"/>
    <w:uiPriority w:val="10"/>
    <w:qFormat/>
    <w:rsid w:val="004B1F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F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F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F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FF2"/>
    <w:pPr>
      <w:spacing w:before="160"/>
      <w:jc w:val="center"/>
    </w:pPr>
    <w:rPr>
      <w:i/>
      <w:iCs/>
      <w:color w:val="404040" w:themeColor="text1" w:themeTint="BF"/>
    </w:rPr>
  </w:style>
  <w:style w:type="character" w:customStyle="1" w:styleId="QuoteChar">
    <w:name w:val="Quote Char"/>
    <w:basedOn w:val="DefaultParagraphFont"/>
    <w:link w:val="Quote"/>
    <w:uiPriority w:val="29"/>
    <w:rsid w:val="004B1FF2"/>
    <w:rPr>
      <w:i/>
      <w:iCs/>
      <w:color w:val="404040" w:themeColor="text1" w:themeTint="BF"/>
    </w:rPr>
  </w:style>
  <w:style w:type="paragraph" w:styleId="ListParagraph">
    <w:name w:val="List Paragraph"/>
    <w:basedOn w:val="Normal"/>
    <w:uiPriority w:val="34"/>
    <w:qFormat/>
    <w:rsid w:val="004B1FF2"/>
    <w:pPr>
      <w:ind w:left="720"/>
      <w:contextualSpacing/>
    </w:pPr>
  </w:style>
  <w:style w:type="character" w:styleId="IntenseEmphasis">
    <w:name w:val="Intense Emphasis"/>
    <w:basedOn w:val="DefaultParagraphFont"/>
    <w:uiPriority w:val="21"/>
    <w:qFormat/>
    <w:rsid w:val="004B1FF2"/>
    <w:rPr>
      <w:i/>
      <w:iCs/>
      <w:color w:val="2E74B5" w:themeColor="accent1" w:themeShade="BF"/>
    </w:rPr>
  </w:style>
  <w:style w:type="paragraph" w:styleId="IntenseQuote">
    <w:name w:val="Intense Quote"/>
    <w:basedOn w:val="Normal"/>
    <w:next w:val="Normal"/>
    <w:link w:val="IntenseQuoteChar"/>
    <w:uiPriority w:val="30"/>
    <w:qFormat/>
    <w:rsid w:val="004B1FF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B1FF2"/>
    <w:rPr>
      <w:i/>
      <w:iCs/>
      <w:color w:val="2E74B5" w:themeColor="accent1" w:themeShade="BF"/>
    </w:rPr>
  </w:style>
  <w:style w:type="character" w:styleId="IntenseReference">
    <w:name w:val="Intense Reference"/>
    <w:basedOn w:val="DefaultParagraphFont"/>
    <w:uiPriority w:val="32"/>
    <w:qFormat/>
    <w:rsid w:val="004B1FF2"/>
    <w:rPr>
      <w:b/>
      <w:bCs/>
      <w:smallCaps/>
      <w:color w:val="2E74B5" w:themeColor="accent1" w:themeShade="BF"/>
      <w:spacing w:val="5"/>
    </w:rPr>
  </w:style>
  <w:style w:type="character" w:styleId="Hyperlink">
    <w:name w:val="Hyperlink"/>
    <w:basedOn w:val="DefaultParagraphFont"/>
    <w:uiPriority w:val="99"/>
    <w:unhideWhenUsed/>
    <w:rsid w:val="00F63910"/>
    <w:rPr>
      <w:color w:val="0563C1" w:themeColor="hyperlink"/>
      <w:u w:val="single"/>
    </w:rPr>
  </w:style>
  <w:style w:type="character" w:customStyle="1" w:styleId="UnresolvedMention1">
    <w:name w:val="Unresolved Mention1"/>
    <w:basedOn w:val="DefaultParagraphFont"/>
    <w:uiPriority w:val="99"/>
    <w:semiHidden/>
    <w:unhideWhenUsed/>
    <w:rsid w:val="00F63910"/>
    <w:rPr>
      <w:color w:val="605E5C"/>
      <w:shd w:val="clear" w:color="auto" w:fill="E1DFDD"/>
    </w:rPr>
  </w:style>
  <w:style w:type="table" w:styleId="TableGrid">
    <w:name w:val="Table Grid"/>
    <w:basedOn w:val="TableNormal"/>
    <w:uiPriority w:val="39"/>
    <w:rsid w:val="00664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701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4701E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2E64F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A428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A428A"/>
    <w:pPr>
      <w:spacing w:after="100"/>
    </w:pPr>
  </w:style>
  <w:style w:type="paragraph" w:styleId="TableofFigures">
    <w:name w:val="table of figures"/>
    <w:basedOn w:val="Normal"/>
    <w:next w:val="Normal"/>
    <w:uiPriority w:val="99"/>
    <w:unhideWhenUsed/>
    <w:rsid w:val="004605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hyperlink" Target="https://asana.com/resources/scope-management-plan" TargetMode="External"/><Relationship Id="rId21" Type="http://schemas.openxmlformats.org/officeDocument/2006/relationships/hyperlink" Target="https://qualifynation.com/en-gb/guides/project-management/prince2-in-practice-7-principles-themes-processes/" TargetMode="External"/><Relationship Id="rId34" Type="http://schemas.openxmlformats.org/officeDocument/2006/relationships/hyperlink" Target="https://www.projectmanagement.com/wikis/351458/resource-leveling" TargetMode="External"/><Relationship Id="rId7" Type="http://schemas.openxmlformats.org/officeDocument/2006/relationships/image" Target="media/image2.svg"/><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hyperlink" Target="https://pm-library.com/project-planning/defining-scope-and-wbs/" TargetMode="External"/><Relationship Id="rId33" Type="http://schemas.openxmlformats.org/officeDocument/2006/relationships/hyperlink" Target="https://www.researchgate.net/publication/385560767_Optimizing_Resource_Allocation_for_Enhanced_Project_Efficienc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omnicom.digital/en/areas-of-interest/project-management-prince2-2/prince2-principles/" TargetMode="External"/><Relationship Id="rId29" Type="http://schemas.openxmlformats.org/officeDocument/2006/relationships/hyperlink" Target="https://www.researchgate.net/publication/362176085_Initiating_a_Project_the_right_wa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hyperlink" Target="https://www.pmi.org/learning/library/scope-management-9099" TargetMode="External"/><Relationship Id="rId32" Type="http://schemas.openxmlformats.org/officeDocument/2006/relationships/hyperlink" Target="https://instituteprojectmanagement.com/fr/blog/the-crucial-role-of-communication-in-project-managemen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xebrio.com/project-management-methodology/prince2-project-management/" TargetMode="External"/><Relationship Id="rId28" Type="http://schemas.openxmlformats.org/officeDocument/2006/relationships/hyperlink" Target="https://www.researchgate.net/publication/345762461_Work_Breakdown_Structure_Simplifying_Project_Management" TargetMode="External"/><Relationship Id="rId36" Type="http://schemas.openxmlformats.org/officeDocument/2006/relationships/hyperlink" Target="https://www.iso.org/standard/65694.html" TargetMode="Externa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hyperlink" Target="https://www.pmi.org/learning/library/stakeholder-management-task-project-success-7736"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hyperlink" Target="https://qualifynation.com/en-gb/guides/project-management/prince2-in-practice-7-principles-themes-processes/" TargetMode="External"/><Relationship Id="rId27" Type="http://schemas.openxmlformats.org/officeDocument/2006/relationships/hyperlink" Target="https://www.pmi.org/learning/library/work-breakdown-structure-basic-principles-4883" TargetMode="External"/><Relationship Id="rId30" Type="http://schemas.openxmlformats.org/officeDocument/2006/relationships/hyperlink" Target="https://www.projectmanager.com/guides/critical-path-method" TargetMode="External"/><Relationship Id="rId35" Type="http://schemas.openxmlformats.org/officeDocument/2006/relationships/hyperlink" Target="https://www.researchgate.net/publication/366897935_Causes_and_Effects_of_Cost_Overruns_in_Construction_Projects" TargetMode="External"/><Relationship Id="rId8" Type="http://schemas.openxmlformats.org/officeDocument/2006/relationships/image" Target="media/image3.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126174-A9E7-4944-AB62-88BA53BC6D3E}" type="doc">
      <dgm:prSet loTypeId="urn:microsoft.com/office/officeart/2005/8/layout/cycle8" loCatId="cycle" qsTypeId="urn:microsoft.com/office/officeart/2005/8/quickstyle/simple1" qsCatId="simple" csTypeId="urn:microsoft.com/office/officeart/2005/8/colors/colorful1" csCatId="colorful" phldr="1"/>
      <dgm:spPr/>
      <dgm:t>
        <a:bodyPr/>
        <a:lstStyle/>
        <a:p>
          <a:endParaRPr lang="en-US"/>
        </a:p>
      </dgm:t>
    </dgm:pt>
    <dgm:pt modelId="{CEB70C93-69BD-4329-B906-B2B8461077CD}">
      <dgm:prSet phldrT="[Text]" custT="1"/>
      <dgm:spPr/>
      <dgm:t>
        <a:bodyPr/>
        <a:lstStyle/>
        <a:p>
          <a:pPr algn="ctr"/>
          <a:r>
            <a:rPr lang="en-US" sz="700" b="1" dirty="0"/>
            <a:t>Stakeholders</a:t>
          </a:r>
          <a:endParaRPr lang="en-US" sz="700" dirty="0"/>
        </a:p>
        <a:p>
          <a:pPr algn="ctr"/>
          <a:r>
            <a:rPr lang="en-US" sz="700" dirty="0"/>
            <a:t>Local Authority</a:t>
          </a:r>
          <a:br>
            <a:rPr lang="en-US" sz="700" dirty="0"/>
          </a:br>
          <a:r>
            <a:rPr lang="en-US" sz="700" dirty="0"/>
            <a:t>Transport Operators</a:t>
          </a:r>
          <a:br>
            <a:rPr lang="en-US" sz="700" dirty="0"/>
          </a:br>
          <a:r>
            <a:rPr lang="en-US" sz="700" dirty="0"/>
            <a:t>Commuters</a:t>
          </a:r>
          <a:br>
            <a:rPr lang="en-US" sz="700" dirty="0"/>
          </a:br>
          <a:r>
            <a:rPr lang="en-US" sz="700" dirty="0"/>
            <a:t>Businesses</a:t>
          </a:r>
          <a:br>
            <a:rPr lang="en-US" sz="700" dirty="0"/>
          </a:br>
          <a:r>
            <a:rPr lang="en-US" sz="700" dirty="0"/>
            <a:t>Contractors</a:t>
          </a:r>
          <a:br>
            <a:rPr lang="en-US" sz="700" dirty="0"/>
          </a:br>
          <a:r>
            <a:rPr lang="en-US" sz="700" dirty="0"/>
            <a:t>Environmental Agencies</a:t>
          </a:r>
        </a:p>
      </dgm:t>
    </dgm:pt>
    <dgm:pt modelId="{1C8DD02B-C30F-45D2-A7B8-F67CB705646C}" type="parTrans" cxnId="{94EC4696-6F5E-44BD-95A1-8B96DC51E5A4}">
      <dgm:prSet/>
      <dgm:spPr/>
      <dgm:t>
        <a:bodyPr/>
        <a:lstStyle/>
        <a:p>
          <a:pPr algn="ctr"/>
          <a:endParaRPr lang="en-US"/>
        </a:p>
      </dgm:t>
    </dgm:pt>
    <dgm:pt modelId="{EAD66DE2-AC20-41F5-836B-8ABD4D9DD485}" type="sibTrans" cxnId="{94EC4696-6F5E-44BD-95A1-8B96DC51E5A4}">
      <dgm:prSet/>
      <dgm:spPr/>
      <dgm:t>
        <a:bodyPr/>
        <a:lstStyle/>
        <a:p>
          <a:pPr algn="ctr"/>
          <a:endParaRPr lang="en-US"/>
        </a:p>
      </dgm:t>
    </dgm:pt>
    <dgm:pt modelId="{46976AA3-EDD8-4352-AF73-A006A230205D}">
      <dgm:prSet phldrT="[Text]" custT="1"/>
      <dgm:spPr/>
      <dgm:t>
        <a:bodyPr/>
        <a:lstStyle/>
        <a:p>
          <a:pPr algn="ctr"/>
          <a:r>
            <a:rPr lang="en-US" sz="800" b="1" dirty="0"/>
            <a:t>Desired Results</a:t>
          </a:r>
          <a:endParaRPr lang="en-US" sz="800" dirty="0"/>
        </a:p>
        <a:p>
          <a:pPr algn="ctr"/>
          <a:r>
            <a:rPr lang="en-US" sz="800" dirty="0"/>
            <a:t>• Improved mobility.</a:t>
          </a:r>
          <a:br>
            <a:rPr lang="en-US" sz="800" dirty="0"/>
          </a:br>
          <a:r>
            <a:rPr lang="en-US" sz="800" dirty="0"/>
            <a:t>• Reduced congestion.</a:t>
          </a:r>
          <a:br>
            <a:rPr lang="en-US" sz="800" dirty="0"/>
          </a:br>
          <a:r>
            <a:rPr lang="en-US" sz="800" dirty="0"/>
            <a:t>• Economic </a:t>
          </a:r>
          <a:r>
            <a:rPr lang="en-US" sz="800" dirty="0" err="1"/>
            <a:t>revitalisation</a:t>
          </a:r>
          <a:r>
            <a:rPr lang="en-US" sz="800" dirty="0"/>
            <a:t>.</a:t>
          </a:r>
          <a:br>
            <a:rPr lang="en-US" sz="800" dirty="0"/>
          </a:br>
          <a:r>
            <a:rPr lang="en-US" sz="800" dirty="0"/>
            <a:t>• Enhanced accessibility.</a:t>
          </a:r>
        </a:p>
      </dgm:t>
    </dgm:pt>
    <dgm:pt modelId="{34EE58AB-B0EB-4FDA-BE0F-64085E482730}" type="parTrans" cxnId="{D9D4F443-EC64-4DE9-9803-19323B48B2CE}">
      <dgm:prSet/>
      <dgm:spPr/>
      <dgm:t>
        <a:bodyPr/>
        <a:lstStyle/>
        <a:p>
          <a:pPr algn="ctr"/>
          <a:endParaRPr lang="en-US"/>
        </a:p>
      </dgm:t>
    </dgm:pt>
    <dgm:pt modelId="{CA1FDB48-67EB-4CDA-8313-F484889158CD}" type="sibTrans" cxnId="{D9D4F443-EC64-4DE9-9803-19323B48B2CE}">
      <dgm:prSet/>
      <dgm:spPr/>
      <dgm:t>
        <a:bodyPr/>
        <a:lstStyle/>
        <a:p>
          <a:pPr algn="ctr"/>
          <a:endParaRPr lang="en-US"/>
        </a:p>
      </dgm:t>
    </dgm:pt>
    <dgm:pt modelId="{905A0D34-1F21-446D-8337-D7D880FAE991}">
      <dgm:prSet custT="1"/>
      <dgm:spPr/>
      <dgm:t>
        <a:bodyPr/>
        <a:lstStyle/>
        <a:p>
          <a:pPr algn="ctr"/>
          <a:r>
            <a:rPr lang="en-US" sz="800" b="1" dirty="0"/>
            <a:t>Measurements</a:t>
          </a:r>
          <a:br>
            <a:rPr lang="en-US" sz="800" b="1" dirty="0"/>
          </a:br>
          <a:r>
            <a:rPr lang="en-US" sz="800" dirty="0"/>
            <a:t>• Passenger capacity</a:t>
          </a:r>
          <a:br>
            <a:rPr lang="en-US" sz="800" dirty="0"/>
          </a:br>
          <a:r>
            <a:rPr lang="en-US" sz="800" dirty="0"/>
            <a:t>• Project completion time</a:t>
          </a:r>
          <a:br>
            <a:rPr lang="en-US" sz="800" dirty="0"/>
          </a:br>
          <a:r>
            <a:rPr lang="en-US" sz="800" dirty="0"/>
            <a:t>• Budget adherence</a:t>
          </a:r>
          <a:br>
            <a:rPr lang="en-US" sz="800" dirty="0"/>
          </a:br>
          <a:r>
            <a:rPr lang="en-US" sz="800" dirty="0"/>
            <a:t>• Customer satisfaction levels</a:t>
          </a:r>
        </a:p>
      </dgm:t>
    </dgm:pt>
    <dgm:pt modelId="{515B28AC-C43C-4868-8B18-55CC21A750A8}" type="parTrans" cxnId="{F9C6EF0A-02E1-442C-9A2A-2DB74CFF0D0F}">
      <dgm:prSet/>
      <dgm:spPr/>
      <dgm:t>
        <a:bodyPr/>
        <a:lstStyle/>
        <a:p>
          <a:pPr algn="ctr"/>
          <a:endParaRPr lang="en-US"/>
        </a:p>
      </dgm:t>
    </dgm:pt>
    <dgm:pt modelId="{D5EBC3AD-27C2-4B8D-84E5-6E2C5123F6A7}" type="sibTrans" cxnId="{F9C6EF0A-02E1-442C-9A2A-2DB74CFF0D0F}">
      <dgm:prSet/>
      <dgm:spPr/>
      <dgm:t>
        <a:bodyPr/>
        <a:lstStyle/>
        <a:p>
          <a:pPr algn="ctr"/>
          <a:endParaRPr lang="en-US"/>
        </a:p>
      </dgm:t>
    </dgm:pt>
    <dgm:pt modelId="{050C8926-5D6F-497C-A2FD-F98D3996C53C}">
      <dgm:prSet phldrT="[Text]" custT="1"/>
      <dgm:spPr/>
      <dgm:t>
        <a:bodyPr/>
        <a:lstStyle/>
        <a:p>
          <a:pPr marL="117475" indent="0" algn="ctr"/>
          <a:r>
            <a:rPr lang="en-US" sz="900" b="1" dirty="0"/>
            <a:t>Purpose</a:t>
          </a:r>
          <a:endParaRPr lang="en-US" sz="900" dirty="0"/>
        </a:p>
        <a:p>
          <a:pPr marL="117475" indent="0" algn="ctr"/>
          <a:r>
            <a:rPr lang="en-US" sz="900" dirty="0"/>
            <a:t>• Restore safe</a:t>
          </a:r>
          <a:br>
            <a:rPr lang="en-US" sz="900" dirty="0"/>
          </a:br>
          <a:r>
            <a:rPr lang="en-US" sz="900" dirty="0"/>
            <a:t>• Reliable</a:t>
          </a:r>
          <a:br>
            <a:rPr lang="en-US" sz="900" dirty="0"/>
          </a:br>
          <a:r>
            <a:rPr lang="en-US" sz="900" dirty="0"/>
            <a:t>• Efficient transport services</a:t>
          </a:r>
        </a:p>
      </dgm:t>
    </dgm:pt>
    <dgm:pt modelId="{046D0A4F-7E85-46EE-8ADC-74E7FC993D18}" type="sibTrans" cxnId="{3C9DDD42-7C59-4817-9EA8-31DA94ECC8A6}">
      <dgm:prSet/>
      <dgm:spPr/>
      <dgm:t>
        <a:bodyPr/>
        <a:lstStyle/>
        <a:p>
          <a:pPr algn="ctr"/>
          <a:endParaRPr lang="en-US"/>
        </a:p>
      </dgm:t>
    </dgm:pt>
    <dgm:pt modelId="{C90F461D-0BAB-4B7C-AAB8-9E4CB1C42B0B}" type="parTrans" cxnId="{3C9DDD42-7C59-4817-9EA8-31DA94ECC8A6}">
      <dgm:prSet/>
      <dgm:spPr/>
      <dgm:t>
        <a:bodyPr/>
        <a:lstStyle/>
        <a:p>
          <a:pPr algn="ctr"/>
          <a:endParaRPr lang="en-US"/>
        </a:p>
      </dgm:t>
    </dgm:pt>
    <dgm:pt modelId="{399FCBFA-03E5-48F8-93AA-615446616851}" type="pres">
      <dgm:prSet presAssocID="{FC126174-A9E7-4944-AB62-88BA53BC6D3E}" presName="compositeShape" presStyleCnt="0">
        <dgm:presLayoutVars>
          <dgm:chMax val="7"/>
          <dgm:dir/>
          <dgm:resizeHandles val="exact"/>
        </dgm:presLayoutVars>
      </dgm:prSet>
      <dgm:spPr/>
    </dgm:pt>
    <dgm:pt modelId="{7AA72AFC-9533-4745-B4A7-C371EE3303BC}" type="pres">
      <dgm:prSet presAssocID="{FC126174-A9E7-4944-AB62-88BA53BC6D3E}" presName="wedge1" presStyleLbl="node1" presStyleIdx="0" presStyleCnt="4"/>
      <dgm:spPr/>
    </dgm:pt>
    <dgm:pt modelId="{8C7E8F38-50E3-44BB-B5A9-E584F8046C04}" type="pres">
      <dgm:prSet presAssocID="{FC126174-A9E7-4944-AB62-88BA53BC6D3E}" presName="dummy1a" presStyleCnt="0"/>
      <dgm:spPr/>
    </dgm:pt>
    <dgm:pt modelId="{B0927707-FDB4-4782-BDC5-3651AD2CD109}" type="pres">
      <dgm:prSet presAssocID="{FC126174-A9E7-4944-AB62-88BA53BC6D3E}" presName="dummy1b" presStyleCnt="0"/>
      <dgm:spPr/>
    </dgm:pt>
    <dgm:pt modelId="{F45A624A-BB77-4AF8-A42F-F598A8C0ED92}" type="pres">
      <dgm:prSet presAssocID="{FC126174-A9E7-4944-AB62-88BA53BC6D3E}" presName="wedge1Tx" presStyleLbl="node1" presStyleIdx="0" presStyleCnt="4">
        <dgm:presLayoutVars>
          <dgm:chMax val="0"/>
          <dgm:chPref val="0"/>
          <dgm:bulletEnabled val="1"/>
        </dgm:presLayoutVars>
      </dgm:prSet>
      <dgm:spPr/>
    </dgm:pt>
    <dgm:pt modelId="{24DC6102-B0AE-4623-B715-4CF27DF13F03}" type="pres">
      <dgm:prSet presAssocID="{FC126174-A9E7-4944-AB62-88BA53BC6D3E}" presName="wedge2" presStyleLbl="node1" presStyleIdx="1" presStyleCnt="4"/>
      <dgm:spPr/>
    </dgm:pt>
    <dgm:pt modelId="{F2900A65-CE7A-4085-918D-8273508761F4}" type="pres">
      <dgm:prSet presAssocID="{FC126174-A9E7-4944-AB62-88BA53BC6D3E}" presName="dummy2a" presStyleCnt="0"/>
      <dgm:spPr/>
    </dgm:pt>
    <dgm:pt modelId="{B846FE52-7DD7-4DF1-B9F1-B3AC5F56B34A}" type="pres">
      <dgm:prSet presAssocID="{FC126174-A9E7-4944-AB62-88BA53BC6D3E}" presName="dummy2b" presStyleCnt="0"/>
      <dgm:spPr/>
    </dgm:pt>
    <dgm:pt modelId="{B1348D4A-880D-41C3-80DC-5BAC5B674C92}" type="pres">
      <dgm:prSet presAssocID="{FC126174-A9E7-4944-AB62-88BA53BC6D3E}" presName="wedge2Tx" presStyleLbl="node1" presStyleIdx="1" presStyleCnt="4">
        <dgm:presLayoutVars>
          <dgm:chMax val="0"/>
          <dgm:chPref val="0"/>
          <dgm:bulletEnabled val="1"/>
        </dgm:presLayoutVars>
      </dgm:prSet>
      <dgm:spPr/>
    </dgm:pt>
    <dgm:pt modelId="{E98068B9-E0D0-47E2-A0FF-DD9CCDAEE8C3}" type="pres">
      <dgm:prSet presAssocID="{FC126174-A9E7-4944-AB62-88BA53BC6D3E}" presName="wedge3" presStyleLbl="node1" presStyleIdx="2" presStyleCnt="4" custScaleY="101702"/>
      <dgm:spPr/>
    </dgm:pt>
    <dgm:pt modelId="{A4A55FD0-9D6C-4F7C-8C00-A0CCC4FD5C82}" type="pres">
      <dgm:prSet presAssocID="{FC126174-A9E7-4944-AB62-88BA53BC6D3E}" presName="dummy3a" presStyleCnt="0"/>
      <dgm:spPr/>
    </dgm:pt>
    <dgm:pt modelId="{26CDDADA-ACB8-4ACD-8C47-52DE58699300}" type="pres">
      <dgm:prSet presAssocID="{FC126174-A9E7-4944-AB62-88BA53BC6D3E}" presName="dummy3b" presStyleCnt="0"/>
      <dgm:spPr/>
    </dgm:pt>
    <dgm:pt modelId="{E80B3FC3-AF00-4899-BA0D-2BE98FF270DC}" type="pres">
      <dgm:prSet presAssocID="{FC126174-A9E7-4944-AB62-88BA53BC6D3E}" presName="wedge3Tx" presStyleLbl="node1" presStyleIdx="2" presStyleCnt="4">
        <dgm:presLayoutVars>
          <dgm:chMax val="0"/>
          <dgm:chPref val="0"/>
          <dgm:bulletEnabled val="1"/>
        </dgm:presLayoutVars>
      </dgm:prSet>
      <dgm:spPr/>
    </dgm:pt>
    <dgm:pt modelId="{340CB497-ED70-4DF0-A3E5-4FCA14F54312}" type="pres">
      <dgm:prSet presAssocID="{FC126174-A9E7-4944-AB62-88BA53BC6D3E}" presName="wedge4" presStyleLbl="node1" presStyleIdx="3" presStyleCnt="4"/>
      <dgm:spPr/>
    </dgm:pt>
    <dgm:pt modelId="{92EF778D-EDDA-4135-9EAC-F91D9B4C40AC}" type="pres">
      <dgm:prSet presAssocID="{FC126174-A9E7-4944-AB62-88BA53BC6D3E}" presName="dummy4a" presStyleCnt="0"/>
      <dgm:spPr/>
    </dgm:pt>
    <dgm:pt modelId="{2F30C6C1-CB39-4866-85AD-AA2FE8EF4FF6}" type="pres">
      <dgm:prSet presAssocID="{FC126174-A9E7-4944-AB62-88BA53BC6D3E}" presName="dummy4b" presStyleCnt="0"/>
      <dgm:spPr/>
    </dgm:pt>
    <dgm:pt modelId="{3C5C09F3-8052-4BD9-A6E6-325526BF50CD}" type="pres">
      <dgm:prSet presAssocID="{FC126174-A9E7-4944-AB62-88BA53BC6D3E}" presName="wedge4Tx" presStyleLbl="node1" presStyleIdx="3" presStyleCnt="4">
        <dgm:presLayoutVars>
          <dgm:chMax val="0"/>
          <dgm:chPref val="0"/>
          <dgm:bulletEnabled val="1"/>
        </dgm:presLayoutVars>
      </dgm:prSet>
      <dgm:spPr/>
    </dgm:pt>
    <dgm:pt modelId="{DD1F419B-A496-41DA-916C-AADBEFEBB03E}" type="pres">
      <dgm:prSet presAssocID="{EAD66DE2-AC20-41F5-836B-8ABD4D9DD485}" presName="arrowWedge1" presStyleLbl="fgSibTrans2D1" presStyleIdx="0" presStyleCnt="4"/>
      <dgm:spPr/>
    </dgm:pt>
    <dgm:pt modelId="{1196FB65-CB12-47A6-8B00-BA3D9093C8D5}" type="pres">
      <dgm:prSet presAssocID="{CA1FDB48-67EB-4CDA-8313-F484889158CD}" presName="arrowWedge2" presStyleLbl="fgSibTrans2D1" presStyleIdx="1" presStyleCnt="4"/>
      <dgm:spPr/>
    </dgm:pt>
    <dgm:pt modelId="{BB6B9D8A-8357-4A14-BE97-13B4C5D5B9BA}" type="pres">
      <dgm:prSet presAssocID="{D5EBC3AD-27C2-4B8D-84E5-6E2C5123F6A7}" presName="arrowWedge3" presStyleLbl="fgSibTrans2D1" presStyleIdx="2" presStyleCnt="4"/>
      <dgm:spPr/>
    </dgm:pt>
    <dgm:pt modelId="{2AB4E5D4-05E9-4763-88DC-198D59D4EA3F}" type="pres">
      <dgm:prSet presAssocID="{046D0A4F-7E85-46EE-8ADC-74E7FC993D18}" presName="arrowWedge4" presStyleLbl="fgSibTrans2D1" presStyleIdx="3" presStyleCnt="4"/>
      <dgm:spPr/>
    </dgm:pt>
  </dgm:ptLst>
  <dgm:cxnLst>
    <dgm:cxn modelId="{F9C6EF0A-02E1-442C-9A2A-2DB74CFF0D0F}" srcId="{FC126174-A9E7-4944-AB62-88BA53BC6D3E}" destId="{905A0D34-1F21-446D-8337-D7D880FAE991}" srcOrd="2" destOrd="0" parTransId="{515B28AC-C43C-4868-8B18-55CC21A750A8}" sibTransId="{D5EBC3AD-27C2-4B8D-84E5-6E2C5123F6A7}"/>
    <dgm:cxn modelId="{0A99F635-6753-4E60-B946-68C679D9F181}" type="presOf" srcId="{905A0D34-1F21-446D-8337-D7D880FAE991}" destId="{E98068B9-E0D0-47E2-A0FF-DD9CCDAEE8C3}" srcOrd="0" destOrd="0" presId="urn:microsoft.com/office/officeart/2005/8/layout/cycle8"/>
    <dgm:cxn modelId="{17483D3C-624A-49A5-BAB6-AA3AB60CBE22}" type="presOf" srcId="{050C8926-5D6F-497C-A2FD-F98D3996C53C}" destId="{340CB497-ED70-4DF0-A3E5-4FCA14F54312}" srcOrd="0" destOrd="0" presId="urn:microsoft.com/office/officeart/2005/8/layout/cycle8"/>
    <dgm:cxn modelId="{3C9DDD42-7C59-4817-9EA8-31DA94ECC8A6}" srcId="{FC126174-A9E7-4944-AB62-88BA53BC6D3E}" destId="{050C8926-5D6F-497C-A2FD-F98D3996C53C}" srcOrd="3" destOrd="0" parTransId="{C90F461D-0BAB-4B7C-AAB8-9E4CB1C42B0B}" sibTransId="{046D0A4F-7E85-46EE-8ADC-74E7FC993D18}"/>
    <dgm:cxn modelId="{D9D4F443-EC64-4DE9-9803-19323B48B2CE}" srcId="{FC126174-A9E7-4944-AB62-88BA53BC6D3E}" destId="{46976AA3-EDD8-4352-AF73-A006A230205D}" srcOrd="1" destOrd="0" parTransId="{34EE58AB-B0EB-4FDA-BE0F-64085E482730}" sibTransId="{CA1FDB48-67EB-4CDA-8313-F484889158CD}"/>
    <dgm:cxn modelId="{4A301D4D-464F-4F6D-A7B0-7D6BECB92BC9}" type="presOf" srcId="{905A0D34-1F21-446D-8337-D7D880FAE991}" destId="{E80B3FC3-AF00-4899-BA0D-2BE98FF270DC}" srcOrd="1" destOrd="0" presId="urn:microsoft.com/office/officeart/2005/8/layout/cycle8"/>
    <dgm:cxn modelId="{2F696361-EE3D-47A9-889E-A93F5AB40AB9}" type="presOf" srcId="{CEB70C93-69BD-4329-B906-B2B8461077CD}" destId="{F45A624A-BB77-4AF8-A42F-F598A8C0ED92}" srcOrd="1" destOrd="0" presId="urn:microsoft.com/office/officeart/2005/8/layout/cycle8"/>
    <dgm:cxn modelId="{94EC4696-6F5E-44BD-95A1-8B96DC51E5A4}" srcId="{FC126174-A9E7-4944-AB62-88BA53BC6D3E}" destId="{CEB70C93-69BD-4329-B906-B2B8461077CD}" srcOrd="0" destOrd="0" parTransId="{1C8DD02B-C30F-45D2-A7B8-F67CB705646C}" sibTransId="{EAD66DE2-AC20-41F5-836B-8ABD4D9DD485}"/>
    <dgm:cxn modelId="{C6B5C8AC-AAB3-4EF7-AEC1-A123EBCCEA8D}" type="presOf" srcId="{46976AA3-EDD8-4352-AF73-A006A230205D}" destId="{24DC6102-B0AE-4623-B715-4CF27DF13F03}" srcOrd="0" destOrd="0" presId="urn:microsoft.com/office/officeart/2005/8/layout/cycle8"/>
    <dgm:cxn modelId="{0540B4BD-A5B7-495E-AB7A-260773185D0C}" type="presOf" srcId="{FC126174-A9E7-4944-AB62-88BA53BC6D3E}" destId="{399FCBFA-03E5-48F8-93AA-615446616851}" srcOrd="0" destOrd="0" presId="urn:microsoft.com/office/officeart/2005/8/layout/cycle8"/>
    <dgm:cxn modelId="{4C3E4DD5-70D5-4E2E-9A39-9D9A92AA3C91}" type="presOf" srcId="{CEB70C93-69BD-4329-B906-B2B8461077CD}" destId="{7AA72AFC-9533-4745-B4A7-C371EE3303BC}" srcOrd="0" destOrd="0" presId="urn:microsoft.com/office/officeart/2005/8/layout/cycle8"/>
    <dgm:cxn modelId="{8E7FFAED-EAF2-4030-91F7-77B34EC672AF}" type="presOf" srcId="{46976AA3-EDD8-4352-AF73-A006A230205D}" destId="{B1348D4A-880D-41C3-80DC-5BAC5B674C92}" srcOrd="1" destOrd="0" presId="urn:microsoft.com/office/officeart/2005/8/layout/cycle8"/>
    <dgm:cxn modelId="{B29FDAEE-38A0-4E15-A6B6-52912B8871A7}" type="presOf" srcId="{050C8926-5D6F-497C-A2FD-F98D3996C53C}" destId="{3C5C09F3-8052-4BD9-A6E6-325526BF50CD}" srcOrd="1" destOrd="0" presId="urn:microsoft.com/office/officeart/2005/8/layout/cycle8"/>
    <dgm:cxn modelId="{C81383B6-FAEA-4BCE-9F63-116C3484FA6C}" type="presParOf" srcId="{399FCBFA-03E5-48F8-93AA-615446616851}" destId="{7AA72AFC-9533-4745-B4A7-C371EE3303BC}" srcOrd="0" destOrd="0" presId="urn:microsoft.com/office/officeart/2005/8/layout/cycle8"/>
    <dgm:cxn modelId="{29B2E111-43F3-42D4-9252-118B64C03487}" type="presParOf" srcId="{399FCBFA-03E5-48F8-93AA-615446616851}" destId="{8C7E8F38-50E3-44BB-B5A9-E584F8046C04}" srcOrd="1" destOrd="0" presId="urn:microsoft.com/office/officeart/2005/8/layout/cycle8"/>
    <dgm:cxn modelId="{E0A33BE6-586C-4757-8B7F-EECD199BE590}" type="presParOf" srcId="{399FCBFA-03E5-48F8-93AA-615446616851}" destId="{B0927707-FDB4-4782-BDC5-3651AD2CD109}" srcOrd="2" destOrd="0" presId="urn:microsoft.com/office/officeart/2005/8/layout/cycle8"/>
    <dgm:cxn modelId="{44901AAC-0CCF-4AE2-B274-924791219C88}" type="presParOf" srcId="{399FCBFA-03E5-48F8-93AA-615446616851}" destId="{F45A624A-BB77-4AF8-A42F-F598A8C0ED92}" srcOrd="3" destOrd="0" presId="urn:microsoft.com/office/officeart/2005/8/layout/cycle8"/>
    <dgm:cxn modelId="{0BD54320-4728-456A-BD3D-2698CD0E9E36}" type="presParOf" srcId="{399FCBFA-03E5-48F8-93AA-615446616851}" destId="{24DC6102-B0AE-4623-B715-4CF27DF13F03}" srcOrd="4" destOrd="0" presId="urn:microsoft.com/office/officeart/2005/8/layout/cycle8"/>
    <dgm:cxn modelId="{CD7C1211-6C84-440A-9675-AE6E64D117E2}" type="presParOf" srcId="{399FCBFA-03E5-48F8-93AA-615446616851}" destId="{F2900A65-CE7A-4085-918D-8273508761F4}" srcOrd="5" destOrd="0" presId="urn:microsoft.com/office/officeart/2005/8/layout/cycle8"/>
    <dgm:cxn modelId="{2A637396-648E-4C66-8612-1B3DD0BBDE49}" type="presParOf" srcId="{399FCBFA-03E5-48F8-93AA-615446616851}" destId="{B846FE52-7DD7-4DF1-B9F1-B3AC5F56B34A}" srcOrd="6" destOrd="0" presId="urn:microsoft.com/office/officeart/2005/8/layout/cycle8"/>
    <dgm:cxn modelId="{1CDD8EEE-947A-49D7-9CF6-607962F38E7E}" type="presParOf" srcId="{399FCBFA-03E5-48F8-93AA-615446616851}" destId="{B1348D4A-880D-41C3-80DC-5BAC5B674C92}" srcOrd="7" destOrd="0" presId="urn:microsoft.com/office/officeart/2005/8/layout/cycle8"/>
    <dgm:cxn modelId="{FA5BAD34-1847-4CA6-85DB-D8CC894B35CA}" type="presParOf" srcId="{399FCBFA-03E5-48F8-93AA-615446616851}" destId="{E98068B9-E0D0-47E2-A0FF-DD9CCDAEE8C3}" srcOrd="8" destOrd="0" presId="urn:microsoft.com/office/officeart/2005/8/layout/cycle8"/>
    <dgm:cxn modelId="{AD63B3DE-5FAB-45ED-A386-C14858CB62D9}" type="presParOf" srcId="{399FCBFA-03E5-48F8-93AA-615446616851}" destId="{A4A55FD0-9D6C-4F7C-8C00-A0CCC4FD5C82}" srcOrd="9" destOrd="0" presId="urn:microsoft.com/office/officeart/2005/8/layout/cycle8"/>
    <dgm:cxn modelId="{DE16CC14-D897-4D14-BA58-49308CBAC0D9}" type="presParOf" srcId="{399FCBFA-03E5-48F8-93AA-615446616851}" destId="{26CDDADA-ACB8-4ACD-8C47-52DE58699300}" srcOrd="10" destOrd="0" presId="urn:microsoft.com/office/officeart/2005/8/layout/cycle8"/>
    <dgm:cxn modelId="{90E76EF9-A7BC-4E6F-B27C-1A4803C283C8}" type="presParOf" srcId="{399FCBFA-03E5-48F8-93AA-615446616851}" destId="{E80B3FC3-AF00-4899-BA0D-2BE98FF270DC}" srcOrd="11" destOrd="0" presId="urn:microsoft.com/office/officeart/2005/8/layout/cycle8"/>
    <dgm:cxn modelId="{3C8094F2-6105-486B-A081-B1B7F57AD7E3}" type="presParOf" srcId="{399FCBFA-03E5-48F8-93AA-615446616851}" destId="{340CB497-ED70-4DF0-A3E5-4FCA14F54312}" srcOrd="12" destOrd="0" presId="urn:microsoft.com/office/officeart/2005/8/layout/cycle8"/>
    <dgm:cxn modelId="{B287DF5E-153D-4F36-98BB-B8480EE0F127}" type="presParOf" srcId="{399FCBFA-03E5-48F8-93AA-615446616851}" destId="{92EF778D-EDDA-4135-9EAC-F91D9B4C40AC}" srcOrd="13" destOrd="0" presId="urn:microsoft.com/office/officeart/2005/8/layout/cycle8"/>
    <dgm:cxn modelId="{E2137CCB-EAA1-481B-A842-85815CF60D23}" type="presParOf" srcId="{399FCBFA-03E5-48F8-93AA-615446616851}" destId="{2F30C6C1-CB39-4866-85AD-AA2FE8EF4FF6}" srcOrd="14" destOrd="0" presId="urn:microsoft.com/office/officeart/2005/8/layout/cycle8"/>
    <dgm:cxn modelId="{244BD98B-1457-4871-9C34-F35BA77F9C59}" type="presParOf" srcId="{399FCBFA-03E5-48F8-93AA-615446616851}" destId="{3C5C09F3-8052-4BD9-A6E6-325526BF50CD}" srcOrd="15" destOrd="0" presId="urn:microsoft.com/office/officeart/2005/8/layout/cycle8"/>
    <dgm:cxn modelId="{577D2F2E-F420-476F-8C25-4F49C39A863B}" type="presParOf" srcId="{399FCBFA-03E5-48F8-93AA-615446616851}" destId="{DD1F419B-A496-41DA-916C-AADBEFEBB03E}" srcOrd="16" destOrd="0" presId="urn:microsoft.com/office/officeart/2005/8/layout/cycle8"/>
    <dgm:cxn modelId="{89796502-11B5-4609-91F7-279420EDF628}" type="presParOf" srcId="{399FCBFA-03E5-48F8-93AA-615446616851}" destId="{1196FB65-CB12-47A6-8B00-BA3D9093C8D5}" srcOrd="17" destOrd="0" presId="urn:microsoft.com/office/officeart/2005/8/layout/cycle8"/>
    <dgm:cxn modelId="{55A6F60E-46D0-4CBC-AC00-1E35256A1BDD}" type="presParOf" srcId="{399FCBFA-03E5-48F8-93AA-615446616851}" destId="{BB6B9D8A-8357-4A14-BE97-13B4C5D5B9BA}" srcOrd="18" destOrd="0" presId="urn:microsoft.com/office/officeart/2005/8/layout/cycle8"/>
    <dgm:cxn modelId="{89D44FBB-9D63-42F0-9C0C-505AB8656AB6}" type="presParOf" srcId="{399FCBFA-03E5-48F8-93AA-615446616851}" destId="{2AB4E5D4-05E9-4763-88DC-198D59D4EA3F}" srcOrd="19"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165DD8-4633-4496-B69C-C2E353A35622}" type="doc">
      <dgm:prSet loTypeId="urn:microsoft.com/office/officeart/2005/8/layout/chevron1" loCatId="process" qsTypeId="urn:microsoft.com/office/officeart/2005/8/quickstyle/simple1" qsCatId="simple" csTypeId="urn:microsoft.com/office/officeart/2005/8/colors/colorful5" csCatId="colorful" phldr="1"/>
      <dgm:spPr/>
    </dgm:pt>
    <dgm:pt modelId="{F7F845AA-9245-4DAB-8C5B-C7B20E69E1A8}">
      <dgm:prSet phldrT="[Text]"/>
      <dgm:spPr/>
      <dgm:t>
        <a:bodyPr/>
        <a:lstStyle/>
        <a:p>
          <a:r>
            <a:rPr lang="en-US" b="1"/>
            <a:t>Identify </a:t>
          </a:r>
          <a:endParaRPr lang="en-US" dirty="0"/>
        </a:p>
      </dgm:t>
    </dgm:pt>
    <dgm:pt modelId="{C98239B4-9626-43E2-AC2C-47E593AD6F0B}" type="parTrans" cxnId="{4A5841C3-54AB-4747-A3D1-5E7A6481D311}">
      <dgm:prSet/>
      <dgm:spPr/>
      <dgm:t>
        <a:bodyPr/>
        <a:lstStyle/>
        <a:p>
          <a:endParaRPr lang="en-US"/>
        </a:p>
      </dgm:t>
    </dgm:pt>
    <dgm:pt modelId="{A2ACC8D7-305F-4580-A431-631026191881}" type="sibTrans" cxnId="{4A5841C3-54AB-4747-A3D1-5E7A6481D311}">
      <dgm:prSet/>
      <dgm:spPr/>
      <dgm:t>
        <a:bodyPr/>
        <a:lstStyle/>
        <a:p>
          <a:endParaRPr lang="en-US"/>
        </a:p>
      </dgm:t>
    </dgm:pt>
    <dgm:pt modelId="{D877F3ED-1D9B-4AD7-876C-F72601FA54E1}">
      <dgm:prSet phldrT="[Text]"/>
      <dgm:spPr/>
      <dgm:t>
        <a:bodyPr/>
        <a:lstStyle/>
        <a:p>
          <a:r>
            <a:rPr lang="en-US" b="1"/>
            <a:t>Assess</a:t>
          </a:r>
          <a:endParaRPr lang="en-US" dirty="0"/>
        </a:p>
      </dgm:t>
    </dgm:pt>
    <dgm:pt modelId="{CB18C513-E8D5-48FA-A367-92A18BB78BA3}" type="parTrans" cxnId="{E5E8B539-8F88-418B-934C-E20F196B360B}">
      <dgm:prSet/>
      <dgm:spPr/>
      <dgm:t>
        <a:bodyPr/>
        <a:lstStyle/>
        <a:p>
          <a:endParaRPr lang="en-US"/>
        </a:p>
      </dgm:t>
    </dgm:pt>
    <dgm:pt modelId="{6C64B6A4-E1F8-49D1-9B32-046F0187C00E}" type="sibTrans" cxnId="{E5E8B539-8F88-418B-934C-E20F196B360B}">
      <dgm:prSet/>
      <dgm:spPr/>
      <dgm:t>
        <a:bodyPr/>
        <a:lstStyle/>
        <a:p>
          <a:endParaRPr lang="en-US"/>
        </a:p>
      </dgm:t>
    </dgm:pt>
    <dgm:pt modelId="{028BB000-E868-4504-992B-EDEDB45CB047}">
      <dgm:prSet phldrT="[Text]"/>
      <dgm:spPr/>
      <dgm:t>
        <a:bodyPr/>
        <a:lstStyle/>
        <a:p>
          <a:r>
            <a:rPr lang="en-US" b="1"/>
            <a:t>Respond</a:t>
          </a:r>
          <a:endParaRPr lang="en-US" dirty="0"/>
        </a:p>
      </dgm:t>
    </dgm:pt>
    <dgm:pt modelId="{BA27923C-C6AB-483A-9A87-05B522E79A58}" type="parTrans" cxnId="{33AE7FFF-2933-44B1-B58C-07CA6E4DE0B0}">
      <dgm:prSet/>
      <dgm:spPr/>
      <dgm:t>
        <a:bodyPr/>
        <a:lstStyle/>
        <a:p>
          <a:endParaRPr lang="en-US"/>
        </a:p>
      </dgm:t>
    </dgm:pt>
    <dgm:pt modelId="{130EBBE2-F44B-4C6C-A73D-A23DB9003E4F}" type="sibTrans" cxnId="{33AE7FFF-2933-44B1-B58C-07CA6E4DE0B0}">
      <dgm:prSet/>
      <dgm:spPr/>
      <dgm:t>
        <a:bodyPr/>
        <a:lstStyle/>
        <a:p>
          <a:endParaRPr lang="en-US"/>
        </a:p>
      </dgm:t>
    </dgm:pt>
    <dgm:pt modelId="{71DFDDBE-30F8-4112-9E00-827DBA381A38}">
      <dgm:prSet phldrT="[Text]"/>
      <dgm:spPr/>
      <dgm:t>
        <a:bodyPr/>
        <a:lstStyle/>
        <a:p>
          <a:r>
            <a:rPr lang="en-US" b="1"/>
            <a:t>Monitor</a:t>
          </a:r>
          <a:endParaRPr lang="en-US" dirty="0"/>
        </a:p>
      </dgm:t>
    </dgm:pt>
    <dgm:pt modelId="{7F6C4078-AB62-4B09-97C2-9572D701DC95}" type="parTrans" cxnId="{AA64330D-4964-47BB-91B2-A02C658D1DDE}">
      <dgm:prSet/>
      <dgm:spPr/>
      <dgm:t>
        <a:bodyPr/>
        <a:lstStyle/>
        <a:p>
          <a:endParaRPr lang="en-US"/>
        </a:p>
      </dgm:t>
    </dgm:pt>
    <dgm:pt modelId="{5AC8EC18-029F-48DF-8F5A-B139DE3BA433}" type="sibTrans" cxnId="{AA64330D-4964-47BB-91B2-A02C658D1DDE}">
      <dgm:prSet/>
      <dgm:spPr/>
      <dgm:t>
        <a:bodyPr/>
        <a:lstStyle/>
        <a:p>
          <a:endParaRPr lang="en-US"/>
        </a:p>
      </dgm:t>
    </dgm:pt>
    <dgm:pt modelId="{738F1519-BABA-44AC-A5B9-F518C90FB755}" type="pres">
      <dgm:prSet presAssocID="{7F165DD8-4633-4496-B69C-C2E353A35622}" presName="Name0" presStyleCnt="0">
        <dgm:presLayoutVars>
          <dgm:dir/>
          <dgm:animLvl val="lvl"/>
          <dgm:resizeHandles val="exact"/>
        </dgm:presLayoutVars>
      </dgm:prSet>
      <dgm:spPr/>
    </dgm:pt>
    <dgm:pt modelId="{4B8A0A8F-BC58-4D20-8159-70C715B5A3AD}" type="pres">
      <dgm:prSet presAssocID="{F7F845AA-9245-4DAB-8C5B-C7B20E69E1A8}" presName="parTxOnly" presStyleLbl="node1" presStyleIdx="0" presStyleCnt="4">
        <dgm:presLayoutVars>
          <dgm:chMax val="0"/>
          <dgm:chPref val="0"/>
          <dgm:bulletEnabled val="1"/>
        </dgm:presLayoutVars>
      </dgm:prSet>
      <dgm:spPr/>
    </dgm:pt>
    <dgm:pt modelId="{D53294C4-C7F9-4C4E-B0FA-0A365D62AE1F}" type="pres">
      <dgm:prSet presAssocID="{A2ACC8D7-305F-4580-A431-631026191881}" presName="parTxOnlySpace" presStyleCnt="0"/>
      <dgm:spPr/>
    </dgm:pt>
    <dgm:pt modelId="{A30001A0-C612-420B-9E44-C707C2848FB1}" type="pres">
      <dgm:prSet presAssocID="{D877F3ED-1D9B-4AD7-876C-F72601FA54E1}" presName="parTxOnly" presStyleLbl="node1" presStyleIdx="1" presStyleCnt="4">
        <dgm:presLayoutVars>
          <dgm:chMax val="0"/>
          <dgm:chPref val="0"/>
          <dgm:bulletEnabled val="1"/>
        </dgm:presLayoutVars>
      </dgm:prSet>
      <dgm:spPr/>
    </dgm:pt>
    <dgm:pt modelId="{31E8D73D-BDCD-4CA9-94C1-270D6C6109EE}" type="pres">
      <dgm:prSet presAssocID="{6C64B6A4-E1F8-49D1-9B32-046F0187C00E}" presName="parTxOnlySpace" presStyleCnt="0"/>
      <dgm:spPr/>
    </dgm:pt>
    <dgm:pt modelId="{040B0BD6-DA7D-452E-85C7-2CDF03E00674}" type="pres">
      <dgm:prSet presAssocID="{028BB000-E868-4504-992B-EDEDB45CB047}" presName="parTxOnly" presStyleLbl="node1" presStyleIdx="2" presStyleCnt="4">
        <dgm:presLayoutVars>
          <dgm:chMax val="0"/>
          <dgm:chPref val="0"/>
          <dgm:bulletEnabled val="1"/>
        </dgm:presLayoutVars>
      </dgm:prSet>
      <dgm:spPr/>
    </dgm:pt>
    <dgm:pt modelId="{164EFE06-07A2-4B64-B61C-503D2381468B}" type="pres">
      <dgm:prSet presAssocID="{130EBBE2-F44B-4C6C-A73D-A23DB9003E4F}" presName="parTxOnlySpace" presStyleCnt="0"/>
      <dgm:spPr/>
    </dgm:pt>
    <dgm:pt modelId="{277346A7-DA67-42D7-8487-AFDD5096C00C}" type="pres">
      <dgm:prSet presAssocID="{71DFDDBE-30F8-4112-9E00-827DBA381A38}" presName="parTxOnly" presStyleLbl="node1" presStyleIdx="3" presStyleCnt="4">
        <dgm:presLayoutVars>
          <dgm:chMax val="0"/>
          <dgm:chPref val="0"/>
          <dgm:bulletEnabled val="1"/>
        </dgm:presLayoutVars>
      </dgm:prSet>
      <dgm:spPr/>
    </dgm:pt>
  </dgm:ptLst>
  <dgm:cxnLst>
    <dgm:cxn modelId="{AA64330D-4964-47BB-91B2-A02C658D1DDE}" srcId="{7F165DD8-4633-4496-B69C-C2E353A35622}" destId="{71DFDDBE-30F8-4112-9E00-827DBA381A38}" srcOrd="3" destOrd="0" parTransId="{7F6C4078-AB62-4B09-97C2-9572D701DC95}" sibTransId="{5AC8EC18-029F-48DF-8F5A-B139DE3BA433}"/>
    <dgm:cxn modelId="{E5E8B539-8F88-418B-934C-E20F196B360B}" srcId="{7F165DD8-4633-4496-B69C-C2E353A35622}" destId="{D877F3ED-1D9B-4AD7-876C-F72601FA54E1}" srcOrd="1" destOrd="0" parTransId="{CB18C513-E8D5-48FA-A367-92A18BB78BA3}" sibTransId="{6C64B6A4-E1F8-49D1-9B32-046F0187C00E}"/>
    <dgm:cxn modelId="{9A71B43A-133F-4041-9294-B20696B096F9}" type="presOf" srcId="{7F165DD8-4633-4496-B69C-C2E353A35622}" destId="{738F1519-BABA-44AC-A5B9-F518C90FB755}" srcOrd="0" destOrd="0" presId="urn:microsoft.com/office/officeart/2005/8/layout/chevron1"/>
    <dgm:cxn modelId="{54FD8245-F051-4181-B37E-21503E9B9471}" type="presOf" srcId="{D877F3ED-1D9B-4AD7-876C-F72601FA54E1}" destId="{A30001A0-C612-420B-9E44-C707C2848FB1}" srcOrd="0" destOrd="0" presId="urn:microsoft.com/office/officeart/2005/8/layout/chevron1"/>
    <dgm:cxn modelId="{0EB9D0B9-1965-45F4-ABE2-000B48BC5E9C}" type="presOf" srcId="{71DFDDBE-30F8-4112-9E00-827DBA381A38}" destId="{277346A7-DA67-42D7-8487-AFDD5096C00C}" srcOrd="0" destOrd="0" presId="urn:microsoft.com/office/officeart/2005/8/layout/chevron1"/>
    <dgm:cxn modelId="{1EE917BC-5D7B-4CA0-8F4C-3812098B5C33}" type="presOf" srcId="{028BB000-E868-4504-992B-EDEDB45CB047}" destId="{040B0BD6-DA7D-452E-85C7-2CDF03E00674}" srcOrd="0" destOrd="0" presId="urn:microsoft.com/office/officeart/2005/8/layout/chevron1"/>
    <dgm:cxn modelId="{4A5841C3-54AB-4747-A3D1-5E7A6481D311}" srcId="{7F165DD8-4633-4496-B69C-C2E353A35622}" destId="{F7F845AA-9245-4DAB-8C5B-C7B20E69E1A8}" srcOrd="0" destOrd="0" parTransId="{C98239B4-9626-43E2-AC2C-47E593AD6F0B}" sibTransId="{A2ACC8D7-305F-4580-A431-631026191881}"/>
    <dgm:cxn modelId="{274895C9-8517-4DE7-9EA7-8133A4BBCBED}" type="presOf" srcId="{F7F845AA-9245-4DAB-8C5B-C7B20E69E1A8}" destId="{4B8A0A8F-BC58-4D20-8159-70C715B5A3AD}" srcOrd="0" destOrd="0" presId="urn:microsoft.com/office/officeart/2005/8/layout/chevron1"/>
    <dgm:cxn modelId="{33AE7FFF-2933-44B1-B58C-07CA6E4DE0B0}" srcId="{7F165DD8-4633-4496-B69C-C2E353A35622}" destId="{028BB000-E868-4504-992B-EDEDB45CB047}" srcOrd="2" destOrd="0" parTransId="{BA27923C-C6AB-483A-9A87-05B522E79A58}" sibTransId="{130EBBE2-F44B-4C6C-A73D-A23DB9003E4F}"/>
    <dgm:cxn modelId="{4BC9C5CA-2A84-49B7-936A-A2C66EF846DD}" type="presParOf" srcId="{738F1519-BABA-44AC-A5B9-F518C90FB755}" destId="{4B8A0A8F-BC58-4D20-8159-70C715B5A3AD}" srcOrd="0" destOrd="0" presId="urn:microsoft.com/office/officeart/2005/8/layout/chevron1"/>
    <dgm:cxn modelId="{632518F7-811D-43C3-8A7C-300DC4158833}" type="presParOf" srcId="{738F1519-BABA-44AC-A5B9-F518C90FB755}" destId="{D53294C4-C7F9-4C4E-B0FA-0A365D62AE1F}" srcOrd="1" destOrd="0" presId="urn:microsoft.com/office/officeart/2005/8/layout/chevron1"/>
    <dgm:cxn modelId="{4F8A2600-82B7-483E-8BFB-C1C8C05A09AC}" type="presParOf" srcId="{738F1519-BABA-44AC-A5B9-F518C90FB755}" destId="{A30001A0-C612-420B-9E44-C707C2848FB1}" srcOrd="2" destOrd="0" presId="urn:microsoft.com/office/officeart/2005/8/layout/chevron1"/>
    <dgm:cxn modelId="{6747673C-E633-4292-9C12-B698823923FA}" type="presParOf" srcId="{738F1519-BABA-44AC-A5B9-F518C90FB755}" destId="{31E8D73D-BDCD-4CA9-94C1-270D6C6109EE}" srcOrd="3" destOrd="0" presId="urn:microsoft.com/office/officeart/2005/8/layout/chevron1"/>
    <dgm:cxn modelId="{7A8F7E49-0DC6-4A90-A2AF-2D2EB498673B}" type="presParOf" srcId="{738F1519-BABA-44AC-A5B9-F518C90FB755}" destId="{040B0BD6-DA7D-452E-85C7-2CDF03E00674}" srcOrd="4" destOrd="0" presId="urn:microsoft.com/office/officeart/2005/8/layout/chevron1"/>
    <dgm:cxn modelId="{298A9D4C-38A4-4D38-98BF-B65F2CE6C5EA}" type="presParOf" srcId="{738F1519-BABA-44AC-A5B9-F518C90FB755}" destId="{164EFE06-07A2-4B64-B61C-503D2381468B}" srcOrd="5" destOrd="0" presId="urn:microsoft.com/office/officeart/2005/8/layout/chevron1"/>
    <dgm:cxn modelId="{15F20003-21B2-460E-8221-26B7E34B5DE2}" type="presParOf" srcId="{738F1519-BABA-44AC-A5B9-F518C90FB755}" destId="{277346A7-DA67-42D7-8487-AFDD5096C00C}" srcOrd="6" destOrd="0" presId="urn:microsoft.com/office/officeart/2005/8/layout/chevr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A72AFC-9533-4745-B4A7-C371EE3303BC}">
      <dsp:nvSpPr>
        <dsp:cNvPr id="0" name=""/>
        <dsp:cNvSpPr/>
      </dsp:nvSpPr>
      <dsp:spPr>
        <a:xfrm>
          <a:off x="777779" y="214204"/>
          <a:ext cx="2965704" cy="2965704"/>
        </a:xfrm>
        <a:prstGeom prst="pie">
          <a:avLst>
            <a:gd name="adj1" fmla="val 16200000"/>
            <a:gd name="adj2" fmla="val 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kern="1200" dirty="0"/>
            <a:t>Stakeholders</a:t>
          </a:r>
          <a:endParaRPr lang="en-US" sz="700" kern="1200" dirty="0"/>
        </a:p>
        <a:p>
          <a:pPr marL="0" lvl="0" indent="0" algn="ctr" defTabSz="311150">
            <a:lnSpc>
              <a:spcPct val="90000"/>
            </a:lnSpc>
            <a:spcBef>
              <a:spcPct val="0"/>
            </a:spcBef>
            <a:spcAft>
              <a:spcPct val="35000"/>
            </a:spcAft>
            <a:buNone/>
          </a:pPr>
          <a:r>
            <a:rPr lang="en-US" sz="700" kern="1200" dirty="0"/>
            <a:t>Local Authority</a:t>
          </a:r>
          <a:br>
            <a:rPr lang="en-US" sz="700" kern="1200" dirty="0"/>
          </a:br>
          <a:r>
            <a:rPr lang="en-US" sz="700" kern="1200" dirty="0"/>
            <a:t>Transport Operators</a:t>
          </a:r>
          <a:br>
            <a:rPr lang="en-US" sz="700" kern="1200" dirty="0"/>
          </a:br>
          <a:r>
            <a:rPr lang="en-US" sz="700" kern="1200" dirty="0"/>
            <a:t>Commuters</a:t>
          </a:r>
          <a:br>
            <a:rPr lang="en-US" sz="700" kern="1200" dirty="0"/>
          </a:br>
          <a:r>
            <a:rPr lang="en-US" sz="700" kern="1200" dirty="0"/>
            <a:t>Businesses</a:t>
          </a:r>
          <a:br>
            <a:rPr lang="en-US" sz="700" kern="1200" dirty="0"/>
          </a:br>
          <a:r>
            <a:rPr lang="en-US" sz="700" kern="1200" dirty="0"/>
            <a:t>Contractors</a:t>
          </a:r>
          <a:br>
            <a:rPr lang="en-US" sz="700" kern="1200" dirty="0"/>
          </a:br>
          <a:r>
            <a:rPr lang="en-US" sz="700" kern="1200" dirty="0"/>
            <a:t>Environmental Agencies</a:t>
          </a:r>
        </a:p>
      </dsp:txBody>
      <dsp:txXfrm>
        <a:off x="2352074" y="828881"/>
        <a:ext cx="1094486" cy="812038"/>
      </dsp:txXfrm>
    </dsp:sp>
    <dsp:sp modelId="{24DC6102-B0AE-4623-B715-4CF27DF13F03}">
      <dsp:nvSpPr>
        <dsp:cNvPr id="0" name=""/>
        <dsp:cNvSpPr/>
      </dsp:nvSpPr>
      <dsp:spPr>
        <a:xfrm>
          <a:off x="777779" y="313767"/>
          <a:ext cx="2965704" cy="2965704"/>
        </a:xfrm>
        <a:prstGeom prst="pie">
          <a:avLst>
            <a:gd name="adj1" fmla="val 0"/>
            <a:gd name="adj2" fmla="val 54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dirty="0"/>
            <a:t>Desired Results</a:t>
          </a:r>
          <a:endParaRPr lang="en-US" sz="800" kern="1200" dirty="0"/>
        </a:p>
        <a:p>
          <a:pPr marL="0" lvl="0" indent="0" algn="ctr" defTabSz="355600">
            <a:lnSpc>
              <a:spcPct val="90000"/>
            </a:lnSpc>
            <a:spcBef>
              <a:spcPct val="0"/>
            </a:spcBef>
            <a:spcAft>
              <a:spcPct val="35000"/>
            </a:spcAft>
            <a:buNone/>
          </a:pPr>
          <a:r>
            <a:rPr lang="en-US" sz="800" kern="1200" dirty="0"/>
            <a:t>• Improved mobility.</a:t>
          </a:r>
          <a:br>
            <a:rPr lang="en-US" sz="800" kern="1200" dirty="0"/>
          </a:br>
          <a:r>
            <a:rPr lang="en-US" sz="800" kern="1200" dirty="0"/>
            <a:t>• Reduced congestion.</a:t>
          </a:r>
          <a:br>
            <a:rPr lang="en-US" sz="800" kern="1200" dirty="0"/>
          </a:br>
          <a:r>
            <a:rPr lang="en-US" sz="800" kern="1200" dirty="0"/>
            <a:t>• Economic </a:t>
          </a:r>
          <a:r>
            <a:rPr lang="en-US" sz="800" kern="1200" dirty="0" err="1"/>
            <a:t>revitalisation</a:t>
          </a:r>
          <a:r>
            <a:rPr lang="en-US" sz="800" kern="1200" dirty="0"/>
            <a:t>.</a:t>
          </a:r>
          <a:br>
            <a:rPr lang="en-US" sz="800" kern="1200" dirty="0"/>
          </a:br>
          <a:r>
            <a:rPr lang="en-US" sz="800" kern="1200" dirty="0"/>
            <a:t>• Enhanced accessibility.</a:t>
          </a:r>
        </a:p>
      </dsp:txBody>
      <dsp:txXfrm>
        <a:off x="2352074" y="1852755"/>
        <a:ext cx="1094486" cy="812038"/>
      </dsp:txXfrm>
    </dsp:sp>
    <dsp:sp modelId="{E98068B9-E0D0-47E2-A0FF-DD9CCDAEE8C3}">
      <dsp:nvSpPr>
        <dsp:cNvPr id="0" name=""/>
        <dsp:cNvSpPr/>
      </dsp:nvSpPr>
      <dsp:spPr>
        <a:xfrm>
          <a:off x="678216" y="288529"/>
          <a:ext cx="2965704" cy="3016180"/>
        </a:xfrm>
        <a:prstGeom prst="pie">
          <a:avLst>
            <a:gd name="adj1" fmla="val 5400000"/>
            <a:gd name="adj2" fmla="val 10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dirty="0"/>
            <a:t>Measurements</a:t>
          </a:r>
          <a:br>
            <a:rPr lang="en-US" sz="800" b="1" kern="1200" dirty="0"/>
          </a:br>
          <a:r>
            <a:rPr lang="en-US" sz="800" kern="1200" dirty="0"/>
            <a:t>• Passenger capacity</a:t>
          </a:r>
          <a:br>
            <a:rPr lang="en-US" sz="800" kern="1200" dirty="0"/>
          </a:br>
          <a:r>
            <a:rPr lang="en-US" sz="800" kern="1200" dirty="0"/>
            <a:t>• Project completion time</a:t>
          </a:r>
          <a:br>
            <a:rPr lang="en-US" sz="800" kern="1200" dirty="0"/>
          </a:br>
          <a:r>
            <a:rPr lang="en-US" sz="800" kern="1200" dirty="0"/>
            <a:t>• Budget adherence</a:t>
          </a:r>
          <a:br>
            <a:rPr lang="en-US" sz="800" kern="1200" dirty="0"/>
          </a:br>
          <a:r>
            <a:rPr lang="en-US" sz="800" kern="1200" dirty="0"/>
            <a:t>• Customer satisfaction levels</a:t>
          </a:r>
        </a:p>
      </dsp:txBody>
      <dsp:txXfrm>
        <a:off x="975140" y="1853711"/>
        <a:ext cx="1094486" cy="825858"/>
      </dsp:txXfrm>
    </dsp:sp>
    <dsp:sp modelId="{340CB497-ED70-4DF0-A3E5-4FCA14F54312}">
      <dsp:nvSpPr>
        <dsp:cNvPr id="0" name=""/>
        <dsp:cNvSpPr/>
      </dsp:nvSpPr>
      <dsp:spPr>
        <a:xfrm>
          <a:off x="678216" y="214204"/>
          <a:ext cx="2965704" cy="2965704"/>
        </a:xfrm>
        <a:prstGeom prst="pie">
          <a:avLst>
            <a:gd name="adj1" fmla="val 10800000"/>
            <a:gd name="adj2" fmla="val 162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117475" lvl="0" indent="0" algn="ctr" defTabSz="400050">
            <a:lnSpc>
              <a:spcPct val="90000"/>
            </a:lnSpc>
            <a:spcBef>
              <a:spcPct val="0"/>
            </a:spcBef>
            <a:spcAft>
              <a:spcPct val="35000"/>
            </a:spcAft>
            <a:buNone/>
          </a:pPr>
          <a:r>
            <a:rPr lang="en-US" sz="900" b="1" kern="1200" dirty="0"/>
            <a:t>Purpose</a:t>
          </a:r>
          <a:endParaRPr lang="en-US" sz="900" kern="1200" dirty="0"/>
        </a:p>
        <a:p>
          <a:pPr marL="117475" lvl="0" indent="0" algn="ctr" defTabSz="400050">
            <a:lnSpc>
              <a:spcPct val="90000"/>
            </a:lnSpc>
            <a:spcBef>
              <a:spcPct val="0"/>
            </a:spcBef>
            <a:spcAft>
              <a:spcPct val="35000"/>
            </a:spcAft>
            <a:buNone/>
          </a:pPr>
          <a:r>
            <a:rPr lang="en-US" sz="900" kern="1200" dirty="0"/>
            <a:t>• Restore safe</a:t>
          </a:r>
          <a:br>
            <a:rPr lang="en-US" sz="900" kern="1200" dirty="0"/>
          </a:br>
          <a:r>
            <a:rPr lang="en-US" sz="900" kern="1200" dirty="0"/>
            <a:t>• Reliable</a:t>
          </a:r>
          <a:br>
            <a:rPr lang="en-US" sz="900" kern="1200" dirty="0"/>
          </a:br>
          <a:r>
            <a:rPr lang="en-US" sz="900" kern="1200" dirty="0"/>
            <a:t>• Efficient transport services</a:t>
          </a:r>
        </a:p>
      </dsp:txBody>
      <dsp:txXfrm>
        <a:off x="975140" y="828881"/>
        <a:ext cx="1094486" cy="812038"/>
      </dsp:txXfrm>
    </dsp:sp>
    <dsp:sp modelId="{DD1F419B-A496-41DA-916C-AADBEFEBB03E}">
      <dsp:nvSpPr>
        <dsp:cNvPr id="0" name=""/>
        <dsp:cNvSpPr/>
      </dsp:nvSpPr>
      <dsp:spPr>
        <a:xfrm>
          <a:off x="594188" y="30613"/>
          <a:ext cx="3332886" cy="3332886"/>
        </a:xfrm>
        <a:prstGeom prst="circularArrow">
          <a:avLst>
            <a:gd name="adj1" fmla="val 5085"/>
            <a:gd name="adj2" fmla="val 327528"/>
            <a:gd name="adj3" fmla="val 21272472"/>
            <a:gd name="adj4" fmla="val 16200000"/>
            <a:gd name="adj5" fmla="val 5932"/>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96FB65-CB12-47A6-8B00-BA3D9093C8D5}">
      <dsp:nvSpPr>
        <dsp:cNvPr id="0" name=""/>
        <dsp:cNvSpPr/>
      </dsp:nvSpPr>
      <dsp:spPr>
        <a:xfrm>
          <a:off x="594188" y="130176"/>
          <a:ext cx="3332886" cy="3332886"/>
        </a:xfrm>
        <a:prstGeom prst="circularArrow">
          <a:avLst>
            <a:gd name="adj1" fmla="val 5085"/>
            <a:gd name="adj2" fmla="val 327528"/>
            <a:gd name="adj3" fmla="val 5072472"/>
            <a:gd name="adj4" fmla="val 0"/>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6B9D8A-8357-4A14-BE97-13B4C5D5B9BA}">
      <dsp:nvSpPr>
        <dsp:cNvPr id="0" name=""/>
        <dsp:cNvSpPr/>
      </dsp:nvSpPr>
      <dsp:spPr>
        <a:xfrm>
          <a:off x="494625" y="129864"/>
          <a:ext cx="3332886" cy="3332886"/>
        </a:xfrm>
        <a:prstGeom prst="circularArrow">
          <a:avLst>
            <a:gd name="adj1" fmla="val 5085"/>
            <a:gd name="adj2" fmla="val 327528"/>
            <a:gd name="adj3" fmla="val 10472472"/>
            <a:gd name="adj4" fmla="val 5400000"/>
            <a:gd name="adj5" fmla="val 5932"/>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B4E5D4-05E9-4763-88DC-198D59D4EA3F}">
      <dsp:nvSpPr>
        <dsp:cNvPr id="0" name=""/>
        <dsp:cNvSpPr/>
      </dsp:nvSpPr>
      <dsp:spPr>
        <a:xfrm>
          <a:off x="494625" y="30613"/>
          <a:ext cx="3332886" cy="3332886"/>
        </a:xfrm>
        <a:prstGeom prst="circularArrow">
          <a:avLst>
            <a:gd name="adj1" fmla="val 5085"/>
            <a:gd name="adj2" fmla="val 327528"/>
            <a:gd name="adj3" fmla="val 15872472"/>
            <a:gd name="adj4" fmla="val 10800000"/>
            <a:gd name="adj5" fmla="val 5932"/>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8A0A8F-BC58-4D20-8159-70C715B5A3AD}">
      <dsp:nvSpPr>
        <dsp:cNvPr id="0" name=""/>
        <dsp:cNvSpPr/>
      </dsp:nvSpPr>
      <dsp:spPr>
        <a:xfrm>
          <a:off x="2447" y="38879"/>
          <a:ext cx="1424852" cy="569941"/>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b="1" kern="1200"/>
            <a:t>Identify </a:t>
          </a:r>
          <a:endParaRPr lang="en-US" sz="1500" kern="1200" dirty="0"/>
        </a:p>
      </dsp:txBody>
      <dsp:txXfrm>
        <a:off x="287418" y="38879"/>
        <a:ext cx="854911" cy="569941"/>
      </dsp:txXfrm>
    </dsp:sp>
    <dsp:sp modelId="{A30001A0-C612-420B-9E44-C707C2848FB1}">
      <dsp:nvSpPr>
        <dsp:cNvPr id="0" name=""/>
        <dsp:cNvSpPr/>
      </dsp:nvSpPr>
      <dsp:spPr>
        <a:xfrm>
          <a:off x="1284815" y="38879"/>
          <a:ext cx="1424852" cy="569941"/>
        </a:xfrm>
        <a:prstGeom prst="chevron">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b="1" kern="1200"/>
            <a:t>Assess</a:t>
          </a:r>
          <a:endParaRPr lang="en-US" sz="1500" kern="1200" dirty="0"/>
        </a:p>
      </dsp:txBody>
      <dsp:txXfrm>
        <a:off x="1569786" y="38879"/>
        <a:ext cx="854911" cy="569941"/>
      </dsp:txXfrm>
    </dsp:sp>
    <dsp:sp modelId="{040B0BD6-DA7D-452E-85C7-2CDF03E00674}">
      <dsp:nvSpPr>
        <dsp:cNvPr id="0" name=""/>
        <dsp:cNvSpPr/>
      </dsp:nvSpPr>
      <dsp:spPr>
        <a:xfrm>
          <a:off x="2567182" y="38879"/>
          <a:ext cx="1424852" cy="569941"/>
        </a:xfrm>
        <a:prstGeom prst="chevron">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b="1" kern="1200"/>
            <a:t>Respond</a:t>
          </a:r>
          <a:endParaRPr lang="en-US" sz="1500" kern="1200" dirty="0"/>
        </a:p>
      </dsp:txBody>
      <dsp:txXfrm>
        <a:off x="2852153" y="38879"/>
        <a:ext cx="854911" cy="569941"/>
      </dsp:txXfrm>
    </dsp:sp>
    <dsp:sp modelId="{277346A7-DA67-42D7-8487-AFDD5096C00C}">
      <dsp:nvSpPr>
        <dsp:cNvPr id="0" name=""/>
        <dsp:cNvSpPr/>
      </dsp:nvSpPr>
      <dsp:spPr>
        <a:xfrm>
          <a:off x="3849549" y="38879"/>
          <a:ext cx="1424852" cy="569941"/>
        </a:xfrm>
        <a:prstGeom prst="chevron">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b="1" kern="1200"/>
            <a:t>Monitor</a:t>
          </a:r>
          <a:endParaRPr lang="en-US" sz="1500" kern="1200" dirty="0"/>
        </a:p>
      </dsp:txBody>
      <dsp:txXfrm>
        <a:off x="4134520" y="38879"/>
        <a:ext cx="854911" cy="569941"/>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A9324-C7C3-4DDF-AB15-A96E3FAFA1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4972</Words>
  <Characters>28342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 Idrees</dc:creator>
  <cp:keywords/>
  <dc:description/>
  <cp:lastModifiedBy>Mariyah Saeed (2238801)</cp:lastModifiedBy>
  <cp:revision>2</cp:revision>
  <dcterms:created xsi:type="dcterms:W3CDTF">2026-06-25T19:04:00Z</dcterms:created>
  <dcterms:modified xsi:type="dcterms:W3CDTF">2026-06-25T19:04:00Z</dcterms:modified>
</cp:coreProperties>
</file>