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7498" w:rsidRPr="001E7498" w:rsidRDefault="005463C1">
      <w:pPr>
        <w:rPr>
          <w:u w:val="single"/>
        </w:rPr>
      </w:pPr>
      <w:r>
        <w:rPr>
          <w:u w:val="single"/>
        </w:rPr>
        <w:t>Courts and Societies</w:t>
      </w:r>
      <w:r w:rsidR="001E7498" w:rsidRPr="001E7498">
        <w:rPr>
          <w:u w:val="single"/>
        </w:rPr>
        <w:t xml:space="preserve"> Journal </w:t>
      </w:r>
    </w:p>
    <w:p w:rsidR="007361C1" w:rsidRPr="001E7498" w:rsidRDefault="001E7498" w:rsidP="00BF009C">
      <w:pPr>
        <w:spacing w:line="480" w:lineRule="auto"/>
        <w:rPr>
          <w:u w:val="single"/>
        </w:rPr>
      </w:pPr>
      <w:r w:rsidRPr="001E7498">
        <w:rPr>
          <w:u w:val="single"/>
        </w:rPr>
        <w:t xml:space="preserve">CLCS6014 </w:t>
      </w:r>
    </w:p>
    <w:p w:rsidR="001E7498" w:rsidRDefault="00BF009C" w:rsidP="00BF009C">
      <w:pPr>
        <w:spacing w:line="480" w:lineRule="auto"/>
      </w:pPr>
      <w:r>
        <w:t>My group consists of Me, Jack Purdie, Bradley McGregor. We have been giving the region of Mesopotamia in the Seleukid Empire. My character is in control of most financial decisions.</w:t>
      </w:r>
    </w:p>
    <w:p w:rsidR="001E7498" w:rsidRPr="006E531D" w:rsidRDefault="00FC1297" w:rsidP="00BF009C">
      <w:pPr>
        <w:spacing w:line="480" w:lineRule="auto"/>
        <w:rPr>
          <w:u w:val="single"/>
        </w:rPr>
      </w:pPr>
      <w:r>
        <w:rPr>
          <w:u w:val="single"/>
        </w:rPr>
        <w:t>Session 1</w:t>
      </w:r>
    </w:p>
    <w:p w:rsidR="00A60156" w:rsidRDefault="00A60156" w:rsidP="00BF009C">
      <w:pPr>
        <w:spacing w:line="480" w:lineRule="auto"/>
      </w:pPr>
      <w:r>
        <w:t>In today’s lecture, the last half an hour was the start of the actual role play of the module. Because it was only the last half an hour, we were unable to move armies, fleets or whatnot. Instead we were only able to send envoys to other factions. This was done as the time scaling of the role play is one year to every one hour.</w:t>
      </w:r>
    </w:p>
    <w:p w:rsidR="00A60156" w:rsidRDefault="00A60156" w:rsidP="00A60156">
      <w:pPr>
        <w:spacing w:line="480" w:lineRule="auto"/>
      </w:pPr>
      <w:r>
        <w:t>As the king’s wife (Molly Orme) was starting in Babylon we were able to consult wi</w:t>
      </w:r>
      <w:r w:rsidR="004C03ED">
        <w:t>th her on our petitions to the K</w:t>
      </w:r>
      <w:r>
        <w:t xml:space="preserve">ing </w:t>
      </w:r>
      <w:r w:rsidR="004C03ED">
        <w:t xml:space="preserve">of the Seleucids </w:t>
      </w:r>
      <w:r>
        <w:t>(Kyle). We were also privy to a letter from the Media group asking for permission to tax the Royal road that wa</w:t>
      </w:r>
      <w:r w:rsidR="00FC1297">
        <w:t xml:space="preserve">s addressed to the king’s wife </w:t>
      </w:r>
      <w:r>
        <w:t xml:space="preserve">and able to add </w:t>
      </w:r>
      <w:r w:rsidR="00AA25CF">
        <w:t>our input to the outcome. The final outcome being that they were allowed to tax use of the Royal Road but so were we in out lands.</w:t>
      </w:r>
    </w:p>
    <w:p w:rsidR="00A60156" w:rsidRDefault="00A60156" w:rsidP="00A60156">
      <w:pPr>
        <w:spacing w:line="480" w:lineRule="auto"/>
      </w:pPr>
      <w:r>
        <w:t>Our petitioning to the king (Kyle) was to ask for:</w:t>
      </w:r>
    </w:p>
    <w:p w:rsidR="00A60156" w:rsidRDefault="00A60156" w:rsidP="00BB20BD">
      <w:pPr>
        <w:pStyle w:val="ListParagraph"/>
        <w:numPr>
          <w:ilvl w:val="0"/>
          <w:numId w:val="1"/>
        </w:numPr>
        <w:spacing w:line="480" w:lineRule="auto"/>
      </w:pPr>
      <w:r>
        <w:t xml:space="preserve">Wood to be imported. This was to build a modest navy of 10 triremes in the Persian Gulf to secure Seleukid control and ward of Arab pirates. </w:t>
      </w:r>
      <w:r w:rsidR="00BB20BD">
        <w:t>This can be seen in a historical context when the monarch Antiochus III travelled the Persian Gulf and extracted a tribute from the city Gerrha, which was a major trading post</w:t>
      </w:r>
      <w:r w:rsidR="00BB20BD">
        <w:rPr>
          <w:rStyle w:val="FootnoteReference"/>
        </w:rPr>
        <w:footnoteReference w:id="1"/>
      </w:r>
      <w:r w:rsidR="00BB20BD">
        <w:t>. Whilst the size of the fleet is not stated, the fleet would not have to have been very large as there were no other serious contenders for the Persian Gulf</w:t>
      </w:r>
      <w:r w:rsidR="00BB20BD">
        <w:rPr>
          <w:rStyle w:val="FootnoteReference"/>
        </w:rPr>
        <w:footnoteReference w:id="2"/>
      </w:r>
      <w:r w:rsidR="00BB20BD">
        <w:t>. Therefore the size of the fleet can be said to have been 10 ships</w:t>
      </w:r>
      <w:r w:rsidR="00BB20BD">
        <w:rPr>
          <w:rStyle w:val="FootnoteReference"/>
        </w:rPr>
        <w:footnoteReference w:id="3"/>
      </w:r>
      <w:r w:rsidR="00BB20BD">
        <w:t>.</w:t>
      </w:r>
      <w:r w:rsidR="003A5705">
        <w:t xml:space="preserve"> The </w:t>
      </w:r>
      <w:r w:rsidR="003A5705">
        <w:lastRenderedPageBreak/>
        <w:t>importing of wood was necessary as Mesopotamia had little wooded areas and relied on imports from other parts of the empire</w:t>
      </w:r>
      <w:r w:rsidR="003A5705">
        <w:rPr>
          <w:rStyle w:val="FootnoteReference"/>
        </w:rPr>
        <w:footnoteReference w:id="4"/>
      </w:r>
    </w:p>
    <w:p w:rsidR="00A60156" w:rsidRDefault="00A60156" w:rsidP="00BB20BD">
      <w:pPr>
        <w:pStyle w:val="ListParagraph"/>
        <w:numPr>
          <w:ilvl w:val="0"/>
          <w:numId w:val="1"/>
        </w:numPr>
        <w:spacing w:line="480" w:lineRule="auto"/>
      </w:pPr>
      <w:r>
        <w:t>To tax the water ways. The amount of taxing is still to be decided.</w:t>
      </w:r>
      <w:r w:rsidR="00E50AE9">
        <w:t xml:space="preserve"> Whilst there is no actual direct evidence that this was done by the Seleukid, it was known to be done by the Persian kings</w:t>
      </w:r>
      <w:r w:rsidR="00E50AE9">
        <w:rPr>
          <w:rStyle w:val="FootnoteReference"/>
        </w:rPr>
        <w:footnoteReference w:id="5"/>
      </w:r>
      <w:r w:rsidR="00E50AE9">
        <w:t>. However as water was the main natural resource in Mesopotamia it is not unlikely that the Seleukid kings would have implemented such a tax</w:t>
      </w:r>
      <w:r w:rsidR="00E50AE9">
        <w:rPr>
          <w:rStyle w:val="FootnoteReference"/>
        </w:rPr>
        <w:footnoteReference w:id="6"/>
      </w:r>
      <w:r w:rsidR="00E50AE9">
        <w:t>.</w:t>
      </w:r>
    </w:p>
    <w:p w:rsidR="00A60156" w:rsidRDefault="00A60156" w:rsidP="00BB20BD">
      <w:pPr>
        <w:pStyle w:val="ListParagraph"/>
        <w:numPr>
          <w:ilvl w:val="0"/>
          <w:numId w:val="1"/>
        </w:numPr>
        <w:spacing w:line="480" w:lineRule="auto"/>
      </w:pPr>
      <w:r>
        <w:t xml:space="preserve">Permission to train forces. </w:t>
      </w:r>
    </w:p>
    <w:p w:rsidR="00A60156" w:rsidRDefault="00A60156" w:rsidP="00BB20BD">
      <w:pPr>
        <w:pStyle w:val="ListParagraph"/>
        <w:numPr>
          <w:ilvl w:val="0"/>
          <w:numId w:val="1"/>
        </w:numPr>
        <w:spacing w:line="480" w:lineRule="auto"/>
      </w:pPr>
      <w:r>
        <w:t>Permission to secure land in Arabia, mostly the coast.</w:t>
      </w:r>
      <w:r w:rsidR="003A5705">
        <w:t xml:space="preserve"> This can be seen historically in the Seleukid control of the islands of Ikaros and Tylos</w:t>
      </w:r>
      <w:r w:rsidR="003A5705">
        <w:rPr>
          <w:rStyle w:val="FootnoteReference"/>
        </w:rPr>
        <w:footnoteReference w:id="7"/>
      </w:r>
      <w:r w:rsidR="003A5705">
        <w:t xml:space="preserve">. The outcome of this should hopefully be to divert trade up through </w:t>
      </w:r>
      <w:r w:rsidR="00F60C01">
        <w:t>Seleucia</w:t>
      </w:r>
      <w:r w:rsidR="003A5705">
        <w:t>-on-Tigris.</w:t>
      </w:r>
    </w:p>
    <w:p w:rsidR="00A60156" w:rsidRDefault="00405469" w:rsidP="00BB20BD">
      <w:pPr>
        <w:pStyle w:val="ListParagraph"/>
        <w:numPr>
          <w:ilvl w:val="0"/>
          <w:numId w:val="1"/>
        </w:numPr>
        <w:spacing w:line="480" w:lineRule="auto"/>
      </w:pPr>
      <w:r>
        <w:t>Send out cartographers to increase out maps and help with trade.</w:t>
      </w:r>
    </w:p>
    <w:p w:rsidR="00405469" w:rsidRDefault="00405469" w:rsidP="00BB20BD">
      <w:pPr>
        <w:pStyle w:val="ListParagraph"/>
        <w:numPr>
          <w:ilvl w:val="0"/>
          <w:numId w:val="1"/>
        </w:numPr>
        <w:spacing w:line="480" w:lineRule="auto"/>
      </w:pPr>
      <w:r>
        <w:t>Start a Jewish military colony in Dara Europus</w:t>
      </w:r>
      <w:r w:rsidR="0016351B">
        <w:rPr>
          <w:rStyle w:val="FootnoteReference"/>
        </w:rPr>
        <w:footnoteReference w:id="8"/>
      </w:r>
    </w:p>
    <w:p w:rsidR="00405469" w:rsidRDefault="00405469" w:rsidP="00BB20BD">
      <w:pPr>
        <w:pStyle w:val="ListParagraph"/>
        <w:numPr>
          <w:ilvl w:val="0"/>
          <w:numId w:val="1"/>
        </w:numPr>
        <w:spacing w:line="480" w:lineRule="auto"/>
      </w:pPr>
      <w:r>
        <w:t xml:space="preserve">To host the king of Armenia and get him to recognise Seleukid authority. </w:t>
      </w:r>
    </w:p>
    <w:p w:rsidR="004C03ED" w:rsidRDefault="004C03ED" w:rsidP="004C03ED">
      <w:pPr>
        <w:spacing w:line="480" w:lineRule="auto"/>
      </w:pPr>
      <w:r>
        <w:t>At the end of this session Kyle died and Louix was made King.</w:t>
      </w:r>
    </w:p>
    <w:p w:rsidR="00FC1297" w:rsidRDefault="00FC1297" w:rsidP="00FC1297">
      <w:pPr>
        <w:spacing w:line="480" w:lineRule="auto"/>
        <w:rPr>
          <w:u w:val="single"/>
        </w:rPr>
      </w:pPr>
      <w:r w:rsidRPr="00FC1297">
        <w:rPr>
          <w:u w:val="single"/>
        </w:rPr>
        <w:t>Session 2</w:t>
      </w:r>
    </w:p>
    <w:p w:rsidR="00B437B0" w:rsidRDefault="00FC1297" w:rsidP="00FC1297">
      <w:pPr>
        <w:spacing w:line="480" w:lineRule="auto"/>
      </w:pPr>
      <w:r w:rsidRPr="00FC1297">
        <w:t>This week</w:t>
      </w:r>
      <w:r w:rsidR="004C03ED">
        <w:t xml:space="preserve"> Louix </w:t>
      </w:r>
      <w:r w:rsidR="0016351B">
        <w:t>agreed to the request of</w:t>
      </w:r>
      <w:r w:rsidR="00BE73FC">
        <w:t xml:space="preserve"> wood and ordered our neighbouring region of Media to supply us. However the group of Media refused to do so, and such refused a Royal </w:t>
      </w:r>
      <w:r w:rsidR="00994F0F">
        <w:t xml:space="preserve">decree. This </w:t>
      </w:r>
      <w:r w:rsidR="00BE73FC">
        <w:t xml:space="preserve">meant I was unable to get wood for my </w:t>
      </w:r>
      <w:r w:rsidR="00994F0F">
        <w:t>fleet, and that my group were fearful of them rebelling and attacking us. Because of this Louix sent a force of 10,000 Royal infantry and 500 Cavalry to ward of any thoughts of invasion. Brad, as Satrap, ordered the raising of 15,000 mercenaries</w:t>
      </w:r>
      <w:r w:rsidR="00994F0F">
        <w:rPr>
          <w:rStyle w:val="FootnoteReference"/>
        </w:rPr>
        <w:footnoteReference w:id="9"/>
      </w:r>
      <w:r w:rsidR="00994F0F">
        <w:t xml:space="preserve"> and 2000 Jewish militia</w:t>
      </w:r>
      <w:r w:rsidR="00994F0F">
        <w:rPr>
          <w:rStyle w:val="FootnoteReference"/>
        </w:rPr>
        <w:footnoteReference w:id="10"/>
      </w:r>
      <w:r w:rsidR="00994F0F">
        <w:t xml:space="preserve">. As we hosted the Armenian King, who was not a player, Brad was able secure for </w:t>
      </w:r>
      <w:r w:rsidR="00994F0F">
        <w:lastRenderedPageBreak/>
        <w:t xml:space="preserve">1000 Calvary </w:t>
      </w:r>
      <w:r w:rsidR="00055BF4">
        <w:t xml:space="preserve">from them </w:t>
      </w:r>
      <w:r w:rsidR="008346D3">
        <w:t>as well. Molly went to Media to negotiate/unsure peace and was successful and to try and negotiate for wood. This allowed for Brad to leave and take most of the troops stationed in Mesopotamia to help Louix in the war against the Ptolemies. This meant that Jack and I were in charge of city and regional managements. During this I implemented the water tax upon the water ways</w:t>
      </w:r>
      <w:r w:rsidR="008346D3">
        <w:rPr>
          <w:rStyle w:val="FootnoteReference"/>
        </w:rPr>
        <w:footnoteReference w:id="11"/>
      </w:r>
      <w:r w:rsidR="008346D3">
        <w:t>, and Jack learnt how to flood the canals and river ways</w:t>
      </w:r>
      <w:r w:rsidR="008346D3">
        <w:rPr>
          <w:rStyle w:val="FootnoteReference"/>
        </w:rPr>
        <w:footnoteReference w:id="12"/>
      </w:r>
      <w:r w:rsidR="008346D3">
        <w:t>.</w:t>
      </w:r>
      <w:r w:rsidR="00B437B0" w:rsidRPr="00B437B0">
        <w:t xml:space="preserve"> </w:t>
      </w:r>
    </w:p>
    <w:p w:rsidR="00B437B0" w:rsidRDefault="00B437B0" w:rsidP="00FC1297">
      <w:pPr>
        <w:spacing w:line="480" w:lineRule="auto"/>
        <w:rPr>
          <w:u w:val="single"/>
        </w:rPr>
      </w:pPr>
      <w:r w:rsidRPr="00B437B0">
        <w:rPr>
          <w:u w:val="single"/>
        </w:rPr>
        <w:t>Session 3</w:t>
      </w:r>
    </w:p>
    <w:p w:rsidR="008346D3" w:rsidRPr="00B437B0" w:rsidRDefault="00B437B0" w:rsidP="00FC1297">
      <w:pPr>
        <w:spacing w:line="480" w:lineRule="auto"/>
        <w:rPr>
          <w:u w:val="single"/>
        </w:rPr>
      </w:pPr>
      <w:r>
        <w:t>At the end of Session 3 Louix was assassinated by the “Macedonians”, and Brad the true mastermind of the assassination, was able to declare himself king. This was allowed as he was betrothed to Molly, in charge of the army and there were no more male heirs to the Seleucid Throne.</w:t>
      </w:r>
    </w:p>
    <w:p w:rsidR="00FE1DC7" w:rsidRDefault="008346D3" w:rsidP="00FE1DC7">
      <w:pPr>
        <w:spacing w:line="480" w:lineRule="auto"/>
      </w:pPr>
      <w:r w:rsidRPr="008346D3">
        <w:rPr>
          <w:u w:val="single"/>
        </w:rPr>
        <w:t>Session 4</w:t>
      </w:r>
      <w:r w:rsidR="00B437B0" w:rsidRPr="00B437B0">
        <w:t xml:space="preserve"> </w:t>
      </w:r>
    </w:p>
    <w:p w:rsidR="00FE1DC7" w:rsidRDefault="00FE1DC7" w:rsidP="00FC1297">
      <w:pPr>
        <w:spacing w:line="480" w:lineRule="auto"/>
      </w:pPr>
      <w:r w:rsidRPr="00B437B0">
        <w:t>During this session</w:t>
      </w:r>
      <w:r>
        <w:t xml:space="preserve"> I planned and hosted a festival to keep the people of Babylon and Seleucia-on-Tigris happy and content.  Jack and I planned this festival together and it was to help reassure people that they were not being ignored.  The festival would have been a spring festival and would have included people of all class and genders</w:t>
      </w:r>
      <w:r>
        <w:rPr>
          <w:rStyle w:val="FootnoteReference"/>
        </w:rPr>
        <w:footnoteReference w:id="13"/>
      </w:r>
      <w:r>
        <w:t>. The festival was a success.</w:t>
      </w:r>
    </w:p>
    <w:p w:rsidR="008346D3" w:rsidRDefault="003D1014" w:rsidP="00FC1297">
      <w:pPr>
        <w:spacing w:line="480" w:lineRule="auto"/>
      </w:pPr>
      <w:r>
        <w:t>As an ally to Brad, I recognised his rule</w:t>
      </w:r>
      <w:r w:rsidR="00FE1DC7">
        <w:t xml:space="preserve"> and supported him in his claim</w:t>
      </w:r>
      <w:r>
        <w:t>.</w:t>
      </w:r>
      <w:r w:rsidR="00B23359">
        <w:t xml:space="preserve"> </w:t>
      </w:r>
      <w:r w:rsidR="009C296C">
        <w:t>Brad was married to M</w:t>
      </w:r>
      <w:r w:rsidR="0067055A">
        <w:t xml:space="preserve">olly and officially crowned as king in Sardis. </w:t>
      </w:r>
      <w:r w:rsidR="00A91FA1">
        <w:t xml:space="preserve">This meant that Brad was able to </w:t>
      </w:r>
      <w:r w:rsidR="00674AC8">
        <w:t>send</w:t>
      </w:r>
      <w:r w:rsidR="00A91FA1">
        <w:t xml:space="preserve"> me wood from the Phoenicia</w:t>
      </w:r>
      <w:r w:rsidR="007305EF">
        <w:t>n Region</w:t>
      </w:r>
      <w:r w:rsidR="00E627AD">
        <w:rPr>
          <w:rStyle w:val="FootnoteReference"/>
        </w:rPr>
        <w:footnoteReference w:id="14"/>
      </w:r>
      <w:r w:rsidR="007305EF">
        <w:t xml:space="preserve">. </w:t>
      </w:r>
      <w:r w:rsidR="00B82741">
        <w:t xml:space="preserve">Jack was also promoted to Satrap. </w:t>
      </w:r>
      <w:r w:rsidR="007305EF">
        <w:t>It was at this time that we were informed by a master student that 10 ships was not a sufficient amount and that the fleet should be about 100 ships.</w:t>
      </w:r>
      <w:r w:rsidR="006A2700">
        <w:t xml:space="preserve"> </w:t>
      </w:r>
      <w:r w:rsidR="00FB0AA8">
        <w:t>At the end of this session I had started to build my fleet</w:t>
      </w:r>
      <w:r w:rsidR="00E627AD">
        <w:t xml:space="preserve"> at Antioch-on-the-Erythaean-Sea. </w:t>
      </w:r>
      <w:r w:rsidR="001E41F5">
        <w:t>At this time Jack left to reinforce Brad in Antioch</w:t>
      </w:r>
      <w:r w:rsidR="00A16176">
        <w:t xml:space="preserve"> and was promoted to Strategos</w:t>
      </w:r>
      <w:r w:rsidR="001E41F5">
        <w:t>, leaving me in charge of Mesopotamia</w:t>
      </w:r>
      <w:r w:rsidR="00A16176">
        <w:t xml:space="preserve"> whilst also being promoted to Satrap</w:t>
      </w:r>
      <w:r w:rsidR="001E41F5">
        <w:t xml:space="preserve">. </w:t>
      </w:r>
    </w:p>
    <w:p w:rsidR="001E41F5" w:rsidRDefault="006A2700" w:rsidP="00FC1297">
      <w:pPr>
        <w:spacing w:line="480" w:lineRule="auto"/>
        <w:rPr>
          <w:u w:val="single"/>
        </w:rPr>
      </w:pPr>
      <w:r w:rsidRPr="006A2700">
        <w:rPr>
          <w:u w:val="single"/>
        </w:rPr>
        <w:lastRenderedPageBreak/>
        <w:t>Session 5</w:t>
      </w:r>
    </w:p>
    <w:p w:rsidR="00FF7E16" w:rsidRDefault="001E41F5" w:rsidP="00FC1297">
      <w:pPr>
        <w:spacing w:line="480" w:lineRule="auto"/>
      </w:pPr>
      <w:r>
        <w:t>During this session I finished building my fleet</w:t>
      </w:r>
      <w:r w:rsidR="00B2074A">
        <w:t xml:space="preserve"> </w:t>
      </w:r>
      <w:r w:rsidR="00FE1DC7">
        <w:t xml:space="preserve">located at Antioch-on-the-Erythaean-Sea </w:t>
      </w:r>
      <w:r w:rsidR="00B2074A">
        <w:t>and established a small naval base on the Failaka Island</w:t>
      </w:r>
      <w:r w:rsidR="00BE458F">
        <w:t>, which was named Icarus at the time</w:t>
      </w:r>
      <w:r w:rsidR="00B2074A">
        <w:rPr>
          <w:rStyle w:val="FootnoteReference"/>
        </w:rPr>
        <w:footnoteReference w:id="15"/>
      </w:r>
      <w:r w:rsidR="00BE458F">
        <w:t>.</w:t>
      </w:r>
      <w:r w:rsidR="000A2598">
        <w:t>This Island was controlled by the Babylonians and can be presumed to have also been controlled by the Seleucids</w:t>
      </w:r>
      <w:r w:rsidR="00FF7E16">
        <w:rPr>
          <w:rStyle w:val="FootnoteReference"/>
        </w:rPr>
        <w:footnoteReference w:id="16"/>
      </w:r>
      <w:r w:rsidR="000A2598">
        <w:t>.</w:t>
      </w:r>
      <w:r w:rsidR="00FF7E16">
        <w:t xml:space="preserve"> This island is important as it close to Antioch-on-the-Erythaean-Sea and would be able to monitor trade imports to that city, as well as to protect the trading ships from pirates.</w:t>
      </w:r>
    </w:p>
    <w:p w:rsidR="00FF7E16" w:rsidRDefault="00BE458F" w:rsidP="00FC1297">
      <w:pPr>
        <w:spacing w:line="480" w:lineRule="auto"/>
      </w:pPr>
      <w:r>
        <w:t>I then st</w:t>
      </w:r>
      <w:r w:rsidR="00FF7E16">
        <w:t>arted to use my fleet to clear p</w:t>
      </w:r>
      <w:r>
        <w:t xml:space="preserve">irates from the Persian Gulf. Originally I intended to annex the Arab side of the Persian Gulf </w:t>
      </w:r>
      <w:r w:rsidR="0067055A">
        <w:t>and</w:t>
      </w:r>
      <w:r>
        <w:t xml:space="preserve"> started to look at how much man po</w:t>
      </w:r>
      <w:r w:rsidR="0067055A">
        <w:t>wer I would need</w:t>
      </w:r>
      <w:r w:rsidR="00FF7E16">
        <w:t>, however due to B</w:t>
      </w:r>
      <w:r w:rsidR="00A16176">
        <w:t>rad needing all the troops he could spare I was unable to do such a large scale operation.</w:t>
      </w:r>
      <w:r w:rsidR="00FF7E16">
        <w:t xml:space="preserve"> This was historically done by Antiochus III and he was able to extract tribute from them</w:t>
      </w:r>
      <w:r w:rsidR="00FF7E16">
        <w:rPr>
          <w:rStyle w:val="FootnoteReference"/>
        </w:rPr>
        <w:footnoteReference w:id="17"/>
      </w:r>
      <w:r w:rsidR="00FF7E16">
        <w:t>.</w:t>
      </w:r>
    </w:p>
    <w:p w:rsidR="003A5317" w:rsidRDefault="006D003C" w:rsidP="00FC1297">
      <w:pPr>
        <w:spacing w:line="480" w:lineRule="auto"/>
      </w:pPr>
      <w:r>
        <w:t>Instead I chose to lead a colony to the Island of Bahrain, which was then known as Tylos</w:t>
      </w:r>
      <w:r w:rsidR="00FF7E16">
        <w:t xml:space="preserve"> at the time</w:t>
      </w:r>
      <w:r w:rsidR="000A2598">
        <w:rPr>
          <w:rStyle w:val="FootnoteReference"/>
        </w:rPr>
        <w:footnoteReference w:id="18"/>
      </w:r>
      <w:r w:rsidR="000A2598">
        <w:t>.</w:t>
      </w:r>
      <w:r w:rsidR="00AB01E2">
        <w:t xml:space="preserve"> This would have helped to control and moderate the trade in the Persian Gulf, and would have also established a power base that can be used if needed.</w:t>
      </w:r>
      <w:r w:rsidR="00FF7E16">
        <w:t xml:space="preserve"> This would have also helped to promote Seleucid power and to show of the capabilities of the Seleucid </w:t>
      </w:r>
      <w:r w:rsidR="003A5317">
        <w:t>Empire</w:t>
      </w:r>
      <w:r w:rsidR="00FF7E16">
        <w:t xml:space="preserve">. </w:t>
      </w:r>
      <w:r w:rsidR="003A5317">
        <w:t xml:space="preserve"> However one of the most important duties of this colony was to control trade. As the nearest city to this colony would have been Gerrha</w:t>
      </w:r>
      <w:r w:rsidR="003A5317">
        <w:rPr>
          <w:rStyle w:val="FootnoteReference"/>
        </w:rPr>
        <w:footnoteReference w:id="19"/>
      </w:r>
      <w:r w:rsidR="003A5317">
        <w:t>, which was one of the prime ports that ships bearing goods and cargo from India docked at, it was important to use the my powerful fleet to extract tax from these ships in return of safe passage to Gerrha</w:t>
      </w:r>
      <w:r w:rsidR="00FE1DC7">
        <w:t xml:space="preserve"> as well as patrolling all over the Persian Gulf hunting for Pirates</w:t>
      </w:r>
      <w:r w:rsidR="003A5317">
        <w:t>.</w:t>
      </w:r>
    </w:p>
    <w:p w:rsidR="001E41F5" w:rsidRDefault="00AB01E2" w:rsidP="00FC1297">
      <w:pPr>
        <w:spacing w:line="480" w:lineRule="auto"/>
      </w:pPr>
      <w:r>
        <w:t>As Brad was trying to consolidate his power</w:t>
      </w:r>
      <w:r w:rsidR="00F22A42">
        <w:t xml:space="preserve"> base, he decided to move the Royal treasury to Seleucia-on-the-Tigris in Mesopotamia as he would be able to trust me to keep it safe, as was my job </w:t>
      </w:r>
      <w:r w:rsidR="003A5317">
        <w:t xml:space="preserve">as </w:t>
      </w:r>
      <w:r w:rsidR="00BE149B">
        <w:lastRenderedPageBreak/>
        <w:t>financial advisor for him.</w:t>
      </w:r>
      <w:r w:rsidR="00AE1675">
        <w:t xml:space="preserve"> There were also a mint in Babylon that was able to </w:t>
      </w:r>
      <w:r w:rsidR="003A5317">
        <w:t xml:space="preserve">reinforce and </w:t>
      </w:r>
      <w:r w:rsidR="00AE1675">
        <w:t xml:space="preserve">secure this decision. </w:t>
      </w:r>
      <w:r w:rsidR="001F6A5C">
        <w:t xml:space="preserve"> </w:t>
      </w:r>
    </w:p>
    <w:p w:rsidR="001F6A5C" w:rsidRDefault="001F6A5C" w:rsidP="00FC1297">
      <w:pPr>
        <w:spacing w:line="480" w:lineRule="auto"/>
        <w:rPr>
          <w:u w:val="single"/>
        </w:rPr>
      </w:pPr>
      <w:r w:rsidRPr="001F6A5C">
        <w:rPr>
          <w:u w:val="single"/>
        </w:rPr>
        <w:t>Session 6</w:t>
      </w:r>
    </w:p>
    <w:p w:rsidR="00FE1DC7" w:rsidRDefault="001F6A5C" w:rsidP="00FC1297">
      <w:pPr>
        <w:spacing w:line="480" w:lineRule="auto"/>
      </w:pPr>
      <w:r>
        <w:t xml:space="preserve">During this session I was still creating my colony in the Erythaean Sea. </w:t>
      </w:r>
      <w:r w:rsidR="003A5317">
        <w:t xml:space="preserve"> I was also trying to secure some Arab force to fight for Brad. I was able to attempt </w:t>
      </w:r>
      <w:r w:rsidR="00FE1DC7">
        <w:t>this as I had access to the royal treasury and the mint in Babylon. Ultimately I was not able to secure any forces for Brad and nothing was to come from this. This largely meant that for me this session was uneventful.</w:t>
      </w:r>
    </w:p>
    <w:p w:rsidR="00F05343" w:rsidRDefault="00FE1DC7" w:rsidP="00FC1297">
      <w:pPr>
        <w:spacing w:line="480" w:lineRule="auto"/>
      </w:pPr>
      <w:r>
        <w:t xml:space="preserve">However </w:t>
      </w:r>
      <w:r w:rsidR="001F6A5C">
        <w:t>there was also a</w:t>
      </w:r>
      <w:r w:rsidR="00946637">
        <w:t xml:space="preserve"> few events that shaped the next session significantly. This included</w:t>
      </w:r>
      <w:r w:rsidR="001F6A5C">
        <w:t xml:space="preserve"> large battle at Magnesian in Asia Minor</w:t>
      </w:r>
      <w:r w:rsidR="00946637">
        <w:t xml:space="preserve"> against the Macedonians. Brad was able to win the battle decisively, and force the Macedonians to leave Asia Minor, and extract 5000 talents of silver. This then meant that Brad was able to turn his attention to </w:t>
      </w:r>
      <w:proofErr w:type="spellStart"/>
      <w:r w:rsidR="00A35C97">
        <w:t>Coele</w:t>
      </w:r>
      <w:proofErr w:type="spellEnd"/>
      <w:r w:rsidR="00A35C97">
        <w:t>-</w:t>
      </w:r>
      <w:r w:rsidR="00946637">
        <w:t>Syria</w:t>
      </w:r>
      <w:r w:rsidR="00A35C97">
        <w:t xml:space="preserve"> that was not subdued. Unfortunately this meant that when receiving an </w:t>
      </w:r>
      <w:r w:rsidR="007E58E3">
        <w:t>ambassador from Troy of Upper Eg</w:t>
      </w:r>
      <w:r w:rsidR="00A35C97">
        <w:t>ypt</w:t>
      </w:r>
      <w:r w:rsidR="005463C1">
        <w:t xml:space="preserve"> Brad was assassinated and the Seleucid Empire was left without monarch.</w:t>
      </w:r>
      <w:r w:rsidR="00466B0F">
        <w:t xml:space="preserve">  During this time Parthia under Ted invaded Mesopotamia and took control of Babylon and Seleucia-on-the-Tigris</w:t>
      </w:r>
      <w:r w:rsidR="00A17E6D">
        <w:t>. However Jack who had returned from Antioch was able to Flood the River ways</w:t>
      </w:r>
      <w:r w:rsidR="00A23B0C">
        <w:t xml:space="preserve"> and c</w:t>
      </w:r>
      <w:r w:rsidR="00A17E6D">
        <w:t>anals</w:t>
      </w:r>
      <w:r w:rsidR="00A23B0C">
        <w:rPr>
          <w:rStyle w:val="FootnoteReference"/>
        </w:rPr>
        <w:footnoteReference w:id="20"/>
      </w:r>
      <w:r w:rsidR="00A17E6D">
        <w:t>, leaving Ted</w:t>
      </w:r>
      <w:r w:rsidR="00A23B0C">
        <w:t>’</w:t>
      </w:r>
      <w:r w:rsidR="00A17E6D">
        <w:t xml:space="preserve">s army stranded and un-able to receive supplies and reinforcements. </w:t>
      </w:r>
    </w:p>
    <w:p w:rsidR="00F05343" w:rsidRPr="00A23B0C" w:rsidRDefault="00F05343" w:rsidP="00FC1297">
      <w:pPr>
        <w:spacing w:line="480" w:lineRule="auto"/>
        <w:rPr>
          <w:u w:val="single"/>
        </w:rPr>
      </w:pPr>
      <w:r w:rsidRPr="00A23B0C">
        <w:rPr>
          <w:u w:val="single"/>
        </w:rPr>
        <w:t>Session 7</w:t>
      </w:r>
    </w:p>
    <w:p w:rsidR="00A86233" w:rsidRDefault="00F05343" w:rsidP="00645C68">
      <w:pPr>
        <w:spacing w:line="480" w:lineRule="auto"/>
      </w:pPr>
      <w:r>
        <w:t>As I received news of Brad’s assassination I retu</w:t>
      </w:r>
      <w:r w:rsidR="00A23B0C">
        <w:t>rned to Seleucia-on-the-Tigris to convey with Ted. We discussed possibilities of me as Satrap giving him my loyalty and my expertise and knowledge of the water ways of Mesopotamia, however during this I found out that Brad had b</w:t>
      </w:r>
      <w:r w:rsidR="00A55CE4">
        <w:t>een resurrected but this time as</w:t>
      </w:r>
      <w:r w:rsidR="00A23B0C">
        <w:t xml:space="preserve"> the </w:t>
      </w:r>
      <w:r w:rsidR="00A55CE4">
        <w:t>cousin</w:t>
      </w:r>
      <w:r w:rsidR="00A23B0C">
        <w:t xml:space="preserve"> of </w:t>
      </w:r>
      <w:r w:rsidR="00A55CE4">
        <w:t>Brad’s former character. This meant that Brad’s new character had a strong claim to the throne</w:t>
      </w:r>
      <w:r w:rsidR="00150DE0">
        <w:t xml:space="preserve">, and by being a relation of Brads old character, it is not unlikely that my </w:t>
      </w:r>
      <w:r w:rsidR="00150DE0">
        <w:lastRenderedPageBreak/>
        <w:t>character would have had some sort of interaction with him in the past. Upon hearing that Jack had declared his support to new Brad, and that the Satrap of Antioch had also declared for Brad.</w:t>
      </w:r>
      <w:r w:rsidR="00161106">
        <w:t xml:space="preserve"> </w:t>
      </w:r>
    </w:p>
    <w:p w:rsidR="00407827" w:rsidRDefault="00161106" w:rsidP="00645C68">
      <w:pPr>
        <w:spacing w:line="480" w:lineRule="auto"/>
      </w:pPr>
      <w:r>
        <w:t>I decided to leave Ted and return to my Island colony</w:t>
      </w:r>
      <w:r w:rsidR="00645C68">
        <w:t xml:space="preserve"> </w:t>
      </w:r>
      <w:r>
        <w:t xml:space="preserve">on Tylos. I then conveyed messages to and from Brad and Jack, and decided to also throw in my support </w:t>
      </w:r>
      <w:r w:rsidR="00020D52">
        <w:t xml:space="preserve">for Brad’s new Character.  This led to me establishing a blockade on the ports of Antioch-on-the-Erythaean </w:t>
      </w:r>
      <w:r w:rsidR="005F12E5">
        <w:t xml:space="preserve">and raiding any ships </w:t>
      </w:r>
      <w:r w:rsidR="005C4BCC">
        <w:t>that attempted</w:t>
      </w:r>
      <w:r w:rsidR="005F12E5">
        <w:t xml:space="preserve"> to support Ted’</w:t>
      </w:r>
      <w:r w:rsidR="005C4BCC">
        <w:t xml:space="preserve">s army. </w:t>
      </w:r>
      <w:r w:rsidR="00A86233">
        <w:t xml:space="preserve">This was of course beneficial as it meant that Ted was unable to get any supplies and support for his invasion, at least by sea. </w:t>
      </w:r>
    </w:p>
    <w:p w:rsidR="00C41E74" w:rsidRDefault="005C4BCC" w:rsidP="00645C68">
      <w:pPr>
        <w:spacing w:line="480" w:lineRule="auto"/>
      </w:pPr>
      <w:r>
        <w:t xml:space="preserve">I also was able to divert trade through my colony, making it thrive and wealthy. All of this was manageable as </w:t>
      </w:r>
      <w:r w:rsidR="00157D2C">
        <w:t>I still had control of my fleet.</w:t>
      </w:r>
      <w:r w:rsidR="00C41E74">
        <w:t xml:space="preserve"> </w:t>
      </w:r>
      <w:r w:rsidR="00157D2C">
        <w:t xml:space="preserve">After </w:t>
      </w:r>
      <w:r w:rsidR="00050EA1">
        <w:t xml:space="preserve">a </w:t>
      </w:r>
      <w:r w:rsidR="00F80E31">
        <w:t xml:space="preserve">few </w:t>
      </w:r>
      <w:r w:rsidR="00050EA1">
        <w:t>year</w:t>
      </w:r>
      <w:r w:rsidR="00F80E31">
        <w:t>s</w:t>
      </w:r>
      <w:r w:rsidR="00050EA1">
        <w:t xml:space="preserve"> of game time, Ted was forced to leave Mesopotamia </w:t>
      </w:r>
      <w:r w:rsidR="00F80E31">
        <w:t xml:space="preserve">and return to Parthia </w:t>
      </w:r>
      <w:r w:rsidR="00050EA1">
        <w:t>as his army was starving</w:t>
      </w:r>
      <w:r w:rsidR="00F80E31">
        <w:t>.</w:t>
      </w:r>
    </w:p>
    <w:p w:rsidR="00C41E74" w:rsidRDefault="00C41E74" w:rsidP="00645C68">
      <w:pPr>
        <w:spacing w:line="480" w:lineRule="auto"/>
        <w:rPr>
          <w:u w:val="single"/>
        </w:rPr>
      </w:pPr>
      <w:r w:rsidRPr="00C41E74">
        <w:rPr>
          <w:u w:val="single"/>
        </w:rPr>
        <w:t>Session 8</w:t>
      </w:r>
    </w:p>
    <w:p w:rsidR="00C41E74" w:rsidRPr="00C41E74" w:rsidRDefault="00034650" w:rsidP="00645C68">
      <w:pPr>
        <w:spacing w:line="480" w:lineRule="auto"/>
      </w:pPr>
      <w:r>
        <w:t xml:space="preserve">The plan for this session is to retake Babylon, and link back up with Brad and Jack.  They had begun to plan a way to retake the city, aiming to take it in a peaceful way. </w:t>
      </w:r>
    </w:p>
    <w:p w:rsidR="00157D2C" w:rsidRDefault="00F80E31" w:rsidP="00645C68">
      <w:pPr>
        <w:spacing w:line="480" w:lineRule="auto"/>
      </w:pPr>
      <w:r>
        <w:t xml:space="preserve"> This </w:t>
      </w:r>
      <w:r w:rsidR="00034650">
        <w:t>should mean that I will be</w:t>
      </w:r>
      <w:r>
        <w:t xml:space="preserve"> able to use my wealth that I had acquired to return to Mesopotamia and help re</w:t>
      </w:r>
      <w:r w:rsidR="007D06D3">
        <w:t xml:space="preserve">lieve the city from starvation. I can also use my wealth to help Brad consolidate his power base, hopefully in turn for him to allow me my own kingdom on Tylos. Then we can work together as allies.  </w:t>
      </w:r>
      <w:r>
        <w:t xml:space="preserve">I </w:t>
      </w:r>
      <w:r w:rsidR="00034650">
        <w:t>can also start</w:t>
      </w:r>
      <w:r>
        <w:t xml:space="preserve"> to lessen the flooding of the water ways to help get agricultural production back on track.</w:t>
      </w:r>
    </w:p>
    <w:p w:rsidR="00E627AD" w:rsidRDefault="00E627AD"/>
    <w:p w:rsidR="00E627AD" w:rsidRDefault="00E627AD"/>
    <w:p w:rsidR="00E627AD" w:rsidRDefault="00E627AD"/>
    <w:p w:rsidR="00E627AD" w:rsidRDefault="00E627AD"/>
    <w:p w:rsidR="00F60C01" w:rsidRDefault="00F60C01"/>
    <w:p w:rsidR="00F60C01" w:rsidRDefault="00F60C01">
      <w:bookmarkStart w:id="0" w:name="_GoBack"/>
      <w:bookmarkEnd w:id="0"/>
    </w:p>
    <w:p w:rsidR="00F60C01" w:rsidRDefault="00F60C01"/>
    <w:p w:rsidR="00F60C01" w:rsidRDefault="00F60C01"/>
    <w:p w:rsidR="00F60C01" w:rsidRDefault="00F60C01"/>
    <w:p w:rsidR="007D06D3" w:rsidRDefault="007D06D3">
      <w:pPr>
        <w:rPr>
          <w:b/>
          <w:u w:val="single"/>
        </w:rPr>
      </w:pPr>
    </w:p>
    <w:p w:rsidR="00F60C01" w:rsidRPr="00F60C01" w:rsidRDefault="00F60C01">
      <w:pPr>
        <w:rPr>
          <w:b/>
          <w:u w:val="single"/>
        </w:rPr>
      </w:pPr>
      <w:r w:rsidRPr="00F60C01">
        <w:rPr>
          <w:b/>
          <w:u w:val="single"/>
        </w:rPr>
        <w:t>Bibliography</w:t>
      </w:r>
    </w:p>
    <w:p w:rsidR="0016351B" w:rsidRPr="007D06D3" w:rsidRDefault="00F60C01" w:rsidP="007D06D3">
      <w:pPr>
        <w:pStyle w:val="ListParagraph"/>
        <w:numPr>
          <w:ilvl w:val="0"/>
          <w:numId w:val="4"/>
        </w:numPr>
        <w:tabs>
          <w:tab w:val="left" w:pos="2160"/>
        </w:tabs>
        <w:spacing w:line="480" w:lineRule="auto"/>
        <w:rPr>
          <w:rFonts w:cstheme="minorHAnsi"/>
          <w:shd w:val="clear" w:color="auto" w:fill="FFFFFF"/>
        </w:rPr>
      </w:pPr>
      <w:r w:rsidRPr="007D06D3">
        <w:rPr>
          <w:rFonts w:cstheme="minorHAnsi"/>
          <w:shd w:val="clear" w:color="auto" w:fill="FFFFFF"/>
        </w:rPr>
        <w:t>Aperghis, G. (2015). </w:t>
      </w:r>
      <w:r w:rsidR="008346D3" w:rsidRPr="007D06D3">
        <w:rPr>
          <w:rFonts w:cstheme="minorHAnsi"/>
          <w:iCs/>
          <w:shd w:val="clear" w:color="auto" w:fill="FFFFFF"/>
        </w:rPr>
        <w:t>The Seleukid Royal E</w:t>
      </w:r>
      <w:r w:rsidRPr="007D06D3">
        <w:rPr>
          <w:rFonts w:cstheme="minorHAnsi"/>
          <w:iCs/>
          <w:shd w:val="clear" w:color="auto" w:fill="FFFFFF"/>
        </w:rPr>
        <w:t>conomy</w:t>
      </w:r>
      <w:r w:rsidRPr="007D06D3">
        <w:rPr>
          <w:rFonts w:cstheme="minorHAnsi"/>
          <w:shd w:val="clear" w:color="auto" w:fill="FFFFFF"/>
        </w:rPr>
        <w:t>. Cambridge: Cambridge University Press.</w:t>
      </w:r>
    </w:p>
    <w:p w:rsidR="007D06D3" w:rsidRPr="00746264" w:rsidRDefault="00E627AD" w:rsidP="007D06D3">
      <w:pPr>
        <w:pStyle w:val="ListParagraph"/>
        <w:numPr>
          <w:ilvl w:val="0"/>
          <w:numId w:val="4"/>
        </w:numPr>
        <w:tabs>
          <w:tab w:val="left" w:pos="2160"/>
        </w:tabs>
        <w:spacing w:line="480" w:lineRule="auto"/>
        <w:rPr>
          <w:rFonts w:cstheme="minorHAnsi"/>
          <w:shd w:val="clear" w:color="auto" w:fill="FFFFFF"/>
        </w:rPr>
      </w:pPr>
      <w:proofErr w:type="spellStart"/>
      <w:r w:rsidRPr="007D06D3">
        <w:rPr>
          <w:rStyle w:val="HTMLCite"/>
          <w:rFonts w:cstheme="minorHAnsi"/>
          <w:i w:val="0"/>
          <w:color w:val="222222"/>
        </w:rPr>
        <w:t>Aubet</w:t>
      </w:r>
      <w:proofErr w:type="spellEnd"/>
      <w:r w:rsidRPr="007D06D3">
        <w:rPr>
          <w:rStyle w:val="HTMLCite"/>
          <w:rFonts w:cstheme="minorHAnsi"/>
          <w:i w:val="0"/>
          <w:color w:val="222222"/>
        </w:rPr>
        <w:t xml:space="preserve">, Maria Eugenia (2001-09-06). The Phoenicians and the West: Politics, Colonies and </w:t>
      </w:r>
      <w:r w:rsidRPr="00746264">
        <w:rPr>
          <w:rStyle w:val="HTMLCite"/>
          <w:rFonts w:cstheme="minorHAnsi"/>
          <w:i w:val="0"/>
          <w:color w:val="222222"/>
        </w:rPr>
        <w:t>Trade. Cambridge University Press</w:t>
      </w:r>
      <w:r w:rsidR="007D06D3" w:rsidRPr="00746264">
        <w:rPr>
          <w:rFonts w:cstheme="minorHAnsi"/>
          <w:shd w:val="clear" w:color="auto" w:fill="FFFFFF"/>
        </w:rPr>
        <w:t xml:space="preserve"> </w:t>
      </w:r>
    </w:p>
    <w:p w:rsidR="007D06D3" w:rsidRPr="00746264" w:rsidRDefault="007D06D3" w:rsidP="007D06D3">
      <w:pPr>
        <w:pStyle w:val="ListParagraph"/>
        <w:numPr>
          <w:ilvl w:val="0"/>
          <w:numId w:val="4"/>
        </w:numPr>
        <w:tabs>
          <w:tab w:val="left" w:pos="2160"/>
        </w:tabs>
        <w:spacing w:line="480" w:lineRule="auto"/>
        <w:rPr>
          <w:rFonts w:cstheme="minorHAnsi"/>
          <w:shd w:val="clear" w:color="auto" w:fill="FFFFFF"/>
        </w:rPr>
      </w:pPr>
      <w:r w:rsidRPr="00746264">
        <w:rPr>
          <w:rFonts w:cstheme="minorHAnsi"/>
          <w:shd w:val="clear" w:color="auto" w:fill="FFFFFF"/>
        </w:rPr>
        <w:t>Bar-</w:t>
      </w:r>
      <w:proofErr w:type="spellStart"/>
      <w:r w:rsidRPr="00746264">
        <w:rPr>
          <w:rFonts w:cstheme="minorHAnsi"/>
          <w:shd w:val="clear" w:color="auto" w:fill="FFFFFF"/>
        </w:rPr>
        <w:t>Kochva</w:t>
      </w:r>
      <w:proofErr w:type="spellEnd"/>
      <w:r w:rsidRPr="00746264">
        <w:rPr>
          <w:rFonts w:cstheme="minorHAnsi"/>
          <w:shd w:val="clear" w:color="auto" w:fill="FFFFFF"/>
        </w:rPr>
        <w:t xml:space="preserve">, B. (1976).  The Seleucid Army: Organization &amp; Tactics in the Great Campaigns. Cambridge: Cambridge University Press. </w:t>
      </w:r>
    </w:p>
    <w:p w:rsidR="007D06D3" w:rsidRPr="00746264" w:rsidRDefault="007D06D3" w:rsidP="007D06D3">
      <w:pPr>
        <w:pStyle w:val="ListParagraph"/>
        <w:numPr>
          <w:ilvl w:val="0"/>
          <w:numId w:val="4"/>
        </w:numPr>
        <w:rPr>
          <w:rFonts w:cstheme="minorHAnsi"/>
        </w:rPr>
      </w:pPr>
      <w:r w:rsidRPr="00746264">
        <w:rPr>
          <w:rFonts w:cstheme="minorHAnsi"/>
          <w:color w:val="222222"/>
          <w:shd w:val="clear" w:color="auto" w:fill="EAF3FF"/>
        </w:rPr>
        <w:t>Classical Greece: Ancient histories and modern archaeologies, Ian Morris, Routledg</w:t>
      </w:r>
      <w:r w:rsidRPr="00746264">
        <w:rPr>
          <w:rFonts w:cstheme="minorHAnsi"/>
          <w:color w:val="222222"/>
          <w:shd w:val="clear" w:color="auto" w:fill="EAF3FF"/>
        </w:rPr>
        <w:t>e,</w:t>
      </w:r>
    </w:p>
    <w:p w:rsidR="007D06D3" w:rsidRPr="00746264" w:rsidRDefault="007D06D3" w:rsidP="007D06D3">
      <w:pPr>
        <w:pStyle w:val="ListParagraph"/>
        <w:rPr>
          <w:rFonts w:cstheme="minorHAnsi"/>
        </w:rPr>
      </w:pPr>
    </w:p>
    <w:p w:rsidR="007D06D3" w:rsidRPr="00746264" w:rsidRDefault="000A2598" w:rsidP="007D06D3">
      <w:pPr>
        <w:pStyle w:val="ListParagraph"/>
        <w:numPr>
          <w:ilvl w:val="0"/>
          <w:numId w:val="4"/>
        </w:numPr>
        <w:tabs>
          <w:tab w:val="left" w:pos="2160"/>
        </w:tabs>
        <w:spacing w:line="480" w:lineRule="auto"/>
        <w:rPr>
          <w:rFonts w:cstheme="minorHAnsi"/>
          <w:shd w:val="clear" w:color="auto" w:fill="FFFFFF"/>
        </w:rPr>
      </w:pPr>
      <w:r w:rsidRPr="00746264">
        <w:rPr>
          <w:rFonts w:cstheme="minorHAnsi"/>
        </w:rPr>
        <w:t>"From Cyrus to Alexander: A History of the Persian Empire"</w:t>
      </w:r>
      <w:r w:rsidRPr="00746264">
        <w:rPr>
          <w:rFonts w:cstheme="minorHAnsi"/>
          <w:color w:val="222222"/>
          <w:shd w:val="clear" w:color="auto" w:fill="EAF3FF"/>
        </w:rPr>
        <w:t>. </w:t>
      </w:r>
      <w:r w:rsidRPr="00746264">
        <w:rPr>
          <w:rFonts w:cstheme="minorHAnsi"/>
          <w:i/>
          <w:iCs/>
          <w:color w:val="222222"/>
          <w:shd w:val="clear" w:color="auto" w:fill="EAF3FF"/>
        </w:rPr>
        <w:t xml:space="preserve">Pierre </w:t>
      </w:r>
      <w:proofErr w:type="spellStart"/>
      <w:r w:rsidRPr="00746264">
        <w:rPr>
          <w:rFonts w:cstheme="minorHAnsi"/>
          <w:i/>
          <w:iCs/>
          <w:color w:val="222222"/>
          <w:shd w:val="clear" w:color="auto" w:fill="EAF3FF"/>
        </w:rPr>
        <w:t>Briant</w:t>
      </w:r>
      <w:proofErr w:type="spellEnd"/>
      <w:r w:rsidR="007D06D3" w:rsidRPr="00746264">
        <w:rPr>
          <w:rFonts w:cstheme="minorHAnsi"/>
          <w:color w:val="222222"/>
          <w:shd w:val="clear" w:color="auto" w:fill="EAF3FF"/>
        </w:rPr>
        <w:t>. 2002.</w:t>
      </w:r>
    </w:p>
    <w:p w:rsidR="007D06D3" w:rsidRPr="00746264" w:rsidRDefault="007D06D3" w:rsidP="007D06D3">
      <w:pPr>
        <w:pStyle w:val="FootnoteText"/>
        <w:numPr>
          <w:ilvl w:val="0"/>
          <w:numId w:val="4"/>
        </w:numPr>
        <w:rPr>
          <w:sz w:val="22"/>
          <w:szCs w:val="22"/>
        </w:rPr>
      </w:pPr>
      <w:r w:rsidRPr="00746264">
        <w:rPr>
          <w:sz w:val="22"/>
          <w:szCs w:val="22"/>
        </w:rPr>
        <w:t>Strabo,</w:t>
      </w:r>
      <w:r w:rsidRPr="00746264">
        <w:rPr>
          <w:i/>
          <w:sz w:val="22"/>
          <w:szCs w:val="22"/>
        </w:rPr>
        <w:t xml:space="preserve"> The Geography of </w:t>
      </w:r>
      <w:proofErr w:type="spellStart"/>
      <w:r w:rsidRPr="00746264">
        <w:rPr>
          <w:i/>
          <w:sz w:val="22"/>
          <w:szCs w:val="22"/>
        </w:rPr>
        <w:t>Starbo</w:t>
      </w:r>
      <w:proofErr w:type="spellEnd"/>
      <w:r w:rsidRPr="00746264">
        <w:rPr>
          <w:i/>
          <w:sz w:val="22"/>
          <w:szCs w:val="22"/>
        </w:rPr>
        <w:t>,</w:t>
      </w:r>
      <w:r w:rsidRPr="00746264">
        <w:rPr>
          <w:sz w:val="22"/>
          <w:szCs w:val="22"/>
        </w:rPr>
        <w:t xml:space="preserve"> Trans, H. L. Jones, Massachusetts: Harvard University press, 1960.</w:t>
      </w:r>
    </w:p>
    <w:p w:rsidR="00746264" w:rsidRPr="00746264" w:rsidRDefault="00746264" w:rsidP="007D06D3">
      <w:pPr>
        <w:pStyle w:val="ListParagraph"/>
      </w:pPr>
    </w:p>
    <w:p w:rsidR="00746264" w:rsidRPr="00746264" w:rsidRDefault="00746264" w:rsidP="00746264">
      <w:pPr>
        <w:pStyle w:val="FootnoteText"/>
        <w:numPr>
          <w:ilvl w:val="0"/>
          <w:numId w:val="4"/>
        </w:numPr>
        <w:rPr>
          <w:sz w:val="22"/>
          <w:szCs w:val="22"/>
        </w:rPr>
      </w:pPr>
      <w:r w:rsidRPr="00746264">
        <w:rPr>
          <w:sz w:val="22"/>
          <w:szCs w:val="22"/>
        </w:rPr>
        <w:t xml:space="preserve">Oates, Joan, </w:t>
      </w:r>
      <w:r w:rsidRPr="00746264">
        <w:rPr>
          <w:i/>
          <w:sz w:val="22"/>
          <w:szCs w:val="22"/>
        </w:rPr>
        <w:t>Babylon</w:t>
      </w:r>
      <w:r w:rsidRPr="00746264">
        <w:rPr>
          <w:sz w:val="22"/>
          <w:szCs w:val="22"/>
        </w:rPr>
        <w:t>, London: Thames &amp; Hudson, 1979.</w:t>
      </w:r>
    </w:p>
    <w:p w:rsidR="00746264" w:rsidRDefault="00746264" w:rsidP="007D06D3">
      <w:pPr>
        <w:pStyle w:val="ListParagraph"/>
      </w:pPr>
    </w:p>
    <w:sectPr w:rsidR="0074626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7498" w:rsidRDefault="001E7498" w:rsidP="001E7498">
      <w:pPr>
        <w:spacing w:after="0" w:line="240" w:lineRule="auto"/>
      </w:pPr>
      <w:r>
        <w:separator/>
      </w:r>
    </w:p>
  </w:endnote>
  <w:endnote w:type="continuationSeparator" w:id="0">
    <w:p w:rsidR="001E7498" w:rsidRDefault="001E7498" w:rsidP="001E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7498" w:rsidRDefault="001E7498" w:rsidP="001E7498">
      <w:pPr>
        <w:spacing w:after="0" w:line="240" w:lineRule="auto"/>
      </w:pPr>
      <w:r>
        <w:separator/>
      </w:r>
    </w:p>
  </w:footnote>
  <w:footnote w:type="continuationSeparator" w:id="0">
    <w:p w:rsidR="001E7498" w:rsidRDefault="001E7498" w:rsidP="001E7498">
      <w:pPr>
        <w:spacing w:after="0" w:line="240" w:lineRule="auto"/>
      </w:pPr>
      <w:r>
        <w:continuationSeparator/>
      </w:r>
    </w:p>
  </w:footnote>
  <w:footnote w:id="1">
    <w:p w:rsidR="00BB20BD" w:rsidRDefault="00BB20BD">
      <w:pPr>
        <w:pStyle w:val="FootnoteText"/>
      </w:pPr>
      <w:r>
        <w:rPr>
          <w:rStyle w:val="FootnoteReference"/>
        </w:rPr>
        <w:footnoteRef/>
      </w:r>
      <w:r>
        <w:t xml:space="preserve"> </w:t>
      </w:r>
      <w:r w:rsidR="00F60C01">
        <w:t>Aperghis, 2015: 198</w:t>
      </w:r>
    </w:p>
  </w:footnote>
  <w:footnote w:id="2">
    <w:p w:rsidR="00BB20BD" w:rsidRDefault="00BB20BD">
      <w:pPr>
        <w:pStyle w:val="FootnoteText"/>
      </w:pPr>
      <w:r>
        <w:rPr>
          <w:rStyle w:val="FootnoteReference"/>
        </w:rPr>
        <w:footnoteRef/>
      </w:r>
      <w:r>
        <w:t xml:space="preserve"> </w:t>
      </w:r>
      <w:r w:rsidR="00F60C01">
        <w:t xml:space="preserve">Aperghis, 2015: </w:t>
      </w:r>
      <w:r>
        <w:t>199</w:t>
      </w:r>
    </w:p>
  </w:footnote>
  <w:footnote w:id="3">
    <w:p w:rsidR="00BB20BD" w:rsidRDefault="00BB20BD">
      <w:pPr>
        <w:pStyle w:val="FootnoteText"/>
      </w:pPr>
      <w:r>
        <w:rPr>
          <w:rStyle w:val="FootnoteReference"/>
        </w:rPr>
        <w:footnoteRef/>
      </w:r>
      <w:r>
        <w:t xml:space="preserve"> </w:t>
      </w:r>
      <w:r w:rsidR="00F60C01">
        <w:t xml:space="preserve">Aperghis, 2015: </w:t>
      </w:r>
      <w:r>
        <w:t>199</w:t>
      </w:r>
    </w:p>
  </w:footnote>
  <w:footnote w:id="4">
    <w:p w:rsidR="003A5705" w:rsidRDefault="003A5705">
      <w:pPr>
        <w:pStyle w:val="FootnoteText"/>
      </w:pPr>
      <w:r>
        <w:rPr>
          <w:rStyle w:val="FootnoteReference"/>
        </w:rPr>
        <w:footnoteRef/>
      </w:r>
      <w:r>
        <w:t xml:space="preserve"> </w:t>
      </w:r>
      <w:r w:rsidR="00F60C01">
        <w:t xml:space="preserve">Aperghis, 2015: </w:t>
      </w:r>
      <w:r>
        <w:t>66</w:t>
      </w:r>
    </w:p>
  </w:footnote>
  <w:footnote w:id="5">
    <w:p w:rsidR="00E50AE9" w:rsidRDefault="00E50AE9">
      <w:pPr>
        <w:pStyle w:val="FootnoteText"/>
      </w:pPr>
      <w:r>
        <w:rPr>
          <w:rStyle w:val="FootnoteReference"/>
        </w:rPr>
        <w:footnoteRef/>
      </w:r>
      <w:r>
        <w:t xml:space="preserve"> </w:t>
      </w:r>
      <w:r w:rsidR="00F60C01">
        <w:t xml:space="preserve">Aperghis, 2015: </w:t>
      </w:r>
      <w:r>
        <w:t>68</w:t>
      </w:r>
    </w:p>
  </w:footnote>
  <w:footnote w:id="6">
    <w:p w:rsidR="00E50AE9" w:rsidRDefault="00E50AE9">
      <w:pPr>
        <w:pStyle w:val="FootnoteText"/>
      </w:pPr>
      <w:r>
        <w:rPr>
          <w:rStyle w:val="FootnoteReference"/>
        </w:rPr>
        <w:footnoteRef/>
      </w:r>
      <w:r>
        <w:t xml:space="preserve"> </w:t>
      </w:r>
      <w:r w:rsidR="00F60C01">
        <w:t xml:space="preserve">Aperghis, 2015: </w:t>
      </w:r>
      <w:r>
        <w:t>68</w:t>
      </w:r>
    </w:p>
  </w:footnote>
  <w:footnote w:id="7">
    <w:p w:rsidR="003A5705" w:rsidRDefault="003A5705">
      <w:pPr>
        <w:pStyle w:val="FootnoteText"/>
      </w:pPr>
      <w:r>
        <w:rPr>
          <w:rStyle w:val="FootnoteReference"/>
        </w:rPr>
        <w:footnoteRef/>
      </w:r>
      <w:r>
        <w:t xml:space="preserve"> </w:t>
      </w:r>
      <w:r w:rsidR="00F60C01">
        <w:t>Aperghis, 2015:</w:t>
      </w:r>
      <w:r>
        <w:t>198</w:t>
      </w:r>
    </w:p>
  </w:footnote>
  <w:footnote w:id="8">
    <w:p w:rsidR="0016351B" w:rsidRDefault="0016351B">
      <w:pPr>
        <w:pStyle w:val="FootnoteText"/>
      </w:pPr>
      <w:r>
        <w:rPr>
          <w:rStyle w:val="FootnoteReference"/>
        </w:rPr>
        <w:footnoteRef/>
      </w:r>
      <w:r>
        <w:t xml:space="preserve"> Bar-</w:t>
      </w:r>
      <w:proofErr w:type="spellStart"/>
      <w:r>
        <w:t>Kochva</w:t>
      </w:r>
      <w:proofErr w:type="spellEnd"/>
      <w:r>
        <w:t>, 1976: 29,43</w:t>
      </w:r>
    </w:p>
  </w:footnote>
  <w:footnote w:id="9">
    <w:p w:rsidR="00994F0F" w:rsidRDefault="00994F0F">
      <w:pPr>
        <w:pStyle w:val="FootnoteText"/>
      </w:pPr>
      <w:r>
        <w:rPr>
          <w:rStyle w:val="FootnoteReference"/>
        </w:rPr>
        <w:footnoteRef/>
      </w:r>
      <w:r>
        <w:t xml:space="preserve"> </w:t>
      </w:r>
      <w:r w:rsidR="00D34567">
        <w:t>Bar-</w:t>
      </w:r>
      <w:proofErr w:type="spellStart"/>
      <w:r w:rsidR="00D34567">
        <w:t>Kochva</w:t>
      </w:r>
      <w:proofErr w:type="spellEnd"/>
      <w:r w:rsidR="00D34567">
        <w:t>, 1976:18</w:t>
      </w:r>
    </w:p>
  </w:footnote>
  <w:footnote w:id="10">
    <w:p w:rsidR="00994F0F" w:rsidRDefault="00994F0F">
      <w:pPr>
        <w:pStyle w:val="FootnoteText"/>
      </w:pPr>
      <w:r>
        <w:rPr>
          <w:rStyle w:val="FootnoteReference"/>
        </w:rPr>
        <w:footnoteRef/>
      </w:r>
      <w:r>
        <w:t xml:space="preserve"> </w:t>
      </w:r>
      <w:r w:rsidR="00D17DD3">
        <w:t>Bar-</w:t>
      </w:r>
      <w:proofErr w:type="spellStart"/>
      <w:r w:rsidR="00D17DD3">
        <w:t>Kochva</w:t>
      </w:r>
      <w:proofErr w:type="spellEnd"/>
      <w:r w:rsidR="00D17DD3">
        <w:t>, 1976: 48</w:t>
      </w:r>
    </w:p>
  </w:footnote>
  <w:footnote w:id="11">
    <w:p w:rsidR="008346D3" w:rsidRDefault="008346D3">
      <w:pPr>
        <w:pStyle w:val="FootnoteText"/>
      </w:pPr>
      <w:r>
        <w:rPr>
          <w:rStyle w:val="FootnoteReference"/>
        </w:rPr>
        <w:footnoteRef/>
      </w:r>
      <w:r>
        <w:t xml:space="preserve"> Aperghis, 2015: 68</w:t>
      </w:r>
    </w:p>
  </w:footnote>
  <w:footnote w:id="12">
    <w:p w:rsidR="008346D3" w:rsidRDefault="008346D3">
      <w:pPr>
        <w:pStyle w:val="FootnoteText"/>
      </w:pPr>
      <w:r>
        <w:rPr>
          <w:rStyle w:val="FootnoteReference"/>
        </w:rPr>
        <w:footnoteRef/>
      </w:r>
      <w:r>
        <w:t xml:space="preserve"> </w:t>
      </w:r>
      <w:r w:rsidR="00674AC8">
        <w:t>Strabo. ii</w:t>
      </w:r>
      <w:r w:rsidR="00A91FA1">
        <w:t xml:space="preserve">. </w:t>
      </w:r>
      <w:r w:rsidR="00674AC8">
        <w:t>68. 74</w:t>
      </w:r>
    </w:p>
  </w:footnote>
  <w:footnote w:id="13">
    <w:p w:rsidR="00FE1DC7" w:rsidRDefault="00FE1DC7" w:rsidP="00FE1DC7">
      <w:pPr>
        <w:pStyle w:val="FootnoteText"/>
      </w:pPr>
      <w:r>
        <w:rPr>
          <w:rStyle w:val="FootnoteReference"/>
        </w:rPr>
        <w:footnoteRef/>
      </w:r>
      <w:r>
        <w:t xml:space="preserve"> Oates, </w:t>
      </w:r>
      <w:r>
        <w:rPr>
          <w:i/>
        </w:rPr>
        <w:t xml:space="preserve">Babylon, </w:t>
      </w:r>
      <w:r>
        <w:t>p.176.</w:t>
      </w:r>
    </w:p>
  </w:footnote>
  <w:footnote w:id="14">
    <w:p w:rsidR="00E627AD" w:rsidRPr="00B2074A" w:rsidRDefault="00E627AD" w:rsidP="00E627AD">
      <w:pPr>
        <w:pStyle w:val="FootnoteText"/>
        <w:rPr>
          <w:rStyle w:val="HTMLCite"/>
          <w:rFonts w:ascii="Arial" w:hAnsi="Arial" w:cs="Arial"/>
          <w:i w:val="0"/>
          <w:iCs w:val="0"/>
          <w:color w:val="222222"/>
          <w:sz w:val="19"/>
          <w:szCs w:val="19"/>
          <w:shd w:val="clear" w:color="auto" w:fill="EAF3FF"/>
        </w:rPr>
      </w:pPr>
      <w:r>
        <w:rPr>
          <w:rStyle w:val="FootnoteReference"/>
        </w:rPr>
        <w:footnoteRef/>
      </w:r>
      <w:r w:rsidR="000A2598">
        <w:t xml:space="preserve"> </w:t>
      </w:r>
      <w:r>
        <w:t>Eugenia, 2001</w:t>
      </w:r>
    </w:p>
  </w:footnote>
  <w:footnote w:id="15">
    <w:p w:rsidR="00B2074A" w:rsidRDefault="00B2074A">
      <w:pPr>
        <w:pStyle w:val="FootnoteText"/>
      </w:pPr>
      <w:r>
        <w:rPr>
          <w:rStyle w:val="FootnoteReference"/>
        </w:rPr>
        <w:footnoteRef/>
      </w:r>
      <w:r>
        <w:t xml:space="preserve"> </w:t>
      </w:r>
      <w:proofErr w:type="spellStart"/>
      <w:r w:rsidR="007D06D3">
        <w:t>Briant</w:t>
      </w:r>
      <w:proofErr w:type="spellEnd"/>
      <w:r w:rsidR="007D06D3">
        <w:t xml:space="preserve">, 2002: 761 </w:t>
      </w:r>
    </w:p>
  </w:footnote>
  <w:footnote w:id="16">
    <w:p w:rsidR="00FF7E16" w:rsidRDefault="00FF7E16">
      <w:pPr>
        <w:pStyle w:val="FootnoteText"/>
      </w:pPr>
      <w:r>
        <w:rPr>
          <w:rStyle w:val="FootnoteReference"/>
        </w:rPr>
        <w:footnoteRef/>
      </w:r>
      <w:r>
        <w:t xml:space="preserve"> </w:t>
      </w:r>
      <w:r w:rsidR="007D06D3">
        <w:t xml:space="preserve">Morris,1994: 184  </w:t>
      </w:r>
    </w:p>
  </w:footnote>
  <w:footnote w:id="17">
    <w:p w:rsidR="00FF7E16" w:rsidRDefault="00FF7E16">
      <w:pPr>
        <w:pStyle w:val="FootnoteText"/>
      </w:pPr>
      <w:r>
        <w:rPr>
          <w:rStyle w:val="FootnoteReference"/>
        </w:rPr>
        <w:footnoteRef/>
      </w:r>
      <w:r>
        <w:t xml:space="preserve"> </w:t>
      </w:r>
      <w:r>
        <w:rPr>
          <w:rFonts w:ascii="Arial" w:hAnsi="Arial" w:cs="Arial"/>
          <w:color w:val="222222"/>
          <w:sz w:val="19"/>
          <w:szCs w:val="19"/>
          <w:shd w:val="clear" w:color="auto" w:fill="EAF3FF"/>
        </w:rPr>
        <w:t> "</w:t>
      </w:r>
      <w:hyperlink r:id="rId1" w:tooltip="wikisource:1911 Encyclopædia Britannica/Seleucid Dynasty" w:history="1">
        <w:r>
          <w:rPr>
            <w:rStyle w:val="Hyperlink"/>
            <w:rFonts w:ascii="Arial" w:hAnsi="Arial" w:cs="Arial"/>
            <w:color w:val="663366"/>
            <w:sz w:val="19"/>
            <w:szCs w:val="19"/>
            <w:shd w:val="clear" w:color="auto" w:fill="EAF3FF"/>
          </w:rPr>
          <w:t xml:space="preserve">Seleucid Dynasty </w:t>
        </w:r>
        <w:proofErr w:type="spellStart"/>
        <w:r>
          <w:rPr>
            <w:rStyle w:val="Hyperlink"/>
            <w:rFonts w:ascii="Arial" w:hAnsi="Arial" w:cs="Arial"/>
            <w:color w:val="663366"/>
            <w:sz w:val="19"/>
            <w:szCs w:val="19"/>
            <w:shd w:val="clear" w:color="auto" w:fill="EAF3FF"/>
          </w:rPr>
          <w:t>s.v</w:t>
        </w:r>
        <w:proofErr w:type="spellEnd"/>
        <w:r>
          <w:rPr>
            <w:rStyle w:val="Hyperlink"/>
            <w:rFonts w:ascii="Arial" w:hAnsi="Arial" w:cs="Arial"/>
            <w:color w:val="663366"/>
            <w:sz w:val="19"/>
            <w:szCs w:val="19"/>
            <w:shd w:val="clear" w:color="auto" w:fill="EAF3FF"/>
          </w:rPr>
          <w:t xml:space="preserve">. Antiochus III. </w:t>
        </w:r>
        <w:proofErr w:type="gramStart"/>
        <w:r>
          <w:rPr>
            <w:rStyle w:val="Hyperlink"/>
            <w:rFonts w:ascii="Arial" w:hAnsi="Arial" w:cs="Arial"/>
            <w:color w:val="663366"/>
            <w:sz w:val="19"/>
            <w:szCs w:val="19"/>
            <w:shd w:val="clear" w:color="auto" w:fill="EAF3FF"/>
          </w:rPr>
          <w:t>the</w:t>
        </w:r>
        <w:proofErr w:type="gramEnd"/>
        <w:r>
          <w:rPr>
            <w:rStyle w:val="Hyperlink"/>
            <w:rFonts w:ascii="Arial" w:hAnsi="Arial" w:cs="Arial"/>
            <w:color w:val="663366"/>
            <w:sz w:val="19"/>
            <w:szCs w:val="19"/>
            <w:shd w:val="clear" w:color="auto" w:fill="EAF3FF"/>
          </w:rPr>
          <w:t xml:space="preserve"> Great</w:t>
        </w:r>
      </w:hyperlink>
      <w:r>
        <w:rPr>
          <w:rFonts w:ascii="Arial" w:hAnsi="Arial" w:cs="Arial"/>
          <w:color w:val="222222"/>
          <w:sz w:val="19"/>
          <w:szCs w:val="19"/>
          <w:shd w:val="clear" w:color="auto" w:fill="EAF3FF"/>
        </w:rPr>
        <w:t>". </w:t>
      </w:r>
      <w:proofErr w:type="spellStart"/>
      <w:r>
        <w:rPr>
          <w:rFonts w:ascii="Arial" w:hAnsi="Arial" w:cs="Arial"/>
          <w:i/>
          <w:iCs/>
          <w:color w:val="222222"/>
          <w:sz w:val="19"/>
          <w:szCs w:val="19"/>
          <w:shd w:val="clear" w:color="auto" w:fill="EAF3FF"/>
        </w:rPr>
        <w:fldChar w:fldCharType="begin"/>
      </w:r>
      <w:r>
        <w:rPr>
          <w:rFonts w:ascii="Arial" w:hAnsi="Arial" w:cs="Arial"/>
          <w:i/>
          <w:iCs/>
          <w:color w:val="222222"/>
          <w:sz w:val="19"/>
          <w:szCs w:val="19"/>
          <w:shd w:val="clear" w:color="auto" w:fill="EAF3FF"/>
        </w:rPr>
        <w:instrText xml:space="preserve"> HYPERLINK "https://en.wikipedia.org/wiki/Encyclop%C3%A6dia_Britannica_Eleventh_Edition" \o "Encyclopædia Britannica Eleventh Edition" </w:instrText>
      </w:r>
      <w:r>
        <w:rPr>
          <w:rFonts w:ascii="Arial" w:hAnsi="Arial" w:cs="Arial"/>
          <w:i/>
          <w:iCs/>
          <w:color w:val="222222"/>
          <w:sz w:val="19"/>
          <w:szCs w:val="19"/>
          <w:shd w:val="clear" w:color="auto" w:fill="EAF3FF"/>
        </w:rPr>
        <w:fldChar w:fldCharType="separate"/>
      </w:r>
      <w:r>
        <w:rPr>
          <w:rStyle w:val="Hyperlink"/>
          <w:rFonts w:ascii="Arial" w:hAnsi="Arial" w:cs="Arial"/>
          <w:i/>
          <w:iCs/>
          <w:color w:val="0B0080"/>
          <w:sz w:val="19"/>
          <w:szCs w:val="19"/>
          <w:shd w:val="clear" w:color="auto" w:fill="EAF3FF"/>
        </w:rPr>
        <w:t>Encyclopædia</w:t>
      </w:r>
      <w:proofErr w:type="spellEnd"/>
      <w:r>
        <w:rPr>
          <w:rStyle w:val="Hyperlink"/>
          <w:rFonts w:ascii="Arial" w:hAnsi="Arial" w:cs="Arial"/>
          <w:i/>
          <w:iCs/>
          <w:color w:val="0B0080"/>
          <w:sz w:val="19"/>
          <w:szCs w:val="19"/>
          <w:shd w:val="clear" w:color="auto" w:fill="EAF3FF"/>
        </w:rPr>
        <w:t xml:space="preserve"> Britannica</w:t>
      </w:r>
      <w:r>
        <w:rPr>
          <w:rFonts w:ascii="Arial" w:hAnsi="Arial" w:cs="Arial"/>
          <w:i/>
          <w:iCs/>
          <w:color w:val="222222"/>
          <w:sz w:val="19"/>
          <w:szCs w:val="19"/>
          <w:shd w:val="clear" w:color="auto" w:fill="EAF3FF"/>
        </w:rPr>
        <w:fldChar w:fldCharType="end"/>
      </w:r>
      <w:r>
        <w:rPr>
          <w:rFonts w:ascii="Arial" w:hAnsi="Arial" w:cs="Arial"/>
          <w:color w:val="222222"/>
          <w:sz w:val="19"/>
          <w:szCs w:val="19"/>
          <w:shd w:val="clear" w:color="auto" w:fill="EAF3FF"/>
        </w:rPr>
        <w:t>. </w:t>
      </w:r>
      <w:r>
        <w:rPr>
          <w:rFonts w:ascii="Arial" w:hAnsi="Arial" w:cs="Arial"/>
          <w:b/>
          <w:bCs/>
          <w:color w:val="222222"/>
          <w:sz w:val="19"/>
          <w:szCs w:val="19"/>
          <w:shd w:val="clear" w:color="auto" w:fill="EAF3FF"/>
        </w:rPr>
        <w:t>24</w:t>
      </w:r>
      <w:r>
        <w:rPr>
          <w:rFonts w:ascii="Arial" w:hAnsi="Arial" w:cs="Arial"/>
          <w:color w:val="222222"/>
          <w:sz w:val="19"/>
          <w:szCs w:val="19"/>
          <w:shd w:val="clear" w:color="auto" w:fill="EAF3FF"/>
        </w:rPr>
        <w:t xml:space="preserve"> (11th </w:t>
      </w:r>
      <w:proofErr w:type="gramStart"/>
      <w:r>
        <w:rPr>
          <w:rFonts w:ascii="Arial" w:hAnsi="Arial" w:cs="Arial"/>
          <w:color w:val="222222"/>
          <w:sz w:val="19"/>
          <w:szCs w:val="19"/>
          <w:shd w:val="clear" w:color="auto" w:fill="EAF3FF"/>
        </w:rPr>
        <w:t>ed</w:t>
      </w:r>
      <w:proofErr w:type="gramEnd"/>
      <w:r>
        <w:rPr>
          <w:rFonts w:ascii="Arial" w:hAnsi="Arial" w:cs="Arial"/>
          <w:color w:val="222222"/>
          <w:sz w:val="19"/>
          <w:szCs w:val="19"/>
          <w:shd w:val="clear" w:color="auto" w:fill="EAF3FF"/>
        </w:rPr>
        <w:t>.). Cambridge University Press. pp. 604–605.</w:t>
      </w:r>
    </w:p>
  </w:footnote>
  <w:footnote w:id="18">
    <w:p w:rsidR="000A2598" w:rsidRPr="00F069A2" w:rsidRDefault="000A2598" w:rsidP="00F069A2">
      <w:pPr>
        <w:tabs>
          <w:tab w:val="left" w:pos="2160"/>
        </w:tabs>
        <w:spacing w:line="480" w:lineRule="auto"/>
        <w:rPr>
          <w:rFonts w:cstheme="minorHAnsi"/>
          <w:shd w:val="clear" w:color="auto" w:fill="FFFFFF"/>
        </w:rPr>
      </w:pPr>
      <w:r>
        <w:rPr>
          <w:rStyle w:val="FootnoteReference"/>
        </w:rPr>
        <w:footnoteRef/>
      </w:r>
      <w:r>
        <w:t xml:space="preserve"> </w:t>
      </w:r>
      <w:r w:rsidRPr="00A23B0C">
        <w:rPr>
          <w:rFonts w:cstheme="minorHAnsi"/>
          <w:color w:val="222222"/>
          <w:shd w:val="clear" w:color="auto" w:fill="EAF3FF"/>
        </w:rPr>
        <w:t>Classical Greece: Ancient histories and modern archaeolog</w:t>
      </w:r>
      <w:r w:rsidR="00F069A2">
        <w:rPr>
          <w:rFonts w:cstheme="minorHAnsi"/>
          <w:color w:val="222222"/>
          <w:shd w:val="clear" w:color="auto" w:fill="EAF3FF"/>
        </w:rPr>
        <w:t>ies, Ian Morris, Routledge, p18</w:t>
      </w:r>
    </w:p>
  </w:footnote>
  <w:footnote w:id="19">
    <w:p w:rsidR="003A5317" w:rsidRDefault="003A5317">
      <w:pPr>
        <w:pStyle w:val="FootnoteText"/>
      </w:pPr>
    </w:p>
  </w:footnote>
  <w:footnote w:id="20">
    <w:p w:rsidR="00A23B0C" w:rsidRDefault="00A23B0C">
      <w:pPr>
        <w:pStyle w:val="FootnoteText"/>
      </w:pPr>
      <w:r>
        <w:rPr>
          <w:rStyle w:val="FootnoteReference"/>
        </w:rPr>
        <w:footnoteRef/>
      </w:r>
      <w:r w:rsidR="007D06D3">
        <w:t xml:space="preserve"> </w:t>
      </w:r>
      <w:r w:rsidR="007D06D3">
        <w:t>Strabo. ii. 68. 74</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7498" w:rsidRDefault="001E7498">
    <w:pPr>
      <w:pStyle w:val="Header"/>
    </w:pPr>
    <w:r>
      <w:t xml:space="preserve">Joseph Harvey </w:t>
    </w:r>
  </w:p>
  <w:p w:rsidR="001E7498" w:rsidRDefault="001E7498">
    <w:pPr>
      <w:pStyle w:val="Header"/>
    </w:pPr>
    <w:r>
      <w:t>1501402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EE5200"/>
    <w:multiLevelType w:val="hybridMultilevel"/>
    <w:tmpl w:val="E682B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A585E"/>
    <w:multiLevelType w:val="hybridMultilevel"/>
    <w:tmpl w:val="3B8A9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8261D2"/>
    <w:multiLevelType w:val="hybridMultilevel"/>
    <w:tmpl w:val="15D28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64002"/>
    <w:multiLevelType w:val="hybridMultilevel"/>
    <w:tmpl w:val="8D267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498"/>
    <w:rsid w:val="00020D52"/>
    <w:rsid w:val="00034650"/>
    <w:rsid w:val="00050EA1"/>
    <w:rsid w:val="00055BF4"/>
    <w:rsid w:val="000A2598"/>
    <w:rsid w:val="00124765"/>
    <w:rsid w:val="00150DE0"/>
    <w:rsid w:val="00157D2C"/>
    <w:rsid w:val="00161106"/>
    <w:rsid w:val="0016351B"/>
    <w:rsid w:val="001A01A5"/>
    <w:rsid w:val="001A1821"/>
    <w:rsid w:val="001E41F5"/>
    <w:rsid w:val="001E7498"/>
    <w:rsid w:val="001F1073"/>
    <w:rsid w:val="001F6A5C"/>
    <w:rsid w:val="003A5317"/>
    <w:rsid w:val="003A5705"/>
    <w:rsid w:val="003D1014"/>
    <w:rsid w:val="00405469"/>
    <w:rsid w:val="00407827"/>
    <w:rsid w:val="00466B0F"/>
    <w:rsid w:val="004C03ED"/>
    <w:rsid w:val="005463C1"/>
    <w:rsid w:val="005C4BCC"/>
    <w:rsid w:val="005F12E5"/>
    <w:rsid w:val="00621C4C"/>
    <w:rsid w:val="00645C68"/>
    <w:rsid w:val="0067055A"/>
    <w:rsid w:val="00674AC8"/>
    <w:rsid w:val="006A2700"/>
    <w:rsid w:val="006D003C"/>
    <w:rsid w:val="006E531D"/>
    <w:rsid w:val="006F2868"/>
    <w:rsid w:val="007305EF"/>
    <w:rsid w:val="007361C1"/>
    <w:rsid w:val="00746264"/>
    <w:rsid w:val="007D06D3"/>
    <w:rsid w:val="007E58E3"/>
    <w:rsid w:val="008346D3"/>
    <w:rsid w:val="00946637"/>
    <w:rsid w:val="00994F0F"/>
    <w:rsid w:val="009C296C"/>
    <w:rsid w:val="00A16176"/>
    <w:rsid w:val="00A17E6D"/>
    <w:rsid w:val="00A23B0C"/>
    <w:rsid w:val="00A35C97"/>
    <w:rsid w:val="00A4255E"/>
    <w:rsid w:val="00A55CE4"/>
    <w:rsid w:val="00A60156"/>
    <w:rsid w:val="00A86233"/>
    <w:rsid w:val="00A91FA1"/>
    <w:rsid w:val="00AA25CF"/>
    <w:rsid w:val="00AB01E2"/>
    <w:rsid w:val="00AE1675"/>
    <w:rsid w:val="00B2074A"/>
    <w:rsid w:val="00B23359"/>
    <w:rsid w:val="00B437B0"/>
    <w:rsid w:val="00B82741"/>
    <w:rsid w:val="00BB20BD"/>
    <w:rsid w:val="00BE149B"/>
    <w:rsid w:val="00BE458F"/>
    <w:rsid w:val="00BE73FC"/>
    <w:rsid w:val="00BF009C"/>
    <w:rsid w:val="00C41E74"/>
    <w:rsid w:val="00D17DD3"/>
    <w:rsid w:val="00D34567"/>
    <w:rsid w:val="00E50AE9"/>
    <w:rsid w:val="00E627AD"/>
    <w:rsid w:val="00F05343"/>
    <w:rsid w:val="00F069A2"/>
    <w:rsid w:val="00F22A42"/>
    <w:rsid w:val="00F60C01"/>
    <w:rsid w:val="00F80E31"/>
    <w:rsid w:val="00FB0AA8"/>
    <w:rsid w:val="00FC1297"/>
    <w:rsid w:val="00FE1DC7"/>
    <w:rsid w:val="00FF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B6E1D"/>
  <w15:chartTrackingRefBased/>
  <w15:docId w15:val="{368711DB-323B-47D2-8BDE-07F5A651C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498"/>
  </w:style>
  <w:style w:type="paragraph" w:styleId="Footer">
    <w:name w:val="footer"/>
    <w:basedOn w:val="Normal"/>
    <w:link w:val="FooterChar"/>
    <w:uiPriority w:val="99"/>
    <w:unhideWhenUsed/>
    <w:rsid w:val="001E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498"/>
  </w:style>
  <w:style w:type="paragraph" w:styleId="FootnoteText">
    <w:name w:val="footnote text"/>
    <w:basedOn w:val="Normal"/>
    <w:link w:val="FootnoteTextChar"/>
    <w:uiPriority w:val="99"/>
    <w:unhideWhenUsed/>
    <w:rsid w:val="00BB20BD"/>
    <w:pPr>
      <w:spacing w:after="0" w:line="240" w:lineRule="auto"/>
    </w:pPr>
    <w:rPr>
      <w:sz w:val="20"/>
      <w:szCs w:val="20"/>
    </w:rPr>
  </w:style>
  <w:style w:type="character" w:customStyle="1" w:styleId="FootnoteTextChar">
    <w:name w:val="Footnote Text Char"/>
    <w:basedOn w:val="DefaultParagraphFont"/>
    <w:link w:val="FootnoteText"/>
    <w:uiPriority w:val="99"/>
    <w:rsid w:val="00BB20BD"/>
    <w:rPr>
      <w:sz w:val="20"/>
      <w:szCs w:val="20"/>
    </w:rPr>
  </w:style>
  <w:style w:type="character" w:styleId="FootnoteReference">
    <w:name w:val="footnote reference"/>
    <w:basedOn w:val="DefaultParagraphFont"/>
    <w:uiPriority w:val="99"/>
    <w:semiHidden/>
    <w:unhideWhenUsed/>
    <w:rsid w:val="00BB20BD"/>
    <w:rPr>
      <w:vertAlign w:val="superscript"/>
    </w:rPr>
  </w:style>
  <w:style w:type="paragraph" w:styleId="ListParagraph">
    <w:name w:val="List Paragraph"/>
    <w:basedOn w:val="Normal"/>
    <w:uiPriority w:val="34"/>
    <w:qFormat/>
    <w:rsid w:val="00BB20BD"/>
    <w:pPr>
      <w:ind w:left="720"/>
      <w:contextualSpacing/>
    </w:pPr>
  </w:style>
  <w:style w:type="character" w:styleId="HTMLCite">
    <w:name w:val="HTML Cite"/>
    <w:basedOn w:val="DefaultParagraphFont"/>
    <w:uiPriority w:val="99"/>
    <w:semiHidden/>
    <w:unhideWhenUsed/>
    <w:rsid w:val="00E627AD"/>
    <w:rPr>
      <w:i/>
      <w:iCs/>
    </w:rPr>
  </w:style>
  <w:style w:type="character" w:styleId="Hyperlink">
    <w:name w:val="Hyperlink"/>
    <w:basedOn w:val="DefaultParagraphFont"/>
    <w:uiPriority w:val="99"/>
    <w:semiHidden/>
    <w:unhideWhenUsed/>
    <w:rsid w:val="00E627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en.wikisource.org/wiki/1911_Encyclop%C3%A6dia_Britannica/Seleucid_Dynas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534AE-0A09-4EAD-8B95-53832C2AF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Harvey (1501402)</dc:creator>
  <cp:keywords/>
  <dc:description/>
  <cp:lastModifiedBy>Joseph Harvey (1501402)</cp:lastModifiedBy>
  <cp:revision>2</cp:revision>
  <dcterms:created xsi:type="dcterms:W3CDTF">2018-05-01T19:47:00Z</dcterms:created>
  <dcterms:modified xsi:type="dcterms:W3CDTF">2018-05-01T19:47:00Z</dcterms:modified>
</cp:coreProperties>
</file>