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D17C76" w:rsidRDefault="00DA4079">
      <w:pPr>
        <w:tabs>
          <w:tab w:val="left" w:pos="0"/>
        </w:tabs>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Discuss the ways in which charters were transmitted into cartularies. What problems might cartulary copies pose for the historian? You should give some examples.</w:t>
      </w:r>
    </w:p>
    <w:p w14:paraId="00000002" w14:textId="77777777" w:rsidR="00D17C76" w:rsidRDefault="00D17C76">
      <w:pPr>
        <w:spacing w:line="480" w:lineRule="auto"/>
        <w:rPr>
          <w:rFonts w:ascii="Times New Roman" w:eastAsia="Times New Roman" w:hAnsi="Times New Roman" w:cs="Times New Roman"/>
          <w:sz w:val="24"/>
          <w:szCs w:val="24"/>
        </w:rPr>
      </w:pPr>
    </w:p>
    <w:p w14:paraId="00000003"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A cartulary can be defined basically as a codex (or sometimes roll) which includes transcrip</w:t>
      </w:r>
      <w:r>
        <w:rPr>
          <w:rFonts w:ascii="Times New Roman" w:eastAsia="Times New Roman" w:hAnsi="Times New Roman" w:cs="Times New Roman"/>
          <w:sz w:val="24"/>
          <w:szCs w:val="24"/>
        </w:rPr>
        <w:t>tions of the charters and title-deeds of a particular religious or secular institution, household, or individual.</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The earliest known cartularies are dated to the ninth century in the Rhineland</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and in England the earliest are believed to be those from W</w:t>
      </w:r>
      <w:r>
        <w:rPr>
          <w:rFonts w:ascii="Times New Roman" w:eastAsia="Times New Roman" w:hAnsi="Times New Roman" w:cs="Times New Roman"/>
          <w:sz w:val="24"/>
          <w:szCs w:val="24"/>
        </w:rPr>
        <w:t>orcester Cathedral Priory in the eleventh century. Charters are especially useful in the study of political and socioeconomic change, but original documents are rare and the majority of those that still exist have survived as cartulary copies. For this rea</w:t>
      </w:r>
      <w:r>
        <w:rPr>
          <w:rFonts w:ascii="Times New Roman" w:eastAsia="Times New Roman" w:hAnsi="Times New Roman" w:cs="Times New Roman"/>
          <w:sz w:val="24"/>
          <w:szCs w:val="24"/>
        </w:rPr>
        <w:t>son, cartularies are a key source for the period following the Norman Conquest. Although traditional scholarship has viewed cartularies as only compendiums that preserve for posterity all the important documents of an institution, modern scholarship recogn</w:t>
      </w:r>
      <w:r>
        <w:rPr>
          <w:rFonts w:ascii="Times New Roman" w:eastAsia="Times New Roman" w:hAnsi="Times New Roman" w:cs="Times New Roman"/>
          <w:sz w:val="24"/>
          <w:szCs w:val="24"/>
        </w:rPr>
        <w:t>ises many functions of cartularies in medieval society besides simple preservation.</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Because of this, there are various factors that must be considered by the historian when using cartularies as documentary sources. </w:t>
      </w:r>
    </w:p>
    <w:p w14:paraId="00000004"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05"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There are various types of cartulary</w:t>
      </w:r>
      <w:r>
        <w:rPr>
          <w:rFonts w:ascii="Times New Roman" w:eastAsia="Times New Roman" w:hAnsi="Times New Roman" w:cs="Times New Roman"/>
          <w:sz w:val="24"/>
          <w:szCs w:val="24"/>
        </w:rPr>
        <w:t xml:space="preserve">. The majority have been categorised as general cartularies which usually contain all or most of the corpus of muniments of a particular institution. The order of transcriptions in the codex can vary, for example, by subject matter, chronology, </w:t>
      </w:r>
      <w:r>
        <w:rPr>
          <w:rFonts w:ascii="Times New Roman" w:eastAsia="Times New Roman" w:hAnsi="Times New Roman" w:cs="Times New Roman"/>
          <w:sz w:val="24"/>
          <w:szCs w:val="24"/>
        </w:rPr>
        <w:lastRenderedPageBreak/>
        <w:t>donor, or t</w:t>
      </w:r>
      <w:r>
        <w:rPr>
          <w:rFonts w:ascii="Times New Roman" w:eastAsia="Times New Roman" w:hAnsi="Times New Roman" w:cs="Times New Roman"/>
          <w:sz w:val="24"/>
          <w:szCs w:val="24"/>
        </w:rPr>
        <w:t>he order in which the original charters were kept.</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Varying levels of selectivity can be seen in general cartularies</w:t>
      </w:r>
      <w:r>
        <w:rPr>
          <w:rFonts w:ascii="Times New Roman" w:eastAsia="Times New Roman" w:hAnsi="Times New Roman" w:cs="Times New Roman"/>
          <w:sz w:val="24"/>
          <w:szCs w:val="24"/>
          <w:vertAlign w:val="superscript"/>
        </w:rPr>
        <w:footnoteReference w:id="5"/>
      </w:r>
      <w:r>
        <w:rPr>
          <w:rFonts w:ascii="Times New Roman" w:eastAsia="Times New Roman" w:hAnsi="Times New Roman" w:cs="Times New Roman"/>
          <w:sz w:val="24"/>
          <w:szCs w:val="24"/>
        </w:rPr>
        <w:t xml:space="preserve"> and due to their nature, they could be of great size over many volumes.</w:t>
      </w:r>
      <w:r>
        <w:rPr>
          <w:rFonts w:ascii="Times New Roman" w:eastAsia="Times New Roman" w:hAnsi="Times New Roman" w:cs="Times New Roman"/>
          <w:sz w:val="24"/>
          <w:szCs w:val="24"/>
          <w:vertAlign w:val="superscript"/>
        </w:rPr>
        <w:footnoteReference w:id="6"/>
      </w:r>
      <w:r>
        <w:rPr>
          <w:rFonts w:ascii="Times New Roman" w:eastAsia="Times New Roman" w:hAnsi="Times New Roman" w:cs="Times New Roman"/>
          <w:sz w:val="24"/>
          <w:szCs w:val="24"/>
        </w:rPr>
        <w:t xml:space="preserve"> Some examples of this are the Durham Cathedral cartuary I, II,</w:t>
      </w:r>
      <w:r>
        <w:rPr>
          <w:rFonts w:ascii="Times New Roman" w:eastAsia="Times New Roman" w:hAnsi="Times New Roman" w:cs="Times New Roman"/>
          <w:sz w:val="24"/>
          <w:szCs w:val="24"/>
        </w:rPr>
        <w:t xml:space="preserve"> and III (c.1400)</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xml:space="preserve"> which is a general cartulary in three volumes and Fountains Abbey cartulary (late 14th/early 15th century) which is a cartulary over five volumes.</w:t>
      </w:r>
      <w:r>
        <w:rPr>
          <w:rFonts w:ascii="Times New Roman" w:eastAsia="Times New Roman" w:hAnsi="Times New Roman" w:cs="Times New Roman"/>
          <w:sz w:val="24"/>
          <w:szCs w:val="24"/>
          <w:vertAlign w:val="superscript"/>
        </w:rPr>
        <w:footnoteReference w:id="8"/>
      </w:r>
    </w:p>
    <w:p w14:paraId="00000006"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07"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In order to reduce the size of general cartularies, large religious institutions coul</w:t>
      </w:r>
      <w:r>
        <w:rPr>
          <w:rFonts w:ascii="Times New Roman" w:eastAsia="Times New Roman" w:hAnsi="Times New Roman" w:cs="Times New Roman"/>
          <w:sz w:val="24"/>
          <w:szCs w:val="24"/>
        </w:rPr>
        <w:t>d compile special cartularies which sorted the various categories of charters into different volumes,</w:t>
      </w:r>
      <w:r>
        <w:rPr>
          <w:rFonts w:ascii="Times New Roman" w:eastAsia="Times New Roman" w:hAnsi="Times New Roman" w:cs="Times New Roman"/>
          <w:sz w:val="24"/>
          <w:szCs w:val="24"/>
          <w:vertAlign w:val="superscript"/>
        </w:rPr>
        <w:footnoteReference w:id="9"/>
      </w:r>
      <w:r>
        <w:rPr>
          <w:rFonts w:ascii="Times New Roman" w:eastAsia="Times New Roman" w:hAnsi="Times New Roman" w:cs="Times New Roman"/>
          <w:sz w:val="24"/>
          <w:szCs w:val="24"/>
        </w:rPr>
        <w:t xml:space="preserve"> such as is the case of the Rochester Cathedral Priory cartulary.</w:t>
      </w:r>
      <w:r>
        <w:rPr>
          <w:rFonts w:ascii="Times New Roman" w:eastAsia="Times New Roman" w:hAnsi="Times New Roman" w:cs="Times New Roman"/>
          <w:sz w:val="24"/>
          <w:szCs w:val="24"/>
          <w:vertAlign w:val="superscript"/>
        </w:rPr>
        <w:footnoteReference w:id="10"/>
      </w:r>
      <w:r>
        <w:rPr>
          <w:rFonts w:ascii="Times New Roman" w:eastAsia="Times New Roman" w:hAnsi="Times New Roman" w:cs="Times New Roman"/>
          <w:sz w:val="24"/>
          <w:szCs w:val="24"/>
        </w:rPr>
        <w:t xml:space="preserve"> Similarly, some large religious houses compiled cartularies of rights and privileges,</w:t>
      </w:r>
      <w:r>
        <w:rPr>
          <w:rFonts w:ascii="Times New Roman" w:eastAsia="Times New Roman" w:hAnsi="Times New Roman" w:cs="Times New Roman"/>
          <w:sz w:val="24"/>
          <w:szCs w:val="24"/>
        </w:rPr>
        <w:t xml:space="preserve"> which were separate cartularies of documents which could help solve specific recurring administrative problems.</w:t>
      </w:r>
      <w:r>
        <w:rPr>
          <w:rFonts w:ascii="Times New Roman" w:eastAsia="Times New Roman" w:hAnsi="Times New Roman" w:cs="Times New Roman"/>
          <w:sz w:val="24"/>
          <w:szCs w:val="24"/>
          <w:vertAlign w:val="superscript"/>
        </w:rPr>
        <w:footnoteReference w:id="11"/>
      </w:r>
      <w:r>
        <w:rPr>
          <w:rFonts w:ascii="Times New Roman" w:eastAsia="Times New Roman" w:hAnsi="Times New Roman" w:cs="Times New Roman"/>
          <w:sz w:val="24"/>
          <w:szCs w:val="24"/>
        </w:rPr>
        <w:t xml:space="preserve"> </w:t>
      </w:r>
    </w:p>
    <w:p w14:paraId="00000008"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09"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Another type, the chronicle cartulary, is less common than the general cartulary. They are of a literary nature, relaying a narrative whic</w:t>
      </w:r>
      <w:r>
        <w:rPr>
          <w:rFonts w:ascii="Times New Roman" w:eastAsia="Times New Roman" w:hAnsi="Times New Roman" w:cs="Times New Roman"/>
          <w:sz w:val="24"/>
          <w:szCs w:val="24"/>
        </w:rPr>
        <w:t>h is based on or includes a large number of the house’s muniments with the aim of explaining how titles and possessions were obtained.</w:t>
      </w:r>
      <w:r>
        <w:rPr>
          <w:rFonts w:ascii="Times New Roman" w:eastAsia="Times New Roman" w:hAnsi="Times New Roman" w:cs="Times New Roman"/>
          <w:sz w:val="24"/>
          <w:szCs w:val="24"/>
          <w:vertAlign w:val="superscript"/>
        </w:rPr>
        <w:footnoteReference w:id="12"/>
      </w:r>
      <w:r>
        <w:rPr>
          <w:rFonts w:ascii="Times New Roman" w:eastAsia="Times New Roman" w:hAnsi="Times New Roman" w:cs="Times New Roman"/>
          <w:sz w:val="24"/>
          <w:szCs w:val="24"/>
        </w:rPr>
        <w:t xml:space="preserve"> An example of these are the cartularies of Ely Cathedral Priory</w:t>
      </w:r>
      <w:r>
        <w:rPr>
          <w:rFonts w:ascii="Times New Roman" w:eastAsia="Times New Roman" w:hAnsi="Times New Roman" w:cs="Times New Roman"/>
          <w:sz w:val="24"/>
          <w:szCs w:val="24"/>
          <w:vertAlign w:val="superscript"/>
        </w:rPr>
        <w:footnoteReference w:id="13"/>
      </w:r>
      <w:r>
        <w:rPr>
          <w:rFonts w:ascii="Times New Roman" w:eastAsia="Times New Roman" w:hAnsi="Times New Roman" w:cs="Times New Roman"/>
          <w:sz w:val="24"/>
          <w:szCs w:val="24"/>
        </w:rPr>
        <w:t xml:space="preserve"> and Abingdon Abbey.</w:t>
      </w:r>
      <w:r>
        <w:rPr>
          <w:rFonts w:ascii="Times New Roman" w:eastAsia="Times New Roman" w:hAnsi="Times New Roman" w:cs="Times New Roman"/>
          <w:sz w:val="24"/>
          <w:szCs w:val="24"/>
          <w:vertAlign w:val="superscript"/>
        </w:rPr>
        <w:footnoteReference w:id="14"/>
      </w:r>
    </w:p>
    <w:p w14:paraId="0000000A"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0B" w14:textId="77777777" w:rsidR="00D17C76" w:rsidRDefault="00DA4079">
      <w:pPr>
        <w:tabs>
          <w:tab w:val="left" w:pos="0"/>
        </w:tabs>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early cartularies can als</w:t>
      </w:r>
      <w:r>
        <w:rPr>
          <w:rFonts w:ascii="Times New Roman" w:eastAsia="Times New Roman" w:hAnsi="Times New Roman" w:cs="Times New Roman"/>
          <w:sz w:val="24"/>
          <w:szCs w:val="24"/>
        </w:rPr>
        <w:t>o be found copied into Gospel Books, such as the Oswald Cartulary, which is an 11th century cartulary in an 8th century bible.</w:t>
      </w:r>
      <w:r>
        <w:rPr>
          <w:rFonts w:ascii="Times New Roman" w:eastAsia="Times New Roman" w:hAnsi="Times New Roman" w:cs="Times New Roman"/>
          <w:sz w:val="24"/>
          <w:szCs w:val="24"/>
          <w:vertAlign w:val="superscript"/>
        </w:rPr>
        <w:footnoteReference w:id="15"/>
      </w:r>
      <w:r>
        <w:rPr>
          <w:rFonts w:ascii="Times New Roman" w:eastAsia="Times New Roman" w:hAnsi="Times New Roman" w:cs="Times New Roman"/>
          <w:sz w:val="24"/>
          <w:szCs w:val="24"/>
        </w:rPr>
        <w:t xml:space="preserve"> Additionally, inventories could sometimes serve as cartularies. Inventory lists were generally catalogues which helped with locating the contents of muniment rooms</w:t>
      </w:r>
      <w:r>
        <w:rPr>
          <w:rFonts w:ascii="Times New Roman" w:eastAsia="Times New Roman" w:hAnsi="Times New Roman" w:cs="Times New Roman"/>
          <w:sz w:val="24"/>
          <w:szCs w:val="24"/>
          <w:vertAlign w:val="superscript"/>
        </w:rPr>
        <w:footnoteReference w:id="16"/>
      </w:r>
      <w:r>
        <w:rPr>
          <w:rFonts w:ascii="Times New Roman" w:eastAsia="Times New Roman" w:hAnsi="Times New Roman" w:cs="Times New Roman"/>
          <w:sz w:val="24"/>
          <w:szCs w:val="24"/>
        </w:rPr>
        <w:t xml:space="preserve"> and although they usually only cite brief titles of documents and occasionally note the p</w:t>
      </w:r>
      <w:r>
        <w:rPr>
          <w:rFonts w:ascii="Times New Roman" w:eastAsia="Times New Roman" w:hAnsi="Times New Roman" w:cs="Times New Roman"/>
          <w:sz w:val="24"/>
          <w:szCs w:val="24"/>
        </w:rPr>
        <w:t>resence of seals,</w:t>
      </w:r>
      <w:r>
        <w:rPr>
          <w:rFonts w:ascii="Times New Roman" w:eastAsia="Times New Roman" w:hAnsi="Times New Roman" w:cs="Times New Roman"/>
          <w:sz w:val="24"/>
          <w:szCs w:val="24"/>
          <w:vertAlign w:val="superscript"/>
        </w:rPr>
        <w:footnoteReference w:id="17"/>
      </w:r>
      <w:r>
        <w:rPr>
          <w:rFonts w:ascii="Times New Roman" w:eastAsia="Times New Roman" w:hAnsi="Times New Roman" w:cs="Times New Roman"/>
          <w:sz w:val="24"/>
          <w:szCs w:val="24"/>
        </w:rPr>
        <w:t xml:space="preserve"> they occasionally include abstracts of contents, suggesting they may have been intended to serve also as a cartulary.</w:t>
      </w:r>
      <w:r>
        <w:rPr>
          <w:rFonts w:ascii="Times New Roman" w:eastAsia="Times New Roman" w:hAnsi="Times New Roman" w:cs="Times New Roman"/>
          <w:sz w:val="24"/>
          <w:szCs w:val="24"/>
          <w:vertAlign w:val="superscript"/>
        </w:rPr>
        <w:footnoteReference w:id="18"/>
      </w:r>
      <w:r>
        <w:rPr>
          <w:rFonts w:ascii="Times New Roman" w:eastAsia="Times New Roman" w:hAnsi="Times New Roman" w:cs="Times New Roman"/>
          <w:sz w:val="24"/>
          <w:szCs w:val="24"/>
        </w:rPr>
        <w:t xml:space="preserve"> They are especially useful in trying to understand how muniments were arranged and stored. Examples of this are a a </w:t>
      </w:r>
      <w:r>
        <w:rPr>
          <w:rFonts w:ascii="Times New Roman" w:eastAsia="Times New Roman" w:hAnsi="Times New Roman" w:cs="Times New Roman"/>
          <w:sz w:val="24"/>
          <w:szCs w:val="24"/>
        </w:rPr>
        <w:t xml:space="preserve">catalogue of the muniments from Stanley Abbey </w:t>
      </w:r>
      <w:r>
        <w:rPr>
          <w:rFonts w:ascii="Times New Roman" w:eastAsia="Times New Roman" w:hAnsi="Times New Roman" w:cs="Times New Roman"/>
          <w:sz w:val="24"/>
          <w:szCs w:val="24"/>
          <w:vertAlign w:val="superscript"/>
        </w:rPr>
        <w:footnoteReference w:id="19"/>
      </w:r>
      <w:r>
        <w:rPr>
          <w:rFonts w:ascii="Times New Roman" w:eastAsia="Times New Roman" w:hAnsi="Times New Roman" w:cs="Times New Roman"/>
          <w:sz w:val="24"/>
          <w:szCs w:val="24"/>
        </w:rPr>
        <w:t xml:space="preserve"> and an inventory of charters in the archbishop of Canterbury’s treasury.</w:t>
      </w:r>
      <w:r>
        <w:rPr>
          <w:rFonts w:ascii="Times New Roman" w:eastAsia="Times New Roman" w:hAnsi="Times New Roman" w:cs="Times New Roman"/>
          <w:sz w:val="24"/>
          <w:szCs w:val="24"/>
          <w:vertAlign w:val="superscript"/>
        </w:rPr>
        <w:footnoteReference w:id="20"/>
      </w:r>
      <w:r>
        <w:rPr>
          <w:rFonts w:ascii="Times New Roman" w:eastAsia="Times New Roman" w:hAnsi="Times New Roman" w:cs="Times New Roman"/>
          <w:sz w:val="24"/>
          <w:szCs w:val="24"/>
        </w:rPr>
        <w:t xml:space="preserve"> </w:t>
      </w:r>
    </w:p>
    <w:p w14:paraId="0000000C" w14:textId="77777777" w:rsidR="00D17C76" w:rsidRDefault="00D17C76">
      <w:pPr>
        <w:tabs>
          <w:tab w:val="left" w:pos="0"/>
        </w:tabs>
        <w:spacing w:line="480" w:lineRule="auto"/>
        <w:ind w:firstLine="720"/>
        <w:jc w:val="both"/>
        <w:rPr>
          <w:rFonts w:ascii="Times New Roman" w:eastAsia="Times New Roman" w:hAnsi="Times New Roman" w:cs="Times New Roman"/>
          <w:sz w:val="24"/>
          <w:szCs w:val="24"/>
        </w:rPr>
      </w:pPr>
    </w:p>
    <w:p w14:paraId="0000000D" w14:textId="77777777" w:rsidR="00D17C76" w:rsidRDefault="00DA4079">
      <w:pPr>
        <w:tabs>
          <w:tab w:val="left" w:pos="0"/>
        </w:tabs>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fact that various types of cartularies exist make it apparent that they served various functions and suggest they were created for varying purposes. This is important to consider when attempting to understand the problems faced by the historian when us</w:t>
      </w:r>
      <w:r>
        <w:rPr>
          <w:rFonts w:ascii="Times New Roman" w:eastAsia="Times New Roman" w:hAnsi="Times New Roman" w:cs="Times New Roman"/>
          <w:sz w:val="24"/>
          <w:szCs w:val="24"/>
        </w:rPr>
        <w:t xml:space="preserve">ing cartularies as documentary sources. </w:t>
      </w:r>
    </w:p>
    <w:p w14:paraId="0000000E"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0F"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assumption of early scholarship was that the cartulary was simply a compendium of important documents in a given monastic archive, compiled with the desire to safeguard legal texts for posterity.</w:t>
      </w:r>
      <w:r>
        <w:rPr>
          <w:rFonts w:ascii="Times New Roman" w:eastAsia="Times New Roman" w:hAnsi="Times New Roman" w:cs="Times New Roman"/>
          <w:sz w:val="24"/>
          <w:szCs w:val="24"/>
          <w:vertAlign w:val="superscript"/>
        </w:rPr>
        <w:footnoteReference w:id="21"/>
      </w:r>
      <w:r>
        <w:rPr>
          <w:rFonts w:ascii="Times New Roman" w:eastAsia="Times New Roman" w:hAnsi="Times New Roman" w:cs="Times New Roman"/>
          <w:sz w:val="24"/>
          <w:szCs w:val="24"/>
        </w:rPr>
        <w:t xml:space="preserve"> Hemming’s c</w:t>
      </w:r>
      <w:r>
        <w:rPr>
          <w:rFonts w:ascii="Times New Roman" w:eastAsia="Times New Roman" w:hAnsi="Times New Roman" w:cs="Times New Roman"/>
          <w:sz w:val="24"/>
          <w:szCs w:val="24"/>
        </w:rPr>
        <w:t xml:space="preserve">artulary, produced at Worcester Cathedral in the late eleventh century, </w:t>
      </w:r>
      <w:r>
        <w:rPr>
          <w:rFonts w:ascii="Times New Roman" w:eastAsia="Times New Roman" w:hAnsi="Times New Roman" w:cs="Times New Roman"/>
          <w:sz w:val="24"/>
          <w:szCs w:val="24"/>
        </w:rPr>
        <w:lastRenderedPageBreak/>
        <w:t xml:space="preserve">contains a </w:t>
      </w:r>
      <w:r>
        <w:rPr>
          <w:rFonts w:ascii="Times New Roman" w:eastAsia="Times New Roman" w:hAnsi="Times New Roman" w:cs="Times New Roman"/>
          <w:i/>
          <w:sz w:val="24"/>
          <w:szCs w:val="24"/>
        </w:rPr>
        <w:t xml:space="preserve">Enucleatio libelli, or </w:t>
      </w:r>
      <w:r>
        <w:rPr>
          <w:rFonts w:ascii="Times New Roman" w:eastAsia="Times New Roman" w:hAnsi="Times New Roman" w:cs="Times New Roman"/>
          <w:sz w:val="24"/>
          <w:szCs w:val="24"/>
        </w:rPr>
        <w:t>Explanation of the booklet, which describes the purpose of the cartulary’s compilation as to make it “clear to our posterity which and how many posses</w:t>
      </w:r>
      <w:r>
        <w:rPr>
          <w:rFonts w:ascii="Times New Roman" w:eastAsia="Times New Roman" w:hAnsi="Times New Roman" w:cs="Times New Roman"/>
          <w:sz w:val="24"/>
          <w:szCs w:val="24"/>
        </w:rPr>
        <w:t>sions in land pertain to the endowment of this monastery.”</w:t>
      </w:r>
      <w:r>
        <w:rPr>
          <w:rFonts w:ascii="Times New Roman" w:eastAsia="Times New Roman" w:hAnsi="Times New Roman" w:cs="Times New Roman"/>
          <w:sz w:val="24"/>
          <w:szCs w:val="24"/>
          <w:vertAlign w:val="superscript"/>
        </w:rPr>
        <w:footnoteReference w:id="22"/>
      </w:r>
      <w:r>
        <w:rPr>
          <w:rFonts w:ascii="Times New Roman" w:eastAsia="Times New Roman" w:hAnsi="Times New Roman" w:cs="Times New Roman"/>
          <w:sz w:val="24"/>
          <w:szCs w:val="24"/>
        </w:rPr>
        <w:t xml:space="preserve"> Statements of intention such as this are rare, but record-keeping for the sake of posterity is clearly the most obvious reason for the emergence of cartularies. Charters could be more easily dama</w:t>
      </w:r>
      <w:r>
        <w:rPr>
          <w:rFonts w:ascii="Times New Roman" w:eastAsia="Times New Roman" w:hAnsi="Times New Roman" w:cs="Times New Roman"/>
          <w:sz w:val="24"/>
          <w:szCs w:val="24"/>
        </w:rPr>
        <w:t>ged or lost than a compiled manuscript and therefore the process of copying and compiling would gather together and safeguard the important documents of an institution as well as serving as a reference book.</w:t>
      </w:r>
      <w:r>
        <w:rPr>
          <w:rFonts w:ascii="Times New Roman" w:eastAsia="Times New Roman" w:hAnsi="Times New Roman" w:cs="Times New Roman"/>
          <w:sz w:val="24"/>
          <w:szCs w:val="24"/>
          <w:vertAlign w:val="superscript"/>
        </w:rPr>
        <w:footnoteReference w:id="23"/>
      </w:r>
      <w:r>
        <w:rPr>
          <w:rFonts w:ascii="Times New Roman" w:eastAsia="Times New Roman" w:hAnsi="Times New Roman" w:cs="Times New Roman"/>
          <w:sz w:val="24"/>
          <w:szCs w:val="24"/>
        </w:rPr>
        <w:t xml:space="preserve"> Similarly, charters could be modernized and im</w:t>
      </w:r>
      <w:r>
        <w:rPr>
          <w:rFonts w:ascii="Times New Roman" w:eastAsia="Times New Roman" w:hAnsi="Times New Roman" w:cs="Times New Roman"/>
          <w:sz w:val="24"/>
          <w:szCs w:val="24"/>
        </w:rPr>
        <w:t>proved, with English documents from before the Norman conquest made more accessible by translating into Latin,</w:t>
      </w:r>
      <w:r>
        <w:rPr>
          <w:rFonts w:ascii="Times New Roman" w:eastAsia="Times New Roman" w:hAnsi="Times New Roman" w:cs="Times New Roman"/>
          <w:sz w:val="24"/>
          <w:szCs w:val="24"/>
          <w:vertAlign w:val="superscript"/>
        </w:rPr>
        <w:footnoteReference w:id="24"/>
      </w:r>
      <w:r>
        <w:rPr>
          <w:rFonts w:ascii="Times New Roman" w:eastAsia="Times New Roman" w:hAnsi="Times New Roman" w:cs="Times New Roman"/>
          <w:sz w:val="24"/>
          <w:szCs w:val="24"/>
        </w:rPr>
        <w:t xml:space="preserve"> as is seen in, for example, the Ely cartuary. </w:t>
      </w:r>
    </w:p>
    <w:p w14:paraId="00000010"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11"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Despite this, a developing interest in better record keeping cannot be presumed to be the reas</w:t>
      </w:r>
      <w:r>
        <w:rPr>
          <w:rFonts w:ascii="Times New Roman" w:eastAsia="Times New Roman" w:hAnsi="Times New Roman" w:cs="Times New Roman"/>
          <w:sz w:val="24"/>
          <w:szCs w:val="24"/>
        </w:rPr>
        <w:t>on for the emergence of cartularies; the original charters must have been in existence in some form at the time of a cartulary’s composition, even if they are no longer extant, and written records were not a novel idea.</w:t>
      </w:r>
      <w:r>
        <w:rPr>
          <w:rFonts w:ascii="Times New Roman" w:eastAsia="Times New Roman" w:hAnsi="Times New Roman" w:cs="Times New Roman"/>
          <w:sz w:val="24"/>
          <w:szCs w:val="24"/>
          <w:vertAlign w:val="superscript"/>
        </w:rPr>
        <w:footnoteReference w:id="25"/>
      </w:r>
      <w:r>
        <w:rPr>
          <w:rFonts w:ascii="Times New Roman" w:eastAsia="Times New Roman" w:hAnsi="Times New Roman" w:cs="Times New Roman"/>
          <w:sz w:val="24"/>
          <w:szCs w:val="24"/>
        </w:rPr>
        <w:t xml:space="preserve"> Therefore, Hemming’s statement, al</w:t>
      </w:r>
      <w:r>
        <w:rPr>
          <w:rFonts w:ascii="Times New Roman" w:eastAsia="Times New Roman" w:hAnsi="Times New Roman" w:cs="Times New Roman"/>
          <w:sz w:val="24"/>
          <w:szCs w:val="24"/>
        </w:rPr>
        <w:t xml:space="preserve">though clear, does not give a comprehensive explanation for the emergence of this type of record keeping. Just as the cartulary itself, prologues, when they do exist, are specific to a particular community at a particular time, and so cannot represent the </w:t>
      </w:r>
      <w:r>
        <w:rPr>
          <w:rFonts w:ascii="Times New Roman" w:eastAsia="Times New Roman" w:hAnsi="Times New Roman" w:cs="Times New Roman"/>
          <w:sz w:val="24"/>
          <w:szCs w:val="24"/>
        </w:rPr>
        <w:t>entire corpus.</w:t>
      </w:r>
      <w:r>
        <w:rPr>
          <w:rFonts w:ascii="Times New Roman" w:eastAsia="Times New Roman" w:hAnsi="Times New Roman" w:cs="Times New Roman"/>
          <w:sz w:val="24"/>
          <w:szCs w:val="24"/>
          <w:vertAlign w:val="superscript"/>
        </w:rPr>
        <w:footnoteReference w:id="26"/>
      </w:r>
      <w:r>
        <w:rPr>
          <w:rFonts w:ascii="Times New Roman" w:eastAsia="Times New Roman" w:hAnsi="Times New Roman" w:cs="Times New Roman"/>
          <w:sz w:val="24"/>
          <w:szCs w:val="24"/>
        </w:rPr>
        <w:t xml:space="preserve"> Whilst the study of cartularies as a genre is of course useful, it must also be remembered that each cartulary was made for a specific institution at a specific time. Consequently, modern scholarship recognises various functions and contex</w:t>
      </w:r>
      <w:r>
        <w:rPr>
          <w:rFonts w:ascii="Times New Roman" w:eastAsia="Times New Roman" w:hAnsi="Times New Roman" w:cs="Times New Roman"/>
          <w:sz w:val="24"/>
          <w:szCs w:val="24"/>
        </w:rPr>
        <w:t xml:space="preserve">ts of </w:t>
      </w:r>
      <w:r>
        <w:rPr>
          <w:rFonts w:ascii="Times New Roman" w:eastAsia="Times New Roman" w:hAnsi="Times New Roman" w:cs="Times New Roman"/>
          <w:sz w:val="24"/>
          <w:szCs w:val="24"/>
        </w:rPr>
        <w:lastRenderedPageBreak/>
        <w:t>production of cartularies in medieval society. It is therefore important to examine in greater detail the reason for their emergence in order to understand the problems faced by historians when using them as documentary sources.</w:t>
      </w:r>
    </w:p>
    <w:p w14:paraId="00000012"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13"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compiler of Ram</w:t>
      </w:r>
      <w:r>
        <w:rPr>
          <w:rFonts w:ascii="Times New Roman" w:eastAsia="Times New Roman" w:hAnsi="Times New Roman" w:cs="Times New Roman"/>
          <w:sz w:val="24"/>
          <w:szCs w:val="24"/>
        </w:rPr>
        <w:t xml:space="preserve">sey Abbey’s </w:t>
      </w:r>
      <w:r>
        <w:rPr>
          <w:rFonts w:ascii="Times New Roman" w:eastAsia="Times New Roman" w:hAnsi="Times New Roman" w:cs="Times New Roman"/>
          <w:i/>
          <w:sz w:val="24"/>
          <w:szCs w:val="24"/>
        </w:rPr>
        <w:t>Liber Benefactorum</w:t>
      </w:r>
      <w:r>
        <w:rPr>
          <w:rFonts w:ascii="Times New Roman" w:eastAsia="Times New Roman" w:hAnsi="Times New Roman" w:cs="Times New Roman"/>
          <w:sz w:val="24"/>
          <w:szCs w:val="24"/>
          <w:vertAlign w:val="superscript"/>
        </w:rPr>
        <w:footnoteReference w:id="27"/>
      </w:r>
      <w:r>
        <w:rPr>
          <w:rFonts w:ascii="Times New Roman" w:eastAsia="Times New Roman" w:hAnsi="Times New Roman" w:cs="Times New Roman"/>
          <w:sz w:val="24"/>
          <w:szCs w:val="24"/>
        </w:rPr>
        <w:t xml:space="preserve"> explains that the abbey had lost a great deal due to violence and domestic dispute during the reign of King Stephen, and the cartulary was compiled “as a warning for future ages and to instruct our readers.”</w:t>
      </w:r>
      <w:r>
        <w:rPr>
          <w:rFonts w:ascii="Times New Roman" w:eastAsia="Times New Roman" w:hAnsi="Times New Roman" w:cs="Times New Roman"/>
          <w:sz w:val="24"/>
          <w:szCs w:val="24"/>
          <w:vertAlign w:val="superscript"/>
        </w:rPr>
        <w:footnoteReference w:id="28"/>
      </w:r>
      <w:r>
        <w:rPr>
          <w:rFonts w:ascii="Times New Roman" w:eastAsia="Times New Roman" w:hAnsi="Times New Roman" w:cs="Times New Roman"/>
          <w:sz w:val="24"/>
          <w:szCs w:val="24"/>
        </w:rPr>
        <w:t xml:space="preserve"> This makes it</w:t>
      </w:r>
      <w:r>
        <w:rPr>
          <w:rFonts w:ascii="Times New Roman" w:eastAsia="Times New Roman" w:hAnsi="Times New Roman" w:cs="Times New Roman"/>
          <w:sz w:val="24"/>
          <w:szCs w:val="24"/>
        </w:rPr>
        <w:t xml:space="preserve"> clear that cartularies served as teaching devices, intended to be circulated within their respective communities to instruct later generations. The protection and preservation of charters in the Middle Ages was vital as they served as evidence of right or</w:t>
      </w:r>
      <w:r>
        <w:rPr>
          <w:rFonts w:ascii="Times New Roman" w:eastAsia="Times New Roman" w:hAnsi="Times New Roman" w:cs="Times New Roman"/>
          <w:sz w:val="24"/>
          <w:szCs w:val="24"/>
        </w:rPr>
        <w:t xml:space="preserve"> ownership, and the cartulary could compile these charters not only to ensure they were not lost or forgotten but to instruct subsequent generations on what was owned by a particular institution.</w:t>
      </w:r>
      <w:r>
        <w:rPr>
          <w:rFonts w:ascii="Times New Roman" w:eastAsia="Times New Roman" w:hAnsi="Times New Roman" w:cs="Times New Roman"/>
          <w:sz w:val="24"/>
          <w:szCs w:val="24"/>
          <w:vertAlign w:val="superscript"/>
        </w:rPr>
        <w:footnoteReference w:id="29"/>
      </w:r>
      <w:r>
        <w:rPr>
          <w:rFonts w:ascii="Times New Roman" w:eastAsia="Times New Roman" w:hAnsi="Times New Roman" w:cs="Times New Roman"/>
          <w:sz w:val="24"/>
          <w:szCs w:val="24"/>
        </w:rPr>
        <w:t xml:space="preserve">  It does not seem that cartularies were intended for those</w:t>
      </w:r>
      <w:r>
        <w:rPr>
          <w:rFonts w:ascii="Times New Roman" w:eastAsia="Times New Roman" w:hAnsi="Times New Roman" w:cs="Times New Roman"/>
          <w:sz w:val="24"/>
          <w:szCs w:val="24"/>
        </w:rPr>
        <w:t xml:space="preserve"> outside of a particular institution and therefore they protected knowledge by keeping it within the community, thus ensuring the history of the institution survived in the memory of those that succeeded the cartulary’s creation.</w:t>
      </w:r>
      <w:r>
        <w:rPr>
          <w:rFonts w:ascii="Times New Roman" w:eastAsia="Times New Roman" w:hAnsi="Times New Roman" w:cs="Times New Roman"/>
          <w:sz w:val="24"/>
          <w:szCs w:val="24"/>
          <w:vertAlign w:val="superscript"/>
        </w:rPr>
        <w:footnoteReference w:id="30"/>
      </w:r>
    </w:p>
    <w:p w14:paraId="00000014"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15"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This preservation of t</w:t>
      </w:r>
      <w:r>
        <w:rPr>
          <w:rFonts w:ascii="Times New Roman" w:eastAsia="Times New Roman" w:hAnsi="Times New Roman" w:cs="Times New Roman"/>
          <w:sz w:val="24"/>
          <w:szCs w:val="24"/>
        </w:rPr>
        <w:t>he past in order to teach future generations would have helped solidify the identity of a community in post-conquest England.</w:t>
      </w:r>
      <w:r>
        <w:rPr>
          <w:rFonts w:ascii="Times New Roman" w:eastAsia="Times New Roman" w:hAnsi="Times New Roman" w:cs="Times New Roman"/>
          <w:sz w:val="24"/>
          <w:szCs w:val="24"/>
          <w:vertAlign w:val="superscript"/>
        </w:rPr>
        <w:footnoteReference w:id="31"/>
      </w:r>
      <w:r>
        <w:rPr>
          <w:rFonts w:ascii="Times New Roman" w:eastAsia="Times New Roman" w:hAnsi="Times New Roman" w:cs="Times New Roman"/>
          <w:sz w:val="24"/>
          <w:szCs w:val="24"/>
        </w:rPr>
        <w:t xml:space="preserve"> Furthermore, the contents of some ecclesiastical cartularies such as that of the Ramsay Abbey are arranged by donor and may have </w:t>
      </w:r>
      <w:r>
        <w:rPr>
          <w:rFonts w:ascii="Times New Roman" w:eastAsia="Times New Roman" w:hAnsi="Times New Roman" w:cs="Times New Roman"/>
          <w:sz w:val="24"/>
          <w:szCs w:val="24"/>
        </w:rPr>
        <w:lastRenderedPageBreak/>
        <w:t>served a role in the memorialisation or liturgical commemoration of benefactors or founders.</w:t>
      </w:r>
      <w:r>
        <w:rPr>
          <w:rFonts w:ascii="Times New Roman" w:eastAsia="Times New Roman" w:hAnsi="Times New Roman" w:cs="Times New Roman"/>
          <w:sz w:val="24"/>
          <w:szCs w:val="24"/>
          <w:vertAlign w:val="superscript"/>
        </w:rPr>
        <w:footnoteReference w:id="32"/>
      </w:r>
      <w:r>
        <w:rPr>
          <w:rFonts w:ascii="Times New Roman" w:eastAsia="Times New Roman" w:hAnsi="Times New Roman" w:cs="Times New Roman"/>
          <w:sz w:val="24"/>
          <w:szCs w:val="24"/>
        </w:rPr>
        <w:t xml:space="preserve"> This arrangement of muniments c</w:t>
      </w:r>
      <w:r>
        <w:rPr>
          <w:rFonts w:ascii="Times New Roman" w:eastAsia="Times New Roman" w:hAnsi="Times New Roman" w:cs="Times New Roman"/>
          <w:sz w:val="24"/>
          <w:szCs w:val="24"/>
        </w:rPr>
        <w:t xml:space="preserve">ould have functioned as a list of names for whom the community should pray, thus making the cartulary an active tool in the ongoing reinforcement and protection of the community’s identity. It must also be remembered that cartularies often did not include </w:t>
      </w:r>
      <w:r>
        <w:rPr>
          <w:rFonts w:ascii="Times New Roman" w:eastAsia="Times New Roman" w:hAnsi="Times New Roman" w:cs="Times New Roman"/>
          <w:sz w:val="24"/>
          <w:szCs w:val="24"/>
        </w:rPr>
        <w:t>all the muniments of an institution, and therefore any idea of community identity will be based on and reinforced by what is present in the cartulary, not what is absent. This meant that ideas of identity and the past could be curated and edited retrospect</w:t>
      </w:r>
      <w:r>
        <w:rPr>
          <w:rFonts w:ascii="Times New Roman" w:eastAsia="Times New Roman" w:hAnsi="Times New Roman" w:cs="Times New Roman"/>
          <w:sz w:val="24"/>
          <w:szCs w:val="24"/>
        </w:rPr>
        <w:t>ively by the compiler so as to present a particular ideal. An example of this is the 15th century cartulary of the dependent priory of Tutbury in Staffordshire.</w:t>
      </w:r>
      <w:r>
        <w:rPr>
          <w:rFonts w:ascii="Times New Roman" w:eastAsia="Times New Roman" w:hAnsi="Times New Roman" w:cs="Times New Roman"/>
          <w:sz w:val="24"/>
          <w:szCs w:val="24"/>
          <w:vertAlign w:val="superscript"/>
        </w:rPr>
        <w:footnoteReference w:id="33"/>
      </w:r>
      <w:r>
        <w:rPr>
          <w:rFonts w:ascii="Times New Roman" w:eastAsia="Times New Roman" w:hAnsi="Times New Roman" w:cs="Times New Roman"/>
          <w:sz w:val="24"/>
          <w:szCs w:val="24"/>
        </w:rPr>
        <w:t xml:space="preserve"> Formerly subject to St. Pierre-sur-Dives, the priory omitted this detail from the cartulary i</w:t>
      </w:r>
      <w:r>
        <w:rPr>
          <w:rFonts w:ascii="Times New Roman" w:eastAsia="Times New Roman" w:hAnsi="Times New Roman" w:cs="Times New Roman"/>
          <w:sz w:val="24"/>
          <w:szCs w:val="24"/>
        </w:rPr>
        <w:t>n order to emphasize its Englishness in a time of political contention with France.</w:t>
      </w:r>
      <w:r>
        <w:rPr>
          <w:rFonts w:ascii="Times New Roman" w:eastAsia="Times New Roman" w:hAnsi="Times New Roman" w:cs="Times New Roman"/>
          <w:sz w:val="24"/>
          <w:szCs w:val="24"/>
          <w:vertAlign w:val="superscript"/>
        </w:rPr>
        <w:footnoteReference w:id="34"/>
      </w:r>
      <w:r>
        <w:rPr>
          <w:rFonts w:ascii="Times New Roman" w:eastAsia="Times New Roman" w:hAnsi="Times New Roman" w:cs="Times New Roman"/>
          <w:sz w:val="24"/>
          <w:szCs w:val="24"/>
        </w:rPr>
        <w:t xml:space="preserve"> Therefore, it is clear that cartularies are a conscious effort to establish and maintain the identity of a community; as a compilation of historical documents, they not o</w:t>
      </w:r>
      <w:r>
        <w:rPr>
          <w:rFonts w:ascii="Times New Roman" w:eastAsia="Times New Roman" w:hAnsi="Times New Roman" w:cs="Times New Roman"/>
          <w:sz w:val="24"/>
          <w:szCs w:val="24"/>
        </w:rPr>
        <w:t xml:space="preserve">nly allow subsequent generations to engage with their past in order to memorialise it but the selection and editing process helps curate an identity that will be carried forward. </w:t>
      </w:r>
    </w:p>
    <w:p w14:paraId="00000016"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17"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Social or political disturbance is also implied as a reason for the Ramsey</w:t>
      </w:r>
      <w:r>
        <w:rPr>
          <w:rFonts w:ascii="Times New Roman" w:eastAsia="Times New Roman" w:hAnsi="Times New Roman" w:cs="Times New Roman"/>
          <w:sz w:val="24"/>
          <w:szCs w:val="24"/>
        </w:rPr>
        <w:t xml:space="preserve"> compiler’s creation of the cartulary. It has been argued by historians that cartularies emerged as a response to immediate threat at a local or national level, such as political upheaval, disease, or war.</w:t>
      </w:r>
      <w:r>
        <w:rPr>
          <w:rFonts w:ascii="Times New Roman" w:eastAsia="Times New Roman" w:hAnsi="Times New Roman" w:cs="Times New Roman"/>
          <w:sz w:val="24"/>
          <w:szCs w:val="24"/>
          <w:vertAlign w:val="superscript"/>
        </w:rPr>
        <w:footnoteReference w:id="35"/>
      </w:r>
      <w:r>
        <w:rPr>
          <w:rFonts w:ascii="Times New Roman" w:eastAsia="Times New Roman" w:hAnsi="Times New Roman" w:cs="Times New Roman"/>
          <w:sz w:val="24"/>
          <w:szCs w:val="24"/>
        </w:rPr>
        <w:t xml:space="preserve"> The climate in which cartularies emerged in Engl</w:t>
      </w:r>
      <w:r>
        <w:rPr>
          <w:rFonts w:ascii="Times New Roman" w:eastAsia="Times New Roman" w:hAnsi="Times New Roman" w:cs="Times New Roman"/>
          <w:sz w:val="24"/>
          <w:szCs w:val="24"/>
        </w:rPr>
        <w:t>and was one of insecurity following the Norman conquest, subsequent civil war, and an increase in monasteries in the twelfth and thirteenth centuries that led to increased monastic competition to acquire and retain lands.</w:t>
      </w:r>
      <w:r>
        <w:rPr>
          <w:rFonts w:ascii="Times New Roman" w:eastAsia="Times New Roman" w:hAnsi="Times New Roman" w:cs="Times New Roman"/>
          <w:sz w:val="24"/>
          <w:szCs w:val="24"/>
          <w:vertAlign w:val="superscript"/>
        </w:rPr>
        <w:footnoteReference w:id="36"/>
      </w:r>
      <w:r>
        <w:rPr>
          <w:rFonts w:ascii="Times New Roman" w:eastAsia="Times New Roman" w:hAnsi="Times New Roman" w:cs="Times New Roman"/>
          <w:sz w:val="24"/>
          <w:szCs w:val="24"/>
        </w:rPr>
        <w:t xml:space="preserve"> This threat could also take the </w:t>
      </w:r>
      <w:r>
        <w:rPr>
          <w:rFonts w:ascii="Times New Roman" w:eastAsia="Times New Roman" w:hAnsi="Times New Roman" w:cs="Times New Roman"/>
          <w:sz w:val="24"/>
          <w:szCs w:val="24"/>
        </w:rPr>
        <w:t>form of internal instability or change, such as decreased benefactions,</w:t>
      </w:r>
      <w:r>
        <w:rPr>
          <w:rFonts w:ascii="Times New Roman" w:eastAsia="Times New Roman" w:hAnsi="Times New Roman" w:cs="Times New Roman"/>
          <w:sz w:val="24"/>
          <w:szCs w:val="24"/>
          <w:vertAlign w:val="superscript"/>
        </w:rPr>
        <w:footnoteReference w:id="37"/>
      </w:r>
      <w:r>
        <w:rPr>
          <w:rFonts w:ascii="Times New Roman" w:eastAsia="Times New Roman" w:hAnsi="Times New Roman" w:cs="Times New Roman"/>
          <w:sz w:val="24"/>
          <w:szCs w:val="24"/>
        </w:rPr>
        <w:t xml:space="preserve"> division of a cathedral’s resources,</w:t>
      </w:r>
      <w:r>
        <w:rPr>
          <w:rFonts w:ascii="Times New Roman" w:eastAsia="Times New Roman" w:hAnsi="Times New Roman" w:cs="Times New Roman"/>
          <w:sz w:val="24"/>
          <w:szCs w:val="24"/>
          <w:vertAlign w:val="superscript"/>
        </w:rPr>
        <w:footnoteReference w:id="38"/>
      </w:r>
      <w:r>
        <w:rPr>
          <w:rFonts w:ascii="Times New Roman" w:eastAsia="Times New Roman" w:hAnsi="Times New Roman" w:cs="Times New Roman"/>
          <w:sz w:val="24"/>
          <w:szCs w:val="24"/>
        </w:rPr>
        <w:t xml:space="preserve"> or general administrative reform.</w:t>
      </w:r>
      <w:r>
        <w:rPr>
          <w:rFonts w:ascii="Times New Roman" w:eastAsia="Times New Roman" w:hAnsi="Times New Roman" w:cs="Times New Roman"/>
          <w:sz w:val="24"/>
          <w:szCs w:val="24"/>
          <w:vertAlign w:val="superscript"/>
        </w:rPr>
        <w:footnoteReference w:id="39"/>
      </w:r>
      <w:r>
        <w:rPr>
          <w:rFonts w:ascii="Times New Roman" w:eastAsia="Times New Roman" w:hAnsi="Times New Roman" w:cs="Times New Roman"/>
          <w:sz w:val="24"/>
          <w:szCs w:val="24"/>
        </w:rPr>
        <w:t xml:space="preserve"> An example of this is the preface of the Dover priory cartulary which explains that its muniments had exper</w:t>
      </w:r>
      <w:r>
        <w:rPr>
          <w:rFonts w:ascii="Times New Roman" w:eastAsia="Times New Roman" w:hAnsi="Times New Roman" w:cs="Times New Roman"/>
          <w:sz w:val="24"/>
          <w:szCs w:val="24"/>
        </w:rPr>
        <w:t>ienced "many disasters and injuries both spiritual and temporal"</w:t>
      </w:r>
      <w:r>
        <w:rPr>
          <w:rFonts w:ascii="Times New Roman" w:eastAsia="Times New Roman" w:hAnsi="Times New Roman" w:cs="Times New Roman"/>
          <w:sz w:val="24"/>
          <w:szCs w:val="24"/>
          <w:vertAlign w:val="superscript"/>
        </w:rPr>
        <w:footnoteReference w:id="40"/>
      </w:r>
      <w:r>
        <w:rPr>
          <w:rFonts w:ascii="Times New Roman" w:eastAsia="Times New Roman" w:hAnsi="Times New Roman" w:cs="Times New Roman"/>
          <w:sz w:val="24"/>
          <w:szCs w:val="24"/>
        </w:rPr>
        <w:t xml:space="preserve"> which included theft, arson and decay. Compared to compiled manuscripts, documents that proved title or possession were more easily lost, which could result in loss of income and privileges</w:t>
      </w:r>
      <w:r>
        <w:rPr>
          <w:rFonts w:ascii="Times New Roman" w:eastAsia="Times New Roman" w:hAnsi="Times New Roman" w:cs="Times New Roman"/>
          <w:sz w:val="24"/>
          <w:szCs w:val="24"/>
        </w:rPr>
        <w:t>,</w:t>
      </w:r>
      <w:r>
        <w:rPr>
          <w:rFonts w:ascii="Times New Roman" w:eastAsia="Times New Roman" w:hAnsi="Times New Roman" w:cs="Times New Roman"/>
          <w:sz w:val="24"/>
          <w:szCs w:val="24"/>
          <w:vertAlign w:val="superscript"/>
        </w:rPr>
        <w:footnoteReference w:id="41"/>
      </w:r>
      <w:r>
        <w:rPr>
          <w:rFonts w:ascii="Times New Roman" w:eastAsia="Times New Roman" w:hAnsi="Times New Roman" w:cs="Times New Roman"/>
          <w:sz w:val="24"/>
          <w:szCs w:val="24"/>
        </w:rPr>
        <w:t xml:space="preserve"> and it is therefore clear that the cartulary served the purpose of safeguarding these documents in times of upheaval or unease. </w:t>
      </w:r>
    </w:p>
    <w:p w14:paraId="00000018"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19"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There is some debate surrounding the legal function of cartularies. While academic focus leans towards their use as tools of memory and identity which did not serve a legal role,</w:t>
      </w:r>
      <w:r>
        <w:rPr>
          <w:rFonts w:ascii="Times New Roman" w:eastAsia="Times New Roman" w:hAnsi="Times New Roman" w:cs="Times New Roman"/>
          <w:sz w:val="24"/>
          <w:szCs w:val="24"/>
          <w:vertAlign w:val="superscript"/>
        </w:rPr>
        <w:footnoteReference w:id="42"/>
      </w:r>
      <w:r>
        <w:rPr>
          <w:rFonts w:ascii="Times New Roman" w:eastAsia="Times New Roman" w:hAnsi="Times New Roman" w:cs="Times New Roman"/>
          <w:sz w:val="24"/>
          <w:szCs w:val="24"/>
        </w:rPr>
        <w:t xml:space="preserve"> their preservation of records might have made them a "second line of defenc</w:t>
      </w:r>
      <w:r>
        <w:rPr>
          <w:rFonts w:ascii="Times New Roman" w:eastAsia="Times New Roman" w:hAnsi="Times New Roman" w:cs="Times New Roman"/>
          <w:sz w:val="24"/>
          <w:szCs w:val="24"/>
        </w:rPr>
        <w:t>e"</w:t>
      </w:r>
      <w:r>
        <w:rPr>
          <w:rFonts w:ascii="Times New Roman" w:eastAsia="Times New Roman" w:hAnsi="Times New Roman" w:cs="Times New Roman"/>
          <w:sz w:val="24"/>
          <w:szCs w:val="24"/>
          <w:vertAlign w:val="superscript"/>
        </w:rPr>
        <w:footnoteReference w:id="43"/>
      </w:r>
      <w:r>
        <w:rPr>
          <w:rFonts w:ascii="Times New Roman" w:eastAsia="Times New Roman" w:hAnsi="Times New Roman" w:cs="Times New Roman"/>
          <w:sz w:val="24"/>
          <w:szCs w:val="24"/>
        </w:rPr>
        <w:t xml:space="preserve"> in the event that original documents were lost. Although there is little surviving evidence of this, it is not unreasonable to suggest that a cartulary might have been used as secondary or supporting evidence in a legal sense,</w:t>
      </w:r>
      <w:r>
        <w:rPr>
          <w:rFonts w:ascii="Times New Roman" w:eastAsia="Times New Roman" w:hAnsi="Times New Roman" w:cs="Times New Roman"/>
          <w:sz w:val="24"/>
          <w:szCs w:val="24"/>
          <w:vertAlign w:val="superscript"/>
        </w:rPr>
        <w:footnoteReference w:id="44"/>
      </w:r>
      <w:r>
        <w:rPr>
          <w:rFonts w:ascii="Times New Roman" w:eastAsia="Times New Roman" w:hAnsi="Times New Roman" w:cs="Times New Roman"/>
          <w:sz w:val="24"/>
          <w:szCs w:val="24"/>
        </w:rPr>
        <w:t xml:space="preserve"> which is a function th</w:t>
      </w:r>
      <w:r>
        <w:rPr>
          <w:rFonts w:ascii="Times New Roman" w:eastAsia="Times New Roman" w:hAnsi="Times New Roman" w:cs="Times New Roman"/>
          <w:sz w:val="24"/>
          <w:szCs w:val="24"/>
        </w:rPr>
        <w:t>at has been arguably overlooked or downplayed by modern scholarship in favour of commemoration and identity.</w:t>
      </w:r>
      <w:r>
        <w:rPr>
          <w:rFonts w:ascii="Times New Roman" w:eastAsia="Times New Roman" w:hAnsi="Times New Roman" w:cs="Times New Roman"/>
          <w:sz w:val="24"/>
          <w:szCs w:val="24"/>
          <w:vertAlign w:val="superscript"/>
        </w:rPr>
        <w:footnoteReference w:id="45"/>
      </w:r>
      <w:r>
        <w:rPr>
          <w:rFonts w:ascii="Times New Roman" w:eastAsia="Times New Roman" w:hAnsi="Times New Roman" w:cs="Times New Roman"/>
          <w:sz w:val="24"/>
          <w:szCs w:val="24"/>
        </w:rPr>
        <w:t xml:space="preserve">  Whatever their intended legal function, some evidence does suggest they may have been used centuries after their initial compilation when no oth</w:t>
      </w:r>
      <w:r>
        <w:rPr>
          <w:rFonts w:ascii="Times New Roman" w:eastAsia="Times New Roman" w:hAnsi="Times New Roman" w:cs="Times New Roman"/>
          <w:sz w:val="24"/>
          <w:szCs w:val="24"/>
        </w:rPr>
        <w:t>er evidence was available,</w:t>
      </w:r>
      <w:r>
        <w:rPr>
          <w:rFonts w:ascii="Times New Roman" w:eastAsia="Times New Roman" w:hAnsi="Times New Roman" w:cs="Times New Roman"/>
          <w:sz w:val="24"/>
          <w:szCs w:val="24"/>
          <w:vertAlign w:val="superscript"/>
        </w:rPr>
        <w:footnoteReference w:id="46"/>
      </w:r>
      <w:r>
        <w:rPr>
          <w:rFonts w:ascii="Times New Roman" w:eastAsia="Times New Roman" w:hAnsi="Times New Roman" w:cs="Times New Roman"/>
          <w:sz w:val="24"/>
          <w:szCs w:val="24"/>
        </w:rPr>
        <w:t xml:space="preserve"> with the cartulary’s age serving to give it some degree of perceived authenticity.</w:t>
      </w:r>
      <w:r>
        <w:rPr>
          <w:rFonts w:ascii="Times New Roman" w:eastAsia="Times New Roman" w:hAnsi="Times New Roman" w:cs="Times New Roman"/>
          <w:sz w:val="24"/>
          <w:szCs w:val="24"/>
          <w:vertAlign w:val="superscript"/>
        </w:rPr>
        <w:footnoteReference w:id="47"/>
      </w:r>
      <w:r>
        <w:rPr>
          <w:rFonts w:ascii="Times New Roman" w:eastAsia="Times New Roman" w:hAnsi="Times New Roman" w:cs="Times New Roman"/>
          <w:sz w:val="24"/>
          <w:szCs w:val="24"/>
        </w:rPr>
        <w:t xml:space="preserve"> An example of this from the 15th century is the use of a much older cartulary of St Andrews Cathedral Priory which was used as evidence in a d</w:t>
      </w:r>
      <w:r>
        <w:rPr>
          <w:rFonts w:ascii="Times New Roman" w:eastAsia="Times New Roman" w:hAnsi="Times New Roman" w:cs="Times New Roman"/>
          <w:sz w:val="24"/>
          <w:szCs w:val="24"/>
        </w:rPr>
        <w:t>ispute.</w:t>
      </w:r>
      <w:r>
        <w:rPr>
          <w:rFonts w:ascii="Times New Roman" w:eastAsia="Times New Roman" w:hAnsi="Times New Roman" w:cs="Times New Roman"/>
          <w:sz w:val="24"/>
          <w:szCs w:val="24"/>
          <w:vertAlign w:val="superscript"/>
        </w:rPr>
        <w:footnoteReference w:id="48"/>
      </w:r>
      <w:r>
        <w:rPr>
          <w:rFonts w:ascii="Times New Roman" w:eastAsia="Times New Roman" w:hAnsi="Times New Roman" w:cs="Times New Roman"/>
          <w:sz w:val="24"/>
          <w:szCs w:val="24"/>
        </w:rPr>
        <w:t xml:space="preserve"> Therefore, even if cartularies were not compiled with the purpose of being used as evidence in court, it seems unlikely that their compilers would not have been aware of their potential use in future disputes, even if this use was only secondary.</w:t>
      </w:r>
      <w:r>
        <w:rPr>
          <w:rFonts w:ascii="Times New Roman" w:eastAsia="Times New Roman" w:hAnsi="Times New Roman" w:cs="Times New Roman"/>
          <w:sz w:val="24"/>
          <w:szCs w:val="24"/>
          <w:vertAlign w:val="superscript"/>
        </w:rPr>
        <w:footnoteReference w:id="49"/>
      </w:r>
      <w:r>
        <w:rPr>
          <w:rFonts w:ascii="Times New Roman" w:eastAsia="Times New Roman" w:hAnsi="Times New Roman" w:cs="Times New Roman"/>
          <w:sz w:val="24"/>
          <w:szCs w:val="24"/>
        </w:rPr>
        <w:t xml:space="preserve"> That said, the use of cartularies in legal functions is rare and when it does occur, it is centuries later.</w:t>
      </w:r>
      <w:r>
        <w:rPr>
          <w:rFonts w:ascii="Times New Roman" w:eastAsia="Times New Roman" w:hAnsi="Times New Roman" w:cs="Times New Roman"/>
          <w:sz w:val="24"/>
          <w:szCs w:val="24"/>
          <w:vertAlign w:val="superscript"/>
        </w:rPr>
        <w:footnoteReference w:id="50"/>
      </w:r>
      <w:r>
        <w:rPr>
          <w:rFonts w:ascii="Times New Roman" w:eastAsia="Times New Roman" w:hAnsi="Times New Roman" w:cs="Times New Roman"/>
          <w:sz w:val="24"/>
          <w:szCs w:val="24"/>
        </w:rPr>
        <w:t xml:space="preserve"> In regards to the intention of the compiler, it seems unlikely that scribes would fabricate a record in order to affect a legal dispute at a la</w:t>
      </w:r>
      <w:r>
        <w:rPr>
          <w:rFonts w:ascii="Times New Roman" w:eastAsia="Times New Roman" w:hAnsi="Times New Roman" w:cs="Times New Roman"/>
          <w:sz w:val="24"/>
          <w:szCs w:val="24"/>
        </w:rPr>
        <w:t>ter date if they did not believe themselves that a cartualary could serve such a legal function.</w:t>
      </w:r>
      <w:r>
        <w:rPr>
          <w:rFonts w:ascii="Times New Roman" w:eastAsia="Times New Roman" w:hAnsi="Times New Roman" w:cs="Times New Roman"/>
          <w:sz w:val="24"/>
          <w:szCs w:val="24"/>
          <w:vertAlign w:val="superscript"/>
        </w:rPr>
        <w:footnoteReference w:id="51"/>
      </w:r>
      <w:r>
        <w:rPr>
          <w:rFonts w:ascii="Times New Roman" w:eastAsia="Times New Roman" w:hAnsi="Times New Roman" w:cs="Times New Roman"/>
          <w:sz w:val="24"/>
          <w:szCs w:val="24"/>
        </w:rPr>
        <w:t xml:space="preserve"> That said, forgeries of charters certainly do exist and it would be naive to assume that no cartularies (which, by their nature, are so closely tied to chart</w:t>
      </w:r>
      <w:r>
        <w:rPr>
          <w:rFonts w:ascii="Times New Roman" w:eastAsia="Times New Roman" w:hAnsi="Times New Roman" w:cs="Times New Roman"/>
          <w:sz w:val="24"/>
          <w:szCs w:val="24"/>
        </w:rPr>
        <w:t>ers) could not also exist for this  reason. The truth is that we cannot know whether medieval compilers believed in this legal function or not. Despite this, the idea of cartularies as documents created to fulfil a legal function has been a dominant and pe</w:t>
      </w:r>
      <w:r>
        <w:rPr>
          <w:rFonts w:ascii="Times New Roman" w:eastAsia="Times New Roman" w:hAnsi="Times New Roman" w:cs="Times New Roman"/>
          <w:sz w:val="24"/>
          <w:szCs w:val="24"/>
        </w:rPr>
        <w:t>rvasive concern in the study of cartularies</w:t>
      </w:r>
      <w:r>
        <w:rPr>
          <w:rFonts w:ascii="Times New Roman" w:eastAsia="Times New Roman" w:hAnsi="Times New Roman" w:cs="Times New Roman"/>
          <w:sz w:val="24"/>
          <w:szCs w:val="24"/>
          <w:vertAlign w:val="superscript"/>
        </w:rPr>
        <w:footnoteReference w:id="52"/>
      </w:r>
      <w:r>
        <w:rPr>
          <w:rFonts w:ascii="Times New Roman" w:eastAsia="Times New Roman" w:hAnsi="Times New Roman" w:cs="Times New Roman"/>
          <w:sz w:val="24"/>
          <w:szCs w:val="24"/>
        </w:rPr>
        <w:t xml:space="preserve"> which must be addressed when attempting to understand problems faced by the historian in using them as documentary sources. </w:t>
      </w:r>
    </w:p>
    <w:p w14:paraId="0000001A"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1B"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suspicion surrounding cartularies focuses on the argument that, if cartularies </w:t>
      </w:r>
      <w:r>
        <w:rPr>
          <w:rFonts w:ascii="Times New Roman" w:eastAsia="Times New Roman" w:hAnsi="Times New Roman" w:cs="Times New Roman"/>
          <w:sz w:val="24"/>
          <w:szCs w:val="24"/>
        </w:rPr>
        <w:t>served a legal function, the compiler may have fabricated texts in order to boost their own position</w:t>
      </w:r>
      <w:r>
        <w:rPr>
          <w:rFonts w:ascii="Times New Roman" w:eastAsia="Times New Roman" w:hAnsi="Times New Roman" w:cs="Times New Roman"/>
          <w:sz w:val="24"/>
          <w:szCs w:val="24"/>
          <w:vertAlign w:val="superscript"/>
        </w:rPr>
        <w:footnoteReference w:id="53"/>
      </w:r>
      <w:r>
        <w:rPr>
          <w:rFonts w:ascii="Times New Roman" w:eastAsia="Times New Roman" w:hAnsi="Times New Roman" w:cs="Times New Roman"/>
          <w:sz w:val="24"/>
          <w:szCs w:val="24"/>
        </w:rPr>
        <w:t xml:space="preserve"> and the cartulary would thus provide inaccurate and biased information. An inability to ascertain how much exists of original charters is especially troublesome in the cases where a cartulary is the only surviving documentary evidence from a particular se</w:t>
      </w:r>
      <w:r>
        <w:rPr>
          <w:rFonts w:ascii="Times New Roman" w:eastAsia="Times New Roman" w:hAnsi="Times New Roman" w:cs="Times New Roman"/>
          <w:sz w:val="24"/>
          <w:szCs w:val="24"/>
        </w:rPr>
        <w:t>tting. Although there are instances where both muniments and cartularies survive relatively intact and could be compared (such as those from the Cisterian abbey of Rufford),</w:t>
      </w:r>
      <w:r>
        <w:rPr>
          <w:rFonts w:ascii="Times New Roman" w:eastAsia="Times New Roman" w:hAnsi="Times New Roman" w:cs="Times New Roman"/>
          <w:sz w:val="24"/>
          <w:szCs w:val="24"/>
          <w:vertAlign w:val="superscript"/>
        </w:rPr>
        <w:footnoteReference w:id="54"/>
      </w:r>
      <w:r>
        <w:rPr>
          <w:rFonts w:ascii="Times New Roman" w:eastAsia="Times New Roman" w:hAnsi="Times New Roman" w:cs="Times New Roman"/>
          <w:sz w:val="24"/>
          <w:szCs w:val="24"/>
        </w:rPr>
        <w:t xml:space="preserve"> this is certainly not the norm.  As has been shown, scribes were often selective</w:t>
      </w:r>
      <w:r>
        <w:rPr>
          <w:rFonts w:ascii="Times New Roman" w:eastAsia="Times New Roman" w:hAnsi="Times New Roman" w:cs="Times New Roman"/>
          <w:sz w:val="24"/>
          <w:szCs w:val="24"/>
        </w:rPr>
        <w:t xml:space="preserve"> and it is not always clear how much or how little was included or omitted. Therefore, a problem faced by historians is the difficulty in ascertaining what remains of the original text and charters, and what has been changed or omitted. </w:t>
      </w:r>
    </w:p>
    <w:p w14:paraId="0000001C"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1D"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0000001E"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exclusion</w:t>
      </w:r>
      <w:r>
        <w:rPr>
          <w:rFonts w:ascii="Times New Roman" w:eastAsia="Times New Roman" w:hAnsi="Times New Roman" w:cs="Times New Roman"/>
          <w:sz w:val="24"/>
          <w:szCs w:val="24"/>
        </w:rPr>
        <w:t xml:space="preserve"> or inaccurate copying of a charter was not always intentional. Transcription was undeniably a monotonous task which may have led to shortcuts, omissions, and other transcriptional inaccuracies</w:t>
      </w:r>
      <w:r>
        <w:rPr>
          <w:rFonts w:ascii="Times New Roman" w:eastAsia="Times New Roman" w:hAnsi="Times New Roman" w:cs="Times New Roman"/>
          <w:sz w:val="24"/>
          <w:szCs w:val="24"/>
          <w:vertAlign w:val="superscript"/>
        </w:rPr>
        <w:footnoteReference w:id="55"/>
      </w:r>
      <w:r>
        <w:rPr>
          <w:rFonts w:ascii="Times New Roman" w:eastAsia="Times New Roman" w:hAnsi="Times New Roman" w:cs="Times New Roman"/>
          <w:sz w:val="24"/>
          <w:szCs w:val="24"/>
        </w:rPr>
        <w:t xml:space="preserve"> and similar mistakes could have been made during the process</w:t>
      </w:r>
      <w:r>
        <w:rPr>
          <w:rFonts w:ascii="Times New Roman" w:eastAsia="Times New Roman" w:hAnsi="Times New Roman" w:cs="Times New Roman"/>
          <w:sz w:val="24"/>
          <w:szCs w:val="24"/>
        </w:rPr>
        <w:t xml:space="preserve"> of translating or modernising. Similarly, as has already been discussed, cartularies served various functions and were particular to a specific time and place. Their contents were edited to fulfil particular needs and concerns of the compiler and communit</w:t>
      </w:r>
      <w:r>
        <w:rPr>
          <w:rFonts w:ascii="Times New Roman" w:eastAsia="Times New Roman" w:hAnsi="Times New Roman" w:cs="Times New Roman"/>
          <w:sz w:val="24"/>
          <w:szCs w:val="24"/>
        </w:rPr>
        <w:t>y, such as omitting less desirable aspects of an institution’s history to better suit the contemporary sociopolitical climate. In regards to these intentional omissions, explanatory notes sometimes exist, such as those in the Thurgaton cartulary, which exp</w:t>
      </w:r>
      <w:r>
        <w:rPr>
          <w:rFonts w:ascii="Times New Roman" w:eastAsia="Times New Roman" w:hAnsi="Times New Roman" w:cs="Times New Roman"/>
          <w:sz w:val="24"/>
          <w:szCs w:val="24"/>
        </w:rPr>
        <w:t>lains that there are many similar charters and the scribe found it unnecessary to copy them all.</w:t>
      </w:r>
      <w:r>
        <w:rPr>
          <w:rFonts w:ascii="Times New Roman" w:eastAsia="Times New Roman" w:hAnsi="Times New Roman" w:cs="Times New Roman"/>
          <w:sz w:val="24"/>
          <w:szCs w:val="24"/>
          <w:vertAlign w:val="superscript"/>
        </w:rPr>
        <w:footnoteReference w:id="56"/>
      </w:r>
      <w:r>
        <w:rPr>
          <w:rFonts w:ascii="Times New Roman" w:eastAsia="Times New Roman" w:hAnsi="Times New Roman" w:cs="Times New Roman"/>
          <w:sz w:val="24"/>
          <w:szCs w:val="24"/>
        </w:rPr>
        <w:t xml:space="preserve"> Unfortunately, explanatory notes are not always present and one must be wary of assuming that the lack of such a note implies that cartularies were copied ac</w:t>
      </w:r>
      <w:r>
        <w:rPr>
          <w:rFonts w:ascii="Times New Roman" w:eastAsia="Times New Roman" w:hAnsi="Times New Roman" w:cs="Times New Roman"/>
          <w:sz w:val="24"/>
          <w:szCs w:val="24"/>
        </w:rPr>
        <w:t>curately and wholly. That said, it must be remembered that this lack of accuracy could have been both intentional and unintentional, and if there was a desire to use cartularies in a legal function, it was certainly not the only reason for these changes an</w:t>
      </w:r>
      <w:r>
        <w:rPr>
          <w:rFonts w:ascii="Times New Roman" w:eastAsia="Times New Roman" w:hAnsi="Times New Roman" w:cs="Times New Roman"/>
          <w:sz w:val="24"/>
          <w:szCs w:val="24"/>
        </w:rPr>
        <w:t xml:space="preserve">d omissions. </w:t>
      </w:r>
    </w:p>
    <w:p w14:paraId="0000001F"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20"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A similar problem is faced when using later editions of cartularies. The traditional assumption that cartularies were simply compendiums of important documents preserved for posterity has led to the publication of misleading modern editions</w:t>
      </w:r>
      <w:r>
        <w:rPr>
          <w:rFonts w:ascii="Times New Roman" w:eastAsia="Times New Roman" w:hAnsi="Times New Roman" w:cs="Times New Roman"/>
          <w:sz w:val="24"/>
          <w:szCs w:val="24"/>
        </w:rPr>
        <w:t>. The material is often rearranged chronologically by the editor</w:t>
      </w:r>
      <w:r>
        <w:rPr>
          <w:rFonts w:ascii="Times New Roman" w:eastAsia="Times New Roman" w:hAnsi="Times New Roman" w:cs="Times New Roman"/>
          <w:sz w:val="24"/>
          <w:szCs w:val="24"/>
          <w:vertAlign w:val="superscript"/>
        </w:rPr>
        <w:footnoteReference w:id="57"/>
      </w:r>
      <w:r>
        <w:rPr>
          <w:rFonts w:ascii="Times New Roman" w:eastAsia="Times New Roman" w:hAnsi="Times New Roman" w:cs="Times New Roman"/>
          <w:sz w:val="24"/>
          <w:szCs w:val="24"/>
        </w:rPr>
        <w:t xml:space="preserve"> which is not always made apparent in the preface. Similarly, some modern editions add "missing" charters and, again, it is not always made clear what text was taken from the original cartul</w:t>
      </w:r>
      <w:r>
        <w:rPr>
          <w:rFonts w:ascii="Times New Roman" w:eastAsia="Times New Roman" w:hAnsi="Times New Roman" w:cs="Times New Roman"/>
          <w:sz w:val="24"/>
          <w:szCs w:val="24"/>
        </w:rPr>
        <w:t>ary and what was added from extant charters.</w:t>
      </w:r>
      <w:r>
        <w:rPr>
          <w:rFonts w:ascii="Times New Roman" w:eastAsia="Times New Roman" w:hAnsi="Times New Roman" w:cs="Times New Roman"/>
          <w:sz w:val="24"/>
          <w:szCs w:val="24"/>
          <w:vertAlign w:val="superscript"/>
        </w:rPr>
        <w:footnoteReference w:id="58"/>
      </w:r>
      <w:r>
        <w:rPr>
          <w:rFonts w:ascii="Times New Roman" w:eastAsia="Times New Roman" w:hAnsi="Times New Roman" w:cs="Times New Roman"/>
          <w:sz w:val="24"/>
          <w:szCs w:val="24"/>
        </w:rPr>
        <w:t xml:space="preserve"> This selection and rearrangement to reflect modern understanding of medieval legal texts can potentially compromise understanding of cartularies, medieval archival practices, and the compiler’s own intentions </w:t>
      </w:r>
      <w:r>
        <w:rPr>
          <w:rFonts w:ascii="Times New Roman" w:eastAsia="Times New Roman" w:hAnsi="Times New Roman" w:cs="Times New Roman"/>
          <w:sz w:val="24"/>
          <w:szCs w:val="24"/>
        </w:rPr>
        <w:t>and feelings regarding the contents.</w:t>
      </w:r>
      <w:r>
        <w:rPr>
          <w:rFonts w:ascii="Times New Roman" w:eastAsia="Times New Roman" w:hAnsi="Times New Roman" w:cs="Times New Roman"/>
          <w:sz w:val="24"/>
          <w:szCs w:val="24"/>
          <w:vertAlign w:val="superscript"/>
        </w:rPr>
        <w:footnoteReference w:id="59"/>
      </w:r>
      <w:r>
        <w:rPr>
          <w:rFonts w:ascii="Times New Roman" w:eastAsia="Times New Roman" w:hAnsi="Times New Roman" w:cs="Times New Roman"/>
          <w:sz w:val="24"/>
          <w:szCs w:val="24"/>
        </w:rPr>
        <w:t xml:space="preserve"> Therefore, the historian must be critical when using modern editions of cartularies, as they could present ideas that are not present in the original cartulary whilst confusing evidence that otherwise would have been.</w:t>
      </w:r>
    </w:p>
    <w:p w14:paraId="00000021"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22"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ability to examine a cartulary’s contents in context is especially important when it is considered that many transcriptions (and original charters) omit names and dates, making dating of the original texts more difficult. The position of a particula</w:t>
      </w:r>
      <w:r>
        <w:rPr>
          <w:rFonts w:ascii="Times New Roman" w:eastAsia="Times New Roman" w:hAnsi="Times New Roman" w:cs="Times New Roman"/>
          <w:sz w:val="24"/>
          <w:szCs w:val="24"/>
        </w:rPr>
        <w:t>r charter within the cartulary may lend evidence to its dating, as well as the study of paleography, description of seals, mentions of scribes’ names, and use of older spellings and formulae.</w:t>
      </w:r>
      <w:r>
        <w:rPr>
          <w:rFonts w:ascii="Times New Roman" w:eastAsia="Times New Roman" w:hAnsi="Times New Roman" w:cs="Times New Roman"/>
          <w:sz w:val="24"/>
          <w:szCs w:val="24"/>
          <w:vertAlign w:val="superscript"/>
        </w:rPr>
        <w:footnoteReference w:id="60"/>
      </w:r>
      <w:r>
        <w:rPr>
          <w:rFonts w:ascii="Times New Roman" w:eastAsia="Times New Roman" w:hAnsi="Times New Roman" w:cs="Times New Roman"/>
          <w:sz w:val="24"/>
          <w:szCs w:val="24"/>
        </w:rPr>
        <w:t xml:space="preserve"> </w:t>
      </w:r>
    </w:p>
    <w:p w14:paraId="00000023"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24"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Furthermore, just as one should be wary of assuming that a</w:t>
      </w:r>
      <w:r>
        <w:rPr>
          <w:rFonts w:ascii="Times New Roman" w:eastAsia="Times New Roman" w:hAnsi="Times New Roman" w:cs="Times New Roman"/>
          <w:sz w:val="24"/>
          <w:szCs w:val="24"/>
        </w:rPr>
        <w:t>ll cartularies accurately record the entire corpus of muniments from a particular institution, one must be equally wary of viewing cartularies with so much suspicion that their use as documentary sources is underplayed or overlooked. Although the perceived</w:t>
      </w:r>
      <w:r>
        <w:rPr>
          <w:rFonts w:ascii="Times New Roman" w:eastAsia="Times New Roman" w:hAnsi="Times New Roman" w:cs="Times New Roman"/>
          <w:sz w:val="24"/>
          <w:szCs w:val="24"/>
        </w:rPr>
        <w:t xml:space="preserve"> value of cartularies was traditionally based on the accuracy with which they transcribed charters, modern scholarship recognises the cartulary as the product of a complex and creative process. Factors such as selectivity, decoration, ordering of muniments</w:t>
      </w:r>
      <w:r>
        <w:rPr>
          <w:rFonts w:ascii="Times New Roman" w:eastAsia="Times New Roman" w:hAnsi="Times New Roman" w:cs="Times New Roman"/>
          <w:sz w:val="24"/>
          <w:szCs w:val="24"/>
        </w:rPr>
        <w:t>, and accompanying notes often reveal more about a compiler or institution than the charters alone would. Analysis of various aspects of a cartulary can often yield further insight into the values, economic situation, and sociopolitical standing of a parti</w:t>
      </w:r>
      <w:r>
        <w:rPr>
          <w:rFonts w:ascii="Times New Roman" w:eastAsia="Times New Roman" w:hAnsi="Times New Roman" w:cs="Times New Roman"/>
          <w:sz w:val="24"/>
          <w:szCs w:val="24"/>
        </w:rPr>
        <w:t>cular institution at the time of the cartulary’s creation</w:t>
      </w:r>
      <w:r>
        <w:rPr>
          <w:rFonts w:ascii="Times New Roman" w:eastAsia="Times New Roman" w:hAnsi="Times New Roman" w:cs="Times New Roman"/>
          <w:sz w:val="24"/>
          <w:szCs w:val="24"/>
          <w:vertAlign w:val="superscript"/>
        </w:rPr>
        <w:footnoteReference w:id="61"/>
      </w:r>
      <w:r>
        <w:rPr>
          <w:rFonts w:ascii="Times New Roman" w:eastAsia="Times New Roman" w:hAnsi="Times New Roman" w:cs="Times New Roman"/>
          <w:sz w:val="24"/>
          <w:szCs w:val="24"/>
        </w:rPr>
        <w:t xml:space="preserve"> and therefore all cartularies are of inherent academic value, since they offer an insight into the time period in which they were created and the community that created  them. </w:t>
      </w:r>
    </w:p>
    <w:p w14:paraId="00000025"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26"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That said, becaus</w:t>
      </w:r>
      <w:r>
        <w:rPr>
          <w:rFonts w:ascii="Times New Roman" w:eastAsia="Times New Roman" w:hAnsi="Times New Roman" w:cs="Times New Roman"/>
          <w:sz w:val="24"/>
          <w:szCs w:val="24"/>
        </w:rPr>
        <w:t xml:space="preserve">e of their varying selectivity and specificity to an individual institution, it is difficult to make comparisons between cartularies. Therefore, another problem for historians is that information gleaned from one cartulary cannot necessarily be applied to </w:t>
      </w:r>
      <w:r>
        <w:rPr>
          <w:rFonts w:ascii="Times New Roman" w:eastAsia="Times New Roman" w:hAnsi="Times New Roman" w:cs="Times New Roman"/>
          <w:sz w:val="24"/>
          <w:szCs w:val="24"/>
        </w:rPr>
        <w:t>another as each cartulary is specific to its particular community. Modern scholarship is able to bring together thousands of examples of cartularies for comparison, but in doing so it becomes increasingly easy to forget that the cartularies themselves were</w:t>
      </w:r>
      <w:r>
        <w:rPr>
          <w:rFonts w:ascii="Times New Roman" w:eastAsia="Times New Roman" w:hAnsi="Times New Roman" w:cs="Times New Roman"/>
          <w:sz w:val="24"/>
          <w:szCs w:val="24"/>
        </w:rPr>
        <w:t xml:space="preserve"> documents created and used privately by separate institutions.  Each cartulary had its own complex reasons for creation and was compiled without the ability to reference the massive corpus of work that we as modern scholars have access to. The compilation</w:t>
      </w:r>
      <w:r>
        <w:rPr>
          <w:rFonts w:ascii="Times New Roman" w:eastAsia="Times New Roman" w:hAnsi="Times New Roman" w:cs="Times New Roman"/>
          <w:sz w:val="24"/>
          <w:szCs w:val="24"/>
        </w:rPr>
        <w:t xml:space="preserve"> of cartularies certainly shaped how later people would understand and connect to their past but whatever the compilers’ intentions, they could not have known how a cartulary would be used by subsequent generations. It is therefore perhaps more useful to n</w:t>
      </w:r>
      <w:r>
        <w:rPr>
          <w:rFonts w:ascii="Times New Roman" w:eastAsia="Times New Roman" w:hAnsi="Times New Roman" w:cs="Times New Roman"/>
          <w:sz w:val="24"/>
          <w:szCs w:val="24"/>
        </w:rPr>
        <w:t xml:space="preserve">ot view the cartulary as a static document frozen in time and with clear and specific aims but something from which each generation would glean different purpose and meaning.  </w:t>
      </w:r>
    </w:p>
    <w:p w14:paraId="00000027"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28"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It is undeniable that cartularies are an immensely valuable resource in under</w:t>
      </w:r>
      <w:r>
        <w:rPr>
          <w:rFonts w:ascii="Times New Roman" w:eastAsia="Times New Roman" w:hAnsi="Times New Roman" w:cs="Times New Roman"/>
          <w:sz w:val="24"/>
          <w:szCs w:val="24"/>
        </w:rPr>
        <w:t xml:space="preserve">standing the Middle Ages. They compile and preserve texts which might otherwise have been lost and in some cases are the most substantial or only surviving documentary source from a particular location or institution. That said, there are certain problems </w:t>
      </w:r>
      <w:r>
        <w:rPr>
          <w:rFonts w:ascii="Times New Roman" w:eastAsia="Times New Roman" w:hAnsi="Times New Roman" w:cs="Times New Roman"/>
          <w:sz w:val="24"/>
          <w:szCs w:val="24"/>
        </w:rPr>
        <w:t>that must be considered by the historian when using them as documentary sources. The most obvious problem is trying to ascertain to what extent the contents of a cartulary reflect the original charters, and what this selectivity might mean in regards to th</w:t>
      </w:r>
      <w:r>
        <w:rPr>
          <w:rFonts w:ascii="Times New Roman" w:eastAsia="Times New Roman" w:hAnsi="Times New Roman" w:cs="Times New Roman"/>
          <w:sz w:val="24"/>
          <w:szCs w:val="24"/>
        </w:rPr>
        <w:t xml:space="preserve">e cartulary’s intended purpose and subsequent use. Other issues to be considered are difficulties in dating, problems with modern editions, and a tendency of traditional scholarship to emphasise more what is missing from cartularies than what is included. </w:t>
      </w:r>
      <w:r>
        <w:rPr>
          <w:rFonts w:ascii="Times New Roman" w:eastAsia="Times New Roman" w:hAnsi="Times New Roman" w:cs="Times New Roman"/>
          <w:sz w:val="24"/>
          <w:szCs w:val="24"/>
        </w:rPr>
        <w:t>Modern scholarship recognises many functions of cartularies in medieval society besides simple preservation. It is through examination of these functions that a better understanding of cartularies as a genre can be formed, as well as a better understanding</w:t>
      </w:r>
      <w:r>
        <w:rPr>
          <w:rFonts w:ascii="Times New Roman" w:eastAsia="Times New Roman" w:hAnsi="Times New Roman" w:cs="Times New Roman"/>
          <w:sz w:val="24"/>
          <w:szCs w:val="24"/>
        </w:rPr>
        <w:t xml:space="preserve">  and appreciation for cartularies as a unique insight into the economic, social, and political history of a particular institution at a particular time. </w:t>
      </w:r>
    </w:p>
    <w:p w14:paraId="00000029" w14:textId="77777777" w:rsidR="00D17C76" w:rsidRDefault="00DA4079">
      <w:pPr>
        <w:tabs>
          <w:tab w:val="left" w:pos="0"/>
        </w:tabs>
        <w:spacing w:line="480" w:lineRule="auto"/>
        <w:jc w:val="both"/>
        <w:rPr>
          <w:rFonts w:ascii="Times New Roman" w:eastAsia="Times New Roman" w:hAnsi="Times New Roman" w:cs="Times New Roman"/>
          <w:b/>
          <w:sz w:val="24"/>
          <w:szCs w:val="24"/>
        </w:rPr>
      </w:pPr>
      <w:r>
        <w:br w:type="page"/>
      </w:r>
    </w:p>
    <w:p w14:paraId="0000002A" w14:textId="77777777" w:rsidR="00D17C76" w:rsidRDefault="00DA4079">
      <w:pPr>
        <w:tabs>
          <w:tab w:val="left" w:pos="0"/>
        </w:tabs>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Bibliography</w:t>
      </w:r>
    </w:p>
    <w:p w14:paraId="0000002B"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2C"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Bouchard, Constance Brittain, </w:t>
      </w:r>
      <w:r>
        <w:rPr>
          <w:rFonts w:ascii="Times New Roman" w:eastAsia="Times New Roman" w:hAnsi="Times New Roman" w:cs="Times New Roman"/>
          <w:i/>
          <w:sz w:val="24"/>
          <w:szCs w:val="24"/>
        </w:rPr>
        <w:t>Rewriting Saints and Ancestors: Memory and Forgetting in France, 500-1200</w:t>
      </w:r>
      <w:r>
        <w:rPr>
          <w:rFonts w:ascii="Times New Roman" w:eastAsia="Times New Roman" w:hAnsi="Times New Roman" w:cs="Times New Roman"/>
          <w:sz w:val="24"/>
          <w:szCs w:val="24"/>
        </w:rPr>
        <w:t xml:space="preserve"> (Philadelphia, Pennsylvania: University of Pennsylvania Press, 2015)</w:t>
      </w:r>
    </w:p>
    <w:p w14:paraId="0000002D"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2E"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Clanchy, M.T., </w:t>
      </w:r>
      <w:r>
        <w:rPr>
          <w:rFonts w:ascii="Times New Roman" w:eastAsia="Times New Roman" w:hAnsi="Times New Roman" w:cs="Times New Roman"/>
          <w:i/>
          <w:sz w:val="24"/>
          <w:szCs w:val="24"/>
        </w:rPr>
        <w:t>From Memory to Written Record: England 1066 - 1307</w:t>
      </w:r>
      <w:r>
        <w:rPr>
          <w:rFonts w:ascii="Times New Roman" w:eastAsia="Times New Roman" w:hAnsi="Times New Roman" w:cs="Times New Roman"/>
          <w:sz w:val="24"/>
          <w:szCs w:val="24"/>
        </w:rPr>
        <w:t xml:space="preserve"> (Oxford: Blackwell Publishing, 2008)</w:t>
      </w:r>
    </w:p>
    <w:p w14:paraId="0000002F"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30"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Clemens, Raymond and Timothy Graham. "Chapter 14: Charters and Cartularies". </w:t>
      </w:r>
      <w:r>
        <w:rPr>
          <w:rFonts w:ascii="Times New Roman" w:eastAsia="Times New Roman" w:hAnsi="Times New Roman" w:cs="Times New Roman"/>
          <w:i/>
          <w:sz w:val="24"/>
          <w:szCs w:val="24"/>
        </w:rPr>
        <w:t>Introduction to Manuscript Studies</w:t>
      </w:r>
      <w:r>
        <w:rPr>
          <w:rFonts w:ascii="Times New Roman" w:eastAsia="Times New Roman" w:hAnsi="Times New Roman" w:cs="Times New Roman"/>
          <w:sz w:val="24"/>
          <w:szCs w:val="24"/>
        </w:rPr>
        <w:t xml:space="preserve"> (Cornell University Press: 2007) p. 222-239</w:t>
      </w:r>
    </w:p>
    <w:p w14:paraId="00000031"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32"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Davis, G.R.C., </w:t>
      </w:r>
      <w:r>
        <w:rPr>
          <w:rFonts w:ascii="Times New Roman" w:eastAsia="Times New Roman" w:hAnsi="Times New Roman" w:cs="Times New Roman"/>
          <w:i/>
          <w:sz w:val="24"/>
          <w:szCs w:val="24"/>
        </w:rPr>
        <w:t>Medieval Cartularies of Great Britain and Ireland</w:t>
      </w:r>
      <w:r>
        <w:rPr>
          <w:rFonts w:ascii="Times New Roman" w:eastAsia="Times New Roman" w:hAnsi="Times New Roman" w:cs="Times New Roman"/>
          <w:sz w:val="24"/>
          <w:szCs w:val="24"/>
        </w:rPr>
        <w:t xml:space="preserve"> (London, UK: British Library, 201</w:t>
      </w:r>
      <w:r>
        <w:rPr>
          <w:rFonts w:ascii="Times New Roman" w:eastAsia="Times New Roman" w:hAnsi="Times New Roman" w:cs="Times New Roman"/>
          <w:sz w:val="24"/>
          <w:szCs w:val="24"/>
        </w:rPr>
        <w:t>0)</w:t>
      </w:r>
    </w:p>
    <w:p w14:paraId="00000033"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34"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Foulds, Trevor, “Medieval Cartularies,” </w:t>
      </w:r>
      <w:r>
        <w:rPr>
          <w:rFonts w:ascii="Times New Roman" w:eastAsia="Times New Roman" w:hAnsi="Times New Roman" w:cs="Times New Roman"/>
          <w:i/>
          <w:sz w:val="24"/>
          <w:szCs w:val="24"/>
        </w:rPr>
        <w:t>Archives 18</w:t>
      </w:r>
      <w:r>
        <w:rPr>
          <w:rFonts w:ascii="Times New Roman" w:eastAsia="Times New Roman" w:hAnsi="Times New Roman" w:cs="Times New Roman"/>
          <w:sz w:val="24"/>
          <w:szCs w:val="24"/>
        </w:rPr>
        <w:t>, no. 77 (1987), p. 3-35</w:t>
      </w:r>
    </w:p>
    <w:p w14:paraId="00000035"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36"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Foulds, Trevor, </w:t>
      </w:r>
      <w:r>
        <w:rPr>
          <w:rFonts w:ascii="Times New Roman" w:eastAsia="Times New Roman" w:hAnsi="Times New Roman" w:cs="Times New Roman"/>
          <w:i/>
          <w:sz w:val="24"/>
          <w:szCs w:val="24"/>
        </w:rPr>
        <w:t>The Thurgarton Cartulary</w:t>
      </w:r>
      <w:r>
        <w:rPr>
          <w:rFonts w:ascii="Times New Roman" w:eastAsia="Times New Roman" w:hAnsi="Times New Roman" w:cs="Times New Roman"/>
          <w:sz w:val="24"/>
          <w:szCs w:val="24"/>
        </w:rPr>
        <w:t xml:space="preserve"> (Paul Watkins, 1994)</w:t>
      </w:r>
    </w:p>
    <w:p w14:paraId="00000037"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38"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Geary, Patrick J., "Archival Memory and the Destruction of the Past" in </w:t>
      </w:r>
      <w:r>
        <w:rPr>
          <w:rFonts w:ascii="Times New Roman" w:eastAsia="Times New Roman" w:hAnsi="Times New Roman" w:cs="Times New Roman"/>
          <w:i/>
          <w:sz w:val="24"/>
          <w:szCs w:val="24"/>
        </w:rPr>
        <w:t>Phantoms of Remembrance: Memory and O</w:t>
      </w:r>
      <w:r>
        <w:rPr>
          <w:rFonts w:ascii="Times New Roman" w:eastAsia="Times New Roman" w:hAnsi="Times New Roman" w:cs="Times New Roman"/>
          <w:i/>
          <w:sz w:val="24"/>
          <w:szCs w:val="24"/>
        </w:rPr>
        <w:t>blivion at the End of the First Millennium</w:t>
      </w:r>
      <w:r>
        <w:rPr>
          <w:rFonts w:ascii="Times New Roman" w:eastAsia="Times New Roman" w:hAnsi="Times New Roman" w:cs="Times New Roman"/>
          <w:sz w:val="24"/>
          <w:szCs w:val="24"/>
        </w:rPr>
        <w:t xml:space="preserve"> (Princeton University Press, 1994) p. 81-114</w:t>
      </w:r>
    </w:p>
    <w:p w14:paraId="00000039"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3A"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Gervers, Michael. </w:t>
      </w:r>
      <w:r>
        <w:rPr>
          <w:rFonts w:ascii="Times New Roman" w:eastAsia="Times New Roman" w:hAnsi="Times New Roman" w:cs="Times New Roman"/>
          <w:i/>
          <w:sz w:val="24"/>
          <w:szCs w:val="24"/>
        </w:rPr>
        <w:t>Dating Undated Medieval Charters</w:t>
      </w:r>
      <w:r>
        <w:rPr>
          <w:rFonts w:ascii="Times New Roman" w:eastAsia="Times New Roman" w:hAnsi="Times New Roman" w:cs="Times New Roman"/>
          <w:sz w:val="24"/>
          <w:szCs w:val="24"/>
        </w:rPr>
        <w:t xml:space="preserve"> (Boydell &amp; Brewer, 2000)</w:t>
      </w:r>
    </w:p>
    <w:p w14:paraId="0000003B"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3C"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Gransden, Antonia, </w:t>
      </w:r>
      <w:r>
        <w:rPr>
          <w:rFonts w:ascii="Times New Roman" w:eastAsia="Times New Roman" w:hAnsi="Times New Roman" w:cs="Times New Roman"/>
          <w:i/>
          <w:sz w:val="24"/>
          <w:szCs w:val="24"/>
        </w:rPr>
        <w:t>Historical Writing in England c.550–1307</w:t>
      </w:r>
      <w:r>
        <w:rPr>
          <w:rFonts w:ascii="Times New Roman" w:eastAsia="Times New Roman" w:hAnsi="Times New Roman" w:cs="Times New Roman"/>
          <w:sz w:val="24"/>
          <w:szCs w:val="24"/>
        </w:rPr>
        <w:t xml:space="preserve"> (Routledge and Kegan Paul, 1</w:t>
      </w:r>
      <w:r>
        <w:rPr>
          <w:rFonts w:ascii="Times New Roman" w:eastAsia="Times New Roman" w:hAnsi="Times New Roman" w:cs="Times New Roman"/>
          <w:sz w:val="24"/>
          <w:szCs w:val="24"/>
        </w:rPr>
        <w:t>974)</w:t>
      </w:r>
    </w:p>
    <w:p w14:paraId="0000003D"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3E"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Holdsworth, C. J., Rufford Charters, Thoroton Society Record Series 29, 30, 32, 34 (1972-81)</w:t>
      </w:r>
    </w:p>
    <w:p w14:paraId="0000003F"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40"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Ker, N.R,. </w:t>
      </w:r>
      <w:r>
        <w:rPr>
          <w:rFonts w:ascii="Times New Roman" w:eastAsia="Times New Roman" w:hAnsi="Times New Roman" w:cs="Times New Roman"/>
          <w:i/>
          <w:sz w:val="24"/>
          <w:szCs w:val="24"/>
        </w:rPr>
        <w:t>Books, Collectors, and Libraries: Studies in the Medieval Heritage</w:t>
      </w:r>
      <w:r>
        <w:rPr>
          <w:rFonts w:ascii="Times New Roman" w:eastAsia="Times New Roman" w:hAnsi="Times New Roman" w:cs="Times New Roman"/>
          <w:sz w:val="24"/>
          <w:szCs w:val="24"/>
        </w:rPr>
        <w:t xml:space="preserve"> (Hambledon Press, 1985)</w:t>
      </w:r>
    </w:p>
    <w:p w14:paraId="00000041"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Paxton, Jennifer, “Forging Communities: Memory and </w:t>
      </w:r>
      <w:r>
        <w:rPr>
          <w:rFonts w:ascii="Times New Roman" w:eastAsia="Times New Roman" w:hAnsi="Times New Roman" w:cs="Times New Roman"/>
          <w:sz w:val="24"/>
          <w:szCs w:val="24"/>
        </w:rPr>
        <w:t xml:space="preserve">Identity in Post-Conquest England” in  </w:t>
      </w:r>
      <w:r>
        <w:rPr>
          <w:rFonts w:ascii="Times New Roman" w:eastAsia="Times New Roman" w:hAnsi="Times New Roman" w:cs="Times New Roman"/>
          <w:i/>
          <w:sz w:val="24"/>
          <w:szCs w:val="24"/>
        </w:rPr>
        <w:t>Haskins Society Journal 10</w:t>
      </w:r>
      <w:r>
        <w:rPr>
          <w:rFonts w:ascii="Times New Roman" w:eastAsia="Times New Roman" w:hAnsi="Times New Roman" w:cs="Times New Roman"/>
          <w:sz w:val="24"/>
          <w:szCs w:val="24"/>
        </w:rPr>
        <w:t xml:space="preserve"> (2001) p. 95-109</w:t>
      </w:r>
    </w:p>
    <w:p w14:paraId="00000042"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43"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Postles, David, "The Garendon cartularies in BL, Lansdown 415", British Library Journal 22 (British Library, 1996) p. 161-71</w:t>
      </w:r>
    </w:p>
    <w:p w14:paraId="00000044"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45"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Ramsay, Nigel, “Archive books” in </w:t>
      </w:r>
      <w:r>
        <w:rPr>
          <w:rFonts w:ascii="Times New Roman" w:eastAsia="Times New Roman" w:hAnsi="Times New Roman" w:cs="Times New Roman"/>
          <w:i/>
          <w:sz w:val="24"/>
          <w:szCs w:val="24"/>
        </w:rPr>
        <w:t>The Cambri</w:t>
      </w:r>
      <w:r>
        <w:rPr>
          <w:rFonts w:ascii="Times New Roman" w:eastAsia="Times New Roman" w:hAnsi="Times New Roman" w:cs="Times New Roman"/>
          <w:i/>
          <w:sz w:val="24"/>
          <w:szCs w:val="24"/>
        </w:rPr>
        <w:t>dge History of the Book in Britain</w:t>
      </w:r>
      <w:r>
        <w:rPr>
          <w:rFonts w:ascii="Times New Roman" w:eastAsia="Times New Roman" w:hAnsi="Times New Roman" w:cs="Times New Roman"/>
          <w:sz w:val="24"/>
          <w:szCs w:val="24"/>
        </w:rPr>
        <w:t>, ed. Nigel J. Morgan and Rodney M. Thomson (2008)</w:t>
      </w:r>
    </w:p>
    <w:p w14:paraId="00000046"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47"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Sutherland-Harris, Robin, “Authority, Text, and Genre in Accounts of Diocesan Struggle: The Bishops of Bath and Glastonbury and the Uses of Cartulary Evidence”, in </w:t>
      </w:r>
      <w:r>
        <w:rPr>
          <w:rFonts w:ascii="Times New Roman" w:eastAsia="Times New Roman" w:hAnsi="Times New Roman" w:cs="Times New Roman"/>
          <w:i/>
          <w:sz w:val="24"/>
          <w:szCs w:val="24"/>
        </w:rPr>
        <w:t>Autho</w:t>
      </w:r>
      <w:r>
        <w:rPr>
          <w:rFonts w:ascii="Times New Roman" w:eastAsia="Times New Roman" w:hAnsi="Times New Roman" w:cs="Times New Roman"/>
          <w:i/>
          <w:sz w:val="24"/>
          <w:szCs w:val="24"/>
        </w:rPr>
        <w:t>rities in the Middle Ages: Influence, Legitimacy, and Power in Medieval Society</w:t>
      </w:r>
      <w:r>
        <w:rPr>
          <w:rFonts w:ascii="Times New Roman" w:eastAsia="Times New Roman" w:hAnsi="Times New Roman" w:cs="Times New Roman"/>
          <w:sz w:val="24"/>
          <w:szCs w:val="24"/>
        </w:rPr>
        <w:t>, ed. by Sini Kangas, Mia Korpiola and Tuija Ainonen (Berlin, Germany: de Gruyter, 2013), p. 107-122</w:t>
      </w:r>
    </w:p>
    <w:p w14:paraId="00000048" w14:textId="77777777" w:rsidR="00D17C76" w:rsidRDefault="00D17C76">
      <w:pPr>
        <w:tabs>
          <w:tab w:val="left" w:pos="0"/>
        </w:tabs>
        <w:spacing w:line="480" w:lineRule="auto"/>
        <w:jc w:val="both"/>
        <w:rPr>
          <w:rFonts w:ascii="Times New Roman" w:eastAsia="Times New Roman" w:hAnsi="Times New Roman" w:cs="Times New Roman"/>
          <w:sz w:val="24"/>
          <w:szCs w:val="24"/>
        </w:rPr>
      </w:pPr>
    </w:p>
    <w:p w14:paraId="00000049" w14:textId="77777777" w:rsidR="00D17C76" w:rsidRDefault="00DA4079">
      <w:pPr>
        <w:tabs>
          <w:tab w:val="left" w:pos="0"/>
        </w:tabs>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Tucker, Joanna, “Cartulary Studies” in </w:t>
      </w:r>
      <w:r>
        <w:rPr>
          <w:rFonts w:ascii="Times New Roman" w:eastAsia="Times New Roman" w:hAnsi="Times New Roman" w:cs="Times New Roman"/>
          <w:i/>
          <w:sz w:val="24"/>
          <w:szCs w:val="24"/>
        </w:rPr>
        <w:t>Reading and Shaping Medieval Cartul</w:t>
      </w:r>
      <w:r>
        <w:rPr>
          <w:rFonts w:ascii="Times New Roman" w:eastAsia="Times New Roman" w:hAnsi="Times New Roman" w:cs="Times New Roman"/>
          <w:i/>
          <w:sz w:val="24"/>
          <w:szCs w:val="24"/>
        </w:rPr>
        <w:t>aries: Multi-Scribe Manuscripts and their Patterns of Growth. A Study of the Earliest Cartularies of Glasgow Cathedral and Lindores Abbey</w:t>
      </w:r>
      <w:r>
        <w:rPr>
          <w:rFonts w:ascii="Times New Roman" w:eastAsia="Times New Roman" w:hAnsi="Times New Roman" w:cs="Times New Roman"/>
          <w:sz w:val="24"/>
          <w:szCs w:val="24"/>
        </w:rPr>
        <w:t xml:space="preserve"> (Boydell Press, 2020) p. 4-33</w:t>
      </w:r>
    </w:p>
    <w:p w14:paraId="0000004A" w14:textId="77777777" w:rsidR="00D17C76" w:rsidRDefault="00D17C76">
      <w:pPr>
        <w:tabs>
          <w:tab w:val="left" w:pos="0"/>
        </w:tabs>
        <w:spacing w:line="240" w:lineRule="auto"/>
        <w:jc w:val="both"/>
        <w:rPr>
          <w:sz w:val="24"/>
          <w:szCs w:val="24"/>
          <w:highlight w:val="white"/>
        </w:rPr>
      </w:pPr>
    </w:p>
    <w:p w14:paraId="0000004B" w14:textId="77777777" w:rsidR="00D17C76" w:rsidRDefault="00D17C76">
      <w:pPr>
        <w:spacing w:line="240" w:lineRule="auto"/>
        <w:rPr>
          <w:sz w:val="20"/>
          <w:szCs w:val="20"/>
          <w:highlight w:val="yellow"/>
        </w:rPr>
      </w:pPr>
    </w:p>
    <w:p w14:paraId="0000004C" w14:textId="77777777" w:rsidR="00D17C76" w:rsidRDefault="00D17C76">
      <w:pPr>
        <w:spacing w:line="240" w:lineRule="auto"/>
        <w:rPr>
          <w:sz w:val="20"/>
          <w:szCs w:val="20"/>
          <w:highlight w:val="yellow"/>
        </w:rPr>
      </w:pPr>
    </w:p>
    <w:p w14:paraId="0000004D" w14:textId="77777777" w:rsidR="00D17C76" w:rsidRDefault="00D17C76">
      <w:pPr>
        <w:spacing w:line="240" w:lineRule="auto"/>
        <w:rPr>
          <w:sz w:val="20"/>
          <w:szCs w:val="20"/>
          <w:highlight w:val="yellow"/>
        </w:rPr>
      </w:pPr>
    </w:p>
    <w:p w14:paraId="0000004E" w14:textId="77777777" w:rsidR="00D17C76" w:rsidRDefault="00D17C76">
      <w:pPr>
        <w:tabs>
          <w:tab w:val="left" w:pos="0"/>
        </w:tabs>
        <w:spacing w:line="240" w:lineRule="auto"/>
        <w:jc w:val="both"/>
        <w:rPr>
          <w:rFonts w:ascii="Times New Roman" w:eastAsia="Times New Roman" w:hAnsi="Times New Roman" w:cs="Times New Roman"/>
          <w:sz w:val="29"/>
          <w:szCs w:val="29"/>
          <w:highlight w:val="white"/>
        </w:rPr>
      </w:pPr>
    </w:p>
    <w:p w14:paraId="0000004F" w14:textId="77777777" w:rsidR="00D17C76" w:rsidRDefault="00D17C76">
      <w:pPr>
        <w:tabs>
          <w:tab w:val="left" w:pos="0"/>
        </w:tabs>
        <w:spacing w:line="240" w:lineRule="auto"/>
        <w:jc w:val="both"/>
        <w:rPr>
          <w:rFonts w:ascii="Times New Roman" w:eastAsia="Times New Roman" w:hAnsi="Times New Roman" w:cs="Times New Roman"/>
          <w:sz w:val="29"/>
          <w:szCs w:val="29"/>
          <w:highlight w:val="white"/>
        </w:rPr>
      </w:pPr>
    </w:p>
    <w:p w14:paraId="00000050" w14:textId="77777777" w:rsidR="00D17C76" w:rsidRDefault="00D17C76">
      <w:pPr>
        <w:tabs>
          <w:tab w:val="left" w:pos="0"/>
        </w:tabs>
        <w:spacing w:line="240" w:lineRule="auto"/>
        <w:jc w:val="both"/>
        <w:rPr>
          <w:sz w:val="24"/>
          <w:szCs w:val="24"/>
          <w:highlight w:val="yellow"/>
        </w:rPr>
      </w:pPr>
    </w:p>
    <w:p w14:paraId="00000051" w14:textId="77777777" w:rsidR="00D17C76" w:rsidRDefault="00D17C76"/>
    <w:sectPr w:rsidR="00D17C7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F6DF27" w14:textId="77777777" w:rsidR="00000000" w:rsidRDefault="00DA4079">
      <w:pPr>
        <w:spacing w:line="240" w:lineRule="auto"/>
      </w:pPr>
      <w:r>
        <w:separator/>
      </w:r>
    </w:p>
  </w:endnote>
  <w:endnote w:type="continuationSeparator" w:id="0">
    <w:p w14:paraId="059B1E47" w14:textId="77777777" w:rsidR="00000000" w:rsidRDefault="00DA40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ＭＳ ゴシック">
    <w:altName w:val="MS Gothic"/>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06FF96" w14:textId="77777777" w:rsidR="00000000" w:rsidRDefault="00DA4079">
      <w:pPr>
        <w:spacing w:line="240" w:lineRule="auto"/>
      </w:pPr>
      <w:r>
        <w:separator/>
      </w:r>
    </w:p>
  </w:footnote>
  <w:footnote w:type="continuationSeparator" w:id="0">
    <w:p w14:paraId="1CE7947C" w14:textId="77777777" w:rsidR="00000000" w:rsidRDefault="00DA4079">
      <w:pPr>
        <w:spacing w:line="240" w:lineRule="auto"/>
      </w:pPr>
      <w:r>
        <w:continuationSeparator/>
      </w:r>
    </w:p>
  </w:footnote>
  <w:footnote w:id="1">
    <w:p w14:paraId="00000052" w14:textId="77777777" w:rsidR="00D17C76" w:rsidRDefault="00DA4079">
      <w:pPr>
        <w:spacing w:line="240" w:lineRule="auto"/>
        <w:rPr>
          <w:sz w:val="20"/>
          <w:szCs w:val="20"/>
        </w:rPr>
      </w:pPr>
      <w:r>
        <w:rPr>
          <w:vertAlign w:val="superscript"/>
        </w:rPr>
        <w:footnoteRef/>
      </w:r>
      <w:r>
        <w:rPr>
          <w:sz w:val="20"/>
          <w:szCs w:val="20"/>
        </w:rPr>
        <w:t xml:space="preserve"> Trevor Foulds, “Medieval Cartularies,” Archives 18, no. 77 (1987), p.6</w:t>
      </w:r>
    </w:p>
  </w:footnote>
  <w:footnote w:id="2">
    <w:p w14:paraId="00000053" w14:textId="77777777" w:rsidR="00D17C76" w:rsidRDefault="00DA4079">
      <w:pPr>
        <w:spacing w:line="240" w:lineRule="auto"/>
        <w:rPr>
          <w:sz w:val="20"/>
          <w:szCs w:val="20"/>
        </w:rPr>
      </w:pPr>
      <w:r>
        <w:rPr>
          <w:vertAlign w:val="superscript"/>
        </w:rPr>
        <w:footnoteRef/>
      </w:r>
      <w:r>
        <w:rPr>
          <w:sz w:val="20"/>
          <w:szCs w:val="20"/>
        </w:rPr>
        <w:t xml:space="preserve"> Constance Brittain Bouchard, </w:t>
      </w:r>
      <w:r>
        <w:rPr>
          <w:i/>
          <w:sz w:val="20"/>
          <w:szCs w:val="20"/>
        </w:rPr>
        <w:t>Rewriting Saints and Ancestors: Memory and Forgetting in France, 500-1200</w:t>
      </w:r>
      <w:r>
        <w:rPr>
          <w:sz w:val="20"/>
          <w:szCs w:val="20"/>
        </w:rPr>
        <w:t xml:space="preserve"> (Philadelphia, Pennsylvania: University of Pennsylvania Press, 2015), p.11–13</w:t>
      </w:r>
    </w:p>
  </w:footnote>
  <w:footnote w:id="3">
    <w:p w14:paraId="00000054" w14:textId="77777777" w:rsidR="00D17C76" w:rsidRDefault="00DA4079">
      <w:pPr>
        <w:spacing w:line="240" w:lineRule="auto"/>
        <w:rPr>
          <w:sz w:val="20"/>
          <w:szCs w:val="20"/>
        </w:rPr>
      </w:pPr>
      <w:r>
        <w:rPr>
          <w:vertAlign w:val="superscript"/>
        </w:rPr>
        <w:footnoteRef/>
      </w:r>
      <w:r>
        <w:rPr>
          <w:sz w:val="20"/>
          <w:szCs w:val="20"/>
        </w:rPr>
        <w:t xml:space="preserve"> Robin Sutherland-Harris, “Authority, Text, and Genre in Accounts of Diocesan Struggle: The Bishops of Bath and Glastonbury and the Uses of Cartulary Evidence”, in </w:t>
      </w:r>
      <w:r>
        <w:rPr>
          <w:i/>
          <w:sz w:val="20"/>
          <w:szCs w:val="20"/>
        </w:rPr>
        <w:t>Authorities in the Middle Ages: Influence, Legitimacy, and Power in Medieval Society</w:t>
      </w:r>
      <w:r>
        <w:rPr>
          <w:sz w:val="20"/>
          <w:szCs w:val="20"/>
        </w:rPr>
        <w:t xml:space="preserve"> (Berlin</w:t>
      </w:r>
      <w:r>
        <w:rPr>
          <w:sz w:val="20"/>
          <w:szCs w:val="20"/>
        </w:rPr>
        <w:t>, Germany: de Gruyter, 2013), p. 112</w:t>
      </w:r>
    </w:p>
  </w:footnote>
  <w:footnote w:id="4">
    <w:p w14:paraId="00000055" w14:textId="77777777" w:rsidR="00D17C76" w:rsidRDefault="00DA4079">
      <w:pPr>
        <w:spacing w:line="240" w:lineRule="auto"/>
        <w:rPr>
          <w:sz w:val="20"/>
          <w:szCs w:val="20"/>
        </w:rPr>
      </w:pPr>
      <w:r>
        <w:rPr>
          <w:vertAlign w:val="superscript"/>
        </w:rPr>
        <w:footnoteRef/>
      </w:r>
      <w:r>
        <w:rPr>
          <w:sz w:val="20"/>
          <w:szCs w:val="20"/>
        </w:rPr>
        <w:t xml:space="preserve"> G.R.C. Davis, Medieval Cartularies of Great Britain and Ireland (London, UK: British Library, 2010) p.xv</w:t>
      </w:r>
    </w:p>
  </w:footnote>
  <w:footnote w:id="5">
    <w:p w14:paraId="00000056" w14:textId="77777777" w:rsidR="00D17C76" w:rsidRDefault="00DA4079">
      <w:pPr>
        <w:spacing w:line="240" w:lineRule="auto"/>
        <w:rPr>
          <w:sz w:val="20"/>
          <w:szCs w:val="20"/>
        </w:rPr>
      </w:pPr>
      <w:r>
        <w:rPr>
          <w:vertAlign w:val="superscript"/>
        </w:rPr>
        <w:footnoteRef/>
      </w:r>
      <w:r>
        <w:rPr>
          <w:sz w:val="20"/>
          <w:szCs w:val="20"/>
        </w:rPr>
        <w:t xml:space="preserve"> Foulds, </w:t>
      </w:r>
      <w:r>
        <w:rPr>
          <w:i/>
          <w:sz w:val="20"/>
          <w:szCs w:val="20"/>
        </w:rPr>
        <w:t>Medieval Cartularies,</w:t>
      </w:r>
      <w:r>
        <w:rPr>
          <w:sz w:val="20"/>
          <w:szCs w:val="20"/>
        </w:rPr>
        <w:t xml:space="preserve"> p.8</w:t>
      </w:r>
    </w:p>
  </w:footnote>
  <w:footnote w:id="6">
    <w:p w14:paraId="00000057" w14:textId="77777777" w:rsidR="00D17C76" w:rsidRDefault="00DA4079">
      <w:pPr>
        <w:spacing w:line="240" w:lineRule="auto"/>
        <w:rPr>
          <w:sz w:val="20"/>
          <w:szCs w:val="20"/>
        </w:rPr>
      </w:pPr>
      <w:r>
        <w:rPr>
          <w:vertAlign w:val="superscript"/>
        </w:rPr>
        <w:footnoteRef/>
      </w:r>
      <w:r>
        <w:rPr>
          <w:sz w:val="20"/>
          <w:szCs w:val="20"/>
        </w:rPr>
        <w:t xml:space="preserve"> Davis, </w:t>
      </w:r>
      <w:r>
        <w:rPr>
          <w:i/>
          <w:sz w:val="20"/>
          <w:szCs w:val="20"/>
        </w:rPr>
        <w:t>Medieval Cartularies</w:t>
      </w:r>
      <w:r>
        <w:rPr>
          <w:sz w:val="20"/>
          <w:szCs w:val="20"/>
        </w:rPr>
        <w:t>, p.xv</w:t>
      </w:r>
    </w:p>
  </w:footnote>
  <w:footnote w:id="7">
    <w:p w14:paraId="00000079" w14:textId="77777777" w:rsidR="00D17C76" w:rsidRDefault="00DA4079">
      <w:pPr>
        <w:spacing w:line="240" w:lineRule="auto"/>
        <w:rPr>
          <w:sz w:val="20"/>
          <w:szCs w:val="20"/>
        </w:rPr>
      </w:pPr>
      <w:r>
        <w:rPr>
          <w:vertAlign w:val="superscript"/>
        </w:rPr>
        <w:footnoteRef/>
      </w:r>
      <w:r>
        <w:rPr>
          <w:sz w:val="20"/>
          <w:szCs w:val="20"/>
        </w:rPr>
        <w:t xml:space="preserve"> Durham, University Library, Archives and Special Collections, Durham Cathedral Muniments, 'Cartuarium I', 'Cartuarium II', 'Cartuarium III', part ii, fos. 1-152</w:t>
      </w:r>
    </w:p>
  </w:footnote>
  <w:footnote w:id="8">
    <w:p w14:paraId="00000058" w14:textId="77777777" w:rsidR="00D17C76" w:rsidRDefault="00DA4079">
      <w:pPr>
        <w:spacing w:line="240" w:lineRule="auto"/>
        <w:rPr>
          <w:sz w:val="20"/>
          <w:szCs w:val="20"/>
        </w:rPr>
      </w:pPr>
      <w:r>
        <w:rPr>
          <w:vertAlign w:val="superscript"/>
        </w:rPr>
        <w:footnoteRef/>
      </w:r>
      <w:r>
        <w:rPr>
          <w:sz w:val="20"/>
          <w:szCs w:val="20"/>
        </w:rPr>
        <w:t xml:space="preserve"> London, British Library, Cotton Tiberi</w:t>
      </w:r>
      <w:r>
        <w:rPr>
          <w:sz w:val="20"/>
          <w:szCs w:val="20"/>
        </w:rPr>
        <w:t>us C. XII; London, British Library, Additional 40009; Leeds, West Yorkshire Archive Service, WYL 150/5385; London, British Library, Additional 37770; Manchester, The John Rylands University Library, Lat. 224</w:t>
      </w:r>
    </w:p>
  </w:footnote>
  <w:footnote w:id="9">
    <w:p w14:paraId="00000059" w14:textId="77777777" w:rsidR="00D17C76" w:rsidRDefault="00DA4079">
      <w:pPr>
        <w:spacing w:line="240" w:lineRule="auto"/>
        <w:rPr>
          <w:sz w:val="20"/>
          <w:szCs w:val="20"/>
        </w:rPr>
      </w:pPr>
      <w:r>
        <w:rPr>
          <w:vertAlign w:val="superscript"/>
        </w:rPr>
        <w:footnoteRef/>
      </w:r>
      <w:r>
        <w:rPr>
          <w:sz w:val="20"/>
          <w:szCs w:val="20"/>
        </w:rPr>
        <w:t xml:space="preserve"> Davis, </w:t>
      </w:r>
      <w:r>
        <w:rPr>
          <w:i/>
          <w:sz w:val="20"/>
          <w:szCs w:val="20"/>
        </w:rPr>
        <w:t>Medieval Cartularies</w:t>
      </w:r>
      <w:r>
        <w:rPr>
          <w:sz w:val="20"/>
          <w:szCs w:val="20"/>
        </w:rPr>
        <w:t>,  p.xvi</w:t>
      </w:r>
    </w:p>
  </w:footnote>
  <w:footnote w:id="10">
    <w:p w14:paraId="0000005A" w14:textId="77777777" w:rsidR="00D17C76" w:rsidRDefault="00DA4079">
      <w:pPr>
        <w:spacing w:line="240" w:lineRule="auto"/>
        <w:rPr>
          <w:sz w:val="20"/>
          <w:szCs w:val="20"/>
        </w:rPr>
      </w:pPr>
      <w:r>
        <w:rPr>
          <w:vertAlign w:val="superscript"/>
        </w:rPr>
        <w:footnoteRef/>
      </w:r>
      <w:r>
        <w:rPr>
          <w:sz w:val="20"/>
          <w:szCs w:val="20"/>
        </w:rPr>
        <w:t xml:space="preserve"> Strood (</w:t>
      </w:r>
      <w:r>
        <w:rPr>
          <w:sz w:val="20"/>
          <w:szCs w:val="20"/>
        </w:rPr>
        <w:t>Rochester), Medway Archives and Local History Centre, ORe/RI, fos. 119-235</w:t>
      </w:r>
    </w:p>
  </w:footnote>
  <w:footnote w:id="11">
    <w:p w14:paraId="0000005C" w14:textId="77777777" w:rsidR="00D17C76" w:rsidRDefault="00DA4079">
      <w:pPr>
        <w:spacing w:line="240" w:lineRule="auto"/>
        <w:rPr>
          <w:sz w:val="20"/>
          <w:szCs w:val="20"/>
        </w:rPr>
      </w:pPr>
      <w:r>
        <w:rPr>
          <w:vertAlign w:val="superscript"/>
        </w:rPr>
        <w:footnoteRef/>
      </w:r>
      <w:r>
        <w:rPr>
          <w:sz w:val="20"/>
          <w:szCs w:val="20"/>
        </w:rPr>
        <w:t xml:space="preserve"> Davis, </w:t>
      </w:r>
      <w:r>
        <w:rPr>
          <w:i/>
          <w:sz w:val="20"/>
          <w:szCs w:val="20"/>
        </w:rPr>
        <w:t>Medieval Cartularies</w:t>
      </w:r>
      <w:r>
        <w:rPr>
          <w:sz w:val="20"/>
          <w:szCs w:val="20"/>
        </w:rPr>
        <w:t>,  p.xvi.</w:t>
      </w:r>
    </w:p>
  </w:footnote>
  <w:footnote w:id="12">
    <w:p w14:paraId="0000005B" w14:textId="77777777" w:rsidR="00D17C76" w:rsidRDefault="00DA4079">
      <w:pPr>
        <w:spacing w:line="240" w:lineRule="auto"/>
        <w:rPr>
          <w:sz w:val="20"/>
          <w:szCs w:val="20"/>
        </w:rPr>
      </w:pPr>
      <w:r>
        <w:rPr>
          <w:vertAlign w:val="superscript"/>
        </w:rPr>
        <w:footnoteRef/>
      </w:r>
      <w:r>
        <w:rPr>
          <w:sz w:val="20"/>
          <w:szCs w:val="20"/>
        </w:rPr>
        <w:t xml:space="preserve"> Foulds, “Medieval Cartularies” p. 11; Davis, “Medieval Cartularies”,  p. xiii.</w:t>
      </w:r>
    </w:p>
  </w:footnote>
  <w:footnote w:id="13">
    <w:p w14:paraId="0000007B" w14:textId="77777777" w:rsidR="00D17C76" w:rsidRDefault="00DA4079">
      <w:pPr>
        <w:spacing w:line="240" w:lineRule="auto"/>
        <w:rPr>
          <w:sz w:val="20"/>
          <w:szCs w:val="20"/>
        </w:rPr>
      </w:pPr>
      <w:r>
        <w:rPr>
          <w:vertAlign w:val="superscript"/>
        </w:rPr>
        <w:footnoteRef/>
      </w:r>
      <w:r>
        <w:rPr>
          <w:sz w:val="20"/>
          <w:szCs w:val="20"/>
        </w:rPr>
        <w:t xml:space="preserve"> Cambridge, Trinity College, O</w:t>
      </w:r>
      <w:r>
        <w:rPr>
          <w:sz w:val="20"/>
          <w:szCs w:val="20"/>
        </w:rPr>
        <w:t>.2.1 (1105); Cambridge, University Library, EDC/1; London, British Library, Cotton Titus A. I, fos. 3-56.</w:t>
      </w:r>
    </w:p>
  </w:footnote>
  <w:footnote w:id="14">
    <w:p w14:paraId="0000007A" w14:textId="77777777" w:rsidR="00D17C76" w:rsidRDefault="00DA4079">
      <w:pPr>
        <w:spacing w:line="240" w:lineRule="auto"/>
        <w:rPr>
          <w:sz w:val="20"/>
          <w:szCs w:val="20"/>
        </w:rPr>
      </w:pPr>
      <w:r>
        <w:rPr>
          <w:vertAlign w:val="superscript"/>
        </w:rPr>
        <w:footnoteRef/>
      </w:r>
      <w:r>
        <w:rPr>
          <w:sz w:val="20"/>
          <w:szCs w:val="20"/>
        </w:rPr>
        <w:t xml:space="preserve"> London, British Library, Cotton Claudius C. IX, fos. 105-202</w:t>
      </w:r>
    </w:p>
  </w:footnote>
  <w:footnote w:id="15">
    <w:p w14:paraId="0000005D" w14:textId="77777777" w:rsidR="00D17C76" w:rsidRDefault="00DA4079">
      <w:pPr>
        <w:spacing w:line="240" w:lineRule="auto"/>
        <w:rPr>
          <w:sz w:val="20"/>
          <w:szCs w:val="20"/>
        </w:rPr>
      </w:pPr>
      <w:r>
        <w:rPr>
          <w:vertAlign w:val="superscript"/>
        </w:rPr>
        <w:footnoteRef/>
      </w:r>
      <w:r>
        <w:rPr>
          <w:sz w:val="20"/>
          <w:szCs w:val="20"/>
        </w:rPr>
        <w:t xml:space="preserve"> London, British Library, Cotton Nero E. I, part ii, fos. 18</w:t>
      </w:r>
      <w:r>
        <w:rPr>
          <w:sz w:val="20"/>
          <w:szCs w:val="20"/>
        </w:rPr>
        <w:t>1-184; London, British Library, Additional 46204</w:t>
      </w:r>
    </w:p>
  </w:footnote>
  <w:footnote w:id="16">
    <w:p w14:paraId="0000005E" w14:textId="77777777" w:rsidR="00D17C76" w:rsidRDefault="00DA4079">
      <w:pPr>
        <w:spacing w:line="240" w:lineRule="auto"/>
        <w:rPr>
          <w:sz w:val="20"/>
          <w:szCs w:val="20"/>
        </w:rPr>
      </w:pPr>
      <w:r>
        <w:rPr>
          <w:vertAlign w:val="superscript"/>
        </w:rPr>
        <w:footnoteRef/>
      </w:r>
      <w:r>
        <w:rPr>
          <w:sz w:val="20"/>
          <w:szCs w:val="20"/>
        </w:rPr>
        <w:t xml:space="preserve"> Davis, </w:t>
      </w:r>
      <w:r>
        <w:rPr>
          <w:i/>
          <w:sz w:val="20"/>
          <w:szCs w:val="20"/>
        </w:rPr>
        <w:t>Medieval Cartularies</w:t>
      </w:r>
      <w:r>
        <w:rPr>
          <w:sz w:val="20"/>
          <w:szCs w:val="20"/>
        </w:rPr>
        <w:t>,  p. xvii.</w:t>
      </w:r>
    </w:p>
  </w:footnote>
  <w:footnote w:id="17">
    <w:p w14:paraId="0000005F" w14:textId="77777777" w:rsidR="00D17C76" w:rsidRDefault="00DA4079">
      <w:pPr>
        <w:spacing w:line="240" w:lineRule="auto"/>
        <w:rPr>
          <w:sz w:val="20"/>
          <w:szCs w:val="20"/>
        </w:rPr>
      </w:pPr>
      <w:r>
        <w:rPr>
          <w:vertAlign w:val="superscript"/>
        </w:rPr>
        <w:footnoteRef/>
      </w:r>
      <w:r>
        <w:rPr>
          <w:sz w:val="20"/>
          <w:szCs w:val="20"/>
        </w:rPr>
        <w:t xml:space="preserve"> Ibid., p. xvii.</w:t>
      </w:r>
    </w:p>
  </w:footnote>
  <w:footnote w:id="18">
    <w:p w14:paraId="00000060" w14:textId="77777777" w:rsidR="00D17C76" w:rsidRDefault="00DA4079">
      <w:pPr>
        <w:spacing w:line="240" w:lineRule="auto"/>
        <w:rPr>
          <w:sz w:val="20"/>
          <w:szCs w:val="20"/>
        </w:rPr>
      </w:pPr>
      <w:r>
        <w:rPr>
          <w:vertAlign w:val="superscript"/>
        </w:rPr>
        <w:footnoteRef/>
      </w:r>
      <w:r>
        <w:rPr>
          <w:sz w:val="20"/>
          <w:szCs w:val="20"/>
        </w:rPr>
        <w:t xml:space="preserve"> Ibid., p. xvii.</w:t>
      </w:r>
    </w:p>
  </w:footnote>
  <w:footnote w:id="19">
    <w:p w14:paraId="0000007C" w14:textId="77777777" w:rsidR="00D17C76" w:rsidRDefault="00DA4079">
      <w:pPr>
        <w:spacing w:line="240" w:lineRule="auto"/>
        <w:rPr>
          <w:sz w:val="20"/>
          <w:szCs w:val="20"/>
        </w:rPr>
      </w:pPr>
      <w:r>
        <w:rPr>
          <w:vertAlign w:val="superscript"/>
        </w:rPr>
        <w:footnoteRef/>
      </w:r>
      <w:r>
        <w:rPr>
          <w:sz w:val="20"/>
          <w:szCs w:val="20"/>
        </w:rPr>
        <w:t xml:space="preserve"> London, British Library, Harley 6716.</w:t>
      </w:r>
    </w:p>
  </w:footnote>
  <w:footnote w:id="20">
    <w:p w14:paraId="00000061" w14:textId="77777777" w:rsidR="00D17C76" w:rsidRDefault="00DA4079">
      <w:pPr>
        <w:spacing w:line="240" w:lineRule="auto"/>
        <w:rPr>
          <w:sz w:val="20"/>
          <w:szCs w:val="20"/>
        </w:rPr>
      </w:pPr>
      <w:r>
        <w:rPr>
          <w:vertAlign w:val="superscript"/>
        </w:rPr>
        <w:footnoteRef/>
      </w:r>
      <w:r>
        <w:rPr>
          <w:sz w:val="20"/>
          <w:szCs w:val="20"/>
        </w:rPr>
        <w:t xml:space="preserve"> London, The National Archives, E 36/137</w:t>
      </w:r>
    </w:p>
  </w:footnote>
  <w:footnote w:id="21">
    <w:p w14:paraId="0000006A" w14:textId="77777777" w:rsidR="00D17C76" w:rsidRDefault="00DA4079">
      <w:pPr>
        <w:spacing w:line="240" w:lineRule="auto"/>
        <w:rPr>
          <w:sz w:val="20"/>
          <w:szCs w:val="20"/>
        </w:rPr>
      </w:pPr>
      <w:r>
        <w:rPr>
          <w:vertAlign w:val="superscript"/>
        </w:rPr>
        <w:footnoteRef/>
      </w:r>
      <w:r>
        <w:rPr>
          <w:sz w:val="20"/>
          <w:szCs w:val="20"/>
        </w:rPr>
        <w:t xml:space="preserve"> Patrick J. Geary, "Archival Memory and the Destruction of the Past" in </w:t>
      </w:r>
      <w:r>
        <w:rPr>
          <w:i/>
          <w:sz w:val="20"/>
          <w:szCs w:val="20"/>
        </w:rPr>
        <w:t>Phantoms of Remembrance: Memory and Oblivion at the End of the First Millennium</w:t>
      </w:r>
      <w:r>
        <w:rPr>
          <w:sz w:val="20"/>
          <w:szCs w:val="20"/>
        </w:rPr>
        <w:t xml:space="preserve"> (Princeton University Press, 1994) p. 83.</w:t>
      </w:r>
    </w:p>
  </w:footnote>
  <w:footnote w:id="22">
    <w:p w14:paraId="00000062" w14:textId="77777777" w:rsidR="00D17C76" w:rsidRDefault="00DA4079">
      <w:pPr>
        <w:spacing w:line="240" w:lineRule="auto"/>
        <w:rPr>
          <w:sz w:val="20"/>
          <w:szCs w:val="20"/>
        </w:rPr>
      </w:pPr>
      <w:r>
        <w:rPr>
          <w:vertAlign w:val="superscript"/>
        </w:rPr>
        <w:footnoteRef/>
      </w:r>
      <w:r>
        <w:rPr>
          <w:sz w:val="20"/>
          <w:szCs w:val="20"/>
        </w:rPr>
        <w:t xml:space="preserve"> N.R. Ker, </w:t>
      </w:r>
      <w:r>
        <w:rPr>
          <w:i/>
          <w:sz w:val="20"/>
          <w:szCs w:val="20"/>
        </w:rPr>
        <w:t>Books, Collectors, and Libraries: Studies in the Medieval Heritage</w:t>
      </w:r>
      <w:r>
        <w:rPr>
          <w:sz w:val="20"/>
          <w:szCs w:val="20"/>
        </w:rPr>
        <w:t xml:space="preserve"> (Hambledo</w:t>
      </w:r>
      <w:r>
        <w:rPr>
          <w:sz w:val="20"/>
          <w:szCs w:val="20"/>
        </w:rPr>
        <w:t>n Press, 1985) p. 47</w:t>
      </w:r>
    </w:p>
  </w:footnote>
  <w:footnote w:id="23">
    <w:p w14:paraId="00000069" w14:textId="77777777" w:rsidR="00D17C76" w:rsidRDefault="00DA4079">
      <w:pPr>
        <w:spacing w:line="240" w:lineRule="auto"/>
        <w:rPr>
          <w:sz w:val="20"/>
          <w:szCs w:val="20"/>
        </w:rPr>
      </w:pPr>
      <w:r>
        <w:rPr>
          <w:vertAlign w:val="superscript"/>
        </w:rPr>
        <w:footnoteRef/>
      </w:r>
      <w:r>
        <w:rPr>
          <w:sz w:val="20"/>
          <w:szCs w:val="20"/>
        </w:rPr>
        <w:t xml:space="preserve"> Bouchard, </w:t>
      </w:r>
      <w:r>
        <w:rPr>
          <w:i/>
          <w:sz w:val="20"/>
          <w:szCs w:val="20"/>
        </w:rPr>
        <w:t>Rewriting Sa</w:t>
      </w:r>
      <w:r>
        <w:rPr>
          <w:i/>
          <w:sz w:val="20"/>
          <w:szCs w:val="20"/>
        </w:rPr>
        <w:t>ints and Ancestors,</w:t>
      </w:r>
      <w:r>
        <w:rPr>
          <w:sz w:val="20"/>
          <w:szCs w:val="20"/>
        </w:rPr>
        <w:t xml:space="preserve"> p.32</w:t>
      </w:r>
    </w:p>
  </w:footnote>
  <w:footnote w:id="24">
    <w:p w14:paraId="00000077" w14:textId="77777777" w:rsidR="00D17C76" w:rsidRDefault="00DA4079">
      <w:pPr>
        <w:spacing w:line="240" w:lineRule="auto"/>
        <w:rPr>
          <w:sz w:val="20"/>
          <w:szCs w:val="20"/>
        </w:rPr>
      </w:pPr>
      <w:r>
        <w:rPr>
          <w:vertAlign w:val="superscript"/>
        </w:rPr>
        <w:footnoteRef/>
      </w:r>
      <w:r>
        <w:rPr>
          <w:sz w:val="20"/>
          <w:szCs w:val="20"/>
        </w:rPr>
        <w:t xml:space="preserve"> M.T Clanchy, </w:t>
      </w:r>
      <w:r>
        <w:rPr>
          <w:i/>
          <w:sz w:val="20"/>
          <w:szCs w:val="20"/>
        </w:rPr>
        <w:t>From Memor</w:t>
      </w:r>
      <w:r>
        <w:rPr>
          <w:i/>
          <w:sz w:val="20"/>
          <w:szCs w:val="20"/>
        </w:rPr>
        <w:t>y to Written Record: England 1066 - 1307</w:t>
      </w:r>
      <w:r>
        <w:rPr>
          <w:sz w:val="20"/>
          <w:szCs w:val="20"/>
        </w:rPr>
        <w:t xml:space="preserve"> (Oxford: Blackwell Publishing, 2008), p.102.</w:t>
      </w:r>
    </w:p>
  </w:footnote>
  <w:footnote w:id="25">
    <w:p w14:paraId="00000063" w14:textId="77777777" w:rsidR="00D17C76" w:rsidRDefault="00DA4079">
      <w:pPr>
        <w:spacing w:line="240" w:lineRule="auto"/>
        <w:rPr>
          <w:sz w:val="20"/>
          <w:szCs w:val="20"/>
        </w:rPr>
      </w:pPr>
      <w:r>
        <w:rPr>
          <w:vertAlign w:val="superscript"/>
        </w:rPr>
        <w:footnoteRef/>
      </w:r>
      <w:r>
        <w:rPr>
          <w:sz w:val="20"/>
          <w:szCs w:val="20"/>
        </w:rPr>
        <w:t xml:space="preserve"> Bouchard, </w:t>
      </w:r>
      <w:r>
        <w:rPr>
          <w:i/>
          <w:sz w:val="20"/>
          <w:szCs w:val="20"/>
        </w:rPr>
        <w:t>Rewriting Saints and Ancestors,</w:t>
      </w:r>
      <w:r>
        <w:rPr>
          <w:sz w:val="20"/>
          <w:szCs w:val="20"/>
        </w:rPr>
        <w:t xml:space="preserve"> p.18.</w:t>
      </w:r>
    </w:p>
  </w:footnote>
  <w:footnote w:id="26">
    <w:p w14:paraId="00000064" w14:textId="77777777" w:rsidR="00D17C76" w:rsidRDefault="00DA4079">
      <w:pPr>
        <w:spacing w:line="240" w:lineRule="auto"/>
        <w:rPr>
          <w:sz w:val="20"/>
          <w:szCs w:val="20"/>
        </w:rPr>
      </w:pPr>
      <w:r>
        <w:rPr>
          <w:vertAlign w:val="superscript"/>
        </w:rPr>
        <w:footnoteRef/>
      </w:r>
      <w:r>
        <w:rPr>
          <w:sz w:val="20"/>
          <w:szCs w:val="20"/>
        </w:rPr>
        <w:t xml:space="preserve"> Joanna Tucker, “Cartulary Studies” in Reading and Shaping Medieval Cartularies: Multi-Scribe Manuscripts and their Patterns of Growth. A Study of the Earliest Cartularies of Glasgow Cathedral and Lindores Abbey (Boydell Press, 2020) p. 12.</w:t>
      </w:r>
    </w:p>
  </w:footnote>
  <w:footnote w:id="27">
    <w:p w14:paraId="0000007D" w14:textId="77777777" w:rsidR="00D17C76" w:rsidRDefault="00DA4079">
      <w:pPr>
        <w:spacing w:line="240" w:lineRule="auto"/>
        <w:rPr>
          <w:sz w:val="20"/>
          <w:szCs w:val="20"/>
        </w:rPr>
      </w:pPr>
      <w:r>
        <w:rPr>
          <w:vertAlign w:val="superscript"/>
        </w:rPr>
        <w:footnoteRef/>
      </w:r>
      <w:r>
        <w:rPr>
          <w:sz w:val="20"/>
          <w:szCs w:val="20"/>
        </w:rPr>
        <w:t xml:space="preserve"> London, The National Archives, E 164/18</w:t>
      </w:r>
    </w:p>
  </w:footnote>
  <w:footnote w:id="28">
    <w:p w14:paraId="00000065" w14:textId="77777777" w:rsidR="00D17C76" w:rsidRDefault="00DA4079">
      <w:pPr>
        <w:spacing w:line="240" w:lineRule="auto"/>
        <w:rPr>
          <w:sz w:val="20"/>
          <w:szCs w:val="20"/>
        </w:rPr>
      </w:pPr>
      <w:r>
        <w:rPr>
          <w:vertAlign w:val="superscript"/>
        </w:rPr>
        <w:footnoteRef/>
      </w:r>
      <w:r>
        <w:rPr>
          <w:sz w:val="20"/>
          <w:szCs w:val="20"/>
        </w:rPr>
        <w:t xml:space="preserve"> Antonia Gransden, </w:t>
      </w:r>
      <w:r>
        <w:rPr>
          <w:i/>
          <w:sz w:val="20"/>
          <w:szCs w:val="20"/>
        </w:rPr>
        <w:t>Historical Writing in England c.550–1307</w:t>
      </w:r>
      <w:r>
        <w:rPr>
          <w:sz w:val="20"/>
          <w:szCs w:val="20"/>
        </w:rPr>
        <w:t xml:space="preserve"> (Routledge and Kegan Paul, 1974)</w:t>
      </w:r>
    </w:p>
  </w:footnote>
  <w:footnote w:id="29">
    <w:p w14:paraId="0000007E" w14:textId="77777777" w:rsidR="00D17C76" w:rsidRDefault="00DA4079">
      <w:pPr>
        <w:spacing w:line="240" w:lineRule="auto"/>
        <w:rPr>
          <w:sz w:val="20"/>
          <w:szCs w:val="20"/>
        </w:rPr>
      </w:pPr>
      <w:r>
        <w:rPr>
          <w:vertAlign w:val="superscript"/>
        </w:rPr>
        <w:footnoteRef/>
      </w:r>
      <w:r>
        <w:rPr>
          <w:sz w:val="20"/>
          <w:szCs w:val="20"/>
        </w:rPr>
        <w:t xml:space="preserve"> Foulds, </w:t>
      </w:r>
      <w:r>
        <w:rPr>
          <w:i/>
          <w:sz w:val="20"/>
          <w:szCs w:val="20"/>
        </w:rPr>
        <w:t xml:space="preserve">Medieval Cartularies, </w:t>
      </w:r>
      <w:r>
        <w:rPr>
          <w:sz w:val="20"/>
          <w:szCs w:val="20"/>
        </w:rPr>
        <w:t>p.23.</w:t>
      </w:r>
    </w:p>
  </w:footnote>
  <w:footnote w:id="30">
    <w:p w14:paraId="00000066" w14:textId="77777777" w:rsidR="00D17C76" w:rsidRDefault="00DA4079">
      <w:pPr>
        <w:spacing w:line="240" w:lineRule="auto"/>
        <w:rPr>
          <w:sz w:val="20"/>
          <w:szCs w:val="20"/>
        </w:rPr>
      </w:pPr>
      <w:r>
        <w:rPr>
          <w:vertAlign w:val="superscript"/>
        </w:rPr>
        <w:footnoteRef/>
      </w:r>
      <w:r>
        <w:rPr>
          <w:sz w:val="20"/>
          <w:szCs w:val="20"/>
        </w:rPr>
        <w:t xml:space="preserve"> Bouchard, </w:t>
      </w:r>
      <w:r>
        <w:rPr>
          <w:i/>
          <w:sz w:val="20"/>
          <w:szCs w:val="20"/>
        </w:rPr>
        <w:t>Rewriting Saints and Ancestors,</w:t>
      </w:r>
      <w:r>
        <w:rPr>
          <w:sz w:val="20"/>
          <w:szCs w:val="20"/>
        </w:rPr>
        <w:t xml:space="preserve"> p.32-33.</w:t>
      </w:r>
    </w:p>
  </w:footnote>
  <w:footnote w:id="31">
    <w:p w14:paraId="0000006B" w14:textId="77777777" w:rsidR="00D17C76" w:rsidRDefault="00DA4079">
      <w:pPr>
        <w:spacing w:line="240" w:lineRule="auto"/>
        <w:rPr>
          <w:sz w:val="20"/>
          <w:szCs w:val="20"/>
        </w:rPr>
      </w:pPr>
      <w:r>
        <w:rPr>
          <w:vertAlign w:val="superscript"/>
        </w:rPr>
        <w:footnoteRef/>
      </w:r>
      <w:r>
        <w:rPr>
          <w:sz w:val="20"/>
          <w:szCs w:val="20"/>
        </w:rPr>
        <w:t xml:space="preserve"> Jennifer Paxton, “Forging Communit</w:t>
      </w:r>
      <w:r>
        <w:rPr>
          <w:sz w:val="20"/>
          <w:szCs w:val="20"/>
        </w:rPr>
        <w:t>ies: Memory and Identity in Post-Conquest England” in  Haskins Society Journal 10 (2001) p. 96.</w:t>
      </w:r>
    </w:p>
  </w:footnote>
  <w:footnote w:id="32">
    <w:p w14:paraId="0000006F" w14:textId="77777777" w:rsidR="00D17C76" w:rsidRDefault="00DA4079">
      <w:pPr>
        <w:spacing w:line="240" w:lineRule="auto"/>
        <w:rPr>
          <w:sz w:val="20"/>
          <w:szCs w:val="20"/>
        </w:rPr>
      </w:pPr>
      <w:r>
        <w:rPr>
          <w:vertAlign w:val="superscript"/>
        </w:rPr>
        <w:footnoteRef/>
      </w:r>
      <w:r>
        <w:rPr>
          <w:sz w:val="20"/>
          <w:szCs w:val="20"/>
        </w:rPr>
        <w:t xml:space="preserve"> Tucker, “Cartulary Studies” p. 18-19</w:t>
      </w:r>
    </w:p>
  </w:footnote>
  <w:footnote w:id="33">
    <w:p w14:paraId="00000080" w14:textId="77777777" w:rsidR="00D17C76" w:rsidRDefault="00DA4079">
      <w:pPr>
        <w:spacing w:line="240" w:lineRule="auto"/>
        <w:rPr>
          <w:sz w:val="20"/>
          <w:szCs w:val="20"/>
        </w:rPr>
      </w:pPr>
      <w:r>
        <w:rPr>
          <w:vertAlign w:val="superscript"/>
        </w:rPr>
        <w:footnoteRef/>
      </w:r>
      <w:r>
        <w:rPr>
          <w:sz w:val="20"/>
          <w:szCs w:val="20"/>
        </w:rPr>
        <w:t xml:space="preserve"> London, College of Arms, Arundel 59</w:t>
      </w:r>
    </w:p>
  </w:footnote>
  <w:footnote w:id="34">
    <w:p w14:paraId="0000007F" w14:textId="77777777" w:rsidR="00D17C76" w:rsidRDefault="00DA4079">
      <w:pPr>
        <w:spacing w:line="240" w:lineRule="auto"/>
        <w:rPr>
          <w:sz w:val="20"/>
          <w:szCs w:val="20"/>
        </w:rPr>
      </w:pPr>
      <w:r>
        <w:rPr>
          <w:vertAlign w:val="superscript"/>
        </w:rPr>
        <w:footnoteRef/>
      </w:r>
      <w:r>
        <w:rPr>
          <w:sz w:val="20"/>
          <w:szCs w:val="20"/>
        </w:rPr>
        <w:t xml:space="preserve"> Foulds, </w:t>
      </w:r>
      <w:r>
        <w:rPr>
          <w:i/>
          <w:sz w:val="20"/>
          <w:szCs w:val="20"/>
        </w:rPr>
        <w:t>Medieval Cartularies</w:t>
      </w:r>
      <w:r>
        <w:rPr>
          <w:i/>
          <w:sz w:val="20"/>
          <w:szCs w:val="20"/>
        </w:rPr>
        <w:t xml:space="preserve">, </w:t>
      </w:r>
      <w:r>
        <w:rPr>
          <w:sz w:val="20"/>
          <w:szCs w:val="20"/>
        </w:rPr>
        <w:t>p.26</w:t>
      </w:r>
    </w:p>
  </w:footnote>
  <w:footnote w:id="35">
    <w:p w14:paraId="00000067" w14:textId="77777777" w:rsidR="00D17C76" w:rsidRDefault="00DA4079">
      <w:pPr>
        <w:spacing w:line="240" w:lineRule="auto"/>
        <w:rPr>
          <w:sz w:val="20"/>
          <w:szCs w:val="20"/>
        </w:rPr>
      </w:pPr>
      <w:r>
        <w:rPr>
          <w:vertAlign w:val="superscript"/>
        </w:rPr>
        <w:footnoteRef/>
      </w:r>
      <w:r>
        <w:rPr>
          <w:sz w:val="20"/>
          <w:szCs w:val="20"/>
        </w:rPr>
        <w:t xml:space="preserve"> Tucker, “Cartulary Studies” p. 14.</w:t>
      </w:r>
    </w:p>
  </w:footnote>
  <w:footnote w:id="36">
    <w:p w14:paraId="00000068" w14:textId="77777777" w:rsidR="00D17C76" w:rsidRDefault="00DA4079">
      <w:pPr>
        <w:spacing w:line="240" w:lineRule="auto"/>
        <w:rPr>
          <w:sz w:val="20"/>
          <w:szCs w:val="20"/>
        </w:rPr>
      </w:pPr>
      <w:r>
        <w:rPr>
          <w:vertAlign w:val="superscript"/>
        </w:rPr>
        <w:footnoteRef/>
      </w:r>
      <w:r>
        <w:rPr>
          <w:sz w:val="20"/>
          <w:szCs w:val="20"/>
        </w:rPr>
        <w:t xml:space="preserve"> Clanchy, </w:t>
      </w:r>
      <w:r>
        <w:rPr>
          <w:i/>
          <w:sz w:val="20"/>
          <w:szCs w:val="20"/>
        </w:rPr>
        <w:t>From Memory to Written Record</w:t>
      </w:r>
      <w:r>
        <w:rPr>
          <w:sz w:val="20"/>
          <w:szCs w:val="20"/>
        </w:rPr>
        <w:t>, p.101.</w:t>
      </w:r>
    </w:p>
  </w:footnote>
  <w:footnote w:id="37">
    <w:p w14:paraId="0000006D" w14:textId="77777777" w:rsidR="00D17C76" w:rsidRDefault="00DA4079">
      <w:pPr>
        <w:spacing w:line="240" w:lineRule="auto"/>
        <w:rPr>
          <w:sz w:val="20"/>
          <w:szCs w:val="20"/>
        </w:rPr>
      </w:pPr>
      <w:r>
        <w:rPr>
          <w:vertAlign w:val="superscript"/>
        </w:rPr>
        <w:footnoteRef/>
      </w:r>
      <w:r>
        <w:rPr>
          <w:sz w:val="20"/>
          <w:szCs w:val="20"/>
        </w:rPr>
        <w:t xml:space="preserve"> David Postles, "The Garendon cartularies in BL, Lansdown 415", </w:t>
      </w:r>
      <w:r>
        <w:rPr>
          <w:i/>
          <w:sz w:val="20"/>
          <w:szCs w:val="20"/>
        </w:rPr>
        <w:t>British Library Journal 22</w:t>
      </w:r>
      <w:r>
        <w:rPr>
          <w:sz w:val="20"/>
          <w:szCs w:val="20"/>
        </w:rPr>
        <w:t xml:space="preserve"> (British Library, 1996) p. 161-7</w:t>
      </w:r>
      <w:r>
        <w:rPr>
          <w:sz w:val="20"/>
          <w:szCs w:val="20"/>
        </w:rPr>
        <w:t>1</w:t>
      </w:r>
    </w:p>
  </w:footnote>
  <w:footnote w:id="38">
    <w:p w14:paraId="0000006E" w14:textId="77777777" w:rsidR="00D17C76" w:rsidRDefault="00DA4079">
      <w:pPr>
        <w:spacing w:line="240" w:lineRule="auto"/>
        <w:rPr>
          <w:sz w:val="20"/>
          <w:szCs w:val="20"/>
        </w:rPr>
      </w:pPr>
      <w:r>
        <w:rPr>
          <w:vertAlign w:val="superscript"/>
        </w:rPr>
        <w:footnoteRef/>
      </w:r>
      <w:r>
        <w:rPr>
          <w:sz w:val="20"/>
          <w:szCs w:val="20"/>
        </w:rPr>
        <w:t xml:space="preserve"> Nigel Ramsay, “Archive books” in</w:t>
      </w:r>
      <w:r>
        <w:rPr>
          <w:i/>
          <w:sz w:val="20"/>
          <w:szCs w:val="20"/>
        </w:rPr>
        <w:t xml:space="preserve"> The Cambridge History of the Book in Britain,</w:t>
      </w:r>
      <w:r>
        <w:rPr>
          <w:sz w:val="20"/>
          <w:szCs w:val="20"/>
        </w:rPr>
        <w:t xml:space="preserve"> ed. Nigel J. Morgan and Rodney M. Thomson (2008), p. 424</w:t>
      </w:r>
    </w:p>
  </w:footnote>
  <w:footnote w:id="39">
    <w:p w14:paraId="0000006C" w14:textId="77777777" w:rsidR="00D17C76" w:rsidRDefault="00DA4079">
      <w:pPr>
        <w:spacing w:line="240" w:lineRule="auto"/>
        <w:rPr>
          <w:sz w:val="20"/>
          <w:szCs w:val="20"/>
        </w:rPr>
      </w:pPr>
      <w:r>
        <w:rPr>
          <w:vertAlign w:val="superscript"/>
        </w:rPr>
        <w:footnoteRef/>
      </w:r>
      <w:r>
        <w:rPr>
          <w:sz w:val="20"/>
          <w:szCs w:val="20"/>
        </w:rPr>
        <w:t xml:space="preserve"> Tucker, “Cartulary Studies” p. 14</w:t>
      </w:r>
    </w:p>
  </w:footnote>
  <w:footnote w:id="40">
    <w:p w14:paraId="00000081" w14:textId="77777777" w:rsidR="00D17C76" w:rsidRDefault="00DA4079">
      <w:pPr>
        <w:spacing w:line="240" w:lineRule="auto"/>
        <w:rPr>
          <w:sz w:val="20"/>
          <w:szCs w:val="20"/>
        </w:rPr>
      </w:pPr>
      <w:r>
        <w:rPr>
          <w:vertAlign w:val="superscript"/>
        </w:rPr>
        <w:footnoteRef/>
      </w:r>
      <w:r>
        <w:rPr>
          <w:sz w:val="20"/>
          <w:szCs w:val="20"/>
        </w:rPr>
        <w:t xml:space="preserve"> Foulds, </w:t>
      </w:r>
      <w:r>
        <w:rPr>
          <w:i/>
          <w:sz w:val="20"/>
          <w:szCs w:val="20"/>
        </w:rPr>
        <w:t xml:space="preserve">Medieval Cartularies, </w:t>
      </w:r>
      <w:r>
        <w:rPr>
          <w:sz w:val="20"/>
          <w:szCs w:val="20"/>
        </w:rPr>
        <w:t>p.23</w:t>
      </w:r>
    </w:p>
  </w:footnote>
  <w:footnote w:id="41">
    <w:p w14:paraId="00000082" w14:textId="77777777" w:rsidR="00D17C76" w:rsidRDefault="00DA4079">
      <w:pPr>
        <w:spacing w:line="240" w:lineRule="auto"/>
        <w:rPr>
          <w:sz w:val="20"/>
          <w:szCs w:val="20"/>
        </w:rPr>
      </w:pPr>
      <w:r>
        <w:rPr>
          <w:vertAlign w:val="superscript"/>
        </w:rPr>
        <w:footnoteRef/>
      </w:r>
      <w:r>
        <w:rPr>
          <w:sz w:val="20"/>
          <w:szCs w:val="20"/>
        </w:rPr>
        <w:t xml:space="preserve"> Ibid.,</w:t>
      </w:r>
      <w:r>
        <w:rPr>
          <w:i/>
          <w:sz w:val="20"/>
          <w:szCs w:val="20"/>
        </w:rPr>
        <w:t xml:space="preserve"> </w:t>
      </w:r>
      <w:r>
        <w:rPr>
          <w:sz w:val="20"/>
          <w:szCs w:val="20"/>
        </w:rPr>
        <w:t>p.24</w:t>
      </w:r>
    </w:p>
  </w:footnote>
  <w:footnote w:id="42">
    <w:p w14:paraId="00000070" w14:textId="77777777" w:rsidR="00D17C76" w:rsidRDefault="00DA4079">
      <w:pPr>
        <w:spacing w:line="240" w:lineRule="auto"/>
        <w:rPr>
          <w:sz w:val="20"/>
          <w:szCs w:val="20"/>
          <w:highlight w:val="yellow"/>
        </w:rPr>
      </w:pPr>
      <w:r>
        <w:rPr>
          <w:vertAlign w:val="superscript"/>
        </w:rPr>
        <w:footnoteRef/>
      </w:r>
      <w:r>
        <w:rPr>
          <w:sz w:val="20"/>
          <w:szCs w:val="20"/>
        </w:rPr>
        <w:t xml:space="preserve"> Bouchard, </w:t>
      </w:r>
      <w:r>
        <w:rPr>
          <w:i/>
          <w:sz w:val="20"/>
          <w:szCs w:val="20"/>
        </w:rPr>
        <w:t>Rewriting Saints and Ancestors,</w:t>
      </w:r>
      <w:r>
        <w:rPr>
          <w:sz w:val="20"/>
          <w:szCs w:val="20"/>
        </w:rPr>
        <w:t xml:space="preserve"> p. 32</w:t>
      </w:r>
    </w:p>
  </w:footnote>
  <w:footnote w:id="43">
    <w:p w14:paraId="00000071" w14:textId="77777777" w:rsidR="00D17C76" w:rsidRDefault="00DA4079">
      <w:pPr>
        <w:spacing w:line="240" w:lineRule="auto"/>
        <w:rPr>
          <w:sz w:val="20"/>
          <w:szCs w:val="20"/>
        </w:rPr>
      </w:pPr>
      <w:r>
        <w:rPr>
          <w:vertAlign w:val="superscript"/>
        </w:rPr>
        <w:footnoteRef/>
      </w:r>
      <w:r>
        <w:rPr>
          <w:sz w:val="20"/>
          <w:szCs w:val="20"/>
        </w:rPr>
        <w:t xml:space="preserve"> Foulds, Trevor, </w:t>
      </w:r>
      <w:r>
        <w:rPr>
          <w:i/>
          <w:sz w:val="20"/>
          <w:szCs w:val="20"/>
        </w:rPr>
        <w:t>The Thurg</w:t>
      </w:r>
      <w:r>
        <w:rPr>
          <w:i/>
          <w:sz w:val="20"/>
          <w:szCs w:val="20"/>
        </w:rPr>
        <w:t>arton Cartulary</w:t>
      </w:r>
      <w:r>
        <w:rPr>
          <w:sz w:val="20"/>
          <w:szCs w:val="20"/>
        </w:rPr>
        <w:t xml:space="preserve"> (Paul Watkins, 1994) p. cxcii. </w:t>
      </w:r>
    </w:p>
  </w:footnote>
  <w:footnote w:id="44">
    <w:p w14:paraId="0000008E" w14:textId="77777777" w:rsidR="00D17C76" w:rsidRDefault="00DA4079">
      <w:pPr>
        <w:spacing w:line="240" w:lineRule="auto"/>
        <w:rPr>
          <w:sz w:val="20"/>
          <w:szCs w:val="20"/>
        </w:rPr>
      </w:pPr>
      <w:r>
        <w:rPr>
          <w:vertAlign w:val="superscript"/>
        </w:rPr>
        <w:footnoteRef/>
      </w:r>
      <w:r>
        <w:rPr>
          <w:sz w:val="20"/>
          <w:szCs w:val="20"/>
        </w:rPr>
        <w:t xml:space="preserve"> Ibid., p. cxcii. </w:t>
      </w:r>
    </w:p>
  </w:footnote>
  <w:footnote w:id="45">
    <w:p w14:paraId="00000072" w14:textId="77777777" w:rsidR="00D17C76" w:rsidRDefault="00DA4079">
      <w:pPr>
        <w:spacing w:line="240" w:lineRule="auto"/>
        <w:rPr>
          <w:sz w:val="20"/>
          <w:szCs w:val="20"/>
        </w:rPr>
      </w:pPr>
      <w:r>
        <w:rPr>
          <w:vertAlign w:val="superscript"/>
        </w:rPr>
        <w:footnoteRef/>
      </w:r>
      <w:r>
        <w:rPr>
          <w:i/>
          <w:sz w:val="20"/>
          <w:szCs w:val="20"/>
        </w:rPr>
        <w:t xml:space="preserve"> </w:t>
      </w:r>
      <w:r>
        <w:rPr>
          <w:sz w:val="20"/>
          <w:szCs w:val="20"/>
        </w:rPr>
        <w:t>Sutherland-Harris, “Authority, Text, and Genre” p.113.</w:t>
      </w:r>
      <w:r>
        <w:rPr>
          <w:sz w:val="24"/>
          <w:szCs w:val="24"/>
          <w:highlight w:val="yellow"/>
        </w:rPr>
        <w:t xml:space="preserve"> </w:t>
      </w:r>
    </w:p>
  </w:footnote>
  <w:footnote w:id="46">
    <w:p w14:paraId="00000073" w14:textId="77777777" w:rsidR="00D17C76" w:rsidRDefault="00DA4079">
      <w:pPr>
        <w:spacing w:line="240" w:lineRule="auto"/>
        <w:rPr>
          <w:sz w:val="20"/>
          <w:szCs w:val="20"/>
        </w:rPr>
      </w:pPr>
      <w:r>
        <w:rPr>
          <w:vertAlign w:val="superscript"/>
        </w:rPr>
        <w:footnoteRef/>
      </w:r>
      <w:r>
        <w:rPr>
          <w:sz w:val="20"/>
          <w:szCs w:val="20"/>
        </w:rPr>
        <w:t xml:space="preserve"> Tucker, “Cartulary Studies” 11</w:t>
      </w:r>
    </w:p>
  </w:footnote>
  <w:footnote w:id="47">
    <w:p w14:paraId="00000076" w14:textId="77777777" w:rsidR="00D17C76" w:rsidRDefault="00DA4079">
      <w:pPr>
        <w:spacing w:line="240" w:lineRule="auto"/>
        <w:rPr>
          <w:sz w:val="20"/>
          <w:szCs w:val="20"/>
        </w:rPr>
      </w:pPr>
      <w:r>
        <w:rPr>
          <w:vertAlign w:val="superscript"/>
        </w:rPr>
        <w:footnoteRef/>
      </w:r>
      <w:r>
        <w:rPr>
          <w:sz w:val="20"/>
          <w:szCs w:val="20"/>
        </w:rPr>
        <w:t xml:space="preserve"> Foulds, </w:t>
      </w:r>
      <w:r>
        <w:rPr>
          <w:i/>
          <w:sz w:val="20"/>
          <w:szCs w:val="20"/>
        </w:rPr>
        <w:t xml:space="preserve">Medieval Cartularies, </w:t>
      </w:r>
      <w:r>
        <w:rPr>
          <w:sz w:val="20"/>
          <w:szCs w:val="20"/>
        </w:rPr>
        <w:t>p.32-33</w:t>
      </w:r>
    </w:p>
  </w:footnote>
  <w:footnote w:id="48">
    <w:p w14:paraId="00000074" w14:textId="77777777" w:rsidR="00D17C76" w:rsidRDefault="00DA4079">
      <w:pPr>
        <w:spacing w:line="240" w:lineRule="auto"/>
        <w:rPr>
          <w:sz w:val="20"/>
          <w:szCs w:val="20"/>
        </w:rPr>
      </w:pPr>
      <w:r>
        <w:rPr>
          <w:vertAlign w:val="superscript"/>
        </w:rPr>
        <w:footnoteRef/>
      </w:r>
      <w:r>
        <w:rPr>
          <w:sz w:val="20"/>
          <w:szCs w:val="20"/>
        </w:rPr>
        <w:t xml:space="preserve"> Tucker, “Cartulary Studies”  p. 11</w:t>
      </w:r>
    </w:p>
  </w:footnote>
  <w:footnote w:id="49">
    <w:p w14:paraId="00000075" w14:textId="77777777" w:rsidR="00D17C76" w:rsidRDefault="00DA4079">
      <w:pPr>
        <w:spacing w:line="240" w:lineRule="auto"/>
        <w:rPr>
          <w:sz w:val="20"/>
          <w:szCs w:val="20"/>
        </w:rPr>
      </w:pPr>
      <w:r>
        <w:rPr>
          <w:vertAlign w:val="superscript"/>
        </w:rPr>
        <w:footnoteRef/>
      </w:r>
      <w:r>
        <w:rPr>
          <w:sz w:val="20"/>
          <w:szCs w:val="20"/>
        </w:rPr>
        <w:t xml:space="preserve"> Ibid., p. 11</w:t>
      </w:r>
    </w:p>
  </w:footnote>
  <w:footnote w:id="50">
    <w:p w14:paraId="00000078" w14:textId="77777777" w:rsidR="00D17C76" w:rsidRDefault="00DA4079">
      <w:pPr>
        <w:spacing w:line="240" w:lineRule="auto"/>
        <w:rPr>
          <w:sz w:val="20"/>
          <w:szCs w:val="20"/>
        </w:rPr>
      </w:pPr>
      <w:r>
        <w:rPr>
          <w:vertAlign w:val="superscript"/>
        </w:rPr>
        <w:footnoteRef/>
      </w:r>
      <w:r>
        <w:rPr>
          <w:sz w:val="20"/>
          <w:szCs w:val="20"/>
        </w:rPr>
        <w:t xml:space="preserve"> Foulds, </w:t>
      </w:r>
      <w:r>
        <w:rPr>
          <w:i/>
          <w:sz w:val="20"/>
          <w:szCs w:val="20"/>
        </w:rPr>
        <w:t xml:space="preserve">Medieval Cartularies, </w:t>
      </w:r>
      <w:r>
        <w:rPr>
          <w:sz w:val="20"/>
          <w:szCs w:val="20"/>
        </w:rPr>
        <w:t>p.32-33</w:t>
      </w:r>
    </w:p>
  </w:footnote>
  <w:footnote w:id="51">
    <w:p w14:paraId="0000008B" w14:textId="77777777" w:rsidR="00D17C76" w:rsidRDefault="00DA4079">
      <w:pPr>
        <w:spacing w:line="240" w:lineRule="auto"/>
        <w:rPr>
          <w:sz w:val="20"/>
          <w:szCs w:val="20"/>
        </w:rPr>
      </w:pPr>
      <w:r>
        <w:rPr>
          <w:vertAlign w:val="superscript"/>
        </w:rPr>
        <w:footnoteRef/>
      </w:r>
      <w:r>
        <w:rPr>
          <w:sz w:val="20"/>
          <w:szCs w:val="20"/>
        </w:rPr>
        <w:t xml:space="preserve"> Tucker, “Cartulary Studies” p. 23</w:t>
      </w:r>
    </w:p>
  </w:footnote>
  <w:footnote w:id="52">
    <w:p w14:paraId="00000083" w14:textId="77777777" w:rsidR="00D17C76" w:rsidRDefault="00DA4079">
      <w:pPr>
        <w:spacing w:line="240" w:lineRule="auto"/>
        <w:rPr>
          <w:sz w:val="20"/>
          <w:szCs w:val="20"/>
        </w:rPr>
      </w:pPr>
      <w:r>
        <w:rPr>
          <w:vertAlign w:val="superscript"/>
        </w:rPr>
        <w:footnoteRef/>
      </w:r>
      <w:r>
        <w:rPr>
          <w:sz w:val="20"/>
          <w:szCs w:val="20"/>
        </w:rPr>
        <w:t xml:space="preserve"> Ibid.,p. 32-33</w:t>
      </w:r>
    </w:p>
  </w:footnote>
  <w:footnote w:id="53">
    <w:p w14:paraId="00000084" w14:textId="77777777" w:rsidR="00D17C76" w:rsidRDefault="00DA4079">
      <w:pPr>
        <w:spacing w:line="240" w:lineRule="auto"/>
        <w:rPr>
          <w:sz w:val="20"/>
          <w:szCs w:val="20"/>
        </w:rPr>
      </w:pPr>
      <w:r>
        <w:rPr>
          <w:vertAlign w:val="superscript"/>
        </w:rPr>
        <w:footnoteRef/>
      </w:r>
      <w:r>
        <w:rPr>
          <w:sz w:val="20"/>
          <w:szCs w:val="20"/>
        </w:rPr>
        <w:t xml:space="preserve"> Tucker, “Cartulary Studies” p. 22.</w:t>
      </w:r>
    </w:p>
  </w:footnote>
  <w:footnote w:id="54">
    <w:p w14:paraId="0000008A" w14:textId="77777777" w:rsidR="00D17C76" w:rsidRDefault="00DA4079">
      <w:pPr>
        <w:spacing w:line="240" w:lineRule="auto"/>
        <w:rPr>
          <w:sz w:val="20"/>
          <w:szCs w:val="20"/>
        </w:rPr>
      </w:pPr>
      <w:r>
        <w:rPr>
          <w:vertAlign w:val="superscript"/>
        </w:rPr>
        <w:footnoteRef/>
      </w:r>
      <w:r>
        <w:rPr>
          <w:sz w:val="20"/>
          <w:szCs w:val="20"/>
        </w:rPr>
        <w:t xml:space="preserve"> London, British Library, Additional 82958; C. J. Holdsworth, </w:t>
      </w:r>
      <w:r>
        <w:rPr>
          <w:i/>
          <w:sz w:val="20"/>
          <w:szCs w:val="20"/>
        </w:rPr>
        <w:t>Rufford Charters</w:t>
      </w:r>
      <w:r>
        <w:rPr>
          <w:sz w:val="20"/>
          <w:szCs w:val="20"/>
        </w:rPr>
        <w:t>, Thoroton Society Record Series 29, 30, 32, 34 (197</w:t>
      </w:r>
      <w:r>
        <w:rPr>
          <w:sz w:val="20"/>
          <w:szCs w:val="20"/>
        </w:rPr>
        <w:t>2-81)</w:t>
      </w:r>
    </w:p>
  </w:footnote>
  <w:footnote w:id="55">
    <w:p w14:paraId="00000085" w14:textId="77777777" w:rsidR="00D17C76" w:rsidRDefault="00DA4079">
      <w:pPr>
        <w:spacing w:line="240" w:lineRule="auto"/>
        <w:rPr>
          <w:sz w:val="20"/>
          <w:szCs w:val="20"/>
        </w:rPr>
      </w:pPr>
      <w:r>
        <w:rPr>
          <w:vertAlign w:val="superscript"/>
        </w:rPr>
        <w:footnoteRef/>
      </w:r>
      <w:r>
        <w:rPr>
          <w:sz w:val="20"/>
          <w:szCs w:val="20"/>
        </w:rPr>
        <w:t xml:space="preserve"> Foulds, </w:t>
      </w:r>
      <w:r>
        <w:rPr>
          <w:i/>
          <w:sz w:val="20"/>
          <w:szCs w:val="20"/>
        </w:rPr>
        <w:t xml:space="preserve">Medieval Cartularies, </w:t>
      </w:r>
      <w:r>
        <w:rPr>
          <w:sz w:val="20"/>
          <w:szCs w:val="20"/>
        </w:rPr>
        <w:t>p.9</w:t>
      </w:r>
    </w:p>
  </w:footnote>
  <w:footnote w:id="56">
    <w:p w14:paraId="00000086" w14:textId="77777777" w:rsidR="00D17C76" w:rsidRDefault="00DA4079">
      <w:pPr>
        <w:spacing w:line="240" w:lineRule="auto"/>
        <w:rPr>
          <w:sz w:val="20"/>
          <w:szCs w:val="20"/>
        </w:rPr>
      </w:pPr>
      <w:r>
        <w:rPr>
          <w:vertAlign w:val="superscript"/>
        </w:rPr>
        <w:footnoteRef/>
      </w:r>
      <w:r>
        <w:rPr>
          <w:sz w:val="20"/>
          <w:szCs w:val="20"/>
        </w:rPr>
        <w:t xml:space="preserve"> Ibid., p.9</w:t>
      </w:r>
    </w:p>
  </w:footnote>
  <w:footnote w:id="57">
    <w:p w14:paraId="00000087" w14:textId="77777777" w:rsidR="00D17C76" w:rsidRDefault="00DA4079">
      <w:pPr>
        <w:spacing w:line="240" w:lineRule="auto"/>
        <w:rPr>
          <w:sz w:val="20"/>
          <w:szCs w:val="20"/>
        </w:rPr>
      </w:pPr>
      <w:r>
        <w:rPr>
          <w:vertAlign w:val="superscript"/>
        </w:rPr>
        <w:footnoteRef/>
      </w:r>
      <w:r>
        <w:rPr>
          <w:sz w:val="20"/>
          <w:szCs w:val="20"/>
        </w:rPr>
        <w:t xml:space="preserve"> Clemens et al. "Charters and Cartularies" p. 238.</w:t>
      </w:r>
    </w:p>
  </w:footnote>
  <w:footnote w:id="58">
    <w:p w14:paraId="00000088" w14:textId="77777777" w:rsidR="00D17C76" w:rsidRDefault="00DA4079">
      <w:pPr>
        <w:spacing w:line="240" w:lineRule="auto"/>
        <w:rPr>
          <w:sz w:val="20"/>
          <w:szCs w:val="20"/>
        </w:rPr>
      </w:pPr>
      <w:r>
        <w:rPr>
          <w:vertAlign w:val="superscript"/>
        </w:rPr>
        <w:footnoteRef/>
      </w:r>
      <w:r>
        <w:rPr>
          <w:sz w:val="20"/>
          <w:szCs w:val="20"/>
        </w:rPr>
        <w:t xml:space="preserve"> Ibid., p. 238.</w:t>
      </w:r>
    </w:p>
  </w:footnote>
  <w:footnote w:id="59">
    <w:p w14:paraId="00000089" w14:textId="77777777" w:rsidR="00D17C76" w:rsidRDefault="00DA4079">
      <w:pPr>
        <w:spacing w:line="240" w:lineRule="auto"/>
        <w:rPr>
          <w:sz w:val="20"/>
          <w:szCs w:val="20"/>
        </w:rPr>
      </w:pPr>
      <w:r>
        <w:rPr>
          <w:vertAlign w:val="superscript"/>
        </w:rPr>
        <w:footnoteRef/>
      </w:r>
      <w:r>
        <w:rPr>
          <w:sz w:val="20"/>
          <w:szCs w:val="20"/>
        </w:rPr>
        <w:t xml:space="preserve"> Sutherland-Harris, “Authority, Text, and Genre” p. 113</w:t>
      </w:r>
    </w:p>
  </w:footnote>
  <w:footnote w:id="60">
    <w:p w14:paraId="0000008D" w14:textId="77777777" w:rsidR="00D17C76" w:rsidRDefault="00DA4079">
      <w:pPr>
        <w:spacing w:line="240" w:lineRule="auto"/>
        <w:rPr>
          <w:sz w:val="20"/>
          <w:szCs w:val="20"/>
        </w:rPr>
      </w:pPr>
      <w:r>
        <w:rPr>
          <w:vertAlign w:val="superscript"/>
        </w:rPr>
        <w:footnoteRef/>
      </w:r>
      <w:r>
        <w:rPr>
          <w:sz w:val="20"/>
          <w:szCs w:val="20"/>
        </w:rPr>
        <w:t xml:space="preserve"> Michael Gervers, </w:t>
      </w:r>
      <w:r>
        <w:rPr>
          <w:i/>
          <w:sz w:val="20"/>
          <w:szCs w:val="20"/>
        </w:rPr>
        <w:t>Dating Undated Medieval Charters</w:t>
      </w:r>
      <w:r>
        <w:rPr>
          <w:sz w:val="20"/>
          <w:szCs w:val="20"/>
        </w:rPr>
        <w:t xml:space="preserve"> (Boydell</w:t>
      </w:r>
      <w:r>
        <w:rPr>
          <w:sz w:val="20"/>
          <w:szCs w:val="20"/>
        </w:rPr>
        <w:t xml:space="preserve"> &amp; Brewer, 2000)</w:t>
      </w:r>
    </w:p>
  </w:footnote>
  <w:footnote w:id="61">
    <w:p w14:paraId="0000008C" w14:textId="77777777" w:rsidR="00D17C76" w:rsidRDefault="00DA4079">
      <w:pPr>
        <w:spacing w:line="240" w:lineRule="auto"/>
        <w:rPr>
          <w:sz w:val="20"/>
          <w:szCs w:val="20"/>
        </w:rPr>
      </w:pPr>
      <w:r>
        <w:rPr>
          <w:vertAlign w:val="superscript"/>
        </w:rPr>
        <w:footnoteRef/>
      </w:r>
      <w:r>
        <w:rPr>
          <w:sz w:val="20"/>
          <w:szCs w:val="20"/>
        </w:rPr>
        <w:t xml:space="preserve"> Raymond Clemens and Timothy Graham. "Chapter 14: Charters and Cartularies". Introduction to Manuscript Studies (Cornell University Press: 2007) p. 238.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7C76"/>
    <w:rsid w:val="00D17C76"/>
    <w:rsid w:val="00DA40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BD66DD6-BCB0-470B-B76B-C404D3577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3233</Words>
  <Characters>18432</Characters>
  <Application>Microsoft Office Word</Application>
  <DocSecurity>0</DocSecurity>
  <Lines>153</Lines>
  <Paragraphs>43</Paragraphs>
  <ScaleCrop>false</ScaleCrop>
  <Company/>
  <LinksUpToDate>false</LinksUpToDate>
  <CharactersWithSpaces>21622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denize jacques</cp:lastModifiedBy>
  <cp:revision>2</cp:revision>
  <dcterms:created xsi:type="dcterms:W3CDTF">2020-06-12T20:01:00Z</dcterms:created>
  <dcterms:modified xsi:type="dcterms:W3CDTF">2020-06-12T20:01:00Z</dcterms:modified>
</cp:coreProperties>
</file>