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570A6162" w14:textId="46350118" w:rsidR="003B28DC" w:rsidRDefault="003B28DC">
          <w:pPr>
            <w:pStyle w:val="NoSpacing"/>
            <w:spacing w:before="1540" w:after="240"/>
            <w:jc w:val="center"/>
            <w:rPr>
              <w:color w:val="4472C4" w:themeColor="accent1"/>
            </w:rPr>
          </w:pPr>
          <w:r>
            <w:rPr>
              <w:noProof/>
              <w:color w:val="4472C4" w:themeColor="accent1"/>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46D427" w14:textId="0EFBD389" w:rsidR="003B28DC" w:rsidRDefault="00A915A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w:t>
              </w:r>
            </w:p>
          </w:sdtContent>
        </w:sdt>
        <w:sdt>
          <w:sdtPr>
            <w:rPr>
              <w:color w:val="4472C4" w:themeColor="accent1"/>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7B2C5085" w:rsidR="003B28DC" w:rsidRDefault="003B28DC">
              <w:pPr>
                <w:pStyle w:val="NoSpacing"/>
                <w:jc w:val="center"/>
                <w:rPr>
                  <w:color w:val="4472C4" w:themeColor="accent1"/>
                  <w:sz w:val="28"/>
                  <w:szCs w:val="28"/>
                </w:rPr>
              </w:pPr>
              <w:r>
                <w:rPr>
                  <w:color w:val="4472C4" w:themeColor="accent1"/>
                  <w:sz w:val="28"/>
                  <w:szCs w:val="28"/>
                </w:rPr>
                <w:t>BMSW400</w:t>
              </w:r>
              <w:r w:rsidR="00A915AD">
                <w:rPr>
                  <w:color w:val="4472C4" w:themeColor="accent1"/>
                  <w:sz w:val="28"/>
                  <w:szCs w:val="28"/>
                </w:rPr>
                <w:t>1</w:t>
              </w:r>
              <w:r>
                <w:rPr>
                  <w:color w:val="4472C4" w:themeColor="accent1"/>
                  <w:sz w:val="28"/>
                  <w:szCs w:val="28"/>
                </w:rPr>
                <w:t xml:space="preserve"> </w:t>
              </w:r>
              <w:r w:rsidR="00A915AD">
                <w:rPr>
                  <w:color w:val="4472C4" w:themeColor="accent1"/>
                  <w:sz w:val="28"/>
                  <w:szCs w:val="28"/>
                </w:rPr>
                <w:t>Academic and Employability Skills</w:t>
              </w:r>
            </w:p>
          </w:sdtContent>
        </w:sdt>
        <w:p w14:paraId="498C7A96" w14:textId="77777777" w:rsidR="003B28DC" w:rsidRDefault="003B28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1F3C79DF" w:rsidR="003B28DC" w:rsidRDefault="003B28DC">
                                    <w:pPr>
                                      <w:pStyle w:val="NoSpacing"/>
                                      <w:spacing w:after="40"/>
                                      <w:jc w:val="center"/>
                                      <w:rPr>
                                        <w:caps/>
                                        <w:color w:val="4472C4" w:themeColor="accent1"/>
                                        <w:sz w:val="28"/>
                                        <w:szCs w:val="28"/>
                                      </w:rPr>
                                    </w:pPr>
                                    <w:r>
                                      <w:rPr>
                                        <w:caps/>
                                        <w:color w:val="4472C4" w:themeColor="accent1"/>
                                        <w:sz w:val="28"/>
                                        <w:szCs w:val="28"/>
                                      </w:rPr>
                                      <w:t>[</w:t>
                                    </w:r>
                                    <w:r w:rsidR="00A915AD">
                                      <w:rPr>
                                        <w:caps/>
                                        <w:color w:val="4472C4" w:themeColor="accent1"/>
                                        <w:sz w:val="28"/>
                                        <w:szCs w:val="28"/>
                                      </w:rPr>
                                      <w:t>Alexandru-George Ghita</w:t>
                                    </w:r>
                                    <w:r>
                                      <w:rPr>
                                        <w:caps/>
                                        <w:color w:val="4472C4" w:themeColor="accent1"/>
                                        <w:sz w:val="28"/>
                                        <w:szCs w:val="28"/>
                                      </w:rPr>
                                      <w:t>]</w:t>
                                    </w:r>
                                  </w:p>
                                </w:sdtContent>
                              </w:sdt>
                              <w:p w14:paraId="08FE0F8F" w14:textId="699F21C9" w:rsidR="003B28DC" w:rsidRDefault="00C4770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A915AD">
                                      <w:rPr>
                                        <w:caps/>
                                        <w:color w:val="4472C4" w:themeColor="accent1"/>
                                      </w:rPr>
                                      <w:t>1912879</w:t>
                                    </w:r>
                                    <w:r w:rsidR="003B28DC">
                                      <w:rPr>
                                        <w:caps/>
                                        <w:color w:val="4472C4" w:themeColor="accent1"/>
                                      </w:rPr>
                                      <w:t>]</w:t>
                                    </w:r>
                                  </w:sdtContent>
                                </w:sdt>
                              </w:p>
                              <w:p w14:paraId="15A7879D" w14:textId="4C9A2AF7" w:rsidR="003B28DC" w:rsidRDefault="00C4770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1F3C79DF" w:rsidR="003B28DC" w:rsidRDefault="003B28DC">
                              <w:pPr>
                                <w:pStyle w:val="NoSpacing"/>
                                <w:spacing w:after="40"/>
                                <w:jc w:val="center"/>
                                <w:rPr>
                                  <w:caps/>
                                  <w:color w:val="4472C4" w:themeColor="accent1"/>
                                  <w:sz w:val="28"/>
                                  <w:szCs w:val="28"/>
                                </w:rPr>
                              </w:pPr>
                              <w:r>
                                <w:rPr>
                                  <w:caps/>
                                  <w:color w:val="4472C4" w:themeColor="accent1"/>
                                  <w:sz w:val="28"/>
                                  <w:szCs w:val="28"/>
                                </w:rPr>
                                <w:t>[</w:t>
                              </w:r>
                              <w:r w:rsidR="00A915AD">
                                <w:rPr>
                                  <w:caps/>
                                  <w:color w:val="4472C4" w:themeColor="accent1"/>
                                  <w:sz w:val="28"/>
                                  <w:szCs w:val="28"/>
                                </w:rPr>
                                <w:t>Alexandru-George Ghita</w:t>
                              </w:r>
                              <w:r>
                                <w:rPr>
                                  <w:caps/>
                                  <w:color w:val="4472C4" w:themeColor="accent1"/>
                                  <w:sz w:val="28"/>
                                  <w:szCs w:val="28"/>
                                </w:rPr>
                                <w:t>]</w:t>
                              </w:r>
                            </w:p>
                          </w:sdtContent>
                        </w:sdt>
                        <w:p w14:paraId="08FE0F8F" w14:textId="699F21C9" w:rsidR="003B28DC" w:rsidRDefault="00C4770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A915AD">
                                <w:rPr>
                                  <w:caps/>
                                  <w:color w:val="4472C4" w:themeColor="accent1"/>
                                </w:rPr>
                                <w:t>1912879</w:t>
                              </w:r>
                              <w:r w:rsidR="003B28DC">
                                <w:rPr>
                                  <w:caps/>
                                  <w:color w:val="4472C4" w:themeColor="accent1"/>
                                </w:rPr>
                                <w:t>]</w:t>
                              </w:r>
                            </w:sdtContent>
                          </w:sdt>
                        </w:p>
                        <w:p w14:paraId="15A7879D" w14:textId="4C9A2AF7" w:rsidR="003B28DC" w:rsidRDefault="00C4770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Default="003B28DC">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1BF54294" w14:textId="060ED558" w:rsidR="00CA0393" w:rsidRDefault="00CA0393" w:rsidP="00487EA3">
          <w:pPr>
            <w:pStyle w:val="TOCHeading"/>
            <w:spacing w:before="0"/>
          </w:pPr>
          <w:r>
            <w:t>Contents</w:t>
          </w:r>
          <w:bookmarkStart w:id="0" w:name="_GoBack"/>
          <w:bookmarkEnd w:id="0"/>
        </w:p>
        <w:p w14:paraId="10C32E9C" w14:textId="3FB86DB9" w:rsidR="00863A82" w:rsidRDefault="00CA0393" w:rsidP="00487EA3">
          <w:pPr>
            <w:pStyle w:val="TOC1"/>
            <w:rPr>
              <w:rFonts w:eastAsiaTheme="minorEastAsia"/>
              <w:noProof/>
              <w:lang w:val="en-GB" w:eastAsia="en-GB"/>
            </w:rPr>
          </w:pPr>
          <w:r>
            <w:fldChar w:fldCharType="begin"/>
          </w:r>
          <w:r>
            <w:instrText xml:space="preserve"> TOC \o "1-3" \h \z \u </w:instrText>
          </w:r>
          <w:r>
            <w:fldChar w:fldCharType="separate"/>
          </w:r>
          <w:hyperlink w:anchor="_Toc36226264" w:history="1">
            <w:r w:rsidR="00863A82" w:rsidRPr="00EC190F">
              <w:rPr>
                <w:rStyle w:val="Hyperlink"/>
                <w:noProof/>
              </w:rPr>
              <w:t>Introduction</w:t>
            </w:r>
            <w:r w:rsidR="00863A82">
              <w:rPr>
                <w:noProof/>
                <w:webHidden/>
              </w:rPr>
              <w:tab/>
            </w:r>
            <w:r w:rsidR="00863A82">
              <w:rPr>
                <w:noProof/>
                <w:webHidden/>
              </w:rPr>
              <w:fldChar w:fldCharType="begin"/>
            </w:r>
            <w:r w:rsidR="00863A82">
              <w:rPr>
                <w:noProof/>
                <w:webHidden/>
              </w:rPr>
              <w:instrText xml:space="preserve"> PAGEREF _Toc36226264 \h </w:instrText>
            </w:r>
            <w:r w:rsidR="00863A82">
              <w:rPr>
                <w:noProof/>
                <w:webHidden/>
              </w:rPr>
            </w:r>
            <w:r w:rsidR="00863A82">
              <w:rPr>
                <w:noProof/>
                <w:webHidden/>
              </w:rPr>
              <w:fldChar w:fldCharType="separate"/>
            </w:r>
            <w:r w:rsidR="00863A82">
              <w:rPr>
                <w:noProof/>
                <w:webHidden/>
              </w:rPr>
              <w:t>2</w:t>
            </w:r>
            <w:r w:rsidR="00863A82">
              <w:rPr>
                <w:noProof/>
                <w:webHidden/>
              </w:rPr>
              <w:fldChar w:fldCharType="end"/>
            </w:r>
          </w:hyperlink>
        </w:p>
        <w:p w14:paraId="2ADFC774" w14:textId="5FC9DE6D" w:rsidR="00863A82" w:rsidRDefault="00863A82" w:rsidP="00487EA3">
          <w:pPr>
            <w:pStyle w:val="TOC1"/>
            <w:rPr>
              <w:rFonts w:eastAsiaTheme="minorEastAsia"/>
              <w:noProof/>
              <w:lang w:val="en-GB" w:eastAsia="en-GB"/>
            </w:rPr>
          </w:pPr>
          <w:hyperlink w:anchor="_Toc36226265" w:history="1">
            <w:r w:rsidRPr="00EC190F">
              <w:rPr>
                <w:rStyle w:val="Hyperlink"/>
                <w:noProof/>
              </w:rPr>
              <w:t>Main findings</w:t>
            </w:r>
            <w:r>
              <w:rPr>
                <w:noProof/>
                <w:webHidden/>
              </w:rPr>
              <w:tab/>
            </w:r>
            <w:r>
              <w:rPr>
                <w:noProof/>
                <w:webHidden/>
              </w:rPr>
              <w:fldChar w:fldCharType="begin"/>
            </w:r>
            <w:r>
              <w:rPr>
                <w:noProof/>
                <w:webHidden/>
              </w:rPr>
              <w:instrText xml:space="preserve"> PAGEREF _Toc36226265 \h </w:instrText>
            </w:r>
            <w:r>
              <w:rPr>
                <w:noProof/>
                <w:webHidden/>
              </w:rPr>
            </w:r>
            <w:r>
              <w:rPr>
                <w:noProof/>
                <w:webHidden/>
              </w:rPr>
              <w:fldChar w:fldCharType="separate"/>
            </w:r>
            <w:r>
              <w:rPr>
                <w:noProof/>
                <w:webHidden/>
              </w:rPr>
              <w:t>3</w:t>
            </w:r>
            <w:r>
              <w:rPr>
                <w:noProof/>
                <w:webHidden/>
              </w:rPr>
              <w:fldChar w:fldCharType="end"/>
            </w:r>
          </w:hyperlink>
        </w:p>
        <w:p w14:paraId="65F36A21" w14:textId="0F8097C2" w:rsidR="00863A82" w:rsidRDefault="00863A82" w:rsidP="00487EA3">
          <w:pPr>
            <w:pStyle w:val="TOC2"/>
            <w:tabs>
              <w:tab w:val="right" w:leader="dot" w:pos="9016"/>
            </w:tabs>
            <w:spacing w:after="0"/>
            <w:ind w:left="0"/>
            <w:rPr>
              <w:rFonts w:eastAsiaTheme="minorEastAsia"/>
              <w:noProof/>
              <w:lang w:val="en-GB" w:eastAsia="en-GB"/>
            </w:rPr>
          </w:pPr>
          <w:hyperlink w:anchor="_Toc36226266" w:history="1">
            <w:r w:rsidR="00796237">
              <w:rPr>
                <w:rStyle w:val="Hyperlink"/>
                <w:noProof/>
              </w:rPr>
              <w:t>The importance of employability skills for both employee and employer</w:t>
            </w:r>
            <w:r>
              <w:rPr>
                <w:noProof/>
                <w:webHidden/>
              </w:rPr>
              <w:tab/>
            </w:r>
            <w:r>
              <w:rPr>
                <w:noProof/>
                <w:webHidden/>
              </w:rPr>
              <w:fldChar w:fldCharType="begin"/>
            </w:r>
            <w:r>
              <w:rPr>
                <w:noProof/>
                <w:webHidden/>
              </w:rPr>
              <w:instrText xml:space="preserve"> PAGEREF _Toc36226266 \h </w:instrText>
            </w:r>
            <w:r>
              <w:rPr>
                <w:noProof/>
                <w:webHidden/>
              </w:rPr>
            </w:r>
            <w:r>
              <w:rPr>
                <w:noProof/>
                <w:webHidden/>
              </w:rPr>
              <w:fldChar w:fldCharType="separate"/>
            </w:r>
            <w:r>
              <w:rPr>
                <w:noProof/>
                <w:webHidden/>
              </w:rPr>
              <w:t>3</w:t>
            </w:r>
            <w:r>
              <w:rPr>
                <w:noProof/>
                <w:webHidden/>
              </w:rPr>
              <w:fldChar w:fldCharType="end"/>
            </w:r>
          </w:hyperlink>
        </w:p>
        <w:p w14:paraId="463B6EA5" w14:textId="3B73F6B4" w:rsidR="00863A82" w:rsidRDefault="00863A82" w:rsidP="00487EA3">
          <w:pPr>
            <w:pStyle w:val="TOC3"/>
            <w:tabs>
              <w:tab w:val="right" w:leader="dot" w:pos="9016"/>
            </w:tabs>
            <w:spacing w:after="0"/>
            <w:ind w:left="0"/>
            <w:rPr>
              <w:rFonts w:eastAsiaTheme="minorEastAsia"/>
              <w:noProof/>
              <w:lang w:val="en-GB" w:eastAsia="en-GB"/>
            </w:rPr>
          </w:pPr>
          <w:hyperlink w:anchor="_Toc36226267" w:history="1">
            <w:r w:rsidR="00796237">
              <w:rPr>
                <w:rStyle w:val="Hyperlink"/>
                <w:noProof/>
              </w:rPr>
              <w:t>Top employability skills</w:t>
            </w:r>
            <w:r>
              <w:rPr>
                <w:noProof/>
                <w:webHidden/>
              </w:rPr>
              <w:tab/>
            </w:r>
            <w:r w:rsidR="004C630F">
              <w:rPr>
                <w:noProof/>
                <w:webHidden/>
              </w:rPr>
              <w:t>4</w:t>
            </w:r>
          </w:hyperlink>
        </w:p>
        <w:p w14:paraId="7110970A" w14:textId="7054820D" w:rsidR="00863A82" w:rsidRDefault="00863A82" w:rsidP="00487EA3">
          <w:pPr>
            <w:pStyle w:val="TOC3"/>
            <w:tabs>
              <w:tab w:val="right" w:leader="dot" w:pos="9016"/>
            </w:tabs>
            <w:spacing w:after="0"/>
            <w:ind w:left="0"/>
            <w:rPr>
              <w:rFonts w:eastAsiaTheme="minorEastAsia"/>
              <w:noProof/>
              <w:lang w:val="en-GB" w:eastAsia="en-GB"/>
            </w:rPr>
          </w:pPr>
          <w:hyperlink w:anchor="_Toc36226268" w:history="1">
            <w:r w:rsidR="009F4E42">
              <w:rPr>
                <w:rStyle w:val="Hyperlink"/>
                <w:noProof/>
              </w:rPr>
              <w:t>Evolution and changes of employability skills</w:t>
            </w:r>
            <w:r>
              <w:rPr>
                <w:noProof/>
                <w:webHidden/>
              </w:rPr>
              <w:tab/>
            </w:r>
            <w:r w:rsidR="004C630F">
              <w:rPr>
                <w:noProof/>
                <w:webHidden/>
              </w:rPr>
              <w:t>5</w:t>
            </w:r>
          </w:hyperlink>
        </w:p>
        <w:p w14:paraId="550D051B" w14:textId="606134D7" w:rsidR="00863A82" w:rsidRDefault="00863A82" w:rsidP="00487EA3">
          <w:pPr>
            <w:pStyle w:val="TOC1"/>
            <w:rPr>
              <w:rFonts w:eastAsiaTheme="minorEastAsia"/>
              <w:noProof/>
              <w:lang w:val="en-GB" w:eastAsia="en-GB"/>
            </w:rPr>
          </w:pPr>
          <w:hyperlink w:anchor="_Toc36226275" w:history="1">
            <w:r w:rsidRPr="00EC190F">
              <w:rPr>
                <w:rStyle w:val="Hyperlink"/>
                <w:noProof/>
              </w:rPr>
              <w:t>Conclusion</w:t>
            </w:r>
            <w:r>
              <w:rPr>
                <w:noProof/>
                <w:webHidden/>
              </w:rPr>
              <w:tab/>
            </w:r>
            <w:r w:rsidR="00E8241A">
              <w:rPr>
                <w:noProof/>
                <w:webHidden/>
              </w:rPr>
              <w:t>6</w:t>
            </w:r>
          </w:hyperlink>
        </w:p>
        <w:p w14:paraId="6F89CD93" w14:textId="1A9CB9CF" w:rsidR="00863A82" w:rsidRDefault="00863A82" w:rsidP="00487EA3">
          <w:pPr>
            <w:pStyle w:val="TOC1"/>
            <w:rPr>
              <w:rFonts w:eastAsiaTheme="minorEastAsia"/>
              <w:noProof/>
              <w:lang w:val="en-GB" w:eastAsia="en-GB"/>
            </w:rPr>
          </w:pPr>
          <w:r w:rsidRPr="00005410">
            <w:rPr>
              <w:rStyle w:val="Hyperlink"/>
              <w:noProof/>
            </w:rPr>
            <w:t>References</w:t>
          </w:r>
          <w:r>
            <w:rPr>
              <w:noProof/>
              <w:webHidden/>
            </w:rPr>
            <w:tab/>
          </w:r>
          <w:r w:rsidR="00E8241A">
            <w:rPr>
              <w:noProof/>
              <w:webHidden/>
            </w:rPr>
            <w:t>8</w:t>
          </w:r>
        </w:p>
        <w:p w14:paraId="2B07E19D" w14:textId="14CB3ADA" w:rsidR="00CA0393" w:rsidRDefault="00CA0393" w:rsidP="00487EA3">
          <w:pPr>
            <w:spacing w:after="0"/>
          </w:pPr>
          <w:r>
            <w:rPr>
              <w:b/>
              <w:bCs/>
              <w:noProof/>
            </w:rPr>
            <w:fldChar w:fldCharType="end"/>
          </w:r>
        </w:p>
      </w:sdtContent>
    </w:sdt>
    <w:p w14:paraId="3D1A1BFF" w14:textId="29F58372" w:rsidR="003B28DC" w:rsidRDefault="003B28DC" w:rsidP="00487EA3">
      <w:pPr>
        <w:spacing w:after="0"/>
        <w:rPr>
          <w:rFonts w:asciiTheme="majorHAnsi" w:eastAsiaTheme="majorEastAsia" w:hAnsiTheme="majorHAnsi" w:cstheme="majorBidi"/>
          <w:color w:val="2F5496" w:themeColor="accent1" w:themeShade="BF"/>
          <w:sz w:val="32"/>
          <w:szCs w:val="32"/>
        </w:rPr>
      </w:pPr>
      <w:r>
        <w:br w:type="page"/>
      </w:r>
    </w:p>
    <w:p w14:paraId="43C5100B" w14:textId="26E8E4AC" w:rsidR="00EA2964" w:rsidRDefault="00CA0393" w:rsidP="00487EA3">
      <w:pPr>
        <w:pStyle w:val="Heading1"/>
        <w:spacing w:before="0"/>
      </w:pPr>
      <w:bookmarkStart w:id="1" w:name="_Toc36226264"/>
      <w:r>
        <w:lastRenderedPageBreak/>
        <w:t>Introduction</w:t>
      </w:r>
      <w:bookmarkEnd w:id="1"/>
    </w:p>
    <w:p w14:paraId="5B2EF6FE" w14:textId="77777777" w:rsidR="00FF27FE" w:rsidRPr="00FF27FE" w:rsidRDefault="00FF27FE" w:rsidP="00FF27FE"/>
    <w:p w14:paraId="30BC54BD" w14:textId="77777777" w:rsidR="00676A30" w:rsidRDefault="001C380F" w:rsidP="00487EA3">
      <w:pPr>
        <w:pStyle w:val="NoSpacing"/>
        <w:rPr>
          <w:rFonts w:ascii="Arial Nova" w:hAnsi="Arial Nova"/>
          <w:sz w:val="24"/>
          <w:szCs w:val="24"/>
        </w:rPr>
      </w:pPr>
      <w:r w:rsidRPr="00487EA3">
        <w:rPr>
          <w:rFonts w:ascii="Arial Nova" w:hAnsi="Arial Nova"/>
          <w:sz w:val="24"/>
          <w:szCs w:val="24"/>
        </w:rPr>
        <w:t>Employability is a concept that has joined the mainstream of individual, human resources and national policy vocabulary for the last century (</w:t>
      </w:r>
      <w:proofErr w:type="spellStart"/>
      <w:r w:rsidRPr="00487EA3">
        <w:rPr>
          <w:rFonts w:ascii="Arial Nova" w:hAnsi="Arial Nova"/>
          <w:sz w:val="24"/>
          <w:szCs w:val="24"/>
        </w:rPr>
        <w:t>Tamkin</w:t>
      </w:r>
      <w:proofErr w:type="spellEnd"/>
      <w:r w:rsidRPr="00487EA3">
        <w:rPr>
          <w:rFonts w:ascii="Arial Nova" w:hAnsi="Arial Nova"/>
          <w:sz w:val="24"/>
          <w:szCs w:val="24"/>
        </w:rPr>
        <w:t xml:space="preserve"> and </w:t>
      </w:r>
      <w:proofErr w:type="spellStart"/>
      <w:r w:rsidRPr="00487EA3">
        <w:rPr>
          <w:rFonts w:ascii="Arial Nova" w:hAnsi="Arial Nova"/>
          <w:sz w:val="24"/>
          <w:szCs w:val="24"/>
        </w:rPr>
        <w:t>Hillage</w:t>
      </w:r>
      <w:proofErr w:type="spellEnd"/>
      <w:r w:rsidRPr="00487EA3">
        <w:rPr>
          <w:rFonts w:ascii="Arial Nova" w:hAnsi="Arial Nova"/>
          <w:sz w:val="24"/>
          <w:szCs w:val="24"/>
        </w:rPr>
        <w:t xml:space="preserve">, no date, p. 9). It represents a term that can be used in different situations with reference to various meanings (McQuaid and Lindsay, 2005, p. 199). While it is simple enough to assign ‘employability’ a straightforward dictionary definition, such as ‘the character or quality of being employable’, arriving at a working definition is a far more complex process (McQuaid et all, 2013, p. 8). </w:t>
      </w:r>
    </w:p>
    <w:p w14:paraId="0B2F21D6" w14:textId="77777777" w:rsidR="00676A30" w:rsidRDefault="001C380F" w:rsidP="00487EA3">
      <w:pPr>
        <w:pStyle w:val="NoSpacing"/>
        <w:rPr>
          <w:rFonts w:ascii="Arial Nova" w:hAnsi="Arial Nova"/>
          <w:sz w:val="24"/>
          <w:szCs w:val="24"/>
        </w:rPr>
      </w:pPr>
      <w:r w:rsidRPr="00487EA3">
        <w:rPr>
          <w:rFonts w:ascii="Arial Nova" w:hAnsi="Arial Nova"/>
          <w:sz w:val="24"/>
          <w:szCs w:val="24"/>
        </w:rPr>
        <w:t xml:space="preserve">Employers have tended to view employability as primarily a characteristic of the individual. For instance, the Confederation of British Industry (CBI) has defined employability as the possession by an individual of the qualities and competencies required to meet the changing needs of employers and customers and thereby help to </w:t>
      </w:r>
      <w:proofErr w:type="spellStart"/>
      <w:r w:rsidRPr="00487EA3">
        <w:rPr>
          <w:rFonts w:ascii="Arial Nova" w:hAnsi="Arial Nova"/>
          <w:sz w:val="24"/>
          <w:szCs w:val="24"/>
        </w:rPr>
        <w:t>realise</w:t>
      </w:r>
      <w:proofErr w:type="spellEnd"/>
      <w:r w:rsidRPr="00487EA3">
        <w:rPr>
          <w:rFonts w:ascii="Arial Nova" w:hAnsi="Arial Nova"/>
          <w:sz w:val="24"/>
          <w:szCs w:val="24"/>
        </w:rPr>
        <w:t xml:space="preserve"> his or her aspirations and potential in work (CBI, 1999, p. 1). </w:t>
      </w:r>
    </w:p>
    <w:p w14:paraId="409FD981" w14:textId="77777777" w:rsidR="00676A30" w:rsidRDefault="001C380F" w:rsidP="00487EA3">
      <w:pPr>
        <w:pStyle w:val="NoSpacing"/>
        <w:rPr>
          <w:rFonts w:ascii="Arial Nova" w:hAnsi="Arial Nova"/>
          <w:sz w:val="24"/>
          <w:szCs w:val="24"/>
        </w:rPr>
      </w:pPr>
      <w:r w:rsidRPr="00487EA3">
        <w:rPr>
          <w:rFonts w:ascii="Arial Nova" w:hAnsi="Arial Nova"/>
          <w:sz w:val="24"/>
          <w:szCs w:val="24"/>
        </w:rPr>
        <w:t xml:space="preserve">Scientists, economists and policy makers have a more industrialized definition of employability and see it as the capability to move into and within </w:t>
      </w:r>
      <w:proofErr w:type="spellStart"/>
      <w:r w:rsidRPr="00487EA3">
        <w:rPr>
          <w:rFonts w:ascii="Arial Nova" w:hAnsi="Arial Nova"/>
          <w:sz w:val="24"/>
          <w:szCs w:val="24"/>
        </w:rPr>
        <w:t>labour</w:t>
      </w:r>
      <w:proofErr w:type="spellEnd"/>
      <w:r w:rsidRPr="00487EA3">
        <w:rPr>
          <w:rFonts w:ascii="Arial Nova" w:hAnsi="Arial Nova"/>
          <w:sz w:val="24"/>
          <w:szCs w:val="24"/>
        </w:rPr>
        <w:t xml:space="preserve"> markets and to </w:t>
      </w:r>
      <w:proofErr w:type="spellStart"/>
      <w:r w:rsidRPr="00487EA3">
        <w:rPr>
          <w:rFonts w:ascii="Arial Nova" w:hAnsi="Arial Nova"/>
          <w:sz w:val="24"/>
          <w:szCs w:val="24"/>
        </w:rPr>
        <w:t>realise</w:t>
      </w:r>
      <w:proofErr w:type="spellEnd"/>
      <w:r w:rsidRPr="00487EA3">
        <w:rPr>
          <w:rFonts w:ascii="Arial Nova" w:hAnsi="Arial Nova"/>
          <w:sz w:val="24"/>
          <w:szCs w:val="24"/>
        </w:rPr>
        <w:t xml:space="preserve"> potential through sustainable and accessible employment (McQuaid and Lindsay, 2005, p. 200).</w:t>
      </w:r>
    </w:p>
    <w:p w14:paraId="32D9C56F" w14:textId="77777777" w:rsidR="00676A30" w:rsidRDefault="001C380F" w:rsidP="00487EA3">
      <w:pPr>
        <w:pStyle w:val="NoSpacing"/>
        <w:rPr>
          <w:rFonts w:ascii="Arial Nova" w:hAnsi="Arial Nova"/>
          <w:sz w:val="24"/>
          <w:szCs w:val="24"/>
        </w:rPr>
      </w:pPr>
      <w:r w:rsidRPr="00487EA3">
        <w:rPr>
          <w:rFonts w:ascii="Arial Nova" w:hAnsi="Arial Nova"/>
          <w:sz w:val="24"/>
          <w:szCs w:val="24"/>
        </w:rPr>
        <w:t xml:space="preserve">For example, Schultz (1963) defined employability as human capital, an important element for upgrading company performance and to improve productivity of employees and sustainability (Husain et all, 2010, p.430). Although there might be different perspectives as to what true definition of what employability entails, one common theme emerges from </w:t>
      </w:r>
      <w:proofErr w:type="gramStart"/>
      <w:r w:rsidRPr="00487EA3">
        <w:rPr>
          <w:rFonts w:ascii="Arial Nova" w:hAnsi="Arial Nova"/>
          <w:sz w:val="24"/>
          <w:szCs w:val="24"/>
        </w:rPr>
        <w:t>all of</w:t>
      </w:r>
      <w:proofErr w:type="gramEnd"/>
      <w:r w:rsidRPr="00487EA3">
        <w:rPr>
          <w:rFonts w:ascii="Arial Nova" w:hAnsi="Arial Nova"/>
          <w:sz w:val="24"/>
          <w:szCs w:val="24"/>
        </w:rPr>
        <w:t xml:space="preserve"> the above definitions. </w:t>
      </w:r>
    </w:p>
    <w:p w14:paraId="64474904" w14:textId="63BF096F" w:rsidR="001C380F" w:rsidRPr="00487EA3" w:rsidRDefault="001C380F" w:rsidP="00487EA3">
      <w:pPr>
        <w:pStyle w:val="NoSpacing"/>
        <w:rPr>
          <w:rFonts w:ascii="Arial Nova" w:hAnsi="Arial Nova"/>
          <w:sz w:val="24"/>
          <w:szCs w:val="24"/>
        </w:rPr>
      </w:pPr>
      <w:r w:rsidRPr="00487EA3">
        <w:rPr>
          <w:rFonts w:ascii="Arial Nova" w:hAnsi="Arial Nova"/>
          <w:sz w:val="24"/>
          <w:szCs w:val="24"/>
        </w:rPr>
        <w:t>Employability is not just about those unemployed seeking work and those in employment seeking better jobs with their current or different employer, it is more about the set of skills and personal attributes that improve the probability of an individual gaining employment and being successful in their chosen occupation; which in turn benefits themselves, the workforce, community and economy (Yorke, 2004, p.8).</w:t>
      </w:r>
    </w:p>
    <w:p w14:paraId="1DC8FFA3" w14:textId="77777777" w:rsidR="001C380F" w:rsidRPr="00487EA3" w:rsidRDefault="001C380F" w:rsidP="00487EA3">
      <w:pPr>
        <w:pStyle w:val="NoSpacing"/>
        <w:rPr>
          <w:rFonts w:ascii="Arial Nova" w:hAnsi="Arial Nova"/>
          <w:sz w:val="24"/>
          <w:szCs w:val="24"/>
        </w:rPr>
      </w:pPr>
      <w:r w:rsidRPr="00487EA3">
        <w:rPr>
          <w:rFonts w:ascii="Arial Nova" w:hAnsi="Arial Nova"/>
          <w:sz w:val="24"/>
          <w:szCs w:val="24"/>
        </w:rPr>
        <w:t xml:space="preserve">We can therefore refer to employability skills as being the transferable skills and qualities required to ensure individuals remain and flourish in the </w:t>
      </w:r>
      <w:proofErr w:type="spellStart"/>
      <w:r w:rsidRPr="00487EA3">
        <w:rPr>
          <w:rFonts w:ascii="Arial Nova" w:hAnsi="Arial Nova"/>
          <w:sz w:val="24"/>
          <w:szCs w:val="24"/>
        </w:rPr>
        <w:t>labour</w:t>
      </w:r>
      <w:proofErr w:type="spellEnd"/>
      <w:r w:rsidRPr="00487EA3">
        <w:rPr>
          <w:rFonts w:ascii="Arial Nova" w:hAnsi="Arial Nova"/>
          <w:sz w:val="24"/>
          <w:szCs w:val="24"/>
        </w:rPr>
        <w:t xml:space="preserve"> market and help them develop as ‘capable persons’ (Yorke, 2004, p.8). UNESCO refers to these as a “number of important competencies that can be learned and that everyone requires to successfully adapt to changes and lead meaningful and productive lives”, while the UK Commission (2009b, p.10) considers them “the skills almost everyone needs to do almost any job” (UK Commission, 2010, p. 5).</w:t>
      </w:r>
    </w:p>
    <w:p w14:paraId="723E423C" w14:textId="15752384" w:rsidR="003B28DC" w:rsidRDefault="003B28DC" w:rsidP="00487EA3">
      <w:pPr>
        <w:spacing w:after="0"/>
        <w:rPr>
          <w:rFonts w:asciiTheme="majorHAnsi" w:eastAsiaTheme="majorEastAsia" w:hAnsiTheme="majorHAnsi" w:cstheme="majorBidi"/>
          <w:color w:val="2F5496" w:themeColor="accent1" w:themeShade="BF"/>
          <w:sz w:val="32"/>
          <w:szCs w:val="32"/>
        </w:rPr>
      </w:pPr>
    </w:p>
    <w:p w14:paraId="49E02F82" w14:textId="388B5CAD" w:rsidR="00487EA3" w:rsidRDefault="00487EA3" w:rsidP="00487EA3">
      <w:pPr>
        <w:spacing w:after="0"/>
        <w:rPr>
          <w:rFonts w:asciiTheme="majorHAnsi" w:eastAsiaTheme="majorEastAsia" w:hAnsiTheme="majorHAnsi" w:cstheme="majorBidi"/>
          <w:color w:val="2F5496" w:themeColor="accent1" w:themeShade="BF"/>
          <w:sz w:val="32"/>
          <w:szCs w:val="32"/>
        </w:rPr>
      </w:pPr>
    </w:p>
    <w:p w14:paraId="556F3981" w14:textId="14233B7E" w:rsidR="00487EA3" w:rsidRDefault="00487EA3" w:rsidP="00487EA3">
      <w:pPr>
        <w:spacing w:after="0"/>
        <w:rPr>
          <w:rFonts w:asciiTheme="majorHAnsi" w:eastAsiaTheme="majorEastAsia" w:hAnsiTheme="majorHAnsi" w:cstheme="majorBidi"/>
          <w:color w:val="2F5496" w:themeColor="accent1" w:themeShade="BF"/>
          <w:sz w:val="32"/>
          <w:szCs w:val="32"/>
        </w:rPr>
      </w:pPr>
    </w:p>
    <w:p w14:paraId="26AE0F0A" w14:textId="6778128E" w:rsidR="00487EA3" w:rsidRDefault="00487EA3" w:rsidP="00487EA3">
      <w:pPr>
        <w:spacing w:after="0"/>
        <w:rPr>
          <w:rFonts w:asciiTheme="majorHAnsi" w:eastAsiaTheme="majorEastAsia" w:hAnsiTheme="majorHAnsi" w:cstheme="majorBidi"/>
          <w:color w:val="2F5496" w:themeColor="accent1" w:themeShade="BF"/>
          <w:sz w:val="32"/>
          <w:szCs w:val="32"/>
        </w:rPr>
      </w:pPr>
    </w:p>
    <w:p w14:paraId="046CCC9F" w14:textId="5CF2ACFA" w:rsidR="00676A30" w:rsidRDefault="00676A30" w:rsidP="00487EA3">
      <w:pPr>
        <w:spacing w:after="0"/>
        <w:rPr>
          <w:rFonts w:asciiTheme="majorHAnsi" w:eastAsiaTheme="majorEastAsia" w:hAnsiTheme="majorHAnsi" w:cstheme="majorBidi"/>
          <w:color w:val="2F5496" w:themeColor="accent1" w:themeShade="BF"/>
          <w:sz w:val="32"/>
          <w:szCs w:val="32"/>
        </w:rPr>
      </w:pPr>
    </w:p>
    <w:p w14:paraId="64E2DC05" w14:textId="77777777" w:rsidR="00676A30" w:rsidRDefault="00676A30" w:rsidP="00487EA3">
      <w:pPr>
        <w:spacing w:after="0"/>
        <w:rPr>
          <w:rFonts w:asciiTheme="majorHAnsi" w:eastAsiaTheme="majorEastAsia" w:hAnsiTheme="majorHAnsi" w:cstheme="majorBidi"/>
          <w:color w:val="2F5496" w:themeColor="accent1" w:themeShade="BF"/>
          <w:sz w:val="32"/>
          <w:szCs w:val="32"/>
        </w:rPr>
      </w:pPr>
    </w:p>
    <w:p w14:paraId="377975ED" w14:textId="56B155FA" w:rsidR="001C380F" w:rsidRDefault="00CA0393" w:rsidP="00487EA3">
      <w:pPr>
        <w:pStyle w:val="Heading1"/>
        <w:spacing w:before="0"/>
      </w:pPr>
      <w:bookmarkStart w:id="2" w:name="_Toc36226265"/>
      <w:r>
        <w:lastRenderedPageBreak/>
        <w:t>Main findings</w:t>
      </w:r>
      <w:bookmarkEnd w:id="2"/>
    </w:p>
    <w:p w14:paraId="1F7D8D61" w14:textId="77777777" w:rsidR="000A2671" w:rsidRPr="000A2671" w:rsidRDefault="000A2671" w:rsidP="000A2671"/>
    <w:p w14:paraId="25DE7BB3" w14:textId="00D663E6"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Before diving into listing what are the key employability skills every employer is looking to find in their employees it is important to ask the question of why employability skills are so important. McQuaid and Lindsay indicate that views of the usefulness of employability skills may change when investigating different perspectives such as that of potential employees, employers, and society in general (McQuaid and </w:t>
      </w:r>
      <w:proofErr w:type="spellStart"/>
      <w:r w:rsidRPr="00487EA3">
        <w:rPr>
          <w:rFonts w:ascii="Arial Nova" w:hAnsi="Arial Nova"/>
          <w:sz w:val="24"/>
          <w:szCs w:val="24"/>
        </w:rPr>
        <w:t>Linsday</w:t>
      </w:r>
      <w:proofErr w:type="spellEnd"/>
      <w:r w:rsidRPr="00487EA3">
        <w:rPr>
          <w:rFonts w:ascii="Arial Nova" w:hAnsi="Arial Nova"/>
          <w:sz w:val="24"/>
          <w:szCs w:val="24"/>
        </w:rPr>
        <w:t>, 2005) (Mansour and Dean, 2016, p.5).</w:t>
      </w:r>
      <w:r w:rsidRPr="00487EA3">
        <w:rPr>
          <w:rFonts w:ascii="Arial Nova" w:hAnsi="Arial Nova"/>
          <w:sz w:val="24"/>
          <w:szCs w:val="24"/>
        </w:rPr>
        <w:t xml:space="preserve"> </w:t>
      </w:r>
    </w:p>
    <w:p w14:paraId="633C5306" w14:textId="6C5BC37A"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From the employee’s perspective employability is incredibly important because it affects one’s ability to </w:t>
      </w:r>
      <w:proofErr w:type="spellStart"/>
      <w:r w:rsidRPr="00487EA3">
        <w:rPr>
          <w:rFonts w:ascii="Arial Nova" w:hAnsi="Arial Nova"/>
          <w:sz w:val="24"/>
          <w:szCs w:val="24"/>
        </w:rPr>
        <w:t>realise</w:t>
      </w:r>
      <w:proofErr w:type="spellEnd"/>
      <w:r w:rsidRPr="00487EA3">
        <w:rPr>
          <w:rFonts w:ascii="Arial Nova" w:hAnsi="Arial Nova"/>
          <w:sz w:val="24"/>
          <w:szCs w:val="24"/>
        </w:rPr>
        <w:t xml:space="preserve"> their potential both in the present and future as they progress through education into their chosen career. It is an opportunity to apply learning to real life situations and to use the personal skills and qualities one possesses in the workplace (Lees, no date, pp. 1-10). Employability is also widely considered to be directly linked to the individual’s wellbeing, as people are more likely to spend considerably more time with their co-workers than with their families in the immediate term. A compendium of factsheets published by the Department of Health states that work is a key determinant of people’s wellbeing and the relationship between the two is complex. </w:t>
      </w:r>
    </w:p>
    <w:p w14:paraId="1C49F495" w14:textId="7639A77D" w:rsidR="001C380F" w:rsidRDefault="001C380F" w:rsidP="00487EA3">
      <w:pPr>
        <w:spacing w:after="0"/>
        <w:rPr>
          <w:rFonts w:ascii="Arial Nova" w:hAnsi="Arial Nova"/>
          <w:sz w:val="24"/>
          <w:szCs w:val="24"/>
        </w:rPr>
      </w:pPr>
      <w:r w:rsidRPr="00487EA3">
        <w:rPr>
          <w:rFonts w:ascii="Arial Nova" w:hAnsi="Arial Nova"/>
          <w:sz w:val="24"/>
          <w:szCs w:val="24"/>
        </w:rPr>
        <w:t xml:space="preserve">From the employer’s perspective, employability skills are important because an employee adds value to the </w:t>
      </w:r>
      <w:proofErr w:type="spellStart"/>
      <w:r w:rsidRPr="00487EA3">
        <w:rPr>
          <w:rFonts w:ascii="Arial Nova" w:hAnsi="Arial Nova"/>
          <w:sz w:val="24"/>
          <w:szCs w:val="24"/>
        </w:rPr>
        <w:t>organisation</w:t>
      </w:r>
      <w:proofErr w:type="spellEnd"/>
      <w:r w:rsidRPr="00487EA3">
        <w:rPr>
          <w:rFonts w:ascii="Arial Nova" w:hAnsi="Arial Nova"/>
          <w:sz w:val="24"/>
          <w:szCs w:val="24"/>
        </w:rPr>
        <w:t xml:space="preserve"> if they have the skills and qualities to help </w:t>
      </w:r>
      <w:proofErr w:type="spellStart"/>
      <w:r w:rsidRPr="00487EA3">
        <w:rPr>
          <w:rFonts w:ascii="Arial Nova" w:hAnsi="Arial Nova"/>
          <w:sz w:val="24"/>
          <w:szCs w:val="24"/>
        </w:rPr>
        <w:t>organisations</w:t>
      </w:r>
      <w:proofErr w:type="spellEnd"/>
      <w:r w:rsidRPr="00487EA3">
        <w:rPr>
          <w:rFonts w:ascii="Arial Nova" w:hAnsi="Arial Nova"/>
          <w:sz w:val="24"/>
          <w:szCs w:val="24"/>
        </w:rPr>
        <w:t xml:space="preserve"> move on in the face of continuous and rapid economic and technological change (Lowden at all, 2011). In practice, the combination of knowledge, skills and personal qualities required by employers will vary according to the individual’s chosen career (OCR, p.5). However, in 2012 the CBI released an employer survey of 542 employers, which revealed that 81% of employers valued employability skills as the most important factor when recruiting graduates alongside other factors such as degree subject (70%) or class (46%) (</w:t>
      </w:r>
      <w:proofErr w:type="spellStart"/>
      <w:r w:rsidRPr="00487EA3">
        <w:rPr>
          <w:rFonts w:ascii="Arial Nova" w:hAnsi="Arial Nova" w:cs="Arial"/>
          <w:color w:val="6A6B6D"/>
          <w:sz w:val="24"/>
          <w:szCs w:val="24"/>
          <w:shd w:val="clear" w:color="auto" w:fill="FFFFFF"/>
        </w:rPr>
        <w:t>Ćehić</w:t>
      </w:r>
      <w:proofErr w:type="spellEnd"/>
      <w:r w:rsidRPr="00487EA3">
        <w:rPr>
          <w:rFonts w:ascii="Arial Nova" w:hAnsi="Arial Nova" w:cs="Arial"/>
          <w:color w:val="6A6B6D"/>
          <w:sz w:val="24"/>
          <w:szCs w:val="24"/>
          <w:shd w:val="clear" w:color="auto" w:fill="FFFFFF"/>
        </w:rPr>
        <w:t>, 2014)</w:t>
      </w:r>
      <w:r w:rsidRPr="00487EA3">
        <w:rPr>
          <w:rFonts w:ascii="Arial Nova" w:hAnsi="Arial Nova"/>
          <w:sz w:val="24"/>
          <w:szCs w:val="24"/>
        </w:rPr>
        <w:t>. Harvey et al. (1997) also showed that employers in the UK tended to value generic skills more highly than disciplinary-based understanding and skills. As mentioned above for some employers, disciplinary knowledge and understanding are vital. For instance, in the field of information technology, accreditation by major companies is competing with certificates from higher education (Adelman, 2001). For other employers, a general ‘</w:t>
      </w:r>
      <w:proofErr w:type="spellStart"/>
      <w:r w:rsidRPr="00487EA3">
        <w:rPr>
          <w:rFonts w:ascii="Arial Nova" w:hAnsi="Arial Nova"/>
          <w:sz w:val="24"/>
          <w:szCs w:val="24"/>
        </w:rPr>
        <w:t>graduateness</w:t>
      </w:r>
      <w:proofErr w:type="spellEnd"/>
      <w:r w:rsidRPr="00487EA3">
        <w:rPr>
          <w:rFonts w:ascii="Arial Nova" w:hAnsi="Arial Nova"/>
          <w:sz w:val="24"/>
          <w:szCs w:val="24"/>
        </w:rPr>
        <w:t xml:space="preserve">’ (HEQC, 1997) appears to be deemed to be </w:t>
      </w:r>
      <w:proofErr w:type="gramStart"/>
      <w:r w:rsidRPr="00487EA3">
        <w:rPr>
          <w:rFonts w:ascii="Arial Nova" w:hAnsi="Arial Nova"/>
          <w:sz w:val="24"/>
          <w:szCs w:val="24"/>
        </w:rPr>
        <w:t>sufficient</w:t>
      </w:r>
      <w:proofErr w:type="gramEnd"/>
      <w:r w:rsidRPr="00487EA3">
        <w:rPr>
          <w:rFonts w:ascii="Arial Nova" w:hAnsi="Arial Nova"/>
          <w:sz w:val="24"/>
          <w:szCs w:val="24"/>
        </w:rPr>
        <w:t xml:space="preserve">, which should be understood to include the possession of general dispositions, qualities and skills (Yorke, 2004, p.4). </w:t>
      </w:r>
    </w:p>
    <w:p w14:paraId="1CDB6A83" w14:textId="57CE991A" w:rsidR="00E65225" w:rsidRDefault="00E65225" w:rsidP="00487EA3">
      <w:pPr>
        <w:spacing w:after="0"/>
        <w:rPr>
          <w:rFonts w:ascii="Arial Nova" w:hAnsi="Arial Nova"/>
          <w:sz w:val="24"/>
          <w:szCs w:val="24"/>
        </w:rPr>
      </w:pPr>
    </w:p>
    <w:p w14:paraId="2BD44F57" w14:textId="0AF48EBB" w:rsidR="00E65225" w:rsidRDefault="00E65225" w:rsidP="00487EA3">
      <w:pPr>
        <w:spacing w:after="0"/>
        <w:rPr>
          <w:rFonts w:ascii="Arial Nova" w:hAnsi="Arial Nova"/>
          <w:sz w:val="24"/>
          <w:szCs w:val="24"/>
        </w:rPr>
      </w:pPr>
    </w:p>
    <w:p w14:paraId="63145268" w14:textId="1DAA3BA5" w:rsidR="00E65225" w:rsidRDefault="00E65225" w:rsidP="00487EA3">
      <w:pPr>
        <w:spacing w:after="0"/>
        <w:rPr>
          <w:rFonts w:ascii="Arial Nova" w:hAnsi="Arial Nova"/>
          <w:sz w:val="24"/>
          <w:szCs w:val="24"/>
        </w:rPr>
      </w:pPr>
    </w:p>
    <w:p w14:paraId="26BEF6F2" w14:textId="071458C4" w:rsidR="00E65225" w:rsidRDefault="00E65225" w:rsidP="00487EA3">
      <w:pPr>
        <w:spacing w:after="0"/>
        <w:rPr>
          <w:rFonts w:ascii="Arial Nova" w:hAnsi="Arial Nova"/>
          <w:sz w:val="24"/>
          <w:szCs w:val="24"/>
        </w:rPr>
      </w:pPr>
    </w:p>
    <w:p w14:paraId="329E092E" w14:textId="73D30977" w:rsidR="00E65225" w:rsidRDefault="00E65225" w:rsidP="00487EA3">
      <w:pPr>
        <w:spacing w:after="0"/>
        <w:rPr>
          <w:rFonts w:ascii="Arial Nova" w:hAnsi="Arial Nova"/>
          <w:sz w:val="24"/>
          <w:szCs w:val="24"/>
        </w:rPr>
      </w:pPr>
    </w:p>
    <w:p w14:paraId="021F1FAF" w14:textId="7F0F1D04" w:rsidR="00E65225" w:rsidRDefault="00E65225" w:rsidP="00487EA3">
      <w:pPr>
        <w:spacing w:after="0"/>
        <w:rPr>
          <w:rFonts w:ascii="Arial Nova" w:hAnsi="Arial Nova"/>
          <w:sz w:val="24"/>
          <w:szCs w:val="24"/>
        </w:rPr>
      </w:pPr>
    </w:p>
    <w:p w14:paraId="01D91540" w14:textId="77777777" w:rsidR="00E65225" w:rsidRPr="00487EA3" w:rsidRDefault="00E65225" w:rsidP="00487EA3">
      <w:pPr>
        <w:spacing w:after="0"/>
        <w:rPr>
          <w:rFonts w:ascii="Arial Nova" w:hAnsi="Arial Nova"/>
          <w:sz w:val="24"/>
          <w:szCs w:val="24"/>
        </w:rPr>
      </w:pPr>
    </w:p>
    <w:p w14:paraId="5C38C514" w14:textId="77777777" w:rsidR="001C380F" w:rsidRPr="00487EA3" w:rsidRDefault="001C380F" w:rsidP="00487EA3">
      <w:pPr>
        <w:spacing w:after="0"/>
        <w:rPr>
          <w:rFonts w:ascii="Arial Nova" w:hAnsi="Arial Nova"/>
          <w:sz w:val="24"/>
          <w:szCs w:val="24"/>
        </w:rPr>
      </w:pPr>
      <w:r w:rsidRPr="00487EA3">
        <w:rPr>
          <w:rFonts w:ascii="Arial Nova" w:hAnsi="Arial Nova"/>
          <w:sz w:val="24"/>
          <w:szCs w:val="24"/>
        </w:rPr>
        <w:lastRenderedPageBreak/>
        <w:t xml:space="preserve">There is a vast literature listing different employability skills as regarded important by industry, government and individuals. However, it becomes apparent that a few common themes emerge, and these </w:t>
      </w:r>
      <w:proofErr w:type="spellStart"/>
      <w:r w:rsidRPr="00487EA3">
        <w:rPr>
          <w:rFonts w:ascii="Arial Nova" w:hAnsi="Arial Nova"/>
          <w:sz w:val="24"/>
          <w:szCs w:val="24"/>
        </w:rPr>
        <w:t>emphasise</w:t>
      </w:r>
      <w:proofErr w:type="spellEnd"/>
      <w:r w:rsidRPr="00487EA3">
        <w:rPr>
          <w:rFonts w:ascii="Arial Nova" w:hAnsi="Arial Nova"/>
          <w:sz w:val="24"/>
          <w:szCs w:val="24"/>
        </w:rPr>
        <w:t xml:space="preserve"> the following: communication and interpersonal skills, time management skills, adaptability, IT and digital skills, problem solving, working under pressure and teamworking. </w:t>
      </w:r>
    </w:p>
    <w:p w14:paraId="08ED7F03" w14:textId="6A9E6483"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Communication and interpersonal skills thus relate to the ability to communicate with others </w:t>
      </w:r>
      <w:proofErr w:type="gramStart"/>
      <w:r w:rsidRPr="00487EA3">
        <w:rPr>
          <w:rFonts w:ascii="Arial Nova" w:hAnsi="Arial Nova"/>
          <w:sz w:val="24"/>
          <w:szCs w:val="24"/>
        </w:rPr>
        <w:t>in a clear and concise way</w:t>
      </w:r>
      <w:proofErr w:type="gramEnd"/>
      <w:r w:rsidRPr="00487EA3">
        <w:rPr>
          <w:rFonts w:ascii="Arial Nova" w:hAnsi="Arial Nova"/>
          <w:sz w:val="24"/>
          <w:szCs w:val="24"/>
        </w:rPr>
        <w:t xml:space="preserve"> through written and spoken means; to listen and relate to other people, and to act upon key information / instructions (University of Leeds, 2020).</w:t>
      </w:r>
    </w:p>
    <w:p w14:paraId="1A2E5B67" w14:textId="77777777"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Time management skills refer to the ability to use time in a manner which serves one’s goals by making decisions about the process of </w:t>
      </w:r>
      <w:proofErr w:type="spellStart"/>
      <w:r w:rsidRPr="00487EA3">
        <w:rPr>
          <w:rFonts w:ascii="Arial Nova" w:hAnsi="Arial Nova"/>
          <w:sz w:val="24"/>
          <w:szCs w:val="24"/>
        </w:rPr>
        <w:t>organising</w:t>
      </w:r>
      <w:proofErr w:type="spellEnd"/>
      <w:r w:rsidRPr="00487EA3">
        <w:rPr>
          <w:rFonts w:ascii="Arial Nova" w:hAnsi="Arial Nova"/>
          <w:sz w:val="24"/>
          <w:szCs w:val="24"/>
        </w:rPr>
        <w:t xml:space="preserve"> and planning time between specific activities (York University, 2020). </w:t>
      </w:r>
    </w:p>
    <w:p w14:paraId="7F753291" w14:textId="26755D4F" w:rsidR="001C380F" w:rsidRPr="00487EA3" w:rsidRDefault="001C380F" w:rsidP="00487EA3">
      <w:pPr>
        <w:spacing w:after="0"/>
        <w:rPr>
          <w:rFonts w:ascii="Arial Nova" w:hAnsi="Arial Nova"/>
          <w:sz w:val="24"/>
          <w:szCs w:val="24"/>
        </w:rPr>
      </w:pPr>
      <w:r w:rsidRPr="00487EA3">
        <w:rPr>
          <w:rFonts w:ascii="Arial Nova" w:hAnsi="Arial Nova"/>
          <w:sz w:val="24"/>
          <w:szCs w:val="24"/>
        </w:rPr>
        <w:t>Adaptability refers to how responsive one is to new information, changing conditions or circumstances; and involves commitment to making ongoing improvements in systems, processes or ways of working (University of Leeds, 2020).</w:t>
      </w:r>
    </w:p>
    <w:p w14:paraId="4E21CEB3" w14:textId="77777777"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IT and digital skills refer to the ability to use computers and software for tasks like word processing, presenting, research, retrieval and storage of information and for communicating (University of Leeds, 2020). </w:t>
      </w:r>
    </w:p>
    <w:p w14:paraId="020383C5" w14:textId="77777777"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Problem solving refers to one’s ability to understand a problem by breaking it down into smaller parts, and identifying the key issues, implications and identifying solutions; to apply knowledge from many different areas with the aim to solve a task (University of Leeds, 2020). </w:t>
      </w:r>
    </w:p>
    <w:p w14:paraId="5BE2CEC4" w14:textId="77777777"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The ability to work under pressure involves dealing with constraints which are often outside of one’s control - these might be resource or time constraints, the difficulty of the task or having insufficient knowledge required to complete the task, or unforeseen changes or problems. Effective planning and time-management capabilities are needed (to mitigate or allow for unexpected problems for example) to reduce the likelihood of </w:t>
      </w:r>
      <w:proofErr w:type="spellStart"/>
      <w:r w:rsidRPr="00487EA3">
        <w:rPr>
          <w:rFonts w:ascii="Arial Nova" w:hAnsi="Arial Nova"/>
          <w:sz w:val="24"/>
          <w:szCs w:val="24"/>
        </w:rPr>
        <w:t>pressurised</w:t>
      </w:r>
      <w:proofErr w:type="spellEnd"/>
      <w:r w:rsidRPr="00487EA3">
        <w:rPr>
          <w:rFonts w:ascii="Arial Nova" w:hAnsi="Arial Nova"/>
          <w:sz w:val="24"/>
          <w:szCs w:val="24"/>
        </w:rPr>
        <w:t xml:space="preserve"> situations occurring but will not eradicate them completely (University of Leeds, 2020).</w:t>
      </w:r>
    </w:p>
    <w:p w14:paraId="272329DF" w14:textId="2D9280BF" w:rsidR="001C380F" w:rsidRDefault="001C380F" w:rsidP="00487EA3">
      <w:pPr>
        <w:spacing w:after="0"/>
        <w:rPr>
          <w:rFonts w:ascii="Arial Nova" w:hAnsi="Arial Nova"/>
          <w:sz w:val="24"/>
          <w:szCs w:val="24"/>
        </w:rPr>
      </w:pPr>
      <w:r w:rsidRPr="00487EA3">
        <w:rPr>
          <w:rFonts w:ascii="Arial Nova" w:hAnsi="Arial Nova"/>
          <w:sz w:val="24"/>
          <w:szCs w:val="24"/>
        </w:rPr>
        <w:t xml:space="preserve">Teamworking refers to the ability to interact and co-operate with a group of people to achieve a goal. It involves hands-on working together, as well as processes of </w:t>
      </w:r>
      <w:proofErr w:type="spellStart"/>
      <w:r w:rsidRPr="00487EA3">
        <w:rPr>
          <w:rFonts w:ascii="Arial Nova" w:hAnsi="Arial Nova"/>
          <w:sz w:val="24"/>
          <w:szCs w:val="24"/>
        </w:rPr>
        <w:t>organisational</w:t>
      </w:r>
      <w:proofErr w:type="spellEnd"/>
      <w:r w:rsidRPr="00487EA3">
        <w:rPr>
          <w:rFonts w:ascii="Arial Nova" w:hAnsi="Arial Nova"/>
          <w:sz w:val="24"/>
          <w:szCs w:val="24"/>
        </w:rPr>
        <w:t xml:space="preserve"> planning, decision-making and development (University of Leeds, 2020)</w:t>
      </w:r>
      <w:r w:rsidR="00B72E86">
        <w:rPr>
          <w:rFonts w:ascii="Arial Nova" w:hAnsi="Arial Nova"/>
          <w:sz w:val="24"/>
          <w:szCs w:val="24"/>
        </w:rPr>
        <w:t>.</w:t>
      </w:r>
    </w:p>
    <w:p w14:paraId="6861FAB9" w14:textId="11DC7529" w:rsidR="00B72E86" w:rsidRDefault="00B72E86" w:rsidP="00487EA3">
      <w:pPr>
        <w:spacing w:after="0"/>
        <w:rPr>
          <w:rFonts w:ascii="Arial Nova" w:hAnsi="Arial Nova"/>
          <w:sz w:val="24"/>
          <w:szCs w:val="24"/>
        </w:rPr>
      </w:pPr>
    </w:p>
    <w:p w14:paraId="5187533A" w14:textId="4F90ADCA" w:rsidR="00B72E86" w:rsidRDefault="00B72E86" w:rsidP="00487EA3">
      <w:pPr>
        <w:spacing w:after="0"/>
        <w:rPr>
          <w:rFonts w:ascii="Arial Nova" w:hAnsi="Arial Nova"/>
          <w:sz w:val="24"/>
          <w:szCs w:val="24"/>
        </w:rPr>
      </w:pPr>
    </w:p>
    <w:p w14:paraId="7C67F06D" w14:textId="3A7F81D4" w:rsidR="00B72E86" w:rsidRDefault="00B72E86" w:rsidP="00487EA3">
      <w:pPr>
        <w:spacing w:after="0"/>
        <w:rPr>
          <w:rFonts w:ascii="Arial Nova" w:hAnsi="Arial Nova"/>
          <w:sz w:val="24"/>
          <w:szCs w:val="24"/>
        </w:rPr>
      </w:pPr>
    </w:p>
    <w:p w14:paraId="48A48226" w14:textId="6A21C75D" w:rsidR="00B72E86" w:rsidRDefault="00B72E86" w:rsidP="00487EA3">
      <w:pPr>
        <w:spacing w:after="0"/>
        <w:rPr>
          <w:rFonts w:ascii="Arial Nova" w:hAnsi="Arial Nova"/>
          <w:sz w:val="24"/>
          <w:szCs w:val="24"/>
        </w:rPr>
      </w:pPr>
    </w:p>
    <w:p w14:paraId="2CEA39A4" w14:textId="6CFB5ECE" w:rsidR="00B72E86" w:rsidRDefault="00B72E86" w:rsidP="00487EA3">
      <w:pPr>
        <w:spacing w:after="0"/>
        <w:rPr>
          <w:rFonts w:ascii="Arial Nova" w:hAnsi="Arial Nova"/>
          <w:sz w:val="24"/>
          <w:szCs w:val="24"/>
        </w:rPr>
      </w:pPr>
    </w:p>
    <w:p w14:paraId="0270E4AC" w14:textId="40015A40" w:rsidR="00A773C7" w:rsidRDefault="00A773C7" w:rsidP="00487EA3">
      <w:pPr>
        <w:spacing w:after="0"/>
        <w:rPr>
          <w:rFonts w:ascii="Arial Nova" w:hAnsi="Arial Nova"/>
          <w:sz w:val="24"/>
          <w:szCs w:val="24"/>
        </w:rPr>
      </w:pPr>
    </w:p>
    <w:p w14:paraId="0EF012D6" w14:textId="2B0F4E18" w:rsidR="00A773C7" w:rsidRDefault="00A773C7" w:rsidP="00487EA3">
      <w:pPr>
        <w:spacing w:after="0"/>
        <w:rPr>
          <w:rFonts w:ascii="Arial Nova" w:hAnsi="Arial Nova"/>
          <w:sz w:val="24"/>
          <w:szCs w:val="24"/>
        </w:rPr>
      </w:pPr>
    </w:p>
    <w:p w14:paraId="0533CAF6" w14:textId="77777777" w:rsidR="00A773C7" w:rsidRDefault="00A773C7" w:rsidP="00487EA3">
      <w:pPr>
        <w:spacing w:after="0"/>
        <w:rPr>
          <w:rFonts w:ascii="Arial Nova" w:hAnsi="Arial Nova"/>
          <w:sz w:val="24"/>
          <w:szCs w:val="24"/>
        </w:rPr>
      </w:pPr>
    </w:p>
    <w:p w14:paraId="3A19347D" w14:textId="73FF66E4" w:rsidR="00B72E86" w:rsidRDefault="00B72E86" w:rsidP="00487EA3">
      <w:pPr>
        <w:spacing w:after="0"/>
        <w:rPr>
          <w:rFonts w:ascii="Arial Nova" w:hAnsi="Arial Nova"/>
          <w:sz w:val="24"/>
          <w:szCs w:val="24"/>
        </w:rPr>
      </w:pPr>
    </w:p>
    <w:p w14:paraId="281B1D9C" w14:textId="77777777" w:rsidR="00B72E86" w:rsidRPr="00487EA3" w:rsidRDefault="00B72E86" w:rsidP="00487EA3">
      <w:pPr>
        <w:spacing w:after="0"/>
        <w:rPr>
          <w:rFonts w:ascii="Arial Nova" w:hAnsi="Arial Nova"/>
          <w:sz w:val="24"/>
          <w:szCs w:val="24"/>
        </w:rPr>
      </w:pPr>
    </w:p>
    <w:p w14:paraId="3A85EF00" w14:textId="789EB80A" w:rsidR="00E65225" w:rsidRDefault="001C380F" w:rsidP="00487EA3">
      <w:pPr>
        <w:spacing w:after="0"/>
        <w:rPr>
          <w:rFonts w:ascii="Arial Nova" w:hAnsi="Arial Nova"/>
          <w:sz w:val="24"/>
          <w:szCs w:val="24"/>
        </w:rPr>
      </w:pPr>
      <w:r w:rsidRPr="00487EA3">
        <w:rPr>
          <w:rFonts w:ascii="Arial Nova" w:hAnsi="Arial Nova"/>
          <w:sz w:val="24"/>
          <w:szCs w:val="24"/>
        </w:rPr>
        <w:lastRenderedPageBreak/>
        <w:t xml:space="preserve">These skills however have been subject to change during the past decade due to different changes in technological, political and economic landscape. </w:t>
      </w:r>
      <w:proofErr w:type="spellStart"/>
      <w:r w:rsidRPr="00487EA3">
        <w:rPr>
          <w:rFonts w:ascii="Arial Nova" w:hAnsi="Arial Nova"/>
          <w:sz w:val="24"/>
          <w:szCs w:val="24"/>
        </w:rPr>
        <w:t>Globalisation</w:t>
      </w:r>
      <w:proofErr w:type="spellEnd"/>
      <w:r w:rsidRPr="00487EA3">
        <w:rPr>
          <w:rFonts w:ascii="Arial Nova" w:hAnsi="Arial Nova"/>
          <w:sz w:val="24"/>
          <w:szCs w:val="24"/>
        </w:rPr>
        <w:t xml:space="preserve">, rapid </w:t>
      </w:r>
      <w:proofErr w:type="spellStart"/>
      <w:r w:rsidRPr="00487EA3">
        <w:rPr>
          <w:rFonts w:ascii="Arial Nova" w:hAnsi="Arial Nova"/>
          <w:sz w:val="24"/>
          <w:szCs w:val="24"/>
        </w:rPr>
        <w:t>digitalisation</w:t>
      </w:r>
      <w:proofErr w:type="spellEnd"/>
      <w:r w:rsidRPr="00487EA3">
        <w:rPr>
          <w:rFonts w:ascii="Arial Nova" w:hAnsi="Arial Nova"/>
          <w:sz w:val="24"/>
          <w:szCs w:val="24"/>
        </w:rPr>
        <w:t xml:space="preserve">, changing lifestyles and new consumer preferences mean that jobs and careers are being transformed. </w:t>
      </w:r>
    </w:p>
    <w:p w14:paraId="0B0A1360" w14:textId="0010E6EF"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The world of employment has changed significantly, technology is impacting practices and experiences, and societies are becoming more global and multicultural. With the rise of globalization, employability is becoming one of the main goals for policy makers </w:t>
      </w:r>
      <w:proofErr w:type="gramStart"/>
      <w:r w:rsidRPr="00487EA3">
        <w:rPr>
          <w:rFonts w:ascii="Arial Nova" w:hAnsi="Arial Nova"/>
          <w:sz w:val="24"/>
          <w:szCs w:val="24"/>
        </w:rPr>
        <w:t>in regard to</w:t>
      </w:r>
      <w:proofErr w:type="gramEnd"/>
      <w:r w:rsidRPr="00487EA3">
        <w:rPr>
          <w:rFonts w:ascii="Arial Nova" w:hAnsi="Arial Nova"/>
          <w:sz w:val="24"/>
          <w:szCs w:val="24"/>
        </w:rPr>
        <w:t xml:space="preserve"> education systems. New world of work is both more exciting, but also less predictable (IBEC, 2019, p.1).  Over the last decade our understanding of the “typical” worker has evolved. New roles have been created for jobs that never existed up to this point and the traditional “office” has been transformed. Technological advances, coupled with shifts in the world’s economic structures, changing demographics, and global integration mean that the world of work is almost </w:t>
      </w:r>
      <w:proofErr w:type="spellStart"/>
      <w:r w:rsidRPr="00487EA3">
        <w:rPr>
          <w:rFonts w:ascii="Arial Nova" w:hAnsi="Arial Nova"/>
          <w:sz w:val="24"/>
          <w:szCs w:val="24"/>
        </w:rPr>
        <w:t>unrecognisable</w:t>
      </w:r>
      <w:proofErr w:type="spellEnd"/>
      <w:r w:rsidRPr="00487EA3">
        <w:rPr>
          <w:rFonts w:ascii="Arial Nova" w:hAnsi="Arial Nova"/>
          <w:sz w:val="24"/>
          <w:szCs w:val="24"/>
        </w:rPr>
        <w:t xml:space="preserve"> to that of a decade ago and the pace of change shows no sign of waning (IBEC, 2019, p. 4).</w:t>
      </w:r>
    </w:p>
    <w:p w14:paraId="1C9608AB" w14:textId="77777777" w:rsidR="001C380F" w:rsidRPr="00487EA3" w:rsidRDefault="001C380F" w:rsidP="00487EA3">
      <w:pPr>
        <w:spacing w:after="0"/>
        <w:rPr>
          <w:rFonts w:ascii="Arial Nova" w:hAnsi="Arial Nova"/>
          <w:sz w:val="24"/>
          <w:szCs w:val="24"/>
        </w:rPr>
      </w:pPr>
      <w:r w:rsidRPr="00487EA3">
        <w:rPr>
          <w:rFonts w:ascii="Arial Nova" w:hAnsi="Arial Nova"/>
          <w:sz w:val="24"/>
          <w:szCs w:val="24"/>
        </w:rPr>
        <w:t xml:space="preserve">Employability skills have become an increasingly hot topic and are universally becoming more important for education, business and society. Employability’ plays a crucial role in informing </w:t>
      </w:r>
      <w:proofErr w:type="spellStart"/>
      <w:r w:rsidRPr="00487EA3">
        <w:rPr>
          <w:rFonts w:ascii="Arial Nova" w:hAnsi="Arial Nova"/>
          <w:sz w:val="24"/>
          <w:szCs w:val="24"/>
        </w:rPr>
        <w:t>labour</w:t>
      </w:r>
      <w:proofErr w:type="spellEnd"/>
      <w:r w:rsidRPr="00487EA3">
        <w:rPr>
          <w:rFonts w:ascii="Arial Nova" w:hAnsi="Arial Nova"/>
          <w:sz w:val="24"/>
          <w:szCs w:val="24"/>
        </w:rPr>
        <w:t xml:space="preserve"> market policy in the UK, the EU and beyond (Lindsay, 2009, p. 27). Moore (2007) discussed employability as a political tool used by governments to reduce the welfare state’s financial liability (Merrifield, 2013, p. 21). Within the UK, the employability discourse has become central to much policy discussion about the nature of higher education and policy measures in respect to the population’s skills (Andrews and Russell 2012; </w:t>
      </w:r>
      <w:proofErr w:type="spellStart"/>
      <w:r w:rsidRPr="00487EA3">
        <w:rPr>
          <w:rFonts w:ascii="Arial Nova" w:hAnsi="Arial Nova"/>
          <w:sz w:val="24"/>
          <w:szCs w:val="24"/>
        </w:rPr>
        <w:t>Rutt</w:t>
      </w:r>
      <w:proofErr w:type="spellEnd"/>
      <w:r w:rsidRPr="00487EA3">
        <w:rPr>
          <w:rFonts w:ascii="Arial Nova" w:hAnsi="Arial Nova"/>
          <w:sz w:val="24"/>
          <w:szCs w:val="24"/>
        </w:rPr>
        <w:t xml:space="preserve"> et al. 2013; Wilton 2014) (HEA, no date, p.14). In the last 25 years there have been a number of government reports exploring skills and education including the Tomlinson report (1996), the Leitch report (2006) and the Wolf report (2011), which states the following ”For over a quarter of a century, the British governments have been making determined attempts to enlarge, redesign and promote vocational education. They have been convinced that that this is necessary if the economy is to reach the apotheosis of ‘high skills’ equilibrium (Merrifield, 2013, p.34).</w:t>
      </w:r>
    </w:p>
    <w:p w14:paraId="42D743D7" w14:textId="4A9FCBD1" w:rsidR="001C380F" w:rsidRPr="00487EA3" w:rsidRDefault="001C380F" w:rsidP="00487EA3">
      <w:pPr>
        <w:spacing w:after="0"/>
        <w:rPr>
          <w:rFonts w:ascii="Arial Nova" w:hAnsi="Arial Nova" w:cs="Arial"/>
          <w:sz w:val="24"/>
          <w:szCs w:val="24"/>
        </w:rPr>
      </w:pPr>
      <w:r w:rsidRPr="00487EA3">
        <w:rPr>
          <w:rFonts w:ascii="Arial Nova" w:hAnsi="Arial Nova" w:cs="Arial"/>
          <w:sz w:val="24"/>
          <w:szCs w:val="24"/>
        </w:rPr>
        <w:t xml:space="preserve">In order to tackle this economic challenge different government departments have been focusing on finding a solution to this </w:t>
      </w:r>
      <w:proofErr w:type="spellStart"/>
      <w:r w:rsidRPr="00487EA3">
        <w:rPr>
          <w:rFonts w:ascii="Arial Nova" w:hAnsi="Arial Nova" w:cs="Arial"/>
          <w:sz w:val="24"/>
          <w:szCs w:val="24"/>
        </w:rPr>
        <w:t>labour</w:t>
      </w:r>
      <w:proofErr w:type="spellEnd"/>
      <w:r w:rsidRPr="00487EA3">
        <w:rPr>
          <w:rFonts w:ascii="Arial Nova" w:hAnsi="Arial Nova" w:cs="Arial"/>
          <w:sz w:val="24"/>
          <w:szCs w:val="24"/>
        </w:rPr>
        <w:t xml:space="preserve"> demand-supply problem. The Department for Education (DfE), department for Work and Pensions (DWP) and the Department for Business, Innovation and Skills (BIS) have been assigned to work together on employability related issues. BIS has a key role in raising skills levels and reducing the proportion of 18 to </w:t>
      </w:r>
      <w:r w:rsidR="004F0936" w:rsidRPr="00487EA3">
        <w:rPr>
          <w:rFonts w:ascii="Arial Nova" w:hAnsi="Arial Nova" w:cs="Arial"/>
          <w:sz w:val="24"/>
          <w:szCs w:val="24"/>
        </w:rPr>
        <w:t>24-year-olds</w:t>
      </w:r>
      <w:r w:rsidRPr="00487EA3">
        <w:rPr>
          <w:rFonts w:ascii="Arial Nova" w:hAnsi="Arial Nova" w:cs="Arial"/>
          <w:sz w:val="24"/>
          <w:szCs w:val="24"/>
        </w:rPr>
        <w:t xml:space="preserve"> who are NEET, while DWP lead on support to help unemployed 18 to </w:t>
      </w:r>
      <w:proofErr w:type="gramStart"/>
      <w:r w:rsidRPr="00487EA3">
        <w:rPr>
          <w:rFonts w:ascii="Arial Nova" w:hAnsi="Arial Nova" w:cs="Arial"/>
          <w:sz w:val="24"/>
          <w:szCs w:val="24"/>
        </w:rPr>
        <w:t>24 year-olds</w:t>
      </w:r>
      <w:proofErr w:type="gramEnd"/>
      <w:r w:rsidRPr="00487EA3">
        <w:rPr>
          <w:rFonts w:ascii="Arial Nova" w:hAnsi="Arial Nova" w:cs="Arial"/>
          <w:sz w:val="24"/>
          <w:szCs w:val="24"/>
        </w:rPr>
        <w:t xml:space="preserve"> get back into work</w:t>
      </w:r>
      <w:r w:rsidR="000A2671">
        <w:rPr>
          <w:rFonts w:ascii="Arial Nova" w:hAnsi="Arial Nova" w:cs="Arial"/>
          <w:sz w:val="24"/>
          <w:szCs w:val="24"/>
        </w:rPr>
        <w:t>.</w:t>
      </w:r>
    </w:p>
    <w:p w14:paraId="2D3D5B26" w14:textId="77777777" w:rsidR="001C380F" w:rsidRPr="001C380F" w:rsidRDefault="001C380F" w:rsidP="00487EA3">
      <w:pPr>
        <w:spacing w:after="0"/>
      </w:pPr>
    </w:p>
    <w:p w14:paraId="1CECAEAA" w14:textId="7BDD51DF" w:rsidR="003B28DC" w:rsidRDefault="003B28DC" w:rsidP="00487EA3">
      <w:pPr>
        <w:spacing w:after="0"/>
        <w:rPr>
          <w:rFonts w:asciiTheme="majorHAnsi" w:eastAsiaTheme="majorEastAsia" w:hAnsiTheme="majorHAnsi" w:cstheme="majorBidi"/>
          <w:color w:val="2F5496" w:themeColor="accent1" w:themeShade="BF"/>
          <w:sz w:val="32"/>
          <w:szCs w:val="32"/>
        </w:rPr>
      </w:pPr>
    </w:p>
    <w:p w14:paraId="749AC52E" w14:textId="708B6893" w:rsidR="000A2671" w:rsidRDefault="000A2671" w:rsidP="00487EA3">
      <w:pPr>
        <w:spacing w:after="0"/>
        <w:rPr>
          <w:rFonts w:asciiTheme="majorHAnsi" w:eastAsiaTheme="majorEastAsia" w:hAnsiTheme="majorHAnsi" w:cstheme="majorBidi"/>
          <w:color w:val="2F5496" w:themeColor="accent1" w:themeShade="BF"/>
          <w:sz w:val="32"/>
          <w:szCs w:val="32"/>
        </w:rPr>
      </w:pPr>
    </w:p>
    <w:p w14:paraId="2F37BAC7" w14:textId="169DB327" w:rsidR="000A2671" w:rsidRDefault="000A2671" w:rsidP="00487EA3">
      <w:pPr>
        <w:spacing w:after="0"/>
        <w:rPr>
          <w:rFonts w:asciiTheme="majorHAnsi" w:eastAsiaTheme="majorEastAsia" w:hAnsiTheme="majorHAnsi" w:cstheme="majorBidi"/>
          <w:color w:val="2F5496" w:themeColor="accent1" w:themeShade="BF"/>
          <w:sz w:val="32"/>
          <w:szCs w:val="32"/>
        </w:rPr>
      </w:pPr>
    </w:p>
    <w:p w14:paraId="3AEE98DD" w14:textId="0B2401A8" w:rsidR="000A2671" w:rsidRDefault="000A2671" w:rsidP="00487EA3">
      <w:pPr>
        <w:spacing w:after="0"/>
        <w:rPr>
          <w:rFonts w:asciiTheme="majorHAnsi" w:eastAsiaTheme="majorEastAsia" w:hAnsiTheme="majorHAnsi" w:cstheme="majorBidi"/>
          <w:color w:val="2F5496" w:themeColor="accent1" w:themeShade="BF"/>
          <w:sz w:val="32"/>
          <w:szCs w:val="32"/>
        </w:rPr>
      </w:pPr>
    </w:p>
    <w:p w14:paraId="1A8B2FED" w14:textId="77777777" w:rsidR="000A2671" w:rsidRDefault="000A2671" w:rsidP="00487EA3">
      <w:pPr>
        <w:spacing w:after="0"/>
        <w:rPr>
          <w:rFonts w:asciiTheme="majorHAnsi" w:eastAsiaTheme="majorEastAsia" w:hAnsiTheme="majorHAnsi" w:cstheme="majorBidi"/>
          <w:color w:val="2F5496" w:themeColor="accent1" w:themeShade="BF"/>
          <w:sz w:val="32"/>
          <w:szCs w:val="32"/>
        </w:rPr>
      </w:pPr>
    </w:p>
    <w:p w14:paraId="0DC1BBCD" w14:textId="277D2D08" w:rsidR="00CA0393" w:rsidRDefault="00CA0393" w:rsidP="00487EA3">
      <w:pPr>
        <w:pStyle w:val="Heading1"/>
        <w:spacing w:before="0"/>
      </w:pPr>
      <w:bookmarkStart w:id="3" w:name="_Toc36226275"/>
      <w:r>
        <w:lastRenderedPageBreak/>
        <w:t>Conclusion</w:t>
      </w:r>
      <w:bookmarkEnd w:id="3"/>
    </w:p>
    <w:p w14:paraId="08354980" w14:textId="77777777" w:rsidR="00EF7156" w:rsidRPr="00EF7156" w:rsidRDefault="00EF7156" w:rsidP="00EF7156"/>
    <w:p w14:paraId="5B4E0825" w14:textId="77777777" w:rsidR="00EF7156" w:rsidRDefault="001C380F" w:rsidP="00487EA3">
      <w:pPr>
        <w:spacing w:after="0"/>
        <w:rPr>
          <w:rFonts w:ascii="Arial Nova" w:hAnsi="Arial Nova"/>
          <w:sz w:val="24"/>
          <w:szCs w:val="24"/>
        </w:rPr>
      </w:pPr>
      <w:r w:rsidRPr="002D5CC3">
        <w:rPr>
          <w:rFonts w:ascii="Arial Nova" w:hAnsi="Arial Nova"/>
          <w:sz w:val="24"/>
          <w:szCs w:val="24"/>
        </w:rPr>
        <w:t xml:space="preserve">The importance the UK government places on the population’s employability skills is also reflected in government’s Industrial Strategy Green Paper (2017) which references the need for our young people to be able to develop skills required for the highly paid, highly skilled jobs of the future. Skills form one of the strategy’s ten pillars for growth, with the paper </w:t>
      </w:r>
      <w:proofErr w:type="spellStart"/>
      <w:r w:rsidRPr="002D5CC3">
        <w:rPr>
          <w:rFonts w:ascii="Arial Nova" w:hAnsi="Arial Nova"/>
          <w:sz w:val="24"/>
          <w:szCs w:val="24"/>
        </w:rPr>
        <w:t>recognising</w:t>
      </w:r>
      <w:proofErr w:type="spellEnd"/>
      <w:r w:rsidRPr="002D5CC3">
        <w:rPr>
          <w:rFonts w:ascii="Arial Nova" w:hAnsi="Arial Nova"/>
          <w:sz w:val="24"/>
          <w:szCs w:val="24"/>
        </w:rPr>
        <w:t xml:space="preserve"> a mismatch between what young people are being taught and the skills which employers are seeking in candidates (Youth employment UK, 2017, p. 4). </w:t>
      </w:r>
    </w:p>
    <w:p w14:paraId="7299D62D" w14:textId="77777777" w:rsidR="00EF7156" w:rsidRDefault="001C380F" w:rsidP="00487EA3">
      <w:pPr>
        <w:spacing w:after="0"/>
        <w:rPr>
          <w:rFonts w:ascii="Arial Nova" w:hAnsi="Arial Nova"/>
          <w:sz w:val="24"/>
          <w:szCs w:val="24"/>
        </w:rPr>
      </w:pPr>
      <w:r w:rsidRPr="002D5CC3">
        <w:rPr>
          <w:rFonts w:ascii="Arial Nova" w:hAnsi="Arial Nova"/>
          <w:sz w:val="24"/>
          <w:szCs w:val="24"/>
        </w:rPr>
        <w:t xml:space="preserve">Ensuring that graduates are employed once they complete their studies represents one kind of policy goal and ensuring that their skills are effectively used is another (Lowden et all, 2011). </w:t>
      </w:r>
    </w:p>
    <w:p w14:paraId="18F1A118" w14:textId="77777777" w:rsidR="00B67B1F" w:rsidRDefault="001C380F" w:rsidP="00487EA3">
      <w:pPr>
        <w:spacing w:after="0"/>
        <w:rPr>
          <w:rFonts w:ascii="Arial Nova" w:hAnsi="Arial Nova"/>
          <w:sz w:val="24"/>
          <w:szCs w:val="24"/>
        </w:rPr>
      </w:pPr>
      <w:r w:rsidRPr="002D5CC3">
        <w:rPr>
          <w:rFonts w:ascii="Arial Nova" w:hAnsi="Arial Nova"/>
          <w:sz w:val="24"/>
          <w:szCs w:val="24"/>
        </w:rPr>
        <w:t xml:space="preserve"> Harvey et al suggests that this reflects a cultural shift in higher education concerning ‘taking employability more seriously’. Increasingly, the importance of promoting employability skills and attributes has also been directed at the Higher Education sector, often in response to concerns from employers and their representative </w:t>
      </w:r>
      <w:proofErr w:type="spellStart"/>
      <w:r w:rsidRPr="002D5CC3">
        <w:rPr>
          <w:rFonts w:ascii="Arial Nova" w:hAnsi="Arial Nova"/>
          <w:sz w:val="24"/>
          <w:szCs w:val="24"/>
        </w:rPr>
        <w:t>organisations</w:t>
      </w:r>
      <w:proofErr w:type="spellEnd"/>
      <w:r w:rsidRPr="002D5CC3">
        <w:rPr>
          <w:rFonts w:ascii="Arial Nova" w:hAnsi="Arial Nova"/>
          <w:sz w:val="24"/>
          <w:szCs w:val="24"/>
        </w:rPr>
        <w:t xml:space="preserve"> such as the CBI (Lowden et all, 2011, p. 7).</w:t>
      </w:r>
    </w:p>
    <w:p w14:paraId="14943E37" w14:textId="02EFB83D" w:rsidR="00EF7156" w:rsidRDefault="001C380F" w:rsidP="00487EA3">
      <w:pPr>
        <w:spacing w:after="0"/>
        <w:rPr>
          <w:rFonts w:ascii="Arial Nova" w:hAnsi="Arial Nova"/>
          <w:sz w:val="24"/>
          <w:szCs w:val="24"/>
        </w:rPr>
      </w:pPr>
      <w:r w:rsidRPr="002D5CC3">
        <w:rPr>
          <w:rFonts w:ascii="Arial Nova" w:hAnsi="Arial Nova"/>
          <w:sz w:val="24"/>
          <w:szCs w:val="24"/>
        </w:rPr>
        <w:t xml:space="preserve">Various government funded </w:t>
      </w:r>
      <w:proofErr w:type="spellStart"/>
      <w:r w:rsidRPr="002D5CC3">
        <w:rPr>
          <w:rFonts w:ascii="Arial Nova" w:hAnsi="Arial Nova"/>
          <w:sz w:val="24"/>
          <w:szCs w:val="24"/>
        </w:rPr>
        <w:t>program</w:t>
      </w:r>
      <w:r w:rsidR="005F7A3F">
        <w:rPr>
          <w:rFonts w:ascii="Arial Nova" w:hAnsi="Arial Nova"/>
          <w:sz w:val="24"/>
          <w:szCs w:val="24"/>
        </w:rPr>
        <w:t>m</w:t>
      </w:r>
      <w:r w:rsidRPr="002D5CC3">
        <w:rPr>
          <w:rFonts w:ascii="Arial Nova" w:hAnsi="Arial Nova"/>
          <w:sz w:val="24"/>
          <w:szCs w:val="24"/>
        </w:rPr>
        <w:t>es</w:t>
      </w:r>
      <w:proofErr w:type="spellEnd"/>
      <w:r w:rsidRPr="002D5CC3">
        <w:rPr>
          <w:rFonts w:ascii="Arial Nova" w:hAnsi="Arial Nova"/>
          <w:sz w:val="24"/>
          <w:szCs w:val="24"/>
        </w:rPr>
        <w:t xml:space="preserve"> have therefore motivated universities to </w:t>
      </w:r>
      <w:proofErr w:type="spellStart"/>
      <w:r w:rsidRPr="002D5CC3">
        <w:rPr>
          <w:rFonts w:ascii="Arial Nova" w:hAnsi="Arial Nova"/>
          <w:sz w:val="24"/>
          <w:szCs w:val="24"/>
        </w:rPr>
        <w:t>prioritise</w:t>
      </w:r>
      <w:proofErr w:type="spellEnd"/>
      <w:r w:rsidRPr="002D5CC3">
        <w:rPr>
          <w:rFonts w:ascii="Arial Nova" w:hAnsi="Arial Nova"/>
          <w:sz w:val="24"/>
          <w:szCs w:val="24"/>
        </w:rPr>
        <w:t xml:space="preserve"> initiatives aimed at enhancing their graduates’ employability skills. In addition, universities are being encouraged to engage more with employers and facilitate their greater involvement in curricular design and development, with a view to better prepare students for the world of work. </w:t>
      </w:r>
    </w:p>
    <w:p w14:paraId="7B75E731" w14:textId="642CF988" w:rsidR="001C380F" w:rsidRPr="002D5CC3" w:rsidRDefault="001C380F" w:rsidP="00487EA3">
      <w:pPr>
        <w:spacing w:after="0"/>
        <w:rPr>
          <w:rFonts w:ascii="Arial Nova" w:hAnsi="Arial Nova"/>
          <w:sz w:val="24"/>
          <w:szCs w:val="24"/>
        </w:rPr>
      </w:pPr>
      <w:r w:rsidRPr="002D5CC3">
        <w:rPr>
          <w:rFonts w:ascii="Arial Nova" w:hAnsi="Arial Nova"/>
          <w:sz w:val="24"/>
          <w:szCs w:val="24"/>
        </w:rPr>
        <w:t xml:space="preserve">For the past decade universities have therefore highlighted the importance of placements, internships and </w:t>
      </w:r>
      <w:r w:rsidR="00B67B1F" w:rsidRPr="002D5CC3">
        <w:rPr>
          <w:rFonts w:ascii="Arial Nova" w:hAnsi="Arial Nova"/>
          <w:sz w:val="24"/>
          <w:szCs w:val="24"/>
        </w:rPr>
        <w:t>work-based</w:t>
      </w:r>
      <w:r w:rsidRPr="002D5CC3">
        <w:rPr>
          <w:rFonts w:ascii="Arial Nova" w:hAnsi="Arial Nova"/>
          <w:sz w:val="24"/>
          <w:szCs w:val="24"/>
        </w:rPr>
        <w:t xml:space="preserve"> learning opportunities as an effective way of providing university students with relevant employment skills, knowledge and awareness of employer culture (Lees, no date; Lowden, 2013).</w:t>
      </w:r>
    </w:p>
    <w:p w14:paraId="1079B0B8" w14:textId="7B8EFF6C" w:rsidR="00EF7156" w:rsidRDefault="001C380F" w:rsidP="00487EA3">
      <w:pPr>
        <w:spacing w:after="0"/>
        <w:rPr>
          <w:rFonts w:ascii="Arial Nova" w:hAnsi="Arial Nova"/>
          <w:sz w:val="24"/>
          <w:szCs w:val="24"/>
        </w:rPr>
      </w:pPr>
      <w:r w:rsidRPr="002D5CC3">
        <w:rPr>
          <w:rFonts w:ascii="Arial Nova" w:hAnsi="Arial Nova"/>
          <w:sz w:val="24"/>
          <w:szCs w:val="24"/>
        </w:rPr>
        <w:t xml:space="preserve">Technology has also lowered the cost of international communication between businesses and workforces, allowing for production processes to be offshored to the most cost-effective location. This has enabled employees to </w:t>
      </w:r>
      <w:proofErr w:type="spellStart"/>
      <w:r w:rsidRPr="002D5CC3">
        <w:rPr>
          <w:rFonts w:ascii="Arial Nova" w:hAnsi="Arial Nova"/>
          <w:sz w:val="24"/>
          <w:szCs w:val="24"/>
        </w:rPr>
        <w:t>realise</w:t>
      </w:r>
      <w:proofErr w:type="spellEnd"/>
      <w:r w:rsidRPr="002D5CC3">
        <w:rPr>
          <w:rFonts w:ascii="Arial Nova" w:hAnsi="Arial Nova"/>
          <w:sz w:val="24"/>
          <w:szCs w:val="24"/>
        </w:rPr>
        <w:t xml:space="preserve"> that learning doesn’t stop with college or university and that lifelong learning is essential to remain relevant and successful in today’s world of work; and shift their </w:t>
      </w:r>
      <w:proofErr w:type="spellStart"/>
      <w:r w:rsidRPr="002D5CC3">
        <w:rPr>
          <w:rFonts w:ascii="Arial Nova" w:hAnsi="Arial Nova"/>
          <w:sz w:val="24"/>
          <w:szCs w:val="24"/>
        </w:rPr>
        <w:t>centre</w:t>
      </w:r>
      <w:proofErr w:type="spellEnd"/>
      <w:r w:rsidRPr="002D5CC3">
        <w:rPr>
          <w:rFonts w:ascii="Arial Nova" w:hAnsi="Arial Nova"/>
          <w:sz w:val="24"/>
          <w:szCs w:val="24"/>
        </w:rPr>
        <w:t xml:space="preserve"> of attention to different skills required by employees in today’s time (HAYS, 2019). </w:t>
      </w:r>
    </w:p>
    <w:p w14:paraId="75333E94" w14:textId="37E9C7B9" w:rsidR="001C380F" w:rsidRPr="002D5CC3" w:rsidRDefault="001C380F" w:rsidP="00487EA3">
      <w:pPr>
        <w:spacing w:after="0"/>
        <w:rPr>
          <w:rFonts w:ascii="Arial Nova" w:hAnsi="Arial Nova"/>
          <w:sz w:val="24"/>
          <w:szCs w:val="24"/>
        </w:rPr>
      </w:pPr>
      <w:r w:rsidRPr="002D5CC3">
        <w:rPr>
          <w:rFonts w:ascii="Arial Nova" w:hAnsi="Arial Nova"/>
          <w:sz w:val="24"/>
          <w:szCs w:val="24"/>
        </w:rPr>
        <w:t xml:space="preserve">In this way employability skills become the new job security, enabling individuals to move successfully within the wider </w:t>
      </w:r>
      <w:proofErr w:type="spellStart"/>
      <w:r w:rsidRPr="002D5CC3">
        <w:rPr>
          <w:rFonts w:ascii="Arial Nova" w:hAnsi="Arial Nova"/>
          <w:sz w:val="24"/>
          <w:szCs w:val="24"/>
        </w:rPr>
        <w:t>labour</w:t>
      </w:r>
      <w:proofErr w:type="spellEnd"/>
      <w:r w:rsidRPr="002D5CC3">
        <w:rPr>
          <w:rFonts w:ascii="Arial Nova" w:hAnsi="Arial Nova"/>
          <w:sz w:val="24"/>
          <w:szCs w:val="24"/>
        </w:rPr>
        <w:t xml:space="preserve"> market (</w:t>
      </w:r>
      <w:proofErr w:type="spellStart"/>
      <w:r w:rsidRPr="002D5CC3">
        <w:rPr>
          <w:rFonts w:ascii="Arial Nova" w:hAnsi="Arial Nova"/>
          <w:sz w:val="24"/>
          <w:szCs w:val="24"/>
        </w:rPr>
        <w:t>Tamkin</w:t>
      </w:r>
      <w:proofErr w:type="spellEnd"/>
      <w:r w:rsidRPr="002D5CC3">
        <w:rPr>
          <w:rFonts w:ascii="Arial Nova" w:hAnsi="Arial Nova"/>
          <w:sz w:val="24"/>
          <w:szCs w:val="24"/>
        </w:rPr>
        <w:t xml:space="preserve"> and </w:t>
      </w:r>
      <w:proofErr w:type="spellStart"/>
      <w:r w:rsidRPr="002D5CC3">
        <w:rPr>
          <w:rFonts w:ascii="Arial Nova" w:hAnsi="Arial Nova"/>
          <w:sz w:val="24"/>
          <w:szCs w:val="24"/>
        </w:rPr>
        <w:t>Hillage</w:t>
      </w:r>
      <w:proofErr w:type="spellEnd"/>
      <w:r w:rsidRPr="002D5CC3">
        <w:rPr>
          <w:rFonts w:ascii="Arial Nova" w:hAnsi="Arial Nova"/>
          <w:sz w:val="24"/>
          <w:szCs w:val="24"/>
        </w:rPr>
        <w:t xml:space="preserve">, no date, p. 11). </w:t>
      </w:r>
    </w:p>
    <w:p w14:paraId="10EDBB53" w14:textId="77777777" w:rsidR="00E65225" w:rsidRDefault="001C380F" w:rsidP="00487EA3">
      <w:pPr>
        <w:spacing w:after="0"/>
        <w:rPr>
          <w:rFonts w:ascii="Arial Nova" w:hAnsi="Arial Nova"/>
          <w:sz w:val="24"/>
          <w:szCs w:val="24"/>
        </w:rPr>
      </w:pPr>
      <w:r w:rsidRPr="002D5CC3">
        <w:rPr>
          <w:rFonts w:ascii="Arial Nova" w:hAnsi="Arial Nova"/>
          <w:sz w:val="24"/>
          <w:szCs w:val="24"/>
        </w:rPr>
        <w:t>Skills can also quickly become outdated and outmoded.</w:t>
      </w:r>
    </w:p>
    <w:p w14:paraId="2675F6C3" w14:textId="7891EAE8" w:rsidR="00EF7156" w:rsidRDefault="001C380F" w:rsidP="00487EA3">
      <w:pPr>
        <w:spacing w:after="0"/>
        <w:rPr>
          <w:rFonts w:ascii="Arial Nova" w:hAnsi="Arial Nova"/>
          <w:sz w:val="24"/>
          <w:szCs w:val="24"/>
        </w:rPr>
      </w:pPr>
      <w:r w:rsidRPr="002D5CC3">
        <w:rPr>
          <w:rFonts w:ascii="Arial Nova" w:hAnsi="Arial Nova"/>
          <w:sz w:val="24"/>
          <w:szCs w:val="24"/>
        </w:rPr>
        <w:t xml:space="preserve">Therefore, individuals need to think of employability skills as those skills and qualities required to ensure they remain and succeed in the </w:t>
      </w:r>
      <w:proofErr w:type="spellStart"/>
      <w:r w:rsidRPr="002D5CC3">
        <w:rPr>
          <w:rFonts w:ascii="Arial Nova" w:hAnsi="Arial Nova"/>
          <w:sz w:val="24"/>
          <w:szCs w:val="24"/>
        </w:rPr>
        <w:t>labour</w:t>
      </w:r>
      <w:proofErr w:type="spellEnd"/>
      <w:r w:rsidRPr="002D5CC3">
        <w:rPr>
          <w:rFonts w:ascii="Arial Nova" w:hAnsi="Arial Nova"/>
          <w:sz w:val="24"/>
          <w:szCs w:val="24"/>
        </w:rPr>
        <w:t xml:space="preserve"> market. </w:t>
      </w:r>
    </w:p>
    <w:p w14:paraId="065B4E4F" w14:textId="4E355CE2" w:rsidR="00EF7156" w:rsidRDefault="001C380F" w:rsidP="00487EA3">
      <w:pPr>
        <w:spacing w:after="0"/>
        <w:rPr>
          <w:rFonts w:ascii="Arial Nova" w:hAnsi="Arial Nova"/>
          <w:sz w:val="24"/>
          <w:szCs w:val="24"/>
        </w:rPr>
      </w:pPr>
      <w:r w:rsidRPr="002D5CC3">
        <w:rPr>
          <w:rFonts w:ascii="Arial Nova" w:hAnsi="Arial Nova"/>
          <w:sz w:val="24"/>
          <w:szCs w:val="24"/>
        </w:rPr>
        <w:t>Prowess in areas such as teamwork, communication and conflict management are "evergreen," Backman said, but technology skills can change every six months (</w:t>
      </w:r>
      <w:proofErr w:type="spellStart"/>
      <w:r w:rsidRPr="002D5CC3">
        <w:rPr>
          <w:rFonts w:ascii="Arial Nova" w:hAnsi="Arial Nova"/>
          <w:sz w:val="24"/>
          <w:szCs w:val="24"/>
        </w:rPr>
        <w:t>EducationDive</w:t>
      </w:r>
      <w:proofErr w:type="spellEnd"/>
      <w:r w:rsidRPr="002D5CC3">
        <w:rPr>
          <w:rFonts w:ascii="Arial Nova" w:hAnsi="Arial Nova"/>
          <w:sz w:val="24"/>
          <w:szCs w:val="24"/>
        </w:rPr>
        <w:t xml:space="preserve">, 2019). </w:t>
      </w:r>
    </w:p>
    <w:p w14:paraId="70393698" w14:textId="77777777" w:rsidR="00D25937" w:rsidRDefault="00D25937" w:rsidP="00487EA3">
      <w:pPr>
        <w:spacing w:after="0"/>
        <w:rPr>
          <w:rFonts w:ascii="Arial Nova" w:hAnsi="Arial Nova"/>
          <w:sz w:val="24"/>
          <w:szCs w:val="24"/>
        </w:rPr>
      </w:pPr>
    </w:p>
    <w:p w14:paraId="2DEE44F9" w14:textId="77777777" w:rsidR="00EF7156" w:rsidRDefault="001C380F" w:rsidP="00487EA3">
      <w:pPr>
        <w:spacing w:after="0"/>
        <w:rPr>
          <w:rFonts w:ascii="Arial Nova" w:hAnsi="Arial Nova"/>
          <w:sz w:val="24"/>
          <w:szCs w:val="24"/>
        </w:rPr>
      </w:pPr>
      <w:r w:rsidRPr="002D5CC3">
        <w:rPr>
          <w:rFonts w:ascii="Arial Nova" w:hAnsi="Arial Nova"/>
          <w:sz w:val="24"/>
          <w:szCs w:val="24"/>
        </w:rPr>
        <w:lastRenderedPageBreak/>
        <w:t xml:space="preserve">The world of work will be transformed as we enter what some have called the ‘forth industrial revolution. New technologies and social media platforms are driving an unprecedented reorganization of how we produce and recreate value (Prescott, 2016, p. 362). </w:t>
      </w:r>
    </w:p>
    <w:p w14:paraId="1F5403A2" w14:textId="77777777" w:rsidR="00EF7156" w:rsidRDefault="001C380F" w:rsidP="00487EA3">
      <w:pPr>
        <w:spacing w:after="0"/>
        <w:rPr>
          <w:rFonts w:ascii="Arial Nova" w:hAnsi="Arial Nova" w:cs="Arial"/>
          <w:sz w:val="24"/>
          <w:szCs w:val="24"/>
        </w:rPr>
      </w:pPr>
      <w:r w:rsidRPr="002D5CC3">
        <w:rPr>
          <w:rFonts w:ascii="Arial Nova" w:hAnsi="Arial Nova" w:cs="Arial"/>
          <w:sz w:val="24"/>
          <w:szCs w:val="24"/>
        </w:rPr>
        <w:t xml:space="preserve">To reflect this, in 2017 the IGD announced the eight essential employability skills of the future. This announcement was the result of their own review of literature available, along with the conduction of surveys and interviews with their members. The essential employability skills the IGD identified were named as: entrepreneurial, time management, teamwork, communication, leadership, digital competency, emotional intelligence and resilience, and analytical skills (Youth Employment UK, 2017, p. 9). </w:t>
      </w:r>
    </w:p>
    <w:p w14:paraId="2DB22734" w14:textId="2C0BDE72" w:rsidR="00084019" w:rsidRDefault="001C380F" w:rsidP="00487EA3">
      <w:pPr>
        <w:spacing w:after="0"/>
        <w:rPr>
          <w:rFonts w:ascii="Arial Nova" w:hAnsi="Arial Nova" w:cs="Arial"/>
          <w:sz w:val="24"/>
          <w:szCs w:val="24"/>
        </w:rPr>
      </w:pPr>
      <w:r w:rsidRPr="002D5CC3">
        <w:rPr>
          <w:rFonts w:ascii="Arial Nova" w:hAnsi="Arial Nova" w:cs="Arial"/>
          <w:sz w:val="24"/>
          <w:szCs w:val="24"/>
        </w:rPr>
        <w:t xml:space="preserve">It thus becomes apparent that most of the skills, such as soft skills have remained the same over the past decade. However, there are new skills which require more attention nowadays compared to 10 years ago, skills such as emotional intelligence and resilience, digital competency and effective time management. </w:t>
      </w:r>
    </w:p>
    <w:p w14:paraId="73B95F01" w14:textId="77777777" w:rsidR="00084019" w:rsidRDefault="001C380F" w:rsidP="00487EA3">
      <w:pPr>
        <w:spacing w:after="0"/>
        <w:rPr>
          <w:rFonts w:ascii="Arial Nova" w:hAnsi="Arial Nova" w:cs="Arial"/>
          <w:sz w:val="24"/>
          <w:szCs w:val="24"/>
        </w:rPr>
      </w:pPr>
      <w:r w:rsidRPr="002D5CC3">
        <w:rPr>
          <w:rFonts w:ascii="Arial Nova" w:hAnsi="Arial Nova" w:cs="Arial"/>
          <w:sz w:val="24"/>
          <w:szCs w:val="24"/>
        </w:rPr>
        <w:t xml:space="preserve"> </w:t>
      </w:r>
      <w:proofErr w:type="spellStart"/>
      <w:r w:rsidRPr="002D5CC3">
        <w:rPr>
          <w:rFonts w:ascii="Arial Nova" w:hAnsi="Arial Nova" w:cs="Arial"/>
          <w:sz w:val="24"/>
          <w:szCs w:val="24"/>
        </w:rPr>
        <w:t>Dacre</w:t>
      </w:r>
      <w:proofErr w:type="spellEnd"/>
      <w:r w:rsidRPr="002D5CC3">
        <w:rPr>
          <w:rFonts w:ascii="Arial Nova" w:hAnsi="Arial Nova" w:cs="Arial"/>
          <w:sz w:val="24"/>
          <w:szCs w:val="24"/>
        </w:rPr>
        <w:t xml:space="preserve"> Pool and </w:t>
      </w:r>
      <w:proofErr w:type="spellStart"/>
      <w:r w:rsidRPr="002D5CC3">
        <w:rPr>
          <w:rFonts w:ascii="Arial Nova" w:hAnsi="Arial Nova" w:cs="Arial"/>
          <w:sz w:val="24"/>
          <w:szCs w:val="24"/>
        </w:rPr>
        <w:t>Qualter</w:t>
      </w:r>
      <w:proofErr w:type="spellEnd"/>
      <w:r w:rsidRPr="002D5CC3">
        <w:rPr>
          <w:rFonts w:ascii="Arial Nova" w:hAnsi="Arial Nova" w:cs="Arial"/>
          <w:sz w:val="24"/>
          <w:szCs w:val="24"/>
        </w:rPr>
        <w:t xml:space="preserve"> (2012) described emotional intelligence as: knowledge of emotions and strategies to deal with emotional situations; actual abilities in relation to emotional functioning; personality in dealing with emotions; and self-efficacy in relation to emotional functioning (</w:t>
      </w:r>
      <w:proofErr w:type="spellStart"/>
      <w:r w:rsidRPr="002D5CC3">
        <w:rPr>
          <w:rFonts w:ascii="Arial Nova" w:hAnsi="Arial Nova" w:cs="Arial"/>
          <w:sz w:val="24"/>
          <w:szCs w:val="24"/>
        </w:rPr>
        <w:t>Dacre</w:t>
      </w:r>
      <w:proofErr w:type="spellEnd"/>
      <w:r w:rsidRPr="002D5CC3">
        <w:rPr>
          <w:rFonts w:ascii="Arial Nova" w:hAnsi="Arial Nova" w:cs="Arial"/>
          <w:sz w:val="24"/>
          <w:szCs w:val="24"/>
        </w:rPr>
        <w:t xml:space="preserve"> Pool and </w:t>
      </w:r>
      <w:proofErr w:type="spellStart"/>
      <w:r w:rsidRPr="002D5CC3">
        <w:rPr>
          <w:rFonts w:ascii="Arial Nova" w:hAnsi="Arial Nova" w:cs="Arial"/>
          <w:sz w:val="24"/>
          <w:szCs w:val="24"/>
        </w:rPr>
        <w:t>Qualter</w:t>
      </w:r>
      <w:proofErr w:type="spellEnd"/>
      <w:r w:rsidRPr="002D5CC3">
        <w:rPr>
          <w:rFonts w:ascii="Arial Nova" w:hAnsi="Arial Nova" w:cs="Arial"/>
          <w:sz w:val="24"/>
          <w:szCs w:val="24"/>
        </w:rPr>
        <w:t xml:space="preserve"> 2012, p. 307). </w:t>
      </w:r>
    </w:p>
    <w:p w14:paraId="0A83273E" w14:textId="55A3B288" w:rsidR="00EF7156" w:rsidRDefault="001C380F" w:rsidP="00487EA3">
      <w:pPr>
        <w:spacing w:after="0"/>
        <w:rPr>
          <w:rFonts w:ascii="Arial Nova" w:hAnsi="Arial Nova" w:cs="Arial"/>
          <w:sz w:val="24"/>
          <w:szCs w:val="24"/>
        </w:rPr>
      </w:pPr>
      <w:r w:rsidRPr="002D5CC3">
        <w:rPr>
          <w:rFonts w:ascii="Arial Nova" w:hAnsi="Arial Nova" w:cs="Arial"/>
          <w:sz w:val="24"/>
          <w:szCs w:val="24"/>
        </w:rPr>
        <w:t xml:space="preserve">Digital competency is </w:t>
      </w:r>
      <w:proofErr w:type="gramStart"/>
      <w:r w:rsidRPr="002D5CC3">
        <w:rPr>
          <w:rFonts w:ascii="Arial Nova" w:hAnsi="Arial Nova" w:cs="Arial"/>
          <w:sz w:val="24"/>
          <w:szCs w:val="24"/>
        </w:rPr>
        <w:t>being seen as</w:t>
      </w:r>
      <w:proofErr w:type="gramEnd"/>
      <w:r w:rsidRPr="002D5CC3">
        <w:rPr>
          <w:rFonts w:ascii="Arial Nova" w:hAnsi="Arial Nova" w:cs="Arial"/>
          <w:sz w:val="24"/>
          <w:szCs w:val="24"/>
        </w:rPr>
        <w:t xml:space="preserve"> a vital skill in today’s times in light of the advances in technology infrastructure. </w:t>
      </w:r>
    </w:p>
    <w:p w14:paraId="4C107E2F" w14:textId="552329B5" w:rsidR="001C380F" w:rsidRPr="002D5CC3" w:rsidRDefault="001C380F" w:rsidP="00487EA3">
      <w:pPr>
        <w:spacing w:after="0"/>
        <w:rPr>
          <w:rFonts w:ascii="Arial Nova" w:hAnsi="Arial Nova" w:cs="Arial"/>
          <w:sz w:val="24"/>
          <w:szCs w:val="24"/>
        </w:rPr>
      </w:pPr>
      <w:r w:rsidRPr="002D5CC3">
        <w:rPr>
          <w:rFonts w:ascii="Arial Nova" w:hAnsi="Arial Nova" w:cs="Arial"/>
          <w:sz w:val="24"/>
          <w:szCs w:val="24"/>
        </w:rPr>
        <w:t xml:space="preserve">These refer </w:t>
      </w:r>
      <w:r w:rsidRPr="002D5CC3">
        <w:rPr>
          <w:rFonts w:ascii="Arial Nova" w:hAnsi="Arial Nova" w:cs="Arial"/>
          <w:color w:val="222222"/>
          <w:sz w:val="24"/>
          <w:szCs w:val="24"/>
          <w:shd w:val="clear" w:color="auto" w:fill="FFFFFF"/>
        </w:rPr>
        <w:t xml:space="preserve">to the confident and critical usage of the full range of digital technologies for information, communication and basic problem-solving in all aspects of work-life. Although time management skills have been equally important over the past years, more emphasis is being crucial to one’s ability to succeed in a </w:t>
      </w:r>
      <w:r w:rsidR="007F0288" w:rsidRPr="002D5CC3">
        <w:rPr>
          <w:rFonts w:ascii="Arial Nova" w:hAnsi="Arial Nova" w:cs="Arial"/>
          <w:color w:val="222222"/>
          <w:sz w:val="24"/>
          <w:szCs w:val="24"/>
          <w:shd w:val="clear" w:color="auto" w:fill="FFFFFF"/>
        </w:rPr>
        <w:t>fast-paced</w:t>
      </w:r>
      <w:r w:rsidRPr="002D5CC3">
        <w:rPr>
          <w:rFonts w:ascii="Arial Nova" w:hAnsi="Arial Nova" w:cs="Arial"/>
          <w:color w:val="222222"/>
          <w:sz w:val="24"/>
          <w:szCs w:val="24"/>
          <w:shd w:val="clear" w:color="auto" w:fill="FFFFFF"/>
        </w:rPr>
        <w:t xml:space="preserve"> working environment (HEA, no date, pp 10-40). </w:t>
      </w:r>
    </w:p>
    <w:p w14:paraId="43E022AF" w14:textId="77777777" w:rsidR="008B3644" w:rsidRDefault="001C380F" w:rsidP="00487EA3">
      <w:pPr>
        <w:spacing w:after="0"/>
        <w:rPr>
          <w:rFonts w:ascii="Arial Nova" w:eastAsia="Times New Roman" w:hAnsi="Arial Nova" w:cs="Arial"/>
          <w:color w:val="000000"/>
          <w:sz w:val="24"/>
          <w:szCs w:val="24"/>
          <w:lang w:eastAsia="en-GB"/>
        </w:rPr>
      </w:pPr>
      <w:r w:rsidRPr="002D5CC3">
        <w:rPr>
          <w:rFonts w:ascii="Arial Nova" w:eastAsia="Times New Roman" w:hAnsi="Arial Nova" w:cs="Arial"/>
          <w:color w:val="000000"/>
          <w:sz w:val="24"/>
          <w:szCs w:val="24"/>
          <w:lang w:eastAsia="en-GB"/>
        </w:rPr>
        <w:t xml:space="preserve">Although technical and job-specific skills remain vital, employees also need to develop a set of ‘employability skills’ that can be transferred between different job roles and different employment sectors. </w:t>
      </w:r>
    </w:p>
    <w:p w14:paraId="2FC5B687" w14:textId="5E8588DB" w:rsidR="001C380F" w:rsidRPr="002D5CC3" w:rsidRDefault="001C380F" w:rsidP="00487EA3">
      <w:pPr>
        <w:spacing w:after="0"/>
        <w:rPr>
          <w:rFonts w:ascii="Arial Nova" w:eastAsia="Times New Roman" w:hAnsi="Arial Nova" w:cs="Arial"/>
          <w:color w:val="000000"/>
          <w:sz w:val="24"/>
          <w:szCs w:val="24"/>
          <w:lang w:eastAsia="en-GB"/>
        </w:rPr>
      </w:pPr>
      <w:r w:rsidRPr="002D5CC3">
        <w:rPr>
          <w:rFonts w:ascii="Arial Nova" w:eastAsia="Times New Roman" w:hAnsi="Arial Nova" w:cs="Arial"/>
          <w:color w:val="000000"/>
          <w:sz w:val="24"/>
          <w:szCs w:val="24"/>
          <w:lang w:eastAsia="en-GB"/>
        </w:rPr>
        <w:t>They’re the skills and attitudes you need to find, keep and be successful in any job – and to build a career. But they’re not just important to individuals. They’re also essential for businesses to succeed – and ultimately of huge value to the economy. While the focus on employability skills and their development has gained increasing attention, it remains a complex area that requires a myriad of approaches to develop the skills. In this context, higher education is seen as a producer of talent that can support economic growth and a range of other desirable policy goals (</w:t>
      </w:r>
      <w:proofErr w:type="spellStart"/>
      <w:r w:rsidRPr="002D5CC3">
        <w:rPr>
          <w:rFonts w:ascii="Arial Nova" w:eastAsia="Times New Roman" w:hAnsi="Arial Nova" w:cs="Arial"/>
          <w:color w:val="000000"/>
          <w:sz w:val="24"/>
          <w:szCs w:val="24"/>
          <w:lang w:eastAsia="en-GB"/>
        </w:rPr>
        <w:t>Bridgstock</w:t>
      </w:r>
      <w:proofErr w:type="spellEnd"/>
      <w:r w:rsidRPr="002D5CC3">
        <w:rPr>
          <w:rFonts w:ascii="Arial Nova" w:eastAsia="Times New Roman" w:hAnsi="Arial Nova" w:cs="Arial"/>
          <w:color w:val="000000"/>
          <w:sz w:val="24"/>
          <w:szCs w:val="24"/>
          <w:lang w:eastAsia="en-GB"/>
        </w:rPr>
        <w:t xml:space="preserve"> and Cunningham 2016; Tran 2015).This has also been reflected in the UK’s government policy over the years and the approaches universities have taken to support their students in developing their employability skills.</w:t>
      </w:r>
      <w:r w:rsidRPr="002D5CC3">
        <w:rPr>
          <w:rFonts w:ascii="Arial Nova" w:eastAsia="Times New Roman" w:hAnsi="Arial Nova" w:cs="Arial"/>
          <w:color w:val="000000"/>
          <w:sz w:val="24"/>
          <w:szCs w:val="24"/>
          <w:lang w:eastAsia="en-GB"/>
        </w:rPr>
        <w:t xml:space="preserve"> </w:t>
      </w:r>
    </w:p>
    <w:p w14:paraId="4C2160C8" w14:textId="0B380824" w:rsidR="003B28DC" w:rsidRDefault="003B28DC" w:rsidP="00487EA3">
      <w:pPr>
        <w:spacing w:after="0"/>
        <w:rPr>
          <w:rFonts w:asciiTheme="majorHAnsi" w:eastAsiaTheme="majorEastAsia" w:hAnsiTheme="majorHAnsi" w:cstheme="majorBidi"/>
          <w:color w:val="2F5496" w:themeColor="accent1" w:themeShade="BF"/>
          <w:sz w:val="32"/>
          <w:szCs w:val="32"/>
        </w:rPr>
      </w:pPr>
    </w:p>
    <w:p w14:paraId="7F9D0E43" w14:textId="0107E4A0" w:rsidR="00E65225" w:rsidRDefault="00E65225" w:rsidP="00487EA3">
      <w:pPr>
        <w:spacing w:after="0"/>
        <w:rPr>
          <w:rFonts w:asciiTheme="majorHAnsi" w:eastAsiaTheme="majorEastAsia" w:hAnsiTheme="majorHAnsi" w:cstheme="majorBidi"/>
          <w:color w:val="2F5496" w:themeColor="accent1" w:themeShade="BF"/>
          <w:sz w:val="32"/>
          <w:szCs w:val="32"/>
        </w:rPr>
      </w:pPr>
    </w:p>
    <w:p w14:paraId="26DA899F" w14:textId="7CAC3253" w:rsidR="00E65225" w:rsidRDefault="00E65225" w:rsidP="00487EA3">
      <w:pPr>
        <w:spacing w:after="0"/>
        <w:rPr>
          <w:rFonts w:asciiTheme="majorHAnsi" w:eastAsiaTheme="majorEastAsia" w:hAnsiTheme="majorHAnsi" w:cstheme="majorBidi"/>
          <w:color w:val="2F5496" w:themeColor="accent1" w:themeShade="BF"/>
          <w:sz w:val="32"/>
          <w:szCs w:val="32"/>
        </w:rPr>
      </w:pPr>
    </w:p>
    <w:p w14:paraId="75139D46" w14:textId="77777777" w:rsidR="00E65225" w:rsidRPr="00886E59" w:rsidRDefault="00E65225" w:rsidP="00487EA3">
      <w:pPr>
        <w:spacing w:after="0"/>
        <w:rPr>
          <w:rFonts w:asciiTheme="majorHAnsi" w:eastAsiaTheme="majorEastAsia" w:hAnsiTheme="majorHAnsi" w:cstheme="majorBidi"/>
          <w:color w:val="2F5496" w:themeColor="accent1" w:themeShade="BF"/>
          <w:sz w:val="32"/>
          <w:szCs w:val="32"/>
        </w:rPr>
      </w:pPr>
    </w:p>
    <w:bookmarkStart w:id="4" w:name="_Toc36226276" w:displacedByCustomXml="next"/>
    <w:sdt>
      <w:sdtPr>
        <w:rPr>
          <w:rFonts w:asciiTheme="minorHAnsi" w:eastAsiaTheme="minorHAnsi" w:hAnsiTheme="minorHAnsi" w:cstheme="minorBidi"/>
          <w:color w:val="auto"/>
          <w:sz w:val="22"/>
          <w:szCs w:val="22"/>
        </w:rPr>
        <w:id w:val="-499887236"/>
        <w:docPartObj>
          <w:docPartGallery w:val="Bibliographies"/>
          <w:docPartUnique/>
        </w:docPartObj>
      </w:sdtPr>
      <w:sdtEndPr>
        <w:rPr>
          <w:rFonts w:ascii="Arial Nova" w:hAnsi="Arial Nova"/>
          <w:sz w:val="24"/>
          <w:szCs w:val="24"/>
        </w:rPr>
      </w:sdtEndPr>
      <w:sdtContent>
        <w:p w14:paraId="038DB226" w14:textId="1AA96F2C" w:rsidR="003B28DC" w:rsidRDefault="003B28DC" w:rsidP="00487EA3">
          <w:pPr>
            <w:pStyle w:val="Heading1"/>
            <w:spacing w:before="0"/>
          </w:pPr>
          <w:r>
            <w:t>References</w:t>
          </w:r>
          <w:bookmarkEnd w:id="4"/>
        </w:p>
        <w:sdt>
          <w:sdtPr>
            <w:id w:val="-573587230"/>
            <w:showingPlcHdr/>
            <w:bibliography/>
          </w:sdtPr>
          <w:sdtEndPr/>
          <w:sdtContent>
            <w:p w14:paraId="6DF809F5" w14:textId="42FC1708" w:rsidR="003B28DC" w:rsidRPr="00110EE0" w:rsidRDefault="00110EE0" w:rsidP="00487EA3">
              <w:pPr>
                <w:spacing w:after="0"/>
                <w:rPr>
                  <w:rFonts w:ascii="Arial Nova" w:hAnsi="Arial Nova"/>
                  <w:sz w:val="24"/>
                  <w:szCs w:val="24"/>
                </w:rPr>
              </w:pPr>
              <w:r>
                <w:t xml:space="preserve">     </w:t>
              </w:r>
            </w:p>
          </w:sdtContent>
        </w:sdt>
      </w:sdtContent>
    </w:sdt>
    <w:p w14:paraId="6F036C83"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Adelman, C. (2001) The medieval guild in </w:t>
      </w:r>
      <w:proofErr w:type="spellStart"/>
      <w:r w:rsidRPr="00110EE0">
        <w:rPr>
          <w:rFonts w:ascii="Arial Nova" w:hAnsi="Arial Nova"/>
          <w:szCs w:val="24"/>
        </w:rPr>
        <w:t>cyberclothes</w:t>
      </w:r>
      <w:proofErr w:type="spellEnd"/>
      <w:r w:rsidRPr="00110EE0">
        <w:rPr>
          <w:rFonts w:ascii="Arial Nova" w:hAnsi="Arial Nova"/>
          <w:szCs w:val="24"/>
        </w:rPr>
        <w:t>: international dimensions of industry certification in Information Technology. Tertiary Education and Management 7 (3), pp. 277-292.</w:t>
      </w:r>
    </w:p>
    <w:p w14:paraId="130C9E6C"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Australian Government: National Centre for Vocation Educational Research and Department of Education, Employment and Workplace Relations. (2011) Employability Skills </w:t>
      </w:r>
      <w:proofErr w:type="gramStart"/>
      <w:r w:rsidRPr="00110EE0">
        <w:rPr>
          <w:rFonts w:ascii="Arial Nova" w:hAnsi="Arial Nova"/>
          <w:szCs w:val="24"/>
        </w:rPr>
        <w:t>at a glance</w:t>
      </w:r>
      <w:proofErr w:type="gramEnd"/>
      <w:r w:rsidRPr="00110EE0">
        <w:rPr>
          <w:rFonts w:ascii="Arial Nova" w:hAnsi="Arial Nova"/>
          <w:szCs w:val="24"/>
        </w:rPr>
        <w:t xml:space="preserve">. [Online] Available at: https://www.ncver.edu.au/__data/assets/file/0013/2407/2404.pdf (Accessed 15 March 2020) </w:t>
      </w:r>
    </w:p>
    <w:p w14:paraId="691E98FD"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Blades, R., </w:t>
      </w:r>
      <w:proofErr w:type="spellStart"/>
      <w:r w:rsidRPr="00110EE0">
        <w:rPr>
          <w:rFonts w:ascii="Arial Nova" w:hAnsi="Arial Nova"/>
          <w:szCs w:val="24"/>
        </w:rPr>
        <w:t>Fauth</w:t>
      </w:r>
      <w:proofErr w:type="spellEnd"/>
      <w:r w:rsidRPr="00110EE0">
        <w:rPr>
          <w:rFonts w:ascii="Arial Nova" w:hAnsi="Arial Nova"/>
          <w:szCs w:val="24"/>
        </w:rPr>
        <w:t>, B., Gibb, J. (2012) Measuring Employability Skills: A rapid review to inform development of tools for project evaluation. [Online] Available at: http://www.partners4value.lt/wp-content/uploads/2015/10/Measuring-Employability-Skills.pdf (Accessed 21 March 2020).</w:t>
      </w:r>
    </w:p>
    <w:p w14:paraId="112AD3FD"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CBI (CONFEDERATION OF BRITISH INDUSTRY) (1999) Making Employability Work: An Agenda for Action. London: CBI.</w:t>
      </w:r>
    </w:p>
    <w:p w14:paraId="05BD556F"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proofErr w:type="spellStart"/>
      <w:r w:rsidRPr="00110EE0">
        <w:rPr>
          <w:rFonts w:ascii="Arial Nova" w:hAnsi="Arial Nova"/>
          <w:szCs w:val="24"/>
        </w:rPr>
        <w:t>Ćehić</w:t>
      </w:r>
      <w:proofErr w:type="spellEnd"/>
      <w:r w:rsidRPr="00110EE0">
        <w:rPr>
          <w:rFonts w:ascii="Arial Nova" w:hAnsi="Arial Nova"/>
          <w:szCs w:val="24"/>
        </w:rPr>
        <w:t>, N. (2014) The Importance of Employability Skills. [Online] Available at: https://www.graduatemag.co.uk/careers/graduate-advice/105-the-importance-of-employability-skills (Accessed 15 March 2020).</w:t>
      </w:r>
    </w:p>
    <w:p w14:paraId="02E2F345"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Department for Education (2010). What works in re-engaging young people who are not in education, employment or training (NEET)? Summary of evidence from the Activity Agreement Pilots and the Entry to Learning Pilots. London, Department for Education.</w:t>
      </w:r>
    </w:p>
    <w:p w14:paraId="7DE1842A"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proofErr w:type="spellStart"/>
      <w:r w:rsidRPr="00110EE0">
        <w:rPr>
          <w:rFonts w:ascii="Arial Nova" w:hAnsi="Arial Nova"/>
          <w:szCs w:val="24"/>
        </w:rPr>
        <w:t>EducationDive</w:t>
      </w:r>
      <w:proofErr w:type="spellEnd"/>
      <w:r w:rsidRPr="00110EE0">
        <w:rPr>
          <w:rFonts w:ascii="Arial Nova" w:hAnsi="Arial Nova"/>
          <w:szCs w:val="24"/>
        </w:rPr>
        <w:t>. (2019) With skills mapping, colleges create a 'universal language' to explain value. [Online] Available at: https://www.educationdive.com/news/with-skills-mapping-colleges-create-a-universal-language-to-explain-valu/557422/ (Accessed 23 March 2020)</w:t>
      </w:r>
    </w:p>
    <w:p w14:paraId="1F823B23"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proofErr w:type="spellStart"/>
      <w:r w:rsidRPr="00110EE0">
        <w:rPr>
          <w:rFonts w:ascii="Arial Nova" w:hAnsi="Arial Nova"/>
          <w:szCs w:val="24"/>
        </w:rPr>
        <w:t>FeNews</w:t>
      </w:r>
      <w:proofErr w:type="spellEnd"/>
      <w:r w:rsidRPr="00110EE0">
        <w:rPr>
          <w:rFonts w:ascii="Arial Nova" w:hAnsi="Arial Nova"/>
          <w:szCs w:val="24"/>
        </w:rPr>
        <w:t>. (2020) 2020 Vision: Learning for the Changing World of Work. [Online] Available at: https://www.fenews.co.uk/featured-article/40105-2020-vision-learning-for-the-changing-world-of-work?utm_source=dlvr.it&amp;utm_medium=facebook (Accessed at 21 March 2020).</w:t>
      </w:r>
    </w:p>
    <w:p w14:paraId="025D0617"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lastRenderedPageBreak/>
        <w:t xml:space="preserve">IGD (2017), Eight essential employability skills for the food industry. [Online] </w:t>
      </w:r>
      <w:proofErr w:type="spellStart"/>
      <w:r w:rsidRPr="00110EE0">
        <w:rPr>
          <w:rFonts w:ascii="Arial Nova" w:hAnsi="Arial Nova"/>
          <w:szCs w:val="24"/>
        </w:rPr>
        <w:t>Availabe</w:t>
      </w:r>
      <w:proofErr w:type="spellEnd"/>
      <w:r w:rsidRPr="00110EE0">
        <w:rPr>
          <w:rFonts w:ascii="Arial Nova" w:hAnsi="Arial Nova"/>
          <w:szCs w:val="24"/>
        </w:rPr>
        <w:t xml:space="preserve"> at: http://www.foodmanufacture.co.uk/People/Employability-skills-for-food-graduates (Accessed 21 March 2020).</w:t>
      </w:r>
    </w:p>
    <w:p w14:paraId="56145A2B"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Irish Business and Employers Confederation. (2019) Future ready: improving graduate employability skills. [online] Available at: file:///C:/Users/901218/Downloads/Future%20ready%20improving%20graduate%20employability%20skills%20(1).pdf (Accessed 20 March 2020).</w:t>
      </w:r>
    </w:p>
    <w:p w14:paraId="10702C63"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Harvey, L., Moon, S., and </w:t>
      </w:r>
      <w:proofErr w:type="spellStart"/>
      <w:r w:rsidRPr="00110EE0">
        <w:rPr>
          <w:rFonts w:ascii="Arial Nova" w:hAnsi="Arial Nova"/>
          <w:szCs w:val="24"/>
        </w:rPr>
        <w:t>Geali</w:t>
      </w:r>
      <w:proofErr w:type="spellEnd"/>
      <w:r w:rsidRPr="00110EE0">
        <w:rPr>
          <w:rFonts w:ascii="Arial Nova" w:hAnsi="Arial Nova"/>
          <w:szCs w:val="24"/>
        </w:rPr>
        <w:t xml:space="preserve">, V. with Bower R. (1997) Graduates’ work: organisation change and students’ attributes. Birmingham: Centre for research into </w:t>
      </w:r>
      <w:proofErr w:type="spellStart"/>
      <w:r w:rsidRPr="00110EE0">
        <w:rPr>
          <w:rFonts w:ascii="Arial Nova" w:hAnsi="Arial Nova"/>
          <w:szCs w:val="24"/>
        </w:rPr>
        <w:t>Quaity</w:t>
      </w:r>
      <w:proofErr w:type="spellEnd"/>
      <w:r w:rsidRPr="00110EE0">
        <w:rPr>
          <w:rFonts w:ascii="Arial Nova" w:hAnsi="Arial Nova"/>
          <w:szCs w:val="24"/>
        </w:rPr>
        <w:t xml:space="preserve"> together with the Association of Graduate Recruiters.</w:t>
      </w:r>
    </w:p>
    <w:p w14:paraId="19087A72"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HAYS Specialist Recruitment. (2019) Disappearance of mid-skilled jobs. [Online] Available at: https://social.hays.com/2019/10/23/disappearance-of-mid-skill-jobs/ (Accessed 21 March 2020).</w:t>
      </w:r>
    </w:p>
    <w:p w14:paraId="542A834E"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Higher Education Academy and University of Derby. (no date) Employability: A review of the literature 2012 to 2016. [Online] Available at: https://pdfs.semanticscholar.org/1b87/61ba7abc9c6ff75a6c851ef6dab700de2ab2.pdf (Accessed 21 March 2020).</w:t>
      </w:r>
    </w:p>
    <w:p w14:paraId="4D3285C7"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Higher Education Quality Council (1997) Graduate Standards Programme: Final report [two volumes]. London: HEQC.</w:t>
      </w:r>
    </w:p>
    <w:p w14:paraId="72D35493"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Hussain, M.Y., Mokhtar, B.S., Ahmad, A.A. and Mustapha, R. (2010) Importance of Employability Skills from Employers’ Perspective, Procedia - Social and </w:t>
      </w:r>
      <w:proofErr w:type="spellStart"/>
      <w:r w:rsidRPr="00110EE0">
        <w:rPr>
          <w:rFonts w:ascii="Arial Nova" w:hAnsi="Arial Nova"/>
          <w:szCs w:val="24"/>
        </w:rPr>
        <w:t>Behavioral</w:t>
      </w:r>
      <w:proofErr w:type="spellEnd"/>
      <w:r w:rsidRPr="00110EE0">
        <w:rPr>
          <w:rFonts w:ascii="Arial Nova" w:hAnsi="Arial Nova"/>
          <w:szCs w:val="24"/>
        </w:rPr>
        <w:t xml:space="preserve"> Sciences, Vol. 7, pp. 430-</w:t>
      </w:r>
      <w:proofErr w:type="gramStart"/>
      <w:r w:rsidRPr="00110EE0">
        <w:rPr>
          <w:rFonts w:ascii="Arial Nova" w:hAnsi="Arial Nova"/>
          <w:szCs w:val="24"/>
        </w:rPr>
        <w:t>438 .</w:t>
      </w:r>
      <w:proofErr w:type="gramEnd"/>
    </w:p>
    <w:p w14:paraId="7EB0FAE7"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Lindsay, D.C. (2009) THE CONCEPT OF EMPLOYABILITY AND THE EXPERIENCE OF UNEMPLOYMENT. [Online] Available at: https://core.ac.uk/download/pdf/40046359.pdf (Accessed 21 March 2020).</w:t>
      </w:r>
    </w:p>
    <w:p w14:paraId="33DC8C7F" w14:textId="07D5521E" w:rsid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Lees, D. (no date) University of Exeter: Graduate Employability - Literature Review. [Online]. Available at: https://www.qualityresearchinternational.com/esecttools/esectpubs/leeslitreview.pdf (Accessed on 17 March 2020).</w:t>
      </w:r>
    </w:p>
    <w:p w14:paraId="1DBBFD47" w14:textId="33188F59" w:rsidR="008D6BB3" w:rsidRDefault="008D6BB3" w:rsidP="00487EA3">
      <w:pPr>
        <w:spacing w:after="0" w:line="360" w:lineRule="auto"/>
        <w:rPr>
          <w:rFonts w:ascii="Arial Nova" w:hAnsi="Arial Nova"/>
          <w:szCs w:val="24"/>
        </w:rPr>
      </w:pPr>
    </w:p>
    <w:p w14:paraId="50400640" w14:textId="77777777" w:rsidR="008D6BB3" w:rsidRPr="008D6BB3" w:rsidRDefault="008D6BB3" w:rsidP="00487EA3">
      <w:pPr>
        <w:spacing w:after="0" w:line="360" w:lineRule="auto"/>
        <w:rPr>
          <w:rFonts w:ascii="Arial Nova" w:hAnsi="Arial Nova"/>
          <w:szCs w:val="24"/>
        </w:rPr>
      </w:pPr>
    </w:p>
    <w:p w14:paraId="2E712B7D"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lastRenderedPageBreak/>
        <w:t>Lowden, K., Hall, S., Elliot, D., Lewin, J. (no date) Glasgow University: Employers’ perceptions of the employability skills of new graduates Research commissioned by the Edge Foundation. [Online]. Available at: https://www.educationandemployers.org/wp-content/uploads/2014/06/employability_skills_as_pdf_-_final_online_version.pdf (Accessed 11 Marc 2020).</w:t>
      </w:r>
    </w:p>
    <w:p w14:paraId="3BDD48BA"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Maclean, R., Jagannathan, S., </w:t>
      </w:r>
      <w:proofErr w:type="spellStart"/>
      <w:r w:rsidRPr="00110EE0">
        <w:rPr>
          <w:rFonts w:ascii="Arial Nova" w:hAnsi="Arial Nova"/>
          <w:szCs w:val="24"/>
        </w:rPr>
        <w:t>Sarvi</w:t>
      </w:r>
      <w:proofErr w:type="spellEnd"/>
      <w:r w:rsidRPr="00110EE0">
        <w:rPr>
          <w:rFonts w:ascii="Arial Nova" w:hAnsi="Arial Nova"/>
          <w:szCs w:val="24"/>
        </w:rPr>
        <w:t xml:space="preserve">, J. (eds.) (2012) Skills development for inclusive and sustainable growth in developing Asia </w:t>
      </w:r>
      <w:proofErr w:type="gramStart"/>
      <w:r w:rsidRPr="00110EE0">
        <w:rPr>
          <w:rFonts w:ascii="Arial Nova" w:hAnsi="Arial Nova"/>
          <w:szCs w:val="24"/>
        </w:rPr>
        <w:t>Pacific,  Technical</w:t>
      </w:r>
      <w:proofErr w:type="gramEnd"/>
      <w:r w:rsidRPr="00110EE0">
        <w:rPr>
          <w:rFonts w:ascii="Arial Nova" w:hAnsi="Arial Nova"/>
          <w:szCs w:val="24"/>
        </w:rPr>
        <w:t xml:space="preserve"> and Vocational Education and Training: Issues, Concerns and Prospects. Vol. 19, 1st Edition. Asia: Springer.</w:t>
      </w:r>
    </w:p>
    <w:p w14:paraId="333BE4A2"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proofErr w:type="spellStart"/>
      <w:r w:rsidRPr="00110EE0">
        <w:rPr>
          <w:rFonts w:ascii="Arial Nova" w:hAnsi="Arial Nova"/>
          <w:szCs w:val="24"/>
        </w:rPr>
        <w:t>Marrifield</w:t>
      </w:r>
      <w:proofErr w:type="spellEnd"/>
      <w:r w:rsidRPr="00110EE0">
        <w:rPr>
          <w:rFonts w:ascii="Arial Nova" w:hAnsi="Arial Nova"/>
          <w:szCs w:val="24"/>
        </w:rPr>
        <w:t xml:space="preserve">, K.A. (2013) </w:t>
      </w:r>
      <w:proofErr w:type="spellStart"/>
      <w:proofErr w:type="gramStart"/>
      <w:r w:rsidRPr="00110EE0">
        <w:rPr>
          <w:rFonts w:ascii="Arial Nova" w:hAnsi="Arial Nova"/>
          <w:szCs w:val="24"/>
        </w:rPr>
        <w:t>Do‘</w:t>
      </w:r>
      <w:proofErr w:type="gramEnd"/>
      <w:r w:rsidRPr="00110EE0">
        <w:rPr>
          <w:rFonts w:ascii="Arial Nova" w:hAnsi="Arial Nova"/>
          <w:szCs w:val="24"/>
        </w:rPr>
        <w:t>employability</w:t>
      </w:r>
      <w:proofErr w:type="spellEnd"/>
      <w:r w:rsidRPr="00110EE0">
        <w:rPr>
          <w:rFonts w:ascii="Arial Nova" w:hAnsi="Arial Nova"/>
          <w:szCs w:val="24"/>
        </w:rPr>
        <w:t xml:space="preserve"> skills’ matter? How important are employability skills to teachers, young people and Employers </w:t>
      </w:r>
      <w:proofErr w:type="gramStart"/>
      <w:r w:rsidRPr="00110EE0">
        <w:rPr>
          <w:rFonts w:ascii="Arial Nova" w:hAnsi="Arial Nova"/>
          <w:szCs w:val="24"/>
        </w:rPr>
        <w:t>today?.</w:t>
      </w:r>
      <w:proofErr w:type="gramEnd"/>
      <w:r w:rsidRPr="00110EE0">
        <w:rPr>
          <w:rFonts w:ascii="Arial Nova" w:hAnsi="Arial Nova"/>
          <w:szCs w:val="24"/>
        </w:rPr>
        <w:t xml:space="preserve"> [Online] Available at: https://core.ac.uk/download/pdf/19496326.pdf {Accessed 20 March 2020).</w:t>
      </w:r>
    </w:p>
    <w:p w14:paraId="056DD69E"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Mansour, B. El. and Dean, J.C. (2016) Employability Skills as Perceived by Employers and University Faculty in the Fields of Human Resource Development (HRD) for Entry Level Graduate Jobs, Journal of Human Resource and Sustainability Studies, Vol. 4, pp. 1-11.</w:t>
      </w:r>
    </w:p>
    <w:p w14:paraId="628CC149"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McQuaid, R.W., Green E.A. and Danson M. (eds.) (2013) Employability and Local Labour Markets. 2nd </w:t>
      </w:r>
      <w:proofErr w:type="spellStart"/>
      <w:r w:rsidRPr="00110EE0">
        <w:rPr>
          <w:rFonts w:ascii="Arial Nova" w:hAnsi="Arial Nova"/>
          <w:szCs w:val="24"/>
        </w:rPr>
        <w:t>edn</w:t>
      </w:r>
      <w:proofErr w:type="spellEnd"/>
      <w:r w:rsidRPr="00110EE0">
        <w:rPr>
          <w:rFonts w:ascii="Arial Nova" w:hAnsi="Arial Nova"/>
          <w:szCs w:val="24"/>
        </w:rPr>
        <w:t>. UK: Urban Studies Monograph.</w:t>
      </w:r>
    </w:p>
    <w:p w14:paraId="47DAA224"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McQuaid, R.W. and Lindsay, C. (2005) The concept of employability, Urban Studies, Vol. 42, No. 2, pp. 197– 219.</w:t>
      </w:r>
    </w:p>
    <w:p w14:paraId="65601563" w14:textId="0EBCBBEB" w:rsidR="00110EE0" w:rsidRPr="00886E59"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Potton, E. (2010) Young people in the labour market. [Online] Available at: https://www.parliament.uk/documents/commons/lib/research/key_issues/Key-Issues-Young-people-in-the-labour-market.pdf (Accessed 21 March 2020).</w:t>
      </w:r>
    </w:p>
    <w:p w14:paraId="45000B2B" w14:textId="152B9B1C" w:rsidR="00110EE0" w:rsidRPr="00886E59"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Prescott, J. (2016) Handbook of Research on Race, Gender, and the Fight for Equality. 1st edition. USA: IGI Global.</w:t>
      </w:r>
    </w:p>
    <w:p w14:paraId="39EE7115" w14:textId="433C9293" w:rsid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University of Leeds. (2020) Employability Skills. [Online] Available at: http://careerweb.leeds.ac.uk/info/4/make_yourself_employable/202/employability_skills/7 {Accessed 18 March 2020).</w:t>
      </w:r>
    </w:p>
    <w:p w14:paraId="05CFFCA1" w14:textId="56478522" w:rsidR="008D6BB3" w:rsidRDefault="008D6BB3" w:rsidP="00487EA3">
      <w:pPr>
        <w:spacing w:after="0" w:line="360" w:lineRule="auto"/>
        <w:rPr>
          <w:rFonts w:ascii="Arial Nova" w:hAnsi="Arial Nova"/>
          <w:szCs w:val="24"/>
        </w:rPr>
      </w:pPr>
    </w:p>
    <w:p w14:paraId="10CB51A8" w14:textId="77777777" w:rsidR="008D6BB3" w:rsidRPr="008D6BB3" w:rsidRDefault="008D6BB3" w:rsidP="00487EA3">
      <w:pPr>
        <w:spacing w:after="0" w:line="360" w:lineRule="auto"/>
        <w:rPr>
          <w:rFonts w:ascii="Arial Nova" w:hAnsi="Arial Nova"/>
          <w:szCs w:val="24"/>
        </w:rPr>
      </w:pPr>
    </w:p>
    <w:p w14:paraId="21782B48" w14:textId="04D91843"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lastRenderedPageBreak/>
        <w:t>UK Commission for Employment and Skills. (2010) Employability Skills: A Research and Policy Briefing. [Online]. Available at: https://www.educationandemployers.org/wp-content/uploads/2014/06/employability-skills-policy-briefing-ukces.pdf (Accessed: 20 March 2020).</w:t>
      </w:r>
    </w:p>
    <w:p w14:paraId="1A2125DA"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UK Department of Health. (no date) Working Well, A Compendium of Factsheets: Wellbeing Across the </w:t>
      </w:r>
      <w:proofErr w:type="spellStart"/>
      <w:r w:rsidRPr="00110EE0">
        <w:rPr>
          <w:rFonts w:ascii="Arial Nova" w:hAnsi="Arial Nova"/>
          <w:szCs w:val="24"/>
        </w:rPr>
        <w:t>Lifecourse</w:t>
      </w:r>
      <w:proofErr w:type="spellEnd"/>
      <w:r w:rsidRPr="00110EE0">
        <w:rPr>
          <w:rFonts w:ascii="Arial Nova" w:hAnsi="Arial Nova"/>
          <w:szCs w:val="24"/>
        </w:rPr>
        <w:t>. [Online].  Available at: https://assets.publishing.service.gov.uk/government/uploads/system/uploads/attachment_data/file/278138/Working_well.pdf (Accessed: 10 March 2020).</w:t>
      </w:r>
    </w:p>
    <w:p w14:paraId="7E61E3B3" w14:textId="2490724A" w:rsidR="00110EE0" w:rsidRPr="00110EE0" w:rsidRDefault="00110EE0" w:rsidP="00487EA3">
      <w:pPr>
        <w:pStyle w:val="ListParagraph"/>
        <w:numPr>
          <w:ilvl w:val="0"/>
          <w:numId w:val="1"/>
        </w:numPr>
        <w:spacing w:after="0" w:line="360" w:lineRule="auto"/>
        <w:ind w:left="0"/>
        <w:rPr>
          <w:rFonts w:ascii="Arial Nova" w:hAnsi="Arial Nova"/>
          <w:szCs w:val="24"/>
        </w:rPr>
      </w:pPr>
      <w:proofErr w:type="spellStart"/>
      <w:r w:rsidRPr="00110EE0">
        <w:rPr>
          <w:rFonts w:ascii="Arial Nova" w:hAnsi="Arial Nova"/>
          <w:szCs w:val="24"/>
        </w:rPr>
        <w:t>Tamkin</w:t>
      </w:r>
      <w:proofErr w:type="spellEnd"/>
      <w:r w:rsidRPr="00110EE0">
        <w:rPr>
          <w:rFonts w:ascii="Arial Nova" w:hAnsi="Arial Nova"/>
          <w:szCs w:val="24"/>
        </w:rPr>
        <w:t xml:space="preserve">, P. and </w:t>
      </w:r>
      <w:proofErr w:type="spellStart"/>
      <w:r w:rsidRPr="00110EE0">
        <w:rPr>
          <w:rFonts w:ascii="Arial Nova" w:hAnsi="Arial Nova"/>
          <w:szCs w:val="24"/>
        </w:rPr>
        <w:t>Hillage</w:t>
      </w:r>
      <w:proofErr w:type="spellEnd"/>
      <w:r w:rsidRPr="00110EE0">
        <w:rPr>
          <w:rFonts w:ascii="Arial Nova" w:hAnsi="Arial Nova"/>
          <w:szCs w:val="24"/>
        </w:rPr>
        <w:t>, J. (no date) Employability and employers: the missing piece of the jigsaw. UK: The Institute for Employment Studies.</w:t>
      </w:r>
    </w:p>
    <w:p w14:paraId="0C695758" w14:textId="77777777"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Training Agency (1990) Enterprise in Higher Education: key features of Enterprise in Higher Education Proposals. Sheffield: Training Agency.</w:t>
      </w:r>
    </w:p>
    <w:p w14:paraId="3B7A86CE" w14:textId="01FDB4B0"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Youth Employment Review UK. (2017) A review of frameworks, common terms and research currently being used to define and determine employability skills in the UK. [Online] Available at: https://www.youthemployment.org.uk/dev/wp-content/uploads/2017/07/Youth-Employment-UK-Employability-Review-June-2017.pdf (Accessed 21 March 2020).</w:t>
      </w:r>
    </w:p>
    <w:p w14:paraId="1A937FD9" w14:textId="38053802" w:rsidR="00110EE0"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York University. (2020) Learning Skills Services: University Time Management. [Online] Available at: https://lss.info.yorku.ca/resources/university-time-management/ (Accessed 18 March 2020).</w:t>
      </w:r>
    </w:p>
    <w:p w14:paraId="5CD21C1F" w14:textId="66128553" w:rsidR="003B28DC" w:rsidRPr="00110EE0" w:rsidRDefault="00110EE0" w:rsidP="00487EA3">
      <w:pPr>
        <w:pStyle w:val="ListParagraph"/>
        <w:numPr>
          <w:ilvl w:val="0"/>
          <w:numId w:val="1"/>
        </w:numPr>
        <w:spacing w:after="0" w:line="360" w:lineRule="auto"/>
        <w:ind w:left="0"/>
        <w:rPr>
          <w:rFonts w:ascii="Arial Nova" w:hAnsi="Arial Nova"/>
          <w:szCs w:val="24"/>
        </w:rPr>
      </w:pPr>
      <w:r w:rsidRPr="00110EE0">
        <w:rPr>
          <w:rFonts w:ascii="Arial Nova" w:hAnsi="Arial Nova"/>
          <w:szCs w:val="24"/>
        </w:rPr>
        <w:t xml:space="preserve">Yorke, M. (2004) Employability in Higher Education: what is it – what is not. 1st </w:t>
      </w:r>
      <w:proofErr w:type="spellStart"/>
      <w:r w:rsidRPr="00110EE0">
        <w:rPr>
          <w:rFonts w:ascii="Arial Nova" w:hAnsi="Arial Nova"/>
          <w:szCs w:val="24"/>
        </w:rPr>
        <w:t>edn</w:t>
      </w:r>
      <w:proofErr w:type="spellEnd"/>
      <w:r w:rsidRPr="00110EE0">
        <w:rPr>
          <w:rFonts w:ascii="Arial Nova" w:hAnsi="Arial Nova"/>
          <w:szCs w:val="24"/>
        </w:rPr>
        <w:t>. UK: The Higher Education Academy and The Enhancing Student Employability Co-ordination Team.</w:t>
      </w:r>
    </w:p>
    <w:sectPr w:rsidR="003B28DC" w:rsidRPr="00110EE0" w:rsidSect="00863A82">
      <w:headerReference w:type="default" r:id="rId11"/>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310ECC" w14:textId="77777777" w:rsidR="00C4770C" w:rsidRDefault="00C4770C" w:rsidP="00863A82">
      <w:pPr>
        <w:spacing w:after="0" w:line="240" w:lineRule="auto"/>
      </w:pPr>
      <w:r>
        <w:separator/>
      </w:r>
    </w:p>
  </w:endnote>
  <w:endnote w:type="continuationSeparator" w:id="0">
    <w:p w14:paraId="68AD5935" w14:textId="77777777" w:rsidR="00C4770C" w:rsidRDefault="00C4770C" w:rsidP="00863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ial Nova">
    <w:altName w:val="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138889"/>
      <w:docPartObj>
        <w:docPartGallery w:val="Page Numbers (Bottom of Page)"/>
        <w:docPartUnique/>
      </w:docPartObj>
    </w:sdtPr>
    <w:sdtEndPr>
      <w:rPr>
        <w:noProof/>
      </w:rPr>
    </w:sdtEndPr>
    <w:sdtContent>
      <w:p w14:paraId="070A0921" w14:textId="351E6DD1" w:rsidR="00863A82" w:rsidRDefault="00863A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73883C" w14:textId="77777777" w:rsidR="00863A82" w:rsidRDefault="00863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305D4E" w14:textId="77777777" w:rsidR="00C4770C" w:rsidRDefault="00C4770C" w:rsidP="00863A82">
      <w:pPr>
        <w:spacing w:after="0" w:line="240" w:lineRule="auto"/>
      </w:pPr>
      <w:r>
        <w:separator/>
      </w:r>
    </w:p>
  </w:footnote>
  <w:footnote w:type="continuationSeparator" w:id="0">
    <w:p w14:paraId="23F68436" w14:textId="77777777" w:rsidR="00C4770C" w:rsidRDefault="00C4770C" w:rsidP="00863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BF0FEC" w14:textId="4C187F72" w:rsidR="00863A82" w:rsidRDefault="00863A82" w:rsidP="00863A82">
    <w:pPr>
      <w:pStyle w:val="Header"/>
      <w:jc w:val="right"/>
      <w:rPr>
        <w:lang w:val="en-GB"/>
      </w:rPr>
    </w:pPr>
    <w:r>
      <w:rPr>
        <w:lang w:val="en-GB"/>
      </w:rPr>
      <w:t>Alexandru-George Ghita</w:t>
    </w:r>
  </w:p>
  <w:p w14:paraId="62DE28CE" w14:textId="594BCC46" w:rsidR="00863A82" w:rsidRPr="00863A82" w:rsidRDefault="00863A82" w:rsidP="00863A82">
    <w:pPr>
      <w:pStyle w:val="Header"/>
      <w:jc w:val="right"/>
      <w:rPr>
        <w:lang w:val="en-GB"/>
      </w:rPr>
    </w:pPr>
    <w:r>
      <w:rPr>
        <w:lang w:val="en-GB"/>
      </w:rPr>
      <w:t>1912879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0C6148"/>
    <w:multiLevelType w:val="hybridMultilevel"/>
    <w:tmpl w:val="C5A4CB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05410"/>
    <w:rsid w:val="00084019"/>
    <w:rsid w:val="000A2671"/>
    <w:rsid w:val="00110EE0"/>
    <w:rsid w:val="001C380F"/>
    <w:rsid w:val="002710E3"/>
    <w:rsid w:val="002D5CC3"/>
    <w:rsid w:val="003B28DC"/>
    <w:rsid w:val="00447610"/>
    <w:rsid w:val="00487EA3"/>
    <w:rsid w:val="004C630F"/>
    <w:rsid w:val="004F0936"/>
    <w:rsid w:val="005F7A3F"/>
    <w:rsid w:val="00676A30"/>
    <w:rsid w:val="00796237"/>
    <w:rsid w:val="007F0288"/>
    <w:rsid w:val="00863A82"/>
    <w:rsid w:val="00886E59"/>
    <w:rsid w:val="008B3644"/>
    <w:rsid w:val="008D6BB3"/>
    <w:rsid w:val="009F4E42"/>
    <w:rsid w:val="00A773C7"/>
    <w:rsid w:val="00A915AD"/>
    <w:rsid w:val="00B525A3"/>
    <w:rsid w:val="00B67B1F"/>
    <w:rsid w:val="00B72E86"/>
    <w:rsid w:val="00C4770C"/>
    <w:rsid w:val="00CA0393"/>
    <w:rsid w:val="00D25937"/>
    <w:rsid w:val="00E65225"/>
    <w:rsid w:val="00E8241A"/>
    <w:rsid w:val="00EA2964"/>
    <w:rsid w:val="00EF7156"/>
    <w:rsid w:val="00F36EE0"/>
    <w:rsid w:val="00F90B1A"/>
    <w:rsid w:val="00FF27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863A82"/>
    <w:pPr>
      <w:tabs>
        <w:tab w:val="right" w:leader="dot" w:pos="9016"/>
      </w:tabs>
      <w:spacing w:after="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ListParagraph">
    <w:name w:val="List Paragraph"/>
    <w:basedOn w:val="Normal"/>
    <w:uiPriority w:val="34"/>
    <w:qFormat/>
    <w:rsid w:val="00110EE0"/>
    <w:pPr>
      <w:spacing w:line="256" w:lineRule="auto"/>
      <w:ind w:left="720"/>
      <w:contextualSpacing/>
    </w:pPr>
    <w:rPr>
      <w:rFonts w:ascii="Arial" w:hAnsi="Arial"/>
      <w:sz w:val="24"/>
      <w:lang w:val="en-GB"/>
    </w:rPr>
  </w:style>
  <w:style w:type="paragraph" w:styleId="Header">
    <w:name w:val="header"/>
    <w:basedOn w:val="Normal"/>
    <w:link w:val="HeaderChar"/>
    <w:uiPriority w:val="99"/>
    <w:unhideWhenUsed/>
    <w:rsid w:val="0086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A82"/>
  </w:style>
  <w:style w:type="paragraph" w:styleId="Footer">
    <w:name w:val="footer"/>
    <w:basedOn w:val="Normal"/>
    <w:link w:val="FooterChar"/>
    <w:uiPriority w:val="99"/>
    <w:unhideWhenUsed/>
    <w:rsid w:val="0086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4538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580668"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580668"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ial Nova">
    <w:altName w:val="Arial Nova"/>
    <w:charset w:val="00"/>
    <w:family w:val="swiss"/>
    <w:pitch w:val="variable"/>
    <w:sig w:usb0="2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306046"/>
    <w:rsid w:val="00580668"/>
    <w:rsid w:val="005E4A1B"/>
    <w:rsid w:val="009B02A6"/>
    <w:rsid w:val="00BA1286"/>
    <w:rsid w:val="00CE72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 w:type="paragraph" w:customStyle="1" w:styleId="F207811107FD4B03959760AB3DD434BE">
    <w:name w:val="F207811107FD4B03959760AB3DD434BE"/>
    <w:rsid w:val="00CE7230"/>
    <w:rPr>
      <w:lang w:val="en-GB" w:eastAsia="en-GB"/>
    </w:rPr>
  </w:style>
  <w:style w:type="paragraph" w:customStyle="1" w:styleId="DF36BB9A72FF4320A6EFDB80E91BC844">
    <w:name w:val="DF36BB9A72FF4320A6EFDB80E91BC844"/>
    <w:rsid w:val="00CE7230"/>
    <w:rPr>
      <w:lang w:val="en-GB" w:eastAsia="en-GB"/>
    </w:rPr>
  </w:style>
  <w:style w:type="paragraph" w:customStyle="1" w:styleId="CC4D2E180B214CF987483AE972D0B11E">
    <w:name w:val="CC4D2E180B214CF987483AE972D0B11E"/>
    <w:rsid w:val="00CE7230"/>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[Alexandru-George Ghita]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8C0806-D764-4C47-8F4B-6382049A9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12</Pages>
  <Words>3577</Words>
  <Characters>20392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Employability Skills</vt:lpstr>
    </vt:vector>
  </TitlesOfParts>
  <Company>[1912879]</Company>
  <LinksUpToDate>false</LinksUpToDate>
  <CharactersWithSpaces>23922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BMSW4001 Academic and Employability Skills</dc:subject>
  <dc:creator>Christian Felices</dc:creator>
  <cp:keywords/>
  <dc:description/>
  <cp:lastModifiedBy>Alexandru Ghita (1912879)</cp:lastModifiedBy>
  <cp:revision>29</cp:revision>
  <dcterms:created xsi:type="dcterms:W3CDTF">2020-03-26T19:59:00Z</dcterms:created>
  <dcterms:modified xsi:type="dcterms:W3CDTF">2020-03-27T20:27:00Z</dcterms:modified>
</cp:coreProperties>
</file>