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458EB" w14:textId="77777777" w:rsidR="00E32D7B" w:rsidRPr="00E32D7B" w:rsidRDefault="00E32D7B" w:rsidP="00E32D7B">
      <w:r w:rsidRPr="00E32D7B">
        <w:t xml:space="preserve">Discussion of findings and conclusion: </w:t>
      </w:r>
    </w:p>
    <w:p w14:paraId="28F4193F" w14:textId="77777777" w:rsidR="00E32D7B" w:rsidRPr="00E32D7B" w:rsidRDefault="00E32D7B" w:rsidP="00E32D7B">
      <w:r w:rsidRPr="00E32D7B">
        <w:t xml:space="preserve">In line with the objectives of this study, the evidence of the data indicates firstly, notable patterns in officers’ awareness, access and perceptions of accessibility regarding mental health and wellbeing support within UK policing. Awareness of available support mechanisms is mixed, with a particularly high level of recognition for TRIM (Trauma Risk Management), reported by 91% of respondents. </w:t>
      </w:r>
    </w:p>
    <w:p w14:paraId="3779529D" w14:textId="77777777" w:rsidR="00E32D7B" w:rsidRPr="00E32D7B" w:rsidRDefault="00E32D7B" w:rsidP="00E32D7B">
      <w:r w:rsidRPr="00E32D7B">
        <w:t xml:space="preserve">This suggests that TRIM is the most visible and possibly the most embedded support strategy within police wellbeing frameworks. In contrast awareness of other support provisions is significantly lower. Only 35.3% reported awareness of peer-support programmes, and even fewer were aware of practices such as mindfulness (26%), mental-health first aid (20.6%) and the Employee Assistance Programme (2.9%). </w:t>
      </w:r>
    </w:p>
    <w:p w14:paraId="44632AE0" w14:textId="77777777" w:rsidR="00E32D7B" w:rsidRPr="00E32D7B" w:rsidRDefault="00E32D7B" w:rsidP="00E32D7B">
      <w:r w:rsidRPr="00E32D7B">
        <w:t xml:space="preserve">The especially low awareness of EAP is notable, given that EAPS are often central organisational wellbeing offers, indicating a communication gap or limited promotion. </w:t>
      </w:r>
    </w:p>
    <w:p w14:paraId="2B70A50C" w14:textId="77777777" w:rsidR="00E32D7B" w:rsidRPr="00E32D7B" w:rsidRDefault="00E32D7B" w:rsidP="00E32D7B">
      <w:r w:rsidRPr="00E32D7B">
        <w:t xml:space="preserve">In terms of access, only 38.2% of respondents reported having accessed mental health support, whilst 58.8% had not. This disparity highlights either limited need or more likely barriers such as stigma, lack of time, or insufficient knowledge of available services. The positive response from the minority who have accessed support suggests that while services exist, they are not being utilised broadly enough to have force-wide impact. </w:t>
      </w:r>
    </w:p>
    <w:p w14:paraId="1B7896C0" w14:textId="77777777" w:rsidR="00E32D7B" w:rsidRPr="00E32D7B" w:rsidRDefault="00E32D7B" w:rsidP="00E32D7B">
      <w:r w:rsidRPr="00E32D7B">
        <w:t xml:space="preserve">Perceived accessibility of support channels further reinforces this challenge. While 38.2% agreed that support was accessible, a significant proportion remained unsure (32.4% neutral) or undecided (8.8%). Importantly, 20.6% expressed disagreement or strong disagreement, indicating tangible barriers or a considerable minority of officers. This ambivalence suggests inconsistency in how support is delivered or communicated across different departments or ranks. </w:t>
      </w:r>
    </w:p>
    <w:p w14:paraId="7C3C11F9" w14:textId="77777777" w:rsidR="00E32D7B" w:rsidRPr="00E32D7B" w:rsidRDefault="00E32D7B" w:rsidP="00E32D7B">
      <w:r w:rsidRPr="00E32D7B">
        <w:t xml:space="preserve">Overall, the findings in this area indicate that while some support mechanisms, particularly TRIM are well known, many others suffer from low awareness, limited utilisation, and mixed perceptions of accessibility. These gaps point to the need for clearer communication, improved visibility of wellbeing resources, and initiatives to reduce stigma around help-seeking within UK policing. </w:t>
      </w:r>
    </w:p>
    <w:p w14:paraId="278A6F93" w14:textId="77777777" w:rsidR="00E32D7B" w:rsidRPr="00E32D7B" w:rsidRDefault="00E32D7B" w:rsidP="00E32D7B">
      <w:r w:rsidRPr="00E32D7B">
        <w:t xml:space="preserve">The data collected next, on participants’ perceptions of the effectiveness of current wellbeing strategies provides useful insight into the overall level of satisfaction with organisational support. </w:t>
      </w:r>
    </w:p>
    <w:p w14:paraId="04E72675" w14:textId="77777777" w:rsidR="00E32D7B" w:rsidRPr="00E32D7B" w:rsidRDefault="00E32D7B" w:rsidP="00E32D7B">
      <w:r w:rsidRPr="00E32D7B">
        <w:t xml:space="preserve">Reponses were measured on a five-point Likert scale ranging from 1 (very dissatisfied) to 5 (very satisfied). The distribution of scores shows a predominantly moderate level of satisfaction, with relatively small proportions reporting either high or low satisfaction. </w:t>
      </w:r>
    </w:p>
    <w:p w14:paraId="32BB17FE" w14:textId="77777777" w:rsidR="00E32D7B" w:rsidRPr="00E32D7B" w:rsidRDefault="00E32D7B" w:rsidP="00E32D7B">
      <w:r w:rsidRPr="00E32D7B">
        <w:t xml:space="preserve">The largest proportion of respondents 58.85, rated their satisfactions at 3, indicating that the support received was perceived as ‘’acceptable’’ or ‘’neither satisfied nor </w:t>
      </w:r>
      <w:r w:rsidRPr="00E32D7B">
        <w:lastRenderedPageBreak/>
        <w:t xml:space="preserve">dissatisfied.’’ This suggests that while wellbeing strategies are functioning at a basic level, they may not yet be delivering strong positive impacts or meaningful benefits for the majority. The dominance of this midpoint score highlights a need for improvement in the effectiveness, visibility, or consistency of current wellbeing initiatives. </w:t>
      </w:r>
    </w:p>
    <w:p w14:paraId="4E943BAC" w14:textId="77777777" w:rsidR="00E32D7B" w:rsidRPr="00E32D7B" w:rsidRDefault="00E32D7B" w:rsidP="00E32D7B">
      <w:r w:rsidRPr="00E32D7B">
        <w:t xml:space="preserve">Meanwhile, a combined 26.4% of participants reported positive satisfaction levels, with 17.6% scoring 4 and 8.8% scoring 5. These respondents can be viewed as broadly satisfied or highly satisfied with the wellbeing support available. Their responses indicate that some elements of the wellbeing strategy are working effectively for certain individuals. However, this positive minority remains significantly smaller that the neutral group, suggesting uneven experiences across the participant population. </w:t>
      </w:r>
    </w:p>
    <w:p w14:paraId="27C20B81" w14:textId="77777777" w:rsidR="00E32D7B" w:rsidRPr="00E32D7B" w:rsidRDefault="00E32D7B" w:rsidP="00E32D7B">
      <w:r w:rsidRPr="00E32D7B">
        <w:t xml:space="preserve">Conversely, 14.7% expressed dissatisfaction, with 8.8% rating their satisfaction at 2 and 5.9% selecting 1. While this group is comparatively small, it signals that for some individuals the current wellbeing strategies are failing to meet expectations. These negative responses point to potential gaps in accessibility, relevance, or responsiveness of support systems. </w:t>
      </w:r>
    </w:p>
    <w:p w14:paraId="5A401B6B" w14:textId="77777777" w:rsidR="00E32D7B" w:rsidRPr="00E32D7B" w:rsidRDefault="00E32D7B" w:rsidP="00E32D7B">
      <w:r w:rsidRPr="00E32D7B">
        <w:t xml:space="preserve">Overall, the findings in this area, reveal a predominantly moderate perception of wellbeing strategy effectiveness, with room for considerable enhancements. Strengthening communication, tailoring support to diverse needs, and increasing engagement may help shift the neutral majority award more positive experiences. </w:t>
      </w:r>
    </w:p>
    <w:p w14:paraId="6868C39E" w14:textId="77777777" w:rsidR="00E32D7B" w:rsidRPr="00E32D7B" w:rsidRDefault="00E32D7B" w:rsidP="00E32D7B">
      <w:r w:rsidRPr="00E32D7B">
        <w:t xml:space="preserve">Areas of improvement noted from the perspective of serving officers and the final objective data, indicates that while current wellbeing strategies are functioning to an extent, there are clear areas requiring improvement to better support serving police officers. The most striking finding is that 58.8% of respondents reported feeling only ‘moderately’ supported, scoring a 3 out of 5. This large neutral majority suggests that wellbeing provisions are not sufficiently impactful, consistent, or accessible. </w:t>
      </w:r>
    </w:p>
    <w:p w14:paraId="162565E2" w14:textId="77777777" w:rsidR="00E32D7B" w:rsidRPr="00E32D7B" w:rsidRDefault="00E32D7B" w:rsidP="00E32D7B">
      <w:r w:rsidRPr="00E32D7B">
        <w:t xml:space="preserve">Officers appear to recognise the presence of support initiatives, but do not necessarily perceive them as effective or meaningful in addressing the daily pressures. </w:t>
      </w:r>
    </w:p>
    <w:p w14:paraId="33C24EA4" w14:textId="77777777" w:rsidR="00E32D7B" w:rsidRPr="00E32D7B" w:rsidRDefault="00E32D7B" w:rsidP="00E32D7B">
      <w:r w:rsidRPr="00E32D7B">
        <w:t xml:space="preserve">A further 14.7% reported dissatisfaction, indicating that a portion of officers feel poorly supported or disconnected from available services. This highlights potential stigma around help-seeking, limited awareness of resources, or support structures that do not address the realities of policing, such as shift work, exposure to trauma and organisational stress. </w:t>
      </w:r>
    </w:p>
    <w:p w14:paraId="404FC49E" w14:textId="5C2E0ACC" w:rsidR="00E32D7B" w:rsidRPr="00E32D7B" w:rsidRDefault="00E32D7B" w:rsidP="00E32D7B">
      <w:r w:rsidRPr="00E32D7B">
        <w:t>The findings strongly reinforce existing literature on the impact of occupational culture on mental health in policing, the dominance of a ‘macho’ culture and the stigma attached to it has long standing concerns within high-risk professions</w:t>
      </w:r>
      <w:r>
        <w:t>,</w:t>
      </w:r>
      <w:r w:rsidRPr="00E32D7B">
        <w:t xml:space="preserve"> (Silvestri, 2017)</w:t>
      </w:r>
      <w:r>
        <w:t xml:space="preserve">. </w:t>
      </w:r>
      <w:r w:rsidRPr="00E32D7B">
        <w:t xml:space="preserve"> With a disconnect between policy intent and operational reality, a multi-level approach </w:t>
      </w:r>
      <w:r w:rsidRPr="00E32D7B">
        <w:lastRenderedPageBreak/>
        <w:t xml:space="preserve">combining personal resilience training, peer support and structural change is more likely to yield lasting improvements. </w:t>
      </w:r>
    </w:p>
    <w:p w14:paraId="4F36AF79" w14:textId="77777777" w:rsidR="00E32D7B" w:rsidRPr="00E32D7B" w:rsidRDefault="00E32D7B" w:rsidP="00E32D7B">
      <w:r w:rsidRPr="00E32D7B">
        <w:t xml:space="preserve">The National Police Wellbeing Service (Oscar Kilo, 2022) and Police Covenant (Gov.UK, 2023) both articulate a commitment to mental health and officer support. </w:t>
      </w:r>
    </w:p>
    <w:p w14:paraId="7FF69922" w14:textId="77777777" w:rsidR="00E32D7B" w:rsidRPr="00E32D7B" w:rsidRDefault="00E32D7B" w:rsidP="00E32D7B">
      <w:r w:rsidRPr="00E32D7B">
        <w:t xml:space="preserve">The job demands-resources model (2001) helps to understand office wellbeing, this model posts that high job demands e.g. trauma exposure, long shifts, staff shortages contribute to burnout, unless supported by adequate job resources like peer support and access to psychological care. </w:t>
      </w:r>
    </w:p>
    <w:p w14:paraId="325DA7EF" w14:textId="77777777" w:rsidR="00E32D7B" w:rsidRPr="00E32D7B" w:rsidRDefault="00E32D7B" w:rsidP="00E32D7B">
      <w:r w:rsidRPr="00E32D7B">
        <w:t xml:space="preserve">To improve outcomes, several areas require attention. </w:t>
      </w:r>
    </w:p>
    <w:p w14:paraId="4E005BF5" w14:textId="77777777" w:rsidR="00E32D7B" w:rsidRPr="00E32D7B" w:rsidRDefault="00E32D7B" w:rsidP="00E32D7B">
      <w:r w:rsidRPr="00E32D7B">
        <w:t xml:space="preserve">Firstly, communication and visibility of wellbeing resources should be strengthened. Officers may benefit from clearer guidance on how to access support and reassurance that doing so will not impact career progression. </w:t>
      </w:r>
    </w:p>
    <w:p w14:paraId="7ED4A190" w14:textId="77777777" w:rsidR="00E32D7B" w:rsidRPr="00E32D7B" w:rsidRDefault="00E32D7B" w:rsidP="00E32D7B">
      <w:r w:rsidRPr="00E32D7B">
        <w:t xml:space="preserve">Secondly, support should be proactive rather than reactive, incorporating regular check ins, trauma informed practices, and preventative interventions rather than relying solely on officers to seek help during crisis points. </w:t>
      </w:r>
    </w:p>
    <w:p w14:paraId="3E47102B" w14:textId="77777777" w:rsidR="00E32D7B" w:rsidRPr="00E32D7B" w:rsidRDefault="00E32D7B" w:rsidP="00E32D7B">
      <w:r w:rsidRPr="00E32D7B">
        <w:t xml:space="preserve">Thirdly, wellbeing programmes must be tailored to operational pressures, this could include improving access to counselling outside traditional hours, increasing peer support networks, and providing supervisors with training to identify early signs of stress or burnout. </w:t>
      </w:r>
    </w:p>
    <w:p w14:paraId="47440907" w14:textId="77777777" w:rsidR="00E32D7B" w:rsidRPr="00E32D7B" w:rsidRDefault="00E32D7B" w:rsidP="00E32D7B">
      <w:r w:rsidRPr="00E32D7B">
        <w:t xml:space="preserve">Finally, cultivating supportive organisational culture is essential. Improving leadership engagement, reducing bureaucratic stressors, and promoting psychological safety could significantly shift officers from moderate to high satisfaction. </w:t>
      </w:r>
    </w:p>
    <w:p w14:paraId="181B2F5B" w14:textId="77777777" w:rsidR="00E32D7B" w:rsidRPr="00E32D7B" w:rsidRDefault="00E32D7B" w:rsidP="00E32D7B">
      <w:r w:rsidRPr="00E32D7B">
        <w:t>Overall, the data suggests a need for more visible, relevant, and culturally embedded wellbeing strategies that reflect the specific challenges faced by serving police officers.</w:t>
      </w:r>
    </w:p>
    <w:p w14:paraId="65F4796B" w14:textId="77777777" w:rsidR="00E32D7B" w:rsidRPr="00E32D7B" w:rsidRDefault="00E32D7B" w:rsidP="00E32D7B">
      <w:r w:rsidRPr="00E32D7B">
        <w:t>The neutrality in this data is not an indication of success, rather, it highlights the limited influence existing wellbeing strategies have on officers’ day-to-day experiences.</w:t>
      </w:r>
    </w:p>
    <w:p w14:paraId="6EE2E306" w14:textId="77777777" w:rsidR="00E32D7B" w:rsidRPr="00E32D7B" w:rsidRDefault="00E32D7B" w:rsidP="00E32D7B"/>
    <w:p w14:paraId="112C3F44" w14:textId="77777777" w:rsidR="00E32D7B" w:rsidRPr="00E32D7B" w:rsidRDefault="00E32D7B" w:rsidP="00E32D7B"/>
    <w:p w14:paraId="6983BE56" w14:textId="77777777" w:rsidR="00E32D7B" w:rsidRPr="00E32D7B" w:rsidRDefault="00E32D7B" w:rsidP="00E32D7B"/>
    <w:p w14:paraId="7E29D0A4" w14:textId="77777777" w:rsidR="00E32D7B" w:rsidRPr="00E32D7B" w:rsidRDefault="00E32D7B" w:rsidP="00E32D7B"/>
    <w:p w14:paraId="253616E5" w14:textId="77777777" w:rsidR="00E32D7B" w:rsidRPr="00E32D7B" w:rsidRDefault="00E32D7B" w:rsidP="00E32D7B"/>
    <w:p w14:paraId="271917A6" w14:textId="77777777" w:rsidR="00E32D7B" w:rsidRPr="00E32D7B" w:rsidRDefault="00E32D7B" w:rsidP="00E32D7B"/>
    <w:p w14:paraId="2DFE24DD" w14:textId="77777777" w:rsidR="00E32D7B" w:rsidRDefault="00E32D7B" w:rsidP="00E32D7B"/>
    <w:p w14:paraId="0E9DD8A0" w14:textId="24215672" w:rsidR="00E32D7B" w:rsidRPr="00E32D7B" w:rsidRDefault="00E32D7B" w:rsidP="00E32D7B">
      <w:r w:rsidRPr="00E32D7B">
        <w:lastRenderedPageBreak/>
        <w:t xml:space="preserve">Bibliography- </w:t>
      </w:r>
    </w:p>
    <w:p w14:paraId="705C0E31" w14:textId="77777777" w:rsidR="00E32D7B" w:rsidRPr="00E32D7B" w:rsidRDefault="00E32D7B" w:rsidP="00E32D7B">
      <w:r w:rsidRPr="00E32D7B">
        <w:t>Demerouti, E., Bakker, A.B., Nachreiner, F. and Schaufeli, W.B., 2001. The Job Demands-Resources model of burnout. Journal of Applied Psychology, 86(3), pp.499-512. Accessed on 26/11/2025.</w:t>
      </w:r>
    </w:p>
    <w:p w14:paraId="16995295" w14:textId="77777777" w:rsidR="00E32D7B" w:rsidRPr="00E32D7B" w:rsidRDefault="00E32D7B" w:rsidP="00E32D7B">
      <w:r w:rsidRPr="00E32D7B">
        <w:t xml:space="preserve">Gov.UK (2023b). </w:t>
      </w:r>
      <w:r w:rsidRPr="00E32D7B">
        <w:rPr>
          <w:i/>
          <w:iCs/>
        </w:rPr>
        <w:t>Police Covenant</w:t>
      </w:r>
      <w:r w:rsidRPr="00E32D7B">
        <w:t xml:space="preserve">. [online] GOV.UK. Available at: </w:t>
      </w:r>
      <w:hyperlink r:id="rId4" w:history="1">
        <w:r w:rsidRPr="00E32D7B">
          <w:rPr>
            <w:rStyle w:val="Hyperlink"/>
          </w:rPr>
          <w:t>https://www.gov.uk/guidance/police-covenant</w:t>
        </w:r>
      </w:hyperlink>
      <w:r w:rsidRPr="00E32D7B">
        <w:t xml:space="preserve">. Accessed on 28/11/2025. </w:t>
      </w:r>
    </w:p>
    <w:p w14:paraId="1301DD72" w14:textId="77777777" w:rsidR="00E32D7B" w:rsidRPr="00E32D7B" w:rsidRDefault="00E32D7B" w:rsidP="00E32D7B">
      <w:r w:rsidRPr="00E32D7B">
        <w:t xml:space="preserve">Oscar Kilo (2022d). </w:t>
      </w:r>
      <w:r w:rsidRPr="00E32D7B">
        <w:rPr>
          <w:i/>
          <w:iCs/>
        </w:rPr>
        <w:t>Oscar Kilo</w:t>
      </w:r>
      <w:r w:rsidRPr="00E32D7B">
        <w:t xml:space="preserve">. [online] Oscar Kilo. Available at: </w:t>
      </w:r>
      <w:hyperlink r:id="rId5" w:history="1">
        <w:r w:rsidRPr="00E32D7B">
          <w:rPr>
            <w:rStyle w:val="Hyperlink"/>
          </w:rPr>
          <w:t>https://www.oscarkilo.org.uk/</w:t>
        </w:r>
      </w:hyperlink>
      <w:r w:rsidRPr="00E32D7B">
        <w:t xml:space="preserve">. Accessed on 30/11/2025. </w:t>
      </w:r>
    </w:p>
    <w:p w14:paraId="4999248C" w14:textId="77777777" w:rsidR="00E32D7B" w:rsidRPr="00E32D7B" w:rsidRDefault="00E32D7B" w:rsidP="00E32D7B">
      <w:r>
        <w:t xml:space="preserve"> </w:t>
      </w:r>
      <w:r w:rsidRPr="00E32D7B">
        <w:t xml:space="preserve">Silvestri, M. (2017). Police Culture and Gender: Revisiting the ‘Cult of Masculinity’. </w:t>
      </w:r>
      <w:r w:rsidRPr="00E32D7B">
        <w:rPr>
          <w:i/>
          <w:iCs/>
        </w:rPr>
        <w:t>Policing: A Journal of Policy and Practice</w:t>
      </w:r>
      <w:r w:rsidRPr="00E32D7B">
        <w:t xml:space="preserve">, [online] 11(3), pp.289–300. </w:t>
      </w:r>
      <w:proofErr w:type="spellStart"/>
      <w:proofErr w:type="gramStart"/>
      <w:r w:rsidRPr="00E32D7B">
        <w:t>doi:https</w:t>
      </w:r>
      <w:proofErr w:type="spellEnd"/>
      <w:r w:rsidRPr="00E32D7B">
        <w:t>://doi.org/10.1093/police/paw052</w:t>
      </w:r>
      <w:proofErr w:type="gramEnd"/>
      <w:r w:rsidRPr="00E32D7B">
        <w:t>.</w:t>
      </w:r>
      <w:r>
        <w:t xml:space="preserve"> Accessed 30/11/2025. </w:t>
      </w:r>
    </w:p>
    <w:p w14:paraId="2345E235" w14:textId="7421234C" w:rsidR="002B5BF9" w:rsidRDefault="002B5BF9"/>
    <w:sectPr w:rsidR="002B5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D2B"/>
    <w:rsid w:val="00097C22"/>
    <w:rsid w:val="00295FA0"/>
    <w:rsid w:val="002B5BF9"/>
    <w:rsid w:val="003E27DC"/>
    <w:rsid w:val="0047701A"/>
    <w:rsid w:val="00515549"/>
    <w:rsid w:val="007445EB"/>
    <w:rsid w:val="008873EC"/>
    <w:rsid w:val="00924D58"/>
    <w:rsid w:val="009A70E4"/>
    <w:rsid w:val="00A77121"/>
    <w:rsid w:val="00B26D2B"/>
    <w:rsid w:val="00D84E8A"/>
    <w:rsid w:val="00E32D7B"/>
    <w:rsid w:val="00E91443"/>
    <w:rsid w:val="00F16AF3"/>
    <w:rsid w:val="00F9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30F57"/>
  <w15:chartTrackingRefBased/>
  <w15:docId w15:val="{CEADABB2-7846-422E-818B-5901314ED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D2B"/>
    <w:rPr>
      <w:rFonts w:eastAsiaTheme="majorEastAsia" w:cstheme="majorBidi"/>
      <w:color w:val="272727" w:themeColor="text1" w:themeTint="D8"/>
    </w:rPr>
  </w:style>
  <w:style w:type="paragraph" w:styleId="Title">
    <w:name w:val="Title"/>
    <w:basedOn w:val="Normal"/>
    <w:next w:val="Normal"/>
    <w:link w:val="TitleChar"/>
    <w:uiPriority w:val="10"/>
    <w:qFormat/>
    <w:rsid w:val="00B26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D2B"/>
    <w:pPr>
      <w:spacing w:before="160"/>
      <w:jc w:val="center"/>
    </w:pPr>
    <w:rPr>
      <w:i/>
      <w:iCs/>
      <w:color w:val="404040" w:themeColor="text1" w:themeTint="BF"/>
    </w:rPr>
  </w:style>
  <w:style w:type="character" w:customStyle="1" w:styleId="QuoteChar">
    <w:name w:val="Quote Char"/>
    <w:basedOn w:val="DefaultParagraphFont"/>
    <w:link w:val="Quote"/>
    <w:uiPriority w:val="29"/>
    <w:rsid w:val="00B26D2B"/>
    <w:rPr>
      <w:i/>
      <w:iCs/>
      <w:color w:val="404040" w:themeColor="text1" w:themeTint="BF"/>
    </w:rPr>
  </w:style>
  <w:style w:type="paragraph" w:styleId="ListParagraph">
    <w:name w:val="List Paragraph"/>
    <w:basedOn w:val="Normal"/>
    <w:uiPriority w:val="34"/>
    <w:qFormat/>
    <w:rsid w:val="00B26D2B"/>
    <w:pPr>
      <w:ind w:left="720"/>
      <w:contextualSpacing/>
    </w:pPr>
  </w:style>
  <w:style w:type="character" w:styleId="IntenseEmphasis">
    <w:name w:val="Intense Emphasis"/>
    <w:basedOn w:val="DefaultParagraphFont"/>
    <w:uiPriority w:val="21"/>
    <w:qFormat/>
    <w:rsid w:val="00B26D2B"/>
    <w:rPr>
      <w:i/>
      <w:iCs/>
      <w:color w:val="0F4761" w:themeColor="accent1" w:themeShade="BF"/>
    </w:rPr>
  </w:style>
  <w:style w:type="paragraph" w:styleId="IntenseQuote">
    <w:name w:val="Intense Quote"/>
    <w:basedOn w:val="Normal"/>
    <w:next w:val="Normal"/>
    <w:link w:val="IntenseQuoteChar"/>
    <w:uiPriority w:val="30"/>
    <w:qFormat/>
    <w:rsid w:val="00B26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D2B"/>
    <w:rPr>
      <w:i/>
      <w:iCs/>
      <w:color w:val="0F4761" w:themeColor="accent1" w:themeShade="BF"/>
    </w:rPr>
  </w:style>
  <w:style w:type="character" w:styleId="IntenseReference">
    <w:name w:val="Intense Reference"/>
    <w:basedOn w:val="DefaultParagraphFont"/>
    <w:uiPriority w:val="32"/>
    <w:qFormat/>
    <w:rsid w:val="00B26D2B"/>
    <w:rPr>
      <w:b/>
      <w:bCs/>
      <w:smallCaps/>
      <w:color w:val="0F4761" w:themeColor="accent1" w:themeShade="BF"/>
      <w:spacing w:val="5"/>
    </w:rPr>
  </w:style>
  <w:style w:type="character" w:styleId="Hyperlink">
    <w:name w:val="Hyperlink"/>
    <w:basedOn w:val="DefaultParagraphFont"/>
    <w:uiPriority w:val="99"/>
    <w:unhideWhenUsed/>
    <w:rsid w:val="002B5BF9"/>
    <w:rPr>
      <w:color w:val="467886" w:themeColor="hyperlink"/>
      <w:u w:val="single"/>
    </w:rPr>
  </w:style>
  <w:style w:type="character" w:styleId="UnresolvedMention">
    <w:name w:val="Unresolved Mention"/>
    <w:basedOn w:val="DefaultParagraphFont"/>
    <w:uiPriority w:val="99"/>
    <w:semiHidden/>
    <w:unhideWhenUsed/>
    <w:rsid w:val="002B5BF9"/>
    <w:rPr>
      <w:color w:val="605E5C"/>
      <w:shd w:val="clear" w:color="auto" w:fill="E1DFDD"/>
    </w:rPr>
  </w:style>
  <w:style w:type="paragraph" w:styleId="NormalWeb">
    <w:name w:val="Normal (Web)"/>
    <w:basedOn w:val="Normal"/>
    <w:uiPriority w:val="99"/>
    <w:semiHidden/>
    <w:unhideWhenUsed/>
    <w:rsid w:val="00E32D7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scarkilo.org.uk/" TargetMode="External"/><Relationship Id="rId4" Type="http://schemas.openxmlformats.org/officeDocument/2006/relationships/hyperlink" Target="https://www.gov.uk/guidance/police-coven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282</TotalTime>
  <Pages>4</Pages>
  <Words>1185</Words>
  <Characters>7430</Characters>
  <Application>Microsoft Office Word</Application>
  <DocSecurity>0</DocSecurity>
  <Lines>112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Evans,Eve swp8665</dc:creator>
  <cp:keywords/>
  <dc:description/>
  <cp:lastModifiedBy>Evans,Eve swp8665</cp:lastModifiedBy>
  <cp:revision>6</cp:revision>
  <dcterms:created xsi:type="dcterms:W3CDTF">2025-11-28T21:24:00Z</dcterms:created>
  <dcterms:modified xsi:type="dcterms:W3CDTF">2025-12-01T15:26:00Z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2025-12-01T10:47:13Z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7c7b861f-5f3d-41b9-bdfd-c42350248350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