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606581440"/>
        <w:docPartObj>
          <w:docPartGallery w:val="Cover Pages"/>
          <w:docPartUnique/>
        </w:docPartObj>
      </w:sdtPr>
      <w:sdtEndPr>
        <w:rPr>
          <w:rFonts w:ascii="Arial Black" w:eastAsiaTheme="minorHAnsi" w:hAnsi="Arial Black" w:cs="Arial"/>
          <w:color w:val="auto"/>
          <w:kern w:val="2"/>
          <w:sz w:val="24"/>
          <w:szCs w:val="24"/>
          <w:lang w:val="en-GB"/>
          <w14:ligatures w14:val="standardContextual"/>
        </w:rPr>
      </w:sdtEndPr>
      <w:sdtContent>
        <w:p w14:paraId="476D8E27" w14:textId="745EA4FE" w:rsidR="00337D8C" w:rsidRDefault="00337D8C">
          <w:pPr>
            <w:pStyle w:val="NoSpacing"/>
            <w:spacing w:before="1540" w:after="240"/>
            <w:jc w:val="center"/>
            <w:rPr>
              <w:color w:val="156082" w:themeColor="accent1"/>
            </w:rPr>
          </w:pPr>
          <w:r>
            <w:rPr>
              <w:noProof/>
              <w:color w:val="156082" w:themeColor="accent1"/>
            </w:rPr>
            <w:drawing>
              <wp:inline distT="0" distB="0" distL="0" distR="0" wp14:anchorId="7E933477" wp14:editId="057EAF49">
                <wp:extent cx="3285842" cy="750570"/>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305036" cy="754954"/>
                        </a:xfrm>
                        <a:prstGeom prst="rect">
                          <a:avLst/>
                        </a:prstGeom>
                        <a:noFill/>
                        <a:ln>
                          <a:noFill/>
                        </a:ln>
                      </pic:spPr>
                    </pic:pic>
                  </a:graphicData>
                </a:graphic>
              </wp:inline>
            </w:drawing>
          </w:r>
        </w:p>
        <w:sdt>
          <w:sdtPr>
            <w:rPr>
              <w:rFonts w:ascii="Arial Black" w:eastAsiaTheme="majorEastAsia" w:hAnsi="Arial Black" w:cstheme="majorBidi"/>
              <w:caps/>
              <w:color w:val="156082" w:themeColor="accent1"/>
              <w:sz w:val="72"/>
              <w:szCs w:val="72"/>
            </w:rPr>
            <w:alias w:val="Title"/>
            <w:tag w:val=""/>
            <w:id w:val="1735040861"/>
            <w:placeholder>
              <w:docPart w:val="1F7BB14502604D388DADE66744921EE1"/>
            </w:placeholder>
            <w:dataBinding w:prefixMappings="xmlns:ns0='http://purl.org/dc/elements/1.1/' xmlns:ns1='http://schemas.openxmlformats.org/package/2006/metadata/core-properties' " w:xpath="/ns1:coreProperties[1]/ns0:title[1]" w:storeItemID="{6C3C8BC8-F283-45AE-878A-BAB7291924A1}"/>
            <w:text/>
          </w:sdtPr>
          <w:sdtContent>
            <w:p w14:paraId="50F34E3A" w14:textId="3C114D1F" w:rsidR="00337D8C" w:rsidRDefault="00963AF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63AF1">
                <w:rPr>
                  <w:rFonts w:ascii="Arial Black" w:eastAsiaTheme="majorEastAsia" w:hAnsi="Arial Black" w:cstheme="majorBidi"/>
                  <w:caps/>
                  <w:color w:val="156082" w:themeColor="accent1"/>
                  <w:sz w:val="72"/>
                  <w:szCs w:val="72"/>
                </w:rPr>
                <w:t>BeGreen Renewable Energy Startup</w:t>
              </w:r>
            </w:p>
          </w:sdtContent>
        </w:sdt>
        <w:p w14:paraId="210CDBAB" w14:textId="486C3B60" w:rsidR="00337D8C" w:rsidRDefault="00337D8C" w:rsidP="00963AF1">
          <w:pPr>
            <w:pStyle w:val="NoSpacing"/>
            <w:rPr>
              <w:color w:val="156082" w:themeColor="accent1"/>
              <w:sz w:val="28"/>
              <w:szCs w:val="28"/>
            </w:rPr>
          </w:pPr>
        </w:p>
        <w:p w14:paraId="0553E560" w14:textId="643C86BE" w:rsidR="00337D8C" w:rsidRDefault="00337D8C">
          <w:pPr>
            <w:pStyle w:val="NoSpacing"/>
            <w:spacing w:before="480"/>
            <w:jc w:val="center"/>
            <w:rPr>
              <w:color w:val="156082" w:themeColor="accent1"/>
            </w:rPr>
          </w:pPr>
          <w:r>
            <w:rPr>
              <w:noProof/>
              <w:color w:val="156082" w:themeColor="accent1"/>
            </w:rPr>
            <w:drawing>
              <wp:inline distT="0" distB="0" distL="0" distR="0" wp14:anchorId="16C277D8" wp14:editId="4ED3000E">
                <wp:extent cx="2905775" cy="478790"/>
                <wp:effectExtent l="0" t="0" r="889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933569" cy="483370"/>
                        </a:xfrm>
                        <a:prstGeom prst="rect">
                          <a:avLst/>
                        </a:prstGeom>
                      </pic:spPr>
                    </pic:pic>
                  </a:graphicData>
                </a:graphic>
              </wp:inline>
            </w:drawing>
          </w:r>
        </w:p>
        <w:p w14:paraId="7AA19F60" w14:textId="010A1253" w:rsidR="00337D8C" w:rsidRDefault="00963AF1">
          <w:pPr>
            <w:rPr>
              <w:rFonts w:ascii="Arial Black" w:hAnsi="Arial Black" w:cs="Arial"/>
            </w:rPr>
          </w:pPr>
          <w:r>
            <w:rPr>
              <w:noProof/>
              <w:color w:val="156082" w:themeColor="accent1"/>
            </w:rPr>
            <mc:AlternateContent>
              <mc:Choice Requires="wps">
                <w:drawing>
                  <wp:anchor distT="0" distB="0" distL="114300" distR="114300" simplePos="0" relativeHeight="251659264" behindDoc="0" locked="0" layoutInCell="1" allowOverlap="1" wp14:anchorId="63FAC83D" wp14:editId="0C6F1754">
                    <wp:simplePos x="0" y="0"/>
                    <wp:positionH relativeFrom="margin">
                      <wp:posOffset>-143435</wp:posOffset>
                    </wp:positionH>
                    <wp:positionV relativeFrom="margin">
                      <wp:posOffset>7404847</wp:posOffset>
                    </wp:positionV>
                    <wp:extent cx="6010835" cy="1536700"/>
                    <wp:effectExtent l="0" t="0" r="9525" b="6350"/>
                    <wp:wrapNone/>
                    <wp:docPr id="142" name="Text Box 146"/>
                    <wp:cNvGraphicFramePr/>
                    <a:graphic xmlns:a="http://schemas.openxmlformats.org/drawingml/2006/main">
                      <a:graphicData uri="http://schemas.microsoft.com/office/word/2010/wordprocessingShape">
                        <wps:wsp>
                          <wps:cNvSpPr txBox="1"/>
                          <wps:spPr>
                            <a:xfrm>
                              <a:off x="0" y="0"/>
                              <a:ext cx="6010835" cy="153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156082"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5-03-14T00:00:00Z">
                                    <w:dateFormat w:val="MMMM d, yyyy"/>
                                    <w:lid w:val="en-US"/>
                                    <w:storeMappedDataAs w:val="dateTime"/>
                                    <w:calendar w:val="gregorian"/>
                                  </w:date>
                                </w:sdtPr>
                                <w:sdtContent>
                                  <w:p w14:paraId="41CC95B3" w14:textId="3670A49C" w:rsidR="00337D8C" w:rsidRPr="00963AF1" w:rsidRDefault="00963AF1">
                                    <w:pPr>
                                      <w:pStyle w:val="NoSpacing"/>
                                      <w:spacing w:after="40"/>
                                      <w:jc w:val="center"/>
                                      <w:rPr>
                                        <w:rFonts w:ascii="Arial Black" w:hAnsi="Arial Black"/>
                                        <w:caps/>
                                        <w:color w:val="156082" w:themeColor="accent1"/>
                                        <w:sz w:val="36"/>
                                        <w:szCs w:val="36"/>
                                      </w:rPr>
                                    </w:pPr>
                                    <w:r w:rsidRPr="00963AF1">
                                      <w:rPr>
                                        <w:rFonts w:ascii="Arial Black" w:hAnsi="Arial Black"/>
                                        <w:caps/>
                                        <w:color w:val="156082" w:themeColor="accent1"/>
                                        <w:sz w:val="36"/>
                                        <w:szCs w:val="36"/>
                                      </w:rPr>
                                      <w:t>March 14, 2025</w:t>
                                    </w:r>
                                  </w:p>
                                </w:sdtContent>
                              </w:sdt>
                              <w:p w14:paraId="6097DE93" w14:textId="116C2FB0" w:rsidR="00337D8C" w:rsidRPr="00963AF1" w:rsidRDefault="00963AF1">
                                <w:pPr>
                                  <w:pStyle w:val="NoSpacing"/>
                                  <w:jc w:val="center"/>
                                  <w:rPr>
                                    <w:rFonts w:ascii="Arial Black" w:hAnsi="Arial Black"/>
                                    <w:color w:val="156082" w:themeColor="accent1"/>
                                    <w:sz w:val="36"/>
                                    <w:szCs w:val="36"/>
                                  </w:rPr>
                                </w:pPr>
                                <w:sdt>
                                  <w:sdtPr>
                                    <w:rPr>
                                      <w:rFonts w:ascii="Arial Black" w:hAnsi="Arial Black"/>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963AF1">
                                      <w:rPr>
                                        <w:rFonts w:ascii="Arial Black" w:hAnsi="Arial Black"/>
                                        <w:caps/>
                                        <w:color w:val="156082" w:themeColor="accent1"/>
                                        <w:sz w:val="36"/>
                                        <w:szCs w:val="36"/>
                                      </w:rPr>
                                      <w:t>Sustainable Enterprise/ Social Enterprise Management</w:t>
                                    </w:r>
                                  </w:sdtContent>
                                </w:sdt>
                              </w:p>
                              <w:p w14:paraId="3D42927B" w14:textId="47992BAF" w:rsidR="00337D8C" w:rsidRPr="00963AF1" w:rsidRDefault="00337D8C">
                                <w:pPr>
                                  <w:pStyle w:val="NoSpacing"/>
                                  <w:jc w:val="center"/>
                                  <w:rPr>
                                    <w:rFonts w:ascii="Arial Black" w:hAnsi="Arial Black"/>
                                    <w:color w:val="156082" w:themeColor="accent1"/>
                                    <w:sz w:val="36"/>
                                    <w:szCs w:val="36"/>
                                  </w:rPr>
                                </w:pPr>
                                <w:sdt>
                                  <w:sdtPr>
                                    <w:rPr>
                                      <w:rFonts w:ascii="Arial Black" w:hAnsi="Arial Black"/>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963AF1" w:rsidRPr="00963AF1">
                                      <w:rPr>
                                        <w:rFonts w:ascii="Arial Black" w:hAnsi="Arial Black"/>
                                        <w:color w:val="156082" w:themeColor="accent1"/>
                                        <w:sz w:val="36"/>
                                        <w:szCs w:val="36"/>
                                      </w:rPr>
                                      <w:t xml:space="preserve">Student Name: Roponica Clemansa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FAC83D" id="_x0000_t202" coordsize="21600,21600" o:spt="202" path="m,l,21600r21600,l21600,xe">
                    <v:stroke joinstyle="miter"/>
                    <v:path gradientshapeok="t" o:connecttype="rect"/>
                  </v:shapetype>
                  <v:shape id="Text Box 146" o:spid="_x0000_s1026" type="#_x0000_t202" style="position:absolute;margin-left:-11.3pt;margin-top:583.05pt;width:473.3pt;height:12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" filled="f" stroked="f" strokeweight=".5pt">
                    <v:textbox inset="0,0,0,0">
                      <w:txbxContent>
                        <w:sdt>
                          <w:sdtPr>
                            <w:rPr>
                              <w:rFonts w:ascii="Arial Black" w:hAnsi="Arial Black"/>
                              <w:caps/>
                              <w:color w:val="156082"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5-03-14T00:00:00Z">
                              <w:dateFormat w:val="MMMM d, yyyy"/>
                              <w:lid w:val="en-US"/>
                              <w:storeMappedDataAs w:val="dateTime"/>
                              <w:calendar w:val="gregorian"/>
                            </w:date>
                          </w:sdtPr>
                          <w:sdtContent>
                            <w:p w14:paraId="41CC95B3" w14:textId="3670A49C" w:rsidR="00337D8C" w:rsidRPr="00963AF1" w:rsidRDefault="00963AF1">
                              <w:pPr>
                                <w:pStyle w:val="NoSpacing"/>
                                <w:spacing w:after="40"/>
                                <w:jc w:val="center"/>
                                <w:rPr>
                                  <w:rFonts w:ascii="Arial Black" w:hAnsi="Arial Black"/>
                                  <w:caps/>
                                  <w:color w:val="156082" w:themeColor="accent1"/>
                                  <w:sz w:val="36"/>
                                  <w:szCs w:val="36"/>
                                </w:rPr>
                              </w:pPr>
                              <w:r w:rsidRPr="00963AF1">
                                <w:rPr>
                                  <w:rFonts w:ascii="Arial Black" w:hAnsi="Arial Black"/>
                                  <w:caps/>
                                  <w:color w:val="156082" w:themeColor="accent1"/>
                                  <w:sz w:val="36"/>
                                  <w:szCs w:val="36"/>
                                </w:rPr>
                                <w:t>March 14, 2025</w:t>
                              </w:r>
                            </w:p>
                          </w:sdtContent>
                        </w:sdt>
                        <w:p w14:paraId="6097DE93" w14:textId="116C2FB0" w:rsidR="00337D8C" w:rsidRPr="00963AF1" w:rsidRDefault="00963AF1">
                          <w:pPr>
                            <w:pStyle w:val="NoSpacing"/>
                            <w:jc w:val="center"/>
                            <w:rPr>
                              <w:rFonts w:ascii="Arial Black" w:hAnsi="Arial Black"/>
                              <w:color w:val="156082" w:themeColor="accent1"/>
                              <w:sz w:val="36"/>
                              <w:szCs w:val="36"/>
                            </w:rPr>
                          </w:pPr>
                          <w:sdt>
                            <w:sdtPr>
                              <w:rPr>
                                <w:rFonts w:ascii="Arial Black" w:hAnsi="Arial Black"/>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963AF1">
                                <w:rPr>
                                  <w:rFonts w:ascii="Arial Black" w:hAnsi="Arial Black"/>
                                  <w:caps/>
                                  <w:color w:val="156082" w:themeColor="accent1"/>
                                  <w:sz w:val="36"/>
                                  <w:szCs w:val="36"/>
                                </w:rPr>
                                <w:t>Sustainable Enterprise/ Social Enterprise Management</w:t>
                              </w:r>
                            </w:sdtContent>
                          </w:sdt>
                        </w:p>
                        <w:p w14:paraId="3D42927B" w14:textId="47992BAF" w:rsidR="00337D8C" w:rsidRPr="00963AF1" w:rsidRDefault="00337D8C">
                          <w:pPr>
                            <w:pStyle w:val="NoSpacing"/>
                            <w:jc w:val="center"/>
                            <w:rPr>
                              <w:rFonts w:ascii="Arial Black" w:hAnsi="Arial Black"/>
                              <w:color w:val="156082" w:themeColor="accent1"/>
                              <w:sz w:val="36"/>
                              <w:szCs w:val="36"/>
                            </w:rPr>
                          </w:pPr>
                          <w:sdt>
                            <w:sdtPr>
                              <w:rPr>
                                <w:rFonts w:ascii="Arial Black" w:hAnsi="Arial Black"/>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963AF1" w:rsidRPr="00963AF1">
                                <w:rPr>
                                  <w:rFonts w:ascii="Arial Black" w:hAnsi="Arial Black"/>
                                  <w:color w:val="156082" w:themeColor="accent1"/>
                                  <w:sz w:val="36"/>
                                  <w:szCs w:val="36"/>
                                </w:rPr>
                                <w:t xml:space="preserve">Student Name: Roponica Clemansa </w:t>
                              </w:r>
                            </w:sdtContent>
                          </w:sdt>
                        </w:p>
                      </w:txbxContent>
                    </v:textbox>
                    <w10:wrap anchorx="margin" anchory="margin"/>
                  </v:shape>
                </w:pict>
              </mc:Fallback>
            </mc:AlternateContent>
          </w:r>
          <w:r w:rsidR="00337D8C">
            <w:rPr>
              <w:rFonts w:ascii="Arial Black" w:hAnsi="Arial Black" w:cs="Arial"/>
            </w:rPr>
            <w:br w:type="page"/>
          </w:r>
        </w:p>
      </w:sdtContent>
    </w:sdt>
    <w:p w14:paraId="275740EB" w14:textId="7DB09719" w:rsidR="00074490" w:rsidRPr="00A638ED" w:rsidRDefault="00074490" w:rsidP="00074490">
      <w:pPr>
        <w:pStyle w:val="ListParagraph"/>
        <w:numPr>
          <w:ilvl w:val="0"/>
          <w:numId w:val="1"/>
        </w:numPr>
        <w:spacing w:line="480" w:lineRule="auto"/>
        <w:jc w:val="both"/>
        <w:rPr>
          <w:rFonts w:ascii="Arial Black" w:hAnsi="Arial Black" w:cs="Arial"/>
        </w:rPr>
      </w:pPr>
      <w:r w:rsidRPr="00A638ED">
        <w:rPr>
          <w:rFonts w:ascii="Arial Black" w:hAnsi="Arial Black" w:cs="Arial"/>
        </w:rPr>
        <w:lastRenderedPageBreak/>
        <w:t xml:space="preserve">Objectives and goals </w:t>
      </w:r>
    </w:p>
    <w:p w14:paraId="1628258C" w14:textId="77777777" w:rsidR="00A638ED" w:rsidRDefault="00074490" w:rsidP="00074490">
      <w:pPr>
        <w:spacing w:line="480" w:lineRule="auto"/>
        <w:jc w:val="both"/>
        <w:rPr>
          <w:rFonts w:ascii="Arial" w:hAnsi="Arial" w:cs="Arial"/>
        </w:rPr>
      </w:pPr>
      <w:r w:rsidRPr="00074490">
        <w:rPr>
          <w:rFonts w:ascii="Arial" w:hAnsi="Arial" w:cs="Arial"/>
        </w:rPr>
        <w:t>By utilising state-of-the-art solar and wind technologies, BeGreen assists communities in reducing their carbon footprint and achieving sustainable prosperity by replacing electricity derived from fossil fuels. Our goal is in line with the sustainable corporate excellence standards set forth by Edgeman and Eskildsen (2014) as well as global environmental targets. Our goal is for BeGreen to become a leading supplier of renewable energy that meets consumer needs while advancing social responsibility and sustainability. By building renewable systems with a minimum combined capacity of 5 MW within five years, we hope to break into the market and provide clean energy to more than 2,000 households and businesses. As stated by Thompson (2010) in his work on sustainable enterprise, we want to significantly cut carbon emissions.</w:t>
      </w:r>
    </w:p>
    <w:p w14:paraId="6DF93229" w14:textId="77777777" w:rsidR="00A638ED" w:rsidRDefault="00074490" w:rsidP="00074490">
      <w:pPr>
        <w:spacing w:line="480" w:lineRule="auto"/>
        <w:jc w:val="both"/>
        <w:rPr>
          <w:rFonts w:ascii="Arial" w:hAnsi="Arial" w:cs="Arial"/>
        </w:rPr>
      </w:pPr>
      <w:r w:rsidRPr="00074490">
        <w:rPr>
          <w:rFonts w:ascii="Arial" w:hAnsi="Arial" w:cs="Arial"/>
        </w:rPr>
        <w:t xml:space="preserve">We desire to achieve a 15% net profit margin by Year 5 and break even by Year 3, as financial viability is of the utmost importance. Our financial estimates are based on the sustainable enterprise principles developed by Cohen, Smith, and Mitchell (2008). At least 10% of yearly earnings will go into research and development. </w:t>
      </w:r>
      <w:r w:rsidR="00A638ED" w:rsidRPr="00074490">
        <w:rPr>
          <w:rFonts w:ascii="Arial" w:hAnsi="Arial" w:cs="Arial"/>
        </w:rPr>
        <w:t>To</w:t>
      </w:r>
      <w:r w:rsidRPr="00074490">
        <w:rPr>
          <w:rFonts w:ascii="Arial" w:hAnsi="Arial" w:cs="Arial"/>
        </w:rPr>
        <w:t xml:space="preserve"> accomplish our sustainability objectives, this investment will boost system efficiency, integrate energy storage alternatives, and explore innovative technologies. By Year 5, we hope to offset more than 10,000 metric tonnes of CO</w:t>
      </w:r>
      <w:r w:rsidRPr="00074490">
        <w:rPr>
          <w:rFonts w:ascii="Cambria Math" w:hAnsi="Cambria Math" w:cs="Cambria Math"/>
        </w:rPr>
        <w:t>₂</w:t>
      </w:r>
      <w:r w:rsidRPr="00074490">
        <w:rPr>
          <w:rFonts w:ascii="Arial" w:hAnsi="Arial" w:cs="Arial"/>
        </w:rPr>
        <w:t xml:space="preserve"> yearly and promote stakeholder collaborations and job creation in local communities, resulting in quantifiable social and environmental benefits (Anbarasan, 2018; Di Domenico, Haugh, &amp; Tracey, 2010).</w:t>
      </w:r>
    </w:p>
    <w:p w14:paraId="5471DE75" w14:textId="65EE168B" w:rsidR="00A638ED" w:rsidRPr="00A638ED" w:rsidRDefault="00074490" w:rsidP="00A638ED">
      <w:pPr>
        <w:pStyle w:val="ListParagraph"/>
        <w:numPr>
          <w:ilvl w:val="0"/>
          <w:numId w:val="1"/>
        </w:numPr>
        <w:spacing w:line="480" w:lineRule="auto"/>
        <w:jc w:val="both"/>
        <w:rPr>
          <w:rFonts w:ascii="Arial Black" w:hAnsi="Arial Black" w:cs="Arial"/>
        </w:rPr>
      </w:pPr>
      <w:r w:rsidRPr="00A638ED">
        <w:rPr>
          <w:rFonts w:ascii="Arial Black" w:hAnsi="Arial Black" w:cs="Arial"/>
        </w:rPr>
        <w:t>Environment</w:t>
      </w:r>
      <w:r w:rsidR="00A638ED" w:rsidRPr="00A638ED">
        <w:rPr>
          <w:rFonts w:ascii="Arial Black" w:hAnsi="Arial Black" w:cs="Arial"/>
        </w:rPr>
        <w:t xml:space="preserve"> </w:t>
      </w:r>
      <w:r w:rsidRPr="00A638ED">
        <w:rPr>
          <w:rFonts w:ascii="Arial Black" w:hAnsi="Arial Black" w:cs="Arial"/>
        </w:rPr>
        <w:t xml:space="preserve">and Sustainability </w:t>
      </w:r>
    </w:p>
    <w:p w14:paraId="2A8A0B6C" w14:textId="77777777" w:rsidR="00A638ED" w:rsidRDefault="00074490" w:rsidP="00074490">
      <w:pPr>
        <w:spacing w:line="480" w:lineRule="auto"/>
        <w:jc w:val="both"/>
        <w:rPr>
          <w:rFonts w:ascii="Arial" w:hAnsi="Arial" w:cs="Arial"/>
        </w:rPr>
      </w:pPr>
      <w:r w:rsidRPr="00074490">
        <w:rPr>
          <w:rFonts w:ascii="Arial" w:hAnsi="Arial" w:cs="Arial"/>
        </w:rPr>
        <w:t xml:space="preserve">Sustainability of the environment is a top priority for BeGreen. Our sustainable energy options include wind turbines and solar photovoltaics to replace carbon-intensive energy sources. According to Dean and McMullen (2007), renewable energy </w:t>
      </w:r>
      <w:r w:rsidRPr="00074490">
        <w:rPr>
          <w:rFonts w:ascii="Arial" w:hAnsi="Arial" w:cs="Arial"/>
        </w:rPr>
        <w:lastRenderedPageBreak/>
        <w:t xml:space="preserve">technologies safeguard the environment by lowering hazardous emissions. By minimising the release of pollutants, these devices improve local air quality and lower greenhouse gas emissions. </w:t>
      </w:r>
    </w:p>
    <w:p w14:paraId="34028BE2" w14:textId="77777777" w:rsidR="00A638ED" w:rsidRDefault="00074490" w:rsidP="00074490">
      <w:pPr>
        <w:spacing w:line="480" w:lineRule="auto"/>
        <w:jc w:val="both"/>
        <w:rPr>
          <w:rFonts w:ascii="Arial" w:hAnsi="Arial" w:cs="Arial"/>
        </w:rPr>
      </w:pPr>
      <w:r w:rsidRPr="00074490">
        <w:rPr>
          <w:rFonts w:ascii="Arial" w:hAnsi="Arial" w:cs="Arial"/>
        </w:rPr>
        <w:t>Sustainable enterprise excellence is the cornerstone of BeGreen's sustainable strategy (Edgeman &amp; Eskildsen, 2014). Both items and internal activities are impacted by our environmental policy. In addition to using renewable energy in our offices and operational facilities, we will implement green waste reduction, recycling, and procurement practices. This total dedication adheres to the sustainable development principles</w:t>
      </w:r>
      <w:r w:rsidR="00A638ED">
        <w:rPr>
          <w:rFonts w:ascii="Arial" w:hAnsi="Arial" w:cs="Arial"/>
        </w:rPr>
        <w:t>,</w:t>
      </w:r>
      <w:r w:rsidRPr="00074490">
        <w:rPr>
          <w:rFonts w:ascii="Arial" w:hAnsi="Arial" w:cs="Arial"/>
        </w:rPr>
        <w:t xml:space="preserve"> which place a strong emphasis on integrating sustainability into all aspects of business operations. According to Thompson (2010), BeGreen also contributes to the reduction of environmental degradation by providing energy solutions that minimise electricity costs and guarantee long-term energy security. </w:t>
      </w:r>
    </w:p>
    <w:p w14:paraId="2199CEF9" w14:textId="5D090318" w:rsidR="00A638ED" w:rsidRPr="00A638ED" w:rsidRDefault="00074490" w:rsidP="00A638ED">
      <w:pPr>
        <w:pStyle w:val="ListParagraph"/>
        <w:numPr>
          <w:ilvl w:val="0"/>
          <w:numId w:val="1"/>
        </w:numPr>
        <w:spacing w:line="480" w:lineRule="auto"/>
        <w:jc w:val="both"/>
        <w:rPr>
          <w:rFonts w:ascii="Arial Black" w:hAnsi="Arial Black" w:cs="Arial"/>
        </w:rPr>
      </w:pPr>
      <w:r w:rsidRPr="00A638ED">
        <w:rPr>
          <w:rFonts w:ascii="Arial Black" w:hAnsi="Arial Black" w:cs="Arial"/>
        </w:rPr>
        <w:t>Resources Required</w:t>
      </w:r>
    </w:p>
    <w:p w14:paraId="778604FE" w14:textId="77777777" w:rsidR="00A638ED" w:rsidRDefault="00074490" w:rsidP="00074490">
      <w:pPr>
        <w:spacing w:line="480" w:lineRule="auto"/>
        <w:jc w:val="both"/>
        <w:rPr>
          <w:rFonts w:ascii="Arial" w:hAnsi="Arial" w:cs="Arial"/>
        </w:rPr>
      </w:pPr>
      <w:r w:rsidRPr="00074490">
        <w:rPr>
          <w:rFonts w:ascii="Arial" w:hAnsi="Arial" w:cs="Arial"/>
        </w:rPr>
        <w:t>The proper balance of financial, human, and physical resources is required by BeGreen. We require hardware, mounting solutions, energy storage batteries, inverters, small wind turbines, and high-quality solar panels.</w:t>
      </w:r>
      <w:r w:rsidR="00A638ED">
        <w:rPr>
          <w:rFonts w:ascii="Arial" w:hAnsi="Arial" w:cs="Arial"/>
        </w:rPr>
        <w:t xml:space="preserve"> O</w:t>
      </w:r>
      <w:r w:rsidRPr="00074490">
        <w:rPr>
          <w:rFonts w:ascii="Arial" w:hAnsi="Arial" w:cs="Arial"/>
        </w:rPr>
        <w:t>ur operational excellence depends on these capital expenditures</w:t>
      </w:r>
      <w:r w:rsidR="00A638ED">
        <w:rPr>
          <w:rFonts w:ascii="Arial" w:hAnsi="Arial" w:cs="Arial"/>
        </w:rPr>
        <w:t xml:space="preserve"> (</w:t>
      </w:r>
      <w:proofErr w:type="spellStart"/>
      <w:r w:rsidR="00A638ED" w:rsidRPr="00A638ED">
        <w:rPr>
          <w:rFonts w:ascii="Arial" w:hAnsi="Arial" w:cs="Arial"/>
        </w:rPr>
        <w:t>Chofreh</w:t>
      </w:r>
      <w:proofErr w:type="spellEnd"/>
      <w:r w:rsidR="00A638ED">
        <w:rPr>
          <w:rFonts w:ascii="Arial" w:hAnsi="Arial" w:cs="Arial"/>
        </w:rPr>
        <w:t xml:space="preserve">, </w:t>
      </w:r>
      <w:r w:rsidR="00A638ED" w:rsidRPr="00A638ED">
        <w:rPr>
          <w:rFonts w:ascii="Arial" w:hAnsi="Arial" w:cs="Arial"/>
        </w:rPr>
        <w:t>2018)</w:t>
      </w:r>
      <w:r w:rsidR="00A638ED">
        <w:rPr>
          <w:rFonts w:ascii="Arial" w:hAnsi="Arial" w:cs="Arial"/>
        </w:rPr>
        <w:t>.</w:t>
      </w:r>
      <w:r w:rsidR="00A638ED" w:rsidRPr="00A638ED">
        <w:rPr>
          <w:rFonts w:ascii="Arial" w:hAnsi="Arial" w:cs="Arial"/>
        </w:rPr>
        <w:t xml:space="preserve"> </w:t>
      </w:r>
      <w:r w:rsidRPr="00074490">
        <w:rPr>
          <w:rFonts w:ascii="Arial" w:hAnsi="Arial" w:cs="Arial"/>
        </w:rPr>
        <w:t xml:space="preserve"> It's also essential to set up an inventory warehouse and administrative office. </w:t>
      </w:r>
      <w:r w:rsidR="00A638ED" w:rsidRPr="00074490">
        <w:rPr>
          <w:rFonts w:ascii="Arial" w:hAnsi="Arial" w:cs="Arial"/>
        </w:rPr>
        <w:t>To</w:t>
      </w:r>
      <w:r w:rsidRPr="00074490">
        <w:rPr>
          <w:rFonts w:ascii="Arial" w:hAnsi="Arial" w:cs="Arial"/>
        </w:rPr>
        <w:t xml:space="preserve"> install renewable systems on-site, we will also purchase vehicles and specialised installation equipment. As recommended by Di Domenico et al. (2010), BeGreen will establish close relationships with well-known producers who adhere to sustainable standards </w:t>
      </w:r>
      <w:r w:rsidR="00A638ED" w:rsidRPr="00074490">
        <w:rPr>
          <w:rFonts w:ascii="Arial" w:hAnsi="Arial" w:cs="Arial"/>
        </w:rPr>
        <w:t>to</w:t>
      </w:r>
      <w:r w:rsidRPr="00074490">
        <w:rPr>
          <w:rFonts w:ascii="Arial" w:hAnsi="Arial" w:cs="Arial"/>
        </w:rPr>
        <w:t xml:space="preserve"> guarantee dependability and quality. </w:t>
      </w:r>
    </w:p>
    <w:p w14:paraId="48D946B9" w14:textId="2AF08F0D" w:rsidR="00A638ED" w:rsidRDefault="00074490" w:rsidP="00074490">
      <w:pPr>
        <w:spacing w:line="480" w:lineRule="auto"/>
        <w:jc w:val="both"/>
        <w:rPr>
          <w:rFonts w:ascii="Arial" w:hAnsi="Arial" w:cs="Arial"/>
        </w:rPr>
      </w:pPr>
      <w:r w:rsidRPr="00074490">
        <w:rPr>
          <w:rFonts w:ascii="Arial" w:hAnsi="Arial" w:cs="Arial"/>
        </w:rPr>
        <w:t xml:space="preserve">Engineers with expertise in renewable energy, certified technicians, sales and marketing specialists, and administrative personnel will all be part of our workforce. </w:t>
      </w:r>
      <w:r w:rsidR="00A638ED" w:rsidRPr="00074490">
        <w:rPr>
          <w:rFonts w:ascii="Arial" w:hAnsi="Arial" w:cs="Arial"/>
        </w:rPr>
        <w:t>To</w:t>
      </w:r>
      <w:r w:rsidRPr="00074490">
        <w:rPr>
          <w:rFonts w:ascii="Arial" w:hAnsi="Arial" w:cs="Arial"/>
        </w:rPr>
        <w:t xml:space="preserve"> </w:t>
      </w:r>
      <w:r w:rsidRPr="00074490">
        <w:rPr>
          <w:rFonts w:ascii="Arial" w:hAnsi="Arial" w:cs="Arial"/>
        </w:rPr>
        <w:lastRenderedPageBreak/>
        <w:t xml:space="preserve">promote technical innovation and superior customer service, we plan to hire eight to ten committed team members. To stay on top of sustainability best practices and renewable technology, our employees will place a high priority on professional development and training (Dean &amp; McMullen, 2007). </w:t>
      </w:r>
      <w:r w:rsidR="00A638ED" w:rsidRPr="00074490">
        <w:rPr>
          <w:rFonts w:ascii="Arial" w:hAnsi="Arial" w:cs="Arial"/>
        </w:rPr>
        <w:t>To</w:t>
      </w:r>
      <w:r w:rsidRPr="00074490">
        <w:rPr>
          <w:rFonts w:ascii="Arial" w:hAnsi="Arial" w:cs="Arial"/>
        </w:rPr>
        <w:t xml:space="preserve"> create a collaborative </w:t>
      </w:r>
      <w:r w:rsidR="00A638ED" w:rsidRPr="00074490">
        <w:rPr>
          <w:rFonts w:ascii="Arial" w:hAnsi="Arial" w:cs="Arial"/>
        </w:rPr>
        <w:t>ecosystem,</w:t>
      </w:r>
      <w:r w:rsidR="00A638ED">
        <w:rPr>
          <w:rFonts w:ascii="Arial" w:hAnsi="Arial" w:cs="Arial"/>
        </w:rPr>
        <w:t xml:space="preserve"> </w:t>
      </w:r>
      <w:r w:rsidRPr="00074490">
        <w:rPr>
          <w:rFonts w:ascii="Arial" w:hAnsi="Arial" w:cs="Arial"/>
        </w:rPr>
        <w:t xml:space="preserve">we will also include industry partners and local community stakeholders early on. </w:t>
      </w:r>
    </w:p>
    <w:p w14:paraId="1BC0D6AD" w14:textId="77777777" w:rsidR="00A638ED" w:rsidRDefault="00074490" w:rsidP="00074490">
      <w:pPr>
        <w:spacing w:line="480" w:lineRule="auto"/>
        <w:jc w:val="both"/>
        <w:rPr>
          <w:rFonts w:ascii="Arial" w:hAnsi="Arial" w:cs="Arial"/>
        </w:rPr>
      </w:pPr>
      <w:r w:rsidRPr="00074490">
        <w:rPr>
          <w:rFonts w:ascii="Arial" w:hAnsi="Arial" w:cs="Arial"/>
        </w:rPr>
        <w:t xml:space="preserve">It is estimated that BeGreen will require $300,000 in startup funding. Equipment, infrastructure, salaries, marketing, licensing, and insurance will all be paid for with this money. This estimate is in line with industry averages for sustainable enterprises (Desa, 2012). Government subsidies, low-interest green loans, and equity investments are some of our funding sources. According to Cohen et al. (2008), incentives and rebates for renewable energy will improve our financial stability. A financial strategy that is well-organised will incorporate a cash reserve to mitigate operational disruptions and ensure that service quality and expansion are not impacted by changes in the project cycle. </w:t>
      </w:r>
    </w:p>
    <w:p w14:paraId="1BED2A07" w14:textId="1921ACB4" w:rsidR="00A638ED" w:rsidRPr="00A638ED" w:rsidRDefault="00074490" w:rsidP="00A638ED">
      <w:pPr>
        <w:pStyle w:val="ListParagraph"/>
        <w:numPr>
          <w:ilvl w:val="0"/>
          <w:numId w:val="1"/>
        </w:numPr>
        <w:spacing w:line="480" w:lineRule="auto"/>
        <w:jc w:val="both"/>
        <w:rPr>
          <w:rFonts w:ascii="Arial Black" w:hAnsi="Arial Black" w:cs="Arial"/>
        </w:rPr>
      </w:pPr>
      <w:r w:rsidRPr="00A638ED">
        <w:rPr>
          <w:rFonts w:ascii="Arial Black" w:hAnsi="Arial Black" w:cs="Arial"/>
        </w:rPr>
        <w:t xml:space="preserve">Market Strategy </w:t>
      </w:r>
    </w:p>
    <w:p w14:paraId="61E69003" w14:textId="77777777" w:rsidR="00A638ED" w:rsidRDefault="00074490" w:rsidP="00074490">
      <w:pPr>
        <w:spacing w:line="480" w:lineRule="auto"/>
        <w:jc w:val="both"/>
        <w:rPr>
          <w:rFonts w:ascii="Arial" w:hAnsi="Arial" w:cs="Arial"/>
        </w:rPr>
      </w:pPr>
      <w:r w:rsidRPr="00074490">
        <w:rPr>
          <w:rFonts w:ascii="Arial" w:hAnsi="Arial" w:cs="Arial"/>
        </w:rPr>
        <w:t xml:space="preserve">Building trust, advancing our environmental goal, and attracting both residential and business clients are the goals of BeGreen's marketing strategy. Our goal is to establish a reputation for dependability, creativity, and environmental consciousness. According to Edgeman and Eskildsen (2014), BeGreen's positioning as a reliable renewable energy partner employs evidence-based messaging to fend off greenwashing, which is crucial in the cutthroat market of today. Our messaging will highlight the environmental and energy-saving benefits of our solutions. According to Thompson </w:t>
      </w:r>
      <w:r w:rsidRPr="00074490">
        <w:rPr>
          <w:rFonts w:ascii="Arial" w:hAnsi="Arial" w:cs="Arial"/>
        </w:rPr>
        <w:lastRenderedPageBreak/>
        <w:t xml:space="preserve">(2010), this socially conscious approach ought to appeal to environmentally conscious consumers and businesses. </w:t>
      </w:r>
    </w:p>
    <w:p w14:paraId="2B0D3295" w14:textId="77777777" w:rsidR="00A638ED" w:rsidRDefault="00074490" w:rsidP="00074490">
      <w:pPr>
        <w:spacing w:line="480" w:lineRule="auto"/>
        <w:jc w:val="both"/>
        <w:rPr>
          <w:rFonts w:ascii="Arial" w:hAnsi="Arial" w:cs="Arial"/>
        </w:rPr>
      </w:pPr>
      <w:r w:rsidRPr="00074490">
        <w:rPr>
          <w:rFonts w:ascii="Arial" w:hAnsi="Arial" w:cs="Arial"/>
        </w:rPr>
        <w:t xml:space="preserve">Our business model is based on the development, implementation, and maintenance of renewable energy systems. According to Di Domenico et al. (2010), this all-inclusive service approach places a strong emphasis on sustainability and long-term client support. Even with our high-end products, our pricing strategy is competitive when government incentives and long-term energy savings are </w:t>
      </w:r>
      <w:r w:rsidR="00A638ED" w:rsidRPr="00074490">
        <w:rPr>
          <w:rFonts w:ascii="Arial" w:hAnsi="Arial" w:cs="Arial"/>
        </w:rPr>
        <w:t>considered</w:t>
      </w:r>
      <w:r w:rsidRPr="00074490">
        <w:rPr>
          <w:rFonts w:ascii="Arial" w:hAnsi="Arial" w:cs="Arial"/>
        </w:rPr>
        <w:t xml:space="preserve">. To reduce the cost barrier to adoption, Cohen et al. (2008) recommend leasing models and power purchase agreements (PPAs). </w:t>
      </w:r>
    </w:p>
    <w:p w14:paraId="26DC7C21" w14:textId="77777777" w:rsidR="00A638ED" w:rsidRDefault="00074490" w:rsidP="00074490">
      <w:pPr>
        <w:spacing w:line="480" w:lineRule="auto"/>
        <w:jc w:val="both"/>
        <w:rPr>
          <w:rFonts w:ascii="Arial" w:hAnsi="Arial" w:cs="Arial"/>
        </w:rPr>
      </w:pPr>
      <w:r w:rsidRPr="00074490">
        <w:rPr>
          <w:rFonts w:ascii="Arial" w:hAnsi="Arial" w:cs="Arial"/>
        </w:rPr>
        <w:t xml:space="preserve">A digital marketing campaign will be implemented by BeGreen </w:t>
      </w:r>
      <w:proofErr w:type="gramStart"/>
      <w:r w:rsidRPr="00074490">
        <w:rPr>
          <w:rFonts w:ascii="Arial" w:hAnsi="Arial" w:cs="Arial"/>
        </w:rPr>
        <w:t>in order to</w:t>
      </w:r>
      <w:proofErr w:type="gramEnd"/>
      <w:r w:rsidRPr="00074490">
        <w:rPr>
          <w:rFonts w:ascii="Arial" w:hAnsi="Arial" w:cs="Arial"/>
        </w:rPr>
        <w:t xml:space="preserve"> increase its market share. A search engine-optimized website, blogs, case studies, videos, and social media engagement are all part of this campaign. Through these digital initiatives, BeGreen hopes to establish itself as a thought leader in the industry and inform prospective customers about renewable energy (</w:t>
      </w:r>
      <w:proofErr w:type="spellStart"/>
      <w:r w:rsidRPr="00074490">
        <w:rPr>
          <w:rFonts w:ascii="Arial" w:hAnsi="Arial" w:cs="Arial"/>
        </w:rPr>
        <w:t>Febrizal</w:t>
      </w:r>
      <w:proofErr w:type="spellEnd"/>
      <w:r w:rsidRPr="00074490">
        <w:rPr>
          <w:rFonts w:ascii="Arial" w:hAnsi="Arial" w:cs="Arial"/>
        </w:rPr>
        <w:t xml:space="preserve"> </w:t>
      </w:r>
      <w:proofErr w:type="spellStart"/>
      <w:r w:rsidRPr="00074490">
        <w:rPr>
          <w:rFonts w:ascii="Arial" w:hAnsi="Arial" w:cs="Arial"/>
        </w:rPr>
        <w:t>Rahmana</w:t>
      </w:r>
      <w:proofErr w:type="spellEnd"/>
      <w:r w:rsidRPr="00074490">
        <w:rPr>
          <w:rFonts w:ascii="Arial" w:hAnsi="Arial" w:cs="Arial"/>
        </w:rPr>
        <w:t xml:space="preserve"> &amp; </w:t>
      </w:r>
      <w:proofErr w:type="spellStart"/>
      <w:r w:rsidRPr="00074490">
        <w:rPr>
          <w:rFonts w:ascii="Arial" w:hAnsi="Arial" w:cs="Arial"/>
        </w:rPr>
        <w:t>Bawono</w:t>
      </w:r>
      <w:proofErr w:type="spellEnd"/>
      <w:r w:rsidRPr="00074490">
        <w:rPr>
          <w:rFonts w:ascii="Arial" w:hAnsi="Arial" w:cs="Arial"/>
        </w:rPr>
        <w:t>, 2020). To increase our market reach and stakeholder engagement, we will also collaborate with local governments, community organisations, and real estate developers (Anbarasan, 2018). We will place a high priority on direct client involvement by offering free energy audits and individualised consultations to show the financial and environmental advantages of our solutions. Personalised sales, strategic partnerships, and digital outreach should increase customer loyalty and expansion.</w:t>
      </w:r>
    </w:p>
    <w:p w14:paraId="0181AF2B" w14:textId="1CDCE934" w:rsidR="00A638ED" w:rsidRPr="00A638ED" w:rsidRDefault="00074490" w:rsidP="00A638ED">
      <w:pPr>
        <w:pStyle w:val="ListParagraph"/>
        <w:numPr>
          <w:ilvl w:val="0"/>
          <w:numId w:val="1"/>
        </w:numPr>
        <w:spacing w:line="480" w:lineRule="auto"/>
        <w:jc w:val="both"/>
        <w:rPr>
          <w:rFonts w:ascii="Arial Black" w:hAnsi="Arial Black" w:cs="Arial"/>
        </w:rPr>
      </w:pPr>
      <w:r w:rsidRPr="00A638ED">
        <w:rPr>
          <w:rFonts w:ascii="Arial Black" w:hAnsi="Arial Black" w:cs="Arial"/>
        </w:rPr>
        <w:t xml:space="preserve">PESTLE </w:t>
      </w:r>
    </w:p>
    <w:p w14:paraId="5DED4129" w14:textId="77777777" w:rsidR="00A638ED" w:rsidRDefault="00074490" w:rsidP="00074490">
      <w:pPr>
        <w:spacing w:line="480" w:lineRule="auto"/>
        <w:jc w:val="both"/>
        <w:rPr>
          <w:rFonts w:ascii="Arial" w:hAnsi="Arial" w:cs="Arial"/>
        </w:rPr>
      </w:pPr>
      <w:r w:rsidRPr="00074490">
        <w:rPr>
          <w:rFonts w:ascii="Arial" w:hAnsi="Arial" w:cs="Arial"/>
        </w:rPr>
        <w:t xml:space="preserve">BeGreen is confronted with challenging political, economic, social, technological, legal, and environmental obstacles. Government support for renewable energy has </w:t>
      </w:r>
      <w:r w:rsidRPr="00074490">
        <w:rPr>
          <w:rFonts w:ascii="Arial" w:hAnsi="Arial" w:cs="Arial"/>
        </w:rPr>
        <w:lastRenderedPageBreak/>
        <w:t xml:space="preserve">been sparked by national and international pledges to cut carbon emissions, with many nations offering tax breaks and incentives. In addition, renewable energy investments are promoted by such policies, as noted by Thompson 2010. These incentives could be diminished by political unrest or changes in policy, which would be dangerous. Desa (2012) backs our proactive strategy of interacting with trade associations and governments to react quickly to changes. </w:t>
      </w:r>
    </w:p>
    <w:p w14:paraId="23E12252" w14:textId="77777777" w:rsidR="00A638ED" w:rsidRDefault="00074490" w:rsidP="00074490">
      <w:pPr>
        <w:spacing w:line="480" w:lineRule="auto"/>
        <w:jc w:val="both"/>
        <w:rPr>
          <w:rFonts w:ascii="Arial" w:hAnsi="Arial" w:cs="Arial"/>
        </w:rPr>
      </w:pPr>
      <w:r w:rsidRPr="00074490">
        <w:rPr>
          <w:rFonts w:ascii="Arial" w:hAnsi="Arial" w:cs="Arial"/>
        </w:rPr>
        <w:t xml:space="preserve">Economically, the renewable energy industry is flourishing. Our industry has the potential to grow </w:t>
      </w:r>
      <w:r w:rsidR="00A638ED" w:rsidRPr="00074490">
        <w:rPr>
          <w:rFonts w:ascii="Arial" w:hAnsi="Arial" w:cs="Arial"/>
        </w:rPr>
        <w:t>because of</w:t>
      </w:r>
      <w:r w:rsidRPr="00074490">
        <w:rPr>
          <w:rFonts w:ascii="Arial" w:hAnsi="Arial" w:cs="Arial"/>
        </w:rPr>
        <w:t xml:space="preserve"> declining costs for solar panels and wind turbines as well as rising public and private investment. Our financial estimates are supported by positive sector economic trends </w:t>
      </w:r>
      <w:r w:rsidR="00A638ED">
        <w:rPr>
          <w:rFonts w:ascii="Arial" w:hAnsi="Arial" w:cs="Arial"/>
        </w:rPr>
        <w:t>(</w:t>
      </w:r>
      <w:r w:rsidRPr="00074490">
        <w:rPr>
          <w:rFonts w:ascii="Arial" w:hAnsi="Arial" w:cs="Arial"/>
        </w:rPr>
        <w:t>Cohen et al.</w:t>
      </w:r>
      <w:r w:rsidR="00A638ED">
        <w:rPr>
          <w:rFonts w:ascii="Arial" w:hAnsi="Arial" w:cs="Arial"/>
        </w:rPr>
        <w:t xml:space="preserve">, </w:t>
      </w:r>
      <w:r w:rsidRPr="00074490">
        <w:rPr>
          <w:rFonts w:ascii="Arial" w:hAnsi="Arial" w:cs="Arial"/>
        </w:rPr>
        <w:t>2008). Since customers' desire to invest in renewable systems may be impacted by interest rate changes or economic downturns, flexible financing options are crucial during uncertain economic times (</w:t>
      </w:r>
      <w:proofErr w:type="spellStart"/>
      <w:r w:rsidRPr="00074490">
        <w:rPr>
          <w:rFonts w:ascii="Arial" w:hAnsi="Arial" w:cs="Arial"/>
        </w:rPr>
        <w:t>Febrizal</w:t>
      </w:r>
      <w:proofErr w:type="spellEnd"/>
      <w:r w:rsidRPr="00074490">
        <w:rPr>
          <w:rFonts w:ascii="Arial" w:hAnsi="Arial" w:cs="Arial"/>
        </w:rPr>
        <w:t xml:space="preserve"> </w:t>
      </w:r>
      <w:proofErr w:type="spellStart"/>
      <w:r w:rsidRPr="00074490">
        <w:rPr>
          <w:rFonts w:ascii="Arial" w:hAnsi="Arial" w:cs="Arial"/>
        </w:rPr>
        <w:t>Rahmana</w:t>
      </w:r>
      <w:proofErr w:type="spellEnd"/>
      <w:r w:rsidRPr="00074490">
        <w:rPr>
          <w:rFonts w:ascii="Arial" w:hAnsi="Arial" w:cs="Arial"/>
        </w:rPr>
        <w:t xml:space="preserve"> &amp; </w:t>
      </w:r>
      <w:proofErr w:type="spellStart"/>
      <w:r w:rsidRPr="00074490">
        <w:rPr>
          <w:rFonts w:ascii="Arial" w:hAnsi="Arial" w:cs="Arial"/>
        </w:rPr>
        <w:t>Bawono</w:t>
      </w:r>
      <w:proofErr w:type="spellEnd"/>
      <w:r w:rsidRPr="00074490">
        <w:rPr>
          <w:rFonts w:ascii="Arial" w:hAnsi="Arial" w:cs="Arial"/>
        </w:rPr>
        <w:t xml:space="preserve">, 2020). </w:t>
      </w:r>
    </w:p>
    <w:p w14:paraId="65F20658" w14:textId="77777777" w:rsidR="00A638ED" w:rsidRDefault="00074490" w:rsidP="00074490">
      <w:pPr>
        <w:spacing w:line="480" w:lineRule="auto"/>
        <w:jc w:val="both"/>
        <w:rPr>
          <w:rFonts w:ascii="Arial" w:hAnsi="Arial" w:cs="Arial"/>
        </w:rPr>
      </w:pPr>
      <w:r w:rsidRPr="00074490">
        <w:rPr>
          <w:rFonts w:ascii="Arial" w:hAnsi="Arial" w:cs="Arial"/>
        </w:rPr>
        <w:t xml:space="preserve">BeGreen's success is largely dependent on social factors. As environmental consciousness increases, consumers favour sustainable energy options. Di Domenico, Haugh, and Tracey (2010) discovered that installations of renewable energy are motivated by environmental consciousness. According to Anbarasan's (2018) stakeholder engagement framework, brand image and acceptance are enhanced by educational initiatives and connections with local communities. </w:t>
      </w:r>
    </w:p>
    <w:p w14:paraId="417530BF" w14:textId="77777777" w:rsidR="00A638ED" w:rsidRDefault="00074490" w:rsidP="00074490">
      <w:pPr>
        <w:spacing w:line="480" w:lineRule="auto"/>
        <w:jc w:val="both"/>
        <w:rPr>
          <w:rFonts w:ascii="Arial" w:hAnsi="Arial" w:cs="Arial"/>
        </w:rPr>
      </w:pPr>
      <w:r w:rsidRPr="00074490">
        <w:rPr>
          <w:rFonts w:ascii="Arial" w:hAnsi="Arial" w:cs="Arial"/>
        </w:rPr>
        <w:t xml:space="preserve">Innovations in solar, wind, and energy storage technologies increase the cost-effectiveness and efficiency of renewable energy sources. </w:t>
      </w:r>
      <w:proofErr w:type="spellStart"/>
      <w:r w:rsidRPr="00074490">
        <w:rPr>
          <w:rFonts w:ascii="Arial" w:hAnsi="Arial" w:cs="Arial"/>
        </w:rPr>
        <w:t>Chofreh</w:t>
      </w:r>
      <w:proofErr w:type="spellEnd"/>
      <w:r w:rsidRPr="00074490">
        <w:rPr>
          <w:rFonts w:ascii="Arial" w:hAnsi="Arial" w:cs="Arial"/>
        </w:rPr>
        <w:t xml:space="preserve"> (2018) asserts that technology has increased the competitiveness of renewable energy systems relative to conventional energy sources. Digital monitoring tools and intelligent energy </w:t>
      </w:r>
      <w:r w:rsidRPr="00074490">
        <w:rPr>
          <w:rFonts w:ascii="Arial" w:hAnsi="Arial" w:cs="Arial"/>
        </w:rPr>
        <w:lastRenderedPageBreak/>
        <w:t xml:space="preserve">management systems will help BeGreen maximise system uptime and predict maintenance requirements (Cohen et al., 2008). </w:t>
      </w:r>
    </w:p>
    <w:p w14:paraId="088C4302" w14:textId="77777777" w:rsidR="00A638ED" w:rsidRDefault="00074490" w:rsidP="00074490">
      <w:pPr>
        <w:spacing w:line="480" w:lineRule="auto"/>
        <w:jc w:val="both"/>
        <w:rPr>
          <w:rFonts w:ascii="Arial" w:hAnsi="Arial" w:cs="Arial"/>
        </w:rPr>
      </w:pPr>
      <w:r w:rsidRPr="00074490">
        <w:rPr>
          <w:rFonts w:ascii="Arial" w:hAnsi="Arial" w:cs="Arial"/>
        </w:rPr>
        <w:t xml:space="preserve">BeGreen must adhere to safety regulations, electrical codes, and permitting processes. Our operations have to adhere to federal, state, and local regulations (Thompson, 2010). Concise supplier and customer contracts lower legal risks and simplify business operations, claim Edgeman and Eskildsen (2014). </w:t>
      </w:r>
    </w:p>
    <w:p w14:paraId="51C979F3" w14:textId="77777777" w:rsidR="00A638ED" w:rsidRDefault="00074490" w:rsidP="00074490">
      <w:pPr>
        <w:spacing w:line="480" w:lineRule="auto"/>
        <w:jc w:val="both"/>
        <w:rPr>
          <w:rFonts w:ascii="Arial" w:hAnsi="Arial" w:cs="Arial"/>
        </w:rPr>
      </w:pPr>
      <w:r w:rsidRPr="00074490">
        <w:rPr>
          <w:rFonts w:ascii="Arial" w:hAnsi="Arial" w:cs="Arial"/>
        </w:rPr>
        <w:t>The environment comes first at BeGreen. By switching from fossil fuels to renewable energy, we lower greenhouse gas emissions. The necessity of renewable energy in the fight against climate change is emphasised by Dean and McMullen (2007). BeGreen will also engage with suppliers who practise sustainable sourcing and recycling to reduce our products' life-cycle impacts, following Thompson (2010)'s environmental insights.</w:t>
      </w:r>
    </w:p>
    <w:p w14:paraId="7BDE3790" w14:textId="4DD7CC85" w:rsidR="00A638ED" w:rsidRPr="00A638ED" w:rsidRDefault="00074490" w:rsidP="00A638ED">
      <w:pPr>
        <w:pStyle w:val="ListParagraph"/>
        <w:numPr>
          <w:ilvl w:val="0"/>
          <w:numId w:val="1"/>
        </w:numPr>
        <w:spacing w:line="480" w:lineRule="auto"/>
        <w:jc w:val="both"/>
        <w:rPr>
          <w:rFonts w:ascii="Arial Black" w:hAnsi="Arial Black" w:cs="Arial"/>
        </w:rPr>
      </w:pPr>
      <w:r w:rsidRPr="00A638ED">
        <w:rPr>
          <w:rFonts w:ascii="Arial Black" w:hAnsi="Arial Black" w:cs="Arial"/>
        </w:rPr>
        <w:t xml:space="preserve">SWOT  </w:t>
      </w:r>
    </w:p>
    <w:p w14:paraId="40DE2307" w14:textId="77777777" w:rsidR="00337D8C" w:rsidRDefault="00074490" w:rsidP="00074490">
      <w:pPr>
        <w:spacing w:line="480" w:lineRule="auto"/>
        <w:jc w:val="both"/>
        <w:rPr>
          <w:rFonts w:ascii="Arial" w:hAnsi="Arial" w:cs="Arial"/>
        </w:rPr>
      </w:pPr>
      <w:r w:rsidRPr="00074490">
        <w:rPr>
          <w:rFonts w:ascii="Arial" w:hAnsi="Arial" w:cs="Arial"/>
        </w:rPr>
        <w:t xml:space="preserve">BeGreen provides exceptional customer service along with excellence in the design, installation, and maintenance of renewable energy systems. In accordance with the sustainable enterprise excellence paradigm proposed by Edgeman and Eskildsen (2014), our all-encompassing service approach cultivates client trust and dependability. Thompson (2010) underscores the competitive advantage that our team's expertise and enthusiasm provide in the field of renewable energy. Cohen et al. (2008) recommend that we implement flexible financing to increase the accessibility of our premium offerings to a broader audience. Our company model's scalability and minimal operating expenses after installation facilitate rapid expansion once we establish market momentum, as per Dean and McMullen (2007). </w:t>
      </w:r>
    </w:p>
    <w:p w14:paraId="325EFBA4" w14:textId="438C44E4" w:rsidR="00337D8C" w:rsidRDefault="00074490" w:rsidP="00074490">
      <w:pPr>
        <w:spacing w:line="480" w:lineRule="auto"/>
        <w:jc w:val="both"/>
        <w:rPr>
          <w:rFonts w:ascii="Arial" w:hAnsi="Arial" w:cs="Arial"/>
        </w:rPr>
      </w:pPr>
      <w:proofErr w:type="spellStart"/>
      <w:r w:rsidRPr="00074490">
        <w:rPr>
          <w:rFonts w:ascii="Arial" w:hAnsi="Arial" w:cs="Arial"/>
        </w:rPr>
        <w:lastRenderedPageBreak/>
        <w:t>eGreen</w:t>
      </w:r>
      <w:proofErr w:type="spellEnd"/>
      <w:r w:rsidRPr="00074490">
        <w:rPr>
          <w:rFonts w:ascii="Arial" w:hAnsi="Arial" w:cs="Arial"/>
        </w:rPr>
        <w:t xml:space="preserve"> is confronted with obstacles such as the substantial initial capital investment required for infrastructure and equipment establishment, despite these attributes. Desa (2012) stated that this financial barrier may hinder early-stage cash flow management. According to Di Domenico et al. (2010), our recent entry into the market suggests that we do not have the necessary track record to establish client trust and acceptability. Project delays and costs could result from supply chain risks caused by third-party vendors for essential equipment</w:t>
      </w:r>
      <w:r w:rsidR="00337D8C">
        <w:rPr>
          <w:rFonts w:ascii="Arial" w:hAnsi="Arial" w:cs="Arial"/>
        </w:rPr>
        <w:t xml:space="preserve"> (</w:t>
      </w:r>
      <w:proofErr w:type="spellStart"/>
      <w:r w:rsidRPr="00074490">
        <w:rPr>
          <w:rFonts w:ascii="Arial" w:hAnsi="Arial" w:cs="Arial"/>
        </w:rPr>
        <w:t>Chofreh</w:t>
      </w:r>
      <w:proofErr w:type="spellEnd"/>
      <w:r w:rsidR="00337D8C">
        <w:rPr>
          <w:rFonts w:ascii="Arial" w:hAnsi="Arial" w:cs="Arial"/>
        </w:rPr>
        <w:t xml:space="preserve">, </w:t>
      </w:r>
      <w:r w:rsidRPr="00074490">
        <w:rPr>
          <w:rFonts w:ascii="Arial" w:hAnsi="Arial" w:cs="Arial"/>
        </w:rPr>
        <w:t xml:space="preserve">2018). Thompson (2010) notes that our small first staff may struggle to scale quickly to meet demand. </w:t>
      </w:r>
    </w:p>
    <w:p w14:paraId="49FB8410" w14:textId="77777777" w:rsidR="00337D8C" w:rsidRDefault="00074490" w:rsidP="00074490">
      <w:pPr>
        <w:spacing w:line="480" w:lineRule="auto"/>
        <w:jc w:val="both"/>
        <w:rPr>
          <w:rFonts w:ascii="Arial" w:hAnsi="Arial" w:cs="Arial"/>
        </w:rPr>
      </w:pPr>
      <w:r w:rsidRPr="00074490">
        <w:rPr>
          <w:rFonts w:ascii="Arial" w:hAnsi="Arial" w:cs="Arial"/>
        </w:rPr>
        <w:t xml:space="preserve">BeGreen has numerous opportunities </w:t>
      </w:r>
      <w:r w:rsidR="00337D8C" w:rsidRPr="00074490">
        <w:rPr>
          <w:rFonts w:ascii="Arial" w:hAnsi="Arial" w:cs="Arial"/>
        </w:rPr>
        <w:t>considering</w:t>
      </w:r>
      <w:r w:rsidRPr="00074490">
        <w:rPr>
          <w:rFonts w:ascii="Arial" w:hAnsi="Arial" w:cs="Arial"/>
        </w:rPr>
        <w:t xml:space="preserve"> the accelerated global transition to renewable energy. Growth is possible due to consumer interest and government incentives</w:t>
      </w:r>
      <w:r w:rsidR="00337D8C">
        <w:rPr>
          <w:rFonts w:ascii="Arial" w:hAnsi="Arial" w:cs="Arial"/>
        </w:rPr>
        <w:t xml:space="preserve">. </w:t>
      </w:r>
      <w:r w:rsidRPr="00074490">
        <w:rPr>
          <w:rFonts w:ascii="Arial" w:hAnsi="Arial" w:cs="Arial"/>
        </w:rPr>
        <w:t>BeGreen can offer more efficient renewable energy solutions as technology improves their performance and cost (</w:t>
      </w:r>
      <w:proofErr w:type="spellStart"/>
      <w:r w:rsidRPr="00074490">
        <w:rPr>
          <w:rFonts w:ascii="Arial" w:hAnsi="Arial" w:cs="Arial"/>
        </w:rPr>
        <w:t>Chofreh</w:t>
      </w:r>
      <w:proofErr w:type="spellEnd"/>
      <w:r w:rsidRPr="00074490">
        <w:rPr>
          <w:rFonts w:ascii="Arial" w:hAnsi="Arial" w:cs="Arial"/>
        </w:rPr>
        <w:t xml:space="preserve">, 2018). Anbarasan (2018) argues that stakeholder engagement and market reach can be enhanced by strategic partnerships with local governments, real estate developers, and community organisations. </w:t>
      </w:r>
    </w:p>
    <w:p w14:paraId="5709A343" w14:textId="27C92CF0" w:rsidR="00337D8C" w:rsidRDefault="00074490" w:rsidP="00074490">
      <w:pPr>
        <w:spacing w:line="480" w:lineRule="auto"/>
        <w:jc w:val="both"/>
        <w:rPr>
          <w:rFonts w:ascii="Arial" w:hAnsi="Arial" w:cs="Arial"/>
        </w:rPr>
      </w:pPr>
      <w:r w:rsidRPr="00074490">
        <w:rPr>
          <w:rFonts w:ascii="Arial" w:hAnsi="Arial" w:cs="Arial"/>
        </w:rPr>
        <w:t>However, enterprises that are in competition for market share may experience margin pressure due to intense competition from both established firms and new entrants (Cohen et al., 2008). Changes to policies and regulations, such as incentive programs or permissions needs, may have a negative impact on project profitability and client satisfaction (Desa, 2012). Economic volatility, such as downturns or interest rate changes, may reduce customer capital and impede market expansion (</w:t>
      </w:r>
      <w:proofErr w:type="spellStart"/>
      <w:r w:rsidRPr="00074490">
        <w:rPr>
          <w:rFonts w:ascii="Arial" w:hAnsi="Arial" w:cs="Arial"/>
        </w:rPr>
        <w:t>Febrizal</w:t>
      </w:r>
      <w:proofErr w:type="spellEnd"/>
      <w:r w:rsidRPr="00074490">
        <w:rPr>
          <w:rFonts w:ascii="Arial" w:hAnsi="Arial" w:cs="Arial"/>
        </w:rPr>
        <w:t xml:space="preserve"> </w:t>
      </w:r>
      <w:proofErr w:type="spellStart"/>
      <w:r w:rsidRPr="00074490">
        <w:rPr>
          <w:rFonts w:ascii="Arial" w:hAnsi="Arial" w:cs="Arial"/>
        </w:rPr>
        <w:t>Rahmana</w:t>
      </w:r>
      <w:proofErr w:type="spellEnd"/>
      <w:r w:rsidRPr="00074490">
        <w:rPr>
          <w:rFonts w:ascii="Arial" w:hAnsi="Arial" w:cs="Arial"/>
        </w:rPr>
        <w:t xml:space="preserve"> &amp; </w:t>
      </w:r>
      <w:proofErr w:type="spellStart"/>
      <w:r w:rsidRPr="00074490">
        <w:rPr>
          <w:rFonts w:ascii="Arial" w:hAnsi="Arial" w:cs="Arial"/>
        </w:rPr>
        <w:t>Bawono</w:t>
      </w:r>
      <w:proofErr w:type="spellEnd"/>
      <w:r w:rsidRPr="00074490">
        <w:rPr>
          <w:rFonts w:ascii="Arial" w:hAnsi="Arial" w:cs="Arial"/>
        </w:rPr>
        <w:t xml:space="preserve">, 2020). Global supply chain interruptions and equipment procurement delays or price increases provide additional risks, according to </w:t>
      </w:r>
      <w:proofErr w:type="spellStart"/>
      <w:r w:rsidRPr="00074490">
        <w:rPr>
          <w:rFonts w:ascii="Arial" w:hAnsi="Arial" w:cs="Arial"/>
        </w:rPr>
        <w:t>Chofreh</w:t>
      </w:r>
      <w:proofErr w:type="spellEnd"/>
      <w:r w:rsidRPr="00074490">
        <w:rPr>
          <w:rFonts w:ascii="Arial" w:hAnsi="Arial" w:cs="Arial"/>
        </w:rPr>
        <w:t xml:space="preserve"> (2018)</w:t>
      </w:r>
      <w:r w:rsidR="00337D8C">
        <w:rPr>
          <w:rFonts w:ascii="Arial" w:hAnsi="Arial" w:cs="Arial"/>
        </w:rPr>
        <w:t>.</w:t>
      </w:r>
    </w:p>
    <w:p w14:paraId="56E6F3B4" w14:textId="2C9A3FA4" w:rsidR="00337D8C" w:rsidRPr="00337D8C" w:rsidRDefault="00074490" w:rsidP="00337D8C">
      <w:pPr>
        <w:pStyle w:val="ListParagraph"/>
        <w:numPr>
          <w:ilvl w:val="0"/>
          <w:numId w:val="1"/>
        </w:numPr>
        <w:spacing w:line="480" w:lineRule="auto"/>
        <w:jc w:val="both"/>
        <w:rPr>
          <w:rFonts w:ascii="Arial Black" w:hAnsi="Arial Black" w:cs="Arial"/>
        </w:rPr>
      </w:pPr>
      <w:r w:rsidRPr="00337D8C">
        <w:rPr>
          <w:rFonts w:ascii="Arial Black" w:hAnsi="Arial Black" w:cs="Arial"/>
        </w:rPr>
        <w:lastRenderedPageBreak/>
        <w:t xml:space="preserve">Financial Cash Flow Forecast </w:t>
      </w:r>
    </w:p>
    <w:p w14:paraId="74418207" w14:textId="77777777" w:rsidR="00337D8C" w:rsidRDefault="00074490" w:rsidP="00074490">
      <w:pPr>
        <w:spacing w:line="480" w:lineRule="auto"/>
        <w:jc w:val="both"/>
        <w:rPr>
          <w:rFonts w:ascii="Arial" w:hAnsi="Arial" w:cs="Arial"/>
        </w:rPr>
      </w:pPr>
      <w:r w:rsidRPr="00074490">
        <w:rPr>
          <w:rFonts w:ascii="Arial" w:hAnsi="Arial" w:cs="Arial"/>
        </w:rPr>
        <w:t>BeGreen will generate revenue through the sale, installation, and maintenance of renewable energy systems. Our business is driven by recurring service contracts and one-time installations. Commercial projects can generate $50,000 or more, while residential installations frequently generate $15,000. In the initial year, we anticipate generating $200,000 in revenue from a limited number of residential and commercial initiatives. Meanwhile, the expected start-up costs are $300,000, which include equipment, marketing, payroll, and infrastructure. When capital investments are recovered, initial losses of $100,000 are not uncommon in early-stage businesses (Cohen et al., 2008)</w:t>
      </w:r>
      <w:r w:rsidR="00337D8C">
        <w:rPr>
          <w:rFonts w:ascii="Arial" w:hAnsi="Arial" w:cs="Arial"/>
        </w:rPr>
        <w:t>.</w:t>
      </w:r>
    </w:p>
    <w:p w14:paraId="0DA90F03" w14:textId="77777777" w:rsidR="00337D8C" w:rsidRDefault="00074490" w:rsidP="00074490">
      <w:pPr>
        <w:spacing w:line="480" w:lineRule="auto"/>
        <w:jc w:val="both"/>
        <w:rPr>
          <w:rFonts w:ascii="Arial" w:hAnsi="Arial" w:cs="Arial"/>
        </w:rPr>
      </w:pPr>
      <w:r w:rsidRPr="00074490">
        <w:rPr>
          <w:rFonts w:ascii="Arial" w:hAnsi="Arial" w:cs="Arial"/>
        </w:rPr>
        <w:t xml:space="preserve">As our brand becomes more well-known and market penetration increases, revenue is anticipated to surpass $400,000 in the second year. The financial flow should be nearly break-even due to the increased project volume and improved operating efficiency, which should result in expenditures of approximately $420,000. By the third year, revenue is anticipated to increase to $750,000 </w:t>
      </w:r>
      <w:r w:rsidR="00337D8C" w:rsidRPr="00074490">
        <w:rPr>
          <w:rFonts w:ascii="Arial" w:hAnsi="Arial" w:cs="Arial"/>
        </w:rPr>
        <w:t>because of</w:t>
      </w:r>
      <w:r w:rsidRPr="00074490">
        <w:rPr>
          <w:rFonts w:ascii="Arial" w:hAnsi="Arial" w:cs="Arial"/>
        </w:rPr>
        <w:t xml:space="preserve"> an expanded customer base, increased project volumes, and supplementary services such as energy storage solutions. This phase is anticipated to incur a cost of $600,000, resulting in a net profit of $150,000. This milestone serves as a pivotal moment in the pursuit of financial sustainability, as indicated by Desa (2012) trends. BeGreen will maintain a working capital reserve of at least six months' worth of operating expenses and negotiate structured payment arrangements with consumers to manage cash flow. Our long-term financial stability will be contingent upon the reinvestment of revenues to foster development and expansion, in accordance with sustainable enterprise best practices (Edgeman &amp; Eskildsen, 2014).</w:t>
      </w:r>
    </w:p>
    <w:p w14:paraId="22D41578" w14:textId="0E81A470" w:rsidR="00337D8C" w:rsidRPr="00337D8C" w:rsidRDefault="00337D8C" w:rsidP="00337D8C">
      <w:pPr>
        <w:pStyle w:val="ListParagraph"/>
        <w:numPr>
          <w:ilvl w:val="0"/>
          <w:numId w:val="1"/>
        </w:numPr>
        <w:spacing w:line="480" w:lineRule="auto"/>
        <w:jc w:val="both"/>
        <w:rPr>
          <w:rFonts w:ascii="Arial Black" w:hAnsi="Arial Black" w:cs="Arial"/>
        </w:rPr>
      </w:pPr>
      <w:r w:rsidRPr="00337D8C">
        <w:rPr>
          <w:rFonts w:ascii="Arial Black" w:hAnsi="Arial Black" w:cs="Arial"/>
        </w:rPr>
        <w:lastRenderedPageBreak/>
        <w:t xml:space="preserve">Contingency </w:t>
      </w:r>
      <w:r w:rsidR="00074490" w:rsidRPr="00337D8C">
        <w:rPr>
          <w:rFonts w:ascii="Arial Black" w:hAnsi="Arial Black" w:cs="Arial"/>
        </w:rPr>
        <w:t>Plan</w:t>
      </w:r>
    </w:p>
    <w:p w14:paraId="2C15B99D" w14:textId="5F649091" w:rsidR="00337D8C" w:rsidRDefault="00074490" w:rsidP="00074490">
      <w:pPr>
        <w:spacing w:line="480" w:lineRule="auto"/>
        <w:jc w:val="both"/>
        <w:rPr>
          <w:rFonts w:ascii="Arial" w:hAnsi="Arial" w:cs="Arial"/>
        </w:rPr>
      </w:pPr>
      <w:r w:rsidRPr="00074490">
        <w:rPr>
          <w:rFonts w:ascii="Arial" w:hAnsi="Arial" w:cs="Arial"/>
        </w:rPr>
        <w:t xml:space="preserve">BeGreen has a comprehensive contingency plan in place to ensure business continuity and mitigate risks in the dynamic renewable energy market. </w:t>
      </w:r>
      <w:r w:rsidR="00337D8C" w:rsidRPr="00074490">
        <w:rPr>
          <w:rFonts w:ascii="Arial" w:hAnsi="Arial" w:cs="Arial"/>
        </w:rPr>
        <w:t>To</w:t>
      </w:r>
      <w:r w:rsidRPr="00074490">
        <w:rPr>
          <w:rFonts w:ascii="Arial" w:hAnsi="Arial" w:cs="Arial"/>
        </w:rPr>
        <w:t xml:space="preserve"> address early development deficits, Cohen et al. (2008) suggest maintaining a cash reserve and a line of credit. </w:t>
      </w:r>
      <w:proofErr w:type="spellStart"/>
      <w:r w:rsidRPr="00074490">
        <w:rPr>
          <w:rFonts w:ascii="Arial" w:hAnsi="Arial" w:cs="Arial"/>
        </w:rPr>
        <w:t>Febrizal</w:t>
      </w:r>
      <w:proofErr w:type="spellEnd"/>
      <w:r w:rsidRPr="00074490">
        <w:rPr>
          <w:rFonts w:ascii="Arial" w:hAnsi="Arial" w:cs="Arial"/>
        </w:rPr>
        <w:t xml:space="preserve"> </w:t>
      </w:r>
      <w:proofErr w:type="spellStart"/>
      <w:r w:rsidRPr="00074490">
        <w:rPr>
          <w:rFonts w:ascii="Arial" w:hAnsi="Arial" w:cs="Arial"/>
        </w:rPr>
        <w:t>Rahmana</w:t>
      </w:r>
      <w:proofErr w:type="spellEnd"/>
      <w:r w:rsidRPr="00074490">
        <w:rPr>
          <w:rFonts w:ascii="Arial" w:hAnsi="Arial" w:cs="Arial"/>
        </w:rPr>
        <w:t xml:space="preserve"> and </w:t>
      </w:r>
      <w:proofErr w:type="spellStart"/>
      <w:r w:rsidRPr="00074490">
        <w:rPr>
          <w:rFonts w:ascii="Arial" w:hAnsi="Arial" w:cs="Arial"/>
        </w:rPr>
        <w:t>Bawono</w:t>
      </w:r>
      <w:proofErr w:type="spellEnd"/>
      <w:r w:rsidRPr="00074490">
        <w:rPr>
          <w:rFonts w:ascii="Arial" w:hAnsi="Arial" w:cs="Arial"/>
        </w:rPr>
        <w:t xml:space="preserve"> (2020) recommend that non-critical expenditure be monitored and adjusted in response to revenue fluctuations </w:t>
      </w:r>
      <w:r w:rsidR="00337D8C" w:rsidRPr="00074490">
        <w:rPr>
          <w:rFonts w:ascii="Arial" w:hAnsi="Arial" w:cs="Arial"/>
        </w:rPr>
        <w:t>to</w:t>
      </w:r>
      <w:r w:rsidRPr="00074490">
        <w:rPr>
          <w:rFonts w:ascii="Arial" w:hAnsi="Arial" w:cs="Arial"/>
        </w:rPr>
        <w:t xml:space="preserve"> preserve financial resilience.</w:t>
      </w:r>
    </w:p>
    <w:p w14:paraId="11EC9E66" w14:textId="77777777" w:rsidR="00337D8C" w:rsidRDefault="00074490" w:rsidP="00074490">
      <w:pPr>
        <w:spacing w:line="480" w:lineRule="auto"/>
        <w:jc w:val="both"/>
        <w:rPr>
          <w:rFonts w:ascii="Arial" w:hAnsi="Arial" w:cs="Arial"/>
        </w:rPr>
      </w:pPr>
      <w:r w:rsidRPr="00074490">
        <w:rPr>
          <w:rFonts w:ascii="Arial" w:hAnsi="Arial" w:cs="Arial"/>
        </w:rPr>
        <w:t xml:space="preserve">Operational risks, such as cost overruns and project delays, will be mitigated by meticulous project planning, risk assessments, and the distribution of spare equipment and cross-trained workers. </w:t>
      </w:r>
      <w:r w:rsidR="00337D8C" w:rsidRPr="00074490">
        <w:rPr>
          <w:rFonts w:ascii="Arial" w:hAnsi="Arial" w:cs="Arial"/>
        </w:rPr>
        <w:t>To</w:t>
      </w:r>
      <w:r w:rsidRPr="00074490">
        <w:rPr>
          <w:rFonts w:ascii="Arial" w:hAnsi="Arial" w:cs="Arial"/>
        </w:rPr>
        <w:t xml:space="preserve"> mitigate supply chain disruptions, </w:t>
      </w:r>
      <w:proofErr w:type="spellStart"/>
      <w:r w:rsidRPr="00074490">
        <w:rPr>
          <w:rFonts w:ascii="Arial" w:hAnsi="Arial" w:cs="Arial"/>
        </w:rPr>
        <w:t>Chofreh</w:t>
      </w:r>
      <w:proofErr w:type="spellEnd"/>
      <w:r w:rsidRPr="00074490">
        <w:rPr>
          <w:rFonts w:ascii="Arial" w:hAnsi="Arial" w:cs="Arial"/>
        </w:rPr>
        <w:t xml:space="preserve"> (2018) recommends the establishment of numerous supplier partnerships. In the event of an abrupt shift in market demand, BeGreen has the flexibility to transition between the residential, commercial, and industrial sectors </w:t>
      </w:r>
      <w:r w:rsidR="00337D8C" w:rsidRPr="00074490">
        <w:rPr>
          <w:rFonts w:ascii="Arial" w:hAnsi="Arial" w:cs="Arial"/>
        </w:rPr>
        <w:t>to</w:t>
      </w:r>
      <w:r w:rsidRPr="00074490">
        <w:rPr>
          <w:rFonts w:ascii="Arial" w:hAnsi="Arial" w:cs="Arial"/>
        </w:rPr>
        <w:t xml:space="preserve"> maintain sales volumes. This sales technique is flexible and adheres to Thompson (2010)'s recommendations for maintaining demand in volatile markets. Desa (2012) outlines that our contingency planning involves monitoring government policies and collaborating with industry associations to promptly adapt to regulatory changes.</w:t>
      </w:r>
    </w:p>
    <w:p w14:paraId="1CC809A7" w14:textId="77777777" w:rsidR="00337D8C" w:rsidRDefault="00074490" w:rsidP="00074490">
      <w:pPr>
        <w:spacing w:line="480" w:lineRule="auto"/>
        <w:jc w:val="both"/>
        <w:rPr>
          <w:rFonts w:ascii="Arial" w:hAnsi="Arial" w:cs="Arial"/>
        </w:rPr>
      </w:pPr>
      <w:r w:rsidRPr="00074490">
        <w:rPr>
          <w:rFonts w:ascii="Arial" w:hAnsi="Arial" w:cs="Arial"/>
        </w:rPr>
        <w:t xml:space="preserve">Our solutions will remain competitive through consistent technology assessments and training. The current digital environment necessitates consistent data backups and robust cybersecurity measures to safeguard our critical operational and consumer data (Cohen et al., 2008). As advised by Edgeman and Eskildsen (2014), BeGreen will mitigate contractual and partnership risks by establishing robust supplier and customer agreements that include performance clauses and penalties. While force majeure clauses in our contracts safeguard against uncontrollable external events, </w:t>
      </w:r>
      <w:r w:rsidRPr="00074490">
        <w:rPr>
          <w:rFonts w:ascii="Arial" w:hAnsi="Arial" w:cs="Arial"/>
        </w:rPr>
        <w:lastRenderedPageBreak/>
        <w:t>comprehensive insurance coverage safeguards against property loss, liability, workers' compensation claims, and business interruptions.</w:t>
      </w:r>
    </w:p>
    <w:p w14:paraId="415E2E23" w14:textId="24C447D7" w:rsidR="00337D8C" w:rsidRPr="00337D8C" w:rsidRDefault="00337D8C" w:rsidP="00337D8C">
      <w:pPr>
        <w:pStyle w:val="ListParagraph"/>
        <w:numPr>
          <w:ilvl w:val="0"/>
          <w:numId w:val="1"/>
        </w:numPr>
        <w:spacing w:line="480" w:lineRule="auto"/>
        <w:jc w:val="both"/>
        <w:rPr>
          <w:rFonts w:ascii="Arial Black" w:hAnsi="Arial Black" w:cs="Arial"/>
        </w:rPr>
      </w:pPr>
      <w:r w:rsidRPr="00337D8C">
        <w:rPr>
          <w:rFonts w:ascii="Arial Black" w:hAnsi="Arial Black" w:cs="Arial"/>
        </w:rPr>
        <w:t>C</w:t>
      </w:r>
      <w:r w:rsidR="00074490" w:rsidRPr="00337D8C">
        <w:rPr>
          <w:rFonts w:ascii="Arial Black" w:hAnsi="Arial Black" w:cs="Arial"/>
        </w:rPr>
        <w:t>onclusion</w:t>
      </w:r>
    </w:p>
    <w:p w14:paraId="5FC9CDD3" w14:textId="40EC3947" w:rsidR="00074490" w:rsidRDefault="00074490" w:rsidP="00074490">
      <w:pPr>
        <w:spacing w:line="480" w:lineRule="auto"/>
        <w:jc w:val="both"/>
        <w:rPr>
          <w:rFonts w:ascii="Arial" w:hAnsi="Arial" w:cs="Arial"/>
        </w:rPr>
      </w:pPr>
      <w:r w:rsidRPr="00074490">
        <w:rPr>
          <w:rFonts w:ascii="Arial" w:hAnsi="Arial" w:cs="Arial"/>
        </w:rPr>
        <w:t>BeGreen is favourably situated as a renewable energy venture that prioritises sustainability. Our business plan adheres to the sustainable enterprise excellence criteria of Edgeman and Eskildsen (2014) and Thompson (2010) by integrating robust economic objectives with a steadfast dedication to environmental and social responsibility. Our methodology prioritises ongoing innovation and stakeholder engagement through comprehensive market analysis, transparent financial projections, and robust contingency planning (Anbarasan, 2018). BeGreen is prepared to significantly contribute to global climate change and sustainable development initiatives by acquiring a significant portion of the market.</w:t>
      </w:r>
    </w:p>
    <w:p w14:paraId="58DA5044" w14:textId="77777777" w:rsidR="00337D8C" w:rsidRDefault="00337D8C" w:rsidP="00074490">
      <w:pPr>
        <w:spacing w:line="480" w:lineRule="auto"/>
        <w:jc w:val="both"/>
        <w:rPr>
          <w:rFonts w:ascii="Arial" w:hAnsi="Arial" w:cs="Arial"/>
        </w:rPr>
      </w:pPr>
    </w:p>
    <w:p w14:paraId="7F04D1B3" w14:textId="77777777" w:rsidR="00337D8C" w:rsidRDefault="00337D8C" w:rsidP="00074490">
      <w:pPr>
        <w:spacing w:line="480" w:lineRule="auto"/>
        <w:jc w:val="both"/>
        <w:rPr>
          <w:rFonts w:ascii="Arial" w:hAnsi="Arial" w:cs="Arial"/>
        </w:rPr>
      </w:pPr>
    </w:p>
    <w:p w14:paraId="17C10288" w14:textId="77777777" w:rsidR="00337D8C" w:rsidRDefault="00337D8C" w:rsidP="00074490">
      <w:pPr>
        <w:spacing w:line="480" w:lineRule="auto"/>
        <w:jc w:val="both"/>
        <w:rPr>
          <w:rFonts w:ascii="Arial" w:hAnsi="Arial" w:cs="Arial"/>
        </w:rPr>
      </w:pPr>
    </w:p>
    <w:p w14:paraId="037CF6C7" w14:textId="77777777" w:rsidR="00337D8C" w:rsidRDefault="00337D8C" w:rsidP="00074490">
      <w:pPr>
        <w:spacing w:line="480" w:lineRule="auto"/>
        <w:jc w:val="both"/>
        <w:rPr>
          <w:rFonts w:ascii="Arial" w:hAnsi="Arial" w:cs="Arial"/>
        </w:rPr>
      </w:pPr>
    </w:p>
    <w:p w14:paraId="4F5E2D89" w14:textId="77777777" w:rsidR="00337D8C" w:rsidRDefault="00337D8C" w:rsidP="00074490">
      <w:pPr>
        <w:spacing w:line="480" w:lineRule="auto"/>
        <w:jc w:val="both"/>
        <w:rPr>
          <w:rFonts w:ascii="Arial" w:hAnsi="Arial" w:cs="Arial"/>
        </w:rPr>
      </w:pPr>
    </w:p>
    <w:p w14:paraId="55BDC561" w14:textId="77777777" w:rsidR="00337D8C" w:rsidRDefault="00337D8C" w:rsidP="00074490">
      <w:pPr>
        <w:spacing w:line="480" w:lineRule="auto"/>
        <w:jc w:val="both"/>
        <w:rPr>
          <w:rFonts w:ascii="Arial" w:hAnsi="Arial" w:cs="Arial"/>
        </w:rPr>
      </w:pPr>
    </w:p>
    <w:p w14:paraId="6B4AFEC4" w14:textId="77777777" w:rsidR="00337D8C" w:rsidRDefault="00337D8C" w:rsidP="00074490">
      <w:pPr>
        <w:spacing w:line="480" w:lineRule="auto"/>
        <w:jc w:val="both"/>
        <w:rPr>
          <w:rFonts w:ascii="Arial" w:hAnsi="Arial" w:cs="Arial"/>
        </w:rPr>
      </w:pPr>
    </w:p>
    <w:p w14:paraId="5C289065" w14:textId="77777777" w:rsidR="00337D8C" w:rsidRDefault="00337D8C" w:rsidP="00074490">
      <w:pPr>
        <w:spacing w:line="480" w:lineRule="auto"/>
        <w:jc w:val="both"/>
        <w:rPr>
          <w:rFonts w:ascii="Arial" w:hAnsi="Arial" w:cs="Arial"/>
        </w:rPr>
      </w:pPr>
    </w:p>
    <w:p w14:paraId="5D2CC8ED" w14:textId="77777777" w:rsidR="00337D8C" w:rsidRDefault="00337D8C" w:rsidP="00074490">
      <w:pPr>
        <w:spacing w:line="480" w:lineRule="auto"/>
        <w:jc w:val="both"/>
        <w:rPr>
          <w:rFonts w:ascii="Arial" w:hAnsi="Arial" w:cs="Arial"/>
        </w:rPr>
      </w:pPr>
    </w:p>
    <w:p w14:paraId="62F5C84F" w14:textId="77777777" w:rsidR="00337D8C" w:rsidRDefault="00337D8C" w:rsidP="00074490">
      <w:pPr>
        <w:spacing w:line="480" w:lineRule="auto"/>
        <w:jc w:val="both"/>
        <w:rPr>
          <w:rFonts w:ascii="Arial" w:hAnsi="Arial" w:cs="Arial"/>
        </w:rPr>
      </w:pPr>
    </w:p>
    <w:p w14:paraId="003CB0E2" w14:textId="7B109D1F" w:rsidR="00337D8C" w:rsidRPr="00337D8C" w:rsidRDefault="00337D8C" w:rsidP="00074490">
      <w:pPr>
        <w:spacing w:line="480" w:lineRule="auto"/>
        <w:jc w:val="both"/>
        <w:rPr>
          <w:rFonts w:ascii="Arial Black" w:hAnsi="Arial Black" w:cs="Arial"/>
        </w:rPr>
      </w:pPr>
      <w:r w:rsidRPr="00337D8C">
        <w:rPr>
          <w:rFonts w:ascii="Arial Black" w:hAnsi="Arial Black" w:cs="Arial"/>
        </w:rPr>
        <w:lastRenderedPageBreak/>
        <w:t xml:space="preserve">References list </w:t>
      </w:r>
    </w:p>
    <w:p w14:paraId="0FDB4FAF" w14:textId="77777777" w:rsidR="00337D8C" w:rsidRDefault="00337D8C" w:rsidP="00337D8C">
      <w:pPr>
        <w:spacing w:line="480" w:lineRule="auto"/>
        <w:ind w:left="720" w:hanging="720"/>
        <w:jc w:val="both"/>
        <w:rPr>
          <w:rFonts w:ascii="Arial" w:hAnsi="Arial" w:cs="Arial"/>
        </w:rPr>
      </w:pPr>
      <w:r w:rsidRPr="00337D8C">
        <w:rPr>
          <w:rFonts w:ascii="Arial" w:hAnsi="Arial" w:cs="Arial"/>
        </w:rPr>
        <w:t xml:space="preserve">Anbarasan, P. (2018). Stakeholder engagement in sustainable enterprise: Evolving a conceptual framework, and a case study of ITC. </w:t>
      </w:r>
      <w:r w:rsidRPr="00337D8C">
        <w:rPr>
          <w:rFonts w:ascii="Arial" w:hAnsi="Arial" w:cs="Arial"/>
          <w:i/>
          <w:iCs/>
        </w:rPr>
        <w:t>Business Strategy &amp; the Environment, 27</w:t>
      </w:r>
      <w:r w:rsidRPr="00337D8C">
        <w:rPr>
          <w:rFonts w:ascii="Arial" w:hAnsi="Arial" w:cs="Arial"/>
        </w:rPr>
        <w:t>(3), 282–300.</w:t>
      </w:r>
    </w:p>
    <w:p w14:paraId="101F3543" w14:textId="6B03E7AA" w:rsidR="00337D8C" w:rsidRPr="00337D8C" w:rsidRDefault="00337D8C" w:rsidP="00337D8C">
      <w:pPr>
        <w:spacing w:line="480" w:lineRule="auto"/>
        <w:ind w:left="720" w:hanging="720"/>
        <w:jc w:val="both"/>
        <w:rPr>
          <w:rFonts w:ascii="Arial" w:hAnsi="Arial" w:cs="Arial"/>
        </w:rPr>
      </w:pPr>
      <w:proofErr w:type="spellStart"/>
      <w:r w:rsidRPr="00337D8C">
        <w:rPr>
          <w:rFonts w:ascii="Arial" w:hAnsi="Arial" w:cs="Arial"/>
        </w:rPr>
        <w:t>Chofreh</w:t>
      </w:r>
      <w:proofErr w:type="spellEnd"/>
      <w:r w:rsidRPr="00337D8C">
        <w:rPr>
          <w:rFonts w:ascii="Arial" w:hAnsi="Arial" w:cs="Arial"/>
        </w:rPr>
        <w:t xml:space="preserve">, A. G. (2018). Sustainable enterprise resource planning systems implementation: A framework development. </w:t>
      </w:r>
      <w:r w:rsidRPr="00337D8C">
        <w:rPr>
          <w:rFonts w:ascii="Arial" w:hAnsi="Arial" w:cs="Arial"/>
          <w:i/>
          <w:iCs/>
        </w:rPr>
        <w:t>Journal of Cleaner Production, 198</w:t>
      </w:r>
      <w:r w:rsidRPr="00337D8C">
        <w:rPr>
          <w:rFonts w:ascii="Arial" w:hAnsi="Arial" w:cs="Arial"/>
        </w:rPr>
        <w:t>, 1345–1355.</w:t>
      </w:r>
    </w:p>
    <w:p w14:paraId="0F9FEF4B" w14:textId="77777777" w:rsidR="00337D8C" w:rsidRPr="00337D8C" w:rsidRDefault="00337D8C" w:rsidP="00337D8C">
      <w:pPr>
        <w:spacing w:line="480" w:lineRule="auto"/>
        <w:ind w:left="720" w:hanging="720"/>
        <w:jc w:val="both"/>
        <w:rPr>
          <w:rFonts w:ascii="Arial" w:hAnsi="Arial" w:cs="Arial"/>
        </w:rPr>
      </w:pPr>
      <w:r w:rsidRPr="00337D8C">
        <w:rPr>
          <w:rFonts w:ascii="Arial" w:hAnsi="Arial" w:cs="Arial"/>
        </w:rPr>
        <w:t xml:space="preserve">Cohen, B., Smith, B., &amp; Mitchell, R. (2008). Toward a sustainable conceptualization of dependent variables in entrepreneurship research. </w:t>
      </w:r>
      <w:r w:rsidRPr="00337D8C">
        <w:rPr>
          <w:rFonts w:ascii="Arial" w:hAnsi="Arial" w:cs="Arial"/>
          <w:i/>
          <w:iCs/>
        </w:rPr>
        <w:t>Business Strategy and the Environment, 17</w:t>
      </w:r>
      <w:r w:rsidRPr="00337D8C">
        <w:rPr>
          <w:rFonts w:ascii="Arial" w:hAnsi="Arial" w:cs="Arial"/>
        </w:rPr>
        <w:t>(2), 107–119.</w:t>
      </w:r>
    </w:p>
    <w:p w14:paraId="27DCB4C3" w14:textId="77777777" w:rsidR="00337D8C" w:rsidRPr="00337D8C" w:rsidRDefault="00337D8C" w:rsidP="00337D8C">
      <w:pPr>
        <w:spacing w:line="480" w:lineRule="auto"/>
        <w:ind w:left="720" w:hanging="720"/>
        <w:jc w:val="both"/>
        <w:rPr>
          <w:rFonts w:ascii="Arial" w:hAnsi="Arial" w:cs="Arial"/>
        </w:rPr>
      </w:pPr>
      <w:r w:rsidRPr="00337D8C">
        <w:rPr>
          <w:rFonts w:ascii="Arial" w:hAnsi="Arial" w:cs="Arial"/>
        </w:rPr>
        <w:t xml:space="preserve">Dean, T., &amp; McMullen, J. (2007). Toward a theory of sustainable entrepreneurship: Reducing environmental degradation through entrepreneurial action. </w:t>
      </w:r>
      <w:r w:rsidRPr="00337D8C">
        <w:rPr>
          <w:rFonts w:ascii="Arial" w:hAnsi="Arial" w:cs="Arial"/>
          <w:i/>
          <w:iCs/>
        </w:rPr>
        <w:t>Journal of Business Venturing, 22</w:t>
      </w:r>
      <w:r w:rsidRPr="00337D8C">
        <w:rPr>
          <w:rFonts w:ascii="Arial" w:hAnsi="Arial" w:cs="Arial"/>
        </w:rPr>
        <w:t>(1), 50–76.</w:t>
      </w:r>
    </w:p>
    <w:p w14:paraId="7F09F850" w14:textId="0308532F" w:rsidR="00337D8C" w:rsidRDefault="00337D8C" w:rsidP="00337D8C">
      <w:pPr>
        <w:spacing w:line="480" w:lineRule="auto"/>
        <w:ind w:left="720" w:hanging="720"/>
        <w:jc w:val="both"/>
        <w:rPr>
          <w:rFonts w:ascii="Arial" w:hAnsi="Arial" w:cs="Arial"/>
        </w:rPr>
      </w:pPr>
      <w:r w:rsidRPr="00337D8C">
        <w:rPr>
          <w:rFonts w:ascii="Arial" w:hAnsi="Arial" w:cs="Arial"/>
        </w:rPr>
        <w:t xml:space="preserve">Desa, M. (2012). Resource mobilization in international social entrepreneurship: Bricolage as a mechanism of institutional transformation. </w:t>
      </w:r>
      <w:r w:rsidRPr="00337D8C">
        <w:rPr>
          <w:rFonts w:ascii="Arial" w:hAnsi="Arial" w:cs="Arial"/>
          <w:i/>
          <w:iCs/>
        </w:rPr>
        <w:t>Entrepreneurship Theory and Practice, 36</w:t>
      </w:r>
      <w:r w:rsidRPr="00337D8C">
        <w:rPr>
          <w:rFonts w:ascii="Arial" w:hAnsi="Arial" w:cs="Arial"/>
        </w:rPr>
        <w:t xml:space="preserve">(4), 727–751. </w:t>
      </w:r>
      <w:hyperlink r:id="rId10" w:history="1">
        <w:r w:rsidRPr="00F648E9">
          <w:rPr>
            <w:rStyle w:val="Hyperlink"/>
            <w:rFonts w:ascii="Arial" w:hAnsi="Arial" w:cs="Arial"/>
          </w:rPr>
          <w:t>https://doi.org/10.1111/j.1540-6520.2010.00430.x</w:t>
        </w:r>
      </w:hyperlink>
    </w:p>
    <w:p w14:paraId="2DA95597" w14:textId="4BF96097" w:rsidR="00337D8C" w:rsidRDefault="00337D8C" w:rsidP="00337D8C">
      <w:pPr>
        <w:spacing w:line="480" w:lineRule="auto"/>
        <w:ind w:left="720" w:hanging="720"/>
        <w:jc w:val="both"/>
        <w:rPr>
          <w:rFonts w:ascii="Arial" w:hAnsi="Arial" w:cs="Arial"/>
        </w:rPr>
      </w:pPr>
      <w:r w:rsidRPr="00337D8C">
        <w:rPr>
          <w:rFonts w:ascii="Arial" w:hAnsi="Arial" w:cs="Arial"/>
        </w:rPr>
        <w:t xml:space="preserve">Di Domenico, M. L., Haugh, H., &amp; Tracey, P. (2010). Social bricolage: Theorizing social value creation in social enterprises. </w:t>
      </w:r>
      <w:r w:rsidRPr="00337D8C">
        <w:rPr>
          <w:rFonts w:ascii="Arial" w:hAnsi="Arial" w:cs="Arial"/>
          <w:i/>
          <w:iCs/>
        </w:rPr>
        <w:t>Entrepreneurship Theory and Practice, 34</w:t>
      </w:r>
      <w:r w:rsidRPr="00337D8C">
        <w:rPr>
          <w:rFonts w:ascii="Arial" w:hAnsi="Arial" w:cs="Arial"/>
        </w:rPr>
        <w:t xml:space="preserve">(4), 681–703. </w:t>
      </w:r>
      <w:hyperlink r:id="rId11" w:history="1">
        <w:r w:rsidRPr="00F648E9">
          <w:rPr>
            <w:rStyle w:val="Hyperlink"/>
            <w:rFonts w:ascii="Arial" w:hAnsi="Arial" w:cs="Arial"/>
          </w:rPr>
          <w:t>https://doi.org/10.1111/j.1540-6520.2010.00370.x</w:t>
        </w:r>
      </w:hyperlink>
    </w:p>
    <w:p w14:paraId="00FCB3E3" w14:textId="5B2821E6" w:rsidR="00337D8C" w:rsidRPr="00337D8C" w:rsidRDefault="00337D8C" w:rsidP="00337D8C">
      <w:pPr>
        <w:spacing w:line="480" w:lineRule="auto"/>
        <w:ind w:left="720" w:hanging="720"/>
        <w:jc w:val="both"/>
        <w:rPr>
          <w:rFonts w:ascii="Arial" w:hAnsi="Arial" w:cs="Arial"/>
        </w:rPr>
      </w:pPr>
      <w:r w:rsidRPr="00337D8C">
        <w:rPr>
          <w:rFonts w:ascii="Arial" w:hAnsi="Arial" w:cs="Arial"/>
        </w:rPr>
        <w:t xml:space="preserve">Edgeman, R., &amp; Eskildsen, J. (2014). Modelling and assessing sustainable enterprise excellence. </w:t>
      </w:r>
      <w:r w:rsidRPr="00337D8C">
        <w:rPr>
          <w:rFonts w:ascii="Arial" w:hAnsi="Arial" w:cs="Arial"/>
          <w:i/>
          <w:iCs/>
        </w:rPr>
        <w:t>Business Strategy and the Environment, 23</w:t>
      </w:r>
      <w:r w:rsidRPr="00337D8C">
        <w:rPr>
          <w:rFonts w:ascii="Arial" w:hAnsi="Arial" w:cs="Arial"/>
        </w:rPr>
        <w:t>(3), 173–187.</w:t>
      </w:r>
    </w:p>
    <w:p w14:paraId="036BBEC5" w14:textId="77777777" w:rsidR="00337D8C" w:rsidRDefault="00337D8C" w:rsidP="00337D8C">
      <w:pPr>
        <w:spacing w:line="480" w:lineRule="auto"/>
        <w:ind w:left="720" w:hanging="720"/>
        <w:jc w:val="both"/>
        <w:rPr>
          <w:rFonts w:ascii="Arial" w:hAnsi="Arial" w:cs="Arial"/>
        </w:rPr>
      </w:pPr>
      <w:proofErr w:type="spellStart"/>
      <w:r w:rsidRPr="00337D8C">
        <w:rPr>
          <w:rFonts w:ascii="Arial" w:hAnsi="Arial" w:cs="Arial"/>
        </w:rPr>
        <w:lastRenderedPageBreak/>
        <w:t>Febrizal</w:t>
      </w:r>
      <w:proofErr w:type="spellEnd"/>
      <w:r w:rsidRPr="00337D8C">
        <w:rPr>
          <w:rFonts w:ascii="Arial" w:hAnsi="Arial" w:cs="Arial"/>
        </w:rPr>
        <w:t xml:space="preserve"> </w:t>
      </w:r>
      <w:proofErr w:type="spellStart"/>
      <w:r w:rsidRPr="00337D8C">
        <w:rPr>
          <w:rFonts w:ascii="Arial" w:hAnsi="Arial" w:cs="Arial"/>
        </w:rPr>
        <w:t>Rahmana</w:t>
      </w:r>
      <w:proofErr w:type="spellEnd"/>
      <w:r w:rsidRPr="00337D8C">
        <w:rPr>
          <w:rFonts w:ascii="Arial" w:hAnsi="Arial" w:cs="Arial"/>
        </w:rPr>
        <w:t xml:space="preserve">, &amp; </w:t>
      </w:r>
      <w:proofErr w:type="spellStart"/>
      <w:r w:rsidRPr="00337D8C">
        <w:rPr>
          <w:rFonts w:ascii="Arial" w:hAnsi="Arial" w:cs="Arial"/>
        </w:rPr>
        <w:t>Bawono</w:t>
      </w:r>
      <w:proofErr w:type="spellEnd"/>
      <w:r w:rsidRPr="00337D8C">
        <w:rPr>
          <w:rFonts w:ascii="Arial" w:hAnsi="Arial" w:cs="Arial"/>
        </w:rPr>
        <w:t xml:space="preserve">, A. (2020). Sustainable development toward sustainable enterprise. </w:t>
      </w:r>
      <w:r w:rsidRPr="00337D8C">
        <w:rPr>
          <w:rFonts w:ascii="Arial" w:hAnsi="Arial" w:cs="Arial"/>
          <w:i/>
          <w:iCs/>
        </w:rPr>
        <w:t>Management Science Letters, 11</w:t>
      </w:r>
      <w:r w:rsidRPr="00337D8C">
        <w:rPr>
          <w:rFonts w:ascii="Arial" w:hAnsi="Arial" w:cs="Arial"/>
        </w:rPr>
        <w:t>(2), 657–668.</w:t>
      </w:r>
    </w:p>
    <w:p w14:paraId="333CCB18" w14:textId="4A1ADBB6" w:rsidR="00337D8C" w:rsidRPr="00337D8C" w:rsidRDefault="00337D8C" w:rsidP="00337D8C">
      <w:pPr>
        <w:spacing w:line="480" w:lineRule="auto"/>
        <w:ind w:left="720" w:hanging="720"/>
        <w:jc w:val="both"/>
        <w:rPr>
          <w:rFonts w:ascii="Arial" w:hAnsi="Arial" w:cs="Arial"/>
        </w:rPr>
      </w:pPr>
      <w:r w:rsidRPr="00337D8C">
        <w:rPr>
          <w:rFonts w:ascii="Arial" w:hAnsi="Arial" w:cs="Arial"/>
        </w:rPr>
        <w:t xml:space="preserve">Thompson, F. M. M. (2010). </w:t>
      </w:r>
      <w:r w:rsidRPr="00337D8C">
        <w:rPr>
          <w:rFonts w:ascii="Arial" w:hAnsi="Arial" w:cs="Arial"/>
          <w:i/>
          <w:iCs/>
        </w:rPr>
        <w:t>Social enterprise: Developing sustainable enterprises.</w:t>
      </w:r>
      <w:r w:rsidRPr="00337D8C">
        <w:rPr>
          <w:rFonts w:ascii="Arial" w:hAnsi="Arial" w:cs="Arial"/>
        </w:rPr>
        <w:t xml:space="preserve"> New York, NY: Palgrave Macmillan.</w:t>
      </w:r>
    </w:p>
    <w:p w14:paraId="6EF8F6C7" w14:textId="77777777" w:rsidR="00337D8C" w:rsidRPr="00337D8C" w:rsidRDefault="00337D8C" w:rsidP="00337D8C">
      <w:pPr>
        <w:spacing w:line="480" w:lineRule="auto"/>
        <w:ind w:left="720" w:hanging="720"/>
        <w:jc w:val="both"/>
        <w:rPr>
          <w:rFonts w:ascii="Arial" w:hAnsi="Arial" w:cs="Arial"/>
        </w:rPr>
      </w:pPr>
      <w:r w:rsidRPr="00337D8C">
        <w:rPr>
          <w:rFonts w:ascii="Arial" w:hAnsi="Arial" w:cs="Arial"/>
        </w:rPr>
        <w:t xml:space="preserve">Hart, S. L., &amp; Milstein, M. B. (1999). Global sustainability and the creative destruction of industries. </w:t>
      </w:r>
      <w:r w:rsidRPr="00337D8C">
        <w:rPr>
          <w:rFonts w:ascii="Arial" w:hAnsi="Arial" w:cs="Arial"/>
          <w:i/>
          <w:iCs/>
        </w:rPr>
        <w:t>Sloan Management Review, 41</w:t>
      </w:r>
      <w:r w:rsidRPr="00337D8C">
        <w:rPr>
          <w:rFonts w:ascii="Arial" w:hAnsi="Arial" w:cs="Arial"/>
        </w:rPr>
        <w:t>(1), 23–33.</w:t>
      </w:r>
    </w:p>
    <w:p w14:paraId="4DFCC95E" w14:textId="77777777" w:rsidR="00337D8C" w:rsidRPr="00337D8C" w:rsidRDefault="00337D8C" w:rsidP="00337D8C">
      <w:pPr>
        <w:spacing w:line="480" w:lineRule="auto"/>
        <w:ind w:left="720" w:hanging="720"/>
        <w:jc w:val="both"/>
        <w:rPr>
          <w:rFonts w:ascii="Arial" w:hAnsi="Arial" w:cs="Arial"/>
        </w:rPr>
      </w:pPr>
      <w:r w:rsidRPr="00337D8C">
        <w:rPr>
          <w:rFonts w:ascii="Arial" w:hAnsi="Arial" w:cs="Arial"/>
        </w:rPr>
        <w:t xml:space="preserve">Jacobson, M. Z., Delucchi, M. A., </w:t>
      </w:r>
      <w:proofErr w:type="spellStart"/>
      <w:r w:rsidRPr="00337D8C">
        <w:rPr>
          <w:rFonts w:ascii="Arial" w:hAnsi="Arial" w:cs="Arial"/>
        </w:rPr>
        <w:t>Bazouin</w:t>
      </w:r>
      <w:proofErr w:type="spellEnd"/>
      <w:r w:rsidRPr="00337D8C">
        <w:rPr>
          <w:rFonts w:ascii="Arial" w:hAnsi="Arial" w:cs="Arial"/>
        </w:rPr>
        <w:t xml:space="preserve">, G., Bauer, Z. A. F., </w:t>
      </w:r>
      <w:proofErr w:type="spellStart"/>
      <w:r w:rsidRPr="00337D8C">
        <w:rPr>
          <w:rFonts w:ascii="Arial" w:hAnsi="Arial" w:cs="Arial"/>
        </w:rPr>
        <w:t>Heavey</w:t>
      </w:r>
      <w:proofErr w:type="spellEnd"/>
      <w:r w:rsidRPr="00337D8C">
        <w:rPr>
          <w:rFonts w:ascii="Arial" w:hAnsi="Arial" w:cs="Arial"/>
        </w:rPr>
        <w:t xml:space="preserve">, C. C., Fisher, E., Morris, S. B., Piekutowski, D. J., Vencill, T. A., </w:t>
      </w:r>
      <w:proofErr w:type="spellStart"/>
      <w:r w:rsidRPr="00337D8C">
        <w:rPr>
          <w:rFonts w:ascii="Arial" w:hAnsi="Arial" w:cs="Arial"/>
        </w:rPr>
        <w:t>Yeskoo</w:t>
      </w:r>
      <w:proofErr w:type="spellEnd"/>
      <w:r w:rsidRPr="00337D8C">
        <w:rPr>
          <w:rFonts w:ascii="Arial" w:hAnsi="Arial" w:cs="Arial"/>
        </w:rPr>
        <w:t xml:space="preserve">, T. W., &amp; Yung, Y. (2015). 100% clean and renewable wind, water, and sunlight all-sector energy roadmaps for 139 countries of the world. </w:t>
      </w:r>
      <w:r w:rsidRPr="00337D8C">
        <w:rPr>
          <w:rFonts w:ascii="Arial" w:hAnsi="Arial" w:cs="Arial"/>
          <w:i/>
          <w:iCs/>
        </w:rPr>
        <w:t>Joule, 1</w:t>
      </w:r>
      <w:r w:rsidRPr="00337D8C">
        <w:rPr>
          <w:rFonts w:ascii="Arial" w:hAnsi="Arial" w:cs="Arial"/>
        </w:rPr>
        <w:t>(1), 108–121.</w:t>
      </w:r>
    </w:p>
    <w:p w14:paraId="44D610C8" w14:textId="77777777" w:rsidR="00337D8C" w:rsidRPr="00337D8C" w:rsidRDefault="00337D8C" w:rsidP="00337D8C">
      <w:pPr>
        <w:spacing w:line="480" w:lineRule="auto"/>
        <w:ind w:left="720" w:hanging="720"/>
        <w:jc w:val="both"/>
        <w:rPr>
          <w:rFonts w:ascii="Arial" w:hAnsi="Arial" w:cs="Arial"/>
        </w:rPr>
      </w:pPr>
      <w:r w:rsidRPr="00337D8C">
        <w:rPr>
          <w:rFonts w:ascii="Arial" w:hAnsi="Arial" w:cs="Arial"/>
        </w:rPr>
        <w:t xml:space="preserve">Porter, M. E., &amp; Kramer, M. R. (2006). Strategy and society: The link between competitive advantage and corporate social responsibility. </w:t>
      </w:r>
      <w:r w:rsidRPr="00337D8C">
        <w:rPr>
          <w:rFonts w:ascii="Arial" w:hAnsi="Arial" w:cs="Arial"/>
          <w:i/>
          <w:iCs/>
        </w:rPr>
        <w:t>Harvard Business Review, 84</w:t>
      </w:r>
      <w:r w:rsidRPr="00337D8C">
        <w:rPr>
          <w:rFonts w:ascii="Arial" w:hAnsi="Arial" w:cs="Arial"/>
        </w:rPr>
        <w:t>(12), 78–92.</w:t>
      </w:r>
    </w:p>
    <w:p w14:paraId="5C54E171" w14:textId="77777777" w:rsidR="00337D8C" w:rsidRPr="00337D8C" w:rsidRDefault="00337D8C" w:rsidP="00337D8C">
      <w:pPr>
        <w:spacing w:line="480" w:lineRule="auto"/>
        <w:ind w:left="720" w:hanging="720"/>
        <w:jc w:val="both"/>
        <w:rPr>
          <w:rFonts w:ascii="Arial" w:hAnsi="Arial" w:cs="Arial"/>
        </w:rPr>
      </w:pPr>
      <w:r w:rsidRPr="00337D8C">
        <w:rPr>
          <w:rFonts w:ascii="Arial" w:hAnsi="Arial" w:cs="Arial"/>
        </w:rPr>
        <w:t xml:space="preserve">Shrivastava, P. (1995). The role of corporations in achieving ecological sustainability. </w:t>
      </w:r>
      <w:r w:rsidRPr="00337D8C">
        <w:rPr>
          <w:rFonts w:ascii="Arial" w:hAnsi="Arial" w:cs="Arial"/>
          <w:i/>
          <w:iCs/>
        </w:rPr>
        <w:t>Academy of Management Review, 20</w:t>
      </w:r>
      <w:r w:rsidRPr="00337D8C">
        <w:rPr>
          <w:rFonts w:ascii="Arial" w:hAnsi="Arial" w:cs="Arial"/>
        </w:rPr>
        <w:t>(4), 936–960.</w:t>
      </w:r>
    </w:p>
    <w:p w14:paraId="6CAB1CDF" w14:textId="77777777" w:rsidR="00337D8C" w:rsidRPr="00337D8C" w:rsidRDefault="00337D8C" w:rsidP="00337D8C">
      <w:pPr>
        <w:spacing w:line="480" w:lineRule="auto"/>
        <w:ind w:left="720" w:hanging="720"/>
        <w:jc w:val="both"/>
        <w:rPr>
          <w:rFonts w:ascii="Arial" w:hAnsi="Arial" w:cs="Arial"/>
        </w:rPr>
      </w:pPr>
      <w:r w:rsidRPr="00337D8C">
        <w:rPr>
          <w:rFonts w:ascii="Arial" w:hAnsi="Arial" w:cs="Arial"/>
        </w:rPr>
        <w:t xml:space="preserve">Sorrell, S. (2015). Reducing energy demand: A review of issues, challenges and approaches. </w:t>
      </w:r>
      <w:r w:rsidRPr="00337D8C">
        <w:rPr>
          <w:rFonts w:ascii="Arial" w:hAnsi="Arial" w:cs="Arial"/>
          <w:i/>
          <w:iCs/>
        </w:rPr>
        <w:t>Renewable and Sustainable Energy Reviews, 47</w:t>
      </w:r>
      <w:r w:rsidRPr="00337D8C">
        <w:rPr>
          <w:rFonts w:ascii="Arial" w:hAnsi="Arial" w:cs="Arial"/>
        </w:rPr>
        <w:t>, 74–82.</w:t>
      </w:r>
    </w:p>
    <w:p w14:paraId="142831EE" w14:textId="6688C55E" w:rsidR="00337D8C" w:rsidRPr="00074490" w:rsidRDefault="00337D8C" w:rsidP="00337D8C">
      <w:pPr>
        <w:spacing w:line="480" w:lineRule="auto"/>
        <w:ind w:left="720" w:hanging="720"/>
        <w:jc w:val="both"/>
        <w:rPr>
          <w:rFonts w:ascii="Arial" w:hAnsi="Arial" w:cs="Arial"/>
        </w:rPr>
      </w:pPr>
      <w:r w:rsidRPr="00337D8C">
        <w:rPr>
          <w:rFonts w:ascii="Arial" w:hAnsi="Arial" w:cs="Arial"/>
        </w:rPr>
        <w:t xml:space="preserve">Unruh, G. C. (2000). Understanding carbon lock-in. </w:t>
      </w:r>
      <w:r w:rsidRPr="00337D8C">
        <w:rPr>
          <w:rFonts w:ascii="Arial" w:hAnsi="Arial" w:cs="Arial"/>
          <w:i/>
          <w:iCs/>
        </w:rPr>
        <w:t>Energy Policy, 28</w:t>
      </w:r>
      <w:r w:rsidRPr="00337D8C">
        <w:rPr>
          <w:rFonts w:ascii="Arial" w:hAnsi="Arial" w:cs="Arial"/>
        </w:rPr>
        <w:t>(12), 817–830.</w:t>
      </w:r>
    </w:p>
    <w:p w14:paraId="1F66D79F" w14:textId="77777777" w:rsidR="003645D1" w:rsidRDefault="003645D1"/>
    <w:sectPr w:rsidR="003645D1" w:rsidSect="00337D8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F83F0" w14:textId="77777777" w:rsidR="004D2A33" w:rsidRDefault="004D2A33" w:rsidP="00A638ED">
      <w:pPr>
        <w:spacing w:after="0" w:line="240" w:lineRule="auto"/>
      </w:pPr>
      <w:r>
        <w:separator/>
      </w:r>
    </w:p>
  </w:endnote>
  <w:endnote w:type="continuationSeparator" w:id="0">
    <w:p w14:paraId="499D7156" w14:textId="77777777" w:rsidR="004D2A33" w:rsidRDefault="004D2A33" w:rsidP="00A63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889183"/>
      <w:docPartObj>
        <w:docPartGallery w:val="Page Numbers (Bottom of Page)"/>
        <w:docPartUnique/>
      </w:docPartObj>
    </w:sdtPr>
    <w:sdtEndPr>
      <w:rPr>
        <w:color w:val="7F7F7F" w:themeColor="background1" w:themeShade="7F"/>
        <w:spacing w:val="60"/>
      </w:rPr>
    </w:sdtEndPr>
    <w:sdtContent>
      <w:p w14:paraId="163ADD1B" w14:textId="1FC9DDFD" w:rsidR="00A638ED" w:rsidRDefault="00A638E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6364E43" w14:textId="77777777" w:rsidR="00A638ED" w:rsidRDefault="00A63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6A1E0" w14:textId="77777777" w:rsidR="004D2A33" w:rsidRDefault="004D2A33" w:rsidP="00A638ED">
      <w:pPr>
        <w:spacing w:after="0" w:line="240" w:lineRule="auto"/>
      </w:pPr>
      <w:r>
        <w:separator/>
      </w:r>
    </w:p>
  </w:footnote>
  <w:footnote w:type="continuationSeparator" w:id="0">
    <w:p w14:paraId="28F6A76F" w14:textId="77777777" w:rsidR="004D2A33" w:rsidRDefault="004D2A33" w:rsidP="00A638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8A7A63"/>
    <w:multiLevelType w:val="hybridMultilevel"/>
    <w:tmpl w:val="EBA80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6790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5D1"/>
    <w:rsid w:val="00074490"/>
    <w:rsid w:val="00337D8C"/>
    <w:rsid w:val="003645D1"/>
    <w:rsid w:val="004D2A33"/>
    <w:rsid w:val="008357AF"/>
    <w:rsid w:val="00963AF1"/>
    <w:rsid w:val="00A63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DAD05"/>
  <w15:chartTrackingRefBased/>
  <w15:docId w15:val="{7D478663-17A5-47E8-B4CF-A0002BB6D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5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45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45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45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5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5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5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5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5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5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45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45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45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5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5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5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5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5D1"/>
    <w:rPr>
      <w:rFonts w:eastAsiaTheme="majorEastAsia" w:cstheme="majorBidi"/>
      <w:color w:val="272727" w:themeColor="text1" w:themeTint="D8"/>
    </w:rPr>
  </w:style>
  <w:style w:type="paragraph" w:styleId="Title">
    <w:name w:val="Title"/>
    <w:basedOn w:val="Normal"/>
    <w:next w:val="Normal"/>
    <w:link w:val="TitleChar"/>
    <w:uiPriority w:val="10"/>
    <w:qFormat/>
    <w:rsid w:val="003645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5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5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5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5D1"/>
    <w:pPr>
      <w:spacing w:before="160"/>
      <w:jc w:val="center"/>
    </w:pPr>
    <w:rPr>
      <w:i/>
      <w:iCs/>
      <w:color w:val="404040" w:themeColor="text1" w:themeTint="BF"/>
    </w:rPr>
  </w:style>
  <w:style w:type="character" w:customStyle="1" w:styleId="QuoteChar">
    <w:name w:val="Quote Char"/>
    <w:basedOn w:val="DefaultParagraphFont"/>
    <w:link w:val="Quote"/>
    <w:uiPriority w:val="29"/>
    <w:rsid w:val="003645D1"/>
    <w:rPr>
      <w:i/>
      <w:iCs/>
      <w:color w:val="404040" w:themeColor="text1" w:themeTint="BF"/>
    </w:rPr>
  </w:style>
  <w:style w:type="paragraph" w:styleId="ListParagraph">
    <w:name w:val="List Paragraph"/>
    <w:basedOn w:val="Normal"/>
    <w:uiPriority w:val="34"/>
    <w:qFormat/>
    <w:rsid w:val="003645D1"/>
    <w:pPr>
      <w:ind w:left="720"/>
      <w:contextualSpacing/>
    </w:pPr>
  </w:style>
  <w:style w:type="character" w:styleId="IntenseEmphasis">
    <w:name w:val="Intense Emphasis"/>
    <w:basedOn w:val="DefaultParagraphFont"/>
    <w:uiPriority w:val="21"/>
    <w:qFormat/>
    <w:rsid w:val="003645D1"/>
    <w:rPr>
      <w:i/>
      <w:iCs/>
      <w:color w:val="0F4761" w:themeColor="accent1" w:themeShade="BF"/>
    </w:rPr>
  </w:style>
  <w:style w:type="paragraph" w:styleId="IntenseQuote">
    <w:name w:val="Intense Quote"/>
    <w:basedOn w:val="Normal"/>
    <w:next w:val="Normal"/>
    <w:link w:val="IntenseQuoteChar"/>
    <w:uiPriority w:val="30"/>
    <w:qFormat/>
    <w:rsid w:val="003645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5D1"/>
    <w:rPr>
      <w:i/>
      <w:iCs/>
      <w:color w:val="0F4761" w:themeColor="accent1" w:themeShade="BF"/>
    </w:rPr>
  </w:style>
  <w:style w:type="character" w:styleId="IntenseReference">
    <w:name w:val="Intense Reference"/>
    <w:basedOn w:val="DefaultParagraphFont"/>
    <w:uiPriority w:val="32"/>
    <w:qFormat/>
    <w:rsid w:val="003645D1"/>
    <w:rPr>
      <w:b/>
      <w:bCs/>
      <w:smallCaps/>
      <w:color w:val="0F4761" w:themeColor="accent1" w:themeShade="BF"/>
      <w:spacing w:val="5"/>
    </w:rPr>
  </w:style>
  <w:style w:type="paragraph" w:styleId="Header">
    <w:name w:val="header"/>
    <w:basedOn w:val="Normal"/>
    <w:link w:val="HeaderChar"/>
    <w:uiPriority w:val="99"/>
    <w:unhideWhenUsed/>
    <w:rsid w:val="00A63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8ED"/>
  </w:style>
  <w:style w:type="paragraph" w:styleId="Footer">
    <w:name w:val="footer"/>
    <w:basedOn w:val="Normal"/>
    <w:link w:val="FooterChar"/>
    <w:uiPriority w:val="99"/>
    <w:unhideWhenUsed/>
    <w:rsid w:val="00A63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8ED"/>
  </w:style>
  <w:style w:type="character" w:styleId="Hyperlink">
    <w:name w:val="Hyperlink"/>
    <w:basedOn w:val="DefaultParagraphFont"/>
    <w:uiPriority w:val="99"/>
    <w:unhideWhenUsed/>
    <w:rsid w:val="00337D8C"/>
    <w:rPr>
      <w:color w:val="467886" w:themeColor="hyperlink"/>
      <w:u w:val="single"/>
    </w:rPr>
  </w:style>
  <w:style w:type="character" w:styleId="UnresolvedMention">
    <w:name w:val="Unresolved Mention"/>
    <w:basedOn w:val="DefaultParagraphFont"/>
    <w:uiPriority w:val="99"/>
    <w:semiHidden/>
    <w:unhideWhenUsed/>
    <w:rsid w:val="00337D8C"/>
    <w:rPr>
      <w:color w:val="605E5C"/>
      <w:shd w:val="clear" w:color="auto" w:fill="E1DFDD"/>
    </w:rPr>
  </w:style>
  <w:style w:type="paragraph" w:styleId="NoSpacing">
    <w:name w:val="No Spacing"/>
    <w:link w:val="NoSpacingChar"/>
    <w:uiPriority w:val="1"/>
    <w:qFormat/>
    <w:rsid w:val="00337D8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37D8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85914">
      <w:bodyDiv w:val="1"/>
      <w:marLeft w:val="0"/>
      <w:marRight w:val="0"/>
      <w:marTop w:val="0"/>
      <w:marBottom w:val="0"/>
      <w:divBdr>
        <w:top w:val="none" w:sz="0" w:space="0" w:color="auto"/>
        <w:left w:val="none" w:sz="0" w:space="0" w:color="auto"/>
        <w:bottom w:val="none" w:sz="0" w:space="0" w:color="auto"/>
        <w:right w:val="none" w:sz="0" w:space="0" w:color="auto"/>
      </w:divBdr>
    </w:div>
    <w:div w:id="1677229234">
      <w:bodyDiv w:val="1"/>
      <w:marLeft w:val="0"/>
      <w:marRight w:val="0"/>
      <w:marTop w:val="0"/>
      <w:marBottom w:val="0"/>
      <w:divBdr>
        <w:top w:val="none" w:sz="0" w:space="0" w:color="auto"/>
        <w:left w:val="none" w:sz="0" w:space="0" w:color="auto"/>
        <w:bottom w:val="none" w:sz="0" w:space="0" w:color="auto"/>
        <w:right w:val="none" w:sz="0" w:space="0" w:color="auto"/>
      </w:divBdr>
    </w:div>
    <w:div w:id="1764910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1540-6520.2010.00370.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11/j.1540-6520.2010.00430.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F7BB14502604D388DADE66744921EE1"/>
        <w:category>
          <w:name w:val="General"/>
          <w:gallery w:val="placeholder"/>
        </w:category>
        <w:types>
          <w:type w:val="bbPlcHdr"/>
        </w:types>
        <w:behaviors>
          <w:behavior w:val="content"/>
        </w:behaviors>
        <w:guid w:val="{678E7DA4-99C0-45B0-8C18-24D66D7FD700}"/>
      </w:docPartPr>
      <w:docPartBody>
        <w:p w:rsidR="00000000" w:rsidRDefault="00695361" w:rsidP="00695361">
          <w:pPr>
            <w:pStyle w:val="1F7BB14502604D388DADE66744921EE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361"/>
    <w:rsid w:val="00695361"/>
    <w:rsid w:val="008357AF"/>
    <w:rsid w:val="00905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7BB14502604D388DADE66744921EE1">
    <w:name w:val="1F7BB14502604D388DADE66744921EE1"/>
    <w:rsid w:val="00695361"/>
  </w:style>
  <w:style w:type="paragraph" w:customStyle="1" w:styleId="20C2C9FB96D5481DB339864D010E1CC1">
    <w:name w:val="20C2C9FB96D5481DB339864D010E1CC1"/>
    <w:rsid w:val="0069536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Student Name: Roponica Clemansa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2927</Words>
  <Characters>16685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Sustainable Enterprise/ Social Enterprise Management</Company>
  <LinksUpToDate>false</LinksUpToDate>
  <CharactersWithSpaces>19573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BeGreen Renewable Energy Startup</dc:title>
  <dc:subject/>
  <dc:creator>Mirabela Voican (1907947)</dc:creator>
  <cp:keywords/>
  <dc:description/>
  <cp:lastModifiedBy>Mirabela Voican (1907947)</cp:lastModifiedBy>
  <cp:revision>1</cp:revision>
  <dcterms:created xsi:type="dcterms:W3CDTF">2025-03-09T16:47:00Z</dcterms:created>
  <dcterms:modified xsi:type="dcterms:W3CDTF">2025-03-09T17:44:00Z</dcterms:modified>
</cp:coreProperties>
</file>