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C9E" w:rsidRPr="00B85376" w:rsidRDefault="005E7C9E" w:rsidP="00C75E9A">
      <w:pPr>
        <w:spacing w:line="360" w:lineRule="auto"/>
        <w:jc w:val="center"/>
        <w:rPr>
          <w:rFonts w:eastAsia="Times New Roman"/>
          <w:b/>
          <w:sz w:val="24"/>
          <w:lang w:val="en-GB"/>
        </w:rPr>
      </w:pPr>
      <w:r w:rsidRPr="00B85376">
        <w:rPr>
          <w:noProof/>
          <w:sz w:val="24"/>
          <w:lang w:val="en-GB" w:eastAsia="en-GB"/>
        </w:rPr>
        <w:drawing>
          <wp:inline distT="0" distB="0" distL="0" distR="0">
            <wp:extent cx="5732509" cy="2905125"/>
            <wp:effectExtent l="0" t="0" r="1905" b="0"/>
            <wp:docPr id="5" name="Picture 5" descr="Davison Canners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vison Canners Lt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3415" cy="2905584"/>
                    </a:xfrm>
                    <a:prstGeom prst="rect">
                      <a:avLst/>
                    </a:prstGeom>
                    <a:noFill/>
                    <a:ln>
                      <a:noFill/>
                    </a:ln>
                  </pic:spPr>
                </pic:pic>
              </a:graphicData>
            </a:graphic>
          </wp:inline>
        </w:drawing>
      </w:r>
    </w:p>
    <w:p w:rsidR="005E7C9E" w:rsidRPr="00B85376" w:rsidRDefault="005E7C9E">
      <w:pPr>
        <w:rPr>
          <w:rFonts w:eastAsia="Times New Roman"/>
          <w:b/>
          <w:sz w:val="56"/>
          <w:szCs w:val="48"/>
          <w:lang w:val="en-GB"/>
        </w:rPr>
      </w:pPr>
    </w:p>
    <w:p w:rsidR="00356462" w:rsidRPr="00760A0B" w:rsidRDefault="007F2BE3" w:rsidP="00C75E9A">
      <w:pPr>
        <w:spacing w:line="360" w:lineRule="auto"/>
        <w:jc w:val="center"/>
        <w:rPr>
          <w:color w:val="984806" w:themeColor="accent6" w:themeShade="80"/>
          <w:sz w:val="56"/>
          <w:szCs w:val="48"/>
          <w:lang w:val="en-GB"/>
        </w:rPr>
      </w:pPr>
      <w:r w:rsidRPr="00760A0B">
        <w:rPr>
          <w:color w:val="984806" w:themeColor="accent6" w:themeShade="80"/>
          <w:sz w:val="56"/>
          <w:szCs w:val="48"/>
          <w:lang w:val="en-GB"/>
        </w:rPr>
        <w:t>Davison Canners</w:t>
      </w:r>
    </w:p>
    <w:p w:rsidR="00E65BB8" w:rsidRPr="00760A0B" w:rsidRDefault="00E65BB8" w:rsidP="00C75E9A">
      <w:pPr>
        <w:spacing w:line="360" w:lineRule="auto"/>
        <w:jc w:val="center"/>
        <w:rPr>
          <w:color w:val="1F497D" w:themeColor="text2"/>
          <w:sz w:val="48"/>
          <w:szCs w:val="40"/>
          <w:lang w:val="en-GB"/>
        </w:rPr>
      </w:pPr>
    </w:p>
    <w:p w:rsidR="007F2BE3" w:rsidRPr="00760A0B" w:rsidRDefault="007F2BE3" w:rsidP="00C75E9A">
      <w:pPr>
        <w:spacing w:line="360" w:lineRule="auto"/>
        <w:jc w:val="center"/>
        <w:rPr>
          <w:color w:val="1F497D" w:themeColor="text2"/>
          <w:sz w:val="24"/>
          <w:lang w:val="en-GB"/>
        </w:rPr>
      </w:pPr>
    </w:p>
    <w:p w:rsidR="007F2BE3" w:rsidRPr="00760A0B" w:rsidRDefault="00C75AB2" w:rsidP="00C75E9A">
      <w:pPr>
        <w:spacing w:line="360" w:lineRule="auto"/>
        <w:jc w:val="center"/>
        <w:rPr>
          <w:color w:val="1F497D" w:themeColor="text2"/>
          <w:sz w:val="40"/>
          <w:szCs w:val="40"/>
          <w:lang w:val="en-GB"/>
        </w:rPr>
      </w:pPr>
      <w:r w:rsidRPr="00760A0B">
        <w:rPr>
          <w:color w:val="1F497D" w:themeColor="text2"/>
          <w:sz w:val="40"/>
          <w:szCs w:val="40"/>
          <w:lang w:val="en-GB"/>
        </w:rPr>
        <w:t xml:space="preserve">Lecturer: </w:t>
      </w:r>
      <w:proofErr w:type="spellStart"/>
      <w:r w:rsidRPr="00760A0B">
        <w:rPr>
          <w:color w:val="1F497D" w:themeColor="text2"/>
          <w:sz w:val="40"/>
          <w:szCs w:val="40"/>
          <w:lang w:val="en-GB"/>
        </w:rPr>
        <w:t>Olu</w:t>
      </w:r>
      <w:proofErr w:type="spellEnd"/>
      <w:r w:rsidR="006E5147">
        <w:rPr>
          <w:color w:val="1F497D" w:themeColor="text2"/>
          <w:sz w:val="40"/>
          <w:szCs w:val="40"/>
          <w:lang w:val="en-GB"/>
        </w:rPr>
        <w:t xml:space="preserve"> </w:t>
      </w:r>
      <w:proofErr w:type="spellStart"/>
      <w:r w:rsidR="007F2BE3" w:rsidRPr="00760A0B">
        <w:rPr>
          <w:color w:val="1F497D" w:themeColor="text2"/>
          <w:sz w:val="40"/>
          <w:szCs w:val="40"/>
          <w:lang w:val="en-GB"/>
        </w:rPr>
        <w:t>Adegbite</w:t>
      </w:r>
      <w:proofErr w:type="spellEnd"/>
    </w:p>
    <w:p w:rsidR="007F2BE3" w:rsidRPr="00760A0B" w:rsidRDefault="006E5147" w:rsidP="00C75E9A">
      <w:pPr>
        <w:spacing w:line="360" w:lineRule="auto"/>
        <w:jc w:val="center"/>
        <w:rPr>
          <w:color w:val="1F497D" w:themeColor="text2"/>
          <w:sz w:val="40"/>
          <w:szCs w:val="40"/>
          <w:lang w:val="en-GB"/>
        </w:rPr>
      </w:pPr>
      <w:r w:rsidRPr="00760A0B">
        <w:rPr>
          <w:color w:val="1F497D" w:themeColor="text2"/>
          <w:sz w:val="40"/>
          <w:szCs w:val="40"/>
          <w:lang w:val="en-GB"/>
        </w:rPr>
        <w:t>Student: Angura</w:t>
      </w:r>
      <w:r w:rsidR="007F2BE3" w:rsidRPr="00760A0B">
        <w:rPr>
          <w:color w:val="1F497D" w:themeColor="text2"/>
          <w:sz w:val="40"/>
          <w:szCs w:val="40"/>
          <w:lang w:val="en-GB"/>
        </w:rPr>
        <w:t xml:space="preserve"> Begum </w:t>
      </w:r>
    </w:p>
    <w:p w:rsidR="007F2BE3" w:rsidRPr="00760A0B" w:rsidRDefault="007F2BE3" w:rsidP="00C75E9A">
      <w:pPr>
        <w:spacing w:line="360" w:lineRule="auto"/>
        <w:jc w:val="center"/>
        <w:rPr>
          <w:color w:val="1F497D" w:themeColor="text2"/>
          <w:sz w:val="40"/>
          <w:szCs w:val="40"/>
          <w:lang w:val="en-GB"/>
        </w:rPr>
      </w:pPr>
      <w:r w:rsidRPr="00760A0B">
        <w:rPr>
          <w:color w:val="1F497D" w:themeColor="text2"/>
          <w:sz w:val="40"/>
          <w:szCs w:val="40"/>
          <w:lang w:val="en-GB"/>
        </w:rPr>
        <w:t xml:space="preserve">Student </w:t>
      </w:r>
      <w:r w:rsidR="00C75AB2" w:rsidRPr="00760A0B">
        <w:rPr>
          <w:color w:val="1F497D" w:themeColor="text2"/>
          <w:sz w:val="40"/>
          <w:szCs w:val="40"/>
          <w:lang w:val="en-GB"/>
        </w:rPr>
        <w:t>Number: 1712139</w:t>
      </w:r>
    </w:p>
    <w:p w:rsidR="00C75AB2" w:rsidRPr="00760A0B" w:rsidRDefault="00C75AB2" w:rsidP="00C75E9A">
      <w:pPr>
        <w:spacing w:line="360" w:lineRule="auto"/>
        <w:jc w:val="center"/>
        <w:rPr>
          <w:color w:val="1F497D" w:themeColor="text2"/>
          <w:sz w:val="40"/>
          <w:szCs w:val="40"/>
          <w:lang w:val="en-GB"/>
        </w:rPr>
      </w:pPr>
      <w:r w:rsidRPr="00760A0B">
        <w:rPr>
          <w:color w:val="1F497D" w:themeColor="text2"/>
          <w:sz w:val="40"/>
          <w:szCs w:val="40"/>
          <w:lang w:val="en-GB"/>
        </w:rPr>
        <w:t xml:space="preserve">Moodle: BMSW: 6104 </w:t>
      </w:r>
    </w:p>
    <w:p w:rsidR="00C75AB2" w:rsidRPr="00B85376" w:rsidRDefault="00C75AB2" w:rsidP="00C75E9A">
      <w:pPr>
        <w:spacing w:line="360" w:lineRule="auto"/>
        <w:jc w:val="center"/>
        <w:rPr>
          <w:lang w:val="en-GB"/>
        </w:rPr>
      </w:pPr>
    </w:p>
    <w:p w:rsidR="00C75AB2" w:rsidRPr="00B85376" w:rsidRDefault="00C75AB2" w:rsidP="00C75E9A">
      <w:pPr>
        <w:spacing w:line="360" w:lineRule="auto"/>
        <w:jc w:val="center"/>
        <w:rPr>
          <w:lang w:val="en-GB"/>
        </w:rPr>
      </w:pPr>
    </w:p>
    <w:p w:rsidR="00C75AB2" w:rsidRPr="00B85376" w:rsidRDefault="00C75AB2" w:rsidP="00C75E9A">
      <w:pPr>
        <w:spacing w:line="360" w:lineRule="auto"/>
        <w:jc w:val="center"/>
        <w:rPr>
          <w:lang w:val="en-GB"/>
        </w:rPr>
      </w:pPr>
    </w:p>
    <w:p w:rsidR="00C75AB2" w:rsidRPr="00B85376" w:rsidRDefault="00C75AB2" w:rsidP="00C75E9A">
      <w:pPr>
        <w:spacing w:line="360" w:lineRule="auto"/>
        <w:jc w:val="center"/>
        <w:rPr>
          <w:lang w:val="en-GB"/>
        </w:rPr>
      </w:pPr>
    </w:p>
    <w:p w:rsidR="00C75AB2" w:rsidRPr="00B85376" w:rsidRDefault="00C75AB2" w:rsidP="00C75E9A">
      <w:pPr>
        <w:spacing w:line="360" w:lineRule="auto"/>
        <w:jc w:val="center"/>
        <w:rPr>
          <w:lang w:val="en-GB"/>
        </w:rPr>
      </w:pPr>
    </w:p>
    <w:p w:rsidR="00C75AB2" w:rsidRPr="00B85376" w:rsidRDefault="00C75AB2" w:rsidP="00C75E9A">
      <w:pPr>
        <w:spacing w:line="360" w:lineRule="auto"/>
        <w:jc w:val="center"/>
        <w:rPr>
          <w:lang w:val="en-GB"/>
        </w:rPr>
      </w:pPr>
    </w:p>
    <w:p w:rsidR="00C75AB2" w:rsidRPr="00B85376" w:rsidRDefault="00C75AB2" w:rsidP="00C75E9A">
      <w:pPr>
        <w:spacing w:line="360" w:lineRule="auto"/>
        <w:jc w:val="center"/>
        <w:rPr>
          <w:lang w:val="en-GB"/>
        </w:rPr>
      </w:pPr>
    </w:p>
    <w:p w:rsidR="00C75AB2" w:rsidRPr="00B85376" w:rsidRDefault="00C75AB2" w:rsidP="00C75E9A">
      <w:pPr>
        <w:spacing w:line="360" w:lineRule="auto"/>
        <w:jc w:val="center"/>
        <w:rPr>
          <w:lang w:val="en-GB"/>
        </w:rPr>
      </w:pPr>
    </w:p>
    <w:p w:rsidR="00C75AB2" w:rsidRPr="00A93934" w:rsidRDefault="00C75AB2" w:rsidP="00A93934">
      <w:pPr>
        <w:spacing w:line="360" w:lineRule="auto"/>
        <w:rPr>
          <w:lang w:val="en-GB"/>
        </w:rPr>
      </w:pPr>
    </w:p>
    <w:p w:rsidR="00C75AB2" w:rsidRPr="00A93934" w:rsidRDefault="00C75AB2" w:rsidP="00A93934">
      <w:pPr>
        <w:spacing w:line="360" w:lineRule="auto"/>
        <w:rPr>
          <w:rFonts w:eastAsia="Times New Roman"/>
          <w:b/>
          <w:lang w:val="en-GB"/>
        </w:rPr>
      </w:pPr>
    </w:p>
    <w:p w:rsidR="00E01D51" w:rsidRPr="00A93934" w:rsidRDefault="00E01D51" w:rsidP="00A93934">
      <w:pPr>
        <w:spacing w:line="360" w:lineRule="auto"/>
        <w:jc w:val="center"/>
        <w:rPr>
          <w:b/>
          <w:lang w:val="en-GB"/>
        </w:rPr>
      </w:pPr>
      <w:r w:rsidRPr="00A93934">
        <w:rPr>
          <w:b/>
          <w:lang w:val="en-GB"/>
        </w:rPr>
        <w:t>Executive summary</w:t>
      </w:r>
    </w:p>
    <w:p w:rsidR="000E73B9" w:rsidRPr="00A93934" w:rsidRDefault="00D830B3" w:rsidP="00A93934">
      <w:pPr>
        <w:spacing w:line="360" w:lineRule="auto"/>
        <w:jc w:val="both"/>
        <w:rPr>
          <w:lang w:val="en-GB"/>
        </w:rPr>
      </w:pPr>
      <w:r w:rsidRPr="00A93934">
        <w:rPr>
          <w:lang w:val="en-GB"/>
        </w:rPr>
        <w:t xml:space="preserve">This report </w:t>
      </w:r>
      <w:r w:rsidR="005027AD" w:rsidRPr="00A93934">
        <w:rPr>
          <w:lang w:val="en-GB"/>
        </w:rPr>
        <w:t xml:space="preserve">highlights the prime </w:t>
      </w:r>
      <w:r w:rsidR="004F46FA" w:rsidRPr="00A93934">
        <w:rPr>
          <w:lang w:val="en-GB"/>
        </w:rPr>
        <w:t>importance of strate</w:t>
      </w:r>
      <w:r w:rsidR="00873443" w:rsidRPr="00A93934">
        <w:rPr>
          <w:lang w:val="en-GB"/>
        </w:rPr>
        <w:t xml:space="preserve">gic management on a business. </w:t>
      </w:r>
      <w:r w:rsidR="00BA116F" w:rsidRPr="00A93934">
        <w:rPr>
          <w:lang w:val="en-GB"/>
        </w:rPr>
        <w:t xml:space="preserve">It also explores </w:t>
      </w:r>
      <w:r w:rsidR="00ED32D8" w:rsidRPr="00A93934">
        <w:rPr>
          <w:lang w:val="en-GB"/>
        </w:rPr>
        <w:t xml:space="preserve">different essential external as well as internal factors of </w:t>
      </w:r>
      <w:r w:rsidR="00FD70BF" w:rsidRPr="00A93934">
        <w:rPr>
          <w:lang w:val="en-GB"/>
        </w:rPr>
        <w:t xml:space="preserve">a business environment. In order to </w:t>
      </w:r>
      <w:r w:rsidR="0064024E" w:rsidRPr="00A93934">
        <w:rPr>
          <w:lang w:val="en-GB"/>
        </w:rPr>
        <w:t xml:space="preserve">produce a detailed </w:t>
      </w:r>
      <w:r w:rsidR="009B58F2" w:rsidRPr="00A93934">
        <w:rPr>
          <w:lang w:val="en-GB"/>
        </w:rPr>
        <w:t>understanding</w:t>
      </w:r>
      <w:r w:rsidR="0064024E" w:rsidRPr="00A93934">
        <w:rPr>
          <w:lang w:val="en-GB"/>
        </w:rPr>
        <w:t xml:space="preserve"> regarding the </w:t>
      </w:r>
      <w:r w:rsidR="009B58F2" w:rsidRPr="00A93934">
        <w:rPr>
          <w:lang w:val="en-GB"/>
        </w:rPr>
        <w:t>importance</w:t>
      </w:r>
      <w:r w:rsidR="0064024E" w:rsidRPr="00A93934">
        <w:rPr>
          <w:lang w:val="en-GB"/>
        </w:rPr>
        <w:t xml:space="preserve"> of external as well as </w:t>
      </w:r>
      <w:r w:rsidR="009B58F2" w:rsidRPr="00A93934">
        <w:rPr>
          <w:lang w:val="en-GB"/>
        </w:rPr>
        <w:t>internal</w:t>
      </w:r>
      <w:r w:rsidR="0064024E" w:rsidRPr="00A93934">
        <w:rPr>
          <w:lang w:val="en-GB"/>
        </w:rPr>
        <w:t xml:space="preserve"> factors, PESTLE ana</w:t>
      </w:r>
      <w:r w:rsidR="00EF7F18" w:rsidRPr="00A93934">
        <w:rPr>
          <w:lang w:val="en-GB"/>
        </w:rPr>
        <w:t>l</w:t>
      </w:r>
      <w:r w:rsidR="00D27A63">
        <w:rPr>
          <w:lang w:val="en-GB"/>
        </w:rPr>
        <w:t>ysis, P</w:t>
      </w:r>
      <w:r w:rsidR="0064024E" w:rsidRPr="00A93934">
        <w:rPr>
          <w:lang w:val="en-GB"/>
        </w:rPr>
        <w:t xml:space="preserve">orter’s five-forces and SWOT analysis have been depicted respectively. </w:t>
      </w:r>
      <w:r w:rsidR="000132AD" w:rsidRPr="00A93934">
        <w:rPr>
          <w:lang w:val="en-GB"/>
        </w:rPr>
        <w:t>This report offers a</w:t>
      </w:r>
      <w:r w:rsidR="00665EC1" w:rsidRPr="00A93934">
        <w:rPr>
          <w:lang w:val="en-GB"/>
        </w:rPr>
        <w:t xml:space="preserve"> detailed overview regarding the role of </w:t>
      </w:r>
      <w:r w:rsidR="001D1A7B" w:rsidRPr="00A93934">
        <w:rPr>
          <w:lang w:val="en-GB"/>
        </w:rPr>
        <w:t xml:space="preserve">available strategic growth choices for small, medium enterprises. The </w:t>
      </w:r>
      <w:r w:rsidR="003C1F89" w:rsidRPr="00A93934">
        <w:rPr>
          <w:lang w:val="en-GB"/>
        </w:rPr>
        <w:t>entire</w:t>
      </w:r>
      <w:r w:rsidR="001D1A7B" w:rsidRPr="00A93934">
        <w:rPr>
          <w:lang w:val="en-GB"/>
        </w:rPr>
        <w:t xml:space="preserve"> report is based on the</w:t>
      </w:r>
      <w:r w:rsidR="003C1F89" w:rsidRPr="00A93934">
        <w:rPr>
          <w:lang w:val="en-GB"/>
        </w:rPr>
        <w:t xml:space="preserve"> context of Davison Canners, a leading food manufacturing company in UK and it is also considered as a part of small-medium </w:t>
      </w:r>
      <w:r w:rsidR="009426AC" w:rsidRPr="00A93934">
        <w:rPr>
          <w:lang w:val="en-GB"/>
        </w:rPr>
        <w:t>enterprises. The</w:t>
      </w:r>
      <w:r w:rsidR="00FB4633" w:rsidRPr="00A93934">
        <w:rPr>
          <w:lang w:val="en-GB"/>
        </w:rPr>
        <w:t xml:space="preserve"> VRIO analysis has also been discussed here for the purpose of evaluating competitive advantage gained by </w:t>
      </w:r>
      <w:r w:rsidR="00FB4018" w:rsidRPr="00A93934">
        <w:rPr>
          <w:lang w:val="en-GB"/>
        </w:rPr>
        <w:t xml:space="preserve">Davison Canners </w:t>
      </w:r>
      <w:r w:rsidR="007571AF" w:rsidRPr="00A93934">
        <w:rPr>
          <w:lang w:val="en-GB"/>
        </w:rPr>
        <w:t xml:space="preserve">over the </w:t>
      </w:r>
      <w:r w:rsidR="00177DF8" w:rsidRPr="00A93934">
        <w:rPr>
          <w:lang w:val="en-GB"/>
        </w:rPr>
        <w:t>stakeholders</w:t>
      </w:r>
      <w:r w:rsidR="007571AF" w:rsidRPr="00A93934">
        <w:rPr>
          <w:lang w:val="en-GB"/>
        </w:rPr>
        <w:t xml:space="preserve"> present in market. </w:t>
      </w:r>
      <w:r w:rsidR="009A1154" w:rsidRPr="00A93934">
        <w:rPr>
          <w:lang w:val="en-GB"/>
        </w:rPr>
        <w:t xml:space="preserve">Besides this, </w:t>
      </w:r>
      <w:proofErr w:type="spellStart"/>
      <w:r w:rsidR="009A1154" w:rsidRPr="00A93934">
        <w:rPr>
          <w:lang w:val="en-GB"/>
        </w:rPr>
        <w:t>Ansoff</w:t>
      </w:r>
      <w:proofErr w:type="spellEnd"/>
      <w:r w:rsidR="009A1154" w:rsidRPr="00A93934">
        <w:rPr>
          <w:lang w:val="en-GB"/>
        </w:rPr>
        <w:t xml:space="preserve"> matrix has been discussed for selecting a rel</w:t>
      </w:r>
      <w:r w:rsidR="00962A6F" w:rsidRPr="00A93934">
        <w:rPr>
          <w:lang w:val="en-GB"/>
        </w:rPr>
        <w:t>e</w:t>
      </w:r>
      <w:r w:rsidR="009A1154" w:rsidRPr="00A93934">
        <w:rPr>
          <w:lang w:val="en-GB"/>
        </w:rPr>
        <w:t xml:space="preserve">vant strategic growth option for the company. </w:t>
      </w:r>
      <w:r w:rsidR="00962A6F" w:rsidRPr="00A93934">
        <w:rPr>
          <w:lang w:val="en-GB"/>
        </w:rPr>
        <w:t xml:space="preserve">The use of AIDA model is useful in terms of evaluating the </w:t>
      </w:r>
      <w:r w:rsidR="00C3199E" w:rsidRPr="00A93934">
        <w:rPr>
          <w:lang w:val="en-GB"/>
        </w:rPr>
        <w:t xml:space="preserve">strategic action of </w:t>
      </w:r>
      <w:r w:rsidR="00D6775E" w:rsidRPr="00A93934">
        <w:rPr>
          <w:lang w:val="en-GB"/>
        </w:rPr>
        <w:t>Davison</w:t>
      </w:r>
      <w:r w:rsidR="00C3199E" w:rsidRPr="00A93934">
        <w:rPr>
          <w:lang w:val="en-GB"/>
        </w:rPr>
        <w:t xml:space="preserve"> for initiating the growth </w:t>
      </w:r>
      <w:r w:rsidR="00D6775E" w:rsidRPr="00A93934">
        <w:rPr>
          <w:lang w:val="en-GB"/>
        </w:rPr>
        <w:t>strategy</w:t>
      </w:r>
      <w:r w:rsidR="00C3199E" w:rsidRPr="00A93934">
        <w:rPr>
          <w:lang w:val="en-GB"/>
        </w:rPr>
        <w:t xml:space="preserve">. </w:t>
      </w:r>
      <w:r w:rsidR="00D6775E" w:rsidRPr="00A93934">
        <w:rPr>
          <w:lang w:val="en-GB"/>
        </w:rPr>
        <w:t xml:space="preserve">This report </w:t>
      </w:r>
      <w:r w:rsidR="00AB3528" w:rsidRPr="00A93934">
        <w:rPr>
          <w:lang w:val="en-GB"/>
        </w:rPr>
        <w:t xml:space="preserve">also highlights some </w:t>
      </w:r>
      <w:r w:rsidR="009426AC" w:rsidRPr="00A93934">
        <w:rPr>
          <w:color w:val="000000" w:themeColor="text1"/>
          <w:lang w:val="en-GB"/>
        </w:rPr>
        <w:t xml:space="preserve">recommended </w:t>
      </w:r>
      <w:r w:rsidR="009426AC" w:rsidRPr="00A93934">
        <w:rPr>
          <w:lang w:val="en-GB"/>
        </w:rPr>
        <w:t>strategic</w:t>
      </w:r>
      <w:r w:rsidR="00AB3528" w:rsidRPr="00A93934">
        <w:rPr>
          <w:lang w:val="en-GB"/>
        </w:rPr>
        <w:t xml:space="preserve"> and sustainable </w:t>
      </w:r>
      <w:r w:rsidR="00A85055" w:rsidRPr="00A93934">
        <w:rPr>
          <w:lang w:val="en-GB"/>
        </w:rPr>
        <w:t>strategic</w:t>
      </w:r>
      <w:r w:rsidR="00AB3528" w:rsidRPr="00A93934">
        <w:rPr>
          <w:lang w:val="en-GB"/>
        </w:rPr>
        <w:t xml:space="preserve"> direction for the company in </w:t>
      </w:r>
      <w:r w:rsidR="00E9618C" w:rsidRPr="00A93934">
        <w:rPr>
          <w:lang w:val="en-GB"/>
        </w:rPr>
        <w:t xml:space="preserve">the </w:t>
      </w:r>
      <w:r w:rsidR="00AB3528" w:rsidRPr="00A93934">
        <w:rPr>
          <w:lang w:val="en-GB"/>
        </w:rPr>
        <w:t xml:space="preserve">context of </w:t>
      </w:r>
      <w:r w:rsidR="00FC60F7" w:rsidRPr="00A93934">
        <w:rPr>
          <w:lang w:val="en-GB"/>
        </w:rPr>
        <w:t xml:space="preserve">securing competitive </w:t>
      </w:r>
      <w:r w:rsidR="00A85055" w:rsidRPr="00A93934">
        <w:rPr>
          <w:lang w:val="en-GB"/>
        </w:rPr>
        <w:t>advantage</w:t>
      </w:r>
      <w:r w:rsidR="00FC60F7" w:rsidRPr="00A93934">
        <w:rPr>
          <w:lang w:val="en-GB"/>
        </w:rPr>
        <w:t xml:space="preserve"> and </w:t>
      </w:r>
      <w:r w:rsidR="00E9618C" w:rsidRPr="00A93934">
        <w:rPr>
          <w:lang w:val="en-GB"/>
        </w:rPr>
        <w:t>long-term</w:t>
      </w:r>
      <w:r w:rsidR="00FC60F7" w:rsidRPr="00A93934">
        <w:rPr>
          <w:lang w:val="en-GB"/>
        </w:rPr>
        <w:t xml:space="preserve"> success in the markets. </w:t>
      </w:r>
    </w:p>
    <w:p w:rsidR="000E73B9" w:rsidRPr="00A93934" w:rsidRDefault="000E73B9" w:rsidP="00A93934">
      <w:pPr>
        <w:spacing w:line="360" w:lineRule="auto"/>
        <w:rPr>
          <w:lang w:val="en-GB"/>
        </w:rPr>
      </w:pPr>
      <w:r w:rsidRPr="00A93934">
        <w:rPr>
          <w:lang w:val="en-GB"/>
        </w:rPr>
        <w:br w:type="page"/>
      </w:r>
    </w:p>
    <w:sdt>
      <w:sdtPr>
        <w:rPr>
          <w:rFonts w:ascii="Arial" w:eastAsia="Arial" w:hAnsi="Arial" w:cs="Arial"/>
          <w:b w:val="0"/>
          <w:bCs w:val="0"/>
          <w:color w:val="auto"/>
          <w:sz w:val="22"/>
          <w:szCs w:val="22"/>
        </w:rPr>
        <w:id w:val="-147138572"/>
        <w:docPartObj>
          <w:docPartGallery w:val="Table of Contents"/>
          <w:docPartUnique/>
        </w:docPartObj>
      </w:sdtPr>
      <w:sdtEndPr>
        <w:rPr>
          <w:noProof/>
        </w:rPr>
      </w:sdtEndPr>
      <w:sdtContent>
        <w:p w:rsidR="00A73D3C" w:rsidRDefault="00A73D3C">
          <w:pPr>
            <w:pStyle w:val="TOCHeading"/>
          </w:pPr>
          <w:r>
            <w:t>Contents</w:t>
          </w:r>
        </w:p>
        <w:p w:rsidR="00A73D3C" w:rsidRDefault="00A73D3C">
          <w:pPr>
            <w:pStyle w:val="TOC1"/>
            <w:tabs>
              <w:tab w:val="right" w:leader="dot" w:pos="9019"/>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56805788" w:history="1">
            <w:r w:rsidRPr="005F7273">
              <w:rPr>
                <w:rStyle w:val="Hyperlink"/>
                <w:noProof/>
              </w:rPr>
              <w:t>Task 1: Introduction</w:t>
            </w:r>
            <w:r>
              <w:rPr>
                <w:noProof/>
                <w:webHidden/>
              </w:rPr>
              <w:tab/>
            </w:r>
            <w:r>
              <w:rPr>
                <w:noProof/>
                <w:webHidden/>
              </w:rPr>
              <w:fldChar w:fldCharType="begin"/>
            </w:r>
            <w:r>
              <w:rPr>
                <w:noProof/>
                <w:webHidden/>
              </w:rPr>
              <w:instrText xml:space="preserve"> PAGEREF _Toc56805788 \h </w:instrText>
            </w:r>
            <w:r>
              <w:rPr>
                <w:noProof/>
                <w:webHidden/>
              </w:rPr>
            </w:r>
            <w:r>
              <w:rPr>
                <w:noProof/>
                <w:webHidden/>
              </w:rPr>
              <w:fldChar w:fldCharType="separate"/>
            </w:r>
            <w:r>
              <w:rPr>
                <w:noProof/>
                <w:webHidden/>
              </w:rPr>
              <w:t>4</w:t>
            </w:r>
            <w:r>
              <w:rPr>
                <w:noProof/>
                <w:webHidden/>
              </w:rPr>
              <w:fldChar w:fldCharType="end"/>
            </w:r>
          </w:hyperlink>
        </w:p>
        <w:p w:rsidR="00A73D3C" w:rsidRDefault="004430B6">
          <w:pPr>
            <w:pStyle w:val="TOC1"/>
            <w:tabs>
              <w:tab w:val="right" w:leader="dot" w:pos="9019"/>
            </w:tabs>
            <w:rPr>
              <w:rFonts w:asciiTheme="minorHAnsi" w:eastAsiaTheme="minorEastAsia" w:hAnsiTheme="minorHAnsi" w:cstheme="minorBidi"/>
              <w:noProof/>
              <w:lang w:val="en-GB" w:eastAsia="en-GB"/>
            </w:rPr>
          </w:pPr>
          <w:hyperlink w:anchor="_Toc56805789" w:history="1">
            <w:r w:rsidR="00A73D3C" w:rsidRPr="005F7273">
              <w:rPr>
                <w:rStyle w:val="Hyperlink"/>
                <w:noProof/>
              </w:rPr>
              <w:t>Task 2: Description of present strategic direction of Davison Canners</w:t>
            </w:r>
            <w:r w:rsidR="00A73D3C">
              <w:rPr>
                <w:noProof/>
                <w:webHidden/>
              </w:rPr>
              <w:tab/>
            </w:r>
            <w:r w:rsidR="00A73D3C">
              <w:rPr>
                <w:noProof/>
                <w:webHidden/>
              </w:rPr>
              <w:fldChar w:fldCharType="begin"/>
            </w:r>
            <w:r w:rsidR="00A73D3C">
              <w:rPr>
                <w:noProof/>
                <w:webHidden/>
              </w:rPr>
              <w:instrText xml:space="preserve"> PAGEREF _Toc56805789 \h </w:instrText>
            </w:r>
            <w:r w:rsidR="00A73D3C">
              <w:rPr>
                <w:noProof/>
                <w:webHidden/>
              </w:rPr>
            </w:r>
            <w:r w:rsidR="00A73D3C">
              <w:rPr>
                <w:noProof/>
                <w:webHidden/>
              </w:rPr>
              <w:fldChar w:fldCharType="separate"/>
            </w:r>
            <w:r w:rsidR="00A73D3C">
              <w:rPr>
                <w:noProof/>
                <w:webHidden/>
              </w:rPr>
              <w:t>4</w:t>
            </w:r>
            <w:r w:rsidR="00A73D3C">
              <w:rPr>
                <w:noProof/>
                <w:webHidden/>
              </w:rPr>
              <w:fldChar w:fldCharType="end"/>
            </w:r>
          </w:hyperlink>
        </w:p>
        <w:p w:rsidR="00A73D3C" w:rsidRDefault="004430B6">
          <w:pPr>
            <w:pStyle w:val="TOC1"/>
            <w:tabs>
              <w:tab w:val="right" w:leader="dot" w:pos="9019"/>
            </w:tabs>
            <w:rPr>
              <w:rFonts w:asciiTheme="minorHAnsi" w:eastAsiaTheme="minorEastAsia" w:hAnsiTheme="minorHAnsi" w:cstheme="minorBidi"/>
              <w:noProof/>
              <w:lang w:val="en-GB" w:eastAsia="en-GB"/>
            </w:rPr>
          </w:pPr>
          <w:hyperlink w:anchor="_Toc56805790" w:history="1">
            <w:r w:rsidR="00A73D3C" w:rsidRPr="005F7273">
              <w:rPr>
                <w:rStyle w:val="Hyperlink"/>
                <w:noProof/>
              </w:rPr>
              <w:t>Task 3: Analysis of business environment</w:t>
            </w:r>
            <w:r w:rsidR="00A73D3C">
              <w:rPr>
                <w:noProof/>
                <w:webHidden/>
              </w:rPr>
              <w:tab/>
            </w:r>
            <w:r w:rsidR="00A73D3C">
              <w:rPr>
                <w:noProof/>
                <w:webHidden/>
              </w:rPr>
              <w:fldChar w:fldCharType="begin"/>
            </w:r>
            <w:r w:rsidR="00A73D3C">
              <w:rPr>
                <w:noProof/>
                <w:webHidden/>
              </w:rPr>
              <w:instrText xml:space="preserve"> PAGEREF _Toc56805790 \h </w:instrText>
            </w:r>
            <w:r w:rsidR="00A73D3C">
              <w:rPr>
                <w:noProof/>
                <w:webHidden/>
              </w:rPr>
            </w:r>
            <w:r w:rsidR="00A73D3C">
              <w:rPr>
                <w:noProof/>
                <w:webHidden/>
              </w:rPr>
              <w:fldChar w:fldCharType="separate"/>
            </w:r>
            <w:r w:rsidR="00A73D3C">
              <w:rPr>
                <w:noProof/>
                <w:webHidden/>
              </w:rPr>
              <w:t>5</w:t>
            </w:r>
            <w:r w:rsidR="00A73D3C">
              <w:rPr>
                <w:noProof/>
                <w:webHidden/>
              </w:rPr>
              <w:fldChar w:fldCharType="end"/>
            </w:r>
          </w:hyperlink>
        </w:p>
        <w:p w:rsidR="00A73D3C" w:rsidRDefault="004430B6">
          <w:pPr>
            <w:pStyle w:val="TOC2"/>
            <w:tabs>
              <w:tab w:val="right" w:leader="dot" w:pos="9019"/>
            </w:tabs>
            <w:rPr>
              <w:rFonts w:asciiTheme="minorHAnsi" w:eastAsiaTheme="minorEastAsia" w:hAnsiTheme="minorHAnsi" w:cstheme="minorBidi"/>
              <w:noProof/>
              <w:lang w:val="en-GB" w:eastAsia="en-GB"/>
            </w:rPr>
          </w:pPr>
          <w:hyperlink w:anchor="_Toc56805791" w:history="1">
            <w:r w:rsidR="00A73D3C" w:rsidRPr="005F7273">
              <w:rPr>
                <w:rStyle w:val="Hyperlink"/>
                <w:noProof/>
                <w:lang w:val="en-GB"/>
              </w:rPr>
              <w:t>3.1 Analysis of external environmental factors</w:t>
            </w:r>
            <w:r w:rsidR="00A73D3C">
              <w:rPr>
                <w:noProof/>
                <w:webHidden/>
              </w:rPr>
              <w:tab/>
            </w:r>
            <w:r w:rsidR="00A73D3C">
              <w:rPr>
                <w:noProof/>
                <w:webHidden/>
              </w:rPr>
              <w:fldChar w:fldCharType="begin"/>
            </w:r>
            <w:r w:rsidR="00A73D3C">
              <w:rPr>
                <w:noProof/>
                <w:webHidden/>
              </w:rPr>
              <w:instrText xml:space="preserve"> PAGEREF _Toc56805791 \h </w:instrText>
            </w:r>
            <w:r w:rsidR="00A73D3C">
              <w:rPr>
                <w:noProof/>
                <w:webHidden/>
              </w:rPr>
            </w:r>
            <w:r w:rsidR="00A73D3C">
              <w:rPr>
                <w:noProof/>
                <w:webHidden/>
              </w:rPr>
              <w:fldChar w:fldCharType="separate"/>
            </w:r>
            <w:r w:rsidR="00A73D3C">
              <w:rPr>
                <w:noProof/>
                <w:webHidden/>
              </w:rPr>
              <w:t>5</w:t>
            </w:r>
            <w:r w:rsidR="00A73D3C">
              <w:rPr>
                <w:noProof/>
                <w:webHidden/>
              </w:rPr>
              <w:fldChar w:fldCharType="end"/>
            </w:r>
          </w:hyperlink>
        </w:p>
        <w:p w:rsidR="00A73D3C" w:rsidRDefault="004430B6">
          <w:pPr>
            <w:pStyle w:val="TOC3"/>
            <w:tabs>
              <w:tab w:val="right" w:leader="dot" w:pos="9019"/>
            </w:tabs>
            <w:rPr>
              <w:rFonts w:asciiTheme="minorHAnsi" w:eastAsiaTheme="minorEastAsia" w:hAnsiTheme="minorHAnsi" w:cstheme="minorBidi"/>
              <w:noProof/>
              <w:lang w:val="en-GB" w:eastAsia="en-GB"/>
            </w:rPr>
          </w:pPr>
          <w:hyperlink w:anchor="_Toc56805792" w:history="1">
            <w:r w:rsidR="00A73D3C" w:rsidRPr="005F7273">
              <w:rPr>
                <w:rStyle w:val="Hyperlink"/>
                <w:noProof/>
                <w:lang w:val="en-GB"/>
              </w:rPr>
              <w:t>PESTLE analysis</w:t>
            </w:r>
            <w:r w:rsidR="00A73D3C">
              <w:rPr>
                <w:noProof/>
                <w:webHidden/>
              </w:rPr>
              <w:tab/>
            </w:r>
            <w:r w:rsidR="00A73D3C">
              <w:rPr>
                <w:noProof/>
                <w:webHidden/>
              </w:rPr>
              <w:fldChar w:fldCharType="begin"/>
            </w:r>
            <w:r w:rsidR="00A73D3C">
              <w:rPr>
                <w:noProof/>
                <w:webHidden/>
              </w:rPr>
              <w:instrText xml:space="preserve"> PAGEREF _Toc56805792 \h </w:instrText>
            </w:r>
            <w:r w:rsidR="00A73D3C">
              <w:rPr>
                <w:noProof/>
                <w:webHidden/>
              </w:rPr>
            </w:r>
            <w:r w:rsidR="00A73D3C">
              <w:rPr>
                <w:noProof/>
                <w:webHidden/>
              </w:rPr>
              <w:fldChar w:fldCharType="separate"/>
            </w:r>
            <w:r w:rsidR="00A73D3C">
              <w:rPr>
                <w:noProof/>
                <w:webHidden/>
              </w:rPr>
              <w:t>5</w:t>
            </w:r>
            <w:r w:rsidR="00A73D3C">
              <w:rPr>
                <w:noProof/>
                <w:webHidden/>
              </w:rPr>
              <w:fldChar w:fldCharType="end"/>
            </w:r>
          </w:hyperlink>
        </w:p>
        <w:p w:rsidR="00A73D3C" w:rsidRDefault="004430B6">
          <w:pPr>
            <w:pStyle w:val="TOC2"/>
            <w:tabs>
              <w:tab w:val="right" w:leader="dot" w:pos="9019"/>
            </w:tabs>
            <w:rPr>
              <w:rFonts w:asciiTheme="minorHAnsi" w:eastAsiaTheme="minorEastAsia" w:hAnsiTheme="minorHAnsi" w:cstheme="minorBidi"/>
              <w:noProof/>
              <w:lang w:val="en-GB" w:eastAsia="en-GB"/>
            </w:rPr>
          </w:pPr>
          <w:hyperlink w:anchor="_Toc56805793" w:history="1">
            <w:r w:rsidR="00A73D3C" w:rsidRPr="005F7273">
              <w:rPr>
                <w:rStyle w:val="Hyperlink"/>
                <w:noProof/>
                <w:lang w:val="en-GB"/>
              </w:rPr>
              <w:t>3.2 Porter’s five forces</w:t>
            </w:r>
            <w:r w:rsidR="00A73D3C">
              <w:rPr>
                <w:noProof/>
                <w:webHidden/>
              </w:rPr>
              <w:tab/>
            </w:r>
            <w:r w:rsidR="00A73D3C">
              <w:rPr>
                <w:noProof/>
                <w:webHidden/>
              </w:rPr>
              <w:fldChar w:fldCharType="begin"/>
            </w:r>
            <w:r w:rsidR="00A73D3C">
              <w:rPr>
                <w:noProof/>
                <w:webHidden/>
              </w:rPr>
              <w:instrText xml:space="preserve"> PAGEREF _Toc56805793 \h </w:instrText>
            </w:r>
            <w:r w:rsidR="00A73D3C">
              <w:rPr>
                <w:noProof/>
                <w:webHidden/>
              </w:rPr>
            </w:r>
            <w:r w:rsidR="00A73D3C">
              <w:rPr>
                <w:noProof/>
                <w:webHidden/>
              </w:rPr>
              <w:fldChar w:fldCharType="separate"/>
            </w:r>
            <w:r w:rsidR="00A73D3C">
              <w:rPr>
                <w:noProof/>
                <w:webHidden/>
              </w:rPr>
              <w:t>7</w:t>
            </w:r>
            <w:r w:rsidR="00A73D3C">
              <w:rPr>
                <w:noProof/>
                <w:webHidden/>
              </w:rPr>
              <w:fldChar w:fldCharType="end"/>
            </w:r>
          </w:hyperlink>
        </w:p>
        <w:p w:rsidR="00A73D3C" w:rsidRDefault="004430B6">
          <w:pPr>
            <w:pStyle w:val="TOC3"/>
            <w:tabs>
              <w:tab w:val="right" w:leader="dot" w:pos="9019"/>
            </w:tabs>
            <w:rPr>
              <w:rFonts w:asciiTheme="minorHAnsi" w:eastAsiaTheme="minorEastAsia" w:hAnsiTheme="minorHAnsi" w:cstheme="minorBidi"/>
              <w:noProof/>
              <w:lang w:val="en-GB" w:eastAsia="en-GB"/>
            </w:rPr>
          </w:pPr>
          <w:hyperlink w:anchor="_Toc56805794" w:history="1">
            <w:r w:rsidR="00A73D3C" w:rsidRPr="005F7273">
              <w:rPr>
                <w:rStyle w:val="Hyperlink"/>
                <w:noProof/>
                <w:lang w:val="en-GB"/>
              </w:rPr>
              <w:t>Impacts of threats on the competitive advantage of Davison Canners</w:t>
            </w:r>
            <w:r w:rsidR="00A73D3C">
              <w:rPr>
                <w:noProof/>
                <w:webHidden/>
              </w:rPr>
              <w:tab/>
            </w:r>
            <w:r w:rsidR="00A73D3C">
              <w:rPr>
                <w:noProof/>
                <w:webHidden/>
              </w:rPr>
              <w:fldChar w:fldCharType="begin"/>
            </w:r>
            <w:r w:rsidR="00A73D3C">
              <w:rPr>
                <w:noProof/>
                <w:webHidden/>
              </w:rPr>
              <w:instrText xml:space="preserve"> PAGEREF _Toc56805794 \h </w:instrText>
            </w:r>
            <w:r w:rsidR="00A73D3C">
              <w:rPr>
                <w:noProof/>
                <w:webHidden/>
              </w:rPr>
            </w:r>
            <w:r w:rsidR="00A73D3C">
              <w:rPr>
                <w:noProof/>
                <w:webHidden/>
              </w:rPr>
              <w:fldChar w:fldCharType="separate"/>
            </w:r>
            <w:r w:rsidR="00A73D3C">
              <w:rPr>
                <w:noProof/>
                <w:webHidden/>
              </w:rPr>
              <w:t>8</w:t>
            </w:r>
            <w:r w:rsidR="00A73D3C">
              <w:rPr>
                <w:noProof/>
                <w:webHidden/>
              </w:rPr>
              <w:fldChar w:fldCharType="end"/>
            </w:r>
          </w:hyperlink>
        </w:p>
        <w:p w:rsidR="00A73D3C" w:rsidRDefault="004430B6">
          <w:pPr>
            <w:pStyle w:val="TOC2"/>
            <w:tabs>
              <w:tab w:val="right" w:leader="dot" w:pos="9019"/>
            </w:tabs>
            <w:rPr>
              <w:rFonts w:asciiTheme="minorHAnsi" w:eastAsiaTheme="minorEastAsia" w:hAnsiTheme="minorHAnsi" w:cstheme="minorBidi"/>
              <w:noProof/>
              <w:lang w:val="en-GB" w:eastAsia="en-GB"/>
            </w:rPr>
          </w:pPr>
          <w:hyperlink w:anchor="_Toc56805795" w:history="1">
            <w:r w:rsidR="00A73D3C" w:rsidRPr="005F7273">
              <w:rPr>
                <w:rStyle w:val="Hyperlink"/>
                <w:noProof/>
                <w:lang w:val="en-GB"/>
              </w:rPr>
              <w:t>3.3 Analysis of the internal business environment regarding Davison Canners</w:t>
            </w:r>
            <w:r w:rsidR="00A73D3C">
              <w:rPr>
                <w:noProof/>
                <w:webHidden/>
              </w:rPr>
              <w:tab/>
            </w:r>
            <w:r w:rsidR="00A73D3C">
              <w:rPr>
                <w:noProof/>
                <w:webHidden/>
              </w:rPr>
              <w:fldChar w:fldCharType="begin"/>
            </w:r>
            <w:r w:rsidR="00A73D3C">
              <w:rPr>
                <w:noProof/>
                <w:webHidden/>
              </w:rPr>
              <w:instrText xml:space="preserve"> PAGEREF _Toc56805795 \h </w:instrText>
            </w:r>
            <w:r w:rsidR="00A73D3C">
              <w:rPr>
                <w:noProof/>
                <w:webHidden/>
              </w:rPr>
            </w:r>
            <w:r w:rsidR="00A73D3C">
              <w:rPr>
                <w:noProof/>
                <w:webHidden/>
              </w:rPr>
              <w:fldChar w:fldCharType="separate"/>
            </w:r>
            <w:r w:rsidR="00A73D3C">
              <w:rPr>
                <w:noProof/>
                <w:webHidden/>
              </w:rPr>
              <w:t>10</w:t>
            </w:r>
            <w:r w:rsidR="00A73D3C">
              <w:rPr>
                <w:noProof/>
                <w:webHidden/>
              </w:rPr>
              <w:fldChar w:fldCharType="end"/>
            </w:r>
          </w:hyperlink>
        </w:p>
        <w:p w:rsidR="00A73D3C" w:rsidRDefault="004430B6">
          <w:pPr>
            <w:pStyle w:val="TOC3"/>
            <w:tabs>
              <w:tab w:val="right" w:leader="dot" w:pos="9019"/>
            </w:tabs>
            <w:rPr>
              <w:rFonts w:asciiTheme="minorHAnsi" w:eastAsiaTheme="minorEastAsia" w:hAnsiTheme="minorHAnsi" w:cstheme="minorBidi"/>
              <w:noProof/>
              <w:lang w:val="en-GB" w:eastAsia="en-GB"/>
            </w:rPr>
          </w:pPr>
          <w:hyperlink w:anchor="_Toc56805796" w:history="1">
            <w:r w:rsidR="00A73D3C" w:rsidRPr="005F7273">
              <w:rPr>
                <w:rStyle w:val="Hyperlink"/>
                <w:noProof/>
                <w:lang w:val="en-GB"/>
              </w:rPr>
              <w:t>SWOT analysis</w:t>
            </w:r>
            <w:r w:rsidR="00A73D3C">
              <w:rPr>
                <w:noProof/>
                <w:webHidden/>
              </w:rPr>
              <w:tab/>
            </w:r>
            <w:r w:rsidR="00A73D3C">
              <w:rPr>
                <w:noProof/>
                <w:webHidden/>
              </w:rPr>
              <w:fldChar w:fldCharType="begin"/>
            </w:r>
            <w:r w:rsidR="00A73D3C">
              <w:rPr>
                <w:noProof/>
                <w:webHidden/>
              </w:rPr>
              <w:instrText xml:space="preserve"> PAGEREF _Toc56805796 \h </w:instrText>
            </w:r>
            <w:r w:rsidR="00A73D3C">
              <w:rPr>
                <w:noProof/>
                <w:webHidden/>
              </w:rPr>
            </w:r>
            <w:r w:rsidR="00A73D3C">
              <w:rPr>
                <w:noProof/>
                <w:webHidden/>
              </w:rPr>
              <w:fldChar w:fldCharType="separate"/>
            </w:r>
            <w:r w:rsidR="00A73D3C">
              <w:rPr>
                <w:noProof/>
                <w:webHidden/>
              </w:rPr>
              <w:t>10</w:t>
            </w:r>
            <w:r w:rsidR="00A73D3C">
              <w:rPr>
                <w:noProof/>
                <w:webHidden/>
              </w:rPr>
              <w:fldChar w:fldCharType="end"/>
            </w:r>
          </w:hyperlink>
        </w:p>
        <w:p w:rsidR="00A73D3C" w:rsidRDefault="004430B6">
          <w:pPr>
            <w:pStyle w:val="TOC3"/>
            <w:tabs>
              <w:tab w:val="right" w:leader="dot" w:pos="9019"/>
            </w:tabs>
            <w:rPr>
              <w:rFonts w:asciiTheme="minorHAnsi" w:eastAsiaTheme="minorEastAsia" w:hAnsiTheme="minorHAnsi" w:cstheme="minorBidi"/>
              <w:noProof/>
              <w:lang w:val="en-GB" w:eastAsia="en-GB"/>
            </w:rPr>
          </w:pPr>
          <w:hyperlink w:anchor="_Toc56805797" w:history="1">
            <w:r w:rsidR="00A73D3C" w:rsidRPr="005F7273">
              <w:rPr>
                <w:rStyle w:val="Hyperlink"/>
                <w:noProof/>
                <w:lang w:val="en-GB"/>
              </w:rPr>
              <w:t>Strengths</w:t>
            </w:r>
            <w:r w:rsidR="00A73D3C">
              <w:rPr>
                <w:noProof/>
                <w:webHidden/>
              </w:rPr>
              <w:tab/>
            </w:r>
            <w:r w:rsidR="00A73D3C">
              <w:rPr>
                <w:noProof/>
                <w:webHidden/>
              </w:rPr>
              <w:fldChar w:fldCharType="begin"/>
            </w:r>
            <w:r w:rsidR="00A73D3C">
              <w:rPr>
                <w:noProof/>
                <w:webHidden/>
              </w:rPr>
              <w:instrText xml:space="preserve"> PAGEREF _Toc56805797 \h </w:instrText>
            </w:r>
            <w:r w:rsidR="00A73D3C">
              <w:rPr>
                <w:noProof/>
                <w:webHidden/>
              </w:rPr>
            </w:r>
            <w:r w:rsidR="00A73D3C">
              <w:rPr>
                <w:noProof/>
                <w:webHidden/>
              </w:rPr>
              <w:fldChar w:fldCharType="separate"/>
            </w:r>
            <w:r w:rsidR="00A73D3C">
              <w:rPr>
                <w:noProof/>
                <w:webHidden/>
              </w:rPr>
              <w:t>10</w:t>
            </w:r>
            <w:r w:rsidR="00A73D3C">
              <w:rPr>
                <w:noProof/>
                <w:webHidden/>
              </w:rPr>
              <w:fldChar w:fldCharType="end"/>
            </w:r>
          </w:hyperlink>
        </w:p>
        <w:p w:rsidR="00A73D3C" w:rsidRDefault="004430B6">
          <w:pPr>
            <w:pStyle w:val="TOC3"/>
            <w:tabs>
              <w:tab w:val="right" w:leader="dot" w:pos="9019"/>
            </w:tabs>
            <w:rPr>
              <w:rFonts w:asciiTheme="minorHAnsi" w:eastAsiaTheme="minorEastAsia" w:hAnsiTheme="minorHAnsi" w:cstheme="minorBidi"/>
              <w:noProof/>
              <w:lang w:val="en-GB" w:eastAsia="en-GB"/>
            </w:rPr>
          </w:pPr>
          <w:hyperlink w:anchor="_Toc56805798" w:history="1">
            <w:r w:rsidR="00A73D3C" w:rsidRPr="005F7273">
              <w:rPr>
                <w:rStyle w:val="Hyperlink"/>
                <w:noProof/>
                <w:lang w:val="en-GB"/>
              </w:rPr>
              <w:t>Weaknesses</w:t>
            </w:r>
            <w:r w:rsidR="00A73D3C">
              <w:rPr>
                <w:noProof/>
                <w:webHidden/>
              </w:rPr>
              <w:tab/>
            </w:r>
            <w:r w:rsidR="00A73D3C">
              <w:rPr>
                <w:noProof/>
                <w:webHidden/>
              </w:rPr>
              <w:fldChar w:fldCharType="begin"/>
            </w:r>
            <w:r w:rsidR="00A73D3C">
              <w:rPr>
                <w:noProof/>
                <w:webHidden/>
              </w:rPr>
              <w:instrText xml:space="preserve"> PAGEREF _Toc56805798 \h </w:instrText>
            </w:r>
            <w:r w:rsidR="00A73D3C">
              <w:rPr>
                <w:noProof/>
                <w:webHidden/>
              </w:rPr>
            </w:r>
            <w:r w:rsidR="00A73D3C">
              <w:rPr>
                <w:noProof/>
                <w:webHidden/>
              </w:rPr>
              <w:fldChar w:fldCharType="separate"/>
            </w:r>
            <w:r w:rsidR="00A73D3C">
              <w:rPr>
                <w:noProof/>
                <w:webHidden/>
              </w:rPr>
              <w:t>10</w:t>
            </w:r>
            <w:r w:rsidR="00A73D3C">
              <w:rPr>
                <w:noProof/>
                <w:webHidden/>
              </w:rPr>
              <w:fldChar w:fldCharType="end"/>
            </w:r>
          </w:hyperlink>
        </w:p>
        <w:p w:rsidR="00A73D3C" w:rsidRDefault="004430B6">
          <w:pPr>
            <w:pStyle w:val="TOC3"/>
            <w:tabs>
              <w:tab w:val="right" w:leader="dot" w:pos="9019"/>
            </w:tabs>
            <w:rPr>
              <w:rFonts w:asciiTheme="minorHAnsi" w:eastAsiaTheme="minorEastAsia" w:hAnsiTheme="minorHAnsi" w:cstheme="minorBidi"/>
              <w:noProof/>
              <w:lang w:val="en-GB" w:eastAsia="en-GB"/>
            </w:rPr>
          </w:pPr>
          <w:hyperlink w:anchor="_Toc56805799" w:history="1">
            <w:r w:rsidR="00A73D3C" w:rsidRPr="005F7273">
              <w:rPr>
                <w:rStyle w:val="Hyperlink"/>
                <w:noProof/>
                <w:lang w:val="en-GB"/>
              </w:rPr>
              <w:t>Opportunities</w:t>
            </w:r>
            <w:r w:rsidR="00A73D3C">
              <w:rPr>
                <w:noProof/>
                <w:webHidden/>
              </w:rPr>
              <w:tab/>
            </w:r>
            <w:r w:rsidR="00A73D3C">
              <w:rPr>
                <w:noProof/>
                <w:webHidden/>
              </w:rPr>
              <w:fldChar w:fldCharType="begin"/>
            </w:r>
            <w:r w:rsidR="00A73D3C">
              <w:rPr>
                <w:noProof/>
                <w:webHidden/>
              </w:rPr>
              <w:instrText xml:space="preserve"> PAGEREF _Toc56805799 \h </w:instrText>
            </w:r>
            <w:r w:rsidR="00A73D3C">
              <w:rPr>
                <w:noProof/>
                <w:webHidden/>
              </w:rPr>
            </w:r>
            <w:r w:rsidR="00A73D3C">
              <w:rPr>
                <w:noProof/>
                <w:webHidden/>
              </w:rPr>
              <w:fldChar w:fldCharType="separate"/>
            </w:r>
            <w:r w:rsidR="00A73D3C">
              <w:rPr>
                <w:noProof/>
                <w:webHidden/>
              </w:rPr>
              <w:t>11</w:t>
            </w:r>
            <w:r w:rsidR="00A73D3C">
              <w:rPr>
                <w:noProof/>
                <w:webHidden/>
              </w:rPr>
              <w:fldChar w:fldCharType="end"/>
            </w:r>
          </w:hyperlink>
        </w:p>
        <w:p w:rsidR="00A73D3C" w:rsidRDefault="004430B6">
          <w:pPr>
            <w:pStyle w:val="TOC3"/>
            <w:tabs>
              <w:tab w:val="right" w:leader="dot" w:pos="9019"/>
            </w:tabs>
            <w:rPr>
              <w:rFonts w:asciiTheme="minorHAnsi" w:eastAsiaTheme="minorEastAsia" w:hAnsiTheme="minorHAnsi" w:cstheme="minorBidi"/>
              <w:noProof/>
              <w:lang w:val="en-GB" w:eastAsia="en-GB"/>
            </w:rPr>
          </w:pPr>
          <w:hyperlink w:anchor="_Toc56805800" w:history="1">
            <w:r w:rsidR="00A73D3C" w:rsidRPr="005F7273">
              <w:rPr>
                <w:rStyle w:val="Hyperlink"/>
                <w:noProof/>
                <w:lang w:val="en-GB"/>
              </w:rPr>
              <w:t>Threats</w:t>
            </w:r>
            <w:r w:rsidR="00A73D3C">
              <w:rPr>
                <w:noProof/>
                <w:webHidden/>
              </w:rPr>
              <w:tab/>
            </w:r>
            <w:r w:rsidR="00A73D3C">
              <w:rPr>
                <w:noProof/>
                <w:webHidden/>
              </w:rPr>
              <w:fldChar w:fldCharType="begin"/>
            </w:r>
            <w:r w:rsidR="00A73D3C">
              <w:rPr>
                <w:noProof/>
                <w:webHidden/>
              </w:rPr>
              <w:instrText xml:space="preserve"> PAGEREF _Toc56805800 \h </w:instrText>
            </w:r>
            <w:r w:rsidR="00A73D3C">
              <w:rPr>
                <w:noProof/>
                <w:webHidden/>
              </w:rPr>
            </w:r>
            <w:r w:rsidR="00A73D3C">
              <w:rPr>
                <w:noProof/>
                <w:webHidden/>
              </w:rPr>
              <w:fldChar w:fldCharType="separate"/>
            </w:r>
            <w:r w:rsidR="00A73D3C">
              <w:rPr>
                <w:noProof/>
                <w:webHidden/>
              </w:rPr>
              <w:t>12</w:t>
            </w:r>
            <w:r w:rsidR="00A73D3C">
              <w:rPr>
                <w:noProof/>
                <w:webHidden/>
              </w:rPr>
              <w:fldChar w:fldCharType="end"/>
            </w:r>
          </w:hyperlink>
        </w:p>
        <w:p w:rsidR="00A73D3C" w:rsidRDefault="004430B6">
          <w:pPr>
            <w:pStyle w:val="TOC1"/>
            <w:tabs>
              <w:tab w:val="right" w:leader="dot" w:pos="9019"/>
            </w:tabs>
            <w:rPr>
              <w:rFonts w:asciiTheme="minorHAnsi" w:eastAsiaTheme="minorEastAsia" w:hAnsiTheme="minorHAnsi" w:cstheme="minorBidi"/>
              <w:noProof/>
              <w:lang w:val="en-GB" w:eastAsia="en-GB"/>
            </w:rPr>
          </w:pPr>
          <w:hyperlink w:anchor="_Toc56805801" w:history="1">
            <w:r w:rsidR="00A73D3C" w:rsidRPr="005F7273">
              <w:rPr>
                <w:rStyle w:val="Hyperlink"/>
                <w:noProof/>
              </w:rPr>
              <w:t>Task 4: Stakeholder analysis</w:t>
            </w:r>
            <w:r w:rsidR="00A73D3C">
              <w:rPr>
                <w:noProof/>
                <w:webHidden/>
              </w:rPr>
              <w:tab/>
            </w:r>
            <w:r w:rsidR="00A73D3C">
              <w:rPr>
                <w:noProof/>
                <w:webHidden/>
              </w:rPr>
              <w:fldChar w:fldCharType="begin"/>
            </w:r>
            <w:r w:rsidR="00A73D3C">
              <w:rPr>
                <w:noProof/>
                <w:webHidden/>
              </w:rPr>
              <w:instrText xml:space="preserve"> PAGEREF _Toc56805801 \h </w:instrText>
            </w:r>
            <w:r w:rsidR="00A73D3C">
              <w:rPr>
                <w:noProof/>
                <w:webHidden/>
              </w:rPr>
            </w:r>
            <w:r w:rsidR="00A73D3C">
              <w:rPr>
                <w:noProof/>
                <w:webHidden/>
              </w:rPr>
              <w:fldChar w:fldCharType="separate"/>
            </w:r>
            <w:r w:rsidR="00A73D3C">
              <w:rPr>
                <w:noProof/>
                <w:webHidden/>
              </w:rPr>
              <w:t>12</w:t>
            </w:r>
            <w:r w:rsidR="00A73D3C">
              <w:rPr>
                <w:noProof/>
                <w:webHidden/>
              </w:rPr>
              <w:fldChar w:fldCharType="end"/>
            </w:r>
          </w:hyperlink>
        </w:p>
        <w:p w:rsidR="00A73D3C" w:rsidRDefault="004430B6">
          <w:pPr>
            <w:pStyle w:val="TOC2"/>
            <w:tabs>
              <w:tab w:val="right" w:leader="dot" w:pos="9019"/>
            </w:tabs>
            <w:rPr>
              <w:rFonts w:asciiTheme="minorHAnsi" w:eastAsiaTheme="minorEastAsia" w:hAnsiTheme="minorHAnsi" w:cstheme="minorBidi"/>
              <w:noProof/>
              <w:lang w:val="en-GB" w:eastAsia="en-GB"/>
            </w:rPr>
          </w:pPr>
          <w:hyperlink w:anchor="_Toc56805802" w:history="1">
            <w:r w:rsidR="00A73D3C" w:rsidRPr="005F7273">
              <w:rPr>
                <w:rStyle w:val="Hyperlink"/>
                <w:noProof/>
                <w:lang w:val="en-GB"/>
              </w:rPr>
              <w:t>4.1 VRIO   analysis</w:t>
            </w:r>
            <w:r w:rsidR="00A73D3C">
              <w:rPr>
                <w:noProof/>
                <w:webHidden/>
              </w:rPr>
              <w:tab/>
            </w:r>
            <w:r w:rsidR="00A73D3C">
              <w:rPr>
                <w:noProof/>
                <w:webHidden/>
              </w:rPr>
              <w:fldChar w:fldCharType="begin"/>
            </w:r>
            <w:r w:rsidR="00A73D3C">
              <w:rPr>
                <w:noProof/>
                <w:webHidden/>
              </w:rPr>
              <w:instrText xml:space="preserve"> PAGEREF _Toc56805802 \h </w:instrText>
            </w:r>
            <w:r w:rsidR="00A73D3C">
              <w:rPr>
                <w:noProof/>
                <w:webHidden/>
              </w:rPr>
            </w:r>
            <w:r w:rsidR="00A73D3C">
              <w:rPr>
                <w:noProof/>
                <w:webHidden/>
              </w:rPr>
              <w:fldChar w:fldCharType="separate"/>
            </w:r>
            <w:r w:rsidR="00A73D3C">
              <w:rPr>
                <w:noProof/>
                <w:webHidden/>
              </w:rPr>
              <w:t>12</w:t>
            </w:r>
            <w:r w:rsidR="00A73D3C">
              <w:rPr>
                <w:noProof/>
                <w:webHidden/>
              </w:rPr>
              <w:fldChar w:fldCharType="end"/>
            </w:r>
          </w:hyperlink>
        </w:p>
        <w:p w:rsidR="00A73D3C" w:rsidRDefault="004430B6">
          <w:pPr>
            <w:pStyle w:val="TOC2"/>
            <w:tabs>
              <w:tab w:val="right" w:leader="dot" w:pos="9019"/>
            </w:tabs>
            <w:rPr>
              <w:rFonts w:asciiTheme="minorHAnsi" w:eastAsiaTheme="minorEastAsia" w:hAnsiTheme="minorHAnsi" w:cstheme="minorBidi"/>
              <w:noProof/>
              <w:lang w:val="en-GB" w:eastAsia="en-GB"/>
            </w:rPr>
          </w:pPr>
          <w:hyperlink w:anchor="_Toc56805803" w:history="1">
            <w:r w:rsidR="00A73D3C" w:rsidRPr="005F7273">
              <w:rPr>
                <w:rStyle w:val="Hyperlink"/>
                <w:noProof/>
              </w:rPr>
              <w:t>4.2 Key stakeholders and specific interests in current system</w:t>
            </w:r>
            <w:r w:rsidR="00A73D3C">
              <w:rPr>
                <w:noProof/>
                <w:webHidden/>
              </w:rPr>
              <w:tab/>
            </w:r>
            <w:r w:rsidR="00A73D3C">
              <w:rPr>
                <w:noProof/>
                <w:webHidden/>
              </w:rPr>
              <w:fldChar w:fldCharType="begin"/>
            </w:r>
            <w:r w:rsidR="00A73D3C">
              <w:rPr>
                <w:noProof/>
                <w:webHidden/>
              </w:rPr>
              <w:instrText xml:space="preserve"> PAGEREF _Toc56805803 \h </w:instrText>
            </w:r>
            <w:r w:rsidR="00A73D3C">
              <w:rPr>
                <w:noProof/>
                <w:webHidden/>
              </w:rPr>
            </w:r>
            <w:r w:rsidR="00A73D3C">
              <w:rPr>
                <w:noProof/>
                <w:webHidden/>
              </w:rPr>
              <w:fldChar w:fldCharType="separate"/>
            </w:r>
            <w:r w:rsidR="00A73D3C">
              <w:rPr>
                <w:noProof/>
                <w:webHidden/>
              </w:rPr>
              <w:t>13</w:t>
            </w:r>
            <w:r w:rsidR="00A73D3C">
              <w:rPr>
                <w:noProof/>
                <w:webHidden/>
              </w:rPr>
              <w:fldChar w:fldCharType="end"/>
            </w:r>
          </w:hyperlink>
        </w:p>
        <w:p w:rsidR="00A73D3C" w:rsidRDefault="004430B6">
          <w:pPr>
            <w:pStyle w:val="TOC2"/>
            <w:tabs>
              <w:tab w:val="right" w:leader="dot" w:pos="9019"/>
            </w:tabs>
            <w:rPr>
              <w:rFonts w:asciiTheme="minorHAnsi" w:eastAsiaTheme="minorEastAsia" w:hAnsiTheme="minorHAnsi" w:cstheme="minorBidi"/>
              <w:noProof/>
              <w:lang w:val="en-GB" w:eastAsia="en-GB"/>
            </w:rPr>
          </w:pPr>
          <w:hyperlink w:anchor="_Toc56805804" w:history="1">
            <w:r w:rsidR="00A73D3C" w:rsidRPr="005F7273">
              <w:rPr>
                <w:rStyle w:val="Hyperlink"/>
                <w:noProof/>
              </w:rPr>
              <w:t>4.3 Internal and external environments</w:t>
            </w:r>
            <w:r w:rsidR="00A73D3C">
              <w:rPr>
                <w:noProof/>
                <w:webHidden/>
              </w:rPr>
              <w:tab/>
            </w:r>
            <w:r w:rsidR="00A73D3C">
              <w:rPr>
                <w:noProof/>
                <w:webHidden/>
              </w:rPr>
              <w:fldChar w:fldCharType="begin"/>
            </w:r>
            <w:r w:rsidR="00A73D3C">
              <w:rPr>
                <w:noProof/>
                <w:webHidden/>
              </w:rPr>
              <w:instrText xml:space="preserve"> PAGEREF _Toc56805804 \h </w:instrText>
            </w:r>
            <w:r w:rsidR="00A73D3C">
              <w:rPr>
                <w:noProof/>
                <w:webHidden/>
              </w:rPr>
            </w:r>
            <w:r w:rsidR="00A73D3C">
              <w:rPr>
                <w:noProof/>
                <w:webHidden/>
              </w:rPr>
              <w:fldChar w:fldCharType="separate"/>
            </w:r>
            <w:r w:rsidR="00A73D3C">
              <w:rPr>
                <w:noProof/>
                <w:webHidden/>
              </w:rPr>
              <w:t>14</w:t>
            </w:r>
            <w:r w:rsidR="00A73D3C">
              <w:rPr>
                <w:noProof/>
                <w:webHidden/>
              </w:rPr>
              <w:fldChar w:fldCharType="end"/>
            </w:r>
          </w:hyperlink>
        </w:p>
        <w:p w:rsidR="00A73D3C" w:rsidRDefault="004430B6">
          <w:pPr>
            <w:pStyle w:val="TOC2"/>
            <w:tabs>
              <w:tab w:val="right" w:leader="dot" w:pos="9019"/>
            </w:tabs>
            <w:rPr>
              <w:rFonts w:asciiTheme="minorHAnsi" w:eastAsiaTheme="minorEastAsia" w:hAnsiTheme="minorHAnsi" w:cstheme="minorBidi"/>
              <w:noProof/>
              <w:lang w:val="en-GB" w:eastAsia="en-GB"/>
            </w:rPr>
          </w:pPr>
          <w:hyperlink w:anchor="_Toc56805805" w:history="1">
            <w:r w:rsidR="00A73D3C" w:rsidRPr="005F7273">
              <w:rPr>
                <w:rStyle w:val="Hyperlink"/>
                <w:noProof/>
              </w:rPr>
              <w:t>4.4 Implementation of a new strategy</w:t>
            </w:r>
            <w:r w:rsidR="00A73D3C">
              <w:rPr>
                <w:noProof/>
                <w:webHidden/>
              </w:rPr>
              <w:tab/>
            </w:r>
            <w:r w:rsidR="00A73D3C">
              <w:rPr>
                <w:noProof/>
                <w:webHidden/>
              </w:rPr>
              <w:fldChar w:fldCharType="begin"/>
            </w:r>
            <w:r w:rsidR="00A73D3C">
              <w:rPr>
                <w:noProof/>
                <w:webHidden/>
              </w:rPr>
              <w:instrText xml:space="preserve"> PAGEREF _Toc56805805 \h </w:instrText>
            </w:r>
            <w:r w:rsidR="00A73D3C">
              <w:rPr>
                <w:noProof/>
                <w:webHidden/>
              </w:rPr>
            </w:r>
            <w:r w:rsidR="00A73D3C">
              <w:rPr>
                <w:noProof/>
                <w:webHidden/>
              </w:rPr>
              <w:fldChar w:fldCharType="separate"/>
            </w:r>
            <w:r w:rsidR="00A73D3C">
              <w:rPr>
                <w:noProof/>
                <w:webHidden/>
              </w:rPr>
              <w:t>14</w:t>
            </w:r>
            <w:r w:rsidR="00A73D3C">
              <w:rPr>
                <w:noProof/>
                <w:webHidden/>
              </w:rPr>
              <w:fldChar w:fldCharType="end"/>
            </w:r>
          </w:hyperlink>
        </w:p>
        <w:p w:rsidR="00A73D3C" w:rsidRDefault="004430B6">
          <w:pPr>
            <w:pStyle w:val="TOC2"/>
            <w:tabs>
              <w:tab w:val="right" w:leader="dot" w:pos="9019"/>
            </w:tabs>
            <w:rPr>
              <w:rFonts w:asciiTheme="minorHAnsi" w:eastAsiaTheme="minorEastAsia" w:hAnsiTheme="minorHAnsi" w:cstheme="minorBidi"/>
              <w:noProof/>
              <w:lang w:val="en-GB" w:eastAsia="en-GB"/>
            </w:rPr>
          </w:pPr>
          <w:hyperlink w:anchor="_Toc56805806" w:history="1">
            <w:r w:rsidR="00A73D3C" w:rsidRPr="005F7273">
              <w:rPr>
                <w:rStyle w:val="Hyperlink"/>
                <w:noProof/>
              </w:rPr>
              <w:t>4.5 Reason of adopting new strategies as benefits of key stakeholders</w:t>
            </w:r>
            <w:r w:rsidR="00A73D3C">
              <w:rPr>
                <w:noProof/>
                <w:webHidden/>
              </w:rPr>
              <w:tab/>
            </w:r>
            <w:r w:rsidR="00A73D3C">
              <w:rPr>
                <w:noProof/>
                <w:webHidden/>
              </w:rPr>
              <w:fldChar w:fldCharType="begin"/>
            </w:r>
            <w:r w:rsidR="00A73D3C">
              <w:rPr>
                <w:noProof/>
                <w:webHidden/>
              </w:rPr>
              <w:instrText xml:space="preserve"> PAGEREF _Toc56805806 \h </w:instrText>
            </w:r>
            <w:r w:rsidR="00A73D3C">
              <w:rPr>
                <w:noProof/>
                <w:webHidden/>
              </w:rPr>
            </w:r>
            <w:r w:rsidR="00A73D3C">
              <w:rPr>
                <w:noProof/>
                <w:webHidden/>
              </w:rPr>
              <w:fldChar w:fldCharType="separate"/>
            </w:r>
            <w:r w:rsidR="00A73D3C">
              <w:rPr>
                <w:noProof/>
                <w:webHidden/>
              </w:rPr>
              <w:t>14</w:t>
            </w:r>
            <w:r w:rsidR="00A73D3C">
              <w:rPr>
                <w:noProof/>
                <w:webHidden/>
              </w:rPr>
              <w:fldChar w:fldCharType="end"/>
            </w:r>
          </w:hyperlink>
        </w:p>
        <w:p w:rsidR="00A73D3C" w:rsidRDefault="004430B6">
          <w:pPr>
            <w:pStyle w:val="TOC1"/>
            <w:tabs>
              <w:tab w:val="right" w:leader="dot" w:pos="9019"/>
            </w:tabs>
            <w:rPr>
              <w:rFonts w:asciiTheme="minorHAnsi" w:eastAsiaTheme="minorEastAsia" w:hAnsiTheme="minorHAnsi" w:cstheme="minorBidi"/>
              <w:noProof/>
              <w:lang w:val="en-GB" w:eastAsia="en-GB"/>
            </w:rPr>
          </w:pPr>
          <w:hyperlink w:anchor="_Toc56805807" w:history="1">
            <w:r w:rsidR="00A73D3C" w:rsidRPr="005F7273">
              <w:rPr>
                <w:rStyle w:val="Hyperlink"/>
                <w:noProof/>
              </w:rPr>
              <w:t>Task 5: Introduction of a strategic plan for Davison Canners</w:t>
            </w:r>
            <w:r w:rsidR="00A73D3C">
              <w:rPr>
                <w:noProof/>
                <w:webHidden/>
              </w:rPr>
              <w:tab/>
            </w:r>
            <w:r w:rsidR="00A73D3C">
              <w:rPr>
                <w:noProof/>
                <w:webHidden/>
              </w:rPr>
              <w:fldChar w:fldCharType="begin"/>
            </w:r>
            <w:r w:rsidR="00A73D3C">
              <w:rPr>
                <w:noProof/>
                <w:webHidden/>
              </w:rPr>
              <w:instrText xml:space="preserve"> PAGEREF _Toc56805807 \h </w:instrText>
            </w:r>
            <w:r w:rsidR="00A73D3C">
              <w:rPr>
                <w:noProof/>
                <w:webHidden/>
              </w:rPr>
            </w:r>
            <w:r w:rsidR="00A73D3C">
              <w:rPr>
                <w:noProof/>
                <w:webHidden/>
              </w:rPr>
              <w:fldChar w:fldCharType="separate"/>
            </w:r>
            <w:r w:rsidR="00A73D3C">
              <w:rPr>
                <w:noProof/>
                <w:webHidden/>
              </w:rPr>
              <w:t>15</w:t>
            </w:r>
            <w:r w:rsidR="00A73D3C">
              <w:rPr>
                <w:noProof/>
                <w:webHidden/>
              </w:rPr>
              <w:fldChar w:fldCharType="end"/>
            </w:r>
          </w:hyperlink>
        </w:p>
        <w:p w:rsidR="00A73D3C" w:rsidRDefault="004430B6">
          <w:pPr>
            <w:pStyle w:val="TOC2"/>
            <w:tabs>
              <w:tab w:val="right" w:leader="dot" w:pos="9019"/>
            </w:tabs>
            <w:rPr>
              <w:rFonts w:asciiTheme="minorHAnsi" w:eastAsiaTheme="minorEastAsia" w:hAnsiTheme="minorHAnsi" w:cstheme="minorBidi"/>
              <w:noProof/>
              <w:lang w:val="en-GB" w:eastAsia="en-GB"/>
            </w:rPr>
          </w:pPr>
          <w:hyperlink w:anchor="_Toc56805808" w:history="1">
            <w:r w:rsidR="00A73D3C" w:rsidRPr="005F7273">
              <w:rPr>
                <w:rStyle w:val="Hyperlink"/>
                <w:noProof/>
                <w:lang w:val="en-GB"/>
              </w:rPr>
              <w:t>5.1 Description of prime strategic growth options for small-medium enterprises</w:t>
            </w:r>
            <w:r w:rsidR="00A73D3C">
              <w:rPr>
                <w:noProof/>
                <w:webHidden/>
              </w:rPr>
              <w:tab/>
            </w:r>
            <w:r w:rsidR="00A73D3C">
              <w:rPr>
                <w:noProof/>
                <w:webHidden/>
              </w:rPr>
              <w:fldChar w:fldCharType="begin"/>
            </w:r>
            <w:r w:rsidR="00A73D3C">
              <w:rPr>
                <w:noProof/>
                <w:webHidden/>
              </w:rPr>
              <w:instrText xml:space="preserve"> PAGEREF _Toc56805808 \h </w:instrText>
            </w:r>
            <w:r w:rsidR="00A73D3C">
              <w:rPr>
                <w:noProof/>
                <w:webHidden/>
              </w:rPr>
            </w:r>
            <w:r w:rsidR="00A73D3C">
              <w:rPr>
                <w:noProof/>
                <w:webHidden/>
              </w:rPr>
              <w:fldChar w:fldCharType="separate"/>
            </w:r>
            <w:r w:rsidR="00A73D3C">
              <w:rPr>
                <w:noProof/>
                <w:webHidden/>
              </w:rPr>
              <w:t>15</w:t>
            </w:r>
            <w:r w:rsidR="00A73D3C">
              <w:rPr>
                <w:noProof/>
                <w:webHidden/>
              </w:rPr>
              <w:fldChar w:fldCharType="end"/>
            </w:r>
          </w:hyperlink>
        </w:p>
        <w:p w:rsidR="00A73D3C" w:rsidRDefault="004430B6">
          <w:pPr>
            <w:pStyle w:val="TOC3"/>
            <w:tabs>
              <w:tab w:val="right" w:leader="dot" w:pos="9019"/>
            </w:tabs>
            <w:rPr>
              <w:rFonts w:asciiTheme="minorHAnsi" w:eastAsiaTheme="minorEastAsia" w:hAnsiTheme="minorHAnsi" w:cstheme="minorBidi"/>
              <w:noProof/>
              <w:lang w:val="en-GB" w:eastAsia="en-GB"/>
            </w:rPr>
          </w:pPr>
          <w:hyperlink w:anchor="_Toc56805809" w:history="1">
            <w:r w:rsidR="00A73D3C" w:rsidRPr="005F7273">
              <w:rPr>
                <w:rStyle w:val="Hyperlink"/>
                <w:noProof/>
                <w:lang w:val="en-GB"/>
              </w:rPr>
              <w:t>The justified strategic approach for Davison Canners</w:t>
            </w:r>
            <w:r w:rsidR="00A73D3C">
              <w:rPr>
                <w:noProof/>
                <w:webHidden/>
              </w:rPr>
              <w:tab/>
            </w:r>
            <w:r w:rsidR="00A73D3C">
              <w:rPr>
                <w:noProof/>
                <w:webHidden/>
              </w:rPr>
              <w:fldChar w:fldCharType="begin"/>
            </w:r>
            <w:r w:rsidR="00A73D3C">
              <w:rPr>
                <w:noProof/>
                <w:webHidden/>
              </w:rPr>
              <w:instrText xml:space="preserve"> PAGEREF _Toc56805809 \h </w:instrText>
            </w:r>
            <w:r w:rsidR="00A73D3C">
              <w:rPr>
                <w:noProof/>
                <w:webHidden/>
              </w:rPr>
            </w:r>
            <w:r w:rsidR="00A73D3C">
              <w:rPr>
                <w:noProof/>
                <w:webHidden/>
              </w:rPr>
              <w:fldChar w:fldCharType="separate"/>
            </w:r>
            <w:r w:rsidR="00A73D3C">
              <w:rPr>
                <w:noProof/>
                <w:webHidden/>
              </w:rPr>
              <w:t>15</w:t>
            </w:r>
            <w:r w:rsidR="00A73D3C">
              <w:rPr>
                <w:noProof/>
                <w:webHidden/>
              </w:rPr>
              <w:fldChar w:fldCharType="end"/>
            </w:r>
          </w:hyperlink>
        </w:p>
        <w:p w:rsidR="00A73D3C" w:rsidRDefault="004430B6">
          <w:pPr>
            <w:pStyle w:val="TOC3"/>
            <w:tabs>
              <w:tab w:val="right" w:leader="dot" w:pos="9019"/>
            </w:tabs>
            <w:rPr>
              <w:rFonts w:asciiTheme="minorHAnsi" w:eastAsiaTheme="minorEastAsia" w:hAnsiTheme="minorHAnsi" w:cstheme="minorBidi"/>
              <w:noProof/>
              <w:lang w:val="en-GB" w:eastAsia="en-GB"/>
            </w:rPr>
          </w:pPr>
          <w:hyperlink w:anchor="_Toc56805810" w:history="1">
            <w:r w:rsidR="00A73D3C" w:rsidRPr="005F7273">
              <w:rPr>
                <w:rStyle w:val="Hyperlink"/>
                <w:noProof/>
                <w:lang w:val="en-GB"/>
              </w:rPr>
              <w:t>AIDA model</w:t>
            </w:r>
            <w:r w:rsidR="00A73D3C">
              <w:rPr>
                <w:noProof/>
                <w:webHidden/>
              </w:rPr>
              <w:tab/>
            </w:r>
            <w:r w:rsidR="00A73D3C">
              <w:rPr>
                <w:noProof/>
                <w:webHidden/>
              </w:rPr>
              <w:fldChar w:fldCharType="begin"/>
            </w:r>
            <w:r w:rsidR="00A73D3C">
              <w:rPr>
                <w:noProof/>
                <w:webHidden/>
              </w:rPr>
              <w:instrText xml:space="preserve"> PAGEREF _Toc56805810 \h </w:instrText>
            </w:r>
            <w:r w:rsidR="00A73D3C">
              <w:rPr>
                <w:noProof/>
                <w:webHidden/>
              </w:rPr>
            </w:r>
            <w:r w:rsidR="00A73D3C">
              <w:rPr>
                <w:noProof/>
                <w:webHidden/>
              </w:rPr>
              <w:fldChar w:fldCharType="separate"/>
            </w:r>
            <w:r w:rsidR="00A73D3C">
              <w:rPr>
                <w:noProof/>
                <w:webHidden/>
              </w:rPr>
              <w:t>16</w:t>
            </w:r>
            <w:r w:rsidR="00A73D3C">
              <w:rPr>
                <w:noProof/>
                <w:webHidden/>
              </w:rPr>
              <w:fldChar w:fldCharType="end"/>
            </w:r>
          </w:hyperlink>
        </w:p>
        <w:p w:rsidR="00A73D3C" w:rsidRDefault="004430B6">
          <w:pPr>
            <w:pStyle w:val="TOC2"/>
            <w:tabs>
              <w:tab w:val="right" w:leader="dot" w:pos="9019"/>
            </w:tabs>
            <w:rPr>
              <w:rFonts w:asciiTheme="minorHAnsi" w:eastAsiaTheme="minorEastAsia" w:hAnsiTheme="minorHAnsi" w:cstheme="minorBidi"/>
              <w:noProof/>
              <w:lang w:val="en-GB" w:eastAsia="en-GB"/>
            </w:rPr>
          </w:pPr>
          <w:hyperlink w:anchor="_Toc56805811" w:history="1">
            <w:r w:rsidR="00A73D3C" w:rsidRPr="005F7273">
              <w:rPr>
                <w:rStyle w:val="Hyperlink"/>
                <w:noProof/>
                <w:lang w:val="en-GB"/>
              </w:rPr>
              <w:t>5.2 Sustainable strategy development for Davison Canners</w:t>
            </w:r>
            <w:r w:rsidR="00A73D3C">
              <w:rPr>
                <w:noProof/>
                <w:webHidden/>
              </w:rPr>
              <w:tab/>
            </w:r>
            <w:r w:rsidR="00A73D3C">
              <w:rPr>
                <w:noProof/>
                <w:webHidden/>
              </w:rPr>
              <w:fldChar w:fldCharType="begin"/>
            </w:r>
            <w:r w:rsidR="00A73D3C">
              <w:rPr>
                <w:noProof/>
                <w:webHidden/>
              </w:rPr>
              <w:instrText xml:space="preserve"> PAGEREF _Toc56805811 \h </w:instrText>
            </w:r>
            <w:r w:rsidR="00A73D3C">
              <w:rPr>
                <w:noProof/>
                <w:webHidden/>
              </w:rPr>
            </w:r>
            <w:r w:rsidR="00A73D3C">
              <w:rPr>
                <w:noProof/>
                <w:webHidden/>
              </w:rPr>
              <w:fldChar w:fldCharType="separate"/>
            </w:r>
            <w:r w:rsidR="00A73D3C">
              <w:rPr>
                <w:noProof/>
                <w:webHidden/>
              </w:rPr>
              <w:t>16</w:t>
            </w:r>
            <w:r w:rsidR="00A73D3C">
              <w:rPr>
                <w:noProof/>
                <w:webHidden/>
              </w:rPr>
              <w:fldChar w:fldCharType="end"/>
            </w:r>
          </w:hyperlink>
        </w:p>
        <w:p w:rsidR="00A73D3C" w:rsidRDefault="004430B6">
          <w:pPr>
            <w:pStyle w:val="TOC1"/>
            <w:tabs>
              <w:tab w:val="right" w:leader="dot" w:pos="9019"/>
            </w:tabs>
            <w:rPr>
              <w:rFonts w:asciiTheme="minorHAnsi" w:eastAsiaTheme="minorEastAsia" w:hAnsiTheme="minorHAnsi" w:cstheme="minorBidi"/>
              <w:noProof/>
              <w:lang w:val="en-GB" w:eastAsia="en-GB"/>
            </w:rPr>
          </w:pPr>
          <w:hyperlink w:anchor="_Toc56805812" w:history="1">
            <w:r w:rsidR="00A73D3C" w:rsidRPr="005F7273">
              <w:rPr>
                <w:rStyle w:val="Hyperlink"/>
                <w:noProof/>
              </w:rPr>
              <w:t>Task 6: Recommendations</w:t>
            </w:r>
            <w:r w:rsidR="00A73D3C">
              <w:rPr>
                <w:noProof/>
                <w:webHidden/>
              </w:rPr>
              <w:tab/>
            </w:r>
            <w:r w:rsidR="00A73D3C">
              <w:rPr>
                <w:noProof/>
                <w:webHidden/>
              </w:rPr>
              <w:fldChar w:fldCharType="begin"/>
            </w:r>
            <w:r w:rsidR="00A73D3C">
              <w:rPr>
                <w:noProof/>
                <w:webHidden/>
              </w:rPr>
              <w:instrText xml:space="preserve"> PAGEREF _Toc56805812 \h </w:instrText>
            </w:r>
            <w:r w:rsidR="00A73D3C">
              <w:rPr>
                <w:noProof/>
                <w:webHidden/>
              </w:rPr>
            </w:r>
            <w:r w:rsidR="00A73D3C">
              <w:rPr>
                <w:noProof/>
                <w:webHidden/>
              </w:rPr>
              <w:fldChar w:fldCharType="separate"/>
            </w:r>
            <w:r w:rsidR="00A73D3C">
              <w:rPr>
                <w:noProof/>
                <w:webHidden/>
              </w:rPr>
              <w:t>18</w:t>
            </w:r>
            <w:r w:rsidR="00A73D3C">
              <w:rPr>
                <w:noProof/>
                <w:webHidden/>
              </w:rPr>
              <w:fldChar w:fldCharType="end"/>
            </w:r>
          </w:hyperlink>
        </w:p>
        <w:p w:rsidR="00A73D3C" w:rsidRDefault="004430B6">
          <w:pPr>
            <w:pStyle w:val="TOC1"/>
            <w:tabs>
              <w:tab w:val="right" w:leader="dot" w:pos="9019"/>
            </w:tabs>
            <w:rPr>
              <w:rFonts w:asciiTheme="minorHAnsi" w:eastAsiaTheme="minorEastAsia" w:hAnsiTheme="minorHAnsi" w:cstheme="minorBidi"/>
              <w:noProof/>
              <w:lang w:val="en-GB" w:eastAsia="en-GB"/>
            </w:rPr>
          </w:pPr>
          <w:hyperlink w:anchor="_Toc56805813" w:history="1">
            <w:r w:rsidR="00A73D3C" w:rsidRPr="005F7273">
              <w:rPr>
                <w:rStyle w:val="Hyperlink"/>
                <w:noProof/>
              </w:rPr>
              <w:t>Task 7: Conclusion</w:t>
            </w:r>
            <w:r w:rsidR="00A73D3C">
              <w:rPr>
                <w:noProof/>
                <w:webHidden/>
              </w:rPr>
              <w:tab/>
            </w:r>
            <w:r w:rsidR="00A73D3C">
              <w:rPr>
                <w:noProof/>
                <w:webHidden/>
              </w:rPr>
              <w:fldChar w:fldCharType="begin"/>
            </w:r>
            <w:r w:rsidR="00A73D3C">
              <w:rPr>
                <w:noProof/>
                <w:webHidden/>
              </w:rPr>
              <w:instrText xml:space="preserve"> PAGEREF _Toc56805813 \h </w:instrText>
            </w:r>
            <w:r w:rsidR="00A73D3C">
              <w:rPr>
                <w:noProof/>
                <w:webHidden/>
              </w:rPr>
            </w:r>
            <w:r w:rsidR="00A73D3C">
              <w:rPr>
                <w:noProof/>
                <w:webHidden/>
              </w:rPr>
              <w:fldChar w:fldCharType="separate"/>
            </w:r>
            <w:r w:rsidR="00A73D3C">
              <w:rPr>
                <w:noProof/>
                <w:webHidden/>
              </w:rPr>
              <w:t>19</w:t>
            </w:r>
            <w:r w:rsidR="00A73D3C">
              <w:rPr>
                <w:noProof/>
                <w:webHidden/>
              </w:rPr>
              <w:fldChar w:fldCharType="end"/>
            </w:r>
          </w:hyperlink>
        </w:p>
        <w:p w:rsidR="00A73D3C" w:rsidRDefault="004430B6">
          <w:pPr>
            <w:pStyle w:val="TOC1"/>
            <w:tabs>
              <w:tab w:val="right" w:leader="dot" w:pos="9019"/>
            </w:tabs>
            <w:rPr>
              <w:rFonts w:asciiTheme="minorHAnsi" w:eastAsiaTheme="minorEastAsia" w:hAnsiTheme="minorHAnsi" w:cstheme="minorBidi"/>
              <w:noProof/>
              <w:lang w:val="en-GB" w:eastAsia="en-GB"/>
            </w:rPr>
          </w:pPr>
          <w:hyperlink w:anchor="_Toc56805814" w:history="1">
            <w:r w:rsidR="00A73D3C" w:rsidRPr="005F7273">
              <w:rPr>
                <w:rStyle w:val="Hyperlink"/>
                <w:noProof/>
              </w:rPr>
              <w:t>References</w:t>
            </w:r>
            <w:r w:rsidR="00A73D3C">
              <w:rPr>
                <w:noProof/>
                <w:webHidden/>
              </w:rPr>
              <w:tab/>
            </w:r>
            <w:r w:rsidR="00A73D3C">
              <w:rPr>
                <w:noProof/>
                <w:webHidden/>
              </w:rPr>
              <w:fldChar w:fldCharType="begin"/>
            </w:r>
            <w:r w:rsidR="00A73D3C">
              <w:rPr>
                <w:noProof/>
                <w:webHidden/>
              </w:rPr>
              <w:instrText xml:space="preserve"> PAGEREF _Toc56805814 \h </w:instrText>
            </w:r>
            <w:r w:rsidR="00A73D3C">
              <w:rPr>
                <w:noProof/>
                <w:webHidden/>
              </w:rPr>
            </w:r>
            <w:r w:rsidR="00A73D3C">
              <w:rPr>
                <w:noProof/>
                <w:webHidden/>
              </w:rPr>
              <w:fldChar w:fldCharType="separate"/>
            </w:r>
            <w:r w:rsidR="00A73D3C">
              <w:rPr>
                <w:noProof/>
                <w:webHidden/>
              </w:rPr>
              <w:t>20</w:t>
            </w:r>
            <w:r w:rsidR="00A73D3C">
              <w:rPr>
                <w:noProof/>
                <w:webHidden/>
              </w:rPr>
              <w:fldChar w:fldCharType="end"/>
            </w:r>
          </w:hyperlink>
        </w:p>
        <w:p w:rsidR="00A73D3C" w:rsidRDefault="004430B6">
          <w:pPr>
            <w:pStyle w:val="TOC1"/>
            <w:tabs>
              <w:tab w:val="right" w:leader="dot" w:pos="9019"/>
            </w:tabs>
            <w:rPr>
              <w:rFonts w:asciiTheme="minorHAnsi" w:eastAsiaTheme="minorEastAsia" w:hAnsiTheme="minorHAnsi" w:cstheme="minorBidi"/>
              <w:noProof/>
              <w:lang w:val="en-GB" w:eastAsia="en-GB"/>
            </w:rPr>
          </w:pPr>
          <w:hyperlink w:anchor="_Toc56805815" w:history="1">
            <w:r w:rsidR="00A73D3C" w:rsidRPr="005F7273">
              <w:rPr>
                <w:rStyle w:val="Hyperlink"/>
                <w:noProof/>
              </w:rPr>
              <w:t>Appendix: UK inflation rate</w:t>
            </w:r>
            <w:r w:rsidR="00A73D3C">
              <w:rPr>
                <w:noProof/>
                <w:webHidden/>
              </w:rPr>
              <w:tab/>
            </w:r>
            <w:r w:rsidR="00A73D3C">
              <w:rPr>
                <w:noProof/>
                <w:webHidden/>
              </w:rPr>
              <w:fldChar w:fldCharType="begin"/>
            </w:r>
            <w:r w:rsidR="00A73D3C">
              <w:rPr>
                <w:noProof/>
                <w:webHidden/>
              </w:rPr>
              <w:instrText xml:space="preserve"> PAGEREF _Toc56805815 \h </w:instrText>
            </w:r>
            <w:r w:rsidR="00A73D3C">
              <w:rPr>
                <w:noProof/>
                <w:webHidden/>
              </w:rPr>
            </w:r>
            <w:r w:rsidR="00A73D3C">
              <w:rPr>
                <w:noProof/>
                <w:webHidden/>
              </w:rPr>
              <w:fldChar w:fldCharType="separate"/>
            </w:r>
            <w:r w:rsidR="00A73D3C">
              <w:rPr>
                <w:noProof/>
                <w:webHidden/>
              </w:rPr>
              <w:t>23</w:t>
            </w:r>
            <w:r w:rsidR="00A73D3C">
              <w:rPr>
                <w:noProof/>
                <w:webHidden/>
              </w:rPr>
              <w:fldChar w:fldCharType="end"/>
            </w:r>
          </w:hyperlink>
        </w:p>
        <w:p w:rsidR="00A73D3C" w:rsidRDefault="00A73D3C">
          <w:r>
            <w:rPr>
              <w:b/>
              <w:bCs/>
              <w:noProof/>
            </w:rPr>
            <w:fldChar w:fldCharType="end"/>
          </w:r>
        </w:p>
      </w:sdtContent>
    </w:sdt>
    <w:p w:rsidR="00E41881" w:rsidRDefault="00E41881" w:rsidP="00A93934">
      <w:pPr>
        <w:pStyle w:val="Heading1"/>
        <w:rPr>
          <w:rFonts w:ascii="Arial" w:hAnsi="Arial"/>
          <w:color w:val="000000" w:themeColor="text1"/>
          <w:sz w:val="22"/>
          <w:szCs w:val="22"/>
        </w:rPr>
      </w:pPr>
    </w:p>
    <w:p w:rsidR="00E053B9" w:rsidRDefault="00E053B9" w:rsidP="00E053B9">
      <w:pPr>
        <w:rPr>
          <w:lang w:val="en-GB"/>
        </w:rPr>
      </w:pPr>
    </w:p>
    <w:p w:rsidR="00E053B9" w:rsidRDefault="00E053B9" w:rsidP="00E053B9">
      <w:pPr>
        <w:rPr>
          <w:lang w:val="en-GB"/>
        </w:rPr>
      </w:pPr>
    </w:p>
    <w:p w:rsidR="00E053B9" w:rsidRDefault="00E053B9" w:rsidP="00E053B9">
      <w:pPr>
        <w:rPr>
          <w:lang w:val="en-GB"/>
        </w:rPr>
      </w:pPr>
    </w:p>
    <w:p w:rsidR="00E053B9" w:rsidRDefault="00E053B9" w:rsidP="00E053B9">
      <w:pPr>
        <w:rPr>
          <w:lang w:val="en-GB"/>
        </w:rPr>
      </w:pPr>
    </w:p>
    <w:p w:rsidR="00E053B9" w:rsidRDefault="00E053B9" w:rsidP="00E053B9">
      <w:pPr>
        <w:rPr>
          <w:lang w:val="en-GB"/>
        </w:rPr>
      </w:pPr>
    </w:p>
    <w:p w:rsidR="00E053B9" w:rsidRDefault="00E053B9" w:rsidP="00E053B9">
      <w:pPr>
        <w:pStyle w:val="Heading1"/>
        <w:rPr>
          <w:rFonts w:ascii="Arial" w:hAnsi="Arial"/>
          <w:color w:val="000000" w:themeColor="text1"/>
          <w:sz w:val="22"/>
          <w:szCs w:val="22"/>
        </w:rPr>
      </w:pPr>
      <w:bookmarkStart w:id="0" w:name="_Toc56805788"/>
      <w:r w:rsidRPr="00A93934">
        <w:rPr>
          <w:rFonts w:ascii="Arial" w:hAnsi="Arial"/>
          <w:color w:val="000000" w:themeColor="text1"/>
          <w:sz w:val="22"/>
          <w:szCs w:val="22"/>
        </w:rPr>
        <w:lastRenderedPageBreak/>
        <w:t>Task 1: Introduction</w:t>
      </w:r>
      <w:bookmarkEnd w:id="0"/>
    </w:p>
    <w:p w:rsidR="00E053B9" w:rsidRPr="00E053B9" w:rsidRDefault="00E053B9" w:rsidP="00E053B9">
      <w:pPr>
        <w:rPr>
          <w:lang w:val="en-GB"/>
        </w:rPr>
      </w:pPr>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The concept of strategic management has represented different activities of a firm such as planning, analysis, monitoring and many other necessary actions for satisfying organizational objectives as well as goals simultaneously</w:t>
      </w:r>
      <w:r w:rsidR="006C00FE" w:rsidRPr="00A93934">
        <w:rPr>
          <w:rFonts w:eastAsia="Times New Roman"/>
          <w:color w:val="000000" w:themeColor="text1"/>
          <w:lang w:val="en-GB"/>
        </w:rPr>
        <w:t xml:space="preserve"> (</w:t>
      </w:r>
      <w:proofErr w:type="spellStart"/>
      <w:r w:rsidR="00B85376" w:rsidRPr="00A93934">
        <w:rPr>
          <w:color w:val="000000" w:themeColor="text1"/>
          <w:shd w:val="clear" w:color="auto" w:fill="FFFFFF"/>
        </w:rPr>
        <w:t>Ariyani</w:t>
      </w:r>
      <w:proofErr w:type="spellEnd"/>
      <w:r w:rsidR="00B85376" w:rsidRPr="00A93934">
        <w:rPr>
          <w:color w:val="000000" w:themeColor="text1"/>
          <w:shd w:val="clear" w:color="auto" w:fill="FFFFFF"/>
        </w:rPr>
        <w:t xml:space="preserve"> and </w:t>
      </w:r>
      <w:proofErr w:type="spellStart"/>
      <w:r w:rsidR="00B85376" w:rsidRPr="00A93934">
        <w:rPr>
          <w:color w:val="000000" w:themeColor="text1"/>
          <w:shd w:val="clear" w:color="auto" w:fill="FFFFFF"/>
        </w:rPr>
        <w:t>Daryanto</w:t>
      </w:r>
      <w:proofErr w:type="spellEnd"/>
      <w:r w:rsidR="00B85376" w:rsidRPr="00A93934">
        <w:rPr>
          <w:color w:val="000000" w:themeColor="text1"/>
          <w:shd w:val="clear" w:color="auto" w:fill="FFFFFF"/>
        </w:rPr>
        <w:t>, 2018)</w:t>
      </w:r>
      <w:r w:rsidRPr="00A93934">
        <w:rPr>
          <w:rFonts w:eastAsia="Times New Roman"/>
          <w:color w:val="000000" w:themeColor="text1"/>
          <w:lang w:val="en-GB"/>
        </w:rPr>
        <w:t xml:space="preserve">. It has helped an organization to </w:t>
      </w:r>
      <w:r w:rsidR="000F2B53" w:rsidRPr="00A93934">
        <w:rPr>
          <w:rFonts w:eastAsia="Times New Roman"/>
          <w:color w:val="000000" w:themeColor="text1"/>
          <w:lang w:val="en-GB"/>
        </w:rPr>
        <w:t>analyse</w:t>
      </w:r>
      <w:r w:rsidRPr="00A93934">
        <w:rPr>
          <w:rFonts w:eastAsia="Times New Roman"/>
          <w:color w:val="000000" w:themeColor="text1"/>
          <w:lang w:val="en-GB"/>
        </w:rPr>
        <w:t xml:space="preserve"> its present situation, develop a strategic approach and implement managerial strategies for securing competitive advantages in the market.</w:t>
      </w:r>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Small and medium enterprises have been considered as one of the prime driving factors of the national economy. This report focuses on the explanation of different essential elements regarding the strategic improvement of small-medium enterprises in UK. In this term, it highlights the business of Davison Canners, one of the leading small, medium enterprises in UK. This report also demonstrates the present organizational strategic direction. Besides this, it also offers a future sustainable strategy associating with relevant recommended approaches in context of securing long-term future success for Davison Canners.</w:t>
      </w:r>
    </w:p>
    <w:p w:rsidR="00E41881" w:rsidRPr="00A93934" w:rsidRDefault="00A77A79" w:rsidP="00A93934">
      <w:pPr>
        <w:pStyle w:val="Heading1"/>
        <w:rPr>
          <w:rFonts w:ascii="Arial" w:hAnsi="Arial"/>
          <w:color w:val="000000" w:themeColor="text1"/>
          <w:sz w:val="22"/>
          <w:szCs w:val="22"/>
        </w:rPr>
      </w:pPr>
      <w:bookmarkStart w:id="1" w:name="_Toc56805789"/>
      <w:r w:rsidRPr="00A93934">
        <w:rPr>
          <w:rFonts w:ascii="Arial" w:hAnsi="Arial"/>
          <w:color w:val="000000" w:themeColor="text1"/>
          <w:sz w:val="22"/>
          <w:szCs w:val="22"/>
        </w:rPr>
        <w:t>Task 2: Description of present strategic direction of Davison Canners</w:t>
      </w:r>
      <w:bookmarkEnd w:id="1"/>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Davison Canners is considered as a leading food manufacturing</w:t>
      </w:r>
      <w:r w:rsidR="005938E3" w:rsidRPr="00A93934">
        <w:rPr>
          <w:rFonts w:eastAsia="Times New Roman"/>
          <w:color w:val="000000" w:themeColor="text1"/>
          <w:lang w:val="en-GB"/>
        </w:rPr>
        <w:t xml:space="preserve"> and</w:t>
      </w:r>
      <w:r w:rsidRPr="00A93934">
        <w:rPr>
          <w:rFonts w:eastAsia="Times New Roman"/>
          <w:color w:val="000000" w:themeColor="text1"/>
          <w:lang w:val="en-GB"/>
        </w:rPr>
        <w:t xml:space="preserve"> small-medium enterprises in UK. The central vision of this business is to build long-term relationships with customers through its passionate as well as dynamic services (davisoncanners.com, 2020). This "AABRC” accredited food manufacturing company is considered as a prime and leading producer of fruit compotes, bakery fillings and fruits in UK (davisoncanners.com, 2020). The prime objective of Davison Canners is to satisfy the changing needs of consumers and to maintain a diversified position in markets according to food trends (davisoncanners.com, 2020).</w:t>
      </w:r>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 xml:space="preserve">In order to satisfy its customers appropriately, Davison Canners also focuses on the engagement of right employees at right departments for ensuring the </w:t>
      </w:r>
      <w:r w:rsidR="009C37A6" w:rsidRPr="00A93934">
        <w:rPr>
          <w:rFonts w:eastAsia="Times New Roman"/>
          <w:color w:val="000000" w:themeColor="text1"/>
          <w:lang w:val="en-GB"/>
        </w:rPr>
        <w:t>long-term</w:t>
      </w:r>
      <w:r w:rsidRPr="00A93934">
        <w:rPr>
          <w:rFonts w:eastAsia="Times New Roman"/>
          <w:color w:val="000000" w:themeColor="text1"/>
          <w:lang w:val="en-GB"/>
        </w:rPr>
        <w:t xml:space="preserve"> relationship with consumers (davisoncanners.com, 2020). The </w:t>
      </w:r>
      <w:r w:rsidR="00D275C1" w:rsidRPr="00A93934">
        <w:rPr>
          <w:rFonts w:eastAsia="Times New Roman"/>
          <w:color w:val="000000" w:themeColor="text1"/>
          <w:lang w:val="en-GB"/>
        </w:rPr>
        <w:t xml:space="preserve">presence of experienced, as well as skilled board </w:t>
      </w:r>
      <w:r w:rsidR="00DD5722" w:rsidRPr="00A93934">
        <w:rPr>
          <w:rFonts w:eastAsia="Times New Roman"/>
          <w:color w:val="000000" w:themeColor="text1"/>
          <w:lang w:val="en-GB"/>
        </w:rPr>
        <w:t>executives</w:t>
      </w:r>
      <w:r w:rsidR="00D275C1" w:rsidRPr="00A93934">
        <w:rPr>
          <w:rFonts w:eastAsia="Times New Roman"/>
          <w:color w:val="000000" w:themeColor="text1"/>
          <w:lang w:val="en-GB"/>
        </w:rPr>
        <w:t xml:space="preserve"> has</w:t>
      </w:r>
      <w:r w:rsidRPr="00A93934">
        <w:rPr>
          <w:rFonts w:eastAsia="Times New Roman"/>
          <w:color w:val="000000" w:themeColor="text1"/>
          <w:lang w:val="en-GB"/>
        </w:rPr>
        <w:t xml:space="preserve"> performed a vital role in improving the diversity of organizational products range in terms of securing market competitiveness based on changing trends and demands of people (davisoncanners.com, 2020). In this term, it can be highlighted that involvement of proper and skilled human resources within the organization is helpful for ensuring its success.</w:t>
      </w:r>
    </w:p>
    <w:p w:rsidR="000260C3" w:rsidRPr="00A93934" w:rsidRDefault="000260C3" w:rsidP="00A93934">
      <w:pPr>
        <w:spacing w:line="360" w:lineRule="auto"/>
        <w:jc w:val="both"/>
        <w:rPr>
          <w:rFonts w:eastAsia="Times New Roman"/>
          <w:color w:val="000000" w:themeColor="text1"/>
          <w:lang w:val="en-GB"/>
        </w:rPr>
      </w:pPr>
    </w:p>
    <w:p w:rsidR="000260C3" w:rsidRPr="00A93934" w:rsidRDefault="000260C3" w:rsidP="00A93934">
      <w:pPr>
        <w:spacing w:line="360" w:lineRule="auto"/>
        <w:jc w:val="both"/>
        <w:rPr>
          <w:rFonts w:eastAsia="Times New Roman"/>
          <w:color w:val="000000" w:themeColor="text1"/>
          <w:lang w:val="en-GB"/>
        </w:rPr>
      </w:pPr>
    </w:p>
    <w:p w:rsidR="000260C3" w:rsidRPr="00A93934" w:rsidRDefault="000260C3" w:rsidP="00A93934">
      <w:pPr>
        <w:spacing w:line="360" w:lineRule="auto"/>
        <w:jc w:val="both"/>
        <w:rPr>
          <w:rFonts w:eastAsia="Times New Roman"/>
          <w:color w:val="000000" w:themeColor="text1"/>
          <w:lang w:val="en-GB"/>
        </w:rPr>
      </w:pPr>
    </w:p>
    <w:p w:rsidR="000260C3" w:rsidRPr="00A93934" w:rsidRDefault="000260C3" w:rsidP="00A93934">
      <w:pPr>
        <w:spacing w:line="360" w:lineRule="auto"/>
        <w:jc w:val="both"/>
        <w:rPr>
          <w:rFonts w:eastAsia="Times New Roman"/>
          <w:color w:val="000000" w:themeColor="text1"/>
          <w:lang w:val="en-GB"/>
        </w:rPr>
      </w:pPr>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lastRenderedPageBreak/>
        <w:t xml:space="preserve">The </w:t>
      </w:r>
      <w:r w:rsidR="009426AC" w:rsidRPr="00A93934">
        <w:rPr>
          <w:rFonts w:eastAsia="Times New Roman"/>
          <w:color w:val="000000" w:themeColor="text1"/>
          <w:lang w:val="en-GB"/>
        </w:rPr>
        <w:t>production operations</w:t>
      </w:r>
      <w:r w:rsidR="00BC3134" w:rsidRPr="00A93934">
        <w:rPr>
          <w:rFonts w:eastAsia="Times New Roman"/>
          <w:color w:val="000000" w:themeColor="text1"/>
          <w:lang w:val="en-GB"/>
        </w:rPr>
        <w:t xml:space="preserve"> of Davison with the aid of advanced innovation have</w:t>
      </w:r>
      <w:r w:rsidRPr="00A93934">
        <w:rPr>
          <w:rFonts w:eastAsia="Times New Roman"/>
          <w:color w:val="000000" w:themeColor="text1"/>
          <w:lang w:val="en-GB"/>
        </w:rPr>
        <w:t xml:space="preserve"> helped it to meet its vision as well as objective prominently. With the support of innovative technology, Canners offer a diversified food range to attract individuals appropriately (davisoncanners.com, 2020). The use of social media platforms as a part of organizational marketing campaigns is beneficial for the improvement of organization-customer relationship and evaluation of changing demands regarding individuals. These have also performed a significant role in maximizing corporate values in the market.</w:t>
      </w:r>
    </w:p>
    <w:p w:rsidR="00E41881" w:rsidRPr="00A93934" w:rsidRDefault="00A77A79" w:rsidP="00A93934">
      <w:pPr>
        <w:pStyle w:val="Heading1"/>
        <w:rPr>
          <w:rFonts w:ascii="Arial" w:hAnsi="Arial"/>
          <w:color w:val="000000" w:themeColor="text1"/>
          <w:sz w:val="22"/>
          <w:szCs w:val="22"/>
        </w:rPr>
      </w:pPr>
      <w:bookmarkStart w:id="2" w:name="_Toc56805790"/>
      <w:r w:rsidRPr="00A93934">
        <w:rPr>
          <w:rFonts w:ascii="Arial" w:hAnsi="Arial"/>
          <w:color w:val="000000" w:themeColor="text1"/>
          <w:sz w:val="22"/>
          <w:szCs w:val="22"/>
        </w:rPr>
        <w:t>Task 3: Analysis of business environment</w:t>
      </w:r>
      <w:bookmarkEnd w:id="2"/>
    </w:p>
    <w:p w:rsidR="00E41881" w:rsidRPr="00A93934" w:rsidRDefault="00A77A79" w:rsidP="00A93934">
      <w:pPr>
        <w:pStyle w:val="Heading2"/>
        <w:rPr>
          <w:rFonts w:ascii="Arial" w:hAnsi="Arial"/>
          <w:sz w:val="22"/>
          <w:szCs w:val="22"/>
          <w:lang w:val="en-GB"/>
        </w:rPr>
      </w:pPr>
      <w:bookmarkStart w:id="3" w:name="_Toc56805791"/>
      <w:r w:rsidRPr="00A93934">
        <w:rPr>
          <w:rFonts w:ascii="Arial" w:hAnsi="Arial"/>
          <w:sz w:val="22"/>
          <w:szCs w:val="22"/>
          <w:lang w:val="en-GB"/>
        </w:rPr>
        <w:t>3.1 Analysis of external environmental factors</w:t>
      </w:r>
      <w:bookmarkEnd w:id="3"/>
    </w:p>
    <w:p w:rsidR="00E41881" w:rsidRPr="00A93934" w:rsidRDefault="00A77A79" w:rsidP="00A93934">
      <w:pPr>
        <w:pStyle w:val="Heading3"/>
        <w:rPr>
          <w:rFonts w:ascii="Arial" w:hAnsi="Arial"/>
          <w:sz w:val="22"/>
          <w:szCs w:val="22"/>
          <w:lang w:val="en-GB"/>
        </w:rPr>
      </w:pPr>
      <w:bookmarkStart w:id="4" w:name="_Toc56805792"/>
      <w:r w:rsidRPr="00A93934">
        <w:rPr>
          <w:rFonts w:ascii="Arial" w:hAnsi="Arial"/>
          <w:sz w:val="22"/>
          <w:szCs w:val="22"/>
          <w:lang w:val="en-GB"/>
        </w:rPr>
        <w:t>PESTLE analysis</w:t>
      </w:r>
      <w:bookmarkEnd w:id="4"/>
    </w:p>
    <w:p w:rsidR="00E41881" w:rsidRPr="00A93934" w:rsidRDefault="00A77A79" w:rsidP="00A93934">
      <w:pPr>
        <w:widowControl w:val="0"/>
        <w:spacing w:line="360" w:lineRule="auto"/>
        <w:jc w:val="both"/>
        <w:rPr>
          <w:rFonts w:eastAsia="Times New Roman"/>
          <w:b/>
          <w:color w:val="000000" w:themeColor="text1"/>
          <w:lang w:val="en-GB"/>
        </w:rPr>
      </w:pPr>
      <w:r w:rsidRPr="00A93934">
        <w:rPr>
          <w:rFonts w:eastAsia="Times New Roman"/>
          <w:b/>
          <w:color w:val="000000" w:themeColor="text1"/>
          <w:lang w:val="en-GB"/>
        </w:rPr>
        <w:t>Political factors</w:t>
      </w:r>
    </w:p>
    <w:p w:rsidR="00E41881" w:rsidRPr="00A93934" w:rsidRDefault="00721CB7" w:rsidP="00A93934">
      <w:pPr>
        <w:widowControl w:val="0"/>
        <w:spacing w:line="360" w:lineRule="auto"/>
        <w:jc w:val="both"/>
        <w:rPr>
          <w:rFonts w:eastAsia="Times New Roman"/>
          <w:color w:val="000000" w:themeColor="text1"/>
          <w:lang w:val="en-GB"/>
        </w:rPr>
      </w:pPr>
      <w:r w:rsidRPr="00A93934">
        <w:rPr>
          <w:rFonts w:eastAsia="Times New Roman"/>
          <w:color w:val="000000" w:themeColor="text1"/>
          <w:lang w:val="en-GB"/>
        </w:rPr>
        <w:t>Unstable political conditions in UK introduce</w:t>
      </w:r>
      <w:r w:rsidR="00A77A79" w:rsidRPr="00A93934">
        <w:rPr>
          <w:rFonts w:eastAsia="Times New Roman"/>
          <w:color w:val="000000" w:themeColor="text1"/>
          <w:lang w:val="en-GB"/>
        </w:rPr>
        <w:t xml:space="preserve"> challenges for a business such as Brexit issues and many others. Thus, it has developed a negative impact on individuals' buying interest. The resignation of UK from the Brexit agreement affects the decision of investors in introducing new businesses in UK. The Brexit issue has developed severe challenges for small-medium enterprises in UK such as the fall of demand and funding, an increase of tariffs and many others (Cole, 2019). In this context, the political instability in UK develops an external challenge for the business environment of Davison Canners. Besides this, in UK, a free trading policy is present. It increases market competition prominently. This free trading policy in UK has increased pressure on Davison Canners in context of competing with a wide range of rival companies in the markets.      </w:t>
      </w:r>
    </w:p>
    <w:p w:rsidR="00E41881" w:rsidRPr="00A93934" w:rsidRDefault="00A77A79" w:rsidP="00A93934">
      <w:pPr>
        <w:widowControl w:val="0"/>
        <w:spacing w:line="360" w:lineRule="auto"/>
        <w:jc w:val="both"/>
        <w:rPr>
          <w:rFonts w:eastAsia="Times New Roman"/>
          <w:b/>
          <w:color w:val="000000" w:themeColor="text1"/>
          <w:lang w:val="en-GB"/>
        </w:rPr>
      </w:pPr>
      <w:r w:rsidRPr="00A93934">
        <w:rPr>
          <w:rFonts w:eastAsia="Times New Roman"/>
          <w:b/>
          <w:color w:val="000000" w:themeColor="text1"/>
          <w:lang w:val="en-GB"/>
        </w:rPr>
        <w:t>Economic factors</w:t>
      </w:r>
    </w:p>
    <w:p w:rsidR="00E41881" w:rsidRPr="00A93934" w:rsidRDefault="00A77A79" w:rsidP="00A93934">
      <w:pPr>
        <w:widowControl w:val="0"/>
        <w:spacing w:line="360" w:lineRule="auto"/>
        <w:jc w:val="both"/>
        <w:rPr>
          <w:rFonts w:eastAsia="Times New Roman"/>
          <w:color w:val="000000" w:themeColor="text1"/>
          <w:lang w:val="en-GB"/>
        </w:rPr>
      </w:pPr>
      <w:r w:rsidRPr="00A93934">
        <w:rPr>
          <w:rFonts w:eastAsia="Times New Roman"/>
          <w:color w:val="000000" w:themeColor="text1"/>
          <w:lang w:val="en-GB"/>
        </w:rPr>
        <w:t xml:space="preserve">In August 2020 UK GDP has been increased by 2.1% (ons.gov.uk, 2020). The increase in GDP positively influences the purchasing power of individuals. Therefore, it positively impacted the financial development of Davison Canners. On the other hand, from 2016 to 2017, the inflation rate in UK has increased by 2.02% (statista.com, 2020). The higher inflation rate has indicated risks in consumers' purchasing habits (Lothian, 2016). Therefore, it has developed a negative impact on the profit margins as well as sales volumes of Davison Canners in UK. Besides this, due to the hit of the recent global pandemic, 69% of small enterprises in the UK have faced severe cash flow issues (ibisworld.com, 2020). It has developed a negative impact and has created external threats for the business environment of Davison Canners </w:t>
      </w:r>
      <w:r w:rsidRPr="00A93934">
        <w:rPr>
          <w:rFonts w:eastAsia="Times New Roman"/>
          <w:b/>
          <w:i/>
          <w:color w:val="000000" w:themeColor="text1"/>
          <w:lang w:val="en-GB"/>
        </w:rPr>
        <w:t>[refer to appendix 1]</w:t>
      </w:r>
      <w:r w:rsidRPr="00A93934">
        <w:rPr>
          <w:rFonts w:eastAsia="Times New Roman"/>
          <w:color w:val="000000" w:themeColor="text1"/>
          <w:lang w:val="en-GB"/>
        </w:rPr>
        <w:t xml:space="preserve">.      </w:t>
      </w:r>
    </w:p>
    <w:p w:rsidR="000260C3" w:rsidRPr="00A93934" w:rsidRDefault="000260C3" w:rsidP="00A93934">
      <w:pPr>
        <w:widowControl w:val="0"/>
        <w:spacing w:line="360" w:lineRule="auto"/>
        <w:jc w:val="both"/>
        <w:rPr>
          <w:rFonts w:eastAsia="Times New Roman"/>
          <w:color w:val="000000" w:themeColor="text1"/>
          <w:lang w:val="en-GB"/>
        </w:rPr>
      </w:pPr>
    </w:p>
    <w:p w:rsidR="000260C3" w:rsidRPr="00A93934" w:rsidRDefault="000260C3" w:rsidP="00A93934">
      <w:pPr>
        <w:widowControl w:val="0"/>
        <w:spacing w:line="360" w:lineRule="auto"/>
        <w:jc w:val="both"/>
        <w:rPr>
          <w:rFonts w:eastAsia="Times New Roman"/>
          <w:color w:val="000000" w:themeColor="text1"/>
          <w:lang w:val="en-GB"/>
        </w:rPr>
      </w:pPr>
    </w:p>
    <w:p w:rsidR="00E41881" w:rsidRPr="00A93934" w:rsidRDefault="00A77A79" w:rsidP="00A93934">
      <w:pPr>
        <w:widowControl w:val="0"/>
        <w:spacing w:line="360" w:lineRule="auto"/>
        <w:jc w:val="both"/>
        <w:rPr>
          <w:rFonts w:eastAsia="Times New Roman"/>
          <w:b/>
          <w:color w:val="000000" w:themeColor="text1"/>
          <w:lang w:val="en-GB"/>
        </w:rPr>
      </w:pPr>
      <w:r w:rsidRPr="00A93934">
        <w:rPr>
          <w:rFonts w:eastAsia="Times New Roman"/>
          <w:b/>
          <w:color w:val="000000" w:themeColor="text1"/>
          <w:lang w:val="en-GB"/>
        </w:rPr>
        <w:lastRenderedPageBreak/>
        <w:t>Social factors</w:t>
      </w:r>
    </w:p>
    <w:p w:rsidR="00E41881" w:rsidRPr="00A93934" w:rsidRDefault="00A77A79" w:rsidP="00A93934">
      <w:pPr>
        <w:widowControl w:val="0"/>
        <w:spacing w:line="360" w:lineRule="auto"/>
        <w:jc w:val="both"/>
        <w:rPr>
          <w:rFonts w:eastAsia="Times New Roman"/>
          <w:color w:val="000000" w:themeColor="text1"/>
          <w:lang w:val="en-GB"/>
        </w:rPr>
      </w:pPr>
      <w:r w:rsidRPr="00A93934">
        <w:rPr>
          <w:rFonts w:eastAsia="Times New Roman"/>
          <w:color w:val="000000" w:themeColor="text1"/>
          <w:lang w:val="en-GB"/>
        </w:rPr>
        <w:t xml:space="preserve">The wide range of consumer markets in UK has included diversified views and demands of individuals. Less corruption and crime in UK society has developed a favourable business environment for businesses. In this term, the stable and fewer crime activities in retail and other businesses sectors in 2018 have helped to improve business aspects for small and medium enterprises in UK (assets.publishing.service.gov.uk, 2019). This factor reduces external security risks for Davison Canners in UK.  Apart from this, the interests and choice of individuals towards fruit jellies and jams have been increased rapidly. From 2017 to 2018, manufacturing sales value of fruit jellies and jams in UK has risen by £ 6123 million (statista.com, 2020). Therefore, it develops a positive impact on Davison due to the increased demands and opportunities in UK market. </w:t>
      </w:r>
      <w:r w:rsidR="00595AEE" w:rsidRPr="00A93934">
        <w:rPr>
          <w:rFonts w:eastAsia="Times New Roman"/>
          <w:color w:val="000000" w:themeColor="text1"/>
          <w:lang w:val="en-GB"/>
        </w:rPr>
        <w:t>T</w:t>
      </w:r>
      <w:r w:rsidRPr="00A93934">
        <w:rPr>
          <w:rFonts w:eastAsia="Times New Roman"/>
          <w:color w:val="000000" w:themeColor="text1"/>
          <w:lang w:val="en-GB"/>
        </w:rPr>
        <w:t xml:space="preserve">he recent outbreak of </w:t>
      </w:r>
      <w:r w:rsidR="00587F5C" w:rsidRPr="00A93934">
        <w:rPr>
          <w:rFonts w:eastAsia="Times New Roman"/>
          <w:color w:val="000000" w:themeColor="text1"/>
          <w:lang w:val="en-GB"/>
        </w:rPr>
        <w:t>corona virus</w:t>
      </w:r>
      <w:r w:rsidRPr="00A93934">
        <w:rPr>
          <w:rFonts w:eastAsia="Times New Roman"/>
          <w:color w:val="000000" w:themeColor="text1"/>
          <w:lang w:val="en-GB"/>
        </w:rPr>
        <w:t xml:space="preserve"> has decreased the buying </w:t>
      </w:r>
      <w:r w:rsidR="00504C7D" w:rsidRPr="00A93934">
        <w:rPr>
          <w:rFonts w:eastAsia="Times New Roman"/>
          <w:color w:val="000000" w:themeColor="text1"/>
          <w:lang w:val="en-GB"/>
        </w:rPr>
        <w:t>behaviour</w:t>
      </w:r>
      <w:r w:rsidRPr="00A93934">
        <w:rPr>
          <w:rFonts w:eastAsia="Times New Roman"/>
          <w:color w:val="000000" w:themeColor="text1"/>
          <w:lang w:val="en-GB"/>
        </w:rPr>
        <w:t xml:space="preserve"> of individuals towards jellies and jams.</w:t>
      </w:r>
    </w:p>
    <w:p w:rsidR="008F2BE1" w:rsidRPr="00A93934" w:rsidRDefault="008F2BE1" w:rsidP="00A93934">
      <w:pPr>
        <w:widowControl w:val="0"/>
        <w:spacing w:line="360" w:lineRule="auto"/>
        <w:jc w:val="center"/>
        <w:rPr>
          <w:rFonts w:eastAsia="Times New Roman"/>
          <w:b/>
          <w:color w:val="000000" w:themeColor="text1"/>
          <w:lang w:val="en-GB"/>
        </w:rPr>
      </w:pPr>
      <w:r w:rsidRPr="00A93934">
        <w:rPr>
          <w:rFonts w:eastAsia="Times New Roman"/>
          <w:b/>
          <w:noProof/>
          <w:color w:val="000000" w:themeColor="text1"/>
          <w:lang w:val="en-GB" w:eastAsia="en-GB"/>
        </w:rPr>
        <w:drawing>
          <wp:inline distT="0" distB="0" distL="0" distR="0" wp14:anchorId="106A2ECC" wp14:editId="5491FF1B">
            <wp:extent cx="5733415" cy="4382938"/>
            <wp:effectExtent l="0" t="19050" r="19685" b="3683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0260C3" w:rsidRDefault="00A77A79" w:rsidP="00A93934">
      <w:pPr>
        <w:widowControl w:val="0"/>
        <w:spacing w:line="360" w:lineRule="auto"/>
        <w:jc w:val="center"/>
        <w:rPr>
          <w:rFonts w:eastAsia="Times New Roman"/>
          <w:b/>
          <w:color w:val="000000" w:themeColor="text1"/>
          <w:lang w:val="en-GB"/>
        </w:rPr>
      </w:pPr>
      <w:r w:rsidRPr="00A93934">
        <w:rPr>
          <w:rFonts w:eastAsia="Times New Roman"/>
          <w:b/>
          <w:color w:val="000000" w:themeColor="text1"/>
          <w:lang w:val="en-GB"/>
        </w:rPr>
        <w:t>Figure 1: PESTLE analysis of UK</w:t>
      </w:r>
    </w:p>
    <w:p w:rsidR="00A93934" w:rsidRDefault="00A93934" w:rsidP="00A93934">
      <w:pPr>
        <w:widowControl w:val="0"/>
        <w:spacing w:line="360" w:lineRule="auto"/>
        <w:jc w:val="center"/>
        <w:rPr>
          <w:rFonts w:eastAsia="Times New Roman"/>
          <w:b/>
          <w:color w:val="000000" w:themeColor="text1"/>
          <w:lang w:val="en-GB"/>
        </w:rPr>
      </w:pPr>
    </w:p>
    <w:p w:rsidR="00A93934" w:rsidRDefault="00A93934" w:rsidP="00A93934">
      <w:pPr>
        <w:widowControl w:val="0"/>
        <w:spacing w:line="360" w:lineRule="auto"/>
        <w:jc w:val="center"/>
        <w:rPr>
          <w:rFonts w:eastAsia="Times New Roman"/>
          <w:b/>
          <w:color w:val="000000" w:themeColor="text1"/>
          <w:lang w:val="en-GB"/>
        </w:rPr>
      </w:pPr>
    </w:p>
    <w:p w:rsidR="00F64AA4" w:rsidRPr="00A93934" w:rsidRDefault="00F64AA4" w:rsidP="00A93934">
      <w:pPr>
        <w:widowControl w:val="0"/>
        <w:spacing w:line="360" w:lineRule="auto"/>
        <w:jc w:val="center"/>
        <w:rPr>
          <w:rFonts w:eastAsia="Times New Roman"/>
          <w:b/>
          <w:color w:val="000000" w:themeColor="text1"/>
          <w:lang w:val="en-GB"/>
        </w:rPr>
      </w:pPr>
      <w:bookmarkStart w:id="5" w:name="_GoBack"/>
      <w:bookmarkEnd w:id="5"/>
    </w:p>
    <w:p w:rsidR="000260C3" w:rsidRPr="00A93934" w:rsidRDefault="000260C3" w:rsidP="00A93934">
      <w:pPr>
        <w:widowControl w:val="0"/>
        <w:spacing w:line="360" w:lineRule="auto"/>
        <w:jc w:val="center"/>
        <w:rPr>
          <w:rFonts w:eastAsia="Times New Roman"/>
          <w:b/>
          <w:color w:val="000000" w:themeColor="text1"/>
          <w:lang w:val="en-GB"/>
        </w:rPr>
      </w:pPr>
    </w:p>
    <w:p w:rsidR="000260C3" w:rsidRPr="00A93934" w:rsidRDefault="000260C3" w:rsidP="00A93934">
      <w:pPr>
        <w:widowControl w:val="0"/>
        <w:spacing w:line="360" w:lineRule="auto"/>
        <w:jc w:val="center"/>
        <w:rPr>
          <w:rFonts w:eastAsia="Times New Roman"/>
          <w:b/>
          <w:color w:val="000000" w:themeColor="text1"/>
          <w:lang w:val="en-GB"/>
        </w:rPr>
      </w:pPr>
    </w:p>
    <w:p w:rsidR="00E41881" w:rsidRPr="00A93934" w:rsidRDefault="00A77A79" w:rsidP="00A93934">
      <w:pPr>
        <w:widowControl w:val="0"/>
        <w:spacing w:line="360" w:lineRule="auto"/>
        <w:jc w:val="both"/>
        <w:rPr>
          <w:rFonts w:eastAsia="Times New Roman"/>
          <w:b/>
          <w:color w:val="000000" w:themeColor="text1"/>
          <w:lang w:val="en-GB"/>
        </w:rPr>
      </w:pPr>
      <w:r w:rsidRPr="00A93934">
        <w:rPr>
          <w:rFonts w:eastAsia="Times New Roman"/>
          <w:b/>
          <w:color w:val="000000" w:themeColor="text1"/>
          <w:lang w:val="en-GB"/>
        </w:rPr>
        <w:lastRenderedPageBreak/>
        <w:t>Technological factor</w:t>
      </w:r>
    </w:p>
    <w:p w:rsidR="00E41881" w:rsidRPr="00A93934" w:rsidRDefault="00A77A79" w:rsidP="00A93934">
      <w:pPr>
        <w:widowControl w:val="0"/>
        <w:spacing w:line="360" w:lineRule="auto"/>
        <w:jc w:val="both"/>
        <w:rPr>
          <w:rFonts w:eastAsia="Times New Roman"/>
          <w:color w:val="000000" w:themeColor="text1"/>
          <w:lang w:val="en-GB"/>
        </w:rPr>
      </w:pPr>
      <w:r w:rsidRPr="00A93934">
        <w:rPr>
          <w:rFonts w:eastAsia="Times New Roman"/>
          <w:color w:val="000000" w:themeColor="text1"/>
          <w:lang w:val="en-GB"/>
        </w:rPr>
        <w:t xml:space="preserve">UK is considered as one of the technologically advanced countries. UK government has invested in the improvement of innovation and its impact on businesses. It has invested £ 10.1 billion in 2019 (telegraph.co.uk, 2019). It has developed a positive effect on Davison Canners and it can be considered as excellent support from governmental agencies. Improved aspects of digital activities as well advanced facilities are helpful for ensuring sustainable competitive advantage of a firm based on dynamic capabilities and resource-based view (Koch and </w:t>
      </w:r>
      <w:proofErr w:type="spellStart"/>
      <w:r w:rsidRPr="00A93934">
        <w:rPr>
          <w:rFonts w:eastAsia="Times New Roman"/>
          <w:color w:val="000000" w:themeColor="text1"/>
          <w:lang w:val="en-GB"/>
        </w:rPr>
        <w:t>Windsperger</w:t>
      </w:r>
      <w:proofErr w:type="spellEnd"/>
      <w:r w:rsidRPr="00A93934">
        <w:rPr>
          <w:rFonts w:eastAsia="Times New Roman"/>
          <w:color w:val="000000" w:themeColor="text1"/>
          <w:lang w:val="en-GB"/>
        </w:rPr>
        <w:t>, 2017).</w:t>
      </w:r>
    </w:p>
    <w:p w:rsidR="00E41881" w:rsidRPr="00A93934" w:rsidRDefault="00A77A79" w:rsidP="00A93934">
      <w:pPr>
        <w:widowControl w:val="0"/>
        <w:spacing w:line="360" w:lineRule="auto"/>
        <w:jc w:val="both"/>
        <w:rPr>
          <w:rFonts w:eastAsia="Times New Roman"/>
          <w:b/>
          <w:color w:val="000000" w:themeColor="text1"/>
          <w:lang w:val="en-GB"/>
        </w:rPr>
      </w:pPr>
      <w:r w:rsidRPr="00A93934">
        <w:rPr>
          <w:rFonts w:eastAsia="Times New Roman"/>
          <w:b/>
          <w:color w:val="000000" w:themeColor="text1"/>
          <w:lang w:val="en-GB"/>
        </w:rPr>
        <w:t>Legal factors</w:t>
      </w:r>
    </w:p>
    <w:p w:rsidR="00E41881" w:rsidRPr="00A93934" w:rsidRDefault="00A77A79" w:rsidP="00A93934">
      <w:pPr>
        <w:widowControl w:val="0"/>
        <w:spacing w:line="360" w:lineRule="auto"/>
        <w:jc w:val="both"/>
        <w:rPr>
          <w:rFonts w:eastAsia="Times New Roman"/>
          <w:color w:val="000000" w:themeColor="text1"/>
          <w:lang w:val="en-GB"/>
        </w:rPr>
      </w:pPr>
      <w:r w:rsidRPr="00A93934">
        <w:rPr>
          <w:rFonts w:eastAsia="Times New Roman"/>
          <w:color w:val="000000" w:themeColor="text1"/>
          <w:lang w:val="en-GB"/>
        </w:rPr>
        <w:t>In UK, the introduction of a national minimum wage has helped to influence the small-medium enterprises directly. It classifies wage segments according to the age of workers. According to this segmentation, the minimum wage for an employee aged over 25 years is £8.72/hour (</w:t>
      </w:r>
      <w:r w:rsidR="005301FC" w:rsidRPr="00A93934">
        <w:rPr>
          <w:rFonts w:eastAsia="Times New Roman"/>
          <w:color w:val="000000" w:themeColor="text1"/>
          <w:lang w:val="en-GB"/>
        </w:rPr>
        <w:t>G</w:t>
      </w:r>
      <w:r w:rsidRPr="00A93934">
        <w:rPr>
          <w:rFonts w:eastAsia="Times New Roman"/>
          <w:color w:val="000000" w:themeColor="text1"/>
          <w:lang w:val="en-GB"/>
        </w:rPr>
        <w:t>ov.uk, 2020). The support and essential schemes by UK government are beneficial for this leading food manufacturing company in UK. Besides this, UK government has invested £2 million for the growth of small-medium enterprises in adopting technologies and delivering more success (</w:t>
      </w:r>
      <w:r w:rsidR="005301FC" w:rsidRPr="00A93934">
        <w:rPr>
          <w:rFonts w:eastAsia="Times New Roman"/>
          <w:color w:val="000000" w:themeColor="text1"/>
          <w:lang w:val="en-GB"/>
        </w:rPr>
        <w:t>G</w:t>
      </w:r>
      <w:r w:rsidRPr="00A93934">
        <w:rPr>
          <w:rFonts w:eastAsia="Times New Roman"/>
          <w:color w:val="000000" w:themeColor="text1"/>
          <w:lang w:val="en-GB"/>
        </w:rPr>
        <w:t xml:space="preserve">ov.uk, 2019).       </w:t>
      </w:r>
    </w:p>
    <w:p w:rsidR="00E41881" w:rsidRPr="00A93934" w:rsidRDefault="00A77A79" w:rsidP="00A93934">
      <w:pPr>
        <w:widowControl w:val="0"/>
        <w:spacing w:line="360" w:lineRule="auto"/>
        <w:jc w:val="both"/>
        <w:rPr>
          <w:rFonts w:eastAsia="Times New Roman"/>
          <w:b/>
          <w:color w:val="000000" w:themeColor="text1"/>
          <w:lang w:val="en-GB"/>
        </w:rPr>
      </w:pPr>
      <w:r w:rsidRPr="00A93934">
        <w:rPr>
          <w:rFonts w:eastAsia="Times New Roman"/>
          <w:b/>
          <w:color w:val="000000" w:themeColor="text1"/>
          <w:lang w:val="en-GB"/>
        </w:rPr>
        <w:t>Environmental factors</w:t>
      </w:r>
    </w:p>
    <w:p w:rsidR="00E41881" w:rsidRPr="00A93934" w:rsidRDefault="00A77A79" w:rsidP="00A93934">
      <w:pPr>
        <w:widowControl w:val="0"/>
        <w:spacing w:line="360" w:lineRule="auto"/>
        <w:jc w:val="both"/>
        <w:rPr>
          <w:rFonts w:eastAsia="Times New Roman"/>
          <w:color w:val="000000" w:themeColor="text1"/>
          <w:lang w:val="en-GB"/>
        </w:rPr>
      </w:pPr>
      <w:r w:rsidRPr="00A93934">
        <w:rPr>
          <w:rFonts w:eastAsia="Times New Roman"/>
          <w:color w:val="000000" w:themeColor="text1"/>
          <w:lang w:val="en-GB"/>
        </w:rPr>
        <w:t xml:space="preserve">The presence of sustainable policies as well as CSR activities among the businesses in UK has helped to secure environmental elements of society. The initiative and an encouraging segment of the UK government have helped to maintain sustainability and CSR activities in business simultaneously.  </w:t>
      </w:r>
    </w:p>
    <w:p w:rsidR="00E41881" w:rsidRPr="00A93934" w:rsidRDefault="00A77A79" w:rsidP="00A93934">
      <w:pPr>
        <w:pStyle w:val="Heading2"/>
        <w:rPr>
          <w:rFonts w:ascii="Arial" w:hAnsi="Arial"/>
          <w:sz w:val="22"/>
          <w:szCs w:val="22"/>
          <w:lang w:val="en-GB"/>
        </w:rPr>
      </w:pPr>
      <w:bookmarkStart w:id="6" w:name="_Toc56805793"/>
      <w:r w:rsidRPr="00A93934">
        <w:rPr>
          <w:rFonts w:ascii="Arial" w:hAnsi="Arial"/>
          <w:sz w:val="22"/>
          <w:szCs w:val="22"/>
          <w:lang w:val="en-GB"/>
        </w:rPr>
        <w:t>3.2 Porter’s five forces</w:t>
      </w:r>
      <w:bookmarkEnd w:id="6"/>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 xml:space="preserve">The framework of Porter's five-forces is essential for the analysis of an organization's competitive environment appropriately (Koch and </w:t>
      </w:r>
      <w:proofErr w:type="spellStart"/>
      <w:r w:rsidRPr="00A93934">
        <w:rPr>
          <w:rFonts w:eastAsia="Times New Roman"/>
          <w:color w:val="000000" w:themeColor="text1"/>
          <w:lang w:val="en-GB"/>
        </w:rPr>
        <w:t>Windsperger</w:t>
      </w:r>
      <w:proofErr w:type="spellEnd"/>
      <w:r w:rsidRPr="00A93934">
        <w:rPr>
          <w:rFonts w:eastAsia="Times New Roman"/>
          <w:color w:val="000000" w:themeColor="text1"/>
          <w:lang w:val="en-GB"/>
        </w:rPr>
        <w:t>, 2017). Different factors are responsible for the evaluation of competitive organizational advantages such as market competitors, buyers, suppliers and many others. This analytical tool has also performed a significant role in determining the level of competition as well as the impact of competitive forces of a business prominently (Porter, 2008).</w:t>
      </w:r>
    </w:p>
    <w:p w:rsidR="0000626D"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 xml:space="preserve">In this context, the application of Porter's five forces is useful for evaluating the competitive advantage of Davison Canners based on its industrial sectors. It has helped to </w:t>
      </w:r>
      <w:r w:rsidR="00FF02AF" w:rsidRPr="00A93934">
        <w:rPr>
          <w:rFonts w:eastAsia="Times New Roman"/>
          <w:color w:val="000000" w:themeColor="text1"/>
          <w:lang w:val="en-GB"/>
        </w:rPr>
        <w:t>analyse</w:t>
      </w:r>
      <w:r w:rsidRPr="00A93934">
        <w:rPr>
          <w:rFonts w:eastAsia="Times New Roman"/>
          <w:color w:val="000000" w:themeColor="text1"/>
          <w:lang w:val="en-GB"/>
        </w:rPr>
        <w:t xml:space="preserve"> the impacts on external factors regarding industrial markets on the development of a firm (Barney and </w:t>
      </w:r>
      <w:proofErr w:type="spellStart"/>
      <w:r w:rsidRPr="00A93934">
        <w:rPr>
          <w:rFonts w:eastAsia="Times New Roman"/>
          <w:color w:val="000000" w:themeColor="text1"/>
          <w:lang w:val="en-GB"/>
        </w:rPr>
        <w:t>Hesterly</w:t>
      </w:r>
      <w:proofErr w:type="spellEnd"/>
      <w:r w:rsidRPr="00A93934">
        <w:rPr>
          <w:rFonts w:eastAsia="Times New Roman"/>
          <w:color w:val="000000" w:themeColor="text1"/>
          <w:lang w:val="en-GB"/>
        </w:rPr>
        <w:t>, 2012). Besides this, the analytical tool of Porter has helped to ensure operational success factors of a firm in terms of achieving competitive advantage in the market (</w:t>
      </w:r>
      <w:proofErr w:type="spellStart"/>
      <w:r w:rsidRPr="00A93934">
        <w:rPr>
          <w:rFonts w:eastAsia="Times New Roman"/>
          <w:color w:val="000000" w:themeColor="text1"/>
          <w:lang w:val="en-GB"/>
        </w:rPr>
        <w:t>Aktouf</w:t>
      </w:r>
      <w:r w:rsidRPr="00A93934">
        <w:rPr>
          <w:rFonts w:eastAsia="Times New Roman"/>
          <w:i/>
          <w:color w:val="000000" w:themeColor="text1"/>
          <w:lang w:val="en-GB"/>
        </w:rPr>
        <w:t>et</w:t>
      </w:r>
      <w:proofErr w:type="spellEnd"/>
      <w:r w:rsidRPr="00A93934">
        <w:rPr>
          <w:rFonts w:eastAsia="Times New Roman"/>
          <w:i/>
          <w:color w:val="000000" w:themeColor="text1"/>
          <w:lang w:val="en-GB"/>
        </w:rPr>
        <w:t xml:space="preserve"> al. </w:t>
      </w:r>
      <w:r w:rsidRPr="00A93934">
        <w:rPr>
          <w:rFonts w:eastAsia="Times New Roman"/>
          <w:color w:val="000000" w:themeColor="text1"/>
          <w:lang w:val="en-GB"/>
        </w:rPr>
        <w:t>2011).</w:t>
      </w:r>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 xml:space="preserve">  </w:t>
      </w:r>
    </w:p>
    <w:tbl>
      <w:tblPr>
        <w:tblStyle w:val="Table1"/>
        <w:tblW w:w="901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75"/>
        <w:gridCol w:w="1260"/>
        <w:gridCol w:w="4980"/>
      </w:tblGrid>
      <w:tr w:rsidR="0071254A" w:rsidRPr="00A93934">
        <w:tc>
          <w:tcPr>
            <w:tcW w:w="2775"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center"/>
              <w:rPr>
                <w:rFonts w:eastAsia="Times New Roman"/>
                <w:b/>
                <w:color w:val="000000" w:themeColor="text1"/>
                <w:lang w:val="en-GB"/>
              </w:rPr>
            </w:pPr>
            <w:r w:rsidRPr="00A93934">
              <w:rPr>
                <w:rFonts w:eastAsia="Times New Roman"/>
                <w:b/>
                <w:color w:val="000000" w:themeColor="text1"/>
                <w:lang w:val="en-GB"/>
              </w:rPr>
              <w:lastRenderedPageBreak/>
              <w:t xml:space="preserve">Forces </w:t>
            </w:r>
          </w:p>
        </w:tc>
        <w:tc>
          <w:tcPr>
            <w:tcW w:w="1260"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center"/>
              <w:rPr>
                <w:rFonts w:eastAsia="Times New Roman"/>
                <w:b/>
                <w:color w:val="000000" w:themeColor="text1"/>
                <w:lang w:val="en-GB"/>
              </w:rPr>
            </w:pPr>
            <w:r w:rsidRPr="00A93934">
              <w:rPr>
                <w:rFonts w:eastAsia="Times New Roman"/>
                <w:b/>
                <w:color w:val="000000" w:themeColor="text1"/>
                <w:lang w:val="en-GB"/>
              </w:rPr>
              <w:t>Risk level</w:t>
            </w:r>
          </w:p>
        </w:tc>
        <w:tc>
          <w:tcPr>
            <w:tcW w:w="4980"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center"/>
              <w:rPr>
                <w:rFonts w:eastAsia="Times New Roman"/>
                <w:b/>
                <w:color w:val="000000" w:themeColor="text1"/>
                <w:lang w:val="en-GB"/>
              </w:rPr>
            </w:pPr>
            <w:r w:rsidRPr="00A93934">
              <w:rPr>
                <w:rFonts w:eastAsia="Times New Roman"/>
                <w:b/>
                <w:color w:val="000000" w:themeColor="text1"/>
                <w:lang w:val="en-GB"/>
              </w:rPr>
              <w:t>Description regarding Davison Canners</w:t>
            </w:r>
          </w:p>
        </w:tc>
      </w:tr>
      <w:tr w:rsidR="0071254A" w:rsidRPr="00A93934">
        <w:tc>
          <w:tcPr>
            <w:tcW w:w="2775"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Existing industrial rival companies</w:t>
            </w:r>
          </w:p>
        </w:tc>
        <w:tc>
          <w:tcPr>
            <w:tcW w:w="1260"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center"/>
              <w:rPr>
                <w:rFonts w:eastAsia="Times New Roman"/>
                <w:color w:val="000000" w:themeColor="text1"/>
                <w:lang w:val="en-GB"/>
              </w:rPr>
            </w:pPr>
            <w:r w:rsidRPr="00A93934">
              <w:rPr>
                <w:rFonts w:eastAsia="Times New Roman"/>
                <w:color w:val="000000" w:themeColor="text1"/>
                <w:lang w:val="en-GB"/>
              </w:rPr>
              <w:t xml:space="preserve">Moderate </w:t>
            </w:r>
          </w:p>
        </w:tc>
        <w:tc>
          <w:tcPr>
            <w:tcW w:w="4980" w:type="dxa"/>
            <w:shd w:val="clear" w:color="auto" w:fill="auto"/>
            <w:tcMar>
              <w:top w:w="100" w:type="dxa"/>
              <w:left w:w="100" w:type="dxa"/>
              <w:bottom w:w="100" w:type="dxa"/>
              <w:right w:w="100" w:type="dxa"/>
            </w:tcMar>
          </w:tcPr>
          <w:p w:rsidR="00E41881" w:rsidRPr="00A93934" w:rsidRDefault="00A77A79" w:rsidP="00A93934">
            <w:pPr>
              <w:widowControl w:val="0"/>
              <w:numPr>
                <w:ilvl w:val="0"/>
                <w:numId w:val="7"/>
              </w:numPr>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An average brand image of other existing competitors develops challenges for Canners in maintaining a customer base.</w:t>
            </w:r>
          </w:p>
        </w:tc>
      </w:tr>
      <w:tr w:rsidR="0071254A" w:rsidRPr="00A93934">
        <w:tc>
          <w:tcPr>
            <w:tcW w:w="2775"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Consumers’ bargaining power</w:t>
            </w:r>
          </w:p>
        </w:tc>
        <w:tc>
          <w:tcPr>
            <w:tcW w:w="1260"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center"/>
              <w:rPr>
                <w:rFonts w:eastAsia="Times New Roman"/>
                <w:color w:val="000000" w:themeColor="text1"/>
                <w:lang w:val="en-GB"/>
              </w:rPr>
            </w:pPr>
            <w:r w:rsidRPr="00A93934">
              <w:rPr>
                <w:rFonts w:eastAsia="Times New Roman"/>
                <w:color w:val="000000" w:themeColor="text1"/>
                <w:lang w:val="en-GB"/>
              </w:rPr>
              <w:t xml:space="preserve">Low </w:t>
            </w:r>
          </w:p>
        </w:tc>
        <w:tc>
          <w:tcPr>
            <w:tcW w:w="4980" w:type="dxa"/>
            <w:shd w:val="clear" w:color="auto" w:fill="auto"/>
            <w:tcMar>
              <w:top w:w="100" w:type="dxa"/>
              <w:left w:w="100" w:type="dxa"/>
              <w:bottom w:w="100" w:type="dxa"/>
              <w:right w:w="100" w:type="dxa"/>
            </w:tcMar>
          </w:tcPr>
          <w:p w:rsidR="00E41881" w:rsidRPr="00A93934" w:rsidRDefault="00A77A79" w:rsidP="00A93934">
            <w:pPr>
              <w:widowControl w:val="0"/>
              <w:numPr>
                <w:ilvl w:val="0"/>
                <w:numId w:val="1"/>
              </w:numPr>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 xml:space="preserve">It has not developed any threat for Davison due to the absence of bargaining options. </w:t>
            </w:r>
          </w:p>
        </w:tc>
      </w:tr>
      <w:tr w:rsidR="0071254A" w:rsidRPr="00A93934">
        <w:tc>
          <w:tcPr>
            <w:tcW w:w="2775"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Suppliers’ bargaining power</w:t>
            </w:r>
          </w:p>
        </w:tc>
        <w:tc>
          <w:tcPr>
            <w:tcW w:w="1260"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center"/>
              <w:rPr>
                <w:rFonts w:eastAsia="Times New Roman"/>
                <w:color w:val="000000" w:themeColor="text1"/>
                <w:lang w:val="en-GB"/>
              </w:rPr>
            </w:pPr>
            <w:r w:rsidRPr="00A93934">
              <w:rPr>
                <w:rFonts w:eastAsia="Times New Roman"/>
                <w:color w:val="000000" w:themeColor="text1"/>
                <w:lang w:val="en-GB"/>
              </w:rPr>
              <w:t xml:space="preserve">Low </w:t>
            </w:r>
          </w:p>
        </w:tc>
        <w:tc>
          <w:tcPr>
            <w:tcW w:w="4980" w:type="dxa"/>
            <w:shd w:val="clear" w:color="auto" w:fill="auto"/>
            <w:tcMar>
              <w:top w:w="100" w:type="dxa"/>
              <w:left w:w="100" w:type="dxa"/>
              <w:bottom w:w="100" w:type="dxa"/>
              <w:right w:w="100" w:type="dxa"/>
            </w:tcMar>
          </w:tcPr>
          <w:p w:rsidR="00E41881" w:rsidRPr="00A93934" w:rsidRDefault="00A77A79" w:rsidP="00A93934">
            <w:pPr>
              <w:widowControl w:val="0"/>
              <w:numPr>
                <w:ilvl w:val="0"/>
                <w:numId w:val="8"/>
              </w:numPr>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The presence of own production as well as manufacturing spaces, have helped to reduce issues regarding suppliers.</w:t>
            </w:r>
          </w:p>
        </w:tc>
      </w:tr>
      <w:tr w:rsidR="0071254A" w:rsidRPr="00A93934">
        <w:tc>
          <w:tcPr>
            <w:tcW w:w="2775"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 xml:space="preserve">Threat regarding substitute products </w:t>
            </w:r>
          </w:p>
        </w:tc>
        <w:tc>
          <w:tcPr>
            <w:tcW w:w="1260"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center"/>
              <w:rPr>
                <w:rFonts w:eastAsia="Times New Roman"/>
                <w:color w:val="000000" w:themeColor="text1"/>
                <w:lang w:val="en-GB"/>
              </w:rPr>
            </w:pPr>
            <w:r w:rsidRPr="00A93934">
              <w:rPr>
                <w:rFonts w:eastAsia="Times New Roman"/>
                <w:color w:val="000000" w:themeColor="text1"/>
                <w:lang w:val="en-GB"/>
              </w:rPr>
              <w:t xml:space="preserve">Low </w:t>
            </w:r>
          </w:p>
        </w:tc>
        <w:tc>
          <w:tcPr>
            <w:tcW w:w="4980" w:type="dxa"/>
            <w:shd w:val="clear" w:color="auto" w:fill="auto"/>
            <w:tcMar>
              <w:top w:w="100" w:type="dxa"/>
              <w:left w:w="100" w:type="dxa"/>
              <w:bottom w:w="100" w:type="dxa"/>
              <w:right w:w="100" w:type="dxa"/>
            </w:tcMar>
          </w:tcPr>
          <w:p w:rsidR="00E41881" w:rsidRPr="00A93934" w:rsidRDefault="00A77A79" w:rsidP="00A93934">
            <w:pPr>
              <w:widowControl w:val="0"/>
              <w:numPr>
                <w:ilvl w:val="0"/>
                <w:numId w:val="5"/>
              </w:numPr>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The uniqueness of product range has reduced the impact of substitute product threats from Davison Canners.</w:t>
            </w:r>
          </w:p>
        </w:tc>
      </w:tr>
      <w:tr w:rsidR="0071254A" w:rsidRPr="00A93934">
        <w:tc>
          <w:tcPr>
            <w:tcW w:w="2775"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 xml:space="preserve">Threats from new market entrants </w:t>
            </w:r>
          </w:p>
        </w:tc>
        <w:tc>
          <w:tcPr>
            <w:tcW w:w="1260"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center"/>
              <w:rPr>
                <w:rFonts w:eastAsia="Times New Roman"/>
                <w:color w:val="000000" w:themeColor="text1"/>
                <w:lang w:val="en-GB"/>
              </w:rPr>
            </w:pPr>
            <w:r w:rsidRPr="00A93934">
              <w:rPr>
                <w:rFonts w:eastAsia="Times New Roman"/>
                <w:color w:val="000000" w:themeColor="text1"/>
                <w:lang w:val="en-GB"/>
              </w:rPr>
              <w:t xml:space="preserve">Moderate </w:t>
            </w:r>
          </w:p>
        </w:tc>
        <w:tc>
          <w:tcPr>
            <w:tcW w:w="4980" w:type="dxa"/>
            <w:shd w:val="clear" w:color="auto" w:fill="auto"/>
            <w:tcMar>
              <w:top w:w="100" w:type="dxa"/>
              <w:left w:w="100" w:type="dxa"/>
              <w:bottom w:w="100" w:type="dxa"/>
              <w:right w:w="100" w:type="dxa"/>
            </w:tcMar>
          </w:tcPr>
          <w:p w:rsidR="00E41881" w:rsidRPr="00A93934" w:rsidRDefault="00A77A79" w:rsidP="00A93934">
            <w:pPr>
              <w:widowControl w:val="0"/>
              <w:numPr>
                <w:ilvl w:val="0"/>
                <w:numId w:val="2"/>
              </w:numPr>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The reputation and consistent brand image of Davison Canners have not been threatened due to the new market entrants.</w:t>
            </w:r>
          </w:p>
        </w:tc>
      </w:tr>
    </w:tbl>
    <w:p w:rsidR="00E41881" w:rsidRPr="00A93934" w:rsidRDefault="00A77A79" w:rsidP="00A93934">
      <w:pPr>
        <w:spacing w:line="360" w:lineRule="auto"/>
        <w:jc w:val="center"/>
        <w:rPr>
          <w:rFonts w:eastAsia="Times New Roman"/>
          <w:color w:val="000000" w:themeColor="text1"/>
          <w:lang w:val="en-GB"/>
        </w:rPr>
      </w:pPr>
      <w:r w:rsidRPr="00A93934">
        <w:rPr>
          <w:rFonts w:eastAsia="Times New Roman"/>
          <w:b/>
          <w:color w:val="000000" w:themeColor="text1"/>
          <w:lang w:val="en-GB"/>
        </w:rPr>
        <w:t>Table 1: Porter’s five forces</w:t>
      </w:r>
    </w:p>
    <w:p w:rsidR="00E41881" w:rsidRPr="00A93934" w:rsidRDefault="00A77A79" w:rsidP="00A93934">
      <w:pPr>
        <w:pStyle w:val="Heading3"/>
        <w:rPr>
          <w:rFonts w:ascii="Arial" w:hAnsi="Arial"/>
          <w:sz w:val="22"/>
          <w:szCs w:val="22"/>
          <w:lang w:val="en-GB"/>
        </w:rPr>
      </w:pPr>
      <w:bookmarkStart w:id="7" w:name="_Toc56805794"/>
      <w:r w:rsidRPr="00A93934">
        <w:rPr>
          <w:rFonts w:ascii="Arial" w:hAnsi="Arial"/>
          <w:sz w:val="22"/>
          <w:szCs w:val="22"/>
          <w:lang w:val="en-GB"/>
        </w:rPr>
        <w:t>Impacts of threats on the competitive advantage of Davison Canners</w:t>
      </w:r>
      <w:bookmarkEnd w:id="7"/>
    </w:p>
    <w:p w:rsidR="00E41881" w:rsidRPr="00A93934" w:rsidRDefault="00A77A79" w:rsidP="00A93934">
      <w:pPr>
        <w:spacing w:line="360" w:lineRule="auto"/>
        <w:jc w:val="both"/>
        <w:rPr>
          <w:rFonts w:eastAsia="Times New Roman"/>
          <w:b/>
          <w:color w:val="000000" w:themeColor="text1"/>
          <w:lang w:val="en-GB"/>
        </w:rPr>
      </w:pPr>
      <w:r w:rsidRPr="00A93934">
        <w:rPr>
          <w:rFonts w:eastAsia="Times New Roman"/>
          <w:b/>
          <w:color w:val="000000" w:themeColor="text1"/>
          <w:lang w:val="en-GB"/>
        </w:rPr>
        <w:t>Existing competitors</w:t>
      </w:r>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The prime rival companies of Davison are Treasure Island Sweets and Waitrose. The leading b</w:t>
      </w:r>
      <w:r w:rsidR="0033668F" w:rsidRPr="00A93934">
        <w:rPr>
          <w:rFonts w:eastAsia="Times New Roman"/>
          <w:color w:val="000000" w:themeColor="text1"/>
          <w:lang w:val="en-GB"/>
        </w:rPr>
        <w:t>rand image of rival companies is developing issues for</w:t>
      </w:r>
      <w:r w:rsidRPr="00A93934">
        <w:rPr>
          <w:rFonts w:eastAsia="Times New Roman"/>
          <w:color w:val="000000" w:themeColor="text1"/>
          <w:lang w:val="en-GB"/>
        </w:rPr>
        <w:t xml:space="preserve"> Davison </w:t>
      </w:r>
      <w:r w:rsidR="00FF02AF" w:rsidRPr="00A93934">
        <w:rPr>
          <w:rFonts w:eastAsia="Times New Roman"/>
          <w:color w:val="000000" w:themeColor="text1"/>
          <w:lang w:val="en-GB"/>
        </w:rPr>
        <w:t xml:space="preserve">Canners. The rival companies are producing similar products </w:t>
      </w:r>
      <w:r w:rsidR="00583730" w:rsidRPr="00A93934">
        <w:rPr>
          <w:rFonts w:eastAsia="Times New Roman"/>
          <w:color w:val="000000" w:themeColor="text1"/>
          <w:lang w:val="en-GB"/>
        </w:rPr>
        <w:t>at</w:t>
      </w:r>
      <w:r w:rsidR="00FF02AF" w:rsidRPr="00A93934">
        <w:rPr>
          <w:rFonts w:eastAsia="Times New Roman"/>
          <w:color w:val="000000" w:themeColor="text1"/>
          <w:lang w:val="en-GB"/>
        </w:rPr>
        <w:t xml:space="preserve"> </w:t>
      </w:r>
      <w:r w:rsidR="00583730" w:rsidRPr="00A93934">
        <w:rPr>
          <w:rFonts w:eastAsia="Times New Roman"/>
          <w:color w:val="000000" w:themeColor="text1"/>
          <w:lang w:val="en-GB"/>
        </w:rPr>
        <w:t xml:space="preserve">completive prices, which could affect the market </w:t>
      </w:r>
      <w:r w:rsidR="0033668F" w:rsidRPr="00A93934">
        <w:rPr>
          <w:rFonts w:eastAsia="Times New Roman"/>
          <w:color w:val="000000" w:themeColor="text1"/>
          <w:lang w:val="en-GB"/>
        </w:rPr>
        <w:t xml:space="preserve">share </w:t>
      </w:r>
      <w:r w:rsidR="00583730" w:rsidRPr="00A93934">
        <w:rPr>
          <w:rFonts w:eastAsia="Times New Roman"/>
          <w:color w:val="000000" w:themeColor="text1"/>
          <w:lang w:val="en-GB"/>
        </w:rPr>
        <w:t>of Canners. Canners has secured as well as maintained</w:t>
      </w:r>
      <w:r w:rsidRPr="00A93934">
        <w:rPr>
          <w:rFonts w:eastAsia="Times New Roman"/>
          <w:color w:val="000000" w:themeColor="text1"/>
          <w:lang w:val="en-GB"/>
        </w:rPr>
        <w:t xml:space="preserve"> a strong consumer base in the industry. The consumer base has positively influenced the maintenance of strong competitive advantage as it has helped to increase profit margins (Barney and </w:t>
      </w:r>
      <w:proofErr w:type="spellStart"/>
      <w:r w:rsidRPr="00A93934">
        <w:rPr>
          <w:rFonts w:eastAsia="Times New Roman"/>
          <w:color w:val="000000" w:themeColor="text1"/>
          <w:lang w:val="en-GB"/>
        </w:rPr>
        <w:t>Hesterly</w:t>
      </w:r>
      <w:proofErr w:type="spellEnd"/>
      <w:r w:rsidRPr="00A93934">
        <w:rPr>
          <w:rFonts w:eastAsia="Times New Roman"/>
          <w:color w:val="000000" w:themeColor="text1"/>
          <w:lang w:val="en-GB"/>
        </w:rPr>
        <w:t>, 2012). Apart from this, Davison also has the main brand image. Therefore, the threat from existing competitor companies can be considered as a moderate issue for Davison Canners based on industrial context.</w:t>
      </w:r>
    </w:p>
    <w:p w:rsidR="000260C3" w:rsidRPr="00A93934" w:rsidRDefault="000260C3" w:rsidP="00A93934">
      <w:pPr>
        <w:spacing w:line="360" w:lineRule="auto"/>
        <w:jc w:val="both"/>
        <w:rPr>
          <w:rFonts w:eastAsia="Times New Roman"/>
          <w:color w:val="000000" w:themeColor="text1"/>
          <w:lang w:val="en-GB"/>
        </w:rPr>
      </w:pPr>
    </w:p>
    <w:p w:rsidR="000260C3" w:rsidRPr="00A93934" w:rsidRDefault="000260C3" w:rsidP="00A93934">
      <w:pPr>
        <w:spacing w:line="360" w:lineRule="auto"/>
        <w:jc w:val="both"/>
        <w:rPr>
          <w:rFonts w:eastAsia="Times New Roman"/>
          <w:color w:val="000000" w:themeColor="text1"/>
          <w:lang w:val="en-GB"/>
        </w:rPr>
      </w:pPr>
    </w:p>
    <w:p w:rsidR="000260C3" w:rsidRPr="00A93934" w:rsidRDefault="000260C3" w:rsidP="00A93934">
      <w:pPr>
        <w:spacing w:line="360" w:lineRule="auto"/>
        <w:jc w:val="both"/>
        <w:rPr>
          <w:rFonts w:eastAsia="Times New Roman"/>
          <w:color w:val="000000" w:themeColor="text1"/>
          <w:lang w:val="en-GB"/>
        </w:rPr>
      </w:pPr>
    </w:p>
    <w:p w:rsidR="00E41881" w:rsidRPr="00A93934" w:rsidRDefault="00A77A79" w:rsidP="00A93934">
      <w:pPr>
        <w:spacing w:line="360" w:lineRule="auto"/>
        <w:jc w:val="both"/>
        <w:rPr>
          <w:rFonts w:eastAsia="Times New Roman"/>
          <w:b/>
          <w:color w:val="000000" w:themeColor="text1"/>
          <w:lang w:val="en-GB"/>
        </w:rPr>
      </w:pPr>
      <w:r w:rsidRPr="00A93934">
        <w:rPr>
          <w:rFonts w:eastAsia="Times New Roman"/>
          <w:b/>
          <w:color w:val="000000" w:themeColor="text1"/>
          <w:lang w:val="en-GB"/>
        </w:rPr>
        <w:lastRenderedPageBreak/>
        <w:t>Buyers’ power</w:t>
      </w:r>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The competitive pricing strategy of Davison Canners has helped to maintain reasonable and consumer-friendly costs of products. It also has an average consumer base. Therefore, the threat regarding consumers' bargaining power cannot hamper the competitive advantage of Davison Canners based on the industrial context. Besides this, the presentation of higher quality and various products at a competitive price has helped Davison to address this threat appropriately.</w:t>
      </w:r>
    </w:p>
    <w:p w:rsidR="00E41881" w:rsidRPr="00A93934" w:rsidRDefault="00A77A79" w:rsidP="00A93934">
      <w:pPr>
        <w:spacing w:line="360" w:lineRule="auto"/>
        <w:jc w:val="both"/>
        <w:rPr>
          <w:rFonts w:eastAsia="Times New Roman"/>
          <w:b/>
          <w:color w:val="000000" w:themeColor="text1"/>
          <w:lang w:val="en-GB"/>
        </w:rPr>
      </w:pPr>
      <w:r w:rsidRPr="00A93934">
        <w:rPr>
          <w:rFonts w:eastAsia="Times New Roman"/>
          <w:b/>
          <w:color w:val="000000" w:themeColor="text1"/>
          <w:lang w:val="en-GB"/>
        </w:rPr>
        <w:t>Suppliers’ power</w:t>
      </w:r>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 xml:space="preserve">Davison Canners develops its resources such as </w:t>
      </w:r>
      <w:proofErr w:type="spellStart"/>
      <w:r w:rsidRPr="00A93934">
        <w:rPr>
          <w:rFonts w:eastAsia="Times New Roman"/>
          <w:color w:val="000000" w:themeColor="text1"/>
          <w:lang w:val="en-GB"/>
        </w:rPr>
        <w:t>Br</w:t>
      </w:r>
      <w:r w:rsidR="00D62FAD" w:rsidRPr="00A93934">
        <w:rPr>
          <w:rFonts w:eastAsia="Times New Roman"/>
          <w:color w:val="000000" w:themeColor="text1"/>
          <w:lang w:val="en-GB"/>
        </w:rPr>
        <w:t>amleys</w:t>
      </w:r>
      <w:proofErr w:type="spellEnd"/>
      <w:r w:rsidR="00D62FAD" w:rsidRPr="00A93934">
        <w:rPr>
          <w:rFonts w:eastAsia="Times New Roman"/>
          <w:color w:val="000000" w:themeColor="text1"/>
          <w:lang w:val="en-GB"/>
        </w:rPr>
        <w:t xml:space="preserve"> apples at their own</w:t>
      </w:r>
      <w:r w:rsidR="000C1222" w:rsidRPr="00A93934">
        <w:rPr>
          <w:rFonts w:eastAsia="Times New Roman"/>
          <w:color w:val="000000" w:themeColor="text1"/>
          <w:lang w:val="en-GB"/>
        </w:rPr>
        <w:t xml:space="preserve"> </w:t>
      </w:r>
      <w:r w:rsidRPr="00A93934">
        <w:rPr>
          <w:rFonts w:eastAsia="Times New Roman"/>
          <w:color w:val="000000" w:themeColor="text1"/>
          <w:lang w:val="en-GB"/>
        </w:rPr>
        <w:t xml:space="preserve">120 acres of lands (davisoncanners.com, 2020). This family firm has produced fruit compotes, jellies, jams, bakery fillings and other products at the factory on its site. Therefore the issues regarding suppliers are not able to hamper the competitive advantage of this company. It does not face challenges regarding the existence of raw materials. According to the analytical framework of Porter's five forces, the competitive advantage of Davison Canners has not been affected due to the presence of threats from </w:t>
      </w:r>
      <w:r w:rsidR="00FC40B8" w:rsidRPr="00A93934">
        <w:rPr>
          <w:rFonts w:eastAsia="Times New Roman"/>
          <w:color w:val="000000" w:themeColor="text1"/>
          <w:lang w:val="en-GB"/>
        </w:rPr>
        <w:t>suppliers’</w:t>
      </w:r>
      <w:r w:rsidRPr="00A93934">
        <w:rPr>
          <w:rFonts w:eastAsia="Times New Roman"/>
          <w:color w:val="000000" w:themeColor="text1"/>
          <w:lang w:val="en-GB"/>
        </w:rPr>
        <w:t xml:space="preserve"> powers.</w:t>
      </w:r>
    </w:p>
    <w:p w:rsidR="00E41881" w:rsidRPr="00A93934" w:rsidRDefault="00A77A79" w:rsidP="00A93934">
      <w:pPr>
        <w:spacing w:line="360" w:lineRule="auto"/>
        <w:jc w:val="both"/>
        <w:rPr>
          <w:rFonts w:eastAsia="Times New Roman"/>
          <w:b/>
          <w:color w:val="000000" w:themeColor="text1"/>
          <w:lang w:val="en-GB"/>
        </w:rPr>
      </w:pPr>
      <w:r w:rsidRPr="00A93934">
        <w:rPr>
          <w:rFonts w:eastAsia="Times New Roman"/>
          <w:b/>
          <w:color w:val="000000" w:themeColor="text1"/>
          <w:lang w:val="en-GB"/>
        </w:rPr>
        <w:t>Substitute products</w:t>
      </w:r>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The presence of uniqueness as well as innovation kitchen in Davison Canners’ firm has faced a low level threat from the availability of substitute product range. It has offered unique and reinvented recipes of jellies, pastry fillings, pies, compotes and many others (daviso</w:t>
      </w:r>
      <w:r w:rsidR="00FB56D7" w:rsidRPr="00A93934">
        <w:rPr>
          <w:rFonts w:eastAsia="Times New Roman"/>
          <w:color w:val="000000" w:themeColor="text1"/>
          <w:lang w:val="en-GB"/>
        </w:rPr>
        <w:t>ncanners.com, 2020). This</w:t>
      </w:r>
      <w:r w:rsidRPr="00A93934">
        <w:rPr>
          <w:rFonts w:eastAsia="Times New Roman"/>
          <w:color w:val="000000" w:themeColor="text1"/>
          <w:lang w:val="en-GB"/>
        </w:rPr>
        <w:t xml:space="preserve"> is helpful for ensuring t</w:t>
      </w:r>
      <w:r w:rsidR="00FB56D7" w:rsidRPr="00A93934">
        <w:rPr>
          <w:rFonts w:eastAsia="Times New Roman"/>
          <w:color w:val="000000" w:themeColor="text1"/>
          <w:lang w:val="en-GB"/>
        </w:rPr>
        <w:t>he competitive advantage of the</w:t>
      </w:r>
      <w:r w:rsidRPr="00A93934">
        <w:rPr>
          <w:rFonts w:eastAsia="Times New Roman"/>
          <w:color w:val="000000" w:themeColor="text1"/>
          <w:lang w:val="en-GB"/>
        </w:rPr>
        <w:t xml:space="preserve"> company due to the satisfaction of changing customer preferences as well as market trends simultaneously. Therefore, this leading food manufacturing business in UK has prominently maintained its competitive advantage in the industrial market with the aid of innovation, uniqueness and diversified</w:t>
      </w:r>
      <w:r w:rsidR="003B28C4" w:rsidRPr="00A93934">
        <w:rPr>
          <w:rFonts w:eastAsia="Times New Roman"/>
          <w:color w:val="000000" w:themeColor="text1"/>
          <w:lang w:val="en-GB"/>
        </w:rPr>
        <w:t xml:space="preserve"> of</w:t>
      </w:r>
      <w:r w:rsidRPr="00A93934">
        <w:rPr>
          <w:rFonts w:eastAsia="Times New Roman"/>
          <w:color w:val="000000" w:themeColor="text1"/>
          <w:lang w:val="en-GB"/>
        </w:rPr>
        <w:t xml:space="preserve"> product range. </w:t>
      </w:r>
    </w:p>
    <w:p w:rsidR="00E41881" w:rsidRPr="00A93934" w:rsidRDefault="00A77A79" w:rsidP="00A93934">
      <w:pPr>
        <w:spacing w:line="360" w:lineRule="auto"/>
        <w:jc w:val="both"/>
        <w:rPr>
          <w:rFonts w:eastAsia="Times New Roman"/>
          <w:b/>
          <w:color w:val="000000" w:themeColor="text1"/>
          <w:lang w:val="en-GB"/>
        </w:rPr>
      </w:pPr>
      <w:r w:rsidRPr="00A93934">
        <w:rPr>
          <w:rFonts w:eastAsia="Times New Roman"/>
          <w:b/>
          <w:color w:val="000000" w:themeColor="text1"/>
          <w:lang w:val="en-GB"/>
        </w:rPr>
        <w:t>New market entrants</w:t>
      </w:r>
    </w:p>
    <w:p w:rsidR="00E41881" w:rsidRPr="00A93934" w:rsidRDefault="00A77A79" w:rsidP="00A93934">
      <w:pPr>
        <w:spacing w:line="360" w:lineRule="auto"/>
        <w:jc w:val="both"/>
        <w:rPr>
          <w:rFonts w:eastAsia="Times New Roman"/>
          <w:b/>
          <w:color w:val="000000" w:themeColor="text1"/>
          <w:lang w:val="en-GB"/>
        </w:rPr>
      </w:pPr>
      <w:r w:rsidRPr="00A93934">
        <w:rPr>
          <w:rFonts w:eastAsia="Times New Roman"/>
          <w:color w:val="000000" w:themeColor="text1"/>
          <w:lang w:val="en-GB"/>
        </w:rPr>
        <w:t xml:space="preserve">The presence of free trading policy in UK has helped to introduce businesses in the country with </w:t>
      </w:r>
      <w:r w:rsidR="009D1EEE" w:rsidRPr="00A93934">
        <w:rPr>
          <w:rFonts w:eastAsia="Times New Roman"/>
          <w:color w:val="000000" w:themeColor="text1"/>
          <w:lang w:val="en-GB"/>
        </w:rPr>
        <w:t>ease</w:t>
      </w:r>
      <w:r w:rsidRPr="00A93934">
        <w:rPr>
          <w:rFonts w:eastAsia="Times New Roman"/>
          <w:color w:val="000000" w:themeColor="text1"/>
          <w:lang w:val="en-GB"/>
        </w:rPr>
        <w:t xml:space="preserve"> as well as accessible options. In this context, the increased number of new entrants in the fruit jelly manufacturing industry has developed a moderate threat for Davison Canners.</w:t>
      </w:r>
      <w:r w:rsidR="00595AEE" w:rsidRPr="00A93934">
        <w:rPr>
          <w:rFonts w:eastAsia="Times New Roman"/>
          <w:color w:val="000000" w:themeColor="text1"/>
          <w:lang w:val="en-GB"/>
        </w:rPr>
        <w:t xml:space="preserve"> T</w:t>
      </w:r>
      <w:r w:rsidRPr="00A93934">
        <w:rPr>
          <w:rFonts w:eastAsia="Times New Roman"/>
          <w:color w:val="000000" w:themeColor="text1"/>
          <w:lang w:val="en-GB"/>
        </w:rPr>
        <w:t>he presence of a prominent brand image in the industrial market has reduced the level of risk for Davison Canners from new market entrants.</w:t>
      </w:r>
    </w:p>
    <w:p w:rsidR="00E41881" w:rsidRPr="00A93934" w:rsidRDefault="00A77A79" w:rsidP="00A93934">
      <w:pPr>
        <w:pStyle w:val="Heading2"/>
        <w:rPr>
          <w:rFonts w:ascii="Arial" w:hAnsi="Arial"/>
          <w:sz w:val="22"/>
          <w:szCs w:val="22"/>
          <w:lang w:val="en-GB"/>
        </w:rPr>
      </w:pPr>
      <w:bookmarkStart w:id="8" w:name="_Toc56805795"/>
      <w:r w:rsidRPr="00A93934">
        <w:rPr>
          <w:rFonts w:ascii="Arial" w:hAnsi="Arial"/>
          <w:sz w:val="22"/>
          <w:szCs w:val="22"/>
          <w:lang w:val="en-GB"/>
        </w:rPr>
        <w:lastRenderedPageBreak/>
        <w:t>3.3 Analysis of the internal business environment regarding Davison Canners</w:t>
      </w:r>
      <w:bookmarkEnd w:id="8"/>
    </w:p>
    <w:p w:rsidR="00E41881" w:rsidRPr="00A93934" w:rsidRDefault="00A77A79" w:rsidP="00A93934">
      <w:pPr>
        <w:pStyle w:val="Heading3"/>
        <w:rPr>
          <w:rFonts w:ascii="Arial" w:hAnsi="Arial"/>
          <w:sz w:val="22"/>
          <w:szCs w:val="22"/>
          <w:lang w:val="en-GB"/>
        </w:rPr>
      </w:pPr>
      <w:bookmarkStart w:id="9" w:name="_Toc56805796"/>
      <w:r w:rsidRPr="00A93934">
        <w:rPr>
          <w:rFonts w:ascii="Arial" w:hAnsi="Arial"/>
          <w:sz w:val="22"/>
          <w:szCs w:val="22"/>
          <w:lang w:val="en-GB"/>
        </w:rPr>
        <w:t>SWOT analysis</w:t>
      </w:r>
      <w:bookmarkEnd w:id="9"/>
    </w:p>
    <w:p w:rsidR="00E41881" w:rsidRPr="00A93934" w:rsidRDefault="00A77A79" w:rsidP="00A93934">
      <w:pPr>
        <w:pStyle w:val="Heading3"/>
        <w:rPr>
          <w:rFonts w:ascii="Arial" w:hAnsi="Arial"/>
          <w:sz w:val="22"/>
          <w:szCs w:val="22"/>
          <w:lang w:val="en-GB"/>
        </w:rPr>
      </w:pPr>
      <w:bookmarkStart w:id="10" w:name="_Toc54021275"/>
      <w:bookmarkStart w:id="11" w:name="_Toc56805797"/>
      <w:r w:rsidRPr="00A93934">
        <w:rPr>
          <w:rFonts w:ascii="Arial" w:hAnsi="Arial"/>
          <w:sz w:val="22"/>
          <w:szCs w:val="22"/>
          <w:lang w:val="en-GB"/>
        </w:rPr>
        <w:t>Strengths</w:t>
      </w:r>
      <w:bookmarkEnd w:id="10"/>
      <w:bookmarkEnd w:id="11"/>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Davison Canners offers a wide range of food products to individuals. The involvement of diversified food range is considered as a vital strength of this business in terms of evaluating its internal business environment. The accreditation from “AABRC” has helped this manufacturing company to enhance its positive brand image in the market (davisoncanners.com, 2020). Cont</w:t>
      </w:r>
      <w:r w:rsidR="00063F65" w:rsidRPr="00A93934">
        <w:rPr>
          <w:rFonts w:eastAsia="Times New Roman"/>
          <w:color w:val="000000" w:themeColor="text1"/>
          <w:lang w:val="en-GB"/>
        </w:rPr>
        <w:t>inuation for a long time of the</w:t>
      </w:r>
      <w:r w:rsidRPr="00A93934">
        <w:rPr>
          <w:rFonts w:eastAsia="Times New Roman"/>
          <w:color w:val="000000" w:themeColor="text1"/>
          <w:lang w:val="en-GB"/>
        </w:rPr>
        <w:t xml:space="preserve"> Davison family business has helped to ensure customer loyalty prominently. </w:t>
      </w:r>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The presence of more than 120 acres regarding orchards is essential for its manufacturing and production activities. 4200 square feet of cold storage and processing unit is useful for the development of this business (davisoncanners.com, 2020). Therefore, it is beneficial for reducing the costs of the products. It is also considered as another excellent strength of this company. The engagement of the skilled workforce and expert leaders are beneficial for the improvement of the business environment as well as production-based operational activities within the company.</w:t>
      </w:r>
    </w:p>
    <w:p w:rsidR="00E41881" w:rsidRPr="00A93934" w:rsidRDefault="00A77A79" w:rsidP="00A93934">
      <w:pPr>
        <w:pStyle w:val="Heading3"/>
        <w:rPr>
          <w:rFonts w:ascii="Arial" w:hAnsi="Arial"/>
          <w:sz w:val="22"/>
          <w:szCs w:val="22"/>
          <w:lang w:val="en-GB"/>
        </w:rPr>
      </w:pPr>
      <w:bookmarkStart w:id="12" w:name="_Toc54021276"/>
      <w:bookmarkStart w:id="13" w:name="_Toc56805798"/>
      <w:r w:rsidRPr="00A93934">
        <w:rPr>
          <w:rFonts w:ascii="Arial" w:hAnsi="Arial"/>
          <w:sz w:val="22"/>
          <w:szCs w:val="22"/>
          <w:lang w:val="en-GB"/>
        </w:rPr>
        <w:t>Weaknesses</w:t>
      </w:r>
      <w:bookmarkEnd w:id="12"/>
      <w:bookmarkEnd w:id="13"/>
    </w:p>
    <w:p w:rsidR="00E41881" w:rsidRPr="00A93934" w:rsidRDefault="00A77A79" w:rsidP="00A93934">
      <w:pPr>
        <w:spacing w:line="360" w:lineRule="auto"/>
        <w:jc w:val="both"/>
        <w:rPr>
          <w:rFonts w:eastAsia="Times New Roman"/>
          <w:b/>
          <w:color w:val="000000" w:themeColor="text1"/>
          <w:lang w:val="en-GB"/>
        </w:rPr>
      </w:pPr>
      <w:r w:rsidRPr="00A93934">
        <w:rPr>
          <w:rFonts w:eastAsia="Times New Roman"/>
          <w:color w:val="000000" w:themeColor="text1"/>
          <w:lang w:val="en-GB"/>
        </w:rPr>
        <w:t xml:space="preserve">This food manufacturing business in UK is located at </w:t>
      </w:r>
      <w:proofErr w:type="spellStart"/>
      <w:r w:rsidRPr="00A93934">
        <w:rPr>
          <w:rFonts w:eastAsia="Times New Roman"/>
          <w:color w:val="000000" w:themeColor="text1"/>
          <w:lang w:val="en-GB"/>
        </w:rPr>
        <w:t>Summerisland</w:t>
      </w:r>
      <w:proofErr w:type="spellEnd"/>
      <w:r w:rsidRPr="00A93934">
        <w:rPr>
          <w:rFonts w:eastAsia="Times New Roman"/>
          <w:color w:val="000000" w:themeColor="text1"/>
          <w:lang w:val="en-GB"/>
        </w:rPr>
        <w:t xml:space="preserve"> Road in </w:t>
      </w:r>
      <w:proofErr w:type="spellStart"/>
      <w:r w:rsidRPr="00A93934">
        <w:rPr>
          <w:rFonts w:eastAsia="Times New Roman"/>
          <w:color w:val="000000" w:themeColor="text1"/>
          <w:lang w:val="en-GB"/>
        </w:rPr>
        <w:t>Portadown</w:t>
      </w:r>
      <w:proofErr w:type="spellEnd"/>
      <w:r w:rsidRPr="00A93934">
        <w:rPr>
          <w:rFonts w:eastAsia="Times New Roman"/>
          <w:color w:val="000000" w:themeColor="text1"/>
          <w:lang w:val="en-GB"/>
        </w:rPr>
        <w:t xml:space="preserve"> (davisoncanners.com, 2020). It is not considered as a very popular or population-based area. Therefore, it can be regarded as a prime weakness for the organization. The disadvantage of business has restricted the expanding scopes for a business environment prominently (Madsen, 2016). Besides this, the excessive investment in innovation has reduced its profit margins. It can be considered as another prime weakness of this business in UK. The absence of online shopping options is regarded as a vital weakness for this company. E-commerce and online shopping experiences have helped to attract a wide range of individuals and thus, it has positively influenced the economic perception of a business (</w:t>
      </w:r>
      <w:proofErr w:type="spellStart"/>
      <w:r w:rsidRPr="00A93934">
        <w:rPr>
          <w:rFonts w:eastAsia="Times New Roman"/>
          <w:color w:val="000000" w:themeColor="text1"/>
          <w:lang w:val="en-GB"/>
        </w:rPr>
        <w:t>Anvari</w:t>
      </w:r>
      <w:proofErr w:type="spellEnd"/>
      <w:r w:rsidRPr="00A93934">
        <w:rPr>
          <w:rFonts w:eastAsia="Times New Roman"/>
          <w:color w:val="000000" w:themeColor="text1"/>
          <w:lang w:val="en-GB"/>
        </w:rPr>
        <w:t xml:space="preserve"> and </w:t>
      </w:r>
      <w:proofErr w:type="spellStart"/>
      <w:r w:rsidRPr="00A93934">
        <w:rPr>
          <w:rFonts w:eastAsia="Times New Roman"/>
          <w:color w:val="000000" w:themeColor="text1"/>
          <w:lang w:val="en-GB"/>
        </w:rPr>
        <w:t>Norouzi</w:t>
      </w:r>
      <w:proofErr w:type="spellEnd"/>
      <w:r w:rsidRPr="00A93934">
        <w:rPr>
          <w:rFonts w:eastAsia="Times New Roman"/>
          <w:color w:val="000000" w:themeColor="text1"/>
          <w:lang w:val="en-GB"/>
        </w:rPr>
        <w:t xml:space="preserve">, 2016).  </w:t>
      </w:r>
      <w:r w:rsidR="00595AEE" w:rsidRPr="00A93934">
        <w:rPr>
          <w:rFonts w:eastAsia="Times New Roman"/>
          <w:color w:val="000000" w:themeColor="text1"/>
          <w:lang w:val="en-GB"/>
        </w:rPr>
        <w:t>T</w:t>
      </w:r>
      <w:r w:rsidRPr="00A93934">
        <w:rPr>
          <w:rFonts w:eastAsia="Times New Roman"/>
          <w:color w:val="000000" w:themeColor="text1"/>
          <w:lang w:val="en-GB"/>
        </w:rPr>
        <w:t xml:space="preserve">he absence of e-commerce facilities by this business has developed significant barriers for Davison.     </w:t>
      </w:r>
    </w:p>
    <w:p w:rsidR="0019416C" w:rsidRPr="00A93934" w:rsidRDefault="0019416C" w:rsidP="00A93934">
      <w:pPr>
        <w:spacing w:line="360" w:lineRule="auto"/>
        <w:jc w:val="center"/>
        <w:rPr>
          <w:rFonts w:eastAsia="Times New Roman"/>
          <w:b/>
          <w:color w:val="000000" w:themeColor="text1"/>
          <w:lang w:val="en-GB"/>
        </w:rPr>
      </w:pPr>
      <w:r w:rsidRPr="00A93934">
        <w:rPr>
          <w:rFonts w:eastAsia="Times New Roman"/>
          <w:b/>
          <w:noProof/>
          <w:color w:val="000000" w:themeColor="text1"/>
          <w:lang w:val="en-GB" w:eastAsia="en-GB"/>
        </w:rPr>
        <w:lastRenderedPageBreak/>
        <w:drawing>
          <wp:inline distT="0" distB="0" distL="0" distR="0" wp14:anchorId="7FF49515" wp14:editId="65084482">
            <wp:extent cx="5733415" cy="3853779"/>
            <wp:effectExtent l="0" t="38100" r="0" b="7112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E41881" w:rsidRPr="00A93934" w:rsidRDefault="00A77A79" w:rsidP="00A93934">
      <w:pPr>
        <w:spacing w:line="360" w:lineRule="auto"/>
        <w:jc w:val="center"/>
        <w:rPr>
          <w:rFonts w:eastAsia="Times New Roman"/>
          <w:b/>
          <w:color w:val="000000" w:themeColor="text1"/>
          <w:lang w:val="en-GB"/>
        </w:rPr>
      </w:pPr>
      <w:r w:rsidRPr="00A93934">
        <w:rPr>
          <w:rFonts w:eastAsia="Times New Roman"/>
          <w:b/>
          <w:color w:val="000000" w:themeColor="text1"/>
          <w:lang w:val="en-GB"/>
        </w:rPr>
        <w:t>Figure 2: SWOT analysis</w:t>
      </w:r>
    </w:p>
    <w:p w:rsidR="00E41881" w:rsidRPr="00A93934" w:rsidRDefault="00A77A79" w:rsidP="00A93934">
      <w:pPr>
        <w:spacing w:line="360" w:lineRule="auto"/>
        <w:jc w:val="center"/>
        <w:rPr>
          <w:rFonts w:eastAsia="Times New Roman"/>
          <w:color w:val="000000" w:themeColor="text1"/>
          <w:lang w:val="en-GB"/>
        </w:rPr>
      </w:pPr>
      <w:r w:rsidRPr="00A93934">
        <w:rPr>
          <w:rFonts w:eastAsia="Times New Roman"/>
          <w:color w:val="000000" w:themeColor="text1"/>
          <w:lang w:val="en-GB"/>
        </w:rPr>
        <w:t>(Source: Madsen, 2016)</w:t>
      </w:r>
    </w:p>
    <w:p w:rsidR="00E41881" w:rsidRPr="00A93934" w:rsidRDefault="00A77A79" w:rsidP="00A93934">
      <w:pPr>
        <w:pStyle w:val="Heading3"/>
        <w:rPr>
          <w:rFonts w:ascii="Arial" w:hAnsi="Arial"/>
          <w:sz w:val="22"/>
          <w:szCs w:val="22"/>
          <w:lang w:val="en-GB"/>
        </w:rPr>
      </w:pPr>
      <w:bookmarkStart w:id="14" w:name="_Toc54021277"/>
      <w:bookmarkStart w:id="15" w:name="_Toc56805799"/>
      <w:r w:rsidRPr="00A93934">
        <w:rPr>
          <w:rFonts w:ascii="Arial" w:hAnsi="Arial"/>
          <w:sz w:val="22"/>
          <w:szCs w:val="22"/>
          <w:lang w:val="en-GB"/>
        </w:rPr>
        <w:t>Opportunities</w:t>
      </w:r>
      <w:bookmarkEnd w:id="14"/>
      <w:bookmarkEnd w:id="15"/>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The main objective of this company is to satisfy customer preferences and to develop long term relationships with the individuals (davisoncanners.com, 2020). In this context, Davison Canners use social media platforms such as Facebook and Instagram (davisoncanners.com, 2020). It has helped the organization to identify individuals' changing preferences and market trends prominently. Therefore, it can be considered as a significant opportunity for this business in terms of expanding its sales volume and profit margins. Besides this, the introduction of innovative as well as a unique range of flavour has been considered as a vital opportunity for Davison Canners.</w:t>
      </w:r>
    </w:p>
    <w:p w:rsidR="00E41881" w:rsidRPr="00A93934" w:rsidRDefault="00A77A79" w:rsidP="00A93934">
      <w:pPr>
        <w:spacing w:line="360" w:lineRule="auto"/>
        <w:jc w:val="both"/>
        <w:rPr>
          <w:rFonts w:eastAsia="Times New Roman"/>
          <w:b/>
          <w:color w:val="000000" w:themeColor="text1"/>
          <w:lang w:val="en-GB"/>
        </w:rPr>
      </w:pPr>
      <w:r w:rsidRPr="00A93934">
        <w:rPr>
          <w:rFonts w:eastAsia="Times New Roman"/>
          <w:color w:val="000000" w:themeColor="text1"/>
          <w:lang w:val="en-GB"/>
        </w:rPr>
        <w:t xml:space="preserve">Continuous reinvention in fruit jellies and other products will be helpful for securing a competitive market advantage in UK. In September 2016, it introduced an innovation kitchen (davisoncanners.com, 2020). It can be beneficial for expanding market opportunities prominently. In 2017, Davison Canners introduced a new dessert range after securing a financial package worth £3.1 million from HSBC (Stones, 2017). It is considered as a prime opportunity for this business environment in terms of exploring growth and competitive advantage in the market. The introduction of employment opportunities can also be regarded </w:t>
      </w:r>
      <w:r w:rsidRPr="00A93934">
        <w:rPr>
          <w:rFonts w:eastAsia="Times New Roman"/>
          <w:color w:val="000000" w:themeColor="text1"/>
          <w:lang w:val="en-GB"/>
        </w:rPr>
        <w:lastRenderedPageBreak/>
        <w:t xml:space="preserve">as an exceptional opportunity for Davison as it positively influences the attitude of individuals towards the company.           </w:t>
      </w:r>
    </w:p>
    <w:p w:rsidR="00E41881" w:rsidRPr="00A93934" w:rsidRDefault="00A77A79" w:rsidP="00A93934">
      <w:pPr>
        <w:pStyle w:val="Heading3"/>
        <w:rPr>
          <w:rFonts w:ascii="Arial" w:hAnsi="Arial"/>
          <w:sz w:val="22"/>
          <w:szCs w:val="22"/>
          <w:lang w:val="en-GB"/>
        </w:rPr>
      </w:pPr>
      <w:bookmarkStart w:id="16" w:name="_Toc54021278"/>
      <w:bookmarkStart w:id="17" w:name="_Toc56805800"/>
      <w:r w:rsidRPr="00A93934">
        <w:rPr>
          <w:rFonts w:ascii="Arial" w:hAnsi="Arial"/>
          <w:sz w:val="22"/>
          <w:szCs w:val="22"/>
          <w:lang w:val="en-GB"/>
        </w:rPr>
        <w:t>Threats</w:t>
      </w:r>
      <w:bookmarkEnd w:id="16"/>
      <w:bookmarkEnd w:id="17"/>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The presence of existing rival companies in UK such as Treasure Island Sweets and Waitrose can be considered as a prime threat for Davison. Increase in market competition has also developed different risks for this business in UK. The presence of rival companies regarding similar products can be responsible for reducing customer base. Besides this, the current pandemic situation is also considered as a prime threat for this company as the purchasing habits as well as the behaviour of individuals have been changed.</w:t>
      </w:r>
    </w:p>
    <w:p w:rsidR="00234A88" w:rsidRPr="00A93934" w:rsidRDefault="00234A88" w:rsidP="00A93934">
      <w:pPr>
        <w:pStyle w:val="Heading1"/>
        <w:rPr>
          <w:rFonts w:ascii="Arial" w:hAnsi="Arial"/>
          <w:color w:val="000000" w:themeColor="text1"/>
          <w:sz w:val="22"/>
          <w:szCs w:val="22"/>
        </w:rPr>
      </w:pPr>
      <w:bookmarkStart w:id="18" w:name="_Toc56805801"/>
      <w:r w:rsidRPr="00A93934">
        <w:rPr>
          <w:rFonts w:ascii="Arial" w:hAnsi="Arial"/>
          <w:color w:val="000000" w:themeColor="text1"/>
          <w:sz w:val="22"/>
          <w:szCs w:val="22"/>
        </w:rPr>
        <w:t>Task 4: Stakeholder analysis</w:t>
      </w:r>
      <w:bookmarkEnd w:id="18"/>
    </w:p>
    <w:p w:rsidR="00234A88" w:rsidRPr="00A93934" w:rsidRDefault="009D79BF" w:rsidP="00A93934">
      <w:pPr>
        <w:pStyle w:val="Heading2"/>
        <w:rPr>
          <w:rFonts w:ascii="Arial" w:hAnsi="Arial"/>
          <w:sz w:val="22"/>
          <w:szCs w:val="22"/>
          <w:lang w:val="en-GB"/>
        </w:rPr>
      </w:pPr>
      <w:bookmarkStart w:id="19" w:name="_Toc56805802"/>
      <w:r w:rsidRPr="00A93934">
        <w:rPr>
          <w:rFonts w:ascii="Arial" w:hAnsi="Arial"/>
          <w:sz w:val="22"/>
          <w:szCs w:val="22"/>
          <w:lang w:val="en-GB"/>
        </w:rPr>
        <w:t xml:space="preserve">4.1 </w:t>
      </w:r>
      <w:r w:rsidR="00234A88" w:rsidRPr="00A93934">
        <w:rPr>
          <w:rFonts w:ascii="Arial" w:hAnsi="Arial"/>
          <w:sz w:val="22"/>
          <w:szCs w:val="22"/>
          <w:lang w:val="en-GB"/>
        </w:rPr>
        <w:t>VRIO   analysis</w:t>
      </w:r>
      <w:bookmarkEnd w:id="19"/>
    </w:p>
    <w:p w:rsidR="00234A88" w:rsidRPr="00A93934" w:rsidRDefault="00234A88" w:rsidP="00A93934">
      <w:pPr>
        <w:spacing w:line="360" w:lineRule="auto"/>
        <w:jc w:val="both"/>
        <w:rPr>
          <w:color w:val="000000" w:themeColor="text1"/>
        </w:rPr>
      </w:pPr>
      <w:r w:rsidRPr="00A93934">
        <w:rPr>
          <w:color w:val="000000" w:themeColor="text1"/>
        </w:rPr>
        <w:t>This strategic analysis tool is designed to help the food and vegetable processing business to protect the capabilities and resources that give a competitive advantage (</w:t>
      </w:r>
      <w:proofErr w:type="spellStart"/>
      <w:r w:rsidRPr="00A93934">
        <w:rPr>
          <w:color w:val="000000" w:themeColor="text1"/>
          <w:shd w:val="clear" w:color="auto" w:fill="FFFFFF"/>
        </w:rPr>
        <w:t>Abdo</w:t>
      </w:r>
      <w:r w:rsidRPr="00A93934">
        <w:rPr>
          <w:i/>
          <w:color w:val="000000" w:themeColor="text1"/>
          <w:shd w:val="clear" w:color="auto" w:fill="FFFFFF"/>
        </w:rPr>
        <w:t>et</w:t>
      </w:r>
      <w:proofErr w:type="spellEnd"/>
      <w:r w:rsidRPr="00A93934">
        <w:rPr>
          <w:i/>
          <w:color w:val="000000" w:themeColor="text1"/>
          <w:shd w:val="clear" w:color="auto" w:fill="FFFFFF"/>
        </w:rPr>
        <w:t xml:space="preserve"> al</w:t>
      </w:r>
      <w:r w:rsidRPr="00A93934">
        <w:rPr>
          <w:color w:val="000000" w:themeColor="text1"/>
          <w:shd w:val="clear" w:color="auto" w:fill="FFFFFF"/>
        </w:rPr>
        <w:t>. 2018)</w:t>
      </w:r>
      <w:r w:rsidRPr="00A93934">
        <w:rPr>
          <w:color w:val="000000" w:themeColor="text1"/>
        </w:rPr>
        <w:t xml:space="preserve">. For analyzing the stakeholders of this company, four aspects of this analysis are discussed below. </w:t>
      </w:r>
    </w:p>
    <w:p w:rsidR="00234A88" w:rsidRPr="00A93934" w:rsidRDefault="00234A88" w:rsidP="00A93934">
      <w:pPr>
        <w:spacing w:line="360" w:lineRule="auto"/>
        <w:jc w:val="both"/>
        <w:rPr>
          <w:color w:val="000000" w:themeColor="text1"/>
        </w:rPr>
      </w:pPr>
      <w:r w:rsidRPr="00A93934">
        <w:rPr>
          <w:b/>
          <w:i/>
          <w:color w:val="000000" w:themeColor="text1"/>
        </w:rPr>
        <w:t>Value</w:t>
      </w:r>
      <w:r w:rsidRPr="00A93934">
        <w:rPr>
          <w:color w:val="000000" w:themeColor="text1"/>
        </w:rPr>
        <w:t>: This defines if the company, Davison Canners offers a resource that enhances the value of customers and able to exploit the market opportunities. With the help of internal capabilities, this company neutralizes competition (</w:t>
      </w:r>
      <w:proofErr w:type="spellStart"/>
      <w:r w:rsidRPr="00A93934">
        <w:rPr>
          <w:color w:val="000000" w:themeColor="text1"/>
          <w:shd w:val="clear" w:color="auto" w:fill="FFFFFF"/>
        </w:rPr>
        <w:t>Ariyani</w:t>
      </w:r>
      <w:proofErr w:type="spellEnd"/>
      <w:r w:rsidRPr="00A93934">
        <w:rPr>
          <w:color w:val="000000" w:themeColor="text1"/>
          <w:shd w:val="clear" w:color="auto" w:fill="FFFFFF"/>
        </w:rPr>
        <w:t xml:space="preserve">, and </w:t>
      </w:r>
      <w:proofErr w:type="spellStart"/>
      <w:r w:rsidRPr="00A93934">
        <w:rPr>
          <w:color w:val="000000" w:themeColor="text1"/>
          <w:shd w:val="clear" w:color="auto" w:fill="FFFFFF"/>
        </w:rPr>
        <w:t>Daryanto</w:t>
      </w:r>
      <w:proofErr w:type="spellEnd"/>
      <w:r w:rsidRPr="00A93934">
        <w:rPr>
          <w:color w:val="000000" w:themeColor="text1"/>
          <w:shd w:val="clear" w:color="auto" w:fill="FFFFFF"/>
        </w:rPr>
        <w:t>, 2018)</w:t>
      </w:r>
      <w:r w:rsidRPr="00A93934">
        <w:rPr>
          <w:color w:val="000000" w:themeColor="text1"/>
        </w:rPr>
        <w:t xml:space="preserve">. Since the company has generated brand new grade with AA BRC accredited factory facilities on site, the value has been established and it is possible to move in rarity. </w:t>
      </w:r>
    </w:p>
    <w:p w:rsidR="00234A88" w:rsidRPr="00A93934" w:rsidRDefault="00234A88" w:rsidP="00A93934">
      <w:pPr>
        <w:spacing w:line="360" w:lineRule="auto"/>
        <w:jc w:val="both"/>
        <w:rPr>
          <w:color w:val="000000" w:themeColor="text1"/>
        </w:rPr>
      </w:pPr>
      <w:r w:rsidRPr="00A93934">
        <w:rPr>
          <w:b/>
          <w:i/>
          <w:color w:val="000000" w:themeColor="text1"/>
        </w:rPr>
        <w:t>Rarity</w:t>
      </w:r>
      <w:r w:rsidRPr="00A93934">
        <w:rPr>
          <w:color w:val="000000" w:themeColor="text1"/>
        </w:rPr>
        <w:t>: Davison Canners’ management is able to control the scarce resources and capabilities. Some of the resources of this company are valuable and not common, which makes the business competitive in marketplace (</w:t>
      </w:r>
      <w:proofErr w:type="spellStart"/>
      <w:r w:rsidRPr="00A93934">
        <w:rPr>
          <w:color w:val="000000" w:themeColor="text1"/>
          <w:shd w:val="clear" w:color="auto" w:fill="FFFFFF"/>
        </w:rPr>
        <w:t>Buzatu</w:t>
      </w:r>
      <w:r w:rsidRPr="00A93934">
        <w:rPr>
          <w:i/>
          <w:color w:val="000000" w:themeColor="text1"/>
          <w:shd w:val="clear" w:color="auto" w:fill="FFFFFF"/>
        </w:rPr>
        <w:t>et</w:t>
      </w:r>
      <w:proofErr w:type="spellEnd"/>
      <w:r w:rsidRPr="00A93934">
        <w:rPr>
          <w:i/>
          <w:color w:val="000000" w:themeColor="text1"/>
          <w:shd w:val="clear" w:color="auto" w:fill="FFFFFF"/>
        </w:rPr>
        <w:t xml:space="preserve"> al</w:t>
      </w:r>
      <w:r w:rsidRPr="00A93934">
        <w:rPr>
          <w:color w:val="000000" w:themeColor="text1"/>
          <w:shd w:val="clear" w:color="auto" w:fill="FFFFFF"/>
        </w:rPr>
        <w:t>. 2019)</w:t>
      </w:r>
      <w:r w:rsidRPr="00A93934">
        <w:rPr>
          <w:color w:val="000000" w:themeColor="text1"/>
        </w:rPr>
        <w:t xml:space="preserve">. Sustainability in this situation is not challenging. The family sources products from leading producers of bakery filling, fruit compotes and specialty fruit producers. Hence, the rarity and value is identified, which is difficult to imitate. </w:t>
      </w:r>
    </w:p>
    <w:p w:rsidR="00234A88" w:rsidRPr="00A93934" w:rsidRDefault="00234A88" w:rsidP="00A93934">
      <w:pPr>
        <w:spacing w:line="360" w:lineRule="auto"/>
        <w:jc w:val="both"/>
        <w:rPr>
          <w:color w:val="000000" w:themeColor="text1"/>
        </w:rPr>
      </w:pPr>
      <w:r w:rsidRPr="00A93934">
        <w:rPr>
          <w:b/>
          <w:i/>
          <w:color w:val="000000" w:themeColor="text1"/>
        </w:rPr>
        <w:t>Imitability</w:t>
      </w:r>
      <w:r w:rsidRPr="00A93934">
        <w:rPr>
          <w:color w:val="000000" w:themeColor="text1"/>
        </w:rPr>
        <w:t xml:space="preserve">: It is quite expensive to duplicate the resource or capability of the organization. </w:t>
      </w:r>
      <w:r w:rsidR="00595AEE" w:rsidRPr="00A93934">
        <w:rPr>
          <w:color w:val="000000" w:themeColor="text1"/>
        </w:rPr>
        <w:t>I</w:t>
      </w:r>
      <w:r w:rsidRPr="00A93934">
        <w:rPr>
          <w:color w:val="000000" w:themeColor="text1"/>
        </w:rPr>
        <w:t>t is not easy to identify a correspondent supernumerary to contend with offerings of Davison Canners</w:t>
      </w:r>
      <w:r w:rsidR="001D021B" w:rsidRPr="00A93934">
        <w:rPr>
          <w:color w:val="000000" w:themeColor="text1"/>
        </w:rPr>
        <w:t xml:space="preserve"> (davisoncanners.com, 2020)</w:t>
      </w:r>
      <w:r w:rsidRPr="00A93934">
        <w:rPr>
          <w:color w:val="000000" w:themeColor="text1"/>
        </w:rPr>
        <w:t>. Reason behind this is</w:t>
      </w:r>
      <w:proofErr w:type="gramStart"/>
      <w:r w:rsidRPr="00A93934">
        <w:rPr>
          <w:color w:val="000000" w:themeColor="text1"/>
        </w:rPr>
        <w:t>,</w:t>
      </w:r>
      <w:proofErr w:type="gramEnd"/>
      <w:r w:rsidRPr="00A93934">
        <w:rPr>
          <w:color w:val="000000" w:themeColor="text1"/>
        </w:rPr>
        <w:t xml:space="preserve"> the company is expending variety of specialty constituents, such as, fruits to create or </w:t>
      </w:r>
      <w:r w:rsidR="00971A65" w:rsidRPr="00A93934">
        <w:rPr>
          <w:color w:val="000000" w:themeColor="text1"/>
        </w:rPr>
        <w:t>innovate the flavors that can meet all</w:t>
      </w:r>
      <w:r w:rsidRPr="00A93934">
        <w:rPr>
          <w:color w:val="000000" w:themeColor="text1"/>
        </w:rPr>
        <w:t xml:space="preserve"> requirements of individual projects of customers. </w:t>
      </w:r>
    </w:p>
    <w:p w:rsidR="00234A88" w:rsidRPr="00A93934" w:rsidRDefault="00234A88" w:rsidP="00A93934">
      <w:pPr>
        <w:spacing w:line="360" w:lineRule="auto"/>
        <w:jc w:val="both"/>
        <w:rPr>
          <w:color w:val="000000" w:themeColor="text1"/>
        </w:rPr>
      </w:pPr>
      <w:r w:rsidRPr="00A93934">
        <w:rPr>
          <w:b/>
          <w:i/>
          <w:color w:val="000000" w:themeColor="text1"/>
        </w:rPr>
        <w:t>Organization</w:t>
      </w:r>
      <w:r w:rsidRPr="00A93934">
        <w:rPr>
          <w:color w:val="000000" w:themeColor="text1"/>
        </w:rPr>
        <w:t>: The Company, Davison Canners has organized administration systems, proc</w:t>
      </w:r>
      <w:r w:rsidR="00971A65" w:rsidRPr="00A93934">
        <w:rPr>
          <w:color w:val="000000" w:themeColor="text1"/>
        </w:rPr>
        <w:t xml:space="preserve">edures, improved constructions </w:t>
      </w:r>
      <w:r w:rsidRPr="00A93934">
        <w:rPr>
          <w:color w:val="000000" w:themeColor="text1"/>
        </w:rPr>
        <w:t xml:space="preserve">and positive workplace culture for capitalizing the </w:t>
      </w:r>
      <w:r w:rsidRPr="00A93934">
        <w:rPr>
          <w:color w:val="000000" w:themeColor="text1"/>
        </w:rPr>
        <w:lastRenderedPageBreak/>
        <w:t>resources and internal capabilities (</w:t>
      </w:r>
      <w:proofErr w:type="spellStart"/>
      <w:r w:rsidRPr="00A93934">
        <w:rPr>
          <w:color w:val="000000" w:themeColor="text1"/>
          <w:shd w:val="clear" w:color="auto" w:fill="FFFFFF"/>
        </w:rPr>
        <w:t>Buzatu</w:t>
      </w:r>
      <w:r w:rsidRPr="00A93934">
        <w:rPr>
          <w:i/>
          <w:color w:val="000000" w:themeColor="text1"/>
          <w:shd w:val="clear" w:color="auto" w:fill="FFFFFF"/>
        </w:rPr>
        <w:t>et</w:t>
      </w:r>
      <w:proofErr w:type="spellEnd"/>
      <w:r w:rsidRPr="00A93934">
        <w:rPr>
          <w:i/>
          <w:color w:val="000000" w:themeColor="text1"/>
          <w:shd w:val="clear" w:color="auto" w:fill="FFFFFF"/>
        </w:rPr>
        <w:t xml:space="preserve"> al</w:t>
      </w:r>
      <w:r w:rsidRPr="00A93934">
        <w:rPr>
          <w:color w:val="000000" w:themeColor="text1"/>
          <w:shd w:val="clear" w:color="auto" w:fill="FFFFFF"/>
        </w:rPr>
        <w:t>. 2019)</w:t>
      </w:r>
      <w:r w:rsidRPr="00A93934">
        <w:rPr>
          <w:color w:val="000000" w:themeColor="text1"/>
        </w:rPr>
        <w:t xml:space="preserve">. The entire team works with various food manufacturers, major multiples and chefs to produce delicious food items, hence this company can achieve the ultimate goal of sustaining competitive advantage. </w:t>
      </w:r>
    </w:p>
    <w:p w:rsidR="00234A88" w:rsidRPr="00A93934" w:rsidRDefault="009D79BF" w:rsidP="00A93934">
      <w:pPr>
        <w:pStyle w:val="Heading2"/>
        <w:rPr>
          <w:rFonts w:ascii="Arial" w:hAnsi="Arial"/>
          <w:sz w:val="22"/>
          <w:szCs w:val="22"/>
        </w:rPr>
      </w:pPr>
      <w:bookmarkStart w:id="20" w:name="_Toc56805803"/>
      <w:r w:rsidRPr="00A93934">
        <w:rPr>
          <w:rFonts w:ascii="Arial" w:hAnsi="Arial"/>
          <w:sz w:val="22"/>
          <w:szCs w:val="22"/>
        </w:rPr>
        <w:t xml:space="preserve">4.2 </w:t>
      </w:r>
      <w:r w:rsidR="00234A88" w:rsidRPr="00A93934">
        <w:rPr>
          <w:rFonts w:ascii="Arial" w:hAnsi="Arial"/>
          <w:sz w:val="22"/>
          <w:szCs w:val="22"/>
        </w:rPr>
        <w:t>Key stakeholders and specific interests in current system</w:t>
      </w:r>
      <w:bookmarkEnd w:id="20"/>
    </w:p>
    <w:p w:rsidR="00234A88" w:rsidRPr="00A93934" w:rsidRDefault="00234A88" w:rsidP="00A93934">
      <w:pPr>
        <w:spacing w:line="360" w:lineRule="auto"/>
        <w:jc w:val="both"/>
        <w:rPr>
          <w:color w:val="000000" w:themeColor="text1"/>
        </w:rPr>
      </w:pPr>
      <w:r w:rsidRPr="00A93934">
        <w:rPr>
          <w:b/>
          <w:i/>
          <w:color w:val="000000" w:themeColor="text1"/>
        </w:rPr>
        <w:t>European Regional Development Fund</w:t>
      </w:r>
      <w:r w:rsidRPr="00A93934">
        <w:rPr>
          <w:color w:val="000000" w:themeColor="text1"/>
        </w:rPr>
        <w:t>: This stakeholder applies the comprehensive one-time announcement to mitigate the impending business risks through accessing business operations, monetary performance, and records about public filing. This organization supports avoiding the payment delay, defaults and assesses business risk of Davison Canners with the help of straightforward risk indicators. This includes D&amp;B® Delinquency Predictor Score, rating for D&amp;B® Supplier Evaluation Risk and many others</w:t>
      </w:r>
      <w:r w:rsidR="00DB1D3B" w:rsidRPr="00A93934">
        <w:rPr>
          <w:color w:val="000000" w:themeColor="text1"/>
        </w:rPr>
        <w:t xml:space="preserve"> (davisoncanners.com, 2020)</w:t>
      </w:r>
      <w:r w:rsidRPr="00A93934">
        <w:rPr>
          <w:color w:val="000000" w:themeColor="text1"/>
        </w:rPr>
        <w:t xml:space="preserve">. </w:t>
      </w:r>
    </w:p>
    <w:p w:rsidR="00234A88" w:rsidRPr="00A93934" w:rsidRDefault="00234A88" w:rsidP="00A93934">
      <w:pPr>
        <w:spacing w:line="360" w:lineRule="auto"/>
        <w:jc w:val="both"/>
        <w:rPr>
          <w:color w:val="000000" w:themeColor="text1"/>
        </w:rPr>
      </w:pPr>
      <w:r w:rsidRPr="00A93934">
        <w:rPr>
          <w:b/>
          <w:i/>
          <w:color w:val="000000" w:themeColor="text1"/>
        </w:rPr>
        <w:t>Food manufacturers</w:t>
      </w:r>
      <w:r w:rsidRPr="00A93934">
        <w:rPr>
          <w:color w:val="000000" w:themeColor="text1"/>
        </w:rPr>
        <w:t xml:space="preserve">: For the last 40 years, this company is associating with local food manufacturers so that the Davison family can grow and harvest the first crop, such as, Irish </w:t>
      </w:r>
      <w:proofErr w:type="spellStart"/>
      <w:r w:rsidRPr="00A93934">
        <w:rPr>
          <w:color w:val="000000" w:themeColor="text1"/>
        </w:rPr>
        <w:t>Bramley</w:t>
      </w:r>
      <w:proofErr w:type="spellEnd"/>
      <w:r w:rsidRPr="00A93934">
        <w:rPr>
          <w:color w:val="000000" w:themeColor="text1"/>
        </w:rPr>
        <w:t xml:space="preserve"> Apples. This brand is also AA BRC certified factory introduced in 2014 (</w:t>
      </w:r>
      <w:proofErr w:type="spellStart"/>
      <w:r w:rsidRPr="00A93934">
        <w:rPr>
          <w:color w:val="000000" w:themeColor="text1"/>
          <w:shd w:val="clear" w:color="auto" w:fill="FFFFFF"/>
        </w:rPr>
        <w:t>Ariyani</w:t>
      </w:r>
      <w:proofErr w:type="spellEnd"/>
      <w:r w:rsidRPr="00A93934">
        <w:rPr>
          <w:color w:val="000000" w:themeColor="text1"/>
          <w:shd w:val="clear" w:color="auto" w:fill="FFFFFF"/>
        </w:rPr>
        <w:t xml:space="preserve">, and </w:t>
      </w:r>
      <w:proofErr w:type="spellStart"/>
      <w:r w:rsidRPr="00A93934">
        <w:rPr>
          <w:color w:val="000000" w:themeColor="text1"/>
          <w:shd w:val="clear" w:color="auto" w:fill="FFFFFF"/>
        </w:rPr>
        <w:t>Daryanto</w:t>
      </w:r>
      <w:proofErr w:type="spellEnd"/>
      <w:r w:rsidRPr="00A93934">
        <w:rPr>
          <w:color w:val="000000" w:themeColor="text1"/>
          <w:shd w:val="clear" w:color="auto" w:fill="FFFFFF"/>
        </w:rPr>
        <w:t>, 2018)</w:t>
      </w:r>
      <w:r w:rsidRPr="00A93934">
        <w:rPr>
          <w:color w:val="000000" w:themeColor="text1"/>
        </w:rPr>
        <w:t xml:space="preserve">. By following the relationship with this stakeholder, the enterprise has been developed to fulfill the needs of patrons and differentiated products to remain ahead of UK’s leading food trends. </w:t>
      </w:r>
    </w:p>
    <w:p w:rsidR="00234A88" w:rsidRPr="00A93934" w:rsidRDefault="00234A88" w:rsidP="00A93934">
      <w:pPr>
        <w:spacing w:line="360" w:lineRule="auto"/>
        <w:jc w:val="both"/>
        <w:rPr>
          <w:color w:val="000000" w:themeColor="text1"/>
        </w:rPr>
      </w:pPr>
      <w:r w:rsidRPr="00A93934">
        <w:rPr>
          <w:b/>
          <w:i/>
          <w:color w:val="000000" w:themeColor="text1"/>
        </w:rPr>
        <w:t xml:space="preserve">Supplier Glenn </w:t>
      </w:r>
      <w:proofErr w:type="spellStart"/>
      <w:r w:rsidRPr="00A93934">
        <w:rPr>
          <w:b/>
          <w:i/>
          <w:color w:val="000000" w:themeColor="text1"/>
        </w:rPr>
        <w:t>Wadell</w:t>
      </w:r>
      <w:proofErr w:type="spellEnd"/>
      <w:r w:rsidRPr="00A93934">
        <w:rPr>
          <w:color w:val="000000" w:themeColor="text1"/>
        </w:rPr>
        <w:t>: This supplier of Davison Canners is responsible for delivering fresh fruits and vegetables. For this association, the company has been able to announce as the Winner of Medium or Mid-Sized Business of Year Award, which is</w:t>
      </w:r>
      <w:r w:rsidR="00971A65" w:rsidRPr="00A93934">
        <w:rPr>
          <w:color w:val="000000" w:themeColor="text1"/>
        </w:rPr>
        <w:t xml:space="preserve"> the </w:t>
      </w:r>
      <w:r w:rsidRPr="00A93934">
        <w:rPr>
          <w:color w:val="000000" w:themeColor="text1"/>
        </w:rPr>
        <w:t>Business Eye Award of 2019</w:t>
      </w:r>
      <w:r w:rsidR="00DB1D3B" w:rsidRPr="00A93934">
        <w:rPr>
          <w:color w:val="000000" w:themeColor="text1"/>
        </w:rPr>
        <w:t xml:space="preserve"> (davisoncanners.com, 2020)</w:t>
      </w:r>
      <w:r w:rsidRPr="00A93934">
        <w:rPr>
          <w:color w:val="000000" w:themeColor="text1"/>
        </w:rPr>
        <w:t xml:space="preserve">. In food and drink category, this organization has also been the frontrunner in context of food manufacturing excellence. </w:t>
      </w:r>
    </w:p>
    <w:p w:rsidR="00234A88" w:rsidRPr="00A93934" w:rsidRDefault="00234A88" w:rsidP="00A93934">
      <w:pPr>
        <w:spacing w:line="360" w:lineRule="auto"/>
        <w:jc w:val="both"/>
        <w:rPr>
          <w:color w:val="000000" w:themeColor="text1"/>
        </w:rPr>
      </w:pPr>
      <w:r w:rsidRPr="00A93934">
        <w:rPr>
          <w:b/>
          <w:i/>
          <w:color w:val="000000" w:themeColor="text1"/>
        </w:rPr>
        <w:t>Investors</w:t>
      </w:r>
      <w:r w:rsidRPr="00A93934">
        <w:rPr>
          <w:color w:val="000000" w:themeColor="text1"/>
        </w:rPr>
        <w:t>: The company shares 46.3% share with Hazel Davison, 28.4% share with Alan Davison and 25.3% share with Graham Davison</w:t>
      </w:r>
      <w:r w:rsidR="00DB1D3B" w:rsidRPr="00A93934">
        <w:rPr>
          <w:color w:val="000000" w:themeColor="text1"/>
        </w:rPr>
        <w:t xml:space="preserve"> (davisoncanners.com, 2020)</w:t>
      </w:r>
      <w:r w:rsidRPr="00A93934">
        <w:rPr>
          <w:color w:val="000000" w:themeColor="text1"/>
        </w:rPr>
        <w:t xml:space="preserve">. All of these shareholders have invested considerable amount of money, which has grown 6.7 million in 2018 to 7 million in 2019. For this reason, the management has been able to generate 6.1 million turnovers that is 22% growth from previous financial year. </w:t>
      </w:r>
    </w:p>
    <w:p w:rsidR="00234A88" w:rsidRPr="00A93934" w:rsidRDefault="00234A88" w:rsidP="00A93934">
      <w:pPr>
        <w:spacing w:line="360" w:lineRule="auto"/>
        <w:jc w:val="both"/>
        <w:rPr>
          <w:color w:val="000000" w:themeColor="text1"/>
        </w:rPr>
      </w:pPr>
      <w:r w:rsidRPr="00A93934">
        <w:rPr>
          <w:b/>
          <w:i/>
          <w:color w:val="000000" w:themeColor="text1"/>
        </w:rPr>
        <w:t>Entitled funding sources</w:t>
      </w:r>
      <w:r w:rsidRPr="00A93934">
        <w:rPr>
          <w:color w:val="000000" w:themeColor="text1"/>
        </w:rPr>
        <w:t>: HSBC UK Bank PLC has funded an outstanding amount of money for mortgage or charge. By following this association, the company has improved gross margin at 35.4%, which is 1.34% drop from previous year</w:t>
      </w:r>
      <w:r w:rsidR="00DB1D3B" w:rsidRPr="00A93934">
        <w:rPr>
          <w:color w:val="000000" w:themeColor="text1"/>
        </w:rPr>
        <w:t xml:space="preserve"> (davisoncanners.com, 2020)</w:t>
      </w:r>
      <w:r w:rsidRPr="00A93934">
        <w:rPr>
          <w:color w:val="000000" w:themeColor="text1"/>
        </w:rPr>
        <w:t xml:space="preserve">. This amount has also matured the operating profit at 783k. From the credit report of Davison Canners, it can be seen that $18.78 million annual revenue has been achieved this year. </w:t>
      </w:r>
    </w:p>
    <w:p w:rsidR="000260C3" w:rsidRPr="00A93934" w:rsidRDefault="000260C3" w:rsidP="00A93934">
      <w:pPr>
        <w:spacing w:line="360" w:lineRule="auto"/>
        <w:jc w:val="both"/>
        <w:rPr>
          <w:color w:val="000000" w:themeColor="text1"/>
        </w:rPr>
      </w:pPr>
    </w:p>
    <w:p w:rsidR="00234A88" w:rsidRPr="00A93934" w:rsidRDefault="00234A88" w:rsidP="00A93934">
      <w:pPr>
        <w:spacing w:line="360" w:lineRule="auto"/>
        <w:jc w:val="both"/>
        <w:rPr>
          <w:color w:val="000000" w:themeColor="text1"/>
        </w:rPr>
      </w:pPr>
      <w:r w:rsidRPr="00A93934">
        <w:rPr>
          <w:b/>
          <w:i/>
          <w:color w:val="000000" w:themeColor="text1"/>
        </w:rPr>
        <w:lastRenderedPageBreak/>
        <w:t>Fruit farming and market gardening entities</w:t>
      </w:r>
      <w:r w:rsidRPr="00A93934">
        <w:rPr>
          <w:color w:val="000000" w:themeColor="text1"/>
        </w:rPr>
        <w:t>: The selective financial assistance of Davison Canners has provided SFA project support to enhance business efficiency and increase the employment level (</w:t>
      </w:r>
      <w:proofErr w:type="spellStart"/>
      <w:r w:rsidRPr="00A93934">
        <w:rPr>
          <w:color w:val="000000" w:themeColor="text1"/>
          <w:shd w:val="clear" w:color="auto" w:fill="FFFFFF"/>
        </w:rPr>
        <w:t>Yudiono</w:t>
      </w:r>
      <w:r w:rsidRPr="00A93934">
        <w:rPr>
          <w:i/>
          <w:color w:val="000000" w:themeColor="text1"/>
          <w:shd w:val="clear" w:color="auto" w:fill="FFFFFF"/>
        </w:rPr>
        <w:t>et</w:t>
      </w:r>
      <w:proofErr w:type="spellEnd"/>
      <w:r w:rsidRPr="00A93934">
        <w:rPr>
          <w:i/>
          <w:color w:val="000000" w:themeColor="text1"/>
          <w:shd w:val="clear" w:color="auto" w:fill="FFFFFF"/>
        </w:rPr>
        <w:t xml:space="preserve"> al</w:t>
      </w:r>
      <w:r w:rsidRPr="00A93934">
        <w:rPr>
          <w:color w:val="000000" w:themeColor="text1"/>
          <w:shd w:val="clear" w:color="auto" w:fill="FFFFFF"/>
        </w:rPr>
        <w:t>. 2019)</w:t>
      </w:r>
      <w:r w:rsidRPr="00A93934">
        <w:rPr>
          <w:color w:val="000000" w:themeColor="text1"/>
        </w:rPr>
        <w:t xml:space="preserve">. This stakeholder has consistently extended the range of products that includes processed apple food, fruit for dairy, syrups, sauces, curds, jams, fillings and fruit compotes.  </w:t>
      </w:r>
    </w:p>
    <w:p w:rsidR="00234A88" w:rsidRPr="00A93934" w:rsidRDefault="009427C3" w:rsidP="00A93934">
      <w:pPr>
        <w:pStyle w:val="Heading2"/>
        <w:rPr>
          <w:rFonts w:ascii="Arial" w:hAnsi="Arial"/>
          <w:sz w:val="22"/>
          <w:szCs w:val="22"/>
        </w:rPr>
      </w:pPr>
      <w:bookmarkStart w:id="21" w:name="_Toc56805804"/>
      <w:r w:rsidRPr="00A93934">
        <w:rPr>
          <w:rFonts w:ascii="Arial" w:hAnsi="Arial"/>
          <w:sz w:val="22"/>
          <w:szCs w:val="22"/>
        </w:rPr>
        <w:t xml:space="preserve">4.3 </w:t>
      </w:r>
      <w:r w:rsidR="00234A88" w:rsidRPr="00A93934">
        <w:rPr>
          <w:rFonts w:ascii="Arial" w:hAnsi="Arial"/>
          <w:sz w:val="22"/>
          <w:szCs w:val="22"/>
        </w:rPr>
        <w:t>Internal and external environments</w:t>
      </w:r>
      <w:bookmarkEnd w:id="21"/>
    </w:p>
    <w:p w:rsidR="00234A88" w:rsidRPr="00A93934" w:rsidRDefault="00234A88" w:rsidP="00A93934">
      <w:pPr>
        <w:spacing w:line="360" w:lineRule="auto"/>
        <w:jc w:val="both"/>
        <w:rPr>
          <w:color w:val="000000" w:themeColor="text1"/>
        </w:rPr>
      </w:pPr>
      <w:r w:rsidRPr="00A93934">
        <w:rPr>
          <w:color w:val="000000" w:themeColor="text1"/>
        </w:rPr>
        <w:t xml:space="preserve">From the VRIO analysis of Davison Canners, it is clear that the company has unique industry background, which is not imitable. This BRC Accredited Company has 25% share of operating and renting or leased and own real estate. Another 25% of the share is involved in preserving vegetable and fruit for processing. As per the view of </w:t>
      </w:r>
      <w:proofErr w:type="spellStart"/>
      <w:r w:rsidRPr="00A93934">
        <w:rPr>
          <w:color w:val="000000" w:themeColor="text1"/>
          <w:shd w:val="clear" w:color="auto" w:fill="FFFFFF"/>
        </w:rPr>
        <w:t>Fauzi</w:t>
      </w:r>
      <w:proofErr w:type="spellEnd"/>
      <w:r w:rsidRPr="00A93934">
        <w:rPr>
          <w:color w:val="000000" w:themeColor="text1"/>
          <w:shd w:val="clear" w:color="auto" w:fill="FFFFFF"/>
        </w:rPr>
        <w:t xml:space="preserve"> (2017</w:t>
      </w:r>
      <w:r w:rsidRPr="00A93934">
        <w:rPr>
          <w:color w:val="000000" w:themeColor="text1"/>
        </w:rPr>
        <w:t xml:space="preserve">), the organizations are always striving to identify competitive advantage, which propels in front of market rivalries. While Davison Canners has created a competitive advantage in terms of high stakeholders’ engagement, the management will replicate the sustainability. </w:t>
      </w:r>
    </w:p>
    <w:p w:rsidR="00234A88" w:rsidRPr="00A93934" w:rsidRDefault="009427C3" w:rsidP="00A93934">
      <w:pPr>
        <w:pStyle w:val="Heading2"/>
        <w:rPr>
          <w:rFonts w:ascii="Arial" w:hAnsi="Arial"/>
          <w:sz w:val="22"/>
          <w:szCs w:val="22"/>
        </w:rPr>
      </w:pPr>
      <w:bookmarkStart w:id="22" w:name="_Toc56805805"/>
      <w:r w:rsidRPr="00A93934">
        <w:rPr>
          <w:rFonts w:ascii="Arial" w:hAnsi="Arial"/>
          <w:sz w:val="22"/>
          <w:szCs w:val="22"/>
        </w:rPr>
        <w:t xml:space="preserve">4.4 </w:t>
      </w:r>
      <w:r w:rsidR="00234A88" w:rsidRPr="00A93934">
        <w:rPr>
          <w:rFonts w:ascii="Arial" w:hAnsi="Arial"/>
          <w:sz w:val="22"/>
          <w:szCs w:val="22"/>
        </w:rPr>
        <w:t>Implementation of a new strategy</w:t>
      </w:r>
      <w:bookmarkEnd w:id="22"/>
    </w:p>
    <w:p w:rsidR="00234A88" w:rsidRPr="00A93934" w:rsidRDefault="00234A88" w:rsidP="00A93934">
      <w:pPr>
        <w:spacing w:line="360" w:lineRule="auto"/>
        <w:jc w:val="both"/>
        <w:rPr>
          <w:color w:val="000000" w:themeColor="text1"/>
        </w:rPr>
      </w:pPr>
      <w:r w:rsidRPr="00A93934">
        <w:rPr>
          <w:color w:val="000000" w:themeColor="text1"/>
        </w:rPr>
        <w:t xml:space="preserve">Sustainable competitive advantage of Davison Canners allows the management implementing global business strategies. All of the business strategies are closely related with fulfilling the long term business objectives. For this reason, </w:t>
      </w:r>
      <w:proofErr w:type="spellStart"/>
      <w:r w:rsidRPr="00A93934">
        <w:rPr>
          <w:color w:val="000000" w:themeColor="text1"/>
          <w:shd w:val="clear" w:color="auto" w:fill="FFFFFF"/>
        </w:rPr>
        <w:t>Dewi</w:t>
      </w:r>
      <w:proofErr w:type="spellEnd"/>
      <w:r w:rsidRPr="00A93934">
        <w:rPr>
          <w:color w:val="000000" w:themeColor="text1"/>
          <w:shd w:val="clear" w:color="auto" w:fill="FFFFFF"/>
        </w:rPr>
        <w:t xml:space="preserve"> and </w:t>
      </w:r>
      <w:proofErr w:type="spellStart"/>
      <w:r w:rsidRPr="00A93934">
        <w:rPr>
          <w:color w:val="000000" w:themeColor="text1"/>
          <w:shd w:val="clear" w:color="auto" w:fill="FFFFFF"/>
        </w:rPr>
        <w:t>Dewi</w:t>
      </w:r>
      <w:proofErr w:type="spellEnd"/>
      <w:r w:rsidRPr="00A93934">
        <w:rPr>
          <w:color w:val="000000" w:themeColor="text1"/>
          <w:shd w:val="clear" w:color="auto" w:fill="FFFFFF"/>
        </w:rPr>
        <w:t xml:space="preserve"> (2017</w:t>
      </w:r>
      <w:r w:rsidRPr="00A93934">
        <w:rPr>
          <w:color w:val="000000" w:themeColor="text1"/>
        </w:rPr>
        <w:t xml:space="preserve">) have opined that companies’ should capture the values supported by workplace culture, </w:t>
      </w:r>
      <w:r w:rsidR="009426AC" w:rsidRPr="00A93934">
        <w:rPr>
          <w:color w:val="000000" w:themeColor="text1"/>
        </w:rPr>
        <w:t>organizational</w:t>
      </w:r>
      <w:r w:rsidRPr="00A93934">
        <w:rPr>
          <w:color w:val="000000" w:themeColor="text1"/>
        </w:rPr>
        <w:t xml:space="preserve"> structure and business process. In particular, implementation of a new strategy can be difficult for organizations, if it is protected by various legal means including trademarks and patents. </w:t>
      </w:r>
    </w:p>
    <w:p w:rsidR="00234A88" w:rsidRPr="00A93934" w:rsidRDefault="009427C3" w:rsidP="00A93934">
      <w:pPr>
        <w:pStyle w:val="Heading2"/>
        <w:rPr>
          <w:rFonts w:ascii="Arial" w:hAnsi="Arial"/>
          <w:sz w:val="22"/>
          <w:szCs w:val="22"/>
        </w:rPr>
      </w:pPr>
      <w:bookmarkStart w:id="23" w:name="_Toc56805806"/>
      <w:r w:rsidRPr="00A93934">
        <w:rPr>
          <w:rFonts w:ascii="Arial" w:hAnsi="Arial"/>
          <w:sz w:val="22"/>
          <w:szCs w:val="22"/>
        </w:rPr>
        <w:t xml:space="preserve">4.5 </w:t>
      </w:r>
      <w:r w:rsidR="00234A88" w:rsidRPr="00A93934">
        <w:rPr>
          <w:rFonts w:ascii="Arial" w:hAnsi="Arial"/>
          <w:sz w:val="22"/>
          <w:szCs w:val="22"/>
        </w:rPr>
        <w:t>Reason of adopting new strategies as benefits of key stakeholders</w:t>
      </w:r>
      <w:bookmarkEnd w:id="23"/>
    </w:p>
    <w:p w:rsidR="00234A88" w:rsidRPr="00A93934" w:rsidRDefault="00234A88" w:rsidP="00A93934">
      <w:pPr>
        <w:spacing w:line="360" w:lineRule="auto"/>
        <w:jc w:val="both"/>
        <w:rPr>
          <w:color w:val="000000" w:themeColor="text1"/>
        </w:rPr>
      </w:pPr>
      <w:r w:rsidRPr="00A93934">
        <w:rPr>
          <w:color w:val="000000" w:themeColor="text1"/>
        </w:rPr>
        <w:t>There are many reasons that Davison Canners for adopting new strategies as benefits of key stakeholders. The company will gain financial resources including debentures, bonds, shares and money. As a form of the skilled people and efficient supply chain, this management will gain human resources. By following this, Davison Canners has increased 2.8 million in 2010 to 6.1 million worth turnover in 2019. At the same time, employee cost has been increased $2,883,967 from $ 1,267,882 for providing training and education to the workers. Another reason for adopting these strategies is the improvement of operating profit by $ 783,023</w:t>
      </w:r>
      <w:r w:rsidR="00D507A6" w:rsidRPr="00A93934">
        <w:rPr>
          <w:color w:val="000000" w:themeColor="text1"/>
        </w:rPr>
        <w:t xml:space="preserve"> (</w:t>
      </w:r>
      <w:proofErr w:type="spellStart"/>
      <w:r w:rsidR="00D507A6" w:rsidRPr="00A93934">
        <w:rPr>
          <w:color w:val="000000" w:themeColor="text1"/>
          <w:shd w:val="clear" w:color="auto" w:fill="FFFFFF"/>
        </w:rPr>
        <w:t>Dewi</w:t>
      </w:r>
      <w:proofErr w:type="spellEnd"/>
      <w:r w:rsidR="00D507A6" w:rsidRPr="00A93934">
        <w:rPr>
          <w:color w:val="000000" w:themeColor="text1"/>
          <w:shd w:val="clear" w:color="auto" w:fill="FFFFFF"/>
        </w:rPr>
        <w:t xml:space="preserve"> and </w:t>
      </w:r>
      <w:proofErr w:type="spellStart"/>
      <w:r w:rsidR="00D507A6" w:rsidRPr="00A93934">
        <w:rPr>
          <w:color w:val="000000" w:themeColor="text1"/>
          <w:shd w:val="clear" w:color="auto" w:fill="FFFFFF"/>
        </w:rPr>
        <w:t>Dewi</w:t>
      </w:r>
      <w:proofErr w:type="spellEnd"/>
      <w:r w:rsidR="00D507A6" w:rsidRPr="00A93934">
        <w:rPr>
          <w:color w:val="000000" w:themeColor="text1"/>
          <w:shd w:val="clear" w:color="auto" w:fill="FFFFFF"/>
        </w:rPr>
        <w:t>, 2017</w:t>
      </w:r>
      <w:r w:rsidR="00D507A6" w:rsidRPr="00A93934">
        <w:rPr>
          <w:color w:val="000000" w:themeColor="text1"/>
        </w:rPr>
        <w:t>)</w:t>
      </w:r>
      <w:r w:rsidRPr="00A93934">
        <w:rPr>
          <w:color w:val="000000" w:themeColor="text1"/>
        </w:rPr>
        <w:t xml:space="preserve">. </w:t>
      </w:r>
    </w:p>
    <w:p w:rsidR="00E41881" w:rsidRPr="00A93934" w:rsidRDefault="00A77A79" w:rsidP="00A93934">
      <w:pPr>
        <w:pStyle w:val="Heading1"/>
        <w:rPr>
          <w:rFonts w:ascii="Arial" w:hAnsi="Arial"/>
          <w:color w:val="000000" w:themeColor="text1"/>
          <w:sz w:val="22"/>
          <w:szCs w:val="22"/>
        </w:rPr>
      </w:pPr>
      <w:bookmarkStart w:id="24" w:name="_Toc56805807"/>
      <w:r w:rsidRPr="00A93934">
        <w:rPr>
          <w:rFonts w:ascii="Arial" w:hAnsi="Arial"/>
          <w:color w:val="000000" w:themeColor="text1"/>
          <w:sz w:val="22"/>
          <w:szCs w:val="22"/>
        </w:rPr>
        <w:lastRenderedPageBreak/>
        <w:t>Task 5: Introduction of a strategic plan for Davison Canners</w:t>
      </w:r>
      <w:bookmarkEnd w:id="24"/>
    </w:p>
    <w:p w:rsidR="00E41881" w:rsidRPr="00A93934" w:rsidRDefault="00A77A79" w:rsidP="00A93934">
      <w:pPr>
        <w:pStyle w:val="Heading2"/>
        <w:rPr>
          <w:rFonts w:ascii="Arial" w:hAnsi="Arial"/>
          <w:sz w:val="22"/>
          <w:szCs w:val="22"/>
          <w:lang w:val="en-GB"/>
        </w:rPr>
      </w:pPr>
      <w:bookmarkStart w:id="25" w:name="_Toc56805808"/>
      <w:r w:rsidRPr="00A93934">
        <w:rPr>
          <w:rFonts w:ascii="Arial" w:hAnsi="Arial"/>
          <w:sz w:val="22"/>
          <w:szCs w:val="22"/>
          <w:lang w:val="en-GB"/>
        </w:rPr>
        <w:t xml:space="preserve">5.1 Description of prime strategic growth </w:t>
      </w:r>
      <w:r w:rsidR="00741959" w:rsidRPr="00A93934">
        <w:rPr>
          <w:rFonts w:ascii="Arial" w:hAnsi="Arial"/>
          <w:sz w:val="22"/>
          <w:szCs w:val="22"/>
          <w:lang w:val="en-GB"/>
        </w:rPr>
        <w:t>options</w:t>
      </w:r>
      <w:r w:rsidRPr="00A93934">
        <w:rPr>
          <w:rFonts w:ascii="Arial" w:hAnsi="Arial"/>
          <w:sz w:val="22"/>
          <w:szCs w:val="22"/>
          <w:lang w:val="en-GB"/>
        </w:rPr>
        <w:t xml:space="preserve"> for small-medium enterprises</w:t>
      </w:r>
      <w:bookmarkEnd w:id="25"/>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 xml:space="preserve">In order to improve strategic directions and approaches of small-medium enterprises, a broad series of strategies have performed a significant role. The </w:t>
      </w:r>
      <w:r w:rsidR="00D10EA5" w:rsidRPr="00A93934">
        <w:rPr>
          <w:rFonts w:eastAsia="Times New Roman"/>
          <w:color w:val="000000" w:themeColor="text1"/>
          <w:lang w:val="en-GB"/>
        </w:rPr>
        <w:t>exploration of different and varied strategic approaches has</w:t>
      </w:r>
      <w:r w:rsidRPr="00A93934">
        <w:rPr>
          <w:rFonts w:eastAsia="Times New Roman"/>
          <w:color w:val="000000" w:themeColor="text1"/>
          <w:lang w:val="en-GB"/>
        </w:rPr>
        <w:t xml:space="preserve"> helped to enhance the competitive advantage and organizational profit margins simultaneously (Johnson </w:t>
      </w:r>
      <w:r w:rsidRPr="00A93934">
        <w:rPr>
          <w:rFonts w:eastAsia="Times New Roman"/>
          <w:i/>
          <w:color w:val="000000" w:themeColor="text1"/>
          <w:lang w:val="en-GB"/>
        </w:rPr>
        <w:t xml:space="preserve">et al. </w:t>
      </w:r>
      <w:r w:rsidRPr="00A93934">
        <w:rPr>
          <w:rFonts w:eastAsia="Times New Roman"/>
          <w:color w:val="000000" w:themeColor="text1"/>
          <w:lang w:val="en-GB"/>
        </w:rPr>
        <w:t xml:space="preserve">2014). </w:t>
      </w:r>
      <w:proofErr w:type="spellStart"/>
      <w:r w:rsidRPr="00A93934">
        <w:rPr>
          <w:rFonts w:eastAsia="Times New Roman"/>
          <w:color w:val="000000" w:themeColor="text1"/>
          <w:lang w:val="en-GB"/>
        </w:rPr>
        <w:t>Ansoff</w:t>
      </w:r>
      <w:proofErr w:type="spellEnd"/>
      <w:r w:rsidRPr="00A93934">
        <w:rPr>
          <w:rFonts w:eastAsia="Times New Roman"/>
          <w:color w:val="000000" w:themeColor="text1"/>
          <w:lang w:val="en-GB"/>
        </w:rPr>
        <w:t xml:space="preserve"> Matrix includes four prime types of growth strategies such as market penetration, development, diversification and product development. </w:t>
      </w:r>
    </w:p>
    <w:tbl>
      <w:tblPr>
        <w:tblStyle w:val="Table2"/>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55"/>
        <w:gridCol w:w="6645"/>
      </w:tblGrid>
      <w:tr w:rsidR="0071254A" w:rsidRPr="00A93934">
        <w:tc>
          <w:tcPr>
            <w:tcW w:w="2355" w:type="dxa"/>
            <w:shd w:val="clear" w:color="auto" w:fill="auto"/>
            <w:tcMar>
              <w:top w:w="100" w:type="dxa"/>
              <w:left w:w="100" w:type="dxa"/>
              <w:bottom w:w="100" w:type="dxa"/>
              <w:right w:w="100" w:type="dxa"/>
            </w:tcMar>
          </w:tcPr>
          <w:p w:rsidR="00E41881" w:rsidRPr="00A93934" w:rsidRDefault="00F00C25" w:rsidP="00A93934">
            <w:pPr>
              <w:widowControl w:val="0"/>
              <w:pBdr>
                <w:top w:val="nil"/>
                <w:left w:val="nil"/>
                <w:bottom w:val="nil"/>
                <w:right w:val="nil"/>
                <w:between w:val="nil"/>
              </w:pBdr>
              <w:spacing w:line="360" w:lineRule="auto"/>
              <w:jc w:val="center"/>
              <w:rPr>
                <w:rFonts w:eastAsia="Times New Roman"/>
                <w:b/>
                <w:color w:val="000000" w:themeColor="text1"/>
                <w:lang w:val="en-GB"/>
              </w:rPr>
            </w:pPr>
            <w:r w:rsidRPr="00A93934">
              <w:rPr>
                <w:rFonts w:eastAsia="Times New Roman"/>
                <w:b/>
                <w:color w:val="000000" w:themeColor="text1"/>
                <w:lang w:val="en-GB"/>
              </w:rPr>
              <w:t>Growth strategic options for businesses</w:t>
            </w:r>
          </w:p>
        </w:tc>
        <w:tc>
          <w:tcPr>
            <w:tcW w:w="6645"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center"/>
              <w:rPr>
                <w:rFonts w:eastAsia="Times New Roman"/>
                <w:b/>
                <w:color w:val="000000" w:themeColor="text1"/>
                <w:lang w:val="en-GB"/>
              </w:rPr>
            </w:pPr>
            <w:r w:rsidRPr="00A93934">
              <w:rPr>
                <w:rFonts w:eastAsia="Times New Roman"/>
                <w:b/>
                <w:color w:val="000000" w:themeColor="text1"/>
                <w:lang w:val="en-GB"/>
              </w:rPr>
              <w:t xml:space="preserve">Description </w:t>
            </w:r>
          </w:p>
        </w:tc>
      </w:tr>
      <w:tr w:rsidR="0071254A" w:rsidRPr="00A93934">
        <w:tc>
          <w:tcPr>
            <w:tcW w:w="2355"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 xml:space="preserve">Market penetration </w:t>
            </w:r>
          </w:p>
        </w:tc>
        <w:tc>
          <w:tcPr>
            <w:tcW w:w="6645" w:type="dxa"/>
            <w:shd w:val="clear" w:color="auto" w:fill="auto"/>
            <w:tcMar>
              <w:top w:w="100" w:type="dxa"/>
              <w:left w:w="100" w:type="dxa"/>
              <w:bottom w:w="100" w:type="dxa"/>
              <w:right w:w="100" w:type="dxa"/>
            </w:tcMar>
          </w:tcPr>
          <w:p w:rsidR="00E41881" w:rsidRPr="00A93934" w:rsidRDefault="00A77A79" w:rsidP="00A93934">
            <w:pPr>
              <w:widowControl w:val="0"/>
              <w:numPr>
                <w:ilvl w:val="0"/>
                <w:numId w:val="3"/>
              </w:numPr>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It focuses on the enhancement of existing products sales within existing markets</w:t>
            </w:r>
          </w:p>
        </w:tc>
      </w:tr>
      <w:tr w:rsidR="0071254A" w:rsidRPr="00A93934">
        <w:tc>
          <w:tcPr>
            <w:tcW w:w="2355"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 xml:space="preserve">Market development </w:t>
            </w:r>
          </w:p>
        </w:tc>
        <w:tc>
          <w:tcPr>
            <w:tcW w:w="6645" w:type="dxa"/>
            <w:shd w:val="clear" w:color="auto" w:fill="auto"/>
            <w:tcMar>
              <w:top w:w="100" w:type="dxa"/>
              <w:left w:w="100" w:type="dxa"/>
              <w:bottom w:w="100" w:type="dxa"/>
              <w:right w:w="100" w:type="dxa"/>
            </w:tcMar>
          </w:tcPr>
          <w:p w:rsidR="00E41881" w:rsidRPr="00A93934" w:rsidRDefault="00A77A79" w:rsidP="00A93934">
            <w:pPr>
              <w:widowControl w:val="0"/>
              <w:numPr>
                <w:ilvl w:val="0"/>
                <w:numId w:val="6"/>
              </w:numPr>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The use of existing products for entering a new market is related to this strategic growth approach.</w:t>
            </w:r>
          </w:p>
        </w:tc>
      </w:tr>
      <w:tr w:rsidR="0071254A" w:rsidRPr="00A93934">
        <w:tc>
          <w:tcPr>
            <w:tcW w:w="2355"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 xml:space="preserve">Diversification </w:t>
            </w:r>
          </w:p>
        </w:tc>
        <w:tc>
          <w:tcPr>
            <w:tcW w:w="6645" w:type="dxa"/>
            <w:shd w:val="clear" w:color="auto" w:fill="auto"/>
            <w:tcMar>
              <w:top w:w="100" w:type="dxa"/>
              <w:left w:w="100" w:type="dxa"/>
              <w:bottom w:w="100" w:type="dxa"/>
              <w:right w:w="100" w:type="dxa"/>
            </w:tcMar>
          </w:tcPr>
          <w:p w:rsidR="00E41881" w:rsidRPr="00A93934" w:rsidRDefault="00A77A79" w:rsidP="00A93934">
            <w:pPr>
              <w:widowControl w:val="0"/>
              <w:numPr>
                <w:ilvl w:val="0"/>
                <w:numId w:val="4"/>
              </w:numPr>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It focuses on entering into a new market with the aid of new products varieties.</w:t>
            </w:r>
          </w:p>
        </w:tc>
      </w:tr>
      <w:tr w:rsidR="0071254A" w:rsidRPr="00A93934">
        <w:tc>
          <w:tcPr>
            <w:tcW w:w="2355"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 xml:space="preserve">Product development </w:t>
            </w:r>
          </w:p>
        </w:tc>
        <w:tc>
          <w:tcPr>
            <w:tcW w:w="6645" w:type="dxa"/>
            <w:shd w:val="clear" w:color="auto" w:fill="auto"/>
            <w:tcMar>
              <w:top w:w="100" w:type="dxa"/>
              <w:left w:w="100" w:type="dxa"/>
              <w:bottom w:w="100" w:type="dxa"/>
              <w:right w:w="100" w:type="dxa"/>
            </w:tcMar>
          </w:tcPr>
          <w:p w:rsidR="00E41881" w:rsidRPr="00A93934" w:rsidRDefault="00A77A79" w:rsidP="00A93934">
            <w:pPr>
              <w:widowControl w:val="0"/>
              <w:numPr>
                <w:ilvl w:val="0"/>
                <w:numId w:val="9"/>
              </w:numPr>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 xml:space="preserve">This strategic approach is beneficial for introducing new product range into existing markets. </w:t>
            </w:r>
          </w:p>
        </w:tc>
      </w:tr>
    </w:tbl>
    <w:p w:rsidR="00E41881" w:rsidRPr="00A93934" w:rsidRDefault="00A77A79" w:rsidP="00A93934">
      <w:pPr>
        <w:spacing w:line="360" w:lineRule="auto"/>
        <w:jc w:val="center"/>
        <w:rPr>
          <w:rFonts w:eastAsia="Times New Roman"/>
          <w:b/>
          <w:color w:val="000000" w:themeColor="text1"/>
          <w:lang w:val="en-GB"/>
        </w:rPr>
      </w:pPr>
      <w:r w:rsidRPr="00A93934">
        <w:rPr>
          <w:rFonts w:eastAsia="Times New Roman"/>
          <w:b/>
          <w:color w:val="000000" w:themeColor="text1"/>
          <w:lang w:val="en-GB"/>
        </w:rPr>
        <w:t xml:space="preserve">Table 2: </w:t>
      </w:r>
      <w:proofErr w:type="spellStart"/>
      <w:r w:rsidRPr="00A93934">
        <w:rPr>
          <w:rFonts w:eastAsia="Times New Roman"/>
          <w:b/>
          <w:color w:val="000000" w:themeColor="text1"/>
          <w:lang w:val="en-GB"/>
        </w:rPr>
        <w:t>Ansoff</w:t>
      </w:r>
      <w:proofErr w:type="spellEnd"/>
      <w:r w:rsidRPr="00A93934">
        <w:rPr>
          <w:rFonts w:eastAsia="Times New Roman"/>
          <w:b/>
          <w:color w:val="000000" w:themeColor="text1"/>
          <w:lang w:val="en-GB"/>
        </w:rPr>
        <w:t xml:space="preserve"> matrix</w:t>
      </w:r>
    </w:p>
    <w:p w:rsidR="00E41881" w:rsidRPr="00A93934" w:rsidRDefault="00A77A79" w:rsidP="00A93934">
      <w:pPr>
        <w:spacing w:line="360" w:lineRule="auto"/>
        <w:jc w:val="center"/>
        <w:rPr>
          <w:rFonts w:eastAsia="Times New Roman"/>
          <w:color w:val="000000" w:themeColor="text1"/>
          <w:lang w:val="en-GB"/>
        </w:rPr>
      </w:pPr>
      <w:r w:rsidRPr="00A93934">
        <w:rPr>
          <w:rFonts w:eastAsia="Times New Roman"/>
          <w:color w:val="000000" w:themeColor="text1"/>
          <w:lang w:val="en-GB"/>
        </w:rPr>
        <w:t xml:space="preserve">(Source: </w:t>
      </w:r>
      <w:proofErr w:type="spellStart"/>
      <w:r w:rsidRPr="00A93934">
        <w:rPr>
          <w:rFonts w:eastAsia="Times New Roman"/>
          <w:color w:val="000000" w:themeColor="text1"/>
          <w:lang w:val="en-GB"/>
        </w:rPr>
        <w:t>Loredana</w:t>
      </w:r>
      <w:proofErr w:type="spellEnd"/>
      <w:r w:rsidRPr="00A93934">
        <w:rPr>
          <w:rFonts w:eastAsia="Times New Roman"/>
          <w:color w:val="000000" w:themeColor="text1"/>
          <w:lang w:val="en-GB"/>
        </w:rPr>
        <w:t>, 2017)</w:t>
      </w:r>
    </w:p>
    <w:p w:rsidR="00E41881" w:rsidRPr="00A93934" w:rsidRDefault="00A77A79" w:rsidP="00A93934">
      <w:pPr>
        <w:pStyle w:val="Heading3"/>
        <w:rPr>
          <w:rFonts w:ascii="Arial" w:hAnsi="Arial"/>
          <w:sz w:val="22"/>
          <w:szCs w:val="22"/>
          <w:lang w:val="en-GB"/>
        </w:rPr>
      </w:pPr>
      <w:bookmarkStart w:id="26" w:name="_Toc56805809"/>
      <w:r w:rsidRPr="00A93934">
        <w:rPr>
          <w:rFonts w:ascii="Arial" w:hAnsi="Arial"/>
          <w:sz w:val="22"/>
          <w:szCs w:val="22"/>
          <w:lang w:val="en-GB"/>
        </w:rPr>
        <w:t>The justified strategic approach for Davison Canners</w:t>
      </w:r>
      <w:bookmarkEnd w:id="26"/>
    </w:p>
    <w:p w:rsidR="008E12CE"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 xml:space="preserve">Davison Canners can follow the </w:t>
      </w:r>
      <w:r w:rsidRPr="00A93934">
        <w:rPr>
          <w:rFonts w:eastAsia="Times New Roman"/>
          <w:b/>
          <w:i/>
          <w:color w:val="000000" w:themeColor="text1"/>
          <w:lang w:val="en-GB"/>
        </w:rPr>
        <w:t>market penetration growth strategic approach</w:t>
      </w:r>
      <w:r w:rsidRPr="00A93934">
        <w:rPr>
          <w:rFonts w:eastAsia="Times New Roman"/>
          <w:color w:val="000000" w:themeColor="text1"/>
          <w:lang w:val="en-GB"/>
        </w:rPr>
        <w:t xml:space="preserve"> for enhancing its market and long-term relationship with customers. In this context, Davison Canners can use its </w:t>
      </w:r>
      <w:r w:rsidRPr="00A93934">
        <w:rPr>
          <w:rFonts w:eastAsia="Times New Roman"/>
          <w:b/>
          <w:i/>
          <w:color w:val="000000" w:themeColor="text1"/>
          <w:lang w:val="en-GB"/>
        </w:rPr>
        <w:t>unique and varied range of products to improve sales volume</w:t>
      </w:r>
      <w:r w:rsidRPr="00A93934">
        <w:rPr>
          <w:rFonts w:eastAsia="Times New Roman"/>
          <w:color w:val="000000" w:themeColor="text1"/>
          <w:lang w:val="en-GB"/>
        </w:rPr>
        <w:t xml:space="preserve"> in existing markets. It will introduce a </w:t>
      </w:r>
      <w:r w:rsidRPr="00A93934">
        <w:rPr>
          <w:rFonts w:eastAsia="Times New Roman"/>
          <w:b/>
          <w:i/>
          <w:color w:val="000000" w:themeColor="text1"/>
          <w:lang w:val="en-GB"/>
        </w:rPr>
        <w:t>distribution and promotional offer</w:t>
      </w:r>
      <w:r w:rsidRPr="00A93934">
        <w:rPr>
          <w:rFonts w:eastAsia="Times New Roman"/>
          <w:color w:val="000000" w:themeColor="text1"/>
          <w:lang w:val="en-GB"/>
        </w:rPr>
        <w:t xml:space="preserve"> for individuals that will be beneficial for ensuring the interest of customers towards the firm. It can include registering the contact details of individuals for offering coupon rewards as a promotional offer. Davison Canners will offer a free combo gift basket for its customers with the highest purchasing amount of the month. </w:t>
      </w:r>
    </w:p>
    <w:p w:rsidR="008E12CE" w:rsidRPr="00A93934" w:rsidRDefault="008E12CE" w:rsidP="00A93934">
      <w:pPr>
        <w:pStyle w:val="Heading3"/>
        <w:rPr>
          <w:rFonts w:ascii="Arial" w:hAnsi="Arial"/>
          <w:sz w:val="22"/>
          <w:szCs w:val="22"/>
          <w:lang w:val="en-GB"/>
        </w:rPr>
      </w:pPr>
      <w:bookmarkStart w:id="27" w:name="_Toc56805810"/>
      <w:r w:rsidRPr="00A93934">
        <w:rPr>
          <w:rFonts w:ascii="Arial" w:hAnsi="Arial"/>
          <w:sz w:val="22"/>
          <w:szCs w:val="22"/>
          <w:lang w:val="en-GB"/>
        </w:rPr>
        <w:lastRenderedPageBreak/>
        <w:t>AIDA model</w:t>
      </w:r>
      <w:bookmarkEnd w:id="27"/>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In order to satisfy this growth strategy, it will be essential to follow the primary phases of the AIDA (attention, interest, desire and action) model.</w:t>
      </w:r>
    </w:p>
    <w:p w:rsidR="001957AD" w:rsidRPr="00A93934" w:rsidRDefault="00FA2810" w:rsidP="00A93934">
      <w:pPr>
        <w:spacing w:line="360" w:lineRule="auto"/>
        <w:jc w:val="center"/>
        <w:rPr>
          <w:rFonts w:eastAsia="Times New Roman"/>
          <w:b/>
          <w:color w:val="000000" w:themeColor="text1"/>
          <w:lang w:val="en-GB"/>
        </w:rPr>
      </w:pPr>
      <w:r w:rsidRPr="00A93934">
        <w:rPr>
          <w:rFonts w:eastAsia="Times New Roman"/>
          <w:b/>
          <w:noProof/>
          <w:color w:val="000000" w:themeColor="text1"/>
          <w:lang w:val="en-GB" w:eastAsia="en-GB"/>
        </w:rPr>
        <w:drawing>
          <wp:inline distT="0" distB="0" distL="0" distR="0" wp14:anchorId="09390F10" wp14:editId="6D039880">
            <wp:extent cx="5381625" cy="299085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E41881" w:rsidRPr="00A93934" w:rsidRDefault="00A77A79" w:rsidP="00A93934">
      <w:pPr>
        <w:spacing w:line="360" w:lineRule="auto"/>
        <w:jc w:val="center"/>
        <w:rPr>
          <w:rFonts w:eastAsia="Times New Roman"/>
          <w:b/>
          <w:color w:val="000000" w:themeColor="text1"/>
          <w:lang w:val="en-GB"/>
        </w:rPr>
      </w:pPr>
      <w:r w:rsidRPr="00A93934">
        <w:rPr>
          <w:rFonts w:eastAsia="Times New Roman"/>
          <w:b/>
          <w:color w:val="000000" w:themeColor="text1"/>
          <w:lang w:val="en-GB"/>
        </w:rPr>
        <w:t>Figure 3: AIDA model</w:t>
      </w:r>
    </w:p>
    <w:p w:rsidR="00E41881" w:rsidRPr="00A93934" w:rsidRDefault="00A77A79" w:rsidP="00A93934">
      <w:pPr>
        <w:spacing w:line="360" w:lineRule="auto"/>
        <w:jc w:val="center"/>
        <w:rPr>
          <w:rFonts w:eastAsia="Times New Roman"/>
          <w:color w:val="000000" w:themeColor="text1"/>
          <w:lang w:val="en-GB"/>
        </w:rPr>
      </w:pPr>
      <w:r w:rsidRPr="00A93934">
        <w:rPr>
          <w:rFonts w:eastAsia="Times New Roman"/>
          <w:color w:val="000000" w:themeColor="text1"/>
          <w:lang w:val="en-GB"/>
        </w:rPr>
        <w:t xml:space="preserve">(Source: Polk, 2018) </w:t>
      </w:r>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In order to achieve customers' attention, Davison Canners will place advertisements on newspapers and its official social media page regarding the coupon reward for top 5 highest purchasers of the month. For gaining the interest of customers, it can announce and share its coupon reward details on advertisements and social media platforms. In this context, Davison can offer a free combo gift basket for the top 5 purchasers of the month. It can also provide cash coupons worth £100, £80, £60, £40 and £20 for top purchasers respectively.</w:t>
      </w:r>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The enhancement of desire among individuals is significant for increasing sales prominently. Thus, Davison Canners can highlight the health benefits of fruit compotes and other freshly harvested fruits items of this company. It will be useful for enhancing the desires among individuals towards this company. It can use persuasive text for convincing customers to try their products in terms of gaining the top purchaser rewards. Davison Canners will also highlight the offer for limited times for acquiring the attraction of a wide range of individuals at a time.</w:t>
      </w:r>
    </w:p>
    <w:p w:rsidR="00E41881" w:rsidRPr="00A93934" w:rsidRDefault="00A77A79" w:rsidP="00A93934">
      <w:pPr>
        <w:pStyle w:val="Heading2"/>
        <w:rPr>
          <w:rFonts w:ascii="Arial" w:hAnsi="Arial"/>
          <w:sz w:val="22"/>
          <w:szCs w:val="22"/>
          <w:lang w:val="en-GB"/>
        </w:rPr>
      </w:pPr>
      <w:bookmarkStart w:id="28" w:name="_Toc56805811"/>
      <w:r w:rsidRPr="00A93934">
        <w:rPr>
          <w:rFonts w:ascii="Arial" w:hAnsi="Arial"/>
          <w:sz w:val="22"/>
          <w:szCs w:val="22"/>
          <w:lang w:val="en-GB"/>
        </w:rPr>
        <w:t>5.2 Sustainable strategy development for Davison Canners</w:t>
      </w:r>
      <w:bookmarkEnd w:id="28"/>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The story of a sustainable strategic approach in business has performed a vital role in initiating a detailed understanding of social as well as environmental contexts (</w:t>
      </w:r>
      <w:proofErr w:type="spellStart"/>
      <w:r w:rsidRPr="00A93934">
        <w:rPr>
          <w:rFonts w:eastAsia="Times New Roman"/>
          <w:color w:val="000000" w:themeColor="text1"/>
          <w:lang w:val="en-GB"/>
        </w:rPr>
        <w:t>Gans</w:t>
      </w:r>
      <w:proofErr w:type="spellEnd"/>
      <w:r w:rsidRPr="00A93934">
        <w:rPr>
          <w:rFonts w:eastAsia="Times New Roman"/>
          <w:color w:val="000000" w:themeColor="text1"/>
          <w:lang w:val="en-GB"/>
        </w:rPr>
        <w:t xml:space="preserve"> and Ryall, 2017). This strategic approach is beneficial for attracting investors as well as seeking </w:t>
      </w:r>
      <w:r w:rsidRPr="00A93934">
        <w:rPr>
          <w:rFonts w:eastAsia="Times New Roman"/>
          <w:color w:val="000000" w:themeColor="text1"/>
          <w:lang w:val="en-GB"/>
        </w:rPr>
        <w:lastRenderedPageBreak/>
        <w:t xml:space="preserve">financial support from different monetary agencies to meet organizational objectives (Durand </w:t>
      </w:r>
      <w:r w:rsidRPr="00A93934">
        <w:rPr>
          <w:rFonts w:eastAsia="Times New Roman"/>
          <w:i/>
          <w:color w:val="000000" w:themeColor="text1"/>
          <w:lang w:val="en-GB"/>
        </w:rPr>
        <w:t xml:space="preserve">et al. </w:t>
      </w:r>
      <w:r w:rsidRPr="00A93934">
        <w:rPr>
          <w:rFonts w:eastAsia="Times New Roman"/>
          <w:color w:val="000000" w:themeColor="text1"/>
          <w:lang w:val="en-GB"/>
        </w:rPr>
        <w:t>2017). Davison Canners can maintain the following strategic direction for developing long-term sustainable impact on the business:</w:t>
      </w:r>
    </w:p>
    <w:tbl>
      <w:tblPr>
        <w:tblStyle w:val="Table3"/>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05"/>
        <w:gridCol w:w="2460"/>
        <w:gridCol w:w="2730"/>
        <w:gridCol w:w="1605"/>
      </w:tblGrid>
      <w:tr w:rsidR="0071254A" w:rsidRPr="00A93934">
        <w:tc>
          <w:tcPr>
            <w:tcW w:w="2205"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center"/>
              <w:rPr>
                <w:rFonts w:eastAsia="Times New Roman"/>
                <w:b/>
                <w:color w:val="000000" w:themeColor="text1"/>
                <w:lang w:val="en-GB"/>
              </w:rPr>
            </w:pPr>
            <w:r w:rsidRPr="00A93934">
              <w:rPr>
                <w:rFonts w:eastAsia="Times New Roman"/>
                <w:b/>
                <w:color w:val="000000" w:themeColor="text1"/>
                <w:lang w:val="en-GB"/>
              </w:rPr>
              <w:t xml:space="preserve">Factors of strategic direction </w:t>
            </w:r>
          </w:p>
        </w:tc>
        <w:tc>
          <w:tcPr>
            <w:tcW w:w="2460" w:type="dxa"/>
            <w:shd w:val="clear" w:color="auto" w:fill="auto"/>
            <w:tcMar>
              <w:top w:w="100" w:type="dxa"/>
              <w:left w:w="100" w:type="dxa"/>
              <w:bottom w:w="100" w:type="dxa"/>
              <w:right w:w="100" w:type="dxa"/>
            </w:tcMar>
          </w:tcPr>
          <w:p w:rsidR="00E41881" w:rsidRPr="00A93934" w:rsidRDefault="00A77A79" w:rsidP="00A93934">
            <w:pPr>
              <w:widowControl w:val="0"/>
              <w:spacing w:line="360" w:lineRule="auto"/>
              <w:jc w:val="center"/>
              <w:rPr>
                <w:rFonts w:eastAsia="Times New Roman"/>
                <w:b/>
                <w:color w:val="000000" w:themeColor="text1"/>
                <w:lang w:val="en-GB"/>
              </w:rPr>
            </w:pPr>
            <w:r w:rsidRPr="00A93934">
              <w:rPr>
                <w:rFonts w:eastAsia="Times New Roman"/>
                <w:b/>
                <w:color w:val="000000" w:themeColor="text1"/>
                <w:lang w:val="en-GB"/>
              </w:rPr>
              <w:t xml:space="preserve">Target </w:t>
            </w:r>
          </w:p>
        </w:tc>
        <w:tc>
          <w:tcPr>
            <w:tcW w:w="2730"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center"/>
              <w:rPr>
                <w:rFonts w:eastAsia="Times New Roman"/>
                <w:b/>
                <w:color w:val="000000" w:themeColor="text1"/>
                <w:lang w:val="en-GB"/>
              </w:rPr>
            </w:pPr>
            <w:r w:rsidRPr="00A93934">
              <w:rPr>
                <w:rFonts w:eastAsia="Times New Roman"/>
                <w:b/>
                <w:color w:val="000000" w:themeColor="text1"/>
                <w:lang w:val="en-GB"/>
              </w:rPr>
              <w:t>Measuring techniques</w:t>
            </w:r>
          </w:p>
        </w:tc>
        <w:tc>
          <w:tcPr>
            <w:tcW w:w="1605" w:type="dxa"/>
            <w:shd w:val="clear" w:color="auto" w:fill="auto"/>
            <w:tcMar>
              <w:top w:w="100" w:type="dxa"/>
              <w:left w:w="100" w:type="dxa"/>
              <w:bottom w:w="100" w:type="dxa"/>
              <w:right w:w="100" w:type="dxa"/>
            </w:tcMar>
          </w:tcPr>
          <w:p w:rsidR="00E41881" w:rsidRPr="00A93934" w:rsidRDefault="00A77A79" w:rsidP="00A93934">
            <w:pPr>
              <w:widowControl w:val="0"/>
              <w:spacing w:line="360" w:lineRule="auto"/>
              <w:jc w:val="center"/>
              <w:rPr>
                <w:rFonts w:eastAsia="Times New Roman"/>
                <w:b/>
                <w:color w:val="000000" w:themeColor="text1"/>
                <w:lang w:val="en-GB"/>
              </w:rPr>
            </w:pPr>
            <w:r w:rsidRPr="00A93934">
              <w:rPr>
                <w:rFonts w:eastAsia="Times New Roman"/>
                <w:b/>
                <w:color w:val="000000" w:themeColor="text1"/>
                <w:lang w:val="en-GB"/>
              </w:rPr>
              <w:t xml:space="preserve">Time plan </w:t>
            </w:r>
          </w:p>
        </w:tc>
      </w:tr>
      <w:tr w:rsidR="0071254A" w:rsidRPr="00A93934">
        <w:tc>
          <w:tcPr>
            <w:tcW w:w="2205"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 xml:space="preserve">Financial </w:t>
            </w:r>
          </w:p>
        </w:tc>
        <w:tc>
          <w:tcPr>
            <w:tcW w:w="2460"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Increase revenue by 11%  within 2021</w:t>
            </w:r>
          </w:p>
        </w:tc>
        <w:tc>
          <w:tcPr>
            <w:tcW w:w="2730"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Introduction of focus on waste management and reduction of operating costs will be helpful to measure this target.</w:t>
            </w:r>
          </w:p>
        </w:tc>
        <w:tc>
          <w:tcPr>
            <w:tcW w:w="1605"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Nine months (long term)</w:t>
            </w:r>
          </w:p>
        </w:tc>
      </w:tr>
      <w:tr w:rsidR="0071254A" w:rsidRPr="00A93934">
        <w:tc>
          <w:tcPr>
            <w:tcW w:w="2205"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 xml:space="preserve">Promotional </w:t>
            </w:r>
          </w:p>
        </w:tc>
        <w:tc>
          <w:tcPr>
            <w:tcW w:w="2460"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Introduction of paid promotions by updating page information consistently with an increase of 7% of followers every month</w:t>
            </w:r>
          </w:p>
        </w:tc>
        <w:tc>
          <w:tcPr>
            <w:tcW w:w="2730"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 xml:space="preserve">It can hire professional and skilled bloggers to increase page insights. </w:t>
            </w:r>
          </w:p>
        </w:tc>
        <w:tc>
          <w:tcPr>
            <w:tcW w:w="1605"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Three months (short term)</w:t>
            </w:r>
          </w:p>
        </w:tc>
      </w:tr>
      <w:tr w:rsidR="0071254A" w:rsidRPr="00A93934">
        <w:tc>
          <w:tcPr>
            <w:tcW w:w="2205"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Customer-centric</w:t>
            </w:r>
          </w:p>
        </w:tc>
        <w:tc>
          <w:tcPr>
            <w:tcW w:w="2460"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Creating an online feedback system on social media pages for ensuring consumer base and try to expand the customer base by 12% by July 2021</w:t>
            </w:r>
          </w:p>
        </w:tc>
        <w:tc>
          <w:tcPr>
            <w:tcW w:w="2730"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It can introduce an online loyalty point reward system for attracting individuals rapidly.</w:t>
            </w:r>
          </w:p>
        </w:tc>
        <w:tc>
          <w:tcPr>
            <w:tcW w:w="1605" w:type="dxa"/>
            <w:shd w:val="clear" w:color="auto" w:fill="auto"/>
            <w:tcMar>
              <w:top w:w="100" w:type="dxa"/>
              <w:left w:w="100" w:type="dxa"/>
              <w:bottom w:w="100" w:type="dxa"/>
              <w:right w:w="100" w:type="dxa"/>
            </w:tcMar>
          </w:tcPr>
          <w:p w:rsidR="00E41881" w:rsidRPr="00A93934" w:rsidRDefault="00A77A79" w:rsidP="00A93934">
            <w:pPr>
              <w:widowControl w:val="0"/>
              <w:pBdr>
                <w:top w:val="nil"/>
                <w:left w:val="nil"/>
                <w:bottom w:val="nil"/>
                <w:right w:val="nil"/>
                <w:between w:val="nil"/>
              </w:pBdr>
              <w:spacing w:line="360" w:lineRule="auto"/>
              <w:jc w:val="both"/>
              <w:rPr>
                <w:rFonts w:eastAsia="Times New Roman"/>
                <w:color w:val="000000" w:themeColor="text1"/>
                <w:lang w:val="en-GB"/>
              </w:rPr>
            </w:pPr>
            <w:r w:rsidRPr="00A93934">
              <w:rPr>
                <w:rFonts w:eastAsia="Times New Roman"/>
                <w:color w:val="000000" w:themeColor="text1"/>
                <w:lang w:val="en-GB"/>
              </w:rPr>
              <w:t>Four months (short term)</w:t>
            </w:r>
          </w:p>
        </w:tc>
      </w:tr>
    </w:tbl>
    <w:p w:rsidR="00E41881" w:rsidRPr="00A93934" w:rsidRDefault="00C936E7" w:rsidP="00A93934">
      <w:pPr>
        <w:spacing w:line="360" w:lineRule="auto"/>
        <w:jc w:val="center"/>
        <w:rPr>
          <w:rFonts w:eastAsia="Times New Roman"/>
          <w:b/>
          <w:color w:val="000000" w:themeColor="text1"/>
          <w:lang w:val="en-GB"/>
        </w:rPr>
      </w:pPr>
      <w:r w:rsidRPr="00A93934">
        <w:rPr>
          <w:rFonts w:eastAsia="Times New Roman"/>
          <w:b/>
          <w:color w:val="000000" w:themeColor="text1"/>
          <w:lang w:val="en-GB"/>
        </w:rPr>
        <w:t>Table 3: S</w:t>
      </w:r>
      <w:r w:rsidR="00A77A79" w:rsidRPr="00A93934">
        <w:rPr>
          <w:rFonts w:eastAsia="Times New Roman"/>
          <w:b/>
          <w:color w:val="000000" w:themeColor="text1"/>
          <w:lang w:val="en-GB"/>
        </w:rPr>
        <w:t>trategic direction for Davison Canners</w:t>
      </w:r>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 xml:space="preserve">These strategic directional approaches will help to ensure a long term success of Davison Canners. According to the organizational description, enhancement of corporate relationship with customers is considered as the prime objective for Davison. In this term, the mentioned strategic direction will be helpful as it also includes customer centric developmental approach. The strategic aim of Davison regarding the enhancement of the customer loyalty base will be useful for increasing their relationship with a vast number of individuals at a short time. Besides this, the Davison Canners will increase its revenue with the aid of waste management as well as reduction of production cost techniques. It can be considered as a long term strategic directional approach for this leading small-medium enterprise in UK. </w:t>
      </w:r>
      <w:r w:rsidRPr="00A93934">
        <w:rPr>
          <w:rFonts w:eastAsia="Times New Roman"/>
          <w:color w:val="000000" w:themeColor="text1"/>
          <w:lang w:val="en-GB"/>
        </w:rPr>
        <w:lastRenderedPageBreak/>
        <w:t>Besides this, the introduction of page insight enhancement strategic approach with the aid of professional bloggers can help to develop a reliable and robust customer base.</w:t>
      </w:r>
    </w:p>
    <w:p w:rsidR="00E41881" w:rsidRPr="00A93934" w:rsidRDefault="00A77A79" w:rsidP="00A93934">
      <w:pPr>
        <w:pStyle w:val="Heading1"/>
        <w:rPr>
          <w:rFonts w:ascii="Arial" w:hAnsi="Arial"/>
          <w:color w:val="000000" w:themeColor="text1"/>
          <w:sz w:val="22"/>
          <w:szCs w:val="22"/>
        </w:rPr>
      </w:pPr>
      <w:bookmarkStart w:id="29" w:name="_Toc56805812"/>
      <w:r w:rsidRPr="00A93934">
        <w:rPr>
          <w:rFonts w:ascii="Arial" w:hAnsi="Arial"/>
          <w:color w:val="000000" w:themeColor="text1"/>
          <w:sz w:val="22"/>
          <w:szCs w:val="22"/>
        </w:rPr>
        <w:t>Task 6: Recommendations</w:t>
      </w:r>
      <w:bookmarkEnd w:id="29"/>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The prime recommended strategies for Davison Canners are mentioned below:</w:t>
      </w:r>
    </w:p>
    <w:p w:rsidR="00E41881" w:rsidRPr="00A93934" w:rsidRDefault="00A77A79" w:rsidP="00A93934">
      <w:pPr>
        <w:numPr>
          <w:ilvl w:val="0"/>
          <w:numId w:val="10"/>
        </w:numPr>
        <w:spacing w:line="360" w:lineRule="auto"/>
        <w:jc w:val="both"/>
        <w:rPr>
          <w:rFonts w:eastAsia="Times New Roman"/>
          <w:color w:val="000000" w:themeColor="text1"/>
          <w:lang w:val="en-GB"/>
        </w:rPr>
      </w:pPr>
      <w:r w:rsidRPr="00A93934">
        <w:rPr>
          <w:rFonts w:eastAsia="Times New Roman"/>
          <w:color w:val="000000" w:themeColor="text1"/>
          <w:lang w:val="en-GB"/>
        </w:rPr>
        <w:t>It can focus on introducing an online shopping website and the official website address for enhancing customers' experiences. Therefore Davison Canners can be positively influenced in terms of developing long-term relationships with customers.</w:t>
      </w:r>
    </w:p>
    <w:p w:rsidR="00E41881" w:rsidRPr="00A93934" w:rsidRDefault="00A77A79" w:rsidP="00A93934">
      <w:pPr>
        <w:numPr>
          <w:ilvl w:val="0"/>
          <w:numId w:val="10"/>
        </w:numPr>
        <w:spacing w:line="360" w:lineRule="auto"/>
        <w:jc w:val="both"/>
        <w:rPr>
          <w:rFonts w:eastAsia="Times New Roman"/>
          <w:color w:val="000000" w:themeColor="text1"/>
          <w:lang w:val="en-GB"/>
        </w:rPr>
      </w:pPr>
      <w:r w:rsidRPr="00A93934">
        <w:rPr>
          <w:rFonts w:eastAsia="Times New Roman"/>
          <w:color w:val="000000" w:themeColor="text1"/>
          <w:lang w:val="en-GB"/>
        </w:rPr>
        <w:t xml:space="preserve">Davison Canners can improve focus on digital transformation in terms of introducing a 360-degree view of its harvesting lands. It will be helpful for enhancing customers' trust in the company. The presence of digital transformation has performed a vital role in enhancing organizational-individual relationship as a part of competitive </w:t>
      </w:r>
      <w:r w:rsidR="001473EB" w:rsidRPr="00A93934">
        <w:rPr>
          <w:rFonts w:eastAsia="Times New Roman"/>
          <w:color w:val="000000" w:themeColor="text1"/>
          <w:lang w:val="en-GB"/>
        </w:rPr>
        <w:t>advantage.</w:t>
      </w:r>
    </w:p>
    <w:p w:rsidR="00E41881" w:rsidRPr="00A93934" w:rsidRDefault="00A77A79" w:rsidP="00A93934">
      <w:pPr>
        <w:numPr>
          <w:ilvl w:val="0"/>
          <w:numId w:val="10"/>
        </w:numPr>
        <w:spacing w:line="360" w:lineRule="auto"/>
        <w:jc w:val="both"/>
        <w:rPr>
          <w:rFonts w:eastAsia="Times New Roman"/>
          <w:color w:val="000000" w:themeColor="text1"/>
          <w:lang w:val="en-GB"/>
        </w:rPr>
      </w:pPr>
      <w:r w:rsidRPr="00A93934">
        <w:rPr>
          <w:rFonts w:eastAsia="Times New Roman"/>
          <w:color w:val="000000" w:themeColor="text1"/>
          <w:lang w:val="en-GB"/>
        </w:rPr>
        <w:t>It can introduce an open post on its social media pages regarding the preferred flavours of individuals before introducing a new product range.</w:t>
      </w:r>
    </w:p>
    <w:p w:rsidR="00745DD1" w:rsidRPr="00A93934" w:rsidRDefault="00BF0E2B" w:rsidP="00A93934">
      <w:pPr>
        <w:numPr>
          <w:ilvl w:val="0"/>
          <w:numId w:val="10"/>
        </w:numPr>
        <w:spacing w:line="360" w:lineRule="auto"/>
        <w:jc w:val="both"/>
        <w:rPr>
          <w:rFonts w:eastAsia="Times New Roman"/>
          <w:color w:val="000000" w:themeColor="text1"/>
          <w:lang w:val="en-GB"/>
        </w:rPr>
      </w:pPr>
      <w:r w:rsidRPr="00A93934">
        <w:rPr>
          <w:rFonts w:eastAsia="Times New Roman"/>
          <w:color w:val="000000" w:themeColor="text1"/>
          <w:lang w:val="en-GB"/>
        </w:rPr>
        <w:t xml:space="preserve">Implementation of technology can also be conducted for the organisation in order to streamline the business process </w:t>
      </w:r>
    </w:p>
    <w:p w:rsidR="00BF0E2B" w:rsidRPr="00A93934" w:rsidRDefault="00F1478C" w:rsidP="00A93934">
      <w:pPr>
        <w:numPr>
          <w:ilvl w:val="0"/>
          <w:numId w:val="10"/>
        </w:numPr>
        <w:spacing w:line="360" w:lineRule="auto"/>
        <w:jc w:val="both"/>
        <w:rPr>
          <w:rFonts w:eastAsia="Times New Roman"/>
          <w:color w:val="000000" w:themeColor="text1"/>
          <w:lang w:val="en-GB"/>
        </w:rPr>
      </w:pPr>
      <w:r w:rsidRPr="00A93934">
        <w:rPr>
          <w:rFonts w:eastAsia="Times New Roman"/>
          <w:color w:val="000000" w:themeColor="text1"/>
          <w:lang w:val="en-GB"/>
        </w:rPr>
        <w:t xml:space="preserve">Automation can be incorporated for the purpose of increasing the efficiency of the business </w:t>
      </w:r>
    </w:p>
    <w:p w:rsidR="004B60E6" w:rsidRPr="00A93934" w:rsidRDefault="004B60E6" w:rsidP="00A93934">
      <w:pPr>
        <w:numPr>
          <w:ilvl w:val="0"/>
          <w:numId w:val="10"/>
        </w:numPr>
        <w:spacing w:line="360" w:lineRule="auto"/>
        <w:jc w:val="both"/>
        <w:rPr>
          <w:rFonts w:eastAsia="Times New Roman"/>
          <w:color w:val="000000" w:themeColor="text1"/>
          <w:lang w:val="en-GB"/>
        </w:rPr>
      </w:pPr>
      <w:r w:rsidRPr="00A93934">
        <w:rPr>
          <w:rFonts w:eastAsia="Times New Roman"/>
          <w:color w:val="000000" w:themeColor="text1"/>
          <w:lang w:val="en-GB"/>
        </w:rPr>
        <w:t xml:space="preserve">It is also require to identify the customer needs and demand by proper market analysis </w:t>
      </w:r>
    </w:p>
    <w:p w:rsidR="000260C3" w:rsidRPr="00A93934" w:rsidRDefault="000260C3" w:rsidP="00A93934">
      <w:pPr>
        <w:spacing w:line="360" w:lineRule="auto"/>
        <w:jc w:val="both"/>
        <w:rPr>
          <w:rFonts w:eastAsia="Times New Roman"/>
          <w:color w:val="000000" w:themeColor="text1"/>
          <w:lang w:val="en-GB"/>
        </w:rPr>
      </w:pPr>
    </w:p>
    <w:p w:rsidR="000260C3" w:rsidRPr="00A93934" w:rsidRDefault="000260C3" w:rsidP="00A93934">
      <w:pPr>
        <w:spacing w:line="360" w:lineRule="auto"/>
        <w:jc w:val="both"/>
        <w:rPr>
          <w:rFonts w:eastAsia="Times New Roman"/>
          <w:color w:val="000000" w:themeColor="text1"/>
          <w:lang w:val="en-GB"/>
        </w:rPr>
      </w:pPr>
    </w:p>
    <w:p w:rsidR="000260C3" w:rsidRPr="00A93934" w:rsidRDefault="000260C3" w:rsidP="00A93934">
      <w:pPr>
        <w:spacing w:line="360" w:lineRule="auto"/>
        <w:jc w:val="both"/>
        <w:rPr>
          <w:rFonts w:eastAsia="Times New Roman"/>
          <w:color w:val="000000" w:themeColor="text1"/>
          <w:lang w:val="en-GB"/>
        </w:rPr>
      </w:pPr>
    </w:p>
    <w:p w:rsidR="000260C3" w:rsidRPr="00A93934" w:rsidRDefault="000260C3" w:rsidP="00A93934">
      <w:pPr>
        <w:spacing w:line="360" w:lineRule="auto"/>
        <w:jc w:val="both"/>
        <w:rPr>
          <w:rFonts w:eastAsia="Times New Roman"/>
          <w:color w:val="000000" w:themeColor="text1"/>
          <w:lang w:val="en-GB"/>
        </w:rPr>
      </w:pPr>
    </w:p>
    <w:p w:rsidR="000260C3" w:rsidRPr="00A93934" w:rsidRDefault="000260C3" w:rsidP="00A93934">
      <w:pPr>
        <w:spacing w:line="360" w:lineRule="auto"/>
        <w:jc w:val="both"/>
        <w:rPr>
          <w:rFonts w:eastAsia="Times New Roman"/>
          <w:color w:val="000000" w:themeColor="text1"/>
          <w:lang w:val="en-GB"/>
        </w:rPr>
      </w:pPr>
    </w:p>
    <w:p w:rsidR="000260C3" w:rsidRPr="00A93934" w:rsidRDefault="000260C3" w:rsidP="00A93934">
      <w:pPr>
        <w:spacing w:line="360" w:lineRule="auto"/>
        <w:jc w:val="both"/>
        <w:rPr>
          <w:rFonts w:eastAsia="Times New Roman"/>
          <w:color w:val="000000" w:themeColor="text1"/>
          <w:lang w:val="en-GB"/>
        </w:rPr>
      </w:pPr>
    </w:p>
    <w:p w:rsidR="000260C3" w:rsidRPr="00A93934" w:rsidRDefault="000260C3" w:rsidP="00A93934">
      <w:pPr>
        <w:spacing w:line="360" w:lineRule="auto"/>
        <w:jc w:val="both"/>
        <w:rPr>
          <w:rFonts w:eastAsia="Times New Roman"/>
          <w:color w:val="000000" w:themeColor="text1"/>
          <w:lang w:val="en-GB"/>
        </w:rPr>
      </w:pPr>
    </w:p>
    <w:p w:rsidR="000260C3" w:rsidRPr="00A93934" w:rsidRDefault="000260C3" w:rsidP="00A93934">
      <w:pPr>
        <w:spacing w:line="360" w:lineRule="auto"/>
        <w:jc w:val="both"/>
        <w:rPr>
          <w:rFonts w:eastAsia="Times New Roman"/>
          <w:color w:val="000000" w:themeColor="text1"/>
          <w:lang w:val="en-GB"/>
        </w:rPr>
      </w:pPr>
    </w:p>
    <w:p w:rsidR="000260C3" w:rsidRPr="00A93934" w:rsidRDefault="000260C3" w:rsidP="00A93934">
      <w:pPr>
        <w:spacing w:line="360" w:lineRule="auto"/>
        <w:jc w:val="both"/>
        <w:rPr>
          <w:rFonts w:eastAsia="Times New Roman"/>
          <w:color w:val="000000" w:themeColor="text1"/>
          <w:lang w:val="en-GB"/>
        </w:rPr>
      </w:pPr>
    </w:p>
    <w:p w:rsidR="000260C3" w:rsidRPr="00A93934" w:rsidRDefault="000260C3" w:rsidP="00A93934">
      <w:pPr>
        <w:spacing w:line="360" w:lineRule="auto"/>
        <w:jc w:val="both"/>
        <w:rPr>
          <w:rFonts w:eastAsia="Times New Roman"/>
          <w:color w:val="000000" w:themeColor="text1"/>
          <w:lang w:val="en-GB"/>
        </w:rPr>
      </w:pPr>
    </w:p>
    <w:p w:rsidR="000260C3" w:rsidRPr="00A93934" w:rsidRDefault="000260C3" w:rsidP="00A93934">
      <w:pPr>
        <w:spacing w:line="360" w:lineRule="auto"/>
        <w:jc w:val="both"/>
        <w:rPr>
          <w:rFonts w:eastAsia="Times New Roman"/>
          <w:color w:val="000000" w:themeColor="text1"/>
          <w:lang w:val="en-GB"/>
        </w:rPr>
      </w:pPr>
    </w:p>
    <w:p w:rsidR="000260C3" w:rsidRPr="00A93934" w:rsidRDefault="000260C3" w:rsidP="00A93934">
      <w:pPr>
        <w:spacing w:line="360" w:lineRule="auto"/>
        <w:jc w:val="both"/>
        <w:rPr>
          <w:rFonts w:eastAsia="Times New Roman"/>
          <w:color w:val="000000" w:themeColor="text1"/>
          <w:lang w:val="en-GB"/>
        </w:rPr>
      </w:pPr>
    </w:p>
    <w:p w:rsidR="00E41881" w:rsidRPr="00A93934" w:rsidRDefault="00A77A79" w:rsidP="00A93934">
      <w:pPr>
        <w:pStyle w:val="Heading1"/>
        <w:rPr>
          <w:rFonts w:ascii="Arial" w:hAnsi="Arial"/>
          <w:color w:val="000000" w:themeColor="text1"/>
          <w:sz w:val="22"/>
          <w:szCs w:val="22"/>
        </w:rPr>
      </w:pPr>
      <w:bookmarkStart w:id="30" w:name="_Toc56805813"/>
      <w:r w:rsidRPr="00A93934">
        <w:rPr>
          <w:rFonts w:ascii="Arial" w:hAnsi="Arial"/>
          <w:color w:val="000000" w:themeColor="text1"/>
          <w:sz w:val="22"/>
          <w:szCs w:val="22"/>
        </w:rPr>
        <w:lastRenderedPageBreak/>
        <w:t>Task 7: Conclusion</w:t>
      </w:r>
      <w:bookmarkEnd w:id="30"/>
    </w:p>
    <w:p w:rsidR="007B7F7D" w:rsidRPr="00A93934" w:rsidRDefault="00086959" w:rsidP="00A93934">
      <w:pPr>
        <w:spacing w:line="360" w:lineRule="auto"/>
        <w:jc w:val="both"/>
        <w:rPr>
          <w:rFonts w:eastAsia="Times New Roman"/>
          <w:color w:val="000000" w:themeColor="text1"/>
          <w:lang w:val="en-GB"/>
        </w:rPr>
      </w:pPr>
      <w:r>
        <w:rPr>
          <w:rFonts w:eastAsia="Times New Roman"/>
          <w:color w:val="000000" w:themeColor="text1"/>
          <w:lang w:val="en-GB"/>
        </w:rPr>
        <w:t>I</w:t>
      </w:r>
      <w:r w:rsidR="00A77A79" w:rsidRPr="00A93934">
        <w:rPr>
          <w:rFonts w:eastAsia="Times New Roman"/>
          <w:color w:val="000000" w:themeColor="text1"/>
          <w:lang w:val="en-GB"/>
        </w:rPr>
        <w:t xml:space="preserve">t can be summarized that different elements of the business environment have separately influenced a firm. </w:t>
      </w:r>
      <w:r w:rsidR="007E6A9C" w:rsidRPr="00A93934">
        <w:rPr>
          <w:rFonts w:eastAsia="Times New Roman"/>
          <w:color w:val="000000" w:themeColor="text1"/>
          <w:lang w:val="en-GB"/>
        </w:rPr>
        <w:t>The study</w:t>
      </w:r>
      <w:r w:rsidR="006205D5" w:rsidRPr="00A93934">
        <w:rPr>
          <w:rFonts w:eastAsia="Times New Roman"/>
          <w:color w:val="000000" w:themeColor="text1"/>
          <w:lang w:val="en-GB"/>
        </w:rPr>
        <w:t xml:space="preserve"> of</w:t>
      </w:r>
      <w:r w:rsidR="007E6A9C" w:rsidRPr="00A93934">
        <w:rPr>
          <w:rFonts w:eastAsia="Times New Roman"/>
          <w:color w:val="000000" w:themeColor="text1"/>
          <w:lang w:val="en-GB"/>
        </w:rPr>
        <w:t xml:space="preserve"> this section covered strategic growth choices for Canners,</w:t>
      </w:r>
      <w:r w:rsidR="00697D5B" w:rsidRPr="00A93934">
        <w:rPr>
          <w:rFonts w:eastAsia="Times New Roman"/>
          <w:color w:val="000000" w:themeColor="text1"/>
          <w:lang w:val="en-GB"/>
        </w:rPr>
        <w:t xml:space="preserve"> through highlighting the analysis of </w:t>
      </w:r>
      <w:r w:rsidR="00DD4006" w:rsidRPr="00A93934">
        <w:rPr>
          <w:rFonts w:eastAsia="Times New Roman"/>
          <w:color w:val="000000" w:themeColor="text1"/>
          <w:lang w:val="en-GB"/>
        </w:rPr>
        <w:t>PES</w:t>
      </w:r>
      <w:r w:rsidR="00C936E7" w:rsidRPr="00A93934">
        <w:rPr>
          <w:rFonts w:eastAsia="Times New Roman"/>
          <w:color w:val="000000" w:themeColor="text1"/>
          <w:lang w:val="en-GB"/>
        </w:rPr>
        <w:t>TLE, SWOT as well as Porter’s five</w:t>
      </w:r>
      <w:r w:rsidR="00DD4006" w:rsidRPr="00A93934">
        <w:rPr>
          <w:rFonts w:eastAsia="Times New Roman"/>
          <w:color w:val="000000" w:themeColor="text1"/>
          <w:lang w:val="en-GB"/>
        </w:rPr>
        <w:t xml:space="preserve"> forces.</w:t>
      </w:r>
      <w:r w:rsidR="00FA7285" w:rsidRPr="00A93934">
        <w:rPr>
          <w:rFonts w:eastAsia="Times New Roman"/>
          <w:color w:val="000000" w:themeColor="text1"/>
          <w:lang w:val="en-GB"/>
        </w:rPr>
        <w:t xml:space="preserve"> The most efficient sustainable strategy for Canner will be </w:t>
      </w:r>
      <w:proofErr w:type="spellStart"/>
      <w:r w:rsidR="00FA7285" w:rsidRPr="00A93934">
        <w:rPr>
          <w:rFonts w:eastAsia="Times New Roman"/>
          <w:color w:val="000000" w:themeColor="text1"/>
          <w:lang w:val="en-GB"/>
        </w:rPr>
        <w:t>McKinseys</w:t>
      </w:r>
      <w:proofErr w:type="spellEnd"/>
      <w:r w:rsidR="00FA7285" w:rsidRPr="00A93934">
        <w:rPr>
          <w:rFonts w:eastAsia="Times New Roman"/>
          <w:color w:val="000000" w:themeColor="text1"/>
          <w:lang w:val="en-GB"/>
        </w:rPr>
        <w:t xml:space="preserve">   7s model, which shows that the business can introduce distribution and promotional offer for individuals, which adversely </w:t>
      </w:r>
      <w:r w:rsidR="006132FF" w:rsidRPr="00A93934">
        <w:rPr>
          <w:rFonts w:eastAsia="Times New Roman"/>
          <w:color w:val="000000" w:themeColor="text1"/>
          <w:lang w:val="en-GB"/>
        </w:rPr>
        <w:t>benefit the customers</w:t>
      </w:r>
      <w:r w:rsidR="00FA7285" w:rsidRPr="00A93934">
        <w:rPr>
          <w:rFonts w:eastAsia="Times New Roman"/>
          <w:color w:val="000000" w:themeColor="text1"/>
          <w:lang w:val="en-GB"/>
        </w:rPr>
        <w:t>.</w:t>
      </w:r>
      <w:r w:rsidR="00DA131A" w:rsidRPr="00A93934">
        <w:rPr>
          <w:rFonts w:eastAsia="Times New Roman"/>
          <w:color w:val="000000" w:themeColor="text1"/>
          <w:lang w:val="en-GB"/>
        </w:rPr>
        <w:t xml:space="preserve"> Moreover, the sustainable strategy for the long-term future of Canners, </w:t>
      </w:r>
      <w:r w:rsidR="00623D69" w:rsidRPr="00A93934">
        <w:rPr>
          <w:rFonts w:eastAsia="Times New Roman"/>
          <w:color w:val="000000" w:themeColor="text1"/>
          <w:lang w:val="en-GB"/>
        </w:rPr>
        <w:t xml:space="preserve">the company can introduce online shopping website. The projected </w:t>
      </w:r>
      <w:r w:rsidR="00C60340" w:rsidRPr="00A93934">
        <w:rPr>
          <w:rFonts w:eastAsia="Times New Roman"/>
          <w:color w:val="000000" w:themeColor="text1"/>
          <w:lang w:val="en-GB"/>
        </w:rPr>
        <w:t>value</w:t>
      </w:r>
      <w:r w:rsidR="00623D69" w:rsidRPr="00A93934">
        <w:rPr>
          <w:rFonts w:eastAsia="Times New Roman"/>
          <w:color w:val="000000" w:themeColor="text1"/>
          <w:lang w:val="en-GB"/>
        </w:rPr>
        <w:t xml:space="preserve"> of implementing suggested recommendation is </w:t>
      </w:r>
      <w:r w:rsidR="0069009D" w:rsidRPr="00A93934">
        <w:rPr>
          <w:rFonts w:eastAsia="Times New Roman"/>
          <w:color w:val="000000" w:themeColor="text1"/>
          <w:lang w:val="en-GB"/>
        </w:rPr>
        <w:t>getting a competitive advantage over market.</w:t>
      </w:r>
      <w:r w:rsidR="007B7F7D" w:rsidRPr="00A93934">
        <w:rPr>
          <w:rFonts w:eastAsia="Times New Roman"/>
          <w:color w:val="000000" w:themeColor="text1"/>
          <w:lang w:val="en-GB"/>
        </w:rPr>
        <w:t xml:space="preserve"> Along with this, the stakeholders including European Regional, Development Fund, Food manufacturers, Supplier Glenn </w:t>
      </w:r>
      <w:proofErr w:type="spellStart"/>
      <w:r w:rsidR="007B7F7D" w:rsidRPr="00A93934">
        <w:rPr>
          <w:rFonts w:eastAsia="Times New Roman"/>
          <w:color w:val="000000" w:themeColor="text1"/>
          <w:lang w:val="en-GB"/>
        </w:rPr>
        <w:t>Wadell</w:t>
      </w:r>
      <w:proofErr w:type="spellEnd"/>
      <w:r w:rsidR="007B7F7D" w:rsidRPr="00A93934">
        <w:rPr>
          <w:rFonts w:eastAsia="Times New Roman"/>
          <w:color w:val="000000" w:themeColor="text1"/>
          <w:lang w:val="en-GB"/>
        </w:rPr>
        <w:t xml:space="preserve">, Investors, Entitled funding sources, Fruit farming and market gardening </w:t>
      </w:r>
      <w:r w:rsidR="00C936E7" w:rsidRPr="00A93934">
        <w:rPr>
          <w:rFonts w:eastAsia="Times New Roman"/>
          <w:color w:val="000000" w:themeColor="text1"/>
          <w:lang w:val="en-GB"/>
        </w:rPr>
        <w:t>entities should</w:t>
      </w:r>
      <w:r w:rsidR="006B3E63" w:rsidRPr="00A93934">
        <w:rPr>
          <w:rFonts w:eastAsia="Times New Roman"/>
          <w:color w:val="000000" w:themeColor="text1"/>
          <w:lang w:val="en-GB"/>
        </w:rPr>
        <w:t xml:space="preserve"> be </w:t>
      </w:r>
      <w:r w:rsidR="00141966" w:rsidRPr="00A93934">
        <w:rPr>
          <w:rFonts w:eastAsia="Times New Roman"/>
          <w:color w:val="000000" w:themeColor="text1"/>
          <w:lang w:val="en-GB"/>
        </w:rPr>
        <w:t>involved</w:t>
      </w:r>
      <w:r w:rsidR="00BF51DC" w:rsidRPr="00A93934">
        <w:rPr>
          <w:rFonts w:eastAsia="Times New Roman"/>
          <w:color w:val="000000" w:themeColor="text1"/>
          <w:lang w:val="en-GB"/>
        </w:rPr>
        <w:t xml:space="preserve"> in </w:t>
      </w:r>
      <w:r w:rsidR="00B658EE" w:rsidRPr="00A93934">
        <w:rPr>
          <w:rFonts w:eastAsia="Times New Roman"/>
          <w:color w:val="000000" w:themeColor="text1"/>
          <w:lang w:val="en-GB"/>
        </w:rPr>
        <w:t xml:space="preserve">fulfilling </w:t>
      </w:r>
      <w:r w:rsidR="006D63B2" w:rsidRPr="00A93934">
        <w:rPr>
          <w:rFonts w:eastAsia="Times New Roman"/>
          <w:color w:val="000000" w:themeColor="text1"/>
          <w:lang w:val="en-GB"/>
        </w:rPr>
        <w:t xml:space="preserve">business </w:t>
      </w:r>
      <w:r w:rsidR="00B658EE" w:rsidRPr="00A93934">
        <w:rPr>
          <w:rFonts w:eastAsia="Times New Roman"/>
          <w:color w:val="000000" w:themeColor="text1"/>
          <w:lang w:val="en-GB"/>
        </w:rPr>
        <w:t>objectives</w:t>
      </w:r>
      <w:r w:rsidR="006D63B2" w:rsidRPr="00A93934">
        <w:rPr>
          <w:rFonts w:eastAsia="Times New Roman"/>
          <w:color w:val="000000" w:themeColor="text1"/>
          <w:lang w:val="en-GB"/>
        </w:rPr>
        <w:t xml:space="preserve">. </w:t>
      </w:r>
    </w:p>
    <w:p w:rsidR="00E41881" w:rsidRPr="00A93934" w:rsidRDefault="00A77A79" w:rsidP="00A93934">
      <w:pPr>
        <w:spacing w:line="360" w:lineRule="auto"/>
        <w:jc w:val="both"/>
        <w:rPr>
          <w:rFonts w:eastAsia="Times New Roman"/>
          <w:color w:val="000000" w:themeColor="text1"/>
          <w:lang w:val="en-GB"/>
        </w:rPr>
      </w:pPr>
      <w:r w:rsidRPr="00A93934">
        <w:rPr>
          <w:rFonts w:eastAsia="Times New Roman"/>
          <w:color w:val="000000" w:themeColor="text1"/>
          <w:lang w:val="en-GB"/>
        </w:rPr>
        <w:t xml:space="preserve">In this term, it can be highlighted that the ability of the strategic planning implementation has helped small-medium enterprises to improve their market position prominently. As a leading small-medium enterprise in the UK, the context of Davison Canners has been thoroughly discussed throughout the report. According to the threats as well as opportunities of Davison Canners, the strategic approach, growth strategy and recommendations have been </w:t>
      </w:r>
      <w:r w:rsidR="00C936E7" w:rsidRPr="00A93934">
        <w:rPr>
          <w:rFonts w:eastAsia="Times New Roman"/>
          <w:color w:val="000000" w:themeColor="text1"/>
          <w:lang w:val="en-GB"/>
        </w:rPr>
        <w:t>highlighted thoroughly</w:t>
      </w:r>
      <w:r w:rsidRPr="00A93934">
        <w:rPr>
          <w:rFonts w:eastAsia="Times New Roman"/>
          <w:color w:val="000000" w:themeColor="text1"/>
          <w:lang w:val="en-GB"/>
        </w:rPr>
        <w:t>.</w:t>
      </w:r>
    </w:p>
    <w:p w:rsidR="003C3DF2" w:rsidRPr="00A93934" w:rsidRDefault="002F0FE0" w:rsidP="00A93934">
      <w:pPr>
        <w:tabs>
          <w:tab w:val="left" w:pos="1140"/>
        </w:tabs>
        <w:spacing w:line="360" w:lineRule="auto"/>
        <w:jc w:val="both"/>
        <w:rPr>
          <w:rFonts w:eastAsia="Times New Roman"/>
          <w:b/>
          <w:lang w:val="en-GB"/>
        </w:rPr>
      </w:pPr>
      <w:r w:rsidRPr="00A93934">
        <w:rPr>
          <w:rFonts w:eastAsia="Times New Roman"/>
          <w:b/>
          <w:lang w:val="en-GB"/>
        </w:rPr>
        <w:tab/>
      </w:r>
    </w:p>
    <w:p w:rsidR="003C3DF2" w:rsidRPr="00A93934" w:rsidRDefault="003C3DF2" w:rsidP="00A93934">
      <w:pPr>
        <w:spacing w:line="360" w:lineRule="auto"/>
        <w:rPr>
          <w:rFonts w:eastAsia="Times New Roman"/>
          <w:b/>
          <w:lang w:val="en-GB"/>
        </w:rPr>
      </w:pPr>
      <w:r w:rsidRPr="00A93934">
        <w:rPr>
          <w:rFonts w:eastAsia="Times New Roman"/>
          <w:b/>
          <w:lang w:val="en-GB"/>
        </w:rPr>
        <w:br w:type="page"/>
      </w:r>
    </w:p>
    <w:p w:rsidR="00E41881" w:rsidRPr="00A93934" w:rsidRDefault="003C3DF2" w:rsidP="00A93934">
      <w:pPr>
        <w:pStyle w:val="Heading1"/>
        <w:rPr>
          <w:rFonts w:ascii="Arial" w:hAnsi="Arial"/>
          <w:color w:val="auto"/>
          <w:sz w:val="22"/>
          <w:szCs w:val="22"/>
        </w:rPr>
      </w:pPr>
      <w:bookmarkStart w:id="31" w:name="_Toc56805814"/>
      <w:r w:rsidRPr="00A93934">
        <w:rPr>
          <w:rFonts w:ascii="Arial" w:hAnsi="Arial"/>
          <w:color w:val="auto"/>
          <w:sz w:val="22"/>
          <w:szCs w:val="22"/>
        </w:rPr>
        <w:lastRenderedPageBreak/>
        <w:t>References</w:t>
      </w:r>
      <w:bookmarkEnd w:id="31"/>
    </w:p>
    <w:p w:rsidR="00CB6BDD" w:rsidRPr="00A93934" w:rsidRDefault="00CB6BDD" w:rsidP="00A93934">
      <w:pPr>
        <w:spacing w:line="360" w:lineRule="auto"/>
        <w:jc w:val="both"/>
        <w:rPr>
          <w:shd w:val="clear" w:color="auto" w:fill="FFFFFF"/>
        </w:rPr>
      </w:pPr>
      <w:proofErr w:type="spellStart"/>
      <w:proofErr w:type="gramStart"/>
      <w:r w:rsidRPr="00A93934">
        <w:rPr>
          <w:shd w:val="clear" w:color="auto" w:fill="FFFFFF"/>
        </w:rPr>
        <w:t>Abdo</w:t>
      </w:r>
      <w:proofErr w:type="spellEnd"/>
      <w:r w:rsidRPr="00A93934">
        <w:rPr>
          <w:shd w:val="clear" w:color="auto" w:fill="FFFFFF"/>
        </w:rPr>
        <w:t xml:space="preserve">, H., </w:t>
      </w:r>
      <w:proofErr w:type="spellStart"/>
      <w:r w:rsidRPr="00A93934">
        <w:rPr>
          <w:shd w:val="clear" w:color="auto" w:fill="FFFFFF"/>
        </w:rPr>
        <w:t>Mangena</w:t>
      </w:r>
      <w:proofErr w:type="spellEnd"/>
      <w:r w:rsidRPr="00A93934">
        <w:rPr>
          <w:shd w:val="clear" w:color="auto" w:fill="FFFFFF"/>
        </w:rPr>
        <w:t>, M., Needham, G. and Hunt, D., 2018, December.</w:t>
      </w:r>
      <w:proofErr w:type="gramEnd"/>
      <w:r w:rsidRPr="00A93934">
        <w:rPr>
          <w:shd w:val="clear" w:color="auto" w:fill="FFFFFF"/>
        </w:rPr>
        <w:t xml:space="preserve"> Disclosure of provisions for decommissioning costs in annual reports of oil and gas companies: A content analysis and stakeholder views. In </w:t>
      </w:r>
      <w:proofErr w:type="gramStart"/>
      <w:r w:rsidRPr="00A93934">
        <w:rPr>
          <w:i/>
          <w:iCs/>
          <w:shd w:val="clear" w:color="auto" w:fill="FFFFFF"/>
        </w:rPr>
        <w:t>Accounting</w:t>
      </w:r>
      <w:proofErr w:type="gramEnd"/>
      <w:r w:rsidRPr="00A93934">
        <w:rPr>
          <w:i/>
          <w:iCs/>
          <w:shd w:val="clear" w:color="auto" w:fill="FFFFFF"/>
        </w:rPr>
        <w:t xml:space="preserve"> forum</w:t>
      </w:r>
      <w:r w:rsidRPr="00A93934">
        <w:rPr>
          <w:shd w:val="clear" w:color="auto" w:fill="FFFFFF"/>
        </w:rPr>
        <w:t xml:space="preserve"> (Vol. 42, No. 4, pp. 341-358). </w:t>
      </w:r>
      <w:proofErr w:type="gramStart"/>
      <w:r w:rsidRPr="00A93934">
        <w:rPr>
          <w:shd w:val="clear" w:color="auto" w:fill="FFFFFF"/>
        </w:rPr>
        <w:t>No longer published by Elsevier.</w:t>
      </w:r>
      <w:proofErr w:type="gramEnd"/>
    </w:p>
    <w:p w:rsidR="00CB6BDD" w:rsidRPr="00A93934" w:rsidRDefault="00CB6BDD" w:rsidP="00A93934">
      <w:pPr>
        <w:pStyle w:val="Default"/>
        <w:spacing w:line="360" w:lineRule="auto"/>
        <w:jc w:val="both"/>
        <w:rPr>
          <w:color w:val="auto"/>
          <w:sz w:val="22"/>
          <w:szCs w:val="22"/>
        </w:rPr>
      </w:pPr>
      <w:proofErr w:type="spellStart"/>
      <w:proofErr w:type="gramStart"/>
      <w:r w:rsidRPr="00A93934">
        <w:rPr>
          <w:color w:val="auto"/>
          <w:sz w:val="22"/>
          <w:szCs w:val="22"/>
        </w:rPr>
        <w:t>Aktouf</w:t>
      </w:r>
      <w:proofErr w:type="spellEnd"/>
      <w:r w:rsidRPr="00A93934">
        <w:rPr>
          <w:color w:val="auto"/>
          <w:sz w:val="22"/>
          <w:szCs w:val="22"/>
        </w:rPr>
        <w:t xml:space="preserve">, O., </w:t>
      </w:r>
      <w:proofErr w:type="spellStart"/>
      <w:r w:rsidRPr="00A93934">
        <w:rPr>
          <w:color w:val="auto"/>
          <w:sz w:val="22"/>
          <w:szCs w:val="22"/>
        </w:rPr>
        <w:t>Chennoufi</w:t>
      </w:r>
      <w:proofErr w:type="spellEnd"/>
      <w:r w:rsidRPr="00A93934">
        <w:rPr>
          <w:color w:val="auto"/>
          <w:sz w:val="22"/>
          <w:szCs w:val="22"/>
        </w:rPr>
        <w:t xml:space="preserve">, M., and </w:t>
      </w:r>
      <w:proofErr w:type="spellStart"/>
      <w:r w:rsidRPr="00A93934">
        <w:rPr>
          <w:color w:val="auto"/>
          <w:sz w:val="22"/>
          <w:szCs w:val="22"/>
        </w:rPr>
        <w:t>Holford</w:t>
      </w:r>
      <w:proofErr w:type="spellEnd"/>
      <w:r w:rsidRPr="00A93934">
        <w:rPr>
          <w:color w:val="auto"/>
          <w:sz w:val="22"/>
          <w:szCs w:val="22"/>
        </w:rPr>
        <w:t>, W. (2011).</w:t>
      </w:r>
      <w:proofErr w:type="gramEnd"/>
      <w:r w:rsidRPr="00A93934">
        <w:rPr>
          <w:color w:val="auto"/>
          <w:sz w:val="22"/>
          <w:szCs w:val="22"/>
        </w:rPr>
        <w:t xml:space="preserve"> ‘</w:t>
      </w:r>
      <w:r w:rsidRPr="00A93934">
        <w:rPr>
          <w:i/>
          <w:color w:val="auto"/>
          <w:sz w:val="22"/>
          <w:szCs w:val="22"/>
        </w:rPr>
        <w:t>The strategic management framework: A methodological and epistemological examination. In Competition, Competitive Advantage, and Clusters</w:t>
      </w:r>
      <w:r w:rsidRPr="00A93934">
        <w:rPr>
          <w:color w:val="auto"/>
          <w:sz w:val="22"/>
          <w:szCs w:val="22"/>
        </w:rPr>
        <w:t>’ (Competition, Competitive Advantage, and Clusters, Chapter 5).Oxford University Press.</w:t>
      </w:r>
    </w:p>
    <w:p w:rsidR="00CB6BDD" w:rsidRPr="00A93934" w:rsidRDefault="00CB6BDD" w:rsidP="00A93934">
      <w:pPr>
        <w:pStyle w:val="Default"/>
        <w:spacing w:line="360" w:lineRule="auto"/>
        <w:jc w:val="both"/>
        <w:rPr>
          <w:color w:val="auto"/>
          <w:sz w:val="22"/>
          <w:szCs w:val="22"/>
          <w:shd w:val="clear" w:color="auto" w:fill="FFFFFF"/>
        </w:rPr>
      </w:pPr>
      <w:proofErr w:type="spellStart"/>
      <w:r w:rsidRPr="00A93934">
        <w:rPr>
          <w:color w:val="auto"/>
          <w:sz w:val="22"/>
          <w:szCs w:val="22"/>
          <w:shd w:val="clear" w:color="auto" w:fill="FFFFFF"/>
        </w:rPr>
        <w:t>Anvari</w:t>
      </w:r>
      <w:proofErr w:type="spellEnd"/>
      <w:r w:rsidRPr="00A93934">
        <w:rPr>
          <w:color w:val="auto"/>
          <w:sz w:val="22"/>
          <w:szCs w:val="22"/>
          <w:shd w:val="clear" w:color="auto" w:fill="FFFFFF"/>
        </w:rPr>
        <w:t xml:space="preserve">, R.D. and </w:t>
      </w:r>
      <w:proofErr w:type="spellStart"/>
      <w:r w:rsidRPr="00A93934">
        <w:rPr>
          <w:color w:val="auto"/>
          <w:sz w:val="22"/>
          <w:szCs w:val="22"/>
          <w:shd w:val="clear" w:color="auto" w:fill="FFFFFF"/>
        </w:rPr>
        <w:t>Norouzi</w:t>
      </w:r>
      <w:proofErr w:type="spellEnd"/>
      <w:r w:rsidRPr="00A93934">
        <w:rPr>
          <w:color w:val="auto"/>
          <w:sz w:val="22"/>
          <w:szCs w:val="22"/>
          <w:shd w:val="clear" w:color="auto" w:fill="FFFFFF"/>
        </w:rPr>
        <w:t>, D., (2016). The impact of e-commerce and R&amp;D on economic development in some selected countries. </w:t>
      </w:r>
      <w:proofErr w:type="gramStart"/>
      <w:r w:rsidRPr="00A93934">
        <w:rPr>
          <w:i/>
          <w:iCs/>
          <w:color w:val="auto"/>
          <w:sz w:val="22"/>
          <w:szCs w:val="22"/>
          <w:shd w:val="clear" w:color="auto" w:fill="FFFFFF"/>
        </w:rPr>
        <w:t>Procedia-Social and Behavioral Sciences</w:t>
      </w:r>
      <w:r w:rsidRPr="00A93934">
        <w:rPr>
          <w:color w:val="auto"/>
          <w:sz w:val="22"/>
          <w:szCs w:val="22"/>
          <w:shd w:val="clear" w:color="auto" w:fill="FFFFFF"/>
        </w:rPr>
        <w:t>, </w:t>
      </w:r>
      <w:r w:rsidRPr="00A93934">
        <w:rPr>
          <w:i/>
          <w:iCs/>
          <w:color w:val="auto"/>
          <w:sz w:val="22"/>
          <w:szCs w:val="22"/>
          <w:shd w:val="clear" w:color="auto" w:fill="FFFFFF"/>
        </w:rPr>
        <w:t>229</w:t>
      </w:r>
      <w:r w:rsidRPr="00A93934">
        <w:rPr>
          <w:color w:val="auto"/>
          <w:sz w:val="22"/>
          <w:szCs w:val="22"/>
          <w:shd w:val="clear" w:color="auto" w:fill="FFFFFF"/>
        </w:rPr>
        <w:t>, pp.354-362.</w:t>
      </w:r>
      <w:proofErr w:type="gramEnd"/>
    </w:p>
    <w:p w:rsidR="00CB6BDD" w:rsidRPr="00A93934" w:rsidRDefault="00CB6BDD" w:rsidP="00A93934">
      <w:pPr>
        <w:spacing w:line="360" w:lineRule="auto"/>
        <w:jc w:val="both"/>
        <w:rPr>
          <w:shd w:val="clear" w:color="auto" w:fill="FFFFFF"/>
        </w:rPr>
      </w:pPr>
      <w:proofErr w:type="spellStart"/>
      <w:proofErr w:type="gramStart"/>
      <w:r w:rsidRPr="00A93934">
        <w:rPr>
          <w:shd w:val="clear" w:color="auto" w:fill="FFFFFF"/>
        </w:rPr>
        <w:t>Ariyani</w:t>
      </w:r>
      <w:proofErr w:type="spellEnd"/>
      <w:r w:rsidRPr="00A93934">
        <w:rPr>
          <w:shd w:val="clear" w:color="auto" w:fill="FFFFFF"/>
        </w:rPr>
        <w:t xml:space="preserve">, W. and </w:t>
      </w:r>
      <w:proofErr w:type="spellStart"/>
      <w:r w:rsidRPr="00A93934">
        <w:rPr>
          <w:shd w:val="clear" w:color="auto" w:fill="FFFFFF"/>
        </w:rPr>
        <w:t>Daryanto</w:t>
      </w:r>
      <w:proofErr w:type="spellEnd"/>
      <w:r w:rsidRPr="00A93934">
        <w:rPr>
          <w:shd w:val="clear" w:color="auto" w:fill="FFFFFF"/>
        </w:rPr>
        <w:t>, A., 2018.</w:t>
      </w:r>
      <w:proofErr w:type="gramEnd"/>
      <w:r w:rsidRPr="00A93934">
        <w:rPr>
          <w:shd w:val="clear" w:color="auto" w:fill="FFFFFF"/>
        </w:rPr>
        <w:t xml:space="preserve"> Operationalization of Internal Analysis Using the VRIO Framework: Development of Scale for Resource and Capabilities Organization (Case Study: XYZ Company Animal Feed Business Unit). </w:t>
      </w:r>
      <w:proofErr w:type="gramStart"/>
      <w:r w:rsidRPr="00A93934">
        <w:rPr>
          <w:i/>
          <w:iCs/>
          <w:shd w:val="clear" w:color="auto" w:fill="FFFFFF"/>
        </w:rPr>
        <w:t>Asian Business Research Journal</w:t>
      </w:r>
      <w:r w:rsidRPr="00A93934">
        <w:rPr>
          <w:shd w:val="clear" w:color="auto" w:fill="FFFFFF"/>
        </w:rPr>
        <w:t>, </w:t>
      </w:r>
      <w:r w:rsidRPr="00A93934">
        <w:rPr>
          <w:i/>
          <w:iCs/>
          <w:shd w:val="clear" w:color="auto" w:fill="FFFFFF"/>
        </w:rPr>
        <w:t>3</w:t>
      </w:r>
      <w:r w:rsidRPr="00A93934">
        <w:rPr>
          <w:shd w:val="clear" w:color="auto" w:fill="FFFFFF"/>
        </w:rPr>
        <w:t>, pp.9-14.</w:t>
      </w:r>
      <w:proofErr w:type="gramEnd"/>
    </w:p>
    <w:p w:rsidR="00CB6BDD" w:rsidRPr="00A93934" w:rsidRDefault="00CB6BDD" w:rsidP="00A93934">
      <w:pPr>
        <w:pStyle w:val="Default"/>
        <w:spacing w:line="360" w:lineRule="auto"/>
        <w:jc w:val="both"/>
        <w:rPr>
          <w:i/>
          <w:color w:val="auto"/>
          <w:sz w:val="22"/>
          <w:szCs w:val="22"/>
        </w:rPr>
      </w:pPr>
      <w:r w:rsidRPr="00A93934">
        <w:rPr>
          <w:color w:val="auto"/>
          <w:sz w:val="22"/>
          <w:szCs w:val="22"/>
        </w:rPr>
        <w:t xml:space="preserve">assets.publishing.service.gov.uk, (2019), </w:t>
      </w:r>
      <w:r w:rsidRPr="00A93934">
        <w:rPr>
          <w:i/>
          <w:color w:val="auto"/>
          <w:sz w:val="22"/>
          <w:szCs w:val="22"/>
        </w:rPr>
        <w:t xml:space="preserve">Crime against businesses: findings from the 2018 Commercial </w:t>
      </w:r>
      <w:proofErr w:type="spellStart"/>
      <w:r w:rsidRPr="00A93934">
        <w:rPr>
          <w:i/>
          <w:color w:val="auto"/>
          <w:sz w:val="22"/>
          <w:szCs w:val="22"/>
        </w:rPr>
        <w:t>Victimisation</w:t>
      </w:r>
      <w:proofErr w:type="spellEnd"/>
      <w:r w:rsidRPr="00A93934">
        <w:rPr>
          <w:i/>
          <w:color w:val="auto"/>
          <w:sz w:val="22"/>
          <w:szCs w:val="22"/>
        </w:rPr>
        <w:t xml:space="preserve"> Survey</w:t>
      </w:r>
      <w:r w:rsidRPr="00A93934">
        <w:rPr>
          <w:color w:val="auto"/>
          <w:sz w:val="22"/>
          <w:szCs w:val="22"/>
        </w:rPr>
        <w:t xml:space="preserve"> available at: https://assets.publishing.service.gov.uk/government/uploads/system/uploads/attachment_data/file/829399/crime-against-businesses-2018-hosb1719.pdf [accessed on: 14/10/2020]</w:t>
      </w:r>
    </w:p>
    <w:p w:rsidR="00CB6BDD" w:rsidRPr="00A93934" w:rsidRDefault="00CB6BDD" w:rsidP="00A93934">
      <w:pPr>
        <w:pStyle w:val="Default"/>
        <w:spacing w:line="360" w:lineRule="auto"/>
        <w:jc w:val="both"/>
        <w:rPr>
          <w:color w:val="auto"/>
          <w:sz w:val="22"/>
          <w:szCs w:val="22"/>
        </w:rPr>
      </w:pPr>
      <w:proofErr w:type="gramStart"/>
      <w:r w:rsidRPr="00A93934">
        <w:rPr>
          <w:color w:val="auto"/>
          <w:sz w:val="22"/>
          <w:szCs w:val="22"/>
        </w:rPr>
        <w:t xml:space="preserve">Barney, J. B. and </w:t>
      </w:r>
      <w:proofErr w:type="spellStart"/>
      <w:r w:rsidRPr="00A93934">
        <w:rPr>
          <w:color w:val="auto"/>
          <w:sz w:val="22"/>
          <w:szCs w:val="22"/>
        </w:rPr>
        <w:t>Hesterly</w:t>
      </w:r>
      <w:proofErr w:type="spellEnd"/>
      <w:r w:rsidRPr="00A93934">
        <w:rPr>
          <w:color w:val="auto"/>
          <w:sz w:val="22"/>
          <w:szCs w:val="22"/>
        </w:rPr>
        <w:t>, W. S. (2012).</w:t>
      </w:r>
      <w:proofErr w:type="gramEnd"/>
      <w:r w:rsidRPr="00A93934">
        <w:rPr>
          <w:color w:val="auto"/>
          <w:sz w:val="22"/>
          <w:szCs w:val="22"/>
        </w:rPr>
        <w:t xml:space="preserve"> Strategic Management and Competitive Advantage: Concepts and Cases. 4th ed. Boston: Pearson. </w:t>
      </w:r>
    </w:p>
    <w:p w:rsidR="00CB6BDD" w:rsidRPr="00A93934" w:rsidRDefault="00CB6BDD" w:rsidP="00A93934">
      <w:pPr>
        <w:spacing w:line="360" w:lineRule="auto"/>
        <w:jc w:val="both"/>
        <w:rPr>
          <w:shd w:val="clear" w:color="auto" w:fill="FFFFFF"/>
        </w:rPr>
      </w:pPr>
      <w:proofErr w:type="spellStart"/>
      <w:r w:rsidRPr="00A93934">
        <w:rPr>
          <w:shd w:val="clear" w:color="auto" w:fill="FFFFFF"/>
        </w:rPr>
        <w:t>Buzatu</w:t>
      </w:r>
      <w:proofErr w:type="spellEnd"/>
      <w:r w:rsidRPr="00A93934">
        <w:rPr>
          <w:shd w:val="clear" w:color="auto" w:fill="FFFFFF"/>
        </w:rPr>
        <w:t xml:space="preserve">, A.I., </w:t>
      </w:r>
      <w:proofErr w:type="spellStart"/>
      <w:r w:rsidRPr="00A93934">
        <w:rPr>
          <w:shd w:val="clear" w:color="auto" w:fill="FFFFFF"/>
        </w:rPr>
        <w:t>Pleșea</w:t>
      </w:r>
      <w:proofErr w:type="spellEnd"/>
      <w:r w:rsidRPr="00A93934">
        <w:rPr>
          <w:shd w:val="clear" w:color="auto" w:fill="FFFFFF"/>
        </w:rPr>
        <w:t xml:space="preserve">, D.A. and Iulian, C., 2019. </w:t>
      </w:r>
      <w:proofErr w:type="gramStart"/>
      <w:r w:rsidRPr="00A93934">
        <w:rPr>
          <w:shd w:val="clear" w:color="auto" w:fill="FFFFFF"/>
        </w:rPr>
        <w:t xml:space="preserve">MANAGING ORGANIZATIONS FOR SUSTAINABLE BUSINESS DEVELOPMENT: INTERACTION BETWEEN VRIO FRAMEWORK AND </w:t>
      </w:r>
      <w:proofErr w:type="spellStart"/>
      <w:r w:rsidRPr="00A93934">
        <w:rPr>
          <w:shd w:val="clear" w:color="auto" w:fill="FFFFFF"/>
        </w:rPr>
        <w:t>McKINSEY</w:t>
      </w:r>
      <w:proofErr w:type="spellEnd"/>
      <w:r w:rsidRPr="00A93934">
        <w:rPr>
          <w:shd w:val="clear" w:color="auto" w:fill="FFFFFF"/>
        </w:rPr>
        <w:t xml:space="preserve"> 7S FRAMEWORK.</w:t>
      </w:r>
      <w:proofErr w:type="gramEnd"/>
      <w:r w:rsidRPr="00A93934">
        <w:rPr>
          <w:shd w:val="clear" w:color="auto" w:fill="FFFFFF"/>
        </w:rPr>
        <w:t> </w:t>
      </w:r>
      <w:proofErr w:type="gramStart"/>
      <w:r w:rsidRPr="00A93934">
        <w:rPr>
          <w:i/>
          <w:iCs/>
          <w:shd w:val="clear" w:color="auto" w:fill="FFFFFF"/>
        </w:rPr>
        <w:t>New Trends in Sustainable Business and Consumption</w:t>
      </w:r>
      <w:r w:rsidRPr="00A93934">
        <w:rPr>
          <w:shd w:val="clear" w:color="auto" w:fill="FFFFFF"/>
        </w:rPr>
        <w:t>, p.243.</w:t>
      </w:r>
      <w:proofErr w:type="gramEnd"/>
    </w:p>
    <w:p w:rsidR="00CB6BDD" w:rsidRPr="00A93934" w:rsidRDefault="00CB6BDD" w:rsidP="00A93934">
      <w:pPr>
        <w:pStyle w:val="Default"/>
        <w:spacing w:line="360" w:lineRule="auto"/>
        <w:jc w:val="both"/>
        <w:rPr>
          <w:color w:val="auto"/>
          <w:sz w:val="22"/>
          <w:szCs w:val="22"/>
        </w:rPr>
      </w:pPr>
      <w:r w:rsidRPr="00A93934">
        <w:rPr>
          <w:color w:val="auto"/>
          <w:sz w:val="22"/>
          <w:szCs w:val="22"/>
        </w:rPr>
        <w:t xml:space="preserve">Cole, B. M., (2019), </w:t>
      </w:r>
      <w:r w:rsidRPr="00A93934">
        <w:rPr>
          <w:i/>
          <w:color w:val="auto"/>
          <w:sz w:val="22"/>
          <w:szCs w:val="22"/>
        </w:rPr>
        <w:t xml:space="preserve">The Brexit Effect: How Will Small </w:t>
      </w:r>
      <w:proofErr w:type="gramStart"/>
      <w:r w:rsidRPr="00A93934">
        <w:rPr>
          <w:i/>
          <w:color w:val="auto"/>
          <w:sz w:val="22"/>
          <w:szCs w:val="22"/>
        </w:rPr>
        <w:t>And</w:t>
      </w:r>
      <w:proofErr w:type="gramEnd"/>
      <w:r w:rsidRPr="00A93934">
        <w:rPr>
          <w:i/>
          <w:color w:val="auto"/>
          <w:sz w:val="22"/>
          <w:szCs w:val="22"/>
        </w:rPr>
        <w:t xml:space="preserve"> Medium Sized Businesses Cope </w:t>
      </w:r>
      <w:r w:rsidRPr="00A93934">
        <w:rPr>
          <w:color w:val="auto"/>
          <w:sz w:val="22"/>
          <w:szCs w:val="22"/>
        </w:rPr>
        <w:t>[online], available at: https://www.forbes.com/sites/biancamillercole/2019/01/17/the-brexit-effect-how-will-small-medium-businesses-cope/#5f3c9ba87b2c [accessed on: 14/10/2020]</w:t>
      </w:r>
    </w:p>
    <w:p w:rsidR="00CB6BDD" w:rsidRPr="00A93934" w:rsidRDefault="009F5C86" w:rsidP="00A93934">
      <w:pPr>
        <w:pStyle w:val="Default"/>
        <w:spacing w:line="360" w:lineRule="auto"/>
        <w:jc w:val="both"/>
        <w:rPr>
          <w:color w:val="auto"/>
          <w:sz w:val="22"/>
          <w:szCs w:val="22"/>
        </w:rPr>
      </w:pPr>
      <w:r w:rsidRPr="00A93934">
        <w:rPr>
          <w:color w:val="auto"/>
          <w:sz w:val="22"/>
          <w:szCs w:val="22"/>
        </w:rPr>
        <w:t>D</w:t>
      </w:r>
      <w:r w:rsidR="00CB6BDD" w:rsidRPr="00A93934">
        <w:rPr>
          <w:color w:val="auto"/>
          <w:sz w:val="22"/>
          <w:szCs w:val="22"/>
        </w:rPr>
        <w:t xml:space="preserve">avisoncanners.com, (2020), </w:t>
      </w:r>
      <w:r w:rsidR="00CB6BDD" w:rsidRPr="00A93934">
        <w:rPr>
          <w:i/>
          <w:color w:val="auto"/>
          <w:sz w:val="22"/>
          <w:szCs w:val="22"/>
        </w:rPr>
        <w:t>OUR PEOPLE</w:t>
      </w:r>
      <w:r w:rsidR="00CB6BDD" w:rsidRPr="00A93934">
        <w:rPr>
          <w:color w:val="auto"/>
          <w:sz w:val="22"/>
          <w:szCs w:val="22"/>
        </w:rPr>
        <w:t>, available at: http://www.davisoncanners.com/ [accessed on: 14/10/2020]</w:t>
      </w:r>
    </w:p>
    <w:p w:rsidR="00CB6BDD" w:rsidRPr="00A93934" w:rsidRDefault="009F5C86" w:rsidP="00A93934">
      <w:pPr>
        <w:pStyle w:val="Default"/>
        <w:spacing w:line="360" w:lineRule="auto"/>
        <w:jc w:val="both"/>
        <w:rPr>
          <w:color w:val="auto"/>
          <w:sz w:val="22"/>
          <w:szCs w:val="22"/>
        </w:rPr>
      </w:pPr>
      <w:r w:rsidRPr="00A93934">
        <w:rPr>
          <w:color w:val="auto"/>
          <w:sz w:val="22"/>
          <w:szCs w:val="22"/>
        </w:rPr>
        <w:t>D</w:t>
      </w:r>
      <w:r w:rsidR="00CB6BDD" w:rsidRPr="00A93934">
        <w:rPr>
          <w:color w:val="auto"/>
          <w:sz w:val="22"/>
          <w:szCs w:val="22"/>
        </w:rPr>
        <w:t xml:space="preserve">avisoncanners.com, (2020), </w:t>
      </w:r>
      <w:r w:rsidR="00CB6BDD" w:rsidRPr="00A93934">
        <w:rPr>
          <w:i/>
          <w:color w:val="auto"/>
          <w:sz w:val="22"/>
          <w:szCs w:val="22"/>
        </w:rPr>
        <w:t>OUR STORY</w:t>
      </w:r>
      <w:r w:rsidR="00CB6BDD" w:rsidRPr="00A93934">
        <w:rPr>
          <w:color w:val="auto"/>
          <w:sz w:val="22"/>
          <w:szCs w:val="22"/>
        </w:rPr>
        <w:t>, available at: http://www.davisoncanners.com/ [accessed on: 14/10/2020]</w:t>
      </w:r>
    </w:p>
    <w:p w:rsidR="00CB6BDD" w:rsidRPr="00A93934" w:rsidRDefault="00CB6BDD" w:rsidP="00A93934">
      <w:pPr>
        <w:spacing w:line="360" w:lineRule="auto"/>
        <w:jc w:val="both"/>
        <w:rPr>
          <w:shd w:val="clear" w:color="auto" w:fill="FFFFFF"/>
        </w:rPr>
      </w:pPr>
      <w:proofErr w:type="spellStart"/>
      <w:r w:rsidRPr="00A93934">
        <w:rPr>
          <w:shd w:val="clear" w:color="auto" w:fill="FFFFFF"/>
        </w:rPr>
        <w:t>Dewi</w:t>
      </w:r>
      <w:proofErr w:type="spellEnd"/>
      <w:r w:rsidRPr="00A93934">
        <w:rPr>
          <w:shd w:val="clear" w:color="auto" w:fill="FFFFFF"/>
        </w:rPr>
        <w:t xml:space="preserve">, I.G.A.A.O. and </w:t>
      </w:r>
      <w:proofErr w:type="spellStart"/>
      <w:r w:rsidRPr="00A93934">
        <w:rPr>
          <w:shd w:val="clear" w:color="auto" w:fill="FFFFFF"/>
        </w:rPr>
        <w:t>Dewi</w:t>
      </w:r>
      <w:proofErr w:type="spellEnd"/>
      <w:r w:rsidRPr="00A93934">
        <w:rPr>
          <w:shd w:val="clear" w:color="auto" w:fill="FFFFFF"/>
        </w:rPr>
        <w:t xml:space="preserve">, I.G.A.A.P., 2017. </w:t>
      </w:r>
      <w:proofErr w:type="gramStart"/>
      <w:r w:rsidRPr="00A93934">
        <w:rPr>
          <w:shd w:val="clear" w:color="auto" w:fill="FFFFFF"/>
        </w:rPr>
        <w:t>Corporate social responsibility, green banking, and going concern on banking company in Indonesia stock exchange.</w:t>
      </w:r>
      <w:proofErr w:type="gramEnd"/>
      <w:r w:rsidRPr="00A93934">
        <w:rPr>
          <w:shd w:val="clear" w:color="auto" w:fill="FFFFFF"/>
        </w:rPr>
        <w:t> </w:t>
      </w:r>
      <w:proofErr w:type="gramStart"/>
      <w:r w:rsidRPr="00A93934">
        <w:rPr>
          <w:i/>
          <w:iCs/>
          <w:shd w:val="clear" w:color="auto" w:fill="FFFFFF"/>
        </w:rPr>
        <w:t>International journal of social sciences and humanities</w:t>
      </w:r>
      <w:r w:rsidRPr="00A93934">
        <w:rPr>
          <w:shd w:val="clear" w:color="auto" w:fill="FFFFFF"/>
        </w:rPr>
        <w:t>, </w:t>
      </w:r>
      <w:r w:rsidRPr="00A93934">
        <w:rPr>
          <w:i/>
          <w:iCs/>
          <w:shd w:val="clear" w:color="auto" w:fill="FFFFFF"/>
        </w:rPr>
        <w:t>1</w:t>
      </w:r>
      <w:r w:rsidRPr="00A93934">
        <w:rPr>
          <w:shd w:val="clear" w:color="auto" w:fill="FFFFFF"/>
        </w:rPr>
        <w:t>(3), pp.118-134.</w:t>
      </w:r>
      <w:proofErr w:type="gramEnd"/>
    </w:p>
    <w:p w:rsidR="00CB6BDD" w:rsidRPr="00A93934" w:rsidRDefault="00CB6BDD" w:rsidP="00A93934">
      <w:pPr>
        <w:pStyle w:val="Default"/>
        <w:spacing w:line="360" w:lineRule="auto"/>
        <w:jc w:val="both"/>
        <w:rPr>
          <w:color w:val="auto"/>
          <w:sz w:val="22"/>
          <w:szCs w:val="22"/>
          <w:shd w:val="clear" w:color="auto" w:fill="FFFFFF"/>
        </w:rPr>
      </w:pPr>
      <w:r w:rsidRPr="00A93934">
        <w:rPr>
          <w:color w:val="auto"/>
          <w:sz w:val="22"/>
          <w:szCs w:val="22"/>
          <w:shd w:val="clear" w:color="auto" w:fill="FFFFFF"/>
        </w:rPr>
        <w:lastRenderedPageBreak/>
        <w:t xml:space="preserve">Durand, R., Grant, R.M. and Madsen, T.L., (2017). </w:t>
      </w:r>
      <w:proofErr w:type="gramStart"/>
      <w:r w:rsidRPr="00A93934">
        <w:rPr>
          <w:color w:val="auto"/>
          <w:sz w:val="22"/>
          <w:szCs w:val="22"/>
          <w:shd w:val="clear" w:color="auto" w:fill="FFFFFF"/>
        </w:rPr>
        <w:t>The expanding domain of strategic management research and the quest for integration.</w:t>
      </w:r>
      <w:proofErr w:type="gramEnd"/>
      <w:r w:rsidRPr="00A93934">
        <w:rPr>
          <w:color w:val="auto"/>
          <w:sz w:val="22"/>
          <w:szCs w:val="22"/>
          <w:shd w:val="clear" w:color="auto" w:fill="FFFFFF"/>
        </w:rPr>
        <w:t> </w:t>
      </w:r>
      <w:proofErr w:type="gramStart"/>
      <w:r w:rsidRPr="00A93934">
        <w:rPr>
          <w:i/>
          <w:iCs/>
          <w:color w:val="auto"/>
          <w:sz w:val="22"/>
          <w:szCs w:val="22"/>
          <w:shd w:val="clear" w:color="auto" w:fill="FFFFFF"/>
        </w:rPr>
        <w:t>Strategic Management Journal</w:t>
      </w:r>
      <w:r w:rsidRPr="00A93934">
        <w:rPr>
          <w:color w:val="auto"/>
          <w:sz w:val="22"/>
          <w:szCs w:val="22"/>
          <w:shd w:val="clear" w:color="auto" w:fill="FFFFFF"/>
        </w:rPr>
        <w:t>, </w:t>
      </w:r>
      <w:r w:rsidRPr="00A93934">
        <w:rPr>
          <w:i/>
          <w:iCs/>
          <w:color w:val="auto"/>
          <w:sz w:val="22"/>
          <w:szCs w:val="22"/>
          <w:shd w:val="clear" w:color="auto" w:fill="FFFFFF"/>
        </w:rPr>
        <w:t>38</w:t>
      </w:r>
      <w:r w:rsidRPr="00A93934">
        <w:rPr>
          <w:color w:val="auto"/>
          <w:sz w:val="22"/>
          <w:szCs w:val="22"/>
          <w:shd w:val="clear" w:color="auto" w:fill="FFFFFF"/>
        </w:rPr>
        <w:t>(1), pp.4-16.</w:t>
      </w:r>
      <w:proofErr w:type="gramEnd"/>
    </w:p>
    <w:p w:rsidR="00CB6BDD" w:rsidRPr="00A93934" w:rsidRDefault="00CB6BDD" w:rsidP="00A93934">
      <w:pPr>
        <w:spacing w:line="360" w:lineRule="auto"/>
        <w:jc w:val="both"/>
        <w:rPr>
          <w:shd w:val="clear" w:color="auto" w:fill="FFFFFF"/>
        </w:rPr>
      </w:pPr>
      <w:proofErr w:type="spellStart"/>
      <w:r w:rsidRPr="00A93934">
        <w:rPr>
          <w:shd w:val="clear" w:color="auto" w:fill="FFFFFF"/>
        </w:rPr>
        <w:t>Fauzi</w:t>
      </w:r>
      <w:proofErr w:type="spellEnd"/>
      <w:r w:rsidRPr="00A93934">
        <w:rPr>
          <w:shd w:val="clear" w:color="auto" w:fill="FFFFFF"/>
        </w:rPr>
        <w:t xml:space="preserve">, T.H., 2017. </w:t>
      </w:r>
      <w:proofErr w:type="gramStart"/>
      <w:r w:rsidRPr="00A93934">
        <w:rPr>
          <w:shd w:val="clear" w:color="auto" w:fill="FFFFFF"/>
        </w:rPr>
        <w:t>Analysis on Stakeholder Approach as An Effort to Increase Customer’s Loyalty.</w:t>
      </w:r>
      <w:proofErr w:type="gramEnd"/>
      <w:r w:rsidRPr="00A93934">
        <w:rPr>
          <w:shd w:val="clear" w:color="auto" w:fill="FFFFFF"/>
        </w:rPr>
        <w:t> </w:t>
      </w:r>
      <w:proofErr w:type="gramStart"/>
      <w:r w:rsidRPr="00A93934">
        <w:rPr>
          <w:i/>
          <w:iCs/>
          <w:shd w:val="clear" w:color="auto" w:fill="FFFFFF"/>
        </w:rPr>
        <w:t>Journal of Applied Sciences Research</w:t>
      </w:r>
      <w:r w:rsidRPr="00A93934">
        <w:rPr>
          <w:shd w:val="clear" w:color="auto" w:fill="FFFFFF"/>
        </w:rPr>
        <w:t>, pp.2485-2488.</w:t>
      </w:r>
      <w:proofErr w:type="gramEnd"/>
    </w:p>
    <w:p w:rsidR="00CB6BDD" w:rsidRPr="00A93934" w:rsidRDefault="00CB6BDD" w:rsidP="00A93934">
      <w:pPr>
        <w:pStyle w:val="Default"/>
        <w:spacing w:line="360" w:lineRule="auto"/>
        <w:jc w:val="both"/>
        <w:rPr>
          <w:color w:val="auto"/>
          <w:sz w:val="22"/>
          <w:szCs w:val="22"/>
        </w:rPr>
      </w:pPr>
      <w:proofErr w:type="spellStart"/>
      <w:proofErr w:type="gramStart"/>
      <w:r w:rsidRPr="00A93934">
        <w:rPr>
          <w:color w:val="auto"/>
          <w:sz w:val="22"/>
          <w:szCs w:val="22"/>
          <w:shd w:val="clear" w:color="auto" w:fill="FFFFFF"/>
        </w:rPr>
        <w:t>Gans</w:t>
      </w:r>
      <w:proofErr w:type="spellEnd"/>
      <w:r w:rsidRPr="00A93934">
        <w:rPr>
          <w:color w:val="auto"/>
          <w:sz w:val="22"/>
          <w:szCs w:val="22"/>
          <w:shd w:val="clear" w:color="auto" w:fill="FFFFFF"/>
        </w:rPr>
        <w:t>, J. and Ryall, M.D., (2017).</w:t>
      </w:r>
      <w:proofErr w:type="gramEnd"/>
      <w:r w:rsidRPr="00A93934">
        <w:rPr>
          <w:color w:val="auto"/>
          <w:sz w:val="22"/>
          <w:szCs w:val="22"/>
          <w:shd w:val="clear" w:color="auto" w:fill="FFFFFF"/>
        </w:rPr>
        <w:t xml:space="preserve"> Value capture theory: A strategic management review. </w:t>
      </w:r>
      <w:r w:rsidRPr="00A93934">
        <w:rPr>
          <w:i/>
          <w:iCs/>
          <w:color w:val="auto"/>
          <w:sz w:val="22"/>
          <w:szCs w:val="22"/>
          <w:shd w:val="clear" w:color="auto" w:fill="FFFFFF"/>
        </w:rPr>
        <w:t>Strategic Management Journal</w:t>
      </w:r>
      <w:r w:rsidRPr="00A93934">
        <w:rPr>
          <w:color w:val="auto"/>
          <w:sz w:val="22"/>
          <w:szCs w:val="22"/>
          <w:shd w:val="clear" w:color="auto" w:fill="FFFFFF"/>
        </w:rPr>
        <w:t>, </w:t>
      </w:r>
      <w:r w:rsidRPr="00A93934">
        <w:rPr>
          <w:i/>
          <w:iCs/>
          <w:color w:val="auto"/>
          <w:sz w:val="22"/>
          <w:szCs w:val="22"/>
          <w:shd w:val="clear" w:color="auto" w:fill="FFFFFF"/>
        </w:rPr>
        <w:t>38</w:t>
      </w:r>
      <w:r w:rsidRPr="00A93934">
        <w:rPr>
          <w:color w:val="auto"/>
          <w:sz w:val="22"/>
          <w:szCs w:val="22"/>
          <w:shd w:val="clear" w:color="auto" w:fill="FFFFFF"/>
        </w:rPr>
        <w:t>(1), pp.17-41</w:t>
      </w:r>
    </w:p>
    <w:p w:rsidR="00CB6BDD" w:rsidRPr="00A93934" w:rsidRDefault="009037A0" w:rsidP="00A93934">
      <w:pPr>
        <w:pStyle w:val="Default"/>
        <w:spacing w:line="360" w:lineRule="auto"/>
        <w:jc w:val="both"/>
        <w:rPr>
          <w:color w:val="auto"/>
          <w:sz w:val="22"/>
          <w:szCs w:val="22"/>
        </w:rPr>
      </w:pPr>
      <w:r w:rsidRPr="00A93934">
        <w:rPr>
          <w:color w:val="FF0000"/>
          <w:sz w:val="22"/>
          <w:szCs w:val="22"/>
        </w:rPr>
        <w:t>G</w:t>
      </w:r>
      <w:r w:rsidR="00CB6BDD" w:rsidRPr="00A93934">
        <w:rPr>
          <w:color w:val="FF0000"/>
          <w:sz w:val="22"/>
          <w:szCs w:val="22"/>
        </w:rPr>
        <w:t xml:space="preserve">ov.uk, </w:t>
      </w:r>
      <w:r w:rsidR="00CB6BDD" w:rsidRPr="00A93934">
        <w:rPr>
          <w:color w:val="auto"/>
          <w:sz w:val="22"/>
          <w:szCs w:val="22"/>
        </w:rPr>
        <w:t xml:space="preserve">(2019), </w:t>
      </w:r>
      <w:r w:rsidR="00CB6BDD" w:rsidRPr="00A93934">
        <w:rPr>
          <w:i/>
          <w:color w:val="auto"/>
          <w:sz w:val="22"/>
          <w:szCs w:val="22"/>
        </w:rPr>
        <w:t>£2 million investment to help small businesses to grow</w:t>
      </w:r>
      <w:r w:rsidR="00CB6BDD" w:rsidRPr="00A93934">
        <w:rPr>
          <w:color w:val="auto"/>
          <w:sz w:val="22"/>
          <w:szCs w:val="22"/>
        </w:rPr>
        <w:t>, available at: https://www.gov.uk/government/news/2-million-investment-to-help-small-businesses-to-grow [accessed on: 14/10/2020]</w:t>
      </w:r>
    </w:p>
    <w:p w:rsidR="00CB6BDD" w:rsidRPr="00A93934" w:rsidRDefault="009F5C86" w:rsidP="00A93934">
      <w:pPr>
        <w:pStyle w:val="Default"/>
        <w:spacing w:line="360" w:lineRule="auto"/>
        <w:jc w:val="both"/>
        <w:rPr>
          <w:color w:val="auto"/>
          <w:sz w:val="22"/>
          <w:szCs w:val="22"/>
        </w:rPr>
      </w:pPr>
      <w:r w:rsidRPr="00A93934">
        <w:rPr>
          <w:color w:val="auto"/>
          <w:sz w:val="22"/>
          <w:szCs w:val="22"/>
        </w:rPr>
        <w:t>G</w:t>
      </w:r>
      <w:r w:rsidR="00CB6BDD" w:rsidRPr="00A93934">
        <w:rPr>
          <w:color w:val="auto"/>
          <w:sz w:val="22"/>
          <w:szCs w:val="22"/>
        </w:rPr>
        <w:t xml:space="preserve">ov.uk, (2020), </w:t>
      </w:r>
      <w:r w:rsidR="00CB6BDD" w:rsidRPr="00A93934">
        <w:rPr>
          <w:i/>
          <w:color w:val="auto"/>
          <w:sz w:val="22"/>
          <w:szCs w:val="22"/>
        </w:rPr>
        <w:t>National Minimum Wage and National Living Wage rates</w:t>
      </w:r>
      <w:r w:rsidR="00CB6BDD" w:rsidRPr="00A93934">
        <w:rPr>
          <w:color w:val="auto"/>
          <w:sz w:val="22"/>
          <w:szCs w:val="22"/>
        </w:rPr>
        <w:t>, available at: https://www.gov.uk/national-minimum-wage-rates [accessed on: 14/10/2020]</w:t>
      </w:r>
    </w:p>
    <w:p w:rsidR="00CB6BDD" w:rsidRPr="00A93934" w:rsidRDefault="009F5C86" w:rsidP="00A93934">
      <w:pPr>
        <w:pStyle w:val="Default"/>
        <w:spacing w:line="360" w:lineRule="auto"/>
        <w:jc w:val="both"/>
        <w:rPr>
          <w:color w:val="auto"/>
          <w:sz w:val="22"/>
          <w:szCs w:val="22"/>
        </w:rPr>
      </w:pPr>
      <w:r w:rsidRPr="00A93934">
        <w:rPr>
          <w:color w:val="auto"/>
          <w:sz w:val="22"/>
          <w:szCs w:val="22"/>
        </w:rPr>
        <w:t>I</w:t>
      </w:r>
      <w:r w:rsidR="00CB6BDD" w:rsidRPr="00A93934">
        <w:rPr>
          <w:color w:val="auto"/>
          <w:sz w:val="22"/>
          <w:szCs w:val="22"/>
        </w:rPr>
        <w:t xml:space="preserve">bisworld.com, (2020), </w:t>
      </w:r>
      <w:r w:rsidR="00CB6BDD" w:rsidRPr="00A93934">
        <w:rPr>
          <w:i/>
          <w:color w:val="auto"/>
          <w:sz w:val="22"/>
          <w:szCs w:val="22"/>
        </w:rPr>
        <w:t>How disruption from COVID-19 is affecting SMEs</w:t>
      </w:r>
      <w:r w:rsidR="00CB6BDD" w:rsidRPr="00A93934">
        <w:rPr>
          <w:color w:val="auto"/>
          <w:sz w:val="22"/>
          <w:szCs w:val="22"/>
        </w:rPr>
        <w:t>, available at: https://www.ibisworld.com/industry-insider/coronavirus-insights/how-disruption-from-covid-19-is-affecting-smes/ [accessed on: 14/10/2020]</w:t>
      </w:r>
    </w:p>
    <w:p w:rsidR="00CB6BDD" w:rsidRPr="00A93934" w:rsidRDefault="00CB6BDD" w:rsidP="00A93934">
      <w:pPr>
        <w:pStyle w:val="Default"/>
        <w:spacing w:line="360" w:lineRule="auto"/>
        <w:jc w:val="both"/>
        <w:rPr>
          <w:color w:val="auto"/>
          <w:sz w:val="22"/>
          <w:szCs w:val="22"/>
        </w:rPr>
      </w:pPr>
      <w:r w:rsidRPr="00A93934">
        <w:rPr>
          <w:color w:val="auto"/>
          <w:sz w:val="22"/>
          <w:szCs w:val="22"/>
        </w:rPr>
        <w:t xml:space="preserve">Johnson, G., </w:t>
      </w:r>
      <w:proofErr w:type="spellStart"/>
      <w:r w:rsidRPr="00A93934">
        <w:rPr>
          <w:color w:val="auto"/>
          <w:sz w:val="22"/>
          <w:szCs w:val="22"/>
        </w:rPr>
        <w:t>Angwin</w:t>
      </w:r>
      <w:proofErr w:type="spellEnd"/>
      <w:r w:rsidRPr="00A93934">
        <w:rPr>
          <w:color w:val="auto"/>
          <w:sz w:val="22"/>
          <w:szCs w:val="22"/>
        </w:rPr>
        <w:t xml:space="preserve">, D., </w:t>
      </w:r>
      <w:proofErr w:type="spellStart"/>
      <w:r w:rsidRPr="00A93934">
        <w:rPr>
          <w:color w:val="auto"/>
          <w:sz w:val="22"/>
          <w:szCs w:val="22"/>
        </w:rPr>
        <w:t>Regner</w:t>
      </w:r>
      <w:proofErr w:type="spellEnd"/>
      <w:r w:rsidRPr="00A93934">
        <w:rPr>
          <w:color w:val="auto"/>
          <w:sz w:val="22"/>
          <w:szCs w:val="22"/>
        </w:rPr>
        <w:t>, P., Scholes, K., and Whittington, R. (2014).</w:t>
      </w:r>
      <w:r w:rsidRPr="00A93934">
        <w:rPr>
          <w:i/>
          <w:color w:val="auto"/>
          <w:sz w:val="22"/>
          <w:szCs w:val="22"/>
        </w:rPr>
        <w:t xml:space="preserve">Exploring strategy (Tenth </w:t>
      </w:r>
      <w:proofErr w:type="gramStart"/>
      <w:r w:rsidRPr="00A93934">
        <w:rPr>
          <w:i/>
          <w:color w:val="auto"/>
          <w:sz w:val="22"/>
          <w:szCs w:val="22"/>
        </w:rPr>
        <w:t>ed</w:t>
      </w:r>
      <w:proofErr w:type="gramEnd"/>
      <w:r w:rsidRPr="00A93934">
        <w:rPr>
          <w:i/>
          <w:color w:val="auto"/>
          <w:sz w:val="22"/>
          <w:szCs w:val="22"/>
        </w:rPr>
        <w:t>.).</w:t>
      </w:r>
      <w:r w:rsidRPr="00A93934">
        <w:rPr>
          <w:color w:val="auto"/>
          <w:sz w:val="22"/>
          <w:szCs w:val="22"/>
        </w:rPr>
        <w:t xml:space="preserve"> Harlow: Prentice hall </w:t>
      </w:r>
    </w:p>
    <w:p w:rsidR="00CB6BDD" w:rsidRPr="00A93934" w:rsidRDefault="00CB6BDD" w:rsidP="00A93934">
      <w:pPr>
        <w:pStyle w:val="Default"/>
        <w:spacing w:line="360" w:lineRule="auto"/>
        <w:jc w:val="both"/>
        <w:rPr>
          <w:color w:val="auto"/>
          <w:sz w:val="22"/>
          <w:szCs w:val="22"/>
          <w:shd w:val="clear" w:color="auto" w:fill="FFFFFF"/>
        </w:rPr>
      </w:pPr>
      <w:r w:rsidRPr="00A93934">
        <w:rPr>
          <w:color w:val="auto"/>
          <w:sz w:val="22"/>
          <w:szCs w:val="22"/>
          <w:shd w:val="clear" w:color="auto" w:fill="FFFFFF"/>
          <w:lang w:val="en-IN"/>
        </w:rPr>
        <w:t xml:space="preserve">Koch, T. and </w:t>
      </w:r>
      <w:proofErr w:type="spellStart"/>
      <w:r w:rsidRPr="00A93934">
        <w:rPr>
          <w:color w:val="auto"/>
          <w:sz w:val="22"/>
          <w:szCs w:val="22"/>
          <w:shd w:val="clear" w:color="auto" w:fill="FFFFFF"/>
          <w:lang w:val="en-IN"/>
        </w:rPr>
        <w:t>Windsperger</w:t>
      </w:r>
      <w:proofErr w:type="spellEnd"/>
      <w:r w:rsidRPr="00A93934">
        <w:rPr>
          <w:color w:val="auto"/>
          <w:sz w:val="22"/>
          <w:szCs w:val="22"/>
          <w:shd w:val="clear" w:color="auto" w:fill="FFFFFF"/>
          <w:lang w:val="en-IN"/>
        </w:rPr>
        <w:t xml:space="preserve">, J. (2017) </w:t>
      </w:r>
      <w:proofErr w:type="gramStart"/>
      <w:r w:rsidRPr="00A93934">
        <w:rPr>
          <w:color w:val="auto"/>
          <w:sz w:val="22"/>
          <w:szCs w:val="22"/>
          <w:shd w:val="clear" w:color="auto" w:fill="FFFFFF"/>
          <w:lang w:val="en-IN"/>
        </w:rPr>
        <w:t>Seeing</w:t>
      </w:r>
      <w:proofErr w:type="gramEnd"/>
      <w:r w:rsidRPr="00A93934">
        <w:rPr>
          <w:color w:val="auto"/>
          <w:sz w:val="22"/>
          <w:szCs w:val="22"/>
          <w:shd w:val="clear" w:color="auto" w:fill="FFFFFF"/>
          <w:lang w:val="en-IN"/>
        </w:rPr>
        <w:t xml:space="preserve"> through the network: Competitive advantage in the digital economy. </w:t>
      </w:r>
      <w:r w:rsidRPr="00A93934">
        <w:rPr>
          <w:i/>
          <w:iCs/>
          <w:color w:val="auto"/>
          <w:sz w:val="22"/>
          <w:szCs w:val="22"/>
          <w:shd w:val="clear" w:color="auto" w:fill="FFFFFF"/>
          <w:lang w:val="en-IN"/>
        </w:rPr>
        <w:t>Journal of Organization Design, 6</w:t>
      </w:r>
      <w:r w:rsidRPr="00A93934">
        <w:rPr>
          <w:iCs/>
          <w:color w:val="auto"/>
          <w:sz w:val="22"/>
          <w:szCs w:val="22"/>
          <w:shd w:val="clear" w:color="auto" w:fill="FFFFFF"/>
          <w:lang w:val="en-IN"/>
        </w:rPr>
        <w:t>(6), pp.1-30</w:t>
      </w:r>
    </w:p>
    <w:p w:rsidR="00CB6BDD" w:rsidRPr="00A93934" w:rsidRDefault="00CB6BDD" w:rsidP="00A93934">
      <w:pPr>
        <w:spacing w:line="360" w:lineRule="auto"/>
        <w:jc w:val="both"/>
        <w:rPr>
          <w:shd w:val="clear" w:color="auto" w:fill="FFFFFF"/>
        </w:rPr>
      </w:pPr>
      <w:proofErr w:type="spellStart"/>
      <w:r w:rsidRPr="00A93934">
        <w:rPr>
          <w:shd w:val="clear" w:color="auto" w:fill="FFFFFF"/>
        </w:rPr>
        <w:t>Krivačić</w:t>
      </w:r>
      <w:proofErr w:type="spellEnd"/>
      <w:r w:rsidRPr="00A93934">
        <w:rPr>
          <w:shd w:val="clear" w:color="auto" w:fill="FFFFFF"/>
        </w:rPr>
        <w:t>, D., 2017. Sustainability reporting quality: the analysis of companies in Croatia. </w:t>
      </w:r>
      <w:proofErr w:type="gramStart"/>
      <w:r w:rsidRPr="00A93934">
        <w:rPr>
          <w:i/>
          <w:iCs/>
          <w:shd w:val="clear" w:color="auto" w:fill="FFFFFF"/>
        </w:rPr>
        <w:t>Journal of accounting and management</w:t>
      </w:r>
      <w:r w:rsidRPr="00A93934">
        <w:rPr>
          <w:shd w:val="clear" w:color="auto" w:fill="FFFFFF"/>
        </w:rPr>
        <w:t>, </w:t>
      </w:r>
      <w:r w:rsidRPr="00A93934">
        <w:rPr>
          <w:i/>
          <w:iCs/>
          <w:shd w:val="clear" w:color="auto" w:fill="FFFFFF"/>
        </w:rPr>
        <w:t>7</w:t>
      </w:r>
      <w:r w:rsidRPr="00A93934">
        <w:rPr>
          <w:shd w:val="clear" w:color="auto" w:fill="FFFFFF"/>
        </w:rPr>
        <w:t>(1), pp.1-14.</w:t>
      </w:r>
      <w:proofErr w:type="gramEnd"/>
    </w:p>
    <w:p w:rsidR="00CB6BDD" w:rsidRPr="00A93934" w:rsidRDefault="00CB6BDD" w:rsidP="00A93934">
      <w:pPr>
        <w:pStyle w:val="Default"/>
        <w:spacing w:line="360" w:lineRule="auto"/>
        <w:jc w:val="both"/>
        <w:rPr>
          <w:color w:val="auto"/>
          <w:sz w:val="22"/>
          <w:szCs w:val="22"/>
          <w:shd w:val="clear" w:color="auto" w:fill="FFFFFF"/>
        </w:rPr>
      </w:pPr>
      <w:proofErr w:type="spellStart"/>
      <w:r w:rsidRPr="00A93934">
        <w:rPr>
          <w:color w:val="auto"/>
          <w:sz w:val="22"/>
          <w:szCs w:val="22"/>
          <w:shd w:val="clear" w:color="auto" w:fill="FFFFFF"/>
        </w:rPr>
        <w:t>Loredana</w:t>
      </w:r>
      <w:proofErr w:type="spellEnd"/>
      <w:r w:rsidRPr="00A93934">
        <w:rPr>
          <w:color w:val="auto"/>
          <w:sz w:val="22"/>
          <w:szCs w:val="22"/>
          <w:shd w:val="clear" w:color="auto" w:fill="FFFFFF"/>
        </w:rPr>
        <w:t xml:space="preserve">, E.M., (2017). </w:t>
      </w:r>
      <w:proofErr w:type="gramStart"/>
      <w:r w:rsidRPr="00A93934">
        <w:rPr>
          <w:color w:val="auto"/>
          <w:sz w:val="22"/>
          <w:szCs w:val="22"/>
          <w:shd w:val="clear" w:color="auto" w:fill="FFFFFF"/>
        </w:rPr>
        <w:t xml:space="preserve">The use of </w:t>
      </w:r>
      <w:proofErr w:type="spellStart"/>
      <w:r w:rsidRPr="00A93934">
        <w:rPr>
          <w:color w:val="auto"/>
          <w:sz w:val="22"/>
          <w:szCs w:val="22"/>
          <w:shd w:val="clear" w:color="auto" w:fill="FFFFFF"/>
        </w:rPr>
        <w:t>Ansoff</w:t>
      </w:r>
      <w:proofErr w:type="spellEnd"/>
      <w:r w:rsidRPr="00A93934">
        <w:rPr>
          <w:color w:val="auto"/>
          <w:sz w:val="22"/>
          <w:szCs w:val="22"/>
          <w:shd w:val="clear" w:color="auto" w:fill="FFFFFF"/>
        </w:rPr>
        <w:t xml:space="preserve"> matrix in the field of business.</w:t>
      </w:r>
      <w:proofErr w:type="gramEnd"/>
      <w:r w:rsidRPr="00A93934">
        <w:rPr>
          <w:color w:val="auto"/>
          <w:sz w:val="22"/>
          <w:szCs w:val="22"/>
          <w:shd w:val="clear" w:color="auto" w:fill="FFFFFF"/>
        </w:rPr>
        <w:t> </w:t>
      </w:r>
      <w:proofErr w:type="gramStart"/>
      <w:r w:rsidRPr="00A93934">
        <w:rPr>
          <w:i/>
          <w:iCs/>
          <w:color w:val="auto"/>
          <w:sz w:val="22"/>
          <w:szCs w:val="22"/>
          <w:shd w:val="clear" w:color="auto" w:fill="FFFFFF"/>
        </w:rPr>
        <w:t>Annals-Economy Series</w:t>
      </w:r>
      <w:r w:rsidRPr="00A93934">
        <w:rPr>
          <w:color w:val="auto"/>
          <w:sz w:val="22"/>
          <w:szCs w:val="22"/>
          <w:shd w:val="clear" w:color="auto" w:fill="FFFFFF"/>
        </w:rPr>
        <w:t>, </w:t>
      </w:r>
      <w:r w:rsidRPr="00A93934">
        <w:rPr>
          <w:i/>
          <w:iCs/>
          <w:color w:val="auto"/>
          <w:sz w:val="22"/>
          <w:szCs w:val="22"/>
          <w:shd w:val="clear" w:color="auto" w:fill="FFFFFF"/>
        </w:rPr>
        <w:t>2</w:t>
      </w:r>
      <w:r w:rsidRPr="00A93934">
        <w:rPr>
          <w:color w:val="auto"/>
          <w:sz w:val="22"/>
          <w:szCs w:val="22"/>
          <w:shd w:val="clear" w:color="auto" w:fill="FFFFFF"/>
        </w:rPr>
        <w:t>(S1), pp.141-149.</w:t>
      </w:r>
      <w:proofErr w:type="gramEnd"/>
    </w:p>
    <w:p w:rsidR="00CB6BDD" w:rsidRPr="00A93934" w:rsidRDefault="00CB6BDD" w:rsidP="00A93934">
      <w:pPr>
        <w:pStyle w:val="Default"/>
        <w:spacing w:line="360" w:lineRule="auto"/>
        <w:jc w:val="both"/>
        <w:rPr>
          <w:color w:val="auto"/>
          <w:sz w:val="22"/>
          <w:szCs w:val="22"/>
          <w:shd w:val="clear" w:color="auto" w:fill="FFFFFF"/>
        </w:rPr>
      </w:pPr>
      <w:r w:rsidRPr="00A93934">
        <w:rPr>
          <w:color w:val="auto"/>
          <w:sz w:val="22"/>
          <w:szCs w:val="22"/>
          <w:shd w:val="clear" w:color="auto" w:fill="FFFFFF"/>
        </w:rPr>
        <w:t xml:space="preserve">Lothian, J.R., (2016). </w:t>
      </w:r>
      <w:proofErr w:type="gramStart"/>
      <w:r w:rsidRPr="00A93934">
        <w:rPr>
          <w:color w:val="auto"/>
          <w:sz w:val="22"/>
          <w:szCs w:val="22"/>
          <w:shd w:val="clear" w:color="auto" w:fill="FFFFFF"/>
        </w:rPr>
        <w:t>Purchasing power parity and the behavior of prices and nominal exchange rates across exchange-rate regimes.</w:t>
      </w:r>
      <w:proofErr w:type="gramEnd"/>
      <w:r w:rsidRPr="00A93934">
        <w:rPr>
          <w:color w:val="auto"/>
          <w:sz w:val="22"/>
          <w:szCs w:val="22"/>
          <w:shd w:val="clear" w:color="auto" w:fill="FFFFFF"/>
        </w:rPr>
        <w:t> </w:t>
      </w:r>
      <w:proofErr w:type="gramStart"/>
      <w:r w:rsidRPr="00A93934">
        <w:rPr>
          <w:i/>
          <w:iCs/>
          <w:color w:val="auto"/>
          <w:sz w:val="22"/>
          <w:szCs w:val="22"/>
          <w:shd w:val="clear" w:color="auto" w:fill="FFFFFF"/>
        </w:rPr>
        <w:t>Journal of International Money and Finance</w:t>
      </w:r>
      <w:r w:rsidRPr="00A93934">
        <w:rPr>
          <w:color w:val="auto"/>
          <w:sz w:val="22"/>
          <w:szCs w:val="22"/>
          <w:shd w:val="clear" w:color="auto" w:fill="FFFFFF"/>
        </w:rPr>
        <w:t>, </w:t>
      </w:r>
      <w:r w:rsidRPr="00A93934">
        <w:rPr>
          <w:i/>
          <w:iCs/>
          <w:color w:val="auto"/>
          <w:sz w:val="22"/>
          <w:szCs w:val="22"/>
          <w:shd w:val="clear" w:color="auto" w:fill="FFFFFF"/>
        </w:rPr>
        <w:t>69</w:t>
      </w:r>
      <w:r w:rsidRPr="00A93934">
        <w:rPr>
          <w:color w:val="auto"/>
          <w:sz w:val="22"/>
          <w:szCs w:val="22"/>
          <w:shd w:val="clear" w:color="auto" w:fill="FFFFFF"/>
        </w:rPr>
        <w:t>, pp.5-21.</w:t>
      </w:r>
      <w:proofErr w:type="gramEnd"/>
    </w:p>
    <w:p w:rsidR="00CB6BDD" w:rsidRPr="00A93934" w:rsidRDefault="00CB6BDD" w:rsidP="00A93934">
      <w:pPr>
        <w:pStyle w:val="Default"/>
        <w:spacing w:line="360" w:lineRule="auto"/>
        <w:jc w:val="both"/>
        <w:rPr>
          <w:color w:val="auto"/>
          <w:sz w:val="22"/>
          <w:szCs w:val="22"/>
          <w:shd w:val="clear" w:color="auto" w:fill="FFFFFF"/>
        </w:rPr>
      </w:pPr>
      <w:r w:rsidRPr="00A93934">
        <w:rPr>
          <w:color w:val="auto"/>
          <w:sz w:val="22"/>
          <w:szCs w:val="22"/>
          <w:shd w:val="clear" w:color="auto" w:fill="FFFFFF"/>
        </w:rPr>
        <w:t>Madsen, D.Ø., (2016). SWOT analysis: a management fashion perspective. </w:t>
      </w:r>
      <w:proofErr w:type="gramStart"/>
      <w:r w:rsidRPr="00A93934">
        <w:rPr>
          <w:i/>
          <w:iCs/>
          <w:color w:val="auto"/>
          <w:sz w:val="22"/>
          <w:szCs w:val="22"/>
          <w:shd w:val="clear" w:color="auto" w:fill="FFFFFF"/>
        </w:rPr>
        <w:t>International Journal of Business Research</w:t>
      </w:r>
      <w:r w:rsidRPr="00A93934">
        <w:rPr>
          <w:color w:val="auto"/>
          <w:sz w:val="22"/>
          <w:szCs w:val="22"/>
          <w:shd w:val="clear" w:color="auto" w:fill="FFFFFF"/>
        </w:rPr>
        <w:t>, </w:t>
      </w:r>
      <w:r w:rsidRPr="00A93934">
        <w:rPr>
          <w:i/>
          <w:iCs/>
          <w:color w:val="auto"/>
          <w:sz w:val="22"/>
          <w:szCs w:val="22"/>
          <w:shd w:val="clear" w:color="auto" w:fill="FFFFFF"/>
        </w:rPr>
        <w:t>16</w:t>
      </w:r>
      <w:r w:rsidRPr="00A93934">
        <w:rPr>
          <w:color w:val="auto"/>
          <w:sz w:val="22"/>
          <w:szCs w:val="22"/>
          <w:shd w:val="clear" w:color="auto" w:fill="FFFFFF"/>
        </w:rPr>
        <w:t>(1), pp.39-56.</w:t>
      </w:r>
      <w:proofErr w:type="gramEnd"/>
    </w:p>
    <w:p w:rsidR="00CB6BDD" w:rsidRPr="00A93934" w:rsidRDefault="009F5C86" w:rsidP="00A93934">
      <w:pPr>
        <w:pStyle w:val="Default"/>
        <w:spacing w:line="360" w:lineRule="auto"/>
        <w:jc w:val="both"/>
        <w:rPr>
          <w:color w:val="auto"/>
          <w:sz w:val="22"/>
          <w:szCs w:val="22"/>
        </w:rPr>
      </w:pPr>
      <w:r w:rsidRPr="00A93934">
        <w:rPr>
          <w:color w:val="auto"/>
          <w:sz w:val="22"/>
          <w:szCs w:val="22"/>
        </w:rPr>
        <w:t>O</w:t>
      </w:r>
      <w:r w:rsidR="00CB6BDD" w:rsidRPr="00A93934">
        <w:rPr>
          <w:color w:val="auto"/>
          <w:sz w:val="22"/>
          <w:szCs w:val="22"/>
        </w:rPr>
        <w:t xml:space="preserve">ns.gov.uk, (2020), </w:t>
      </w:r>
      <w:r w:rsidR="00CB6BDD" w:rsidRPr="00A93934">
        <w:rPr>
          <w:i/>
          <w:color w:val="auto"/>
          <w:sz w:val="22"/>
          <w:szCs w:val="22"/>
        </w:rPr>
        <w:t>GDP monthly estimate, UK: August 2020</w:t>
      </w:r>
      <w:r w:rsidR="00CB6BDD" w:rsidRPr="00A93934">
        <w:rPr>
          <w:color w:val="auto"/>
          <w:sz w:val="22"/>
          <w:szCs w:val="22"/>
        </w:rPr>
        <w:t>, available at: https://www.ons.gov.uk/economy/grossdomesticproductgdp [accessed on: 14/10/2020]</w:t>
      </w:r>
    </w:p>
    <w:p w:rsidR="00CB6BDD" w:rsidRPr="00A93934" w:rsidRDefault="00CB6BDD" w:rsidP="00A93934">
      <w:pPr>
        <w:pStyle w:val="Default"/>
        <w:spacing w:line="360" w:lineRule="auto"/>
        <w:jc w:val="both"/>
        <w:rPr>
          <w:color w:val="auto"/>
          <w:sz w:val="22"/>
          <w:szCs w:val="22"/>
          <w:shd w:val="clear" w:color="auto" w:fill="FFFFFF"/>
        </w:rPr>
      </w:pPr>
      <w:r w:rsidRPr="00A93934">
        <w:rPr>
          <w:color w:val="auto"/>
          <w:sz w:val="22"/>
          <w:szCs w:val="22"/>
          <w:shd w:val="clear" w:color="auto" w:fill="FFFFFF"/>
        </w:rPr>
        <w:t>Polk, X.L., (2018). Marketing: The key to successful teaching and learning. </w:t>
      </w:r>
      <w:proofErr w:type="gramStart"/>
      <w:r w:rsidRPr="00A93934">
        <w:rPr>
          <w:i/>
          <w:iCs/>
          <w:color w:val="auto"/>
          <w:sz w:val="22"/>
          <w:szCs w:val="22"/>
          <w:shd w:val="clear" w:color="auto" w:fill="FFFFFF"/>
        </w:rPr>
        <w:t>Journal of Marketing Development and Competitiveness</w:t>
      </w:r>
      <w:r w:rsidRPr="00A93934">
        <w:rPr>
          <w:color w:val="auto"/>
          <w:sz w:val="22"/>
          <w:szCs w:val="22"/>
          <w:shd w:val="clear" w:color="auto" w:fill="FFFFFF"/>
        </w:rPr>
        <w:t>, </w:t>
      </w:r>
      <w:r w:rsidRPr="00A93934">
        <w:rPr>
          <w:i/>
          <w:iCs/>
          <w:color w:val="auto"/>
          <w:sz w:val="22"/>
          <w:szCs w:val="22"/>
          <w:shd w:val="clear" w:color="auto" w:fill="FFFFFF"/>
        </w:rPr>
        <w:t>12</w:t>
      </w:r>
      <w:r w:rsidRPr="00A93934">
        <w:rPr>
          <w:color w:val="auto"/>
          <w:sz w:val="22"/>
          <w:szCs w:val="22"/>
          <w:shd w:val="clear" w:color="auto" w:fill="FFFFFF"/>
        </w:rPr>
        <w:t>(2), pp.49-57.</w:t>
      </w:r>
      <w:proofErr w:type="gramEnd"/>
    </w:p>
    <w:p w:rsidR="00CB6BDD" w:rsidRPr="00A93934" w:rsidRDefault="00CB6BDD" w:rsidP="00A93934">
      <w:pPr>
        <w:pStyle w:val="Default"/>
        <w:spacing w:line="360" w:lineRule="auto"/>
        <w:jc w:val="both"/>
        <w:rPr>
          <w:color w:val="auto"/>
          <w:sz w:val="22"/>
          <w:szCs w:val="22"/>
          <w:shd w:val="clear" w:color="auto" w:fill="FFFFFF"/>
        </w:rPr>
      </w:pPr>
      <w:r w:rsidRPr="00A93934">
        <w:rPr>
          <w:color w:val="auto"/>
          <w:sz w:val="22"/>
          <w:szCs w:val="22"/>
        </w:rPr>
        <w:t xml:space="preserve">Porter, M.E., (2008). “The five competitive forces that shape </w:t>
      </w:r>
      <w:proofErr w:type="spellStart"/>
      <w:r w:rsidRPr="00A93934">
        <w:rPr>
          <w:color w:val="auto"/>
          <w:sz w:val="22"/>
          <w:szCs w:val="22"/>
        </w:rPr>
        <w:t>strategy”.</w:t>
      </w:r>
      <w:r w:rsidRPr="00A93934">
        <w:rPr>
          <w:i/>
          <w:color w:val="auto"/>
          <w:sz w:val="22"/>
          <w:szCs w:val="22"/>
        </w:rPr>
        <w:t>Harvard</w:t>
      </w:r>
      <w:proofErr w:type="spellEnd"/>
      <w:r w:rsidRPr="00A93934">
        <w:rPr>
          <w:i/>
          <w:color w:val="auto"/>
          <w:sz w:val="22"/>
          <w:szCs w:val="22"/>
        </w:rPr>
        <w:t xml:space="preserve"> Business Review</w:t>
      </w:r>
      <w:r w:rsidRPr="00A93934">
        <w:rPr>
          <w:color w:val="auto"/>
          <w:sz w:val="22"/>
          <w:szCs w:val="22"/>
        </w:rPr>
        <w:t>, 86(1), pp.25-40</w:t>
      </w:r>
    </w:p>
    <w:p w:rsidR="00CB6BDD" w:rsidRPr="00A93934" w:rsidRDefault="009F5C86" w:rsidP="00A93934">
      <w:pPr>
        <w:pStyle w:val="Default"/>
        <w:spacing w:line="360" w:lineRule="auto"/>
        <w:jc w:val="both"/>
        <w:rPr>
          <w:color w:val="auto"/>
          <w:sz w:val="22"/>
          <w:szCs w:val="22"/>
        </w:rPr>
      </w:pPr>
      <w:r w:rsidRPr="00A93934">
        <w:rPr>
          <w:color w:val="auto"/>
          <w:sz w:val="22"/>
          <w:szCs w:val="22"/>
        </w:rPr>
        <w:t>S</w:t>
      </w:r>
      <w:r w:rsidR="00CB6BDD" w:rsidRPr="00A93934">
        <w:rPr>
          <w:color w:val="auto"/>
          <w:sz w:val="22"/>
          <w:szCs w:val="22"/>
        </w:rPr>
        <w:t xml:space="preserve">tatista.com, (2020), </w:t>
      </w:r>
      <w:r w:rsidR="00CB6BDD" w:rsidRPr="00A93934">
        <w:rPr>
          <w:i/>
          <w:color w:val="auto"/>
          <w:sz w:val="22"/>
          <w:szCs w:val="22"/>
        </w:rPr>
        <w:t>Inflation rate in the United Kingdom 2021</w:t>
      </w:r>
      <w:r w:rsidR="00CB6BDD" w:rsidRPr="00A93934">
        <w:rPr>
          <w:color w:val="auto"/>
          <w:sz w:val="22"/>
          <w:szCs w:val="22"/>
        </w:rPr>
        <w:t>, available at: https://www.statista.com/statistics/270384/inflation-rate-in-the-united-kingdom/ [accessed on: 14/10/2020]</w:t>
      </w:r>
    </w:p>
    <w:p w:rsidR="00CB6BDD" w:rsidRPr="00A93934" w:rsidRDefault="009F5C86" w:rsidP="00A93934">
      <w:pPr>
        <w:pStyle w:val="Default"/>
        <w:spacing w:line="360" w:lineRule="auto"/>
        <w:jc w:val="both"/>
        <w:rPr>
          <w:color w:val="auto"/>
          <w:sz w:val="22"/>
          <w:szCs w:val="22"/>
        </w:rPr>
      </w:pPr>
      <w:r w:rsidRPr="00A93934">
        <w:rPr>
          <w:color w:val="auto"/>
          <w:sz w:val="22"/>
          <w:szCs w:val="22"/>
        </w:rPr>
        <w:lastRenderedPageBreak/>
        <w:t>S</w:t>
      </w:r>
      <w:r w:rsidR="00CB6BDD" w:rsidRPr="00A93934">
        <w:rPr>
          <w:color w:val="auto"/>
          <w:sz w:val="22"/>
          <w:szCs w:val="22"/>
        </w:rPr>
        <w:t xml:space="preserve">tatista.com, (2020), </w:t>
      </w:r>
      <w:proofErr w:type="gramStart"/>
      <w:r w:rsidR="00CB6BDD" w:rsidRPr="00A93934">
        <w:rPr>
          <w:i/>
          <w:color w:val="auto"/>
          <w:sz w:val="22"/>
          <w:szCs w:val="22"/>
        </w:rPr>
        <w:t>Jams</w:t>
      </w:r>
      <w:proofErr w:type="gramEnd"/>
      <w:r w:rsidR="00CB6BDD" w:rsidRPr="00A93934">
        <w:rPr>
          <w:i/>
          <w:color w:val="auto"/>
          <w:sz w:val="22"/>
          <w:szCs w:val="22"/>
        </w:rPr>
        <w:t xml:space="preserve"> and fruit jellies: manufacturing sales value in the United Kingdom 2008- 2019</w:t>
      </w:r>
      <w:r w:rsidR="00CB6BDD" w:rsidRPr="00A93934">
        <w:rPr>
          <w:color w:val="auto"/>
          <w:sz w:val="22"/>
          <w:szCs w:val="22"/>
        </w:rPr>
        <w:t>, available at: https://www.statista.com/statistics/479087/jams-fruit-jellies-nut-purees-pastes-value-sales-in-the-united-kingdom-uk/ [accessed on: 14/10/2020]</w:t>
      </w:r>
    </w:p>
    <w:p w:rsidR="00CB6BDD" w:rsidRPr="00A93934" w:rsidRDefault="00CB6BDD" w:rsidP="00A93934">
      <w:pPr>
        <w:pStyle w:val="Default"/>
        <w:spacing w:line="360" w:lineRule="auto"/>
        <w:jc w:val="both"/>
        <w:rPr>
          <w:color w:val="auto"/>
          <w:sz w:val="22"/>
          <w:szCs w:val="22"/>
        </w:rPr>
      </w:pPr>
      <w:r w:rsidRPr="00A93934">
        <w:rPr>
          <w:color w:val="auto"/>
          <w:sz w:val="22"/>
          <w:szCs w:val="22"/>
        </w:rPr>
        <w:t xml:space="preserve">Stones, M., (2017), </w:t>
      </w:r>
      <w:r w:rsidRPr="00A93934">
        <w:rPr>
          <w:i/>
          <w:color w:val="auto"/>
          <w:sz w:val="22"/>
          <w:szCs w:val="22"/>
        </w:rPr>
        <w:t>Davison Canners creates 50 jobs after £3.1M investment</w:t>
      </w:r>
      <w:r w:rsidRPr="00A93934">
        <w:rPr>
          <w:color w:val="auto"/>
          <w:sz w:val="22"/>
          <w:szCs w:val="22"/>
        </w:rPr>
        <w:t>, available at: https://www.foodmanufacture.co.uk/Article/2017/11/14/Food-firm-creates-50-jobs-with-3.1M-investment [accessed on: 14/10/2020]</w:t>
      </w:r>
    </w:p>
    <w:p w:rsidR="00CB6BDD" w:rsidRPr="00A93934" w:rsidRDefault="009F5C86" w:rsidP="00A93934">
      <w:pPr>
        <w:pStyle w:val="Default"/>
        <w:spacing w:line="360" w:lineRule="auto"/>
        <w:jc w:val="both"/>
        <w:rPr>
          <w:color w:val="auto"/>
          <w:sz w:val="22"/>
          <w:szCs w:val="22"/>
        </w:rPr>
      </w:pPr>
      <w:r w:rsidRPr="00A93934">
        <w:rPr>
          <w:color w:val="auto"/>
          <w:sz w:val="22"/>
          <w:szCs w:val="22"/>
        </w:rPr>
        <w:t>T</w:t>
      </w:r>
      <w:r w:rsidR="00CB6BDD" w:rsidRPr="00A93934">
        <w:rPr>
          <w:color w:val="auto"/>
          <w:sz w:val="22"/>
          <w:szCs w:val="22"/>
        </w:rPr>
        <w:t xml:space="preserve">elegraph.co.uk, (2019), </w:t>
      </w:r>
      <w:r w:rsidR="00CB6BDD" w:rsidRPr="00A93934">
        <w:rPr>
          <w:i/>
          <w:color w:val="auto"/>
          <w:sz w:val="22"/>
          <w:szCs w:val="22"/>
        </w:rPr>
        <w:t>UK tech investment surges to record £10.1bn in 2019</w:t>
      </w:r>
      <w:r w:rsidR="00CB6BDD" w:rsidRPr="00A93934">
        <w:rPr>
          <w:color w:val="auto"/>
          <w:sz w:val="22"/>
          <w:szCs w:val="22"/>
        </w:rPr>
        <w:t>, available at: https://www.telegraph.co.uk/technology/2020/01/15/uk-tech-investment-surges-record-101bn-2019-despite-brexit-fears/ [accessed on: 14/10/2020]</w:t>
      </w:r>
    </w:p>
    <w:p w:rsidR="00CB6BDD" w:rsidRPr="00A93934" w:rsidRDefault="00CB6BDD" w:rsidP="00A93934">
      <w:pPr>
        <w:spacing w:line="360" w:lineRule="auto"/>
        <w:jc w:val="both"/>
        <w:rPr>
          <w:shd w:val="clear" w:color="auto" w:fill="FFFFFF"/>
        </w:rPr>
      </w:pPr>
      <w:proofErr w:type="spellStart"/>
      <w:proofErr w:type="gramStart"/>
      <w:r w:rsidRPr="00A93934">
        <w:rPr>
          <w:shd w:val="clear" w:color="auto" w:fill="FFFFFF"/>
        </w:rPr>
        <w:t>Yudiono</w:t>
      </w:r>
      <w:proofErr w:type="spellEnd"/>
      <w:r w:rsidRPr="00A93934">
        <w:rPr>
          <w:shd w:val="clear" w:color="auto" w:fill="FFFFFF"/>
        </w:rPr>
        <w:t xml:space="preserve">, N., </w:t>
      </w:r>
      <w:proofErr w:type="spellStart"/>
      <w:r w:rsidRPr="00A93934">
        <w:rPr>
          <w:shd w:val="clear" w:color="auto" w:fill="FFFFFF"/>
        </w:rPr>
        <w:t>Wilopo</w:t>
      </w:r>
      <w:proofErr w:type="spellEnd"/>
      <w:r w:rsidRPr="00A93934">
        <w:rPr>
          <w:shd w:val="clear" w:color="auto" w:fill="FFFFFF"/>
        </w:rPr>
        <w:t xml:space="preserve">, W. and Iqbal, M., 2019.VRIO Analysis to Measure E-Business Readiness in the Automotive Industry in East Java (Study on </w:t>
      </w:r>
      <w:proofErr w:type="spellStart"/>
      <w:r w:rsidRPr="00A93934">
        <w:rPr>
          <w:shd w:val="clear" w:color="auto" w:fill="FFFFFF"/>
        </w:rPr>
        <w:t>Otobus</w:t>
      </w:r>
      <w:proofErr w:type="spellEnd"/>
      <w:r w:rsidRPr="00A93934">
        <w:rPr>
          <w:shd w:val="clear" w:color="auto" w:fill="FFFFFF"/>
        </w:rPr>
        <w:t xml:space="preserve"> Company </w:t>
      </w:r>
      <w:proofErr w:type="spellStart"/>
      <w:r w:rsidRPr="00A93934">
        <w:rPr>
          <w:shd w:val="clear" w:color="auto" w:fill="FFFFFF"/>
        </w:rPr>
        <w:t>Kalisari</w:t>
      </w:r>
      <w:proofErr w:type="spellEnd"/>
      <w:r w:rsidRPr="00A93934">
        <w:rPr>
          <w:shd w:val="clear" w:color="auto" w:fill="FFFFFF"/>
        </w:rPr>
        <w:t xml:space="preserve"> and </w:t>
      </w:r>
      <w:proofErr w:type="spellStart"/>
      <w:r w:rsidRPr="00A93934">
        <w:rPr>
          <w:shd w:val="clear" w:color="auto" w:fill="FFFFFF"/>
        </w:rPr>
        <w:t>Otobus</w:t>
      </w:r>
      <w:proofErr w:type="spellEnd"/>
      <w:r w:rsidRPr="00A93934">
        <w:rPr>
          <w:shd w:val="clear" w:color="auto" w:fill="FFFFFF"/>
        </w:rPr>
        <w:t xml:space="preserve"> Company </w:t>
      </w:r>
      <w:proofErr w:type="spellStart"/>
      <w:r w:rsidRPr="00A93934">
        <w:rPr>
          <w:shd w:val="clear" w:color="auto" w:fill="FFFFFF"/>
        </w:rPr>
        <w:t>Menggala</w:t>
      </w:r>
      <w:proofErr w:type="spellEnd"/>
      <w:r w:rsidRPr="00A93934">
        <w:rPr>
          <w:shd w:val="clear" w:color="auto" w:fill="FFFFFF"/>
        </w:rPr>
        <w:t>).</w:t>
      </w:r>
      <w:proofErr w:type="gramEnd"/>
      <w:r w:rsidRPr="00A93934">
        <w:rPr>
          <w:shd w:val="clear" w:color="auto" w:fill="FFFFFF"/>
        </w:rPr>
        <w:t> </w:t>
      </w:r>
      <w:proofErr w:type="spellStart"/>
      <w:proofErr w:type="gramStart"/>
      <w:r w:rsidRPr="00A93934">
        <w:rPr>
          <w:i/>
          <w:iCs/>
          <w:shd w:val="clear" w:color="auto" w:fill="FFFFFF"/>
        </w:rPr>
        <w:t>Wacana</w:t>
      </w:r>
      <w:proofErr w:type="spellEnd"/>
      <w:r w:rsidRPr="00A93934">
        <w:rPr>
          <w:i/>
          <w:iCs/>
          <w:shd w:val="clear" w:color="auto" w:fill="FFFFFF"/>
        </w:rPr>
        <w:t xml:space="preserve"> Journal of Social and Humanity Studies</w:t>
      </w:r>
      <w:r w:rsidRPr="00A93934">
        <w:rPr>
          <w:shd w:val="clear" w:color="auto" w:fill="FFFFFF"/>
        </w:rPr>
        <w:t>, </w:t>
      </w:r>
      <w:r w:rsidRPr="00A93934">
        <w:rPr>
          <w:i/>
          <w:iCs/>
          <w:shd w:val="clear" w:color="auto" w:fill="FFFFFF"/>
        </w:rPr>
        <w:t>22</w:t>
      </w:r>
      <w:r w:rsidRPr="00A93934">
        <w:rPr>
          <w:shd w:val="clear" w:color="auto" w:fill="FFFFFF"/>
        </w:rPr>
        <w:t>(4).</w:t>
      </w:r>
      <w:proofErr w:type="gramEnd"/>
    </w:p>
    <w:p w:rsidR="00CB6BDD" w:rsidRPr="00A93934" w:rsidRDefault="00CB6BDD" w:rsidP="00A93934">
      <w:pPr>
        <w:spacing w:line="360" w:lineRule="auto"/>
        <w:jc w:val="both"/>
      </w:pPr>
    </w:p>
    <w:p w:rsidR="00CB6BDD" w:rsidRPr="00B85376" w:rsidRDefault="00CB6BDD" w:rsidP="00C75E9A">
      <w:pPr>
        <w:pStyle w:val="Default"/>
        <w:spacing w:line="360" w:lineRule="auto"/>
        <w:jc w:val="both"/>
        <w:rPr>
          <w:color w:val="auto"/>
          <w:sz w:val="22"/>
          <w:szCs w:val="22"/>
        </w:rPr>
      </w:pPr>
    </w:p>
    <w:p w:rsidR="00B540B8" w:rsidRPr="00B85376" w:rsidRDefault="00B540B8" w:rsidP="00C75E9A">
      <w:pPr>
        <w:pStyle w:val="Default"/>
        <w:tabs>
          <w:tab w:val="left" w:pos="6899"/>
        </w:tabs>
        <w:spacing w:line="360" w:lineRule="auto"/>
        <w:ind w:left="6900"/>
        <w:jc w:val="both"/>
        <w:rPr>
          <w:color w:val="auto"/>
          <w:sz w:val="22"/>
          <w:szCs w:val="22"/>
        </w:rPr>
      </w:pPr>
    </w:p>
    <w:p w:rsidR="00B85376" w:rsidRDefault="00B85376">
      <w:pPr>
        <w:rPr>
          <w:b/>
          <w:lang w:val="en-GB"/>
        </w:rPr>
      </w:pPr>
      <w:r>
        <w:br w:type="page"/>
      </w:r>
    </w:p>
    <w:p w:rsidR="003C3DF2" w:rsidRPr="00B85376" w:rsidRDefault="00E47DBE" w:rsidP="00C75E9A">
      <w:pPr>
        <w:pStyle w:val="Heading1"/>
        <w:rPr>
          <w:rFonts w:ascii="Arial" w:hAnsi="Arial"/>
          <w:color w:val="auto"/>
          <w:sz w:val="22"/>
          <w:szCs w:val="22"/>
        </w:rPr>
      </w:pPr>
      <w:bookmarkStart w:id="32" w:name="_Toc56805815"/>
      <w:r w:rsidRPr="00B85376">
        <w:rPr>
          <w:rFonts w:ascii="Arial" w:hAnsi="Arial"/>
          <w:color w:val="auto"/>
          <w:sz w:val="22"/>
          <w:szCs w:val="22"/>
        </w:rPr>
        <w:lastRenderedPageBreak/>
        <w:t>Appendix: UK inflation rate</w:t>
      </w:r>
      <w:bookmarkEnd w:id="32"/>
    </w:p>
    <w:p w:rsidR="00E47DBE" w:rsidRPr="00B85376" w:rsidRDefault="009820ED" w:rsidP="00C75E9A">
      <w:pPr>
        <w:tabs>
          <w:tab w:val="left" w:pos="1140"/>
        </w:tabs>
        <w:spacing w:line="360" w:lineRule="auto"/>
        <w:jc w:val="center"/>
        <w:rPr>
          <w:rFonts w:eastAsia="Times New Roman"/>
          <w:lang w:val="en-GB"/>
        </w:rPr>
      </w:pPr>
      <w:r w:rsidRPr="00B85376">
        <w:rPr>
          <w:rFonts w:eastAsia="Times New Roman"/>
          <w:noProof/>
          <w:lang w:val="en-GB" w:eastAsia="en-GB"/>
        </w:rPr>
        <w:drawing>
          <wp:inline distT="0" distB="0" distL="0" distR="0">
            <wp:extent cx="4101747" cy="3381759"/>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srcRect/>
                    <a:stretch>
                      <a:fillRect/>
                    </a:stretch>
                  </pic:blipFill>
                  <pic:spPr bwMode="auto">
                    <a:xfrm>
                      <a:off x="0" y="0"/>
                      <a:ext cx="4101659" cy="3381686"/>
                    </a:xfrm>
                    <a:prstGeom prst="rect">
                      <a:avLst/>
                    </a:prstGeom>
                    <a:noFill/>
                    <a:ln w="9525">
                      <a:noFill/>
                      <a:miter lim="800000"/>
                      <a:headEnd/>
                      <a:tailEnd/>
                    </a:ln>
                  </pic:spPr>
                </pic:pic>
              </a:graphicData>
            </a:graphic>
          </wp:inline>
        </w:drawing>
      </w:r>
    </w:p>
    <w:p w:rsidR="00A718A9" w:rsidRPr="00B85376" w:rsidRDefault="00A718A9" w:rsidP="00C75E9A">
      <w:pPr>
        <w:tabs>
          <w:tab w:val="left" w:pos="1140"/>
        </w:tabs>
        <w:spacing w:line="360" w:lineRule="auto"/>
        <w:jc w:val="center"/>
        <w:rPr>
          <w:rFonts w:eastAsia="Times New Roman"/>
          <w:lang w:val="en-GB"/>
        </w:rPr>
      </w:pPr>
      <w:r w:rsidRPr="00B85376">
        <w:rPr>
          <w:rFonts w:eastAsia="Times New Roman"/>
          <w:lang w:val="en-GB"/>
        </w:rPr>
        <w:t xml:space="preserve">(Source: </w:t>
      </w:r>
      <w:r w:rsidR="00ED63DE" w:rsidRPr="00B85376">
        <w:t>https://www.statista.com/statistics/270384/inflation-rate-in-the-united-kingdom)</w:t>
      </w:r>
    </w:p>
    <w:sectPr w:rsidR="00A718A9" w:rsidRPr="00B85376" w:rsidSect="00E41881">
      <w:footerReference w:type="default" r:id="rId26"/>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0B6" w:rsidRDefault="004430B6" w:rsidP="005027AD">
      <w:pPr>
        <w:spacing w:line="240" w:lineRule="auto"/>
      </w:pPr>
      <w:r>
        <w:separator/>
      </w:r>
    </w:p>
  </w:endnote>
  <w:endnote w:type="continuationSeparator" w:id="0">
    <w:p w:rsidR="004430B6" w:rsidRDefault="004430B6" w:rsidP="005027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313928"/>
      <w:docPartObj>
        <w:docPartGallery w:val="Page Numbers (Bottom of Page)"/>
        <w:docPartUnique/>
      </w:docPartObj>
    </w:sdtPr>
    <w:sdtEndPr/>
    <w:sdtContent>
      <w:p w:rsidR="005301FC" w:rsidRDefault="00B358F5">
        <w:pPr>
          <w:pStyle w:val="Footer"/>
          <w:jc w:val="right"/>
        </w:pPr>
        <w:r>
          <w:fldChar w:fldCharType="begin"/>
        </w:r>
        <w:r w:rsidR="005301FC">
          <w:instrText xml:space="preserve"> PAGE   \* MERGEFORMAT </w:instrText>
        </w:r>
        <w:r>
          <w:fldChar w:fldCharType="separate"/>
        </w:r>
        <w:r w:rsidR="00F64AA4">
          <w:rPr>
            <w:noProof/>
          </w:rPr>
          <w:t>19</w:t>
        </w:r>
        <w:r>
          <w:rPr>
            <w:noProof/>
          </w:rPr>
          <w:fldChar w:fldCharType="end"/>
        </w:r>
      </w:p>
    </w:sdtContent>
  </w:sdt>
  <w:p w:rsidR="005301FC" w:rsidRDefault="005301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0B6" w:rsidRDefault="004430B6" w:rsidP="005027AD">
      <w:pPr>
        <w:spacing w:line="240" w:lineRule="auto"/>
      </w:pPr>
      <w:r>
        <w:separator/>
      </w:r>
    </w:p>
  </w:footnote>
  <w:footnote w:type="continuationSeparator" w:id="0">
    <w:p w:rsidR="004430B6" w:rsidRDefault="004430B6" w:rsidP="005027A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02181"/>
    <w:multiLevelType w:val="hybridMultilevel"/>
    <w:tmpl w:val="00000000"/>
    <w:lvl w:ilvl="0" w:tplc="6716327E">
      <w:start w:val="1"/>
      <w:numFmt w:val="bullet"/>
      <w:lvlText w:val="●"/>
      <w:lvlJc w:val="left"/>
      <w:pPr>
        <w:ind w:left="720" w:hanging="360"/>
      </w:pPr>
      <w:rPr>
        <w:u w:val="none"/>
      </w:rPr>
    </w:lvl>
    <w:lvl w:ilvl="1" w:tplc="52F4D0F8">
      <w:start w:val="1"/>
      <w:numFmt w:val="bullet"/>
      <w:lvlText w:val="○"/>
      <w:lvlJc w:val="left"/>
      <w:pPr>
        <w:ind w:left="1440" w:hanging="360"/>
      </w:pPr>
      <w:rPr>
        <w:u w:val="none"/>
      </w:rPr>
    </w:lvl>
    <w:lvl w:ilvl="2" w:tplc="34A4FD80">
      <w:start w:val="1"/>
      <w:numFmt w:val="bullet"/>
      <w:lvlText w:val="■"/>
      <w:lvlJc w:val="left"/>
      <w:pPr>
        <w:ind w:left="2160" w:hanging="360"/>
      </w:pPr>
      <w:rPr>
        <w:u w:val="none"/>
      </w:rPr>
    </w:lvl>
    <w:lvl w:ilvl="3" w:tplc="DD3A7DDC">
      <w:start w:val="1"/>
      <w:numFmt w:val="bullet"/>
      <w:lvlText w:val="●"/>
      <w:lvlJc w:val="left"/>
      <w:pPr>
        <w:ind w:left="2880" w:hanging="360"/>
      </w:pPr>
      <w:rPr>
        <w:u w:val="none"/>
      </w:rPr>
    </w:lvl>
    <w:lvl w:ilvl="4" w:tplc="03C6288A">
      <w:start w:val="1"/>
      <w:numFmt w:val="bullet"/>
      <w:lvlText w:val="○"/>
      <w:lvlJc w:val="left"/>
      <w:pPr>
        <w:ind w:left="3600" w:hanging="360"/>
      </w:pPr>
      <w:rPr>
        <w:u w:val="none"/>
      </w:rPr>
    </w:lvl>
    <w:lvl w:ilvl="5" w:tplc="B44A048E">
      <w:start w:val="1"/>
      <w:numFmt w:val="bullet"/>
      <w:lvlText w:val="■"/>
      <w:lvlJc w:val="left"/>
      <w:pPr>
        <w:ind w:left="4320" w:hanging="360"/>
      </w:pPr>
      <w:rPr>
        <w:u w:val="none"/>
      </w:rPr>
    </w:lvl>
    <w:lvl w:ilvl="6" w:tplc="3BF0F9EC">
      <w:start w:val="1"/>
      <w:numFmt w:val="bullet"/>
      <w:lvlText w:val="●"/>
      <w:lvlJc w:val="left"/>
      <w:pPr>
        <w:ind w:left="5040" w:hanging="360"/>
      </w:pPr>
      <w:rPr>
        <w:u w:val="none"/>
      </w:rPr>
    </w:lvl>
    <w:lvl w:ilvl="7" w:tplc="7D98B4BE">
      <w:start w:val="1"/>
      <w:numFmt w:val="bullet"/>
      <w:lvlText w:val="○"/>
      <w:lvlJc w:val="left"/>
      <w:pPr>
        <w:ind w:left="5760" w:hanging="360"/>
      </w:pPr>
      <w:rPr>
        <w:u w:val="none"/>
      </w:rPr>
    </w:lvl>
    <w:lvl w:ilvl="8" w:tplc="676E640C">
      <w:start w:val="1"/>
      <w:numFmt w:val="bullet"/>
      <w:lvlText w:val="■"/>
      <w:lvlJc w:val="left"/>
      <w:pPr>
        <w:ind w:left="6480" w:hanging="360"/>
      </w:pPr>
      <w:rPr>
        <w:u w:val="none"/>
      </w:rPr>
    </w:lvl>
  </w:abstractNum>
  <w:abstractNum w:abstractNumId="1">
    <w:nsid w:val="1FEE2F0C"/>
    <w:multiLevelType w:val="hybridMultilevel"/>
    <w:tmpl w:val="00000000"/>
    <w:lvl w:ilvl="0" w:tplc="8FE0F622">
      <w:start w:val="1"/>
      <w:numFmt w:val="bullet"/>
      <w:lvlText w:val="●"/>
      <w:lvlJc w:val="left"/>
      <w:pPr>
        <w:ind w:left="720" w:hanging="360"/>
      </w:pPr>
      <w:rPr>
        <w:u w:val="none"/>
      </w:rPr>
    </w:lvl>
    <w:lvl w:ilvl="1" w:tplc="170A383C">
      <w:start w:val="1"/>
      <w:numFmt w:val="bullet"/>
      <w:lvlText w:val="○"/>
      <w:lvlJc w:val="left"/>
      <w:pPr>
        <w:ind w:left="1440" w:hanging="360"/>
      </w:pPr>
      <w:rPr>
        <w:u w:val="none"/>
      </w:rPr>
    </w:lvl>
    <w:lvl w:ilvl="2" w:tplc="B998A1C0">
      <w:start w:val="1"/>
      <w:numFmt w:val="bullet"/>
      <w:lvlText w:val="■"/>
      <w:lvlJc w:val="left"/>
      <w:pPr>
        <w:ind w:left="2160" w:hanging="360"/>
      </w:pPr>
      <w:rPr>
        <w:u w:val="none"/>
      </w:rPr>
    </w:lvl>
    <w:lvl w:ilvl="3" w:tplc="BCB4EBE4">
      <w:start w:val="1"/>
      <w:numFmt w:val="bullet"/>
      <w:lvlText w:val="●"/>
      <w:lvlJc w:val="left"/>
      <w:pPr>
        <w:ind w:left="2880" w:hanging="360"/>
      </w:pPr>
      <w:rPr>
        <w:u w:val="none"/>
      </w:rPr>
    </w:lvl>
    <w:lvl w:ilvl="4" w:tplc="41943E5E">
      <w:start w:val="1"/>
      <w:numFmt w:val="bullet"/>
      <w:lvlText w:val="○"/>
      <w:lvlJc w:val="left"/>
      <w:pPr>
        <w:ind w:left="3600" w:hanging="360"/>
      </w:pPr>
      <w:rPr>
        <w:u w:val="none"/>
      </w:rPr>
    </w:lvl>
    <w:lvl w:ilvl="5" w:tplc="1C1A677C">
      <w:start w:val="1"/>
      <w:numFmt w:val="bullet"/>
      <w:lvlText w:val="■"/>
      <w:lvlJc w:val="left"/>
      <w:pPr>
        <w:ind w:left="4320" w:hanging="360"/>
      </w:pPr>
      <w:rPr>
        <w:u w:val="none"/>
      </w:rPr>
    </w:lvl>
    <w:lvl w:ilvl="6" w:tplc="911A1144">
      <w:start w:val="1"/>
      <w:numFmt w:val="bullet"/>
      <w:lvlText w:val="●"/>
      <w:lvlJc w:val="left"/>
      <w:pPr>
        <w:ind w:left="5040" w:hanging="360"/>
      </w:pPr>
      <w:rPr>
        <w:u w:val="none"/>
      </w:rPr>
    </w:lvl>
    <w:lvl w:ilvl="7" w:tplc="D248C84A">
      <w:start w:val="1"/>
      <w:numFmt w:val="bullet"/>
      <w:lvlText w:val="○"/>
      <w:lvlJc w:val="left"/>
      <w:pPr>
        <w:ind w:left="5760" w:hanging="360"/>
      </w:pPr>
      <w:rPr>
        <w:u w:val="none"/>
      </w:rPr>
    </w:lvl>
    <w:lvl w:ilvl="8" w:tplc="711E0072">
      <w:start w:val="1"/>
      <w:numFmt w:val="bullet"/>
      <w:lvlText w:val="■"/>
      <w:lvlJc w:val="left"/>
      <w:pPr>
        <w:ind w:left="6480" w:hanging="360"/>
      </w:pPr>
      <w:rPr>
        <w:u w:val="none"/>
      </w:rPr>
    </w:lvl>
  </w:abstractNum>
  <w:abstractNum w:abstractNumId="2">
    <w:nsid w:val="2B7CC4BA"/>
    <w:multiLevelType w:val="hybridMultilevel"/>
    <w:tmpl w:val="00000000"/>
    <w:lvl w:ilvl="0" w:tplc="A75CF754">
      <w:start w:val="1"/>
      <w:numFmt w:val="bullet"/>
      <w:lvlText w:val="●"/>
      <w:lvlJc w:val="left"/>
      <w:pPr>
        <w:ind w:left="720" w:hanging="360"/>
      </w:pPr>
      <w:rPr>
        <w:u w:val="none"/>
      </w:rPr>
    </w:lvl>
    <w:lvl w:ilvl="1" w:tplc="FCD8A432">
      <w:start w:val="1"/>
      <w:numFmt w:val="bullet"/>
      <w:lvlText w:val="○"/>
      <w:lvlJc w:val="left"/>
      <w:pPr>
        <w:ind w:left="1440" w:hanging="360"/>
      </w:pPr>
      <w:rPr>
        <w:u w:val="none"/>
      </w:rPr>
    </w:lvl>
    <w:lvl w:ilvl="2" w:tplc="7F52070C">
      <w:start w:val="1"/>
      <w:numFmt w:val="bullet"/>
      <w:lvlText w:val="■"/>
      <w:lvlJc w:val="left"/>
      <w:pPr>
        <w:ind w:left="2160" w:hanging="360"/>
      </w:pPr>
      <w:rPr>
        <w:u w:val="none"/>
      </w:rPr>
    </w:lvl>
    <w:lvl w:ilvl="3" w:tplc="A23A3510">
      <w:start w:val="1"/>
      <w:numFmt w:val="bullet"/>
      <w:lvlText w:val="●"/>
      <w:lvlJc w:val="left"/>
      <w:pPr>
        <w:ind w:left="2880" w:hanging="360"/>
      </w:pPr>
      <w:rPr>
        <w:u w:val="none"/>
      </w:rPr>
    </w:lvl>
    <w:lvl w:ilvl="4" w:tplc="2E40BC64">
      <w:start w:val="1"/>
      <w:numFmt w:val="bullet"/>
      <w:lvlText w:val="○"/>
      <w:lvlJc w:val="left"/>
      <w:pPr>
        <w:ind w:left="3600" w:hanging="360"/>
      </w:pPr>
      <w:rPr>
        <w:u w:val="none"/>
      </w:rPr>
    </w:lvl>
    <w:lvl w:ilvl="5" w:tplc="F0EAF744">
      <w:start w:val="1"/>
      <w:numFmt w:val="bullet"/>
      <w:lvlText w:val="■"/>
      <w:lvlJc w:val="left"/>
      <w:pPr>
        <w:ind w:left="4320" w:hanging="360"/>
      </w:pPr>
      <w:rPr>
        <w:u w:val="none"/>
      </w:rPr>
    </w:lvl>
    <w:lvl w:ilvl="6" w:tplc="8146E5EA">
      <w:start w:val="1"/>
      <w:numFmt w:val="bullet"/>
      <w:lvlText w:val="●"/>
      <w:lvlJc w:val="left"/>
      <w:pPr>
        <w:ind w:left="5040" w:hanging="360"/>
      </w:pPr>
      <w:rPr>
        <w:u w:val="none"/>
      </w:rPr>
    </w:lvl>
    <w:lvl w:ilvl="7" w:tplc="C7186168">
      <w:start w:val="1"/>
      <w:numFmt w:val="bullet"/>
      <w:lvlText w:val="○"/>
      <w:lvlJc w:val="left"/>
      <w:pPr>
        <w:ind w:left="5760" w:hanging="360"/>
      </w:pPr>
      <w:rPr>
        <w:u w:val="none"/>
      </w:rPr>
    </w:lvl>
    <w:lvl w:ilvl="8" w:tplc="6DCA64DE">
      <w:start w:val="1"/>
      <w:numFmt w:val="bullet"/>
      <w:lvlText w:val="■"/>
      <w:lvlJc w:val="left"/>
      <w:pPr>
        <w:ind w:left="6480" w:hanging="360"/>
      </w:pPr>
      <w:rPr>
        <w:u w:val="none"/>
      </w:rPr>
    </w:lvl>
  </w:abstractNum>
  <w:abstractNum w:abstractNumId="3">
    <w:nsid w:val="373D89BA"/>
    <w:multiLevelType w:val="hybridMultilevel"/>
    <w:tmpl w:val="00000000"/>
    <w:lvl w:ilvl="0" w:tplc="4DF64558">
      <w:start w:val="1"/>
      <w:numFmt w:val="bullet"/>
      <w:lvlText w:val="●"/>
      <w:lvlJc w:val="left"/>
      <w:pPr>
        <w:ind w:left="720" w:hanging="360"/>
      </w:pPr>
      <w:rPr>
        <w:u w:val="none"/>
      </w:rPr>
    </w:lvl>
    <w:lvl w:ilvl="1" w:tplc="9C52846A">
      <w:start w:val="1"/>
      <w:numFmt w:val="bullet"/>
      <w:lvlText w:val="○"/>
      <w:lvlJc w:val="left"/>
      <w:pPr>
        <w:ind w:left="1440" w:hanging="360"/>
      </w:pPr>
      <w:rPr>
        <w:u w:val="none"/>
      </w:rPr>
    </w:lvl>
    <w:lvl w:ilvl="2" w:tplc="4BF66A3C">
      <w:start w:val="1"/>
      <w:numFmt w:val="bullet"/>
      <w:lvlText w:val="■"/>
      <w:lvlJc w:val="left"/>
      <w:pPr>
        <w:ind w:left="2160" w:hanging="360"/>
      </w:pPr>
      <w:rPr>
        <w:u w:val="none"/>
      </w:rPr>
    </w:lvl>
    <w:lvl w:ilvl="3" w:tplc="DAE2B3C0">
      <w:start w:val="1"/>
      <w:numFmt w:val="bullet"/>
      <w:lvlText w:val="●"/>
      <w:lvlJc w:val="left"/>
      <w:pPr>
        <w:ind w:left="2880" w:hanging="360"/>
      </w:pPr>
      <w:rPr>
        <w:u w:val="none"/>
      </w:rPr>
    </w:lvl>
    <w:lvl w:ilvl="4" w:tplc="78BC41B8">
      <w:start w:val="1"/>
      <w:numFmt w:val="bullet"/>
      <w:lvlText w:val="○"/>
      <w:lvlJc w:val="left"/>
      <w:pPr>
        <w:ind w:left="3600" w:hanging="360"/>
      </w:pPr>
      <w:rPr>
        <w:u w:val="none"/>
      </w:rPr>
    </w:lvl>
    <w:lvl w:ilvl="5" w:tplc="89A03470">
      <w:start w:val="1"/>
      <w:numFmt w:val="bullet"/>
      <w:lvlText w:val="■"/>
      <w:lvlJc w:val="left"/>
      <w:pPr>
        <w:ind w:left="4320" w:hanging="360"/>
      </w:pPr>
      <w:rPr>
        <w:u w:val="none"/>
      </w:rPr>
    </w:lvl>
    <w:lvl w:ilvl="6" w:tplc="FB5A4DBE">
      <w:start w:val="1"/>
      <w:numFmt w:val="bullet"/>
      <w:lvlText w:val="●"/>
      <w:lvlJc w:val="left"/>
      <w:pPr>
        <w:ind w:left="5040" w:hanging="360"/>
      </w:pPr>
      <w:rPr>
        <w:u w:val="none"/>
      </w:rPr>
    </w:lvl>
    <w:lvl w:ilvl="7" w:tplc="00C02F0E">
      <w:start w:val="1"/>
      <w:numFmt w:val="bullet"/>
      <w:lvlText w:val="○"/>
      <w:lvlJc w:val="left"/>
      <w:pPr>
        <w:ind w:left="5760" w:hanging="360"/>
      </w:pPr>
      <w:rPr>
        <w:u w:val="none"/>
      </w:rPr>
    </w:lvl>
    <w:lvl w:ilvl="8" w:tplc="9D44A83A">
      <w:start w:val="1"/>
      <w:numFmt w:val="bullet"/>
      <w:lvlText w:val="■"/>
      <w:lvlJc w:val="left"/>
      <w:pPr>
        <w:ind w:left="6480" w:hanging="360"/>
      </w:pPr>
      <w:rPr>
        <w:u w:val="none"/>
      </w:rPr>
    </w:lvl>
  </w:abstractNum>
  <w:abstractNum w:abstractNumId="4">
    <w:nsid w:val="4893F9B8"/>
    <w:multiLevelType w:val="hybridMultilevel"/>
    <w:tmpl w:val="00000000"/>
    <w:lvl w:ilvl="0" w:tplc="F648ED48">
      <w:start w:val="1"/>
      <w:numFmt w:val="bullet"/>
      <w:lvlText w:val="●"/>
      <w:lvlJc w:val="left"/>
      <w:pPr>
        <w:ind w:left="720" w:hanging="360"/>
      </w:pPr>
      <w:rPr>
        <w:u w:val="none"/>
      </w:rPr>
    </w:lvl>
    <w:lvl w:ilvl="1" w:tplc="6186A9A0">
      <w:start w:val="1"/>
      <w:numFmt w:val="bullet"/>
      <w:lvlText w:val="○"/>
      <w:lvlJc w:val="left"/>
      <w:pPr>
        <w:ind w:left="1440" w:hanging="360"/>
      </w:pPr>
      <w:rPr>
        <w:u w:val="none"/>
      </w:rPr>
    </w:lvl>
    <w:lvl w:ilvl="2" w:tplc="ED1044C4">
      <w:start w:val="1"/>
      <w:numFmt w:val="bullet"/>
      <w:lvlText w:val="■"/>
      <w:lvlJc w:val="left"/>
      <w:pPr>
        <w:ind w:left="2160" w:hanging="360"/>
      </w:pPr>
      <w:rPr>
        <w:u w:val="none"/>
      </w:rPr>
    </w:lvl>
    <w:lvl w:ilvl="3" w:tplc="8D4E8598">
      <w:start w:val="1"/>
      <w:numFmt w:val="bullet"/>
      <w:lvlText w:val="●"/>
      <w:lvlJc w:val="left"/>
      <w:pPr>
        <w:ind w:left="2880" w:hanging="360"/>
      </w:pPr>
      <w:rPr>
        <w:u w:val="none"/>
      </w:rPr>
    </w:lvl>
    <w:lvl w:ilvl="4" w:tplc="87F8D0EE">
      <w:start w:val="1"/>
      <w:numFmt w:val="bullet"/>
      <w:lvlText w:val="○"/>
      <w:lvlJc w:val="left"/>
      <w:pPr>
        <w:ind w:left="3600" w:hanging="360"/>
      </w:pPr>
      <w:rPr>
        <w:u w:val="none"/>
      </w:rPr>
    </w:lvl>
    <w:lvl w:ilvl="5" w:tplc="E02A3328">
      <w:start w:val="1"/>
      <w:numFmt w:val="bullet"/>
      <w:lvlText w:val="■"/>
      <w:lvlJc w:val="left"/>
      <w:pPr>
        <w:ind w:left="4320" w:hanging="360"/>
      </w:pPr>
      <w:rPr>
        <w:u w:val="none"/>
      </w:rPr>
    </w:lvl>
    <w:lvl w:ilvl="6" w:tplc="02F4A444">
      <w:start w:val="1"/>
      <w:numFmt w:val="bullet"/>
      <w:lvlText w:val="●"/>
      <w:lvlJc w:val="left"/>
      <w:pPr>
        <w:ind w:left="5040" w:hanging="360"/>
      </w:pPr>
      <w:rPr>
        <w:u w:val="none"/>
      </w:rPr>
    </w:lvl>
    <w:lvl w:ilvl="7" w:tplc="30B2735A">
      <w:start w:val="1"/>
      <w:numFmt w:val="bullet"/>
      <w:lvlText w:val="○"/>
      <w:lvlJc w:val="left"/>
      <w:pPr>
        <w:ind w:left="5760" w:hanging="360"/>
      </w:pPr>
      <w:rPr>
        <w:u w:val="none"/>
      </w:rPr>
    </w:lvl>
    <w:lvl w:ilvl="8" w:tplc="DA5ECFDE">
      <w:start w:val="1"/>
      <w:numFmt w:val="bullet"/>
      <w:lvlText w:val="■"/>
      <w:lvlJc w:val="left"/>
      <w:pPr>
        <w:ind w:left="6480" w:hanging="360"/>
      </w:pPr>
      <w:rPr>
        <w:u w:val="none"/>
      </w:rPr>
    </w:lvl>
  </w:abstractNum>
  <w:abstractNum w:abstractNumId="5">
    <w:nsid w:val="49506741"/>
    <w:multiLevelType w:val="hybridMultilevel"/>
    <w:tmpl w:val="00000000"/>
    <w:lvl w:ilvl="0" w:tplc="D3785406">
      <w:start w:val="1"/>
      <w:numFmt w:val="bullet"/>
      <w:lvlText w:val="●"/>
      <w:lvlJc w:val="left"/>
      <w:pPr>
        <w:ind w:left="720" w:hanging="360"/>
      </w:pPr>
      <w:rPr>
        <w:u w:val="none"/>
      </w:rPr>
    </w:lvl>
    <w:lvl w:ilvl="1" w:tplc="E4D8C0B4">
      <w:start w:val="1"/>
      <w:numFmt w:val="bullet"/>
      <w:lvlText w:val="○"/>
      <w:lvlJc w:val="left"/>
      <w:pPr>
        <w:ind w:left="1440" w:hanging="360"/>
      </w:pPr>
      <w:rPr>
        <w:u w:val="none"/>
      </w:rPr>
    </w:lvl>
    <w:lvl w:ilvl="2" w:tplc="5C742770">
      <w:start w:val="1"/>
      <w:numFmt w:val="bullet"/>
      <w:lvlText w:val="■"/>
      <w:lvlJc w:val="left"/>
      <w:pPr>
        <w:ind w:left="2160" w:hanging="360"/>
      </w:pPr>
      <w:rPr>
        <w:u w:val="none"/>
      </w:rPr>
    </w:lvl>
    <w:lvl w:ilvl="3" w:tplc="7F464638">
      <w:start w:val="1"/>
      <w:numFmt w:val="bullet"/>
      <w:lvlText w:val="●"/>
      <w:lvlJc w:val="left"/>
      <w:pPr>
        <w:ind w:left="2880" w:hanging="360"/>
      </w:pPr>
      <w:rPr>
        <w:u w:val="none"/>
      </w:rPr>
    </w:lvl>
    <w:lvl w:ilvl="4" w:tplc="42B8F0CE">
      <w:start w:val="1"/>
      <w:numFmt w:val="bullet"/>
      <w:lvlText w:val="○"/>
      <w:lvlJc w:val="left"/>
      <w:pPr>
        <w:ind w:left="3600" w:hanging="360"/>
      </w:pPr>
      <w:rPr>
        <w:u w:val="none"/>
      </w:rPr>
    </w:lvl>
    <w:lvl w:ilvl="5" w:tplc="C22467F0">
      <w:start w:val="1"/>
      <w:numFmt w:val="bullet"/>
      <w:lvlText w:val="■"/>
      <w:lvlJc w:val="left"/>
      <w:pPr>
        <w:ind w:left="4320" w:hanging="360"/>
      </w:pPr>
      <w:rPr>
        <w:u w:val="none"/>
      </w:rPr>
    </w:lvl>
    <w:lvl w:ilvl="6" w:tplc="E1340B08">
      <w:start w:val="1"/>
      <w:numFmt w:val="bullet"/>
      <w:lvlText w:val="●"/>
      <w:lvlJc w:val="left"/>
      <w:pPr>
        <w:ind w:left="5040" w:hanging="360"/>
      </w:pPr>
      <w:rPr>
        <w:u w:val="none"/>
      </w:rPr>
    </w:lvl>
    <w:lvl w:ilvl="7" w:tplc="7E4A7868">
      <w:start w:val="1"/>
      <w:numFmt w:val="bullet"/>
      <w:lvlText w:val="○"/>
      <w:lvlJc w:val="left"/>
      <w:pPr>
        <w:ind w:left="5760" w:hanging="360"/>
      </w:pPr>
      <w:rPr>
        <w:u w:val="none"/>
      </w:rPr>
    </w:lvl>
    <w:lvl w:ilvl="8" w:tplc="8D8244DE">
      <w:start w:val="1"/>
      <w:numFmt w:val="bullet"/>
      <w:lvlText w:val="■"/>
      <w:lvlJc w:val="left"/>
      <w:pPr>
        <w:ind w:left="6480" w:hanging="360"/>
      </w:pPr>
      <w:rPr>
        <w:u w:val="none"/>
      </w:rPr>
    </w:lvl>
  </w:abstractNum>
  <w:abstractNum w:abstractNumId="6">
    <w:nsid w:val="5484C438"/>
    <w:multiLevelType w:val="hybridMultilevel"/>
    <w:tmpl w:val="00000000"/>
    <w:lvl w:ilvl="0" w:tplc="AD008C94">
      <w:start w:val="1"/>
      <w:numFmt w:val="bullet"/>
      <w:lvlText w:val="●"/>
      <w:lvlJc w:val="left"/>
      <w:pPr>
        <w:ind w:left="720" w:hanging="360"/>
      </w:pPr>
      <w:rPr>
        <w:u w:val="none"/>
      </w:rPr>
    </w:lvl>
    <w:lvl w:ilvl="1" w:tplc="9FE0CD02">
      <w:start w:val="1"/>
      <w:numFmt w:val="bullet"/>
      <w:lvlText w:val="○"/>
      <w:lvlJc w:val="left"/>
      <w:pPr>
        <w:ind w:left="1440" w:hanging="360"/>
      </w:pPr>
      <w:rPr>
        <w:u w:val="none"/>
      </w:rPr>
    </w:lvl>
    <w:lvl w:ilvl="2" w:tplc="50F64990">
      <w:start w:val="1"/>
      <w:numFmt w:val="bullet"/>
      <w:lvlText w:val="■"/>
      <w:lvlJc w:val="left"/>
      <w:pPr>
        <w:ind w:left="2160" w:hanging="360"/>
      </w:pPr>
      <w:rPr>
        <w:u w:val="none"/>
      </w:rPr>
    </w:lvl>
    <w:lvl w:ilvl="3" w:tplc="A2A4E9AC">
      <w:start w:val="1"/>
      <w:numFmt w:val="bullet"/>
      <w:lvlText w:val="●"/>
      <w:lvlJc w:val="left"/>
      <w:pPr>
        <w:ind w:left="2880" w:hanging="360"/>
      </w:pPr>
      <w:rPr>
        <w:u w:val="none"/>
      </w:rPr>
    </w:lvl>
    <w:lvl w:ilvl="4" w:tplc="02442A16">
      <w:start w:val="1"/>
      <w:numFmt w:val="bullet"/>
      <w:lvlText w:val="○"/>
      <w:lvlJc w:val="left"/>
      <w:pPr>
        <w:ind w:left="3600" w:hanging="360"/>
      </w:pPr>
      <w:rPr>
        <w:u w:val="none"/>
      </w:rPr>
    </w:lvl>
    <w:lvl w:ilvl="5" w:tplc="D460FDF2">
      <w:start w:val="1"/>
      <w:numFmt w:val="bullet"/>
      <w:lvlText w:val="■"/>
      <w:lvlJc w:val="left"/>
      <w:pPr>
        <w:ind w:left="4320" w:hanging="360"/>
      </w:pPr>
      <w:rPr>
        <w:u w:val="none"/>
      </w:rPr>
    </w:lvl>
    <w:lvl w:ilvl="6" w:tplc="DFD6AF9E">
      <w:start w:val="1"/>
      <w:numFmt w:val="bullet"/>
      <w:lvlText w:val="●"/>
      <w:lvlJc w:val="left"/>
      <w:pPr>
        <w:ind w:left="5040" w:hanging="360"/>
      </w:pPr>
      <w:rPr>
        <w:u w:val="none"/>
      </w:rPr>
    </w:lvl>
    <w:lvl w:ilvl="7" w:tplc="E9166DD0">
      <w:start w:val="1"/>
      <w:numFmt w:val="bullet"/>
      <w:lvlText w:val="○"/>
      <w:lvlJc w:val="left"/>
      <w:pPr>
        <w:ind w:left="5760" w:hanging="360"/>
      </w:pPr>
      <w:rPr>
        <w:u w:val="none"/>
      </w:rPr>
    </w:lvl>
    <w:lvl w:ilvl="8" w:tplc="3BC455F4">
      <w:start w:val="1"/>
      <w:numFmt w:val="bullet"/>
      <w:lvlText w:val="■"/>
      <w:lvlJc w:val="left"/>
      <w:pPr>
        <w:ind w:left="6480" w:hanging="360"/>
      </w:pPr>
      <w:rPr>
        <w:u w:val="none"/>
      </w:rPr>
    </w:lvl>
  </w:abstractNum>
  <w:abstractNum w:abstractNumId="7">
    <w:nsid w:val="5DAE3C40"/>
    <w:multiLevelType w:val="hybridMultilevel"/>
    <w:tmpl w:val="00000000"/>
    <w:lvl w:ilvl="0" w:tplc="C930D9B4">
      <w:start w:val="1"/>
      <w:numFmt w:val="bullet"/>
      <w:lvlText w:val="●"/>
      <w:lvlJc w:val="left"/>
      <w:pPr>
        <w:ind w:left="720" w:hanging="360"/>
      </w:pPr>
      <w:rPr>
        <w:u w:val="none"/>
      </w:rPr>
    </w:lvl>
    <w:lvl w:ilvl="1" w:tplc="7FC075BA">
      <w:start w:val="1"/>
      <w:numFmt w:val="bullet"/>
      <w:lvlText w:val="○"/>
      <w:lvlJc w:val="left"/>
      <w:pPr>
        <w:ind w:left="1440" w:hanging="360"/>
      </w:pPr>
      <w:rPr>
        <w:u w:val="none"/>
      </w:rPr>
    </w:lvl>
    <w:lvl w:ilvl="2" w:tplc="00981CF0">
      <w:start w:val="1"/>
      <w:numFmt w:val="bullet"/>
      <w:lvlText w:val="■"/>
      <w:lvlJc w:val="left"/>
      <w:pPr>
        <w:ind w:left="2160" w:hanging="360"/>
      </w:pPr>
      <w:rPr>
        <w:u w:val="none"/>
      </w:rPr>
    </w:lvl>
    <w:lvl w:ilvl="3" w:tplc="91725824">
      <w:start w:val="1"/>
      <w:numFmt w:val="bullet"/>
      <w:lvlText w:val="●"/>
      <w:lvlJc w:val="left"/>
      <w:pPr>
        <w:ind w:left="2880" w:hanging="360"/>
      </w:pPr>
      <w:rPr>
        <w:u w:val="none"/>
      </w:rPr>
    </w:lvl>
    <w:lvl w:ilvl="4" w:tplc="C7FEF30E">
      <w:start w:val="1"/>
      <w:numFmt w:val="bullet"/>
      <w:lvlText w:val="○"/>
      <w:lvlJc w:val="left"/>
      <w:pPr>
        <w:ind w:left="3600" w:hanging="360"/>
      </w:pPr>
      <w:rPr>
        <w:u w:val="none"/>
      </w:rPr>
    </w:lvl>
    <w:lvl w:ilvl="5" w:tplc="2ACA0C28">
      <w:start w:val="1"/>
      <w:numFmt w:val="bullet"/>
      <w:lvlText w:val="■"/>
      <w:lvlJc w:val="left"/>
      <w:pPr>
        <w:ind w:left="4320" w:hanging="360"/>
      </w:pPr>
      <w:rPr>
        <w:u w:val="none"/>
      </w:rPr>
    </w:lvl>
    <w:lvl w:ilvl="6" w:tplc="C54A36A0">
      <w:start w:val="1"/>
      <w:numFmt w:val="bullet"/>
      <w:lvlText w:val="●"/>
      <w:lvlJc w:val="left"/>
      <w:pPr>
        <w:ind w:left="5040" w:hanging="360"/>
      </w:pPr>
      <w:rPr>
        <w:u w:val="none"/>
      </w:rPr>
    </w:lvl>
    <w:lvl w:ilvl="7" w:tplc="F74A91C6">
      <w:start w:val="1"/>
      <w:numFmt w:val="bullet"/>
      <w:lvlText w:val="○"/>
      <w:lvlJc w:val="left"/>
      <w:pPr>
        <w:ind w:left="5760" w:hanging="360"/>
      </w:pPr>
      <w:rPr>
        <w:u w:val="none"/>
      </w:rPr>
    </w:lvl>
    <w:lvl w:ilvl="8" w:tplc="06763CF0">
      <w:start w:val="1"/>
      <w:numFmt w:val="bullet"/>
      <w:lvlText w:val="■"/>
      <w:lvlJc w:val="left"/>
      <w:pPr>
        <w:ind w:left="6480" w:hanging="360"/>
      </w:pPr>
      <w:rPr>
        <w:u w:val="none"/>
      </w:rPr>
    </w:lvl>
  </w:abstractNum>
  <w:abstractNum w:abstractNumId="8">
    <w:nsid w:val="7355868F"/>
    <w:multiLevelType w:val="hybridMultilevel"/>
    <w:tmpl w:val="00000000"/>
    <w:lvl w:ilvl="0" w:tplc="22742DE0">
      <w:start w:val="1"/>
      <w:numFmt w:val="bullet"/>
      <w:lvlText w:val="●"/>
      <w:lvlJc w:val="left"/>
      <w:pPr>
        <w:ind w:left="720" w:hanging="360"/>
      </w:pPr>
      <w:rPr>
        <w:u w:val="none"/>
      </w:rPr>
    </w:lvl>
    <w:lvl w:ilvl="1" w:tplc="5282C55C">
      <w:start w:val="1"/>
      <w:numFmt w:val="bullet"/>
      <w:lvlText w:val="○"/>
      <w:lvlJc w:val="left"/>
      <w:pPr>
        <w:ind w:left="1440" w:hanging="360"/>
      </w:pPr>
      <w:rPr>
        <w:u w:val="none"/>
      </w:rPr>
    </w:lvl>
    <w:lvl w:ilvl="2" w:tplc="F4201FC0">
      <w:start w:val="1"/>
      <w:numFmt w:val="bullet"/>
      <w:lvlText w:val="■"/>
      <w:lvlJc w:val="left"/>
      <w:pPr>
        <w:ind w:left="2160" w:hanging="360"/>
      </w:pPr>
      <w:rPr>
        <w:u w:val="none"/>
      </w:rPr>
    </w:lvl>
    <w:lvl w:ilvl="3" w:tplc="67662DAC">
      <w:start w:val="1"/>
      <w:numFmt w:val="bullet"/>
      <w:lvlText w:val="●"/>
      <w:lvlJc w:val="left"/>
      <w:pPr>
        <w:ind w:left="2880" w:hanging="360"/>
      </w:pPr>
      <w:rPr>
        <w:u w:val="none"/>
      </w:rPr>
    </w:lvl>
    <w:lvl w:ilvl="4" w:tplc="AFFA985E">
      <w:start w:val="1"/>
      <w:numFmt w:val="bullet"/>
      <w:lvlText w:val="○"/>
      <w:lvlJc w:val="left"/>
      <w:pPr>
        <w:ind w:left="3600" w:hanging="360"/>
      </w:pPr>
      <w:rPr>
        <w:u w:val="none"/>
      </w:rPr>
    </w:lvl>
    <w:lvl w:ilvl="5" w:tplc="B2D88732">
      <w:start w:val="1"/>
      <w:numFmt w:val="bullet"/>
      <w:lvlText w:val="■"/>
      <w:lvlJc w:val="left"/>
      <w:pPr>
        <w:ind w:left="4320" w:hanging="360"/>
      </w:pPr>
      <w:rPr>
        <w:u w:val="none"/>
      </w:rPr>
    </w:lvl>
    <w:lvl w:ilvl="6" w:tplc="F09668D4">
      <w:start w:val="1"/>
      <w:numFmt w:val="bullet"/>
      <w:lvlText w:val="●"/>
      <w:lvlJc w:val="left"/>
      <w:pPr>
        <w:ind w:left="5040" w:hanging="360"/>
      </w:pPr>
      <w:rPr>
        <w:u w:val="none"/>
      </w:rPr>
    </w:lvl>
    <w:lvl w:ilvl="7" w:tplc="F05A5AC6">
      <w:start w:val="1"/>
      <w:numFmt w:val="bullet"/>
      <w:lvlText w:val="○"/>
      <w:lvlJc w:val="left"/>
      <w:pPr>
        <w:ind w:left="5760" w:hanging="360"/>
      </w:pPr>
      <w:rPr>
        <w:u w:val="none"/>
      </w:rPr>
    </w:lvl>
    <w:lvl w:ilvl="8" w:tplc="B2CA93AC">
      <w:start w:val="1"/>
      <w:numFmt w:val="bullet"/>
      <w:lvlText w:val="■"/>
      <w:lvlJc w:val="left"/>
      <w:pPr>
        <w:ind w:left="6480" w:hanging="360"/>
      </w:pPr>
      <w:rPr>
        <w:u w:val="none"/>
      </w:rPr>
    </w:lvl>
  </w:abstractNum>
  <w:abstractNum w:abstractNumId="9">
    <w:nsid w:val="7758A887"/>
    <w:multiLevelType w:val="hybridMultilevel"/>
    <w:tmpl w:val="00000000"/>
    <w:lvl w:ilvl="0" w:tplc="07D855CE">
      <w:start w:val="1"/>
      <w:numFmt w:val="bullet"/>
      <w:lvlText w:val="●"/>
      <w:lvlJc w:val="left"/>
      <w:pPr>
        <w:ind w:left="720" w:hanging="360"/>
      </w:pPr>
      <w:rPr>
        <w:u w:val="none"/>
      </w:rPr>
    </w:lvl>
    <w:lvl w:ilvl="1" w:tplc="33B068EC">
      <w:start w:val="1"/>
      <w:numFmt w:val="bullet"/>
      <w:lvlText w:val="○"/>
      <w:lvlJc w:val="left"/>
      <w:pPr>
        <w:ind w:left="1440" w:hanging="360"/>
      </w:pPr>
      <w:rPr>
        <w:u w:val="none"/>
      </w:rPr>
    </w:lvl>
    <w:lvl w:ilvl="2" w:tplc="C660D396">
      <w:start w:val="1"/>
      <w:numFmt w:val="bullet"/>
      <w:lvlText w:val="■"/>
      <w:lvlJc w:val="left"/>
      <w:pPr>
        <w:ind w:left="2160" w:hanging="360"/>
      </w:pPr>
      <w:rPr>
        <w:u w:val="none"/>
      </w:rPr>
    </w:lvl>
    <w:lvl w:ilvl="3" w:tplc="A3A44708">
      <w:start w:val="1"/>
      <w:numFmt w:val="bullet"/>
      <w:lvlText w:val="●"/>
      <w:lvlJc w:val="left"/>
      <w:pPr>
        <w:ind w:left="2880" w:hanging="360"/>
      </w:pPr>
      <w:rPr>
        <w:u w:val="none"/>
      </w:rPr>
    </w:lvl>
    <w:lvl w:ilvl="4" w:tplc="55E6E5EC">
      <w:start w:val="1"/>
      <w:numFmt w:val="bullet"/>
      <w:lvlText w:val="○"/>
      <w:lvlJc w:val="left"/>
      <w:pPr>
        <w:ind w:left="3600" w:hanging="360"/>
      </w:pPr>
      <w:rPr>
        <w:u w:val="none"/>
      </w:rPr>
    </w:lvl>
    <w:lvl w:ilvl="5" w:tplc="2730C4FC">
      <w:start w:val="1"/>
      <w:numFmt w:val="bullet"/>
      <w:lvlText w:val="■"/>
      <w:lvlJc w:val="left"/>
      <w:pPr>
        <w:ind w:left="4320" w:hanging="360"/>
      </w:pPr>
      <w:rPr>
        <w:u w:val="none"/>
      </w:rPr>
    </w:lvl>
    <w:lvl w:ilvl="6" w:tplc="AE0216B2">
      <w:start w:val="1"/>
      <w:numFmt w:val="bullet"/>
      <w:lvlText w:val="●"/>
      <w:lvlJc w:val="left"/>
      <w:pPr>
        <w:ind w:left="5040" w:hanging="360"/>
      </w:pPr>
      <w:rPr>
        <w:u w:val="none"/>
      </w:rPr>
    </w:lvl>
    <w:lvl w:ilvl="7" w:tplc="F5B82E44">
      <w:start w:val="1"/>
      <w:numFmt w:val="bullet"/>
      <w:lvlText w:val="○"/>
      <w:lvlJc w:val="left"/>
      <w:pPr>
        <w:ind w:left="5760" w:hanging="360"/>
      </w:pPr>
      <w:rPr>
        <w:u w:val="none"/>
      </w:rPr>
    </w:lvl>
    <w:lvl w:ilvl="8" w:tplc="5EE63CCA">
      <w:start w:val="1"/>
      <w:numFmt w:val="bullet"/>
      <w:lvlText w:val="■"/>
      <w:lvlJc w:val="left"/>
      <w:pPr>
        <w:ind w:left="6480" w:hanging="360"/>
      </w:pPr>
      <w:rPr>
        <w:u w:val="none"/>
      </w:rPr>
    </w:lvl>
  </w:abstractNum>
  <w:num w:numId="1">
    <w:abstractNumId w:val="2"/>
  </w:num>
  <w:num w:numId="2">
    <w:abstractNumId w:val="4"/>
  </w:num>
  <w:num w:numId="3">
    <w:abstractNumId w:val="1"/>
  </w:num>
  <w:num w:numId="4">
    <w:abstractNumId w:val="0"/>
  </w:num>
  <w:num w:numId="5">
    <w:abstractNumId w:val="3"/>
  </w:num>
  <w:num w:numId="6">
    <w:abstractNumId w:val="6"/>
  </w:num>
  <w:num w:numId="7">
    <w:abstractNumId w:val="7"/>
  </w:num>
  <w:num w:numId="8">
    <w:abstractNumId w:val="8"/>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881"/>
    <w:rsid w:val="0000626D"/>
    <w:rsid w:val="000132AD"/>
    <w:rsid w:val="000260C3"/>
    <w:rsid w:val="0003682C"/>
    <w:rsid w:val="00047F01"/>
    <w:rsid w:val="00063F65"/>
    <w:rsid w:val="000804B0"/>
    <w:rsid w:val="00083128"/>
    <w:rsid w:val="00085ABA"/>
    <w:rsid w:val="00086959"/>
    <w:rsid w:val="000A79D5"/>
    <w:rsid w:val="000C1222"/>
    <w:rsid w:val="000C1FCD"/>
    <w:rsid w:val="000D571B"/>
    <w:rsid w:val="000E73B9"/>
    <w:rsid w:val="000E7DDD"/>
    <w:rsid w:val="000F2B53"/>
    <w:rsid w:val="00105C35"/>
    <w:rsid w:val="0013239B"/>
    <w:rsid w:val="001343DB"/>
    <w:rsid w:val="00141966"/>
    <w:rsid w:val="001473EB"/>
    <w:rsid w:val="00161FBB"/>
    <w:rsid w:val="001768E2"/>
    <w:rsid w:val="00177DF8"/>
    <w:rsid w:val="0018260B"/>
    <w:rsid w:val="0019416C"/>
    <w:rsid w:val="001957AD"/>
    <w:rsid w:val="00197152"/>
    <w:rsid w:val="001B6CAA"/>
    <w:rsid w:val="001D021B"/>
    <w:rsid w:val="001D1A7B"/>
    <w:rsid w:val="002061E8"/>
    <w:rsid w:val="002212A7"/>
    <w:rsid w:val="0022501E"/>
    <w:rsid w:val="00232D52"/>
    <w:rsid w:val="00234A88"/>
    <w:rsid w:val="00243C1E"/>
    <w:rsid w:val="002467FE"/>
    <w:rsid w:val="00250726"/>
    <w:rsid w:val="002553FE"/>
    <w:rsid w:val="00266E49"/>
    <w:rsid w:val="00282097"/>
    <w:rsid w:val="00283E81"/>
    <w:rsid w:val="002917F3"/>
    <w:rsid w:val="002E2C61"/>
    <w:rsid w:val="002F0FE0"/>
    <w:rsid w:val="0033668F"/>
    <w:rsid w:val="00356462"/>
    <w:rsid w:val="003B28C4"/>
    <w:rsid w:val="003C1F89"/>
    <w:rsid w:val="003C3DF2"/>
    <w:rsid w:val="003D4921"/>
    <w:rsid w:val="003D5368"/>
    <w:rsid w:val="003F595B"/>
    <w:rsid w:val="00410958"/>
    <w:rsid w:val="0042714E"/>
    <w:rsid w:val="00431EBB"/>
    <w:rsid w:val="00432593"/>
    <w:rsid w:val="004430B6"/>
    <w:rsid w:val="00476DE8"/>
    <w:rsid w:val="004B60E6"/>
    <w:rsid w:val="004C0D0D"/>
    <w:rsid w:val="004C0F77"/>
    <w:rsid w:val="004D33A5"/>
    <w:rsid w:val="004D4691"/>
    <w:rsid w:val="004F44DA"/>
    <w:rsid w:val="004F46FA"/>
    <w:rsid w:val="00500071"/>
    <w:rsid w:val="005027AD"/>
    <w:rsid w:val="00504C7D"/>
    <w:rsid w:val="005110C0"/>
    <w:rsid w:val="005301FC"/>
    <w:rsid w:val="005338B6"/>
    <w:rsid w:val="00562A51"/>
    <w:rsid w:val="005725C1"/>
    <w:rsid w:val="00583730"/>
    <w:rsid w:val="00587F5C"/>
    <w:rsid w:val="005938E3"/>
    <w:rsid w:val="00595AEE"/>
    <w:rsid w:val="005E52B9"/>
    <w:rsid w:val="005E7C9E"/>
    <w:rsid w:val="006132FF"/>
    <w:rsid w:val="006205D5"/>
    <w:rsid w:val="00623D69"/>
    <w:rsid w:val="0064024E"/>
    <w:rsid w:val="00665EC1"/>
    <w:rsid w:val="0069009D"/>
    <w:rsid w:val="00697D5B"/>
    <w:rsid w:val="006B3E63"/>
    <w:rsid w:val="006C00FE"/>
    <w:rsid w:val="006D19AD"/>
    <w:rsid w:val="006D63B2"/>
    <w:rsid w:val="006E5147"/>
    <w:rsid w:val="007048BF"/>
    <w:rsid w:val="00704EC2"/>
    <w:rsid w:val="0071254A"/>
    <w:rsid w:val="00721CB7"/>
    <w:rsid w:val="00724050"/>
    <w:rsid w:val="00741959"/>
    <w:rsid w:val="00745DD1"/>
    <w:rsid w:val="00746954"/>
    <w:rsid w:val="007571AF"/>
    <w:rsid w:val="00760A0B"/>
    <w:rsid w:val="007906E7"/>
    <w:rsid w:val="007A5B3C"/>
    <w:rsid w:val="007B7F7D"/>
    <w:rsid w:val="007C6D88"/>
    <w:rsid w:val="007E6A9C"/>
    <w:rsid w:val="007F2BE3"/>
    <w:rsid w:val="007F4174"/>
    <w:rsid w:val="00800286"/>
    <w:rsid w:val="00855DD8"/>
    <w:rsid w:val="00873443"/>
    <w:rsid w:val="008E12CE"/>
    <w:rsid w:val="008E3469"/>
    <w:rsid w:val="008F2BE1"/>
    <w:rsid w:val="009037A0"/>
    <w:rsid w:val="009426AC"/>
    <w:rsid w:val="009427C3"/>
    <w:rsid w:val="00962A6F"/>
    <w:rsid w:val="00963B35"/>
    <w:rsid w:val="00971A65"/>
    <w:rsid w:val="009761C3"/>
    <w:rsid w:val="009820ED"/>
    <w:rsid w:val="00983E39"/>
    <w:rsid w:val="0098681C"/>
    <w:rsid w:val="00994065"/>
    <w:rsid w:val="009A1154"/>
    <w:rsid w:val="009A2D8C"/>
    <w:rsid w:val="009B58F2"/>
    <w:rsid w:val="009C37A6"/>
    <w:rsid w:val="009D1EEE"/>
    <w:rsid w:val="009D79BF"/>
    <w:rsid w:val="009E3374"/>
    <w:rsid w:val="009F5A39"/>
    <w:rsid w:val="009F5C86"/>
    <w:rsid w:val="00A61B6D"/>
    <w:rsid w:val="00A64AA1"/>
    <w:rsid w:val="00A718A9"/>
    <w:rsid w:val="00A73D3C"/>
    <w:rsid w:val="00A77A79"/>
    <w:rsid w:val="00A85055"/>
    <w:rsid w:val="00A8709E"/>
    <w:rsid w:val="00A93934"/>
    <w:rsid w:val="00A96589"/>
    <w:rsid w:val="00AA0CA1"/>
    <w:rsid w:val="00AB3528"/>
    <w:rsid w:val="00AC30A6"/>
    <w:rsid w:val="00AE0E3C"/>
    <w:rsid w:val="00B00290"/>
    <w:rsid w:val="00B03102"/>
    <w:rsid w:val="00B358F5"/>
    <w:rsid w:val="00B47C69"/>
    <w:rsid w:val="00B540B8"/>
    <w:rsid w:val="00B60C22"/>
    <w:rsid w:val="00B658EE"/>
    <w:rsid w:val="00B67258"/>
    <w:rsid w:val="00B85376"/>
    <w:rsid w:val="00BA116F"/>
    <w:rsid w:val="00BC3134"/>
    <w:rsid w:val="00BC6891"/>
    <w:rsid w:val="00BE4811"/>
    <w:rsid w:val="00BF0E2B"/>
    <w:rsid w:val="00BF51DC"/>
    <w:rsid w:val="00C3199E"/>
    <w:rsid w:val="00C37066"/>
    <w:rsid w:val="00C60340"/>
    <w:rsid w:val="00C67614"/>
    <w:rsid w:val="00C75AB2"/>
    <w:rsid w:val="00C75E9A"/>
    <w:rsid w:val="00C936E7"/>
    <w:rsid w:val="00C95950"/>
    <w:rsid w:val="00CB6BDD"/>
    <w:rsid w:val="00CC4942"/>
    <w:rsid w:val="00CD241E"/>
    <w:rsid w:val="00D10EA5"/>
    <w:rsid w:val="00D14FAB"/>
    <w:rsid w:val="00D275C1"/>
    <w:rsid w:val="00D27A63"/>
    <w:rsid w:val="00D30719"/>
    <w:rsid w:val="00D507A6"/>
    <w:rsid w:val="00D62FAD"/>
    <w:rsid w:val="00D6775E"/>
    <w:rsid w:val="00D830B3"/>
    <w:rsid w:val="00DA131A"/>
    <w:rsid w:val="00DB1D3B"/>
    <w:rsid w:val="00DB3134"/>
    <w:rsid w:val="00DB3EAD"/>
    <w:rsid w:val="00DC7F20"/>
    <w:rsid w:val="00DD335B"/>
    <w:rsid w:val="00DD4006"/>
    <w:rsid w:val="00DD5722"/>
    <w:rsid w:val="00DE500B"/>
    <w:rsid w:val="00E01D51"/>
    <w:rsid w:val="00E053B9"/>
    <w:rsid w:val="00E2614F"/>
    <w:rsid w:val="00E32B94"/>
    <w:rsid w:val="00E41881"/>
    <w:rsid w:val="00E47DBE"/>
    <w:rsid w:val="00E55CB0"/>
    <w:rsid w:val="00E65BB8"/>
    <w:rsid w:val="00E72B97"/>
    <w:rsid w:val="00E845B3"/>
    <w:rsid w:val="00E940C1"/>
    <w:rsid w:val="00E9618C"/>
    <w:rsid w:val="00EB14E0"/>
    <w:rsid w:val="00EB748D"/>
    <w:rsid w:val="00ED32D8"/>
    <w:rsid w:val="00ED63DE"/>
    <w:rsid w:val="00EE4115"/>
    <w:rsid w:val="00EF7F18"/>
    <w:rsid w:val="00F00C25"/>
    <w:rsid w:val="00F07C1F"/>
    <w:rsid w:val="00F1478C"/>
    <w:rsid w:val="00F15AB9"/>
    <w:rsid w:val="00F17ACF"/>
    <w:rsid w:val="00F64AA4"/>
    <w:rsid w:val="00F712D0"/>
    <w:rsid w:val="00FA2810"/>
    <w:rsid w:val="00FA7285"/>
    <w:rsid w:val="00FB4018"/>
    <w:rsid w:val="00FB4633"/>
    <w:rsid w:val="00FB56D7"/>
    <w:rsid w:val="00FC40B8"/>
    <w:rsid w:val="00FC60F7"/>
    <w:rsid w:val="00FD70BF"/>
    <w:rsid w:val="00FF02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41881"/>
  </w:style>
  <w:style w:type="paragraph" w:styleId="Heading1">
    <w:name w:val="heading 1"/>
    <w:basedOn w:val="Normal"/>
    <w:next w:val="Normal"/>
    <w:autoRedefine/>
    <w:rsid w:val="003D5368"/>
    <w:pPr>
      <w:keepNext/>
      <w:keepLines/>
      <w:spacing w:before="400" w:after="120" w:line="360" w:lineRule="auto"/>
      <w:jc w:val="both"/>
      <w:outlineLvl w:val="0"/>
    </w:pPr>
    <w:rPr>
      <w:rFonts w:ascii="Times New Roman" w:hAnsi="Times New Roman"/>
      <w:b/>
      <w:color w:val="76923C" w:themeColor="accent3" w:themeShade="BF"/>
      <w:sz w:val="32"/>
      <w:szCs w:val="40"/>
      <w:lang w:val="en-GB"/>
    </w:rPr>
  </w:style>
  <w:style w:type="paragraph" w:styleId="Heading2">
    <w:name w:val="heading 2"/>
    <w:basedOn w:val="Normal"/>
    <w:next w:val="Normal"/>
    <w:autoRedefine/>
    <w:rsid w:val="00DB3134"/>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
    <w:next w:val="Normal"/>
    <w:autoRedefine/>
    <w:rsid w:val="00F07C1F"/>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
    <w:next w:val="Normal"/>
    <w:rsid w:val="00E41881"/>
    <w:pPr>
      <w:keepNext/>
      <w:keepLines/>
      <w:spacing w:before="280" w:after="80"/>
      <w:outlineLvl w:val="3"/>
    </w:pPr>
    <w:rPr>
      <w:color w:val="666666"/>
      <w:sz w:val="24"/>
      <w:szCs w:val="24"/>
    </w:rPr>
  </w:style>
  <w:style w:type="paragraph" w:styleId="Heading5">
    <w:name w:val="heading 5"/>
    <w:basedOn w:val="Normal"/>
    <w:next w:val="Normal"/>
    <w:rsid w:val="00E41881"/>
    <w:pPr>
      <w:keepNext/>
      <w:keepLines/>
      <w:spacing w:before="240" w:after="80"/>
      <w:outlineLvl w:val="4"/>
    </w:pPr>
    <w:rPr>
      <w:color w:val="666666"/>
    </w:rPr>
  </w:style>
  <w:style w:type="paragraph" w:styleId="Heading6">
    <w:name w:val="heading 6"/>
    <w:basedOn w:val="Normal"/>
    <w:next w:val="Normal"/>
    <w:rsid w:val="00E4188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E41881"/>
    <w:pPr>
      <w:keepNext/>
      <w:keepLines/>
      <w:spacing w:after="60"/>
    </w:pPr>
    <w:rPr>
      <w:sz w:val="52"/>
      <w:szCs w:val="52"/>
    </w:rPr>
  </w:style>
  <w:style w:type="paragraph" w:styleId="Subtitle">
    <w:name w:val="Subtitle"/>
    <w:basedOn w:val="Normal"/>
    <w:next w:val="Normal"/>
    <w:rsid w:val="00E41881"/>
    <w:pPr>
      <w:keepNext/>
      <w:keepLines/>
      <w:spacing w:after="320"/>
    </w:pPr>
    <w:rPr>
      <w:color w:val="666666"/>
      <w:sz w:val="30"/>
      <w:szCs w:val="30"/>
    </w:rPr>
  </w:style>
  <w:style w:type="table" w:customStyle="1" w:styleId="Table1">
    <w:name w:val="Table1"/>
    <w:basedOn w:val="TableNormal"/>
    <w:rsid w:val="00E41881"/>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E41881"/>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E4188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unhideWhenUsed/>
    <w:rsid w:val="00E41881"/>
    <w:pPr>
      <w:spacing w:line="240" w:lineRule="auto"/>
    </w:pPr>
    <w:rPr>
      <w:sz w:val="20"/>
      <w:szCs w:val="20"/>
    </w:rPr>
  </w:style>
  <w:style w:type="character" w:customStyle="1" w:styleId="CommentTextChar">
    <w:name w:val="Comment Text Char"/>
    <w:basedOn w:val="DefaultParagraphFont"/>
    <w:link w:val="CommentText"/>
    <w:uiPriority w:val="99"/>
    <w:rsid w:val="00E41881"/>
    <w:rPr>
      <w:sz w:val="20"/>
      <w:szCs w:val="20"/>
    </w:rPr>
  </w:style>
  <w:style w:type="character" w:styleId="CommentReference">
    <w:name w:val="annotation reference"/>
    <w:basedOn w:val="DefaultParagraphFont"/>
    <w:uiPriority w:val="99"/>
    <w:semiHidden/>
    <w:unhideWhenUsed/>
    <w:rsid w:val="00E41881"/>
    <w:rPr>
      <w:sz w:val="16"/>
      <w:szCs w:val="16"/>
    </w:rPr>
  </w:style>
  <w:style w:type="paragraph" w:styleId="BalloonText">
    <w:name w:val="Balloon Text"/>
    <w:basedOn w:val="Normal"/>
    <w:link w:val="BalloonTextChar"/>
    <w:uiPriority w:val="99"/>
    <w:semiHidden/>
    <w:unhideWhenUsed/>
    <w:rsid w:val="00EB748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748D"/>
    <w:rPr>
      <w:rFonts w:ascii="Tahoma" w:hAnsi="Tahoma" w:cs="Tahoma"/>
      <w:sz w:val="16"/>
      <w:szCs w:val="16"/>
    </w:rPr>
  </w:style>
  <w:style w:type="paragraph" w:customStyle="1" w:styleId="Default">
    <w:name w:val="Default"/>
    <w:rsid w:val="00B540B8"/>
    <w:pPr>
      <w:autoSpaceDE w:val="0"/>
      <w:autoSpaceDN w:val="0"/>
      <w:adjustRightInd w:val="0"/>
      <w:spacing w:line="240" w:lineRule="auto"/>
    </w:pPr>
    <w:rPr>
      <w:rFonts w:eastAsiaTheme="minorHAnsi"/>
      <w:color w:val="000000"/>
      <w:sz w:val="24"/>
      <w:szCs w:val="24"/>
    </w:rPr>
  </w:style>
  <w:style w:type="paragraph" w:styleId="Header">
    <w:name w:val="header"/>
    <w:basedOn w:val="Normal"/>
    <w:link w:val="HeaderChar"/>
    <w:uiPriority w:val="99"/>
    <w:unhideWhenUsed/>
    <w:rsid w:val="005027AD"/>
    <w:pPr>
      <w:tabs>
        <w:tab w:val="center" w:pos="4680"/>
        <w:tab w:val="right" w:pos="9360"/>
      </w:tabs>
      <w:spacing w:line="240" w:lineRule="auto"/>
    </w:pPr>
  </w:style>
  <w:style w:type="character" w:customStyle="1" w:styleId="HeaderChar">
    <w:name w:val="Header Char"/>
    <w:basedOn w:val="DefaultParagraphFont"/>
    <w:link w:val="Header"/>
    <w:uiPriority w:val="99"/>
    <w:rsid w:val="005027AD"/>
  </w:style>
  <w:style w:type="paragraph" w:styleId="Footer">
    <w:name w:val="footer"/>
    <w:basedOn w:val="Normal"/>
    <w:link w:val="FooterChar"/>
    <w:uiPriority w:val="99"/>
    <w:unhideWhenUsed/>
    <w:rsid w:val="005027AD"/>
    <w:pPr>
      <w:tabs>
        <w:tab w:val="center" w:pos="4680"/>
        <w:tab w:val="right" w:pos="9360"/>
      </w:tabs>
      <w:spacing w:line="240" w:lineRule="auto"/>
    </w:pPr>
  </w:style>
  <w:style w:type="character" w:customStyle="1" w:styleId="FooterChar">
    <w:name w:val="Footer Char"/>
    <w:basedOn w:val="DefaultParagraphFont"/>
    <w:link w:val="Footer"/>
    <w:uiPriority w:val="99"/>
    <w:rsid w:val="005027AD"/>
  </w:style>
  <w:style w:type="paragraph" w:styleId="TOCHeading">
    <w:name w:val="TOC Heading"/>
    <w:basedOn w:val="Heading1"/>
    <w:next w:val="Normal"/>
    <w:uiPriority w:val="39"/>
    <w:semiHidden/>
    <w:unhideWhenUsed/>
    <w:qFormat/>
    <w:rsid w:val="00083128"/>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083128"/>
    <w:pPr>
      <w:spacing w:after="100"/>
    </w:pPr>
  </w:style>
  <w:style w:type="paragraph" w:styleId="TOC2">
    <w:name w:val="toc 2"/>
    <w:basedOn w:val="Normal"/>
    <w:next w:val="Normal"/>
    <w:autoRedefine/>
    <w:uiPriority w:val="39"/>
    <w:unhideWhenUsed/>
    <w:rsid w:val="00083128"/>
    <w:pPr>
      <w:spacing w:after="100"/>
      <w:ind w:left="220"/>
    </w:pPr>
  </w:style>
  <w:style w:type="paragraph" w:styleId="TOC3">
    <w:name w:val="toc 3"/>
    <w:basedOn w:val="Normal"/>
    <w:next w:val="Normal"/>
    <w:autoRedefine/>
    <w:uiPriority w:val="39"/>
    <w:unhideWhenUsed/>
    <w:rsid w:val="00083128"/>
    <w:pPr>
      <w:spacing w:after="100"/>
      <w:ind w:left="440"/>
    </w:pPr>
  </w:style>
  <w:style w:type="character" w:styleId="Hyperlink">
    <w:name w:val="Hyperlink"/>
    <w:basedOn w:val="DefaultParagraphFont"/>
    <w:uiPriority w:val="99"/>
    <w:unhideWhenUsed/>
    <w:rsid w:val="00083128"/>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C37066"/>
    <w:rPr>
      <w:b/>
      <w:bCs/>
    </w:rPr>
  </w:style>
  <w:style w:type="character" w:customStyle="1" w:styleId="CommentSubjectChar">
    <w:name w:val="Comment Subject Char"/>
    <w:basedOn w:val="CommentTextChar"/>
    <w:link w:val="CommentSubject"/>
    <w:uiPriority w:val="99"/>
    <w:semiHidden/>
    <w:rsid w:val="00C37066"/>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41881"/>
  </w:style>
  <w:style w:type="paragraph" w:styleId="Heading1">
    <w:name w:val="heading 1"/>
    <w:basedOn w:val="Normal"/>
    <w:next w:val="Normal"/>
    <w:autoRedefine/>
    <w:rsid w:val="003D5368"/>
    <w:pPr>
      <w:keepNext/>
      <w:keepLines/>
      <w:spacing w:before="400" w:after="120" w:line="360" w:lineRule="auto"/>
      <w:jc w:val="both"/>
      <w:outlineLvl w:val="0"/>
    </w:pPr>
    <w:rPr>
      <w:rFonts w:ascii="Times New Roman" w:hAnsi="Times New Roman"/>
      <w:b/>
      <w:color w:val="76923C" w:themeColor="accent3" w:themeShade="BF"/>
      <w:sz w:val="32"/>
      <w:szCs w:val="40"/>
      <w:lang w:val="en-GB"/>
    </w:rPr>
  </w:style>
  <w:style w:type="paragraph" w:styleId="Heading2">
    <w:name w:val="heading 2"/>
    <w:basedOn w:val="Normal"/>
    <w:next w:val="Normal"/>
    <w:autoRedefine/>
    <w:rsid w:val="00DB3134"/>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
    <w:next w:val="Normal"/>
    <w:autoRedefine/>
    <w:rsid w:val="00F07C1F"/>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
    <w:next w:val="Normal"/>
    <w:rsid w:val="00E41881"/>
    <w:pPr>
      <w:keepNext/>
      <w:keepLines/>
      <w:spacing w:before="280" w:after="80"/>
      <w:outlineLvl w:val="3"/>
    </w:pPr>
    <w:rPr>
      <w:color w:val="666666"/>
      <w:sz w:val="24"/>
      <w:szCs w:val="24"/>
    </w:rPr>
  </w:style>
  <w:style w:type="paragraph" w:styleId="Heading5">
    <w:name w:val="heading 5"/>
    <w:basedOn w:val="Normal"/>
    <w:next w:val="Normal"/>
    <w:rsid w:val="00E41881"/>
    <w:pPr>
      <w:keepNext/>
      <w:keepLines/>
      <w:spacing w:before="240" w:after="80"/>
      <w:outlineLvl w:val="4"/>
    </w:pPr>
    <w:rPr>
      <w:color w:val="666666"/>
    </w:rPr>
  </w:style>
  <w:style w:type="paragraph" w:styleId="Heading6">
    <w:name w:val="heading 6"/>
    <w:basedOn w:val="Normal"/>
    <w:next w:val="Normal"/>
    <w:rsid w:val="00E4188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E41881"/>
    <w:pPr>
      <w:keepNext/>
      <w:keepLines/>
      <w:spacing w:after="60"/>
    </w:pPr>
    <w:rPr>
      <w:sz w:val="52"/>
      <w:szCs w:val="52"/>
    </w:rPr>
  </w:style>
  <w:style w:type="paragraph" w:styleId="Subtitle">
    <w:name w:val="Subtitle"/>
    <w:basedOn w:val="Normal"/>
    <w:next w:val="Normal"/>
    <w:rsid w:val="00E41881"/>
    <w:pPr>
      <w:keepNext/>
      <w:keepLines/>
      <w:spacing w:after="320"/>
    </w:pPr>
    <w:rPr>
      <w:color w:val="666666"/>
      <w:sz w:val="30"/>
      <w:szCs w:val="30"/>
    </w:rPr>
  </w:style>
  <w:style w:type="table" w:customStyle="1" w:styleId="Table1">
    <w:name w:val="Table1"/>
    <w:basedOn w:val="TableNormal"/>
    <w:rsid w:val="00E41881"/>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E41881"/>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E4188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unhideWhenUsed/>
    <w:rsid w:val="00E41881"/>
    <w:pPr>
      <w:spacing w:line="240" w:lineRule="auto"/>
    </w:pPr>
    <w:rPr>
      <w:sz w:val="20"/>
      <w:szCs w:val="20"/>
    </w:rPr>
  </w:style>
  <w:style w:type="character" w:customStyle="1" w:styleId="CommentTextChar">
    <w:name w:val="Comment Text Char"/>
    <w:basedOn w:val="DefaultParagraphFont"/>
    <w:link w:val="CommentText"/>
    <w:uiPriority w:val="99"/>
    <w:rsid w:val="00E41881"/>
    <w:rPr>
      <w:sz w:val="20"/>
      <w:szCs w:val="20"/>
    </w:rPr>
  </w:style>
  <w:style w:type="character" w:styleId="CommentReference">
    <w:name w:val="annotation reference"/>
    <w:basedOn w:val="DefaultParagraphFont"/>
    <w:uiPriority w:val="99"/>
    <w:semiHidden/>
    <w:unhideWhenUsed/>
    <w:rsid w:val="00E41881"/>
    <w:rPr>
      <w:sz w:val="16"/>
      <w:szCs w:val="16"/>
    </w:rPr>
  </w:style>
  <w:style w:type="paragraph" w:styleId="BalloonText">
    <w:name w:val="Balloon Text"/>
    <w:basedOn w:val="Normal"/>
    <w:link w:val="BalloonTextChar"/>
    <w:uiPriority w:val="99"/>
    <w:semiHidden/>
    <w:unhideWhenUsed/>
    <w:rsid w:val="00EB748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748D"/>
    <w:rPr>
      <w:rFonts w:ascii="Tahoma" w:hAnsi="Tahoma" w:cs="Tahoma"/>
      <w:sz w:val="16"/>
      <w:szCs w:val="16"/>
    </w:rPr>
  </w:style>
  <w:style w:type="paragraph" w:customStyle="1" w:styleId="Default">
    <w:name w:val="Default"/>
    <w:rsid w:val="00B540B8"/>
    <w:pPr>
      <w:autoSpaceDE w:val="0"/>
      <w:autoSpaceDN w:val="0"/>
      <w:adjustRightInd w:val="0"/>
      <w:spacing w:line="240" w:lineRule="auto"/>
    </w:pPr>
    <w:rPr>
      <w:rFonts w:eastAsiaTheme="minorHAnsi"/>
      <w:color w:val="000000"/>
      <w:sz w:val="24"/>
      <w:szCs w:val="24"/>
    </w:rPr>
  </w:style>
  <w:style w:type="paragraph" w:styleId="Header">
    <w:name w:val="header"/>
    <w:basedOn w:val="Normal"/>
    <w:link w:val="HeaderChar"/>
    <w:uiPriority w:val="99"/>
    <w:unhideWhenUsed/>
    <w:rsid w:val="005027AD"/>
    <w:pPr>
      <w:tabs>
        <w:tab w:val="center" w:pos="4680"/>
        <w:tab w:val="right" w:pos="9360"/>
      </w:tabs>
      <w:spacing w:line="240" w:lineRule="auto"/>
    </w:pPr>
  </w:style>
  <w:style w:type="character" w:customStyle="1" w:styleId="HeaderChar">
    <w:name w:val="Header Char"/>
    <w:basedOn w:val="DefaultParagraphFont"/>
    <w:link w:val="Header"/>
    <w:uiPriority w:val="99"/>
    <w:rsid w:val="005027AD"/>
  </w:style>
  <w:style w:type="paragraph" w:styleId="Footer">
    <w:name w:val="footer"/>
    <w:basedOn w:val="Normal"/>
    <w:link w:val="FooterChar"/>
    <w:uiPriority w:val="99"/>
    <w:unhideWhenUsed/>
    <w:rsid w:val="005027AD"/>
    <w:pPr>
      <w:tabs>
        <w:tab w:val="center" w:pos="4680"/>
        <w:tab w:val="right" w:pos="9360"/>
      </w:tabs>
      <w:spacing w:line="240" w:lineRule="auto"/>
    </w:pPr>
  </w:style>
  <w:style w:type="character" w:customStyle="1" w:styleId="FooterChar">
    <w:name w:val="Footer Char"/>
    <w:basedOn w:val="DefaultParagraphFont"/>
    <w:link w:val="Footer"/>
    <w:uiPriority w:val="99"/>
    <w:rsid w:val="005027AD"/>
  </w:style>
  <w:style w:type="paragraph" w:styleId="TOCHeading">
    <w:name w:val="TOC Heading"/>
    <w:basedOn w:val="Heading1"/>
    <w:next w:val="Normal"/>
    <w:uiPriority w:val="39"/>
    <w:semiHidden/>
    <w:unhideWhenUsed/>
    <w:qFormat/>
    <w:rsid w:val="00083128"/>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083128"/>
    <w:pPr>
      <w:spacing w:after="100"/>
    </w:pPr>
  </w:style>
  <w:style w:type="paragraph" w:styleId="TOC2">
    <w:name w:val="toc 2"/>
    <w:basedOn w:val="Normal"/>
    <w:next w:val="Normal"/>
    <w:autoRedefine/>
    <w:uiPriority w:val="39"/>
    <w:unhideWhenUsed/>
    <w:rsid w:val="00083128"/>
    <w:pPr>
      <w:spacing w:after="100"/>
      <w:ind w:left="220"/>
    </w:pPr>
  </w:style>
  <w:style w:type="paragraph" w:styleId="TOC3">
    <w:name w:val="toc 3"/>
    <w:basedOn w:val="Normal"/>
    <w:next w:val="Normal"/>
    <w:autoRedefine/>
    <w:uiPriority w:val="39"/>
    <w:unhideWhenUsed/>
    <w:rsid w:val="00083128"/>
    <w:pPr>
      <w:spacing w:after="100"/>
      <w:ind w:left="440"/>
    </w:pPr>
  </w:style>
  <w:style w:type="character" w:styleId="Hyperlink">
    <w:name w:val="Hyperlink"/>
    <w:basedOn w:val="DefaultParagraphFont"/>
    <w:uiPriority w:val="99"/>
    <w:unhideWhenUsed/>
    <w:rsid w:val="00083128"/>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C37066"/>
    <w:rPr>
      <w:b/>
      <w:bCs/>
    </w:rPr>
  </w:style>
  <w:style w:type="character" w:customStyle="1" w:styleId="CommentSubjectChar">
    <w:name w:val="Comment Subject Char"/>
    <w:basedOn w:val="CommentTextChar"/>
    <w:link w:val="CommentSubject"/>
    <w:uiPriority w:val="99"/>
    <w:semiHidden/>
    <w:rsid w:val="00C3706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44057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microsoft.com/office/2007/relationships/diagramDrawing" Target="diagrams/drawing3.xml"/><Relationship Id="rId5" Type="http://schemas.openxmlformats.org/officeDocument/2006/relationships/settings" Target="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theme" Target="theme/theme1.xml"/><Relationship Id="rId10" Type="http://schemas.openxmlformats.org/officeDocument/2006/relationships/diagramData" Target="diagrams/data1.xml"/><Relationship Id="rId19" Type="http://schemas.microsoft.com/office/2007/relationships/diagramDrawing" Target="diagrams/drawing2.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997230-3387-479D-91C0-67FD3E3389EA}" type="doc">
      <dgm:prSet loTypeId="urn:microsoft.com/office/officeart/2005/8/layout/chevron2" loCatId="list" qsTypeId="urn:microsoft.com/office/officeart/2005/8/quickstyle/simple1" qsCatId="simple" csTypeId="urn:microsoft.com/office/officeart/2005/8/colors/colorful3" csCatId="colorful" phldr="1"/>
      <dgm:spPr/>
      <dgm:t>
        <a:bodyPr/>
        <a:lstStyle/>
        <a:p>
          <a:endParaRPr lang="en-US"/>
        </a:p>
      </dgm:t>
    </dgm:pt>
    <dgm:pt modelId="{84525262-E422-4FFE-A550-6092AB10B0D7}">
      <dgm:prSet phldrT="[Text]" custT="1"/>
      <dgm:spPr/>
      <dgm:t>
        <a:bodyPr/>
        <a:lstStyle/>
        <a:p>
          <a:r>
            <a:rPr lang="en-US" sz="600" b="1" u="none">
              <a:solidFill>
                <a:schemeClr val="tx1"/>
              </a:solidFill>
              <a:latin typeface="Times New Roman" pitchFamily="18" charset="0"/>
              <a:cs typeface="Times New Roman" pitchFamily="18" charset="0"/>
            </a:rPr>
            <a:t>Political </a:t>
          </a:r>
          <a:endParaRPr lang="en-US" sz="600" b="1">
            <a:solidFill>
              <a:schemeClr val="tx1"/>
            </a:solidFill>
            <a:latin typeface="Times New Roman" pitchFamily="18" charset="0"/>
            <a:cs typeface="Times New Roman" pitchFamily="18" charset="0"/>
          </a:endParaRPr>
        </a:p>
      </dgm:t>
    </dgm:pt>
    <dgm:pt modelId="{5CA50BEE-61D9-418E-8D9C-A06274267425}" type="parTrans" cxnId="{95FAD757-820A-4CA9-97E4-8F86C0032A1F}">
      <dgm:prSet/>
      <dgm:spPr/>
      <dgm:t>
        <a:bodyPr/>
        <a:lstStyle/>
        <a:p>
          <a:endParaRPr lang="en-US"/>
        </a:p>
      </dgm:t>
    </dgm:pt>
    <dgm:pt modelId="{D6426D53-453F-44D1-824B-DA309AB85EA2}" type="sibTrans" cxnId="{95FAD757-820A-4CA9-97E4-8F86C0032A1F}">
      <dgm:prSet/>
      <dgm:spPr/>
      <dgm:t>
        <a:bodyPr/>
        <a:lstStyle/>
        <a:p>
          <a:endParaRPr lang="en-US"/>
        </a:p>
      </dgm:t>
    </dgm:pt>
    <dgm:pt modelId="{E46BDF08-F703-4F1A-BF21-720B52E49ABD}">
      <dgm:prSet custT="1"/>
      <dgm:spPr/>
      <dgm:t>
        <a:bodyPr/>
        <a:lstStyle/>
        <a:p>
          <a:r>
            <a:rPr lang="en-US" sz="600" b="1" u="none">
              <a:solidFill>
                <a:schemeClr val="tx1"/>
              </a:solidFill>
              <a:latin typeface="Times New Roman" pitchFamily="18" charset="0"/>
              <a:cs typeface="Times New Roman" pitchFamily="18" charset="0"/>
            </a:rPr>
            <a:t>Economic </a:t>
          </a:r>
        </a:p>
      </dgm:t>
    </dgm:pt>
    <dgm:pt modelId="{C56745A3-AEEA-47EE-81EB-A971944783C4}" type="parTrans" cxnId="{665F2741-AF9D-4553-906F-9F8CC3A608AD}">
      <dgm:prSet/>
      <dgm:spPr/>
      <dgm:t>
        <a:bodyPr/>
        <a:lstStyle/>
        <a:p>
          <a:endParaRPr lang="en-US"/>
        </a:p>
      </dgm:t>
    </dgm:pt>
    <dgm:pt modelId="{70E71E83-8E04-4B3E-AF38-CD0822CD42F4}" type="sibTrans" cxnId="{665F2741-AF9D-4553-906F-9F8CC3A608AD}">
      <dgm:prSet/>
      <dgm:spPr/>
      <dgm:t>
        <a:bodyPr/>
        <a:lstStyle/>
        <a:p>
          <a:endParaRPr lang="en-US"/>
        </a:p>
      </dgm:t>
    </dgm:pt>
    <dgm:pt modelId="{8277F826-B13A-4C78-8826-F1813937B8C1}">
      <dgm:prSet custT="1"/>
      <dgm:spPr/>
      <dgm:t>
        <a:bodyPr/>
        <a:lstStyle/>
        <a:p>
          <a:r>
            <a:rPr lang="en-US" sz="700" b="1" u="none">
              <a:solidFill>
                <a:schemeClr val="tx1"/>
              </a:solidFill>
              <a:latin typeface="Times New Roman" pitchFamily="18" charset="0"/>
              <a:cs typeface="Times New Roman" pitchFamily="18" charset="0"/>
            </a:rPr>
            <a:t>Social </a:t>
          </a:r>
        </a:p>
      </dgm:t>
    </dgm:pt>
    <dgm:pt modelId="{4930D6F2-343F-43A2-B702-ACB0DF3B2A01}" type="parTrans" cxnId="{D5302FF0-A31E-414D-90E2-109E0FB68518}">
      <dgm:prSet/>
      <dgm:spPr/>
      <dgm:t>
        <a:bodyPr/>
        <a:lstStyle/>
        <a:p>
          <a:endParaRPr lang="en-US"/>
        </a:p>
      </dgm:t>
    </dgm:pt>
    <dgm:pt modelId="{6C0E6D1D-D620-45A3-A65F-FA73FA224F7D}" type="sibTrans" cxnId="{D5302FF0-A31E-414D-90E2-109E0FB68518}">
      <dgm:prSet/>
      <dgm:spPr/>
      <dgm:t>
        <a:bodyPr/>
        <a:lstStyle/>
        <a:p>
          <a:endParaRPr lang="en-US"/>
        </a:p>
      </dgm:t>
    </dgm:pt>
    <dgm:pt modelId="{9818045C-EABA-40AB-A919-694AEB19BAE9}">
      <dgm:prSet/>
      <dgm:spPr/>
      <dgm:t>
        <a:bodyPr/>
        <a:lstStyle/>
        <a:p>
          <a:r>
            <a:rPr lang="en-US" b="1" u="none">
              <a:solidFill>
                <a:schemeClr val="tx1"/>
              </a:solidFill>
              <a:latin typeface="Times New Roman" pitchFamily="18" charset="0"/>
              <a:cs typeface="Times New Roman" pitchFamily="18" charset="0"/>
            </a:rPr>
            <a:t>Technological </a:t>
          </a:r>
        </a:p>
      </dgm:t>
    </dgm:pt>
    <dgm:pt modelId="{69FF418F-A984-4A7A-95BA-9CBA1F1CCAFB}" type="parTrans" cxnId="{FA3E58D2-82C1-4872-829D-F791CA1A3D8F}">
      <dgm:prSet/>
      <dgm:spPr/>
      <dgm:t>
        <a:bodyPr/>
        <a:lstStyle/>
        <a:p>
          <a:endParaRPr lang="en-US"/>
        </a:p>
      </dgm:t>
    </dgm:pt>
    <dgm:pt modelId="{89C2BD30-9510-4B9D-BBF3-B059B8FC1073}" type="sibTrans" cxnId="{FA3E58D2-82C1-4872-829D-F791CA1A3D8F}">
      <dgm:prSet/>
      <dgm:spPr/>
      <dgm:t>
        <a:bodyPr/>
        <a:lstStyle/>
        <a:p>
          <a:endParaRPr lang="en-US"/>
        </a:p>
      </dgm:t>
    </dgm:pt>
    <dgm:pt modelId="{75AD01C0-3AF5-4BE2-A7F3-25CE1CF28505}">
      <dgm:prSet custT="1"/>
      <dgm:spPr/>
      <dgm:t>
        <a:bodyPr/>
        <a:lstStyle/>
        <a:p>
          <a:r>
            <a:rPr lang="en-US" sz="600" b="1" u="none">
              <a:solidFill>
                <a:schemeClr val="tx1"/>
              </a:solidFill>
              <a:latin typeface="Times New Roman" pitchFamily="18" charset="0"/>
              <a:cs typeface="Times New Roman" pitchFamily="18" charset="0"/>
            </a:rPr>
            <a:t>Legal </a:t>
          </a:r>
        </a:p>
      </dgm:t>
    </dgm:pt>
    <dgm:pt modelId="{F72C02C3-6CE1-4856-88E1-6A27C6D59BA7}" type="parTrans" cxnId="{9E0B132F-7142-4F76-B94F-F735BBA7D686}">
      <dgm:prSet/>
      <dgm:spPr/>
      <dgm:t>
        <a:bodyPr/>
        <a:lstStyle/>
        <a:p>
          <a:endParaRPr lang="en-US"/>
        </a:p>
      </dgm:t>
    </dgm:pt>
    <dgm:pt modelId="{993A43CA-E5F3-4050-BFBD-2FC7850CBB0A}" type="sibTrans" cxnId="{9E0B132F-7142-4F76-B94F-F735BBA7D686}">
      <dgm:prSet/>
      <dgm:spPr/>
      <dgm:t>
        <a:bodyPr/>
        <a:lstStyle/>
        <a:p>
          <a:endParaRPr lang="en-US"/>
        </a:p>
      </dgm:t>
    </dgm:pt>
    <dgm:pt modelId="{EF9B9D74-C50B-42C5-8791-8F59D2B7DF41}">
      <dgm:prSet/>
      <dgm:spPr/>
      <dgm:t>
        <a:bodyPr/>
        <a:lstStyle/>
        <a:p>
          <a:r>
            <a:rPr lang="en-US" b="1" u="none">
              <a:solidFill>
                <a:schemeClr val="tx1"/>
              </a:solidFill>
              <a:latin typeface="Times New Roman" pitchFamily="18" charset="0"/>
              <a:cs typeface="Times New Roman" pitchFamily="18" charset="0"/>
            </a:rPr>
            <a:t>Environmental </a:t>
          </a:r>
        </a:p>
      </dgm:t>
    </dgm:pt>
    <dgm:pt modelId="{46292C84-2B87-4F12-BC12-98EA037B845B}" type="parTrans" cxnId="{088149FD-C796-4292-8D3C-74402A17013F}">
      <dgm:prSet/>
      <dgm:spPr/>
      <dgm:t>
        <a:bodyPr/>
        <a:lstStyle/>
        <a:p>
          <a:endParaRPr lang="en-US"/>
        </a:p>
      </dgm:t>
    </dgm:pt>
    <dgm:pt modelId="{7CD4BA3C-AF79-48F4-85AB-941591561E4C}" type="sibTrans" cxnId="{088149FD-C796-4292-8D3C-74402A17013F}">
      <dgm:prSet/>
      <dgm:spPr/>
      <dgm:t>
        <a:bodyPr/>
        <a:lstStyle/>
        <a:p>
          <a:endParaRPr lang="en-US"/>
        </a:p>
      </dgm:t>
    </dgm:pt>
    <dgm:pt modelId="{C1B8C857-278D-4496-B05F-C4C78E3A743F}">
      <dgm:prSet/>
      <dgm:spPr/>
      <dgm:t>
        <a:bodyPr/>
        <a:lstStyle/>
        <a:p>
          <a:r>
            <a:rPr lang="en-US" b="0" i="0" u="none">
              <a:solidFill>
                <a:schemeClr val="tx1"/>
              </a:solidFill>
              <a:latin typeface="Times New Roman" pitchFamily="18" charset="0"/>
              <a:cs typeface="Times New Roman" pitchFamily="18" charset="0"/>
            </a:rPr>
            <a:t>Unstable political conditions</a:t>
          </a:r>
          <a:endParaRPr lang="en-US" b="1">
            <a:solidFill>
              <a:schemeClr val="tx1"/>
            </a:solidFill>
            <a:latin typeface="Times New Roman" pitchFamily="18" charset="0"/>
            <a:cs typeface="Times New Roman" pitchFamily="18" charset="0"/>
          </a:endParaRPr>
        </a:p>
      </dgm:t>
    </dgm:pt>
    <dgm:pt modelId="{0F6E0444-CC96-4524-B826-D71ED7B78A09}" type="parTrans" cxnId="{C2C1B8BB-D5F3-4A59-8B1E-3BC9C6874C4D}">
      <dgm:prSet/>
      <dgm:spPr/>
      <dgm:t>
        <a:bodyPr/>
        <a:lstStyle/>
        <a:p>
          <a:endParaRPr lang="en-US"/>
        </a:p>
      </dgm:t>
    </dgm:pt>
    <dgm:pt modelId="{EACD468F-FAC6-4D38-920F-4A842C0F5938}" type="sibTrans" cxnId="{C2C1B8BB-D5F3-4A59-8B1E-3BC9C6874C4D}">
      <dgm:prSet/>
      <dgm:spPr/>
      <dgm:t>
        <a:bodyPr/>
        <a:lstStyle/>
        <a:p>
          <a:endParaRPr lang="en-US"/>
        </a:p>
      </dgm:t>
    </dgm:pt>
    <dgm:pt modelId="{CEB4B22B-B55E-4D63-83C1-D883A65E0C19}">
      <dgm:prSet/>
      <dgm:spPr/>
      <dgm:t>
        <a:bodyPr/>
        <a:lstStyle/>
        <a:p>
          <a:r>
            <a:rPr lang="en-US" b="0" i="0" u="none">
              <a:solidFill>
                <a:schemeClr val="tx1"/>
              </a:solidFill>
              <a:latin typeface="Times New Roman" pitchFamily="18" charset="0"/>
              <a:cs typeface="Times New Roman" pitchFamily="18" charset="0"/>
            </a:rPr>
            <a:t>Brexit issue</a:t>
          </a:r>
          <a:endParaRPr lang="en-US" b="1">
            <a:solidFill>
              <a:schemeClr val="tx1"/>
            </a:solidFill>
            <a:latin typeface="Times New Roman" pitchFamily="18" charset="0"/>
            <a:cs typeface="Times New Roman" pitchFamily="18" charset="0"/>
          </a:endParaRPr>
        </a:p>
      </dgm:t>
    </dgm:pt>
    <dgm:pt modelId="{F3EF3A36-80E1-4B2A-8F0B-B9D49BE1BA3C}" type="parTrans" cxnId="{507FF55C-BE84-4CBE-9C77-995BC68D86B1}">
      <dgm:prSet/>
      <dgm:spPr/>
      <dgm:t>
        <a:bodyPr/>
        <a:lstStyle/>
        <a:p>
          <a:endParaRPr lang="en-US"/>
        </a:p>
      </dgm:t>
    </dgm:pt>
    <dgm:pt modelId="{E27008D7-0363-447B-9BCB-1221B0D91BE5}" type="sibTrans" cxnId="{507FF55C-BE84-4CBE-9C77-995BC68D86B1}">
      <dgm:prSet/>
      <dgm:spPr/>
      <dgm:t>
        <a:bodyPr/>
        <a:lstStyle/>
        <a:p>
          <a:endParaRPr lang="en-US"/>
        </a:p>
      </dgm:t>
    </dgm:pt>
    <dgm:pt modelId="{F89EAAD0-323D-473A-B88D-2771D5A6B642}">
      <dgm:prSet/>
      <dgm:spPr/>
      <dgm:t>
        <a:bodyPr/>
        <a:lstStyle/>
        <a:p>
          <a:r>
            <a:rPr lang="en-US" b="0" i="0" u="none">
              <a:solidFill>
                <a:schemeClr val="tx1"/>
              </a:solidFill>
              <a:latin typeface="Times New Roman" pitchFamily="18" charset="0"/>
              <a:cs typeface="Times New Roman" pitchFamily="18" charset="0"/>
            </a:rPr>
            <a:t>GDP has been increased by 2.1% (ons.gov.uk,2020)</a:t>
          </a:r>
          <a:endParaRPr lang="en-US" b="1">
            <a:solidFill>
              <a:schemeClr val="tx1"/>
            </a:solidFill>
            <a:latin typeface="Times New Roman" pitchFamily="18" charset="0"/>
            <a:cs typeface="Times New Roman" pitchFamily="18" charset="0"/>
          </a:endParaRPr>
        </a:p>
      </dgm:t>
    </dgm:pt>
    <dgm:pt modelId="{E814A012-CC17-4E60-9798-9FA6EF8367C8}" type="parTrans" cxnId="{6DA60E35-2B6F-44C4-965A-FFBB6B3AC55E}">
      <dgm:prSet/>
      <dgm:spPr/>
      <dgm:t>
        <a:bodyPr/>
        <a:lstStyle/>
        <a:p>
          <a:endParaRPr lang="en-US"/>
        </a:p>
      </dgm:t>
    </dgm:pt>
    <dgm:pt modelId="{DC957FBB-3B28-4FD5-A63B-B8FCDDDDD82C}" type="sibTrans" cxnId="{6DA60E35-2B6F-44C4-965A-FFBB6B3AC55E}">
      <dgm:prSet/>
      <dgm:spPr/>
      <dgm:t>
        <a:bodyPr/>
        <a:lstStyle/>
        <a:p>
          <a:endParaRPr lang="en-US"/>
        </a:p>
      </dgm:t>
    </dgm:pt>
    <dgm:pt modelId="{1473145D-553F-4190-80CA-06924E0840D4}">
      <dgm:prSet/>
      <dgm:spPr/>
      <dgm:t>
        <a:bodyPr/>
        <a:lstStyle/>
        <a:p>
          <a:r>
            <a:rPr lang="en-US" b="0" i="0" u="none">
              <a:solidFill>
                <a:schemeClr val="tx1"/>
              </a:solidFill>
              <a:latin typeface="Times New Roman" pitchFamily="18" charset="0"/>
              <a:cs typeface="Times New Roman" pitchFamily="18" charset="0"/>
            </a:rPr>
            <a:t>Stable and less crime activities </a:t>
          </a:r>
          <a:endParaRPr lang="en-US" b="1">
            <a:solidFill>
              <a:schemeClr val="tx1"/>
            </a:solidFill>
            <a:latin typeface="Times New Roman" pitchFamily="18" charset="0"/>
            <a:cs typeface="Times New Roman" pitchFamily="18" charset="0"/>
          </a:endParaRPr>
        </a:p>
      </dgm:t>
    </dgm:pt>
    <dgm:pt modelId="{42CFBDAC-4E28-4DA2-B53D-7EAC0AAD35CD}" type="parTrans" cxnId="{7629FA91-991D-4940-94DD-58D5FAB04FCD}">
      <dgm:prSet/>
      <dgm:spPr/>
      <dgm:t>
        <a:bodyPr/>
        <a:lstStyle/>
        <a:p>
          <a:endParaRPr lang="en-US"/>
        </a:p>
      </dgm:t>
    </dgm:pt>
    <dgm:pt modelId="{850C98B1-C993-4BA1-B500-3961454CC506}" type="sibTrans" cxnId="{7629FA91-991D-4940-94DD-58D5FAB04FCD}">
      <dgm:prSet/>
      <dgm:spPr/>
      <dgm:t>
        <a:bodyPr/>
        <a:lstStyle/>
        <a:p>
          <a:endParaRPr lang="en-US"/>
        </a:p>
      </dgm:t>
    </dgm:pt>
    <dgm:pt modelId="{EE4CA4FD-A329-4BA0-8CA2-816C719DD507}">
      <dgm:prSet/>
      <dgm:spPr/>
      <dgm:t>
        <a:bodyPr/>
        <a:lstStyle/>
        <a:p>
          <a:r>
            <a:rPr lang="en-US" b="0" i="0" u="none">
              <a:solidFill>
                <a:schemeClr val="tx1"/>
              </a:solidFill>
              <a:latin typeface="Times New Roman" pitchFamily="18" charset="0"/>
              <a:cs typeface="Times New Roman" pitchFamily="18" charset="0"/>
            </a:rPr>
            <a:t>UK government has invested £ 10.1 billion in 2019 (telegraph.co.uk, 2019)</a:t>
          </a:r>
          <a:endParaRPr lang="en-US" b="1">
            <a:solidFill>
              <a:schemeClr val="tx1"/>
            </a:solidFill>
            <a:latin typeface="Times New Roman" pitchFamily="18" charset="0"/>
            <a:cs typeface="Times New Roman" pitchFamily="18" charset="0"/>
          </a:endParaRPr>
        </a:p>
      </dgm:t>
    </dgm:pt>
    <dgm:pt modelId="{0D64B063-FEF2-4ED0-AD21-2266943BEAFA}" type="parTrans" cxnId="{45E31D68-62F7-49FA-9FDF-608FD7F90C31}">
      <dgm:prSet/>
      <dgm:spPr/>
      <dgm:t>
        <a:bodyPr/>
        <a:lstStyle/>
        <a:p>
          <a:endParaRPr lang="en-US"/>
        </a:p>
      </dgm:t>
    </dgm:pt>
    <dgm:pt modelId="{B5CAF8CB-EE3C-4154-84F4-D3240F25291E}" type="sibTrans" cxnId="{45E31D68-62F7-49FA-9FDF-608FD7F90C31}">
      <dgm:prSet/>
      <dgm:spPr/>
      <dgm:t>
        <a:bodyPr/>
        <a:lstStyle/>
        <a:p>
          <a:endParaRPr lang="en-US"/>
        </a:p>
      </dgm:t>
    </dgm:pt>
    <dgm:pt modelId="{B87249EB-B7F2-403B-B3BC-9C04DCDF4C6C}">
      <dgm:prSet/>
      <dgm:spPr/>
      <dgm:t>
        <a:bodyPr/>
        <a:lstStyle/>
        <a:p>
          <a:r>
            <a:rPr lang="en-US" b="0" i="0" u="none">
              <a:solidFill>
                <a:schemeClr val="tx1"/>
              </a:solidFill>
              <a:latin typeface="Times New Roman" pitchFamily="18" charset="0"/>
              <a:cs typeface="Times New Roman" pitchFamily="18" charset="0"/>
            </a:rPr>
            <a:t>Introduction of a national minimum wage (NMW) </a:t>
          </a:r>
          <a:endParaRPr lang="en-US" b="1">
            <a:solidFill>
              <a:schemeClr val="tx1"/>
            </a:solidFill>
            <a:latin typeface="Times New Roman" pitchFamily="18" charset="0"/>
            <a:cs typeface="Times New Roman" pitchFamily="18" charset="0"/>
          </a:endParaRPr>
        </a:p>
      </dgm:t>
    </dgm:pt>
    <dgm:pt modelId="{D3C1A66E-560C-46CB-9CD2-3606EC573ED6}" type="parTrans" cxnId="{20385A77-A2F1-49BE-8F52-A7D054110F12}">
      <dgm:prSet/>
      <dgm:spPr/>
      <dgm:t>
        <a:bodyPr/>
        <a:lstStyle/>
        <a:p>
          <a:endParaRPr lang="en-US"/>
        </a:p>
      </dgm:t>
    </dgm:pt>
    <dgm:pt modelId="{579DB7C4-92E4-475C-85D1-5F7900D8E18B}" type="sibTrans" cxnId="{20385A77-A2F1-49BE-8F52-A7D054110F12}">
      <dgm:prSet/>
      <dgm:spPr/>
      <dgm:t>
        <a:bodyPr/>
        <a:lstStyle/>
        <a:p>
          <a:endParaRPr lang="en-US"/>
        </a:p>
      </dgm:t>
    </dgm:pt>
    <dgm:pt modelId="{135DD56E-A2D7-4FC8-9AFF-01A8950525D1}">
      <dgm:prSet/>
      <dgm:spPr/>
      <dgm:t>
        <a:bodyPr/>
        <a:lstStyle/>
        <a:p>
          <a:r>
            <a:rPr lang="en-US" b="0" i="0" u="none">
              <a:solidFill>
                <a:schemeClr val="tx1"/>
              </a:solidFill>
              <a:latin typeface="Times New Roman" pitchFamily="18" charset="0"/>
              <a:cs typeface="Times New Roman" pitchFamily="18" charset="0"/>
            </a:rPr>
            <a:t>Presence of sustainable policies as well as CSR activities among the SMEs in UK</a:t>
          </a:r>
          <a:endParaRPr lang="en-US" b="1">
            <a:solidFill>
              <a:schemeClr val="tx1"/>
            </a:solidFill>
            <a:latin typeface="Times New Roman" pitchFamily="18" charset="0"/>
            <a:cs typeface="Times New Roman" pitchFamily="18" charset="0"/>
          </a:endParaRPr>
        </a:p>
      </dgm:t>
    </dgm:pt>
    <dgm:pt modelId="{4D481AAE-7E1F-499B-9D24-9FF23C388E60}" type="parTrans" cxnId="{CB773E04-8BE0-40C0-8AB9-BCD8C7B64CB1}">
      <dgm:prSet/>
      <dgm:spPr/>
      <dgm:t>
        <a:bodyPr/>
        <a:lstStyle/>
        <a:p>
          <a:endParaRPr lang="en-US"/>
        </a:p>
      </dgm:t>
    </dgm:pt>
    <dgm:pt modelId="{2E60F95B-8CD7-4D6C-8D1D-7B6DDEA2EA0E}" type="sibTrans" cxnId="{CB773E04-8BE0-40C0-8AB9-BCD8C7B64CB1}">
      <dgm:prSet/>
      <dgm:spPr/>
      <dgm:t>
        <a:bodyPr/>
        <a:lstStyle/>
        <a:p>
          <a:endParaRPr lang="en-US"/>
        </a:p>
      </dgm:t>
    </dgm:pt>
    <dgm:pt modelId="{3AE0C07A-833A-4EB7-8B8B-37CA902F7767}">
      <dgm:prSet/>
      <dgm:spPr/>
      <dgm:t>
        <a:bodyPr/>
        <a:lstStyle/>
        <a:p>
          <a:r>
            <a:rPr lang="en-US" b="0" i="0" u="none">
              <a:solidFill>
                <a:schemeClr val="tx1"/>
              </a:solidFill>
              <a:latin typeface="Times New Roman" pitchFamily="18" charset="0"/>
              <a:cs typeface="Times New Roman" pitchFamily="18" charset="0"/>
            </a:rPr>
            <a:t>Free trading policy </a:t>
          </a:r>
          <a:endParaRPr lang="en-US" b="1">
            <a:solidFill>
              <a:schemeClr val="tx1"/>
            </a:solidFill>
            <a:latin typeface="Times New Roman" pitchFamily="18" charset="0"/>
            <a:cs typeface="Times New Roman" pitchFamily="18" charset="0"/>
          </a:endParaRPr>
        </a:p>
      </dgm:t>
    </dgm:pt>
    <dgm:pt modelId="{B0138D33-482D-4877-BD7A-F2C161A957CB}" type="parTrans" cxnId="{A80A8D94-C8C4-47DB-A53D-E0F958E2EB38}">
      <dgm:prSet/>
      <dgm:spPr/>
      <dgm:t>
        <a:bodyPr/>
        <a:lstStyle/>
        <a:p>
          <a:endParaRPr lang="en-US"/>
        </a:p>
      </dgm:t>
    </dgm:pt>
    <dgm:pt modelId="{54FE9E37-FF44-4DCE-9724-BE9FB1B4FE55}" type="sibTrans" cxnId="{A80A8D94-C8C4-47DB-A53D-E0F958E2EB38}">
      <dgm:prSet/>
      <dgm:spPr/>
      <dgm:t>
        <a:bodyPr/>
        <a:lstStyle/>
        <a:p>
          <a:endParaRPr lang="en-US"/>
        </a:p>
      </dgm:t>
    </dgm:pt>
    <dgm:pt modelId="{971FEAE1-4098-4663-89AC-0AF0F5449C33}">
      <dgm:prSet/>
      <dgm:spPr/>
      <dgm:t>
        <a:bodyPr/>
        <a:lstStyle/>
        <a:p>
          <a:r>
            <a:rPr lang="en-US" b="0" i="0" u="none">
              <a:solidFill>
                <a:schemeClr val="tx1"/>
              </a:solidFill>
              <a:latin typeface="Times New Roman" pitchFamily="18" charset="0"/>
              <a:cs typeface="Times New Roman" pitchFamily="18" charset="0"/>
            </a:rPr>
            <a:t>inflation rate in UK has increased by 2.02% (statista.com, 2020)</a:t>
          </a:r>
          <a:endParaRPr lang="en-US" b="1">
            <a:solidFill>
              <a:schemeClr val="tx1"/>
            </a:solidFill>
            <a:latin typeface="Times New Roman" pitchFamily="18" charset="0"/>
            <a:cs typeface="Times New Roman" pitchFamily="18" charset="0"/>
          </a:endParaRPr>
        </a:p>
      </dgm:t>
    </dgm:pt>
    <dgm:pt modelId="{21FA74A3-538F-4FF8-9E18-A9F15EA478F7}" type="parTrans" cxnId="{71226670-6E98-4CA1-B339-B01B635F924C}">
      <dgm:prSet/>
      <dgm:spPr/>
      <dgm:t>
        <a:bodyPr/>
        <a:lstStyle/>
        <a:p>
          <a:endParaRPr lang="en-US"/>
        </a:p>
      </dgm:t>
    </dgm:pt>
    <dgm:pt modelId="{981C12B2-650F-44D2-AC96-07B9521777EE}" type="sibTrans" cxnId="{71226670-6E98-4CA1-B339-B01B635F924C}">
      <dgm:prSet/>
      <dgm:spPr/>
      <dgm:t>
        <a:bodyPr/>
        <a:lstStyle/>
        <a:p>
          <a:endParaRPr lang="en-US"/>
        </a:p>
      </dgm:t>
    </dgm:pt>
    <dgm:pt modelId="{6CC3011B-63DE-4D2B-8ED2-96B586B25CDA}">
      <dgm:prSet/>
      <dgm:spPr/>
      <dgm:t>
        <a:bodyPr/>
        <a:lstStyle/>
        <a:p>
          <a:r>
            <a:rPr lang="en-US" b="0" i="0" u="none">
              <a:solidFill>
                <a:schemeClr val="tx1"/>
              </a:solidFill>
              <a:latin typeface="Times New Roman" pitchFamily="18" charset="0"/>
              <a:cs typeface="Times New Roman" pitchFamily="18" charset="0"/>
            </a:rPr>
            <a:t>Manufacturing sales value of fruit jellies and jams in UK has increased by £ 6123 millions (statista.com, 2020)</a:t>
          </a:r>
          <a:endParaRPr lang="en-US" b="1">
            <a:solidFill>
              <a:schemeClr val="tx1"/>
            </a:solidFill>
            <a:latin typeface="Times New Roman" pitchFamily="18" charset="0"/>
            <a:cs typeface="Times New Roman" pitchFamily="18" charset="0"/>
          </a:endParaRPr>
        </a:p>
      </dgm:t>
    </dgm:pt>
    <dgm:pt modelId="{53999E42-4CCA-4095-B630-29177B23B603}" type="parTrans" cxnId="{D54A3ACF-F866-45EC-B0EA-5A62276E416E}">
      <dgm:prSet/>
      <dgm:spPr/>
      <dgm:t>
        <a:bodyPr/>
        <a:lstStyle/>
        <a:p>
          <a:endParaRPr lang="en-US"/>
        </a:p>
      </dgm:t>
    </dgm:pt>
    <dgm:pt modelId="{D7333BAF-A333-42C2-8981-1BEEEE05DDFF}" type="sibTrans" cxnId="{D54A3ACF-F866-45EC-B0EA-5A62276E416E}">
      <dgm:prSet/>
      <dgm:spPr/>
      <dgm:t>
        <a:bodyPr/>
        <a:lstStyle/>
        <a:p>
          <a:endParaRPr lang="en-US"/>
        </a:p>
      </dgm:t>
    </dgm:pt>
    <dgm:pt modelId="{3F3B00F8-003D-42A5-B155-345E1881E6A9}">
      <dgm:prSet/>
      <dgm:spPr/>
      <dgm:t>
        <a:bodyPr/>
        <a:lstStyle/>
        <a:p>
          <a:r>
            <a:rPr lang="en-US" b="0" i="0" u="none">
              <a:solidFill>
                <a:schemeClr val="tx1"/>
              </a:solidFill>
              <a:latin typeface="Times New Roman" pitchFamily="18" charset="0"/>
              <a:cs typeface="Times New Roman" pitchFamily="18" charset="0"/>
            </a:rPr>
            <a:t>NMW for an employee aged over 25 years is £8.72/hour (Gov.uk, 2020)</a:t>
          </a:r>
          <a:endParaRPr lang="en-US" b="1">
            <a:solidFill>
              <a:schemeClr val="tx1"/>
            </a:solidFill>
            <a:latin typeface="Times New Roman" pitchFamily="18" charset="0"/>
            <a:cs typeface="Times New Roman" pitchFamily="18" charset="0"/>
          </a:endParaRPr>
        </a:p>
      </dgm:t>
    </dgm:pt>
    <dgm:pt modelId="{40C3671C-3810-42B9-869F-1B28BDC3CE54}" type="parTrans" cxnId="{0BE803B1-9EB3-47F2-BCFF-0E6D7A82B354}">
      <dgm:prSet/>
      <dgm:spPr/>
      <dgm:t>
        <a:bodyPr/>
        <a:lstStyle/>
        <a:p>
          <a:endParaRPr lang="en-US"/>
        </a:p>
      </dgm:t>
    </dgm:pt>
    <dgm:pt modelId="{888B7539-8F14-4608-BA31-0A1C38EB0730}" type="sibTrans" cxnId="{0BE803B1-9EB3-47F2-BCFF-0E6D7A82B354}">
      <dgm:prSet/>
      <dgm:spPr/>
      <dgm:t>
        <a:bodyPr/>
        <a:lstStyle/>
        <a:p>
          <a:endParaRPr lang="en-US"/>
        </a:p>
      </dgm:t>
    </dgm:pt>
    <dgm:pt modelId="{A180BF0D-043A-44B9-888F-4BEE7721C284}" type="pres">
      <dgm:prSet presAssocID="{55997230-3387-479D-91C0-67FD3E3389EA}" presName="linearFlow" presStyleCnt="0">
        <dgm:presLayoutVars>
          <dgm:dir/>
          <dgm:animLvl val="lvl"/>
          <dgm:resizeHandles val="exact"/>
        </dgm:presLayoutVars>
      </dgm:prSet>
      <dgm:spPr/>
      <dgm:t>
        <a:bodyPr/>
        <a:lstStyle/>
        <a:p>
          <a:endParaRPr lang="en-GB"/>
        </a:p>
      </dgm:t>
    </dgm:pt>
    <dgm:pt modelId="{F42D7B27-B4B9-4724-927C-4081195F1A34}" type="pres">
      <dgm:prSet presAssocID="{84525262-E422-4FFE-A550-6092AB10B0D7}" presName="composite" presStyleCnt="0"/>
      <dgm:spPr/>
    </dgm:pt>
    <dgm:pt modelId="{9B6392BD-E9F5-4B6C-9D28-5F1CB81682B2}" type="pres">
      <dgm:prSet presAssocID="{84525262-E422-4FFE-A550-6092AB10B0D7}" presName="parentText" presStyleLbl="alignNode1" presStyleIdx="0" presStyleCnt="6">
        <dgm:presLayoutVars>
          <dgm:chMax val="1"/>
          <dgm:bulletEnabled val="1"/>
        </dgm:presLayoutVars>
      </dgm:prSet>
      <dgm:spPr/>
      <dgm:t>
        <a:bodyPr/>
        <a:lstStyle/>
        <a:p>
          <a:endParaRPr lang="en-GB"/>
        </a:p>
      </dgm:t>
    </dgm:pt>
    <dgm:pt modelId="{EF294556-7D5C-48F9-B448-8F18B07E2482}" type="pres">
      <dgm:prSet presAssocID="{84525262-E422-4FFE-A550-6092AB10B0D7}" presName="descendantText" presStyleLbl="alignAcc1" presStyleIdx="0" presStyleCnt="6">
        <dgm:presLayoutVars>
          <dgm:bulletEnabled val="1"/>
        </dgm:presLayoutVars>
      </dgm:prSet>
      <dgm:spPr/>
      <dgm:t>
        <a:bodyPr/>
        <a:lstStyle/>
        <a:p>
          <a:endParaRPr lang="en-GB"/>
        </a:p>
      </dgm:t>
    </dgm:pt>
    <dgm:pt modelId="{05107C0C-B2E8-44C4-923A-C02C3D747F15}" type="pres">
      <dgm:prSet presAssocID="{D6426D53-453F-44D1-824B-DA309AB85EA2}" presName="sp" presStyleCnt="0"/>
      <dgm:spPr/>
    </dgm:pt>
    <dgm:pt modelId="{5D6D3556-797F-4E2D-B1DF-5167A3DE9D05}" type="pres">
      <dgm:prSet presAssocID="{E46BDF08-F703-4F1A-BF21-720B52E49ABD}" presName="composite" presStyleCnt="0"/>
      <dgm:spPr/>
    </dgm:pt>
    <dgm:pt modelId="{700C0980-A7BB-441B-8F2C-E3BE0595BDD1}" type="pres">
      <dgm:prSet presAssocID="{E46BDF08-F703-4F1A-BF21-720B52E49ABD}" presName="parentText" presStyleLbl="alignNode1" presStyleIdx="1" presStyleCnt="6">
        <dgm:presLayoutVars>
          <dgm:chMax val="1"/>
          <dgm:bulletEnabled val="1"/>
        </dgm:presLayoutVars>
      </dgm:prSet>
      <dgm:spPr/>
      <dgm:t>
        <a:bodyPr/>
        <a:lstStyle/>
        <a:p>
          <a:endParaRPr lang="en-GB"/>
        </a:p>
      </dgm:t>
    </dgm:pt>
    <dgm:pt modelId="{2257E21D-5E35-4E6A-A716-82BED39AC227}" type="pres">
      <dgm:prSet presAssocID="{E46BDF08-F703-4F1A-BF21-720B52E49ABD}" presName="descendantText" presStyleLbl="alignAcc1" presStyleIdx="1" presStyleCnt="6">
        <dgm:presLayoutVars>
          <dgm:bulletEnabled val="1"/>
        </dgm:presLayoutVars>
      </dgm:prSet>
      <dgm:spPr/>
      <dgm:t>
        <a:bodyPr/>
        <a:lstStyle/>
        <a:p>
          <a:endParaRPr lang="en-GB"/>
        </a:p>
      </dgm:t>
    </dgm:pt>
    <dgm:pt modelId="{41A2F285-8EC9-495D-AE0A-C0D55839B557}" type="pres">
      <dgm:prSet presAssocID="{70E71E83-8E04-4B3E-AF38-CD0822CD42F4}" presName="sp" presStyleCnt="0"/>
      <dgm:spPr/>
    </dgm:pt>
    <dgm:pt modelId="{773150B6-E62D-400C-BB5B-058AFF906137}" type="pres">
      <dgm:prSet presAssocID="{8277F826-B13A-4C78-8826-F1813937B8C1}" presName="composite" presStyleCnt="0"/>
      <dgm:spPr/>
    </dgm:pt>
    <dgm:pt modelId="{733B5ADF-5A31-4354-BD11-CF6B75E191AA}" type="pres">
      <dgm:prSet presAssocID="{8277F826-B13A-4C78-8826-F1813937B8C1}" presName="parentText" presStyleLbl="alignNode1" presStyleIdx="2" presStyleCnt="6">
        <dgm:presLayoutVars>
          <dgm:chMax val="1"/>
          <dgm:bulletEnabled val="1"/>
        </dgm:presLayoutVars>
      </dgm:prSet>
      <dgm:spPr/>
      <dgm:t>
        <a:bodyPr/>
        <a:lstStyle/>
        <a:p>
          <a:endParaRPr lang="en-GB"/>
        </a:p>
      </dgm:t>
    </dgm:pt>
    <dgm:pt modelId="{2F4117F1-2C03-4834-99FE-2646DA2B1D31}" type="pres">
      <dgm:prSet presAssocID="{8277F826-B13A-4C78-8826-F1813937B8C1}" presName="descendantText" presStyleLbl="alignAcc1" presStyleIdx="2" presStyleCnt="6">
        <dgm:presLayoutVars>
          <dgm:bulletEnabled val="1"/>
        </dgm:presLayoutVars>
      </dgm:prSet>
      <dgm:spPr/>
      <dgm:t>
        <a:bodyPr/>
        <a:lstStyle/>
        <a:p>
          <a:endParaRPr lang="en-GB"/>
        </a:p>
      </dgm:t>
    </dgm:pt>
    <dgm:pt modelId="{9F48FFB3-7FA3-461C-A79C-761D8D620A91}" type="pres">
      <dgm:prSet presAssocID="{6C0E6D1D-D620-45A3-A65F-FA73FA224F7D}" presName="sp" presStyleCnt="0"/>
      <dgm:spPr/>
    </dgm:pt>
    <dgm:pt modelId="{1ADA1BDA-07A3-4DF1-B1F1-3510A3879971}" type="pres">
      <dgm:prSet presAssocID="{9818045C-EABA-40AB-A919-694AEB19BAE9}" presName="composite" presStyleCnt="0"/>
      <dgm:spPr/>
    </dgm:pt>
    <dgm:pt modelId="{DBE11D0A-8069-4503-A60C-8970C770CE2B}" type="pres">
      <dgm:prSet presAssocID="{9818045C-EABA-40AB-A919-694AEB19BAE9}" presName="parentText" presStyleLbl="alignNode1" presStyleIdx="3" presStyleCnt="6">
        <dgm:presLayoutVars>
          <dgm:chMax val="1"/>
          <dgm:bulletEnabled val="1"/>
        </dgm:presLayoutVars>
      </dgm:prSet>
      <dgm:spPr/>
      <dgm:t>
        <a:bodyPr/>
        <a:lstStyle/>
        <a:p>
          <a:endParaRPr lang="en-GB"/>
        </a:p>
      </dgm:t>
    </dgm:pt>
    <dgm:pt modelId="{607CCEC4-17F3-43FD-A5AB-7F7722C3EC2C}" type="pres">
      <dgm:prSet presAssocID="{9818045C-EABA-40AB-A919-694AEB19BAE9}" presName="descendantText" presStyleLbl="alignAcc1" presStyleIdx="3" presStyleCnt="6">
        <dgm:presLayoutVars>
          <dgm:bulletEnabled val="1"/>
        </dgm:presLayoutVars>
      </dgm:prSet>
      <dgm:spPr/>
      <dgm:t>
        <a:bodyPr/>
        <a:lstStyle/>
        <a:p>
          <a:endParaRPr lang="en-GB"/>
        </a:p>
      </dgm:t>
    </dgm:pt>
    <dgm:pt modelId="{31B2A3D4-7690-4652-9D8F-53F8A267EF2D}" type="pres">
      <dgm:prSet presAssocID="{89C2BD30-9510-4B9D-BBF3-B059B8FC1073}" presName="sp" presStyleCnt="0"/>
      <dgm:spPr/>
    </dgm:pt>
    <dgm:pt modelId="{5ADAAF6B-E72D-4015-A79B-D810D39D9EF4}" type="pres">
      <dgm:prSet presAssocID="{75AD01C0-3AF5-4BE2-A7F3-25CE1CF28505}" presName="composite" presStyleCnt="0"/>
      <dgm:spPr/>
    </dgm:pt>
    <dgm:pt modelId="{21D2B5F3-D33F-4263-8507-155042DF910D}" type="pres">
      <dgm:prSet presAssocID="{75AD01C0-3AF5-4BE2-A7F3-25CE1CF28505}" presName="parentText" presStyleLbl="alignNode1" presStyleIdx="4" presStyleCnt="6">
        <dgm:presLayoutVars>
          <dgm:chMax val="1"/>
          <dgm:bulletEnabled val="1"/>
        </dgm:presLayoutVars>
      </dgm:prSet>
      <dgm:spPr/>
      <dgm:t>
        <a:bodyPr/>
        <a:lstStyle/>
        <a:p>
          <a:endParaRPr lang="en-GB"/>
        </a:p>
      </dgm:t>
    </dgm:pt>
    <dgm:pt modelId="{D82D69AF-5A31-46AD-9891-44DD33FAE676}" type="pres">
      <dgm:prSet presAssocID="{75AD01C0-3AF5-4BE2-A7F3-25CE1CF28505}" presName="descendantText" presStyleLbl="alignAcc1" presStyleIdx="4" presStyleCnt="6" custLinFactNeighborX="36" custLinFactNeighborY="-1802">
        <dgm:presLayoutVars>
          <dgm:bulletEnabled val="1"/>
        </dgm:presLayoutVars>
      </dgm:prSet>
      <dgm:spPr/>
      <dgm:t>
        <a:bodyPr/>
        <a:lstStyle/>
        <a:p>
          <a:endParaRPr lang="en-GB"/>
        </a:p>
      </dgm:t>
    </dgm:pt>
    <dgm:pt modelId="{9A72F294-F5C3-4CD8-886A-97FFEBCDFF93}" type="pres">
      <dgm:prSet presAssocID="{993A43CA-E5F3-4050-BFBD-2FC7850CBB0A}" presName="sp" presStyleCnt="0"/>
      <dgm:spPr/>
    </dgm:pt>
    <dgm:pt modelId="{D15102AA-DA14-4C98-999D-5909FBA8FB91}" type="pres">
      <dgm:prSet presAssocID="{EF9B9D74-C50B-42C5-8791-8F59D2B7DF41}" presName="composite" presStyleCnt="0"/>
      <dgm:spPr/>
    </dgm:pt>
    <dgm:pt modelId="{E8E7C0B0-B84B-4CB3-805A-47EFFEA18001}" type="pres">
      <dgm:prSet presAssocID="{EF9B9D74-C50B-42C5-8791-8F59D2B7DF41}" presName="parentText" presStyleLbl="alignNode1" presStyleIdx="5" presStyleCnt="6">
        <dgm:presLayoutVars>
          <dgm:chMax val="1"/>
          <dgm:bulletEnabled val="1"/>
        </dgm:presLayoutVars>
      </dgm:prSet>
      <dgm:spPr/>
      <dgm:t>
        <a:bodyPr/>
        <a:lstStyle/>
        <a:p>
          <a:endParaRPr lang="en-GB"/>
        </a:p>
      </dgm:t>
    </dgm:pt>
    <dgm:pt modelId="{4BD02A08-9987-4997-9B83-B7269AC6D92E}" type="pres">
      <dgm:prSet presAssocID="{EF9B9D74-C50B-42C5-8791-8F59D2B7DF41}" presName="descendantText" presStyleLbl="alignAcc1" presStyleIdx="5" presStyleCnt="6">
        <dgm:presLayoutVars>
          <dgm:bulletEnabled val="1"/>
        </dgm:presLayoutVars>
      </dgm:prSet>
      <dgm:spPr/>
      <dgm:t>
        <a:bodyPr/>
        <a:lstStyle/>
        <a:p>
          <a:endParaRPr lang="en-GB"/>
        </a:p>
      </dgm:t>
    </dgm:pt>
  </dgm:ptLst>
  <dgm:cxnLst>
    <dgm:cxn modelId="{71226670-6E98-4CA1-B339-B01B635F924C}" srcId="{E46BDF08-F703-4F1A-BF21-720B52E49ABD}" destId="{971FEAE1-4098-4663-89AC-0AF0F5449C33}" srcOrd="1" destOrd="0" parTransId="{21FA74A3-538F-4FF8-9E18-A9F15EA478F7}" sibTransId="{981C12B2-650F-44D2-AC96-07B9521777EE}"/>
    <dgm:cxn modelId="{0BE803B1-9EB3-47F2-BCFF-0E6D7A82B354}" srcId="{75AD01C0-3AF5-4BE2-A7F3-25CE1CF28505}" destId="{3F3B00F8-003D-42A5-B155-345E1881E6A9}" srcOrd="1" destOrd="0" parTransId="{40C3671C-3810-42B9-869F-1B28BDC3CE54}" sibTransId="{888B7539-8F14-4608-BA31-0A1C38EB0730}"/>
    <dgm:cxn modelId="{FA3E58D2-82C1-4872-829D-F791CA1A3D8F}" srcId="{55997230-3387-479D-91C0-67FD3E3389EA}" destId="{9818045C-EABA-40AB-A919-694AEB19BAE9}" srcOrd="3" destOrd="0" parTransId="{69FF418F-A984-4A7A-95BA-9CBA1F1CCAFB}" sibTransId="{89C2BD30-9510-4B9D-BBF3-B059B8FC1073}"/>
    <dgm:cxn modelId="{A80A8D94-C8C4-47DB-A53D-E0F958E2EB38}" srcId="{84525262-E422-4FFE-A550-6092AB10B0D7}" destId="{3AE0C07A-833A-4EB7-8B8B-37CA902F7767}" srcOrd="2" destOrd="0" parTransId="{B0138D33-482D-4877-BD7A-F2C161A957CB}" sibTransId="{54FE9E37-FF44-4DCE-9724-BE9FB1B4FE55}"/>
    <dgm:cxn modelId="{D54A3ACF-F866-45EC-B0EA-5A62276E416E}" srcId="{8277F826-B13A-4C78-8826-F1813937B8C1}" destId="{6CC3011B-63DE-4D2B-8ED2-96B586B25CDA}" srcOrd="1" destOrd="0" parTransId="{53999E42-4CCA-4095-B630-29177B23B603}" sibTransId="{D7333BAF-A333-42C2-8981-1BEEEE05DDFF}"/>
    <dgm:cxn modelId="{B55BF00A-E26A-42D7-9D3A-7FC394D501C0}" type="presOf" srcId="{135DD56E-A2D7-4FC8-9AFF-01A8950525D1}" destId="{4BD02A08-9987-4997-9B83-B7269AC6D92E}" srcOrd="0" destOrd="0" presId="urn:microsoft.com/office/officeart/2005/8/layout/chevron2"/>
    <dgm:cxn modelId="{3812255E-254B-4539-905D-BACD11A580D7}" type="presOf" srcId="{3F3B00F8-003D-42A5-B155-345E1881E6A9}" destId="{D82D69AF-5A31-46AD-9891-44DD33FAE676}" srcOrd="0" destOrd="1" presId="urn:microsoft.com/office/officeart/2005/8/layout/chevron2"/>
    <dgm:cxn modelId="{07CEC717-E419-415C-8747-FA0AD5A2DB15}" type="presOf" srcId="{75AD01C0-3AF5-4BE2-A7F3-25CE1CF28505}" destId="{21D2B5F3-D33F-4263-8507-155042DF910D}" srcOrd="0" destOrd="0" presId="urn:microsoft.com/office/officeart/2005/8/layout/chevron2"/>
    <dgm:cxn modelId="{6DA60E35-2B6F-44C4-965A-FFBB6B3AC55E}" srcId="{E46BDF08-F703-4F1A-BF21-720B52E49ABD}" destId="{F89EAAD0-323D-473A-B88D-2771D5A6B642}" srcOrd="0" destOrd="0" parTransId="{E814A012-CC17-4E60-9798-9FA6EF8367C8}" sibTransId="{DC957FBB-3B28-4FD5-A63B-B8FCDDDDD82C}"/>
    <dgm:cxn modelId="{3A00695E-D393-456B-B9BE-CEE23F4211DD}" type="presOf" srcId="{55997230-3387-479D-91C0-67FD3E3389EA}" destId="{A180BF0D-043A-44B9-888F-4BEE7721C284}" srcOrd="0" destOrd="0" presId="urn:microsoft.com/office/officeart/2005/8/layout/chevron2"/>
    <dgm:cxn modelId="{F23FE0EA-17AC-461D-828D-F09ED4E610A3}" type="presOf" srcId="{84525262-E422-4FFE-A550-6092AB10B0D7}" destId="{9B6392BD-E9F5-4B6C-9D28-5F1CB81682B2}" srcOrd="0" destOrd="0" presId="urn:microsoft.com/office/officeart/2005/8/layout/chevron2"/>
    <dgm:cxn modelId="{52866C15-3652-413D-94B2-9F3F8D4A6656}" type="presOf" srcId="{8277F826-B13A-4C78-8826-F1813937B8C1}" destId="{733B5ADF-5A31-4354-BD11-CF6B75E191AA}" srcOrd="0" destOrd="0" presId="urn:microsoft.com/office/officeart/2005/8/layout/chevron2"/>
    <dgm:cxn modelId="{507FF55C-BE84-4CBE-9C77-995BC68D86B1}" srcId="{84525262-E422-4FFE-A550-6092AB10B0D7}" destId="{CEB4B22B-B55E-4D63-83C1-D883A65E0C19}" srcOrd="1" destOrd="0" parTransId="{F3EF3A36-80E1-4B2A-8F0B-B9D49BE1BA3C}" sibTransId="{E27008D7-0363-447B-9BCB-1221B0D91BE5}"/>
    <dgm:cxn modelId="{CB773E04-8BE0-40C0-8AB9-BCD8C7B64CB1}" srcId="{EF9B9D74-C50B-42C5-8791-8F59D2B7DF41}" destId="{135DD56E-A2D7-4FC8-9AFF-01A8950525D1}" srcOrd="0" destOrd="0" parTransId="{4D481AAE-7E1F-499B-9D24-9FF23C388E60}" sibTransId="{2E60F95B-8CD7-4D6C-8D1D-7B6DDEA2EA0E}"/>
    <dgm:cxn modelId="{DC1DB27C-E3B5-4939-800B-CB1E4A13B886}" type="presOf" srcId="{F89EAAD0-323D-473A-B88D-2771D5A6B642}" destId="{2257E21D-5E35-4E6A-A716-82BED39AC227}" srcOrd="0" destOrd="0" presId="urn:microsoft.com/office/officeart/2005/8/layout/chevron2"/>
    <dgm:cxn modelId="{9C3A2C00-0B05-4472-A9AC-DB090E6AC78A}" type="presOf" srcId="{C1B8C857-278D-4496-B05F-C4C78E3A743F}" destId="{EF294556-7D5C-48F9-B448-8F18B07E2482}" srcOrd="0" destOrd="0" presId="urn:microsoft.com/office/officeart/2005/8/layout/chevron2"/>
    <dgm:cxn modelId="{91F78289-F56E-414D-9731-1546D7E34A1F}" type="presOf" srcId="{B87249EB-B7F2-403B-B3BC-9C04DCDF4C6C}" destId="{D82D69AF-5A31-46AD-9891-44DD33FAE676}" srcOrd="0" destOrd="0" presId="urn:microsoft.com/office/officeart/2005/8/layout/chevron2"/>
    <dgm:cxn modelId="{27195438-2C45-4D1B-A2FB-9044DC0819DE}" type="presOf" srcId="{6CC3011B-63DE-4D2B-8ED2-96B586B25CDA}" destId="{2F4117F1-2C03-4834-99FE-2646DA2B1D31}" srcOrd="0" destOrd="1" presId="urn:microsoft.com/office/officeart/2005/8/layout/chevron2"/>
    <dgm:cxn modelId="{7629FA91-991D-4940-94DD-58D5FAB04FCD}" srcId="{8277F826-B13A-4C78-8826-F1813937B8C1}" destId="{1473145D-553F-4190-80CA-06924E0840D4}" srcOrd="0" destOrd="0" parTransId="{42CFBDAC-4E28-4DA2-B53D-7EAC0AAD35CD}" sibTransId="{850C98B1-C993-4BA1-B500-3961454CC506}"/>
    <dgm:cxn modelId="{5E6423AC-28D2-4934-8B9A-CC68FF8299A1}" type="presOf" srcId="{971FEAE1-4098-4663-89AC-0AF0F5449C33}" destId="{2257E21D-5E35-4E6A-A716-82BED39AC227}" srcOrd="0" destOrd="1" presId="urn:microsoft.com/office/officeart/2005/8/layout/chevron2"/>
    <dgm:cxn modelId="{20385A77-A2F1-49BE-8F52-A7D054110F12}" srcId="{75AD01C0-3AF5-4BE2-A7F3-25CE1CF28505}" destId="{B87249EB-B7F2-403B-B3BC-9C04DCDF4C6C}" srcOrd="0" destOrd="0" parTransId="{D3C1A66E-560C-46CB-9CD2-3606EC573ED6}" sibTransId="{579DB7C4-92E4-475C-85D1-5F7900D8E18B}"/>
    <dgm:cxn modelId="{C2C1B8BB-D5F3-4A59-8B1E-3BC9C6874C4D}" srcId="{84525262-E422-4FFE-A550-6092AB10B0D7}" destId="{C1B8C857-278D-4496-B05F-C4C78E3A743F}" srcOrd="0" destOrd="0" parTransId="{0F6E0444-CC96-4524-B826-D71ED7B78A09}" sibTransId="{EACD468F-FAC6-4D38-920F-4A842C0F5938}"/>
    <dgm:cxn modelId="{9E0B132F-7142-4F76-B94F-F735BBA7D686}" srcId="{55997230-3387-479D-91C0-67FD3E3389EA}" destId="{75AD01C0-3AF5-4BE2-A7F3-25CE1CF28505}" srcOrd="4" destOrd="0" parTransId="{F72C02C3-6CE1-4856-88E1-6A27C6D59BA7}" sibTransId="{993A43CA-E5F3-4050-BFBD-2FC7850CBB0A}"/>
    <dgm:cxn modelId="{95FAD757-820A-4CA9-97E4-8F86C0032A1F}" srcId="{55997230-3387-479D-91C0-67FD3E3389EA}" destId="{84525262-E422-4FFE-A550-6092AB10B0D7}" srcOrd="0" destOrd="0" parTransId="{5CA50BEE-61D9-418E-8D9C-A06274267425}" sibTransId="{D6426D53-453F-44D1-824B-DA309AB85EA2}"/>
    <dgm:cxn modelId="{5884588D-C17D-4534-9D1C-FEB90FEB0C64}" type="presOf" srcId="{CEB4B22B-B55E-4D63-83C1-D883A65E0C19}" destId="{EF294556-7D5C-48F9-B448-8F18B07E2482}" srcOrd="0" destOrd="1" presId="urn:microsoft.com/office/officeart/2005/8/layout/chevron2"/>
    <dgm:cxn modelId="{36824B33-BE4A-4BC3-8647-B6640DF76707}" type="presOf" srcId="{3AE0C07A-833A-4EB7-8B8B-37CA902F7767}" destId="{EF294556-7D5C-48F9-B448-8F18B07E2482}" srcOrd="0" destOrd="2" presId="urn:microsoft.com/office/officeart/2005/8/layout/chevron2"/>
    <dgm:cxn modelId="{9BB9C663-1AA5-4A9A-92E7-A0949805C376}" type="presOf" srcId="{1473145D-553F-4190-80CA-06924E0840D4}" destId="{2F4117F1-2C03-4834-99FE-2646DA2B1D31}" srcOrd="0" destOrd="0" presId="urn:microsoft.com/office/officeart/2005/8/layout/chevron2"/>
    <dgm:cxn modelId="{088149FD-C796-4292-8D3C-74402A17013F}" srcId="{55997230-3387-479D-91C0-67FD3E3389EA}" destId="{EF9B9D74-C50B-42C5-8791-8F59D2B7DF41}" srcOrd="5" destOrd="0" parTransId="{46292C84-2B87-4F12-BC12-98EA037B845B}" sibTransId="{7CD4BA3C-AF79-48F4-85AB-941591561E4C}"/>
    <dgm:cxn modelId="{E96A5CE5-6A21-41BA-8A54-5F8DF9C2DC82}" type="presOf" srcId="{EE4CA4FD-A329-4BA0-8CA2-816C719DD507}" destId="{607CCEC4-17F3-43FD-A5AB-7F7722C3EC2C}" srcOrd="0" destOrd="0" presId="urn:microsoft.com/office/officeart/2005/8/layout/chevron2"/>
    <dgm:cxn modelId="{D5302FF0-A31E-414D-90E2-109E0FB68518}" srcId="{55997230-3387-479D-91C0-67FD3E3389EA}" destId="{8277F826-B13A-4C78-8826-F1813937B8C1}" srcOrd="2" destOrd="0" parTransId="{4930D6F2-343F-43A2-B702-ACB0DF3B2A01}" sibTransId="{6C0E6D1D-D620-45A3-A65F-FA73FA224F7D}"/>
    <dgm:cxn modelId="{665F2741-AF9D-4553-906F-9F8CC3A608AD}" srcId="{55997230-3387-479D-91C0-67FD3E3389EA}" destId="{E46BDF08-F703-4F1A-BF21-720B52E49ABD}" srcOrd="1" destOrd="0" parTransId="{C56745A3-AEEA-47EE-81EB-A971944783C4}" sibTransId="{70E71E83-8E04-4B3E-AF38-CD0822CD42F4}"/>
    <dgm:cxn modelId="{C660BC9E-AE85-406E-ACF5-6473C78AD8C9}" type="presOf" srcId="{EF9B9D74-C50B-42C5-8791-8F59D2B7DF41}" destId="{E8E7C0B0-B84B-4CB3-805A-47EFFEA18001}" srcOrd="0" destOrd="0" presId="urn:microsoft.com/office/officeart/2005/8/layout/chevron2"/>
    <dgm:cxn modelId="{D67F1D9B-60ED-4EBE-8D0B-59A4E777B0EF}" type="presOf" srcId="{9818045C-EABA-40AB-A919-694AEB19BAE9}" destId="{DBE11D0A-8069-4503-A60C-8970C770CE2B}" srcOrd="0" destOrd="0" presId="urn:microsoft.com/office/officeart/2005/8/layout/chevron2"/>
    <dgm:cxn modelId="{7116A728-5A87-416E-B55A-AB07FAE4B4C0}" type="presOf" srcId="{E46BDF08-F703-4F1A-BF21-720B52E49ABD}" destId="{700C0980-A7BB-441B-8F2C-E3BE0595BDD1}" srcOrd="0" destOrd="0" presId="urn:microsoft.com/office/officeart/2005/8/layout/chevron2"/>
    <dgm:cxn modelId="{45E31D68-62F7-49FA-9FDF-608FD7F90C31}" srcId="{9818045C-EABA-40AB-A919-694AEB19BAE9}" destId="{EE4CA4FD-A329-4BA0-8CA2-816C719DD507}" srcOrd="0" destOrd="0" parTransId="{0D64B063-FEF2-4ED0-AD21-2266943BEAFA}" sibTransId="{B5CAF8CB-EE3C-4154-84F4-D3240F25291E}"/>
    <dgm:cxn modelId="{B9CEE914-7E8D-48CC-8A72-8962815F274B}" type="presParOf" srcId="{A180BF0D-043A-44B9-888F-4BEE7721C284}" destId="{F42D7B27-B4B9-4724-927C-4081195F1A34}" srcOrd="0" destOrd="0" presId="urn:microsoft.com/office/officeart/2005/8/layout/chevron2"/>
    <dgm:cxn modelId="{26CEC5C0-DB4D-4B19-A684-D419CC1F1874}" type="presParOf" srcId="{F42D7B27-B4B9-4724-927C-4081195F1A34}" destId="{9B6392BD-E9F5-4B6C-9D28-5F1CB81682B2}" srcOrd="0" destOrd="0" presId="urn:microsoft.com/office/officeart/2005/8/layout/chevron2"/>
    <dgm:cxn modelId="{4E22DAE5-0A65-429B-AC85-5BE37AFDD75A}" type="presParOf" srcId="{F42D7B27-B4B9-4724-927C-4081195F1A34}" destId="{EF294556-7D5C-48F9-B448-8F18B07E2482}" srcOrd="1" destOrd="0" presId="urn:microsoft.com/office/officeart/2005/8/layout/chevron2"/>
    <dgm:cxn modelId="{43218D66-3359-4DE7-BEAA-A1ACE98A5A0A}" type="presParOf" srcId="{A180BF0D-043A-44B9-888F-4BEE7721C284}" destId="{05107C0C-B2E8-44C4-923A-C02C3D747F15}" srcOrd="1" destOrd="0" presId="urn:microsoft.com/office/officeart/2005/8/layout/chevron2"/>
    <dgm:cxn modelId="{C46B3A59-7DF7-4158-95E8-130F1B36AC32}" type="presParOf" srcId="{A180BF0D-043A-44B9-888F-4BEE7721C284}" destId="{5D6D3556-797F-4E2D-B1DF-5167A3DE9D05}" srcOrd="2" destOrd="0" presId="urn:microsoft.com/office/officeart/2005/8/layout/chevron2"/>
    <dgm:cxn modelId="{F97DFF05-4909-4CE0-A8FE-274661F08D71}" type="presParOf" srcId="{5D6D3556-797F-4E2D-B1DF-5167A3DE9D05}" destId="{700C0980-A7BB-441B-8F2C-E3BE0595BDD1}" srcOrd="0" destOrd="0" presId="urn:microsoft.com/office/officeart/2005/8/layout/chevron2"/>
    <dgm:cxn modelId="{C2D7C975-30E2-4D2C-B460-E600BB8F216A}" type="presParOf" srcId="{5D6D3556-797F-4E2D-B1DF-5167A3DE9D05}" destId="{2257E21D-5E35-4E6A-A716-82BED39AC227}" srcOrd="1" destOrd="0" presId="urn:microsoft.com/office/officeart/2005/8/layout/chevron2"/>
    <dgm:cxn modelId="{8E66D853-02F1-4915-ABF3-7898A64B1C9F}" type="presParOf" srcId="{A180BF0D-043A-44B9-888F-4BEE7721C284}" destId="{41A2F285-8EC9-495D-AE0A-C0D55839B557}" srcOrd="3" destOrd="0" presId="urn:microsoft.com/office/officeart/2005/8/layout/chevron2"/>
    <dgm:cxn modelId="{20BBFE17-BFC1-4F2B-9832-15D171BEA69B}" type="presParOf" srcId="{A180BF0D-043A-44B9-888F-4BEE7721C284}" destId="{773150B6-E62D-400C-BB5B-058AFF906137}" srcOrd="4" destOrd="0" presId="urn:microsoft.com/office/officeart/2005/8/layout/chevron2"/>
    <dgm:cxn modelId="{E5D4485E-F2BA-42CF-9382-B78F4BB5C166}" type="presParOf" srcId="{773150B6-E62D-400C-BB5B-058AFF906137}" destId="{733B5ADF-5A31-4354-BD11-CF6B75E191AA}" srcOrd="0" destOrd="0" presId="urn:microsoft.com/office/officeart/2005/8/layout/chevron2"/>
    <dgm:cxn modelId="{AC97A50B-24AD-4968-94FA-B3082CB2ED27}" type="presParOf" srcId="{773150B6-E62D-400C-BB5B-058AFF906137}" destId="{2F4117F1-2C03-4834-99FE-2646DA2B1D31}" srcOrd="1" destOrd="0" presId="urn:microsoft.com/office/officeart/2005/8/layout/chevron2"/>
    <dgm:cxn modelId="{A3EF819C-3D42-4AD7-BE14-142C3937A31F}" type="presParOf" srcId="{A180BF0D-043A-44B9-888F-4BEE7721C284}" destId="{9F48FFB3-7FA3-461C-A79C-761D8D620A91}" srcOrd="5" destOrd="0" presId="urn:microsoft.com/office/officeart/2005/8/layout/chevron2"/>
    <dgm:cxn modelId="{FAEF76AE-CA5A-443E-86E3-F620C5DF3FE2}" type="presParOf" srcId="{A180BF0D-043A-44B9-888F-4BEE7721C284}" destId="{1ADA1BDA-07A3-4DF1-B1F1-3510A3879971}" srcOrd="6" destOrd="0" presId="urn:microsoft.com/office/officeart/2005/8/layout/chevron2"/>
    <dgm:cxn modelId="{83DB7E5B-601C-4470-A8C9-7DE2B1BBC4B3}" type="presParOf" srcId="{1ADA1BDA-07A3-4DF1-B1F1-3510A3879971}" destId="{DBE11D0A-8069-4503-A60C-8970C770CE2B}" srcOrd="0" destOrd="0" presId="urn:microsoft.com/office/officeart/2005/8/layout/chevron2"/>
    <dgm:cxn modelId="{FBF80A44-6232-4377-AF83-02CF1F6E2C68}" type="presParOf" srcId="{1ADA1BDA-07A3-4DF1-B1F1-3510A3879971}" destId="{607CCEC4-17F3-43FD-A5AB-7F7722C3EC2C}" srcOrd="1" destOrd="0" presId="urn:microsoft.com/office/officeart/2005/8/layout/chevron2"/>
    <dgm:cxn modelId="{045CC622-5AFB-449C-852E-86286DDE153F}" type="presParOf" srcId="{A180BF0D-043A-44B9-888F-4BEE7721C284}" destId="{31B2A3D4-7690-4652-9D8F-53F8A267EF2D}" srcOrd="7" destOrd="0" presId="urn:microsoft.com/office/officeart/2005/8/layout/chevron2"/>
    <dgm:cxn modelId="{80283C21-7E19-4127-8BEE-1A207978499A}" type="presParOf" srcId="{A180BF0D-043A-44B9-888F-4BEE7721C284}" destId="{5ADAAF6B-E72D-4015-A79B-D810D39D9EF4}" srcOrd="8" destOrd="0" presId="urn:microsoft.com/office/officeart/2005/8/layout/chevron2"/>
    <dgm:cxn modelId="{E0C976F3-0981-4297-A36B-4A0DC1EA671C}" type="presParOf" srcId="{5ADAAF6B-E72D-4015-A79B-D810D39D9EF4}" destId="{21D2B5F3-D33F-4263-8507-155042DF910D}" srcOrd="0" destOrd="0" presId="urn:microsoft.com/office/officeart/2005/8/layout/chevron2"/>
    <dgm:cxn modelId="{D4F5C562-F0BD-460E-824A-1BFAEB32C86E}" type="presParOf" srcId="{5ADAAF6B-E72D-4015-A79B-D810D39D9EF4}" destId="{D82D69AF-5A31-46AD-9891-44DD33FAE676}" srcOrd="1" destOrd="0" presId="urn:microsoft.com/office/officeart/2005/8/layout/chevron2"/>
    <dgm:cxn modelId="{518F2535-73D4-4B92-A35C-30958528D52B}" type="presParOf" srcId="{A180BF0D-043A-44B9-888F-4BEE7721C284}" destId="{9A72F294-F5C3-4CD8-886A-97FFEBCDFF93}" srcOrd="9" destOrd="0" presId="urn:microsoft.com/office/officeart/2005/8/layout/chevron2"/>
    <dgm:cxn modelId="{821CD148-A6B4-4F93-9478-4682808D5C93}" type="presParOf" srcId="{A180BF0D-043A-44B9-888F-4BEE7721C284}" destId="{D15102AA-DA14-4C98-999D-5909FBA8FB91}" srcOrd="10" destOrd="0" presId="urn:microsoft.com/office/officeart/2005/8/layout/chevron2"/>
    <dgm:cxn modelId="{D625B71C-A6B4-4C11-8FF5-F14108823E84}" type="presParOf" srcId="{D15102AA-DA14-4C98-999D-5909FBA8FB91}" destId="{E8E7C0B0-B84B-4CB3-805A-47EFFEA18001}" srcOrd="0" destOrd="0" presId="urn:microsoft.com/office/officeart/2005/8/layout/chevron2"/>
    <dgm:cxn modelId="{C2A6BB6D-B450-442E-A016-91F8C2E0E6B4}" type="presParOf" srcId="{D15102AA-DA14-4C98-999D-5909FBA8FB91}" destId="{4BD02A08-9987-4997-9B83-B7269AC6D92E}" srcOrd="1" destOrd="0" presId="urn:microsoft.com/office/officeart/2005/8/layout/chevro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8C24400-0780-408F-9033-165CFF446FE2}" type="doc">
      <dgm:prSet loTypeId="urn:microsoft.com/office/officeart/2005/8/layout/matrix2" loCatId="matrix" qsTypeId="urn:microsoft.com/office/officeart/2005/8/quickstyle/simple3" qsCatId="simple" csTypeId="urn:microsoft.com/office/officeart/2005/8/colors/accent3_3" csCatId="accent3" phldr="1"/>
      <dgm:spPr/>
      <dgm:t>
        <a:bodyPr/>
        <a:lstStyle/>
        <a:p>
          <a:endParaRPr lang="en-US"/>
        </a:p>
      </dgm:t>
    </dgm:pt>
    <dgm:pt modelId="{8BDFE65B-77E0-44E5-8F7E-FD8B45ACB0C8}">
      <dgm:prSet phldrT="[Text]" custT="1"/>
      <dgm:spPr/>
      <dgm:t>
        <a:bodyPr/>
        <a:lstStyle/>
        <a:p>
          <a:pPr algn="ctr"/>
          <a:r>
            <a:rPr lang="en-US" sz="1000" b="1">
              <a:latin typeface="Times New Roman" pitchFamily="18" charset="0"/>
              <a:cs typeface="Times New Roman" pitchFamily="18" charset="0"/>
            </a:rPr>
            <a:t>Strengths</a:t>
          </a:r>
        </a:p>
        <a:p>
          <a:pPr algn="just"/>
          <a:r>
            <a:rPr lang="en-US" sz="1000" b="0" i="0" u="none">
              <a:latin typeface="Times New Roman" pitchFamily="18" charset="0"/>
              <a:cs typeface="Times New Roman" pitchFamily="18" charset="0"/>
            </a:rPr>
            <a:t>wide range of food products</a:t>
          </a:r>
        </a:p>
        <a:p>
          <a:pPr algn="just"/>
          <a:r>
            <a:rPr lang="en-US" sz="1000" b="0" i="0" u="none">
              <a:latin typeface="Times New Roman" pitchFamily="18" charset="0"/>
              <a:cs typeface="Times New Roman" pitchFamily="18" charset="0"/>
            </a:rPr>
            <a:t>accreditation from AABRC</a:t>
          </a:r>
        </a:p>
        <a:p>
          <a:pPr algn="just"/>
          <a:r>
            <a:rPr lang="en-US" sz="1000" b="0" i="0" u="none">
              <a:latin typeface="Times New Roman" pitchFamily="18" charset="0"/>
              <a:cs typeface="Times New Roman" pitchFamily="18" charset="0"/>
            </a:rPr>
            <a:t>engagement of skilled workforce</a:t>
          </a:r>
          <a:r>
            <a:rPr lang="en-US" sz="1000">
              <a:latin typeface="Times New Roman" pitchFamily="18" charset="0"/>
              <a:cs typeface="Times New Roman" pitchFamily="18" charset="0"/>
            </a:rPr>
            <a:t>  </a:t>
          </a:r>
        </a:p>
      </dgm:t>
    </dgm:pt>
    <dgm:pt modelId="{E1F667D0-8241-42AC-99FB-425827BA8AED}" type="parTrans" cxnId="{E4F74504-DBD9-4F9F-ABB5-6890BB8D33C9}">
      <dgm:prSet/>
      <dgm:spPr/>
      <dgm:t>
        <a:bodyPr/>
        <a:lstStyle/>
        <a:p>
          <a:endParaRPr lang="en-US"/>
        </a:p>
      </dgm:t>
    </dgm:pt>
    <dgm:pt modelId="{62167634-989C-40E4-804E-EF0BCF7EA78C}" type="sibTrans" cxnId="{E4F74504-DBD9-4F9F-ABB5-6890BB8D33C9}">
      <dgm:prSet/>
      <dgm:spPr/>
      <dgm:t>
        <a:bodyPr/>
        <a:lstStyle/>
        <a:p>
          <a:endParaRPr lang="en-US"/>
        </a:p>
      </dgm:t>
    </dgm:pt>
    <dgm:pt modelId="{7B060C7A-50B9-478E-AE0F-E33F91160EF2}">
      <dgm:prSet phldrT="[Text]" custT="1"/>
      <dgm:spPr/>
      <dgm:t>
        <a:bodyPr/>
        <a:lstStyle/>
        <a:p>
          <a:pPr algn="ctr"/>
          <a:r>
            <a:rPr lang="en-US" sz="1000" b="1">
              <a:latin typeface="Times New Roman" pitchFamily="18" charset="0"/>
              <a:cs typeface="Times New Roman" pitchFamily="18" charset="0"/>
            </a:rPr>
            <a:t>Weaknesses</a:t>
          </a:r>
        </a:p>
        <a:p>
          <a:pPr algn="just"/>
          <a:r>
            <a:rPr lang="en-US" sz="1000">
              <a:latin typeface="Times New Roman" pitchFamily="18" charset="0"/>
              <a:cs typeface="Times New Roman" pitchFamily="18" charset="0"/>
            </a:rPr>
            <a:t> improper loication </a:t>
          </a:r>
        </a:p>
        <a:p>
          <a:pPr algn="just"/>
          <a:r>
            <a:rPr lang="en-US" sz="1000">
              <a:latin typeface="Times New Roman" pitchFamily="18" charset="0"/>
              <a:cs typeface="Times New Roman" pitchFamily="18" charset="0"/>
            </a:rPr>
            <a:t>excess investment in innovation </a:t>
          </a:r>
        </a:p>
        <a:p>
          <a:pPr algn="just"/>
          <a:r>
            <a:rPr lang="en-US" sz="1000">
              <a:latin typeface="Times New Roman" pitchFamily="18" charset="0"/>
              <a:cs typeface="Times New Roman" pitchFamily="18" charset="0"/>
            </a:rPr>
            <a:t>absence of online shopping facility </a:t>
          </a:r>
        </a:p>
      </dgm:t>
    </dgm:pt>
    <dgm:pt modelId="{046040A2-A488-437D-AED4-0117039C4826}" type="parTrans" cxnId="{B8F33A86-A885-49D1-9116-124471D41D4D}">
      <dgm:prSet/>
      <dgm:spPr/>
      <dgm:t>
        <a:bodyPr/>
        <a:lstStyle/>
        <a:p>
          <a:endParaRPr lang="en-US"/>
        </a:p>
      </dgm:t>
    </dgm:pt>
    <dgm:pt modelId="{6C32CC38-B1F9-45E4-9A5F-F1CC7E81F511}" type="sibTrans" cxnId="{B8F33A86-A885-49D1-9116-124471D41D4D}">
      <dgm:prSet/>
      <dgm:spPr/>
      <dgm:t>
        <a:bodyPr/>
        <a:lstStyle/>
        <a:p>
          <a:endParaRPr lang="en-US"/>
        </a:p>
      </dgm:t>
    </dgm:pt>
    <dgm:pt modelId="{FCACBBB3-3D30-4D0B-A092-4F8299CF1C5F}">
      <dgm:prSet phldrT="[Text]" custT="1"/>
      <dgm:spPr/>
      <dgm:t>
        <a:bodyPr/>
        <a:lstStyle/>
        <a:p>
          <a:pPr algn="ctr"/>
          <a:r>
            <a:rPr lang="en-US" sz="1000" b="1">
              <a:latin typeface="Times New Roman" pitchFamily="18" charset="0"/>
              <a:cs typeface="Times New Roman" pitchFamily="18" charset="0"/>
            </a:rPr>
            <a:t>Opportunities</a:t>
          </a:r>
        </a:p>
        <a:p>
          <a:pPr algn="just"/>
          <a:r>
            <a:rPr lang="en-US" sz="1000" b="0" i="0" u="none">
              <a:latin typeface="Times New Roman" pitchFamily="18" charset="0"/>
              <a:cs typeface="Times New Roman" pitchFamily="18" charset="0"/>
            </a:rPr>
            <a:t>use of social media platforms</a:t>
          </a:r>
        </a:p>
        <a:p>
          <a:pPr algn="just"/>
          <a:r>
            <a:rPr lang="en-US" sz="1000" b="0" i="0" u="none">
              <a:latin typeface="Times New Roman" pitchFamily="18" charset="0"/>
              <a:cs typeface="Times New Roman" pitchFamily="18" charset="0"/>
            </a:rPr>
            <a:t>unique range of flavour </a:t>
          </a:r>
        </a:p>
        <a:p>
          <a:pPr algn="just"/>
          <a:r>
            <a:rPr lang="en-US" sz="1000" b="0" i="0" u="none">
              <a:latin typeface="Times New Roman" pitchFamily="18" charset="0"/>
              <a:cs typeface="Times New Roman" pitchFamily="18" charset="0"/>
            </a:rPr>
            <a:t>Continuous reinvention in fruit jellies</a:t>
          </a:r>
        </a:p>
        <a:p>
          <a:pPr algn="just"/>
          <a:r>
            <a:rPr lang="en-US" sz="1000" b="0" i="0" u="none">
              <a:latin typeface="Times New Roman" pitchFamily="18" charset="0"/>
              <a:cs typeface="Times New Roman" pitchFamily="18" charset="0"/>
            </a:rPr>
            <a:t>introduction of employment</a:t>
          </a:r>
          <a:endParaRPr lang="en-US" sz="1000">
            <a:latin typeface="Times New Roman" pitchFamily="18" charset="0"/>
            <a:cs typeface="Times New Roman" pitchFamily="18" charset="0"/>
          </a:endParaRPr>
        </a:p>
      </dgm:t>
    </dgm:pt>
    <dgm:pt modelId="{562AA04A-1D63-4CB3-BBAD-7130D760D057}" type="parTrans" cxnId="{7A21E2DD-9331-4B1F-9733-1DE14E8C4011}">
      <dgm:prSet/>
      <dgm:spPr/>
      <dgm:t>
        <a:bodyPr/>
        <a:lstStyle/>
        <a:p>
          <a:endParaRPr lang="en-US"/>
        </a:p>
      </dgm:t>
    </dgm:pt>
    <dgm:pt modelId="{C2AEC132-6E14-4E18-A0CD-4E601A011FB0}" type="sibTrans" cxnId="{7A21E2DD-9331-4B1F-9733-1DE14E8C4011}">
      <dgm:prSet/>
      <dgm:spPr/>
      <dgm:t>
        <a:bodyPr/>
        <a:lstStyle/>
        <a:p>
          <a:endParaRPr lang="en-US"/>
        </a:p>
      </dgm:t>
    </dgm:pt>
    <dgm:pt modelId="{2B5D8057-1B85-41AB-A704-7917FA7A82D0}">
      <dgm:prSet phldrT="[Text]" custT="1"/>
      <dgm:spPr/>
      <dgm:t>
        <a:bodyPr/>
        <a:lstStyle/>
        <a:p>
          <a:pPr algn="ctr"/>
          <a:r>
            <a:rPr lang="en-US" sz="1000" b="1">
              <a:latin typeface="Times New Roman" pitchFamily="18" charset="0"/>
              <a:cs typeface="Times New Roman" pitchFamily="18" charset="0"/>
            </a:rPr>
            <a:t>Threats</a:t>
          </a:r>
        </a:p>
        <a:p>
          <a:pPr algn="just"/>
          <a:r>
            <a:rPr lang="en-US" sz="1000" b="0" i="0" u="none">
              <a:latin typeface="Times New Roman" pitchFamily="18" charset="0"/>
              <a:cs typeface="Times New Roman" pitchFamily="18" charset="0"/>
            </a:rPr>
            <a:t>existing rival companies in UK such as Treasure Island Sweets</a:t>
          </a:r>
        </a:p>
        <a:p>
          <a:pPr algn="just"/>
          <a:r>
            <a:rPr lang="en-US" sz="1000" b="0" i="0" u="none">
              <a:latin typeface="Times New Roman" pitchFamily="18" charset="0"/>
              <a:cs typeface="Times New Roman" pitchFamily="18" charset="0"/>
            </a:rPr>
            <a:t>reducing customer base</a:t>
          </a:r>
        </a:p>
        <a:p>
          <a:pPr algn="just"/>
          <a:r>
            <a:rPr lang="en-US" sz="1000" b="0" i="0" u="none">
              <a:latin typeface="Times New Roman" pitchFamily="18" charset="0"/>
              <a:cs typeface="Times New Roman" pitchFamily="18" charset="0"/>
            </a:rPr>
            <a:t>pandemic situation</a:t>
          </a:r>
          <a:endParaRPr lang="en-US" sz="1000" b="1" i="0" u="none">
            <a:latin typeface="Times New Roman" pitchFamily="18" charset="0"/>
            <a:cs typeface="Times New Roman" pitchFamily="18" charset="0"/>
          </a:endParaRPr>
        </a:p>
        <a:p>
          <a:pPr algn="just"/>
          <a:endParaRPr lang="en-US" sz="1000" b="0" i="0" u="none">
            <a:latin typeface="Times New Roman" pitchFamily="18" charset="0"/>
            <a:cs typeface="Times New Roman" pitchFamily="18" charset="0"/>
          </a:endParaRPr>
        </a:p>
        <a:p>
          <a:pPr algn="just"/>
          <a:r>
            <a:rPr lang="en-US" sz="1000">
              <a:latin typeface="Times New Roman" pitchFamily="18" charset="0"/>
              <a:cs typeface="Times New Roman" pitchFamily="18" charset="0"/>
            </a:rPr>
            <a:t> </a:t>
          </a:r>
        </a:p>
      </dgm:t>
    </dgm:pt>
    <dgm:pt modelId="{172F9B26-C85D-444D-A436-97A9C34E1199}" type="parTrans" cxnId="{A93052A2-B7B5-4400-860D-C43E674623AA}">
      <dgm:prSet/>
      <dgm:spPr/>
      <dgm:t>
        <a:bodyPr/>
        <a:lstStyle/>
        <a:p>
          <a:endParaRPr lang="en-US"/>
        </a:p>
      </dgm:t>
    </dgm:pt>
    <dgm:pt modelId="{39656190-5A4D-42A0-9AAC-0990BD0A70B8}" type="sibTrans" cxnId="{A93052A2-B7B5-4400-860D-C43E674623AA}">
      <dgm:prSet/>
      <dgm:spPr/>
      <dgm:t>
        <a:bodyPr/>
        <a:lstStyle/>
        <a:p>
          <a:endParaRPr lang="en-US"/>
        </a:p>
      </dgm:t>
    </dgm:pt>
    <dgm:pt modelId="{B706DBF4-43CA-4922-B794-DBC6D80EAD12}">
      <dgm:prSet/>
      <dgm:spPr/>
      <dgm:t>
        <a:bodyPr/>
        <a:lstStyle/>
        <a:p>
          <a:endParaRPr lang="en-US"/>
        </a:p>
      </dgm:t>
    </dgm:pt>
    <dgm:pt modelId="{AF6D44FA-AFA6-4FEE-A88D-ACEBA3D42D95}" type="parTrans" cxnId="{928F6ACE-1A2D-40CE-8038-97879409D379}">
      <dgm:prSet/>
      <dgm:spPr/>
      <dgm:t>
        <a:bodyPr/>
        <a:lstStyle/>
        <a:p>
          <a:endParaRPr lang="en-US"/>
        </a:p>
      </dgm:t>
    </dgm:pt>
    <dgm:pt modelId="{9694FEBA-6588-413C-A6B3-405A62731E50}" type="sibTrans" cxnId="{928F6ACE-1A2D-40CE-8038-97879409D379}">
      <dgm:prSet/>
      <dgm:spPr/>
      <dgm:t>
        <a:bodyPr/>
        <a:lstStyle/>
        <a:p>
          <a:endParaRPr lang="en-US"/>
        </a:p>
      </dgm:t>
    </dgm:pt>
    <dgm:pt modelId="{14527FEE-9C16-4C7E-AA1E-26F531685AA5}" type="pres">
      <dgm:prSet presAssocID="{C8C24400-0780-408F-9033-165CFF446FE2}" presName="matrix" presStyleCnt="0">
        <dgm:presLayoutVars>
          <dgm:chMax val="1"/>
          <dgm:dir/>
          <dgm:resizeHandles val="exact"/>
        </dgm:presLayoutVars>
      </dgm:prSet>
      <dgm:spPr/>
      <dgm:t>
        <a:bodyPr/>
        <a:lstStyle/>
        <a:p>
          <a:endParaRPr lang="en-GB"/>
        </a:p>
      </dgm:t>
    </dgm:pt>
    <dgm:pt modelId="{A3945ED9-44E7-4C2C-8CE0-99CE8B78E0B5}" type="pres">
      <dgm:prSet presAssocID="{C8C24400-0780-408F-9033-165CFF446FE2}" presName="axisShape" presStyleLbl="bgShp" presStyleIdx="0" presStyleCnt="1"/>
      <dgm:spPr/>
    </dgm:pt>
    <dgm:pt modelId="{3A4796C9-C70C-4968-8E06-84BEFB12DE77}" type="pres">
      <dgm:prSet presAssocID="{C8C24400-0780-408F-9033-165CFF446FE2}" presName="rect1" presStyleLbl="node1" presStyleIdx="0" presStyleCnt="4">
        <dgm:presLayoutVars>
          <dgm:chMax val="0"/>
          <dgm:chPref val="0"/>
          <dgm:bulletEnabled val="1"/>
        </dgm:presLayoutVars>
      </dgm:prSet>
      <dgm:spPr/>
      <dgm:t>
        <a:bodyPr/>
        <a:lstStyle/>
        <a:p>
          <a:endParaRPr lang="en-GB"/>
        </a:p>
      </dgm:t>
    </dgm:pt>
    <dgm:pt modelId="{5A0A16DB-0747-4CA0-B5FC-1930E56CDCDE}" type="pres">
      <dgm:prSet presAssocID="{C8C24400-0780-408F-9033-165CFF446FE2}" presName="rect2" presStyleLbl="node1" presStyleIdx="1" presStyleCnt="4">
        <dgm:presLayoutVars>
          <dgm:chMax val="0"/>
          <dgm:chPref val="0"/>
          <dgm:bulletEnabled val="1"/>
        </dgm:presLayoutVars>
      </dgm:prSet>
      <dgm:spPr/>
      <dgm:t>
        <a:bodyPr/>
        <a:lstStyle/>
        <a:p>
          <a:endParaRPr lang="en-GB"/>
        </a:p>
      </dgm:t>
    </dgm:pt>
    <dgm:pt modelId="{53F354E3-9E47-424D-A81E-47E790F9602A}" type="pres">
      <dgm:prSet presAssocID="{C8C24400-0780-408F-9033-165CFF446FE2}" presName="rect3" presStyleLbl="node1" presStyleIdx="2" presStyleCnt="4">
        <dgm:presLayoutVars>
          <dgm:chMax val="0"/>
          <dgm:chPref val="0"/>
          <dgm:bulletEnabled val="1"/>
        </dgm:presLayoutVars>
      </dgm:prSet>
      <dgm:spPr/>
      <dgm:t>
        <a:bodyPr/>
        <a:lstStyle/>
        <a:p>
          <a:endParaRPr lang="en-GB"/>
        </a:p>
      </dgm:t>
    </dgm:pt>
    <dgm:pt modelId="{A18EE530-69F8-46C1-B2A4-BE58374ACFE6}" type="pres">
      <dgm:prSet presAssocID="{C8C24400-0780-408F-9033-165CFF446FE2}" presName="rect4" presStyleLbl="node1" presStyleIdx="3" presStyleCnt="4" custLinFactNeighborX="1662">
        <dgm:presLayoutVars>
          <dgm:chMax val="0"/>
          <dgm:chPref val="0"/>
          <dgm:bulletEnabled val="1"/>
        </dgm:presLayoutVars>
      </dgm:prSet>
      <dgm:spPr/>
      <dgm:t>
        <a:bodyPr/>
        <a:lstStyle/>
        <a:p>
          <a:endParaRPr lang="en-GB"/>
        </a:p>
      </dgm:t>
    </dgm:pt>
  </dgm:ptLst>
  <dgm:cxnLst>
    <dgm:cxn modelId="{7A21E2DD-9331-4B1F-9733-1DE14E8C4011}" srcId="{C8C24400-0780-408F-9033-165CFF446FE2}" destId="{FCACBBB3-3D30-4D0B-A092-4F8299CF1C5F}" srcOrd="2" destOrd="0" parTransId="{562AA04A-1D63-4CB3-BBAD-7130D760D057}" sibTransId="{C2AEC132-6E14-4E18-A0CD-4E601A011FB0}"/>
    <dgm:cxn modelId="{928F6ACE-1A2D-40CE-8038-97879409D379}" srcId="{C8C24400-0780-408F-9033-165CFF446FE2}" destId="{B706DBF4-43CA-4922-B794-DBC6D80EAD12}" srcOrd="4" destOrd="0" parTransId="{AF6D44FA-AFA6-4FEE-A88D-ACEBA3D42D95}" sibTransId="{9694FEBA-6588-413C-A6B3-405A62731E50}"/>
    <dgm:cxn modelId="{A60E1016-C543-41A5-ADA9-FEBE36144190}" type="presOf" srcId="{7B060C7A-50B9-478E-AE0F-E33F91160EF2}" destId="{5A0A16DB-0747-4CA0-B5FC-1930E56CDCDE}" srcOrd="0" destOrd="0" presId="urn:microsoft.com/office/officeart/2005/8/layout/matrix2"/>
    <dgm:cxn modelId="{EC4092DA-C580-4856-8C04-7F4D9D98B7F0}" type="presOf" srcId="{FCACBBB3-3D30-4D0B-A092-4F8299CF1C5F}" destId="{53F354E3-9E47-424D-A81E-47E790F9602A}" srcOrd="0" destOrd="0" presId="urn:microsoft.com/office/officeart/2005/8/layout/matrix2"/>
    <dgm:cxn modelId="{6B3B5C2F-5445-46CF-9269-45BE4EDB4047}" type="presOf" srcId="{C8C24400-0780-408F-9033-165CFF446FE2}" destId="{14527FEE-9C16-4C7E-AA1E-26F531685AA5}" srcOrd="0" destOrd="0" presId="urn:microsoft.com/office/officeart/2005/8/layout/matrix2"/>
    <dgm:cxn modelId="{C760B95C-8AB6-4140-B94F-81275980079D}" type="presOf" srcId="{2B5D8057-1B85-41AB-A704-7917FA7A82D0}" destId="{A18EE530-69F8-46C1-B2A4-BE58374ACFE6}" srcOrd="0" destOrd="0" presId="urn:microsoft.com/office/officeart/2005/8/layout/matrix2"/>
    <dgm:cxn modelId="{E4F74504-DBD9-4F9F-ABB5-6890BB8D33C9}" srcId="{C8C24400-0780-408F-9033-165CFF446FE2}" destId="{8BDFE65B-77E0-44E5-8F7E-FD8B45ACB0C8}" srcOrd="0" destOrd="0" parTransId="{E1F667D0-8241-42AC-99FB-425827BA8AED}" sibTransId="{62167634-989C-40E4-804E-EF0BCF7EA78C}"/>
    <dgm:cxn modelId="{698C2681-8AC3-4400-92AA-CE51B2371ADC}" type="presOf" srcId="{8BDFE65B-77E0-44E5-8F7E-FD8B45ACB0C8}" destId="{3A4796C9-C70C-4968-8E06-84BEFB12DE77}" srcOrd="0" destOrd="0" presId="urn:microsoft.com/office/officeart/2005/8/layout/matrix2"/>
    <dgm:cxn modelId="{B8F33A86-A885-49D1-9116-124471D41D4D}" srcId="{C8C24400-0780-408F-9033-165CFF446FE2}" destId="{7B060C7A-50B9-478E-AE0F-E33F91160EF2}" srcOrd="1" destOrd="0" parTransId="{046040A2-A488-437D-AED4-0117039C4826}" sibTransId="{6C32CC38-B1F9-45E4-9A5F-F1CC7E81F511}"/>
    <dgm:cxn modelId="{A93052A2-B7B5-4400-860D-C43E674623AA}" srcId="{C8C24400-0780-408F-9033-165CFF446FE2}" destId="{2B5D8057-1B85-41AB-A704-7917FA7A82D0}" srcOrd="3" destOrd="0" parTransId="{172F9B26-C85D-444D-A436-97A9C34E1199}" sibTransId="{39656190-5A4D-42A0-9AAC-0990BD0A70B8}"/>
    <dgm:cxn modelId="{4BC8A238-DE3E-4AA0-BC1F-D49BA98E5995}" type="presParOf" srcId="{14527FEE-9C16-4C7E-AA1E-26F531685AA5}" destId="{A3945ED9-44E7-4C2C-8CE0-99CE8B78E0B5}" srcOrd="0" destOrd="0" presId="urn:microsoft.com/office/officeart/2005/8/layout/matrix2"/>
    <dgm:cxn modelId="{E6897170-04D6-4EFF-A934-71D26E8BBA30}" type="presParOf" srcId="{14527FEE-9C16-4C7E-AA1E-26F531685AA5}" destId="{3A4796C9-C70C-4968-8E06-84BEFB12DE77}" srcOrd="1" destOrd="0" presId="urn:microsoft.com/office/officeart/2005/8/layout/matrix2"/>
    <dgm:cxn modelId="{48E4CC37-987D-4726-B655-C5F53180954B}" type="presParOf" srcId="{14527FEE-9C16-4C7E-AA1E-26F531685AA5}" destId="{5A0A16DB-0747-4CA0-B5FC-1930E56CDCDE}" srcOrd="2" destOrd="0" presId="urn:microsoft.com/office/officeart/2005/8/layout/matrix2"/>
    <dgm:cxn modelId="{AD3DDE14-A2C9-4CAC-AEB0-6DCB53144E8D}" type="presParOf" srcId="{14527FEE-9C16-4C7E-AA1E-26F531685AA5}" destId="{53F354E3-9E47-424D-A81E-47E790F9602A}" srcOrd="3" destOrd="0" presId="urn:microsoft.com/office/officeart/2005/8/layout/matrix2"/>
    <dgm:cxn modelId="{9F954A17-16EA-4593-84D2-F08B738546E4}" type="presParOf" srcId="{14527FEE-9C16-4C7E-AA1E-26F531685AA5}" destId="{A18EE530-69F8-46C1-B2A4-BE58374ACFE6}" srcOrd="4" destOrd="0" presId="urn:microsoft.com/office/officeart/2005/8/layout/matrix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70FC157-A509-4AA0-A10D-D33056171CAB}" type="doc">
      <dgm:prSet loTypeId="urn:microsoft.com/office/officeart/2005/8/layout/cycle8" loCatId="cycle" qsTypeId="urn:microsoft.com/office/officeart/2005/8/quickstyle/simple2" qsCatId="simple" csTypeId="urn:microsoft.com/office/officeart/2005/8/colors/colorful4" csCatId="colorful" phldr="1"/>
      <dgm:spPr/>
    </dgm:pt>
    <dgm:pt modelId="{C43D0337-CF3F-44E6-A243-3A5D71686CC9}">
      <dgm:prSet phldrT="[Text]" custT="1"/>
      <dgm:spPr/>
      <dgm:t>
        <a:bodyPr/>
        <a:lstStyle/>
        <a:p>
          <a:pPr algn="ctr"/>
          <a:r>
            <a:rPr lang="en-US" sz="1000" b="1">
              <a:solidFill>
                <a:schemeClr val="tx1"/>
              </a:solidFill>
              <a:latin typeface="Times New Roman" pitchFamily="18" charset="0"/>
              <a:cs typeface="Times New Roman" pitchFamily="18" charset="0"/>
            </a:rPr>
            <a:t>interest</a:t>
          </a:r>
        </a:p>
        <a:p>
          <a:pPr algn="just"/>
          <a:r>
            <a:rPr lang="en-US" sz="1000" b="0">
              <a:solidFill>
                <a:schemeClr val="tx1"/>
              </a:solidFill>
              <a:latin typeface="Times New Roman" pitchFamily="18" charset="0"/>
              <a:cs typeface="Times New Roman" pitchFamily="18" charset="0"/>
            </a:rPr>
            <a:t>annoucing reward details</a:t>
          </a:r>
        </a:p>
      </dgm:t>
    </dgm:pt>
    <dgm:pt modelId="{E8BD6DD6-7DF2-48F7-BCFC-51F922EC58FE}" type="parTrans" cxnId="{5A0F8289-01D6-4E7C-81E6-5E4210036855}">
      <dgm:prSet/>
      <dgm:spPr/>
      <dgm:t>
        <a:bodyPr/>
        <a:lstStyle/>
        <a:p>
          <a:endParaRPr lang="en-US"/>
        </a:p>
      </dgm:t>
    </dgm:pt>
    <dgm:pt modelId="{9190FFAE-C31A-4C87-B2BB-6FC97DCF32D6}" type="sibTrans" cxnId="{5A0F8289-01D6-4E7C-81E6-5E4210036855}">
      <dgm:prSet/>
      <dgm:spPr/>
      <dgm:t>
        <a:bodyPr/>
        <a:lstStyle/>
        <a:p>
          <a:endParaRPr lang="en-US"/>
        </a:p>
      </dgm:t>
    </dgm:pt>
    <dgm:pt modelId="{29462E34-AD9B-4624-979F-CC8094D7905B}">
      <dgm:prSet phldrT="[Text]" custT="1"/>
      <dgm:spPr/>
      <dgm:t>
        <a:bodyPr/>
        <a:lstStyle/>
        <a:p>
          <a:pPr algn="ctr"/>
          <a:r>
            <a:rPr lang="en-US" sz="1000" b="1">
              <a:solidFill>
                <a:schemeClr val="tx1"/>
              </a:solidFill>
              <a:latin typeface="Times New Roman" pitchFamily="18" charset="0"/>
              <a:cs typeface="Times New Roman" pitchFamily="18" charset="0"/>
            </a:rPr>
            <a:t>desire</a:t>
          </a:r>
        </a:p>
        <a:p>
          <a:pPr algn="just"/>
          <a:r>
            <a:rPr lang="en-US" sz="1000" b="0">
              <a:solidFill>
                <a:schemeClr val="tx1"/>
              </a:solidFill>
              <a:latin typeface="Times New Roman" pitchFamily="18" charset="0"/>
              <a:cs typeface="Times New Roman" pitchFamily="18" charset="0"/>
            </a:rPr>
            <a:t>declaring benefits of products </a:t>
          </a:r>
        </a:p>
      </dgm:t>
    </dgm:pt>
    <dgm:pt modelId="{155AC7BE-370D-481F-B289-8885EAF54724}" type="parTrans" cxnId="{D9FDC07E-7525-410C-AD09-EF793F22402D}">
      <dgm:prSet/>
      <dgm:spPr/>
      <dgm:t>
        <a:bodyPr/>
        <a:lstStyle/>
        <a:p>
          <a:endParaRPr lang="en-US"/>
        </a:p>
      </dgm:t>
    </dgm:pt>
    <dgm:pt modelId="{5B24842C-8C07-4226-B8BD-8D00F960B0EC}" type="sibTrans" cxnId="{D9FDC07E-7525-410C-AD09-EF793F22402D}">
      <dgm:prSet/>
      <dgm:spPr/>
      <dgm:t>
        <a:bodyPr/>
        <a:lstStyle/>
        <a:p>
          <a:endParaRPr lang="en-US"/>
        </a:p>
      </dgm:t>
    </dgm:pt>
    <dgm:pt modelId="{4062395A-98B5-4A62-953A-36F84B2E13D7}">
      <dgm:prSet phldrT="[Text]" custT="1"/>
      <dgm:spPr/>
      <dgm:t>
        <a:bodyPr/>
        <a:lstStyle/>
        <a:p>
          <a:pPr algn="ctr"/>
          <a:r>
            <a:rPr lang="en-US" sz="1000" b="1">
              <a:solidFill>
                <a:schemeClr val="tx1"/>
              </a:solidFill>
              <a:latin typeface="Times New Roman" pitchFamily="18" charset="0"/>
              <a:cs typeface="Times New Roman" pitchFamily="18" charset="0"/>
            </a:rPr>
            <a:t>attention</a:t>
          </a:r>
        </a:p>
        <a:p>
          <a:pPr algn="just"/>
          <a:r>
            <a:rPr lang="en-US" sz="1000">
              <a:solidFill>
                <a:schemeClr val="tx1"/>
              </a:solidFill>
              <a:latin typeface="Times New Roman" pitchFamily="18" charset="0"/>
              <a:cs typeface="Times New Roman" pitchFamily="18" charset="0"/>
            </a:rPr>
            <a:t>placing advertisements  </a:t>
          </a:r>
        </a:p>
      </dgm:t>
    </dgm:pt>
    <dgm:pt modelId="{2120215C-2B7A-4DF5-A379-175E2660B11B}" type="parTrans" cxnId="{5367C8AF-4282-44FD-9616-34B2FD7956EC}">
      <dgm:prSet/>
      <dgm:spPr/>
      <dgm:t>
        <a:bodyPr/>
        <a:lstStyle/>
        <a:p>
          <a:endParaRPr lang="en-US"/>
        </a:p>
      </dgm:t>
    </dgm:pt>
    <dgm:pt modelId="{CBE206CB-4883-49C3-A972-3122871E40A3}" type="sibTrans" cxnId="{5367C8AF-4282-44FD-9616-34B2FD7956EC}">
      <dgm:prSet/>
      <dgm:spPr/>
      <dgm:t>
        <a:bodyPr/>
        <a:lstStyle/>
        <a:p>
          <a:endParaRPr lang="en-US"/>
        </a:p>
      </dgm:t>
    </dgm:pt>
    <dgm:pt modelId="{BA8FD4EF-6495-4B9F-AE8A-54D5688A71F9}">
      <dgm:prSet custT="1"/>
      <dgm:spPr/>
      <dgm:t>
        <a:bodyPr/>
        <a:lstStyle/>
        <a:p>
          <a:pPr algn="ctr"/>
          <a:r>
            <a:rPr lang="en-US" sz="1000" b="1">
              <a:solidFill>
                <a:schemeClr val="tx1"/>
              </a:solidFill>
              <a:latin typeface="Times New Roman" pitchFamily="18" charset="0"/>
              <a:cs typeface="Times New Roman" pitchFamily="18" charset="0"/>
            </a:rPr>
            <a:t>action</a:t>
          </a:r>
        </a:p>
        <a:p>
          <a:pPr algn="just"/>
          <a:r>
            <a:rPr lang="en-US" sz="1000" b="1">
              <a:solidFill>
                <a:schemeClr val="tx1"/>
              </a:solidFill>
              <a:latin typeface="Times New Roman" pitchFamily="18" charset="0"/>
              <a:cs typeface="Times New Roman" pitchFamily="18" charset="0"/>
            </a:rPr>
            <a:t> </a:t>
          </a:r>
          <a:r>
            <a:rPr lang="en-GB" sz="1000">
              <a:solidFill>
                <a:schemeClr val="tx1"/>
              </a:solidFill>
              <a:latin typeface="Times New Roman" pitchFamily="18" charset="0"/>
              <a:cs typeface="Times New Roman" pitchFamily="18" charset="0"/>
            </a:rPr>
            <a:t>persuasive text for convincing customers</a:t>
          </a:r>
          <a:endParaRPr lang="en-US" sz="1000" b="1">
            <a:solidFill>
              <a:schemeClr val="tx1"/>
            </a:solidFill>
            <a:latin typeface="Times New Roman" pitchFamily="18" charset="0"/>
            <a:cs typeface="Times New Roman" pitchFamily="18" charset="0"/>
          </a:endParaRPr>
        </a:p>
      </dgm:t>
    </dgm:pt>
    <dgm:pt modelId="{99F1F3D5-52A0-477E-A9DA-A8736CF32AA9}" type="parTrans" cxnId="{3CEE60E5-01DF-4D6A-ADEC-DEE35B106BDF}">
      <dgm:prSet/>
      <dgm:spPr/>
      <dgm:t>
        <a:bodyPr/>
        <a:lstStyle/>
        <a:p>
          <a:endParaRPr lang="en-US"/>
        </a:p>
      </dgm:t>
    </dgm:pt>
    <dgm:pt modelId="{1ABB47CA-149A-48BB-BC28-5A284C02A8DD}" type="sibTrans" cxnId="{3CEE60E5-01DF-4D6A-ADEC-DEE35B106BDF}">
      <dgm:prSet/>
      <dgm:spPr/>
      <dgm:t>
        <a:bodyPr/>
        <a:lstStyle/>
        <a:p>
          <a:endParaRPr lang="en-US"/>
        </a:p>
      </dgm:t>
    </dgm:pt>
    <dgm:pt modelId="{07E7D89D-4684-4B90-AEF1-971E8CBDE8F2}" type="pres">
      <dgm:prSet presAssocID="{070FC157-A509-4AA0-A10D-D33056171CAB}" presName="compositeShape" presStyleCnt="0">
        <dgm:presLayoutVars>
          <dgm:chMax val="7"/>
          <dgm:dir/>
          <dgm:resizeHandles val="exact"/>
        </dgm:presLayoutVars>
      </dgm:prSet>
      <dgm:spPr/>
    </dgm:pt>
    <dgm:pt modelId="{C648834F-9CB9-412C-9B3A-6D184147BB8A}" type="pres">
      <dgm:prSet presAssocID="{070FC157-A509-4AA0-A10D-D33056171CAB}" presName="wedge1" presStyleLbl="node1" presStyleIdx="0" presStyleCnt="4"/>
      <dgm:spPr/>
      <dgm:t>
        <a:bodyPr/>
        <a:lstStyle/>
        <a:p>
          <a:endParaRPr lang="en-GB"/>
        </a:p>
      </dgm:t>
    </dgm:pt>
    <dgm:pt modelId="{54E851CD-CCA3-416A-9E8E-B6AF3AE10989}" type="pres">
      <dgm:prSet presAssocID="{070FC157-A509-4AA0-A10D-D33056171CAB}" presName="dummy1a" presStyleCnt="0"/>
      <dgm:spPr/>
    </dgm:pt>
    <dgm:pt modelId="{923EF33E-E5C3-4C7B-8A8B-154320D62A75}" type="pres">
      <dgm:prSet presAssocID="{070FC157-A509-4AA0-A10D-D33056171CAB}" presName="dummy1b" presStyleCnt="0"/>
      <dgm:spPr/>
    </dgm:pt>
    <dgm:pt modelId="{142DB91C-05B2-411B-B1BB-433AE62413C8}" type="pres">
      <dgm:prSet presAssocID="{070FC157-A509-4AA0-A10D-D33056171CAB}" presName="wedge1Tx" presStyleLbl="node1" presStyleIdx="0" presStyleCnt="4">
        <dgm:presLayoutVars>
          <dgm:chMax val="0"/>
          <dgm:chPref val="0"/>
          <dgm:bulletEnabled val="1"/>
        </dgm:presLayoutVars>
      </dgm:prSet>
      <dgm:spPr/>
      <dgm:t>
        <a:bodyPr/>
        <a:lstStyle/>
        <a:p>
          <a:endParaRPr lang="en-GB"/>
        </a:p>
      </dgm:t>
    </dgm:pt>
    <dgm:pt modelId="{3BEC9161-47F3-4275-ABA4-D8C036DA21FE}" type="pres">
      <dgm:prSet presAssocID="{070FC157-A509-4AA0-A10D-D33056171CAB}" presName="wedge2" presStyleLbl="node1" presStyleIdx="1" presStyleCnt="4"/>
      <dgm:spPr/>
      <dgm:t>
        <a:bodyPr/>
        <a:lstStyle/>
        <a:p>
          <a:endParaRPr lang="en-GB"/>
        </a:p>
      </dgm:t>
    </dgm:pt>
    <dgm:pt modelId="{2F44202F-C49B-4945-85BE-0E2D122188F3}" type="pres">
      <dgm:prSet presAssocID="{070FC157-A509-4AA0-A10D-D33056171CAB}" presName="dummy2a" presStyleCnt="0"/>
      <dgm:spPr/>
    </dgm:pt>
    <dgm:pt modelId="{07A206BB-4FC1-485E-AFF9-033D228DAD91}" type="pres">
      <dgm:prSet presAssocID="{070FC157-A509-4AA0-A10D-D33056171CAB}" presName="dummy2b" presStyleCnt="0"/>
      <dgm:spPr/>
    </dgm:pt>
    <dgm:pt modelId="{A508F367-8EE2-4B54-A372-847AD56ED063}" type="pres">
      <dgm:prSet presAssocID="{070FC157-A509-4AA0-A10D-D33056171CAB}" presName="wedge2Tx" presStyleLbl="node1" presStyleIdx="1" presStyleCnt="4">
        <dgm:presLayoutVars>
          <dgm:chMax val="0"/>
          <dgm:chPref val="0"/>
          <dgm:bulletEnabled val="1"/>
        </dgm:presLayoutVars>
      </dgm:prSet>
      <dgm:spPr/>
      <dgm:t>
        <a:bodyPr/>
        <a:lstStyle/>
        <a:p>
          <a:endParaRPr lang="en-GB"/>
        </a:p>
      </dgm:t>
    </dgm:pt>
    <dgm:pt modelId="{8284DDB0-12E5-415F-BDB4-8483B50D29BD}" type="pres">
      <dgm:prSet presAssocID="{070FC157-A509-4AA0-A10D-D33056171CAB}" presName="wedge3" presStyleLbl="node1" presStyleIdx="2" presStyleCnt="4"/>
      <dgm:spPr/>
      <dgm:t>
        <a:bodyPr/>
        <a:lstStyle/>
        <a:p>
          <a:endParaRPr lang="en-GB"/>
        </a:p>
      </dgm:t>
    </dgm:pt>
    <dgm:pt modelId="{81CF7854-BA3A-4464-8ED5-0CC22BF79BEF}" type="pres">
      <dgm:prSet presAssocID="{070FC157-A509-4AA0-A10D-D33056171CAB}" presName="dummy3a" presStyleCnt="0"/>
      <dgm:spPr/>
    </dgm:pt>
    <dgm:pt modelId="{2EDDE903-E095-4C2F-8A96-ED6ED2E6CFDF}" type="pres">
      <dgm:prSet presAssocID="{070FC157-A509-4AA0-A10D-D33056171CAB}" presName="dummy3b" presStyleCnt="0"/>
      <dgm:spPr/>
    </dgm:pt>
    <dgm:pt modelId="{E3C9FEAF-3F8A-4333-9925-03BD8BB7F74E}" type="pres">
      <dgm:prSet presAssocID="{070FC157-A509-4AA0-A10D-D33056171CAB}" presName="wedge3Tx" presStyleLbl="node1" presStyleIdx="2" presStyleCnt="4">
        <dgm:presLayoutVars>
          <dgm:chMax val="0"/>
          <dgm:chPref val="0"/>
          <dgm:bulletEnabled val="1"/>
        </dgm:presLayoutVars>
      </dgm:prSet>
      <dgm:spPr/>
      <dgm:t>
        <a:bodyPr/>
        <a:lstStyle/>
        <a:p>
          <a:endParaRPr lang="en-GB"/>
        </a:p>
      </dgm:t>
    </dgm:pt>
    <dgm:pt modelId="{BA6A443D-3BE4-4839-8D75-E45D5AE05732}" type="pres">
      <dgm:prSet presAssocID="{070FC157-A509-4AA0-A10D-D33056171CAB}" presName="wedge4" presStyleLbl="node1" presStyleIdx="3" presStyleCnt="4"/>
      <dgm:spPr/>
      <dgm:t>
        <a:bodyPr/>
        <a:lstStyle/>
        <a:p>
          <a:endParaRPr lang="en-GB"/>
        </a:p>
      </dgm:t>
    </dgm:pt>
    <dgm:pt modelId="{EA3E3D34-C7DF-42DC-BAD8-2143CCE5331F}" type="pres">
      <dgm:prSet presAssocID="{070FC157-A509-4AA0-A10D-D33056171CAB}" presName="dummy4a" presStyleCnt="0"/>
      <dgm:spPr/>
    </dgm:pt>
    <dgm:pt modelId="{FABD965B-96AE-47D6-B06A-E6252CD4944B}" type="pres">
      <dgm:prSet presAssocID="{070FC157-A509-4AA0-A10D-D33056171CAB}" presName="dummy4b" presStyleCnt="0"/>
      <dgm:spPr/>
    </dgm:pt>
    <dgm:pt modelId="{004BE69B-0470-47EB-8ADD-1BC1C50FFAC8}" type="pres">
      <dgm:prSet presAssocID="{070FC157-A509-4AA0-A10D-D33056171CAB}" presName="wedge4Tx" presStyleLbl="node1" presStyleIdx="3" presStyleCnt="4">
        <dgm:presLayoutVars>
          <dgm:chMax val="0"/>
          <dgm:chPref val="0"/>
          <dgm:bulletEnabled val="1"/>
        </dgm:presLayoutVars>
      </dgm:prSet>
      <dgm:spPr/>
      <dgm:t>
        <a:bodyPr/>
        <a:lstStyle/>
        <a:p>
          <a:endParaRPr lang="en-GB"/>
        </a:p>
      </dgm:t>
    </dgm:pt>
    <dgm:pt modelId="{65A2E432-5CFD-43D2-842A-63BA0291E0E1}" type="pres">
      <dgm:prSet presAssocID="{9190FFAE-C31A-4C87-B2BB-6FC97DCF32D6}" presName="arrowWedge1" presStyleLbl="fgSibTrans2D1" presStyleIdx="0" presStyleCnt="4"/>
      <dgm:spPr/>
    </dgm:pt>
    <dgm:pt modelId="{D877EF1B-6778-447C-B953-0C3F4380D24F}" type="pres">
      <dgm:prSet presAssocID="{5B24842C-8C07-4226-B8BD-8D00F960B0EC}" presName="arrowWedge2" presStyleLbl="fgSibTrans2D1" presStyleIdx="1" presStyleCnt="4"/>
      <dgm:spPr/>
    </dgm:pt>
    <dgm:pt modelId="{BBBEE6BB-1C5B-40B0-A5F6-71EE1DC748F0}" type="pres">
      <dgm:prSet presAssocID="{1ABB47CA-149A-48BB-BC28-5A284C02A8DD}" presName="arrowWedge3" presStyleLbl="fgSibTrans2D1" presStyleIdx="2" presStyleCnt="4"/>
      <dgm:spPr/>
    </dgm:pt>
    <dgm:pt modelId="{0C4C521D-BFD7-48A6-B382-F2D72BF76583}" type="pres">
      <dgm:prSet presAssocID="{CBE206CB-4883-49C3-A972-3122871E40A3}" presName="arrowWedge4" presStyleLbl="fgSibTrans2D1" presStyleIdx="3" presStyleCnt="4"/>
      <dgm:spPr/>
    </dgm:pt>
  </dgm:ptLst>
  <dgm:cxnLst>
    <dgm:cxn modelId="{5E3DA79C-AD92-4206-81C1-F170496EDD3D}" type="presOf" srcId="{29462E34-AD9B-4624-979F-CC8094D7905B}" destId="{3BEC9161-47F3-4275-ABA4-D8C036DA21FE}" srcOrd="0" destOrd="0" presId="urn:microsoft.com/office/officeart/2005/8/layout/cycle8"/>
    <dgm:cxn modelId="{D9FDC07E-7525-410C-AD09-EF793F22402D}" srcId="{070FC157-A509-4AA0-A10D-D33056171CAB}" destId="{29462E34-AD9B-4624-979F-CC8094D7905B}" srcOrd="1" destOrd="0" parTransId="{155AC7BE-370D-481F-B289-8885EAF54724}" sibTransId="{5B24842C-8C07-4226-B8BD-8D00F960B0EC}"/>
    <dgm:cxn modelId="{94BCF9A5-6546-4FBF-BFD9-86162872BABC}" type="presOf" srcId="{4062395A-98B5-4A62-953A-36F84B2E13D7}" destId="{BA6A443D-3BE4-4839-8D75-E45D5AE05732}" srcOrd="0" destOrd="0" presId="urn:microsoft.com/office/officeart/2005/8/layout/cycle8"/>
    <dgm:cxn modelId="{D2530526-F03C-408A-B83D-6545221D4AD4}" type="presOf" srcId="{BA8FD4EF-6495-4B9F-AE8A-54D5688A71F9}" destId="{E3C9FEAF-3F8A-4333-9925-03BD8BB7F74E}" srcOrd="1" destOrd="0" presId="urn:microsoft.com/office/officeart/2005/8/layout/cycle8"/>
    <dgm:cxn modelId="{E0DB7F9C-20D9-4C80-9EB9-CC16E00460B4}" type="presOf" srcId="{29462E34-AD9B-4624-979F-CC8094D7905B}" destId="{A508F367-8EE2-4B54-A372-847AD56ED063}" srcOrd="1" destOrd="0" presId="urn:microsoft.com/office/officeart/2005/8/layout/cycle8"/>
    <dgm:cxn modelId="{92851568-CEF9-4339-A322-66A0912E4530}" type="presOf" srcId="{BA8FD4EF-6495-4B9F-AE8A-54D5688A71F9}" destId="{8284DDB0-12E5-415F-BDB4-8483B50D29BD}" srcOrd="0" destOrd="0" presId="urn:microsoft.com/office/officeart/2005/8/layout/cycle8"/>
    <dgm:cxn modelId="{DC1608AA-26E5-46B5-B5B0-0C07F1028019}" type="presOf" srcId="{4062395A-98B5-4A62-953A-36F84B2E13D7}" destId="{004BE69B-0470-47EB-8ADD-1BC1C50FFAC8}" srcOrd="1" destOrd="0" presId="urn:microsoft.com/office/officeart/2005/8/layout/cycle8"/>
    <dgm:cxn modelId="{5A0F8289-01D6-4E7C-81E6-5E4210036855}" srcId="{070FC157-A509-4AA0-A10D-D33056171CAB}" destId="{C43D0337-CF3F-44E6-A243-3A5D71686CC9}" srcOrd="0" destOrd="0" parTransId="{E8BD6DD6-7DF2-48F7-BCFC-51F922EC58FE}" sibTransId="{9190FFAE-C31A-4C87-B2BB-6FC97DCF32D6}"/>
    <dgm:cxn modelId="{BE718B06-DD6A-4FDB-B52D-BA95285E74AA}" type="presOf" srcId="{C43D0337-CF3F-44E6-A243-3A5D71686CC9}" destId="{C648834F-9CB9-412C-9B3A-6D184147BB8A}" srcOrd="0" destOrd="0" presId="urn:microsoft.com/office/officeart/2005/8/layout/cycle8"/>
    <dgm:cxn modelId="{EF87A53D-7BAA-47FE-9F85-8BCA90C08A5D}" type="presOf" srcId="{070FC157-A509-4AA0-A10D-D33056171CAB}" destId="{07E7D89D-4684-4B90-AEF1-971E8CBDE8F2}" srcOrd="0" destOrd="0" presId="urn:microsoft.com/office/officeart/2005/8/layout/cycle8"/>
    <dgm:cxn modelId="{3CEE60E5-01DF-4D6A-ADEC-DEE35B106BDF}" srcId="{070FC157-A509-4AA0-A10D-D33056171CAB}" destId="{BA8FD4EF-6495-4B9F-AE8A-54D5688A71F9}" srcOrd="2" destOrd="0" parTransId="{99F1F3D5-52A0-477E-A9DA-A8736CF32AA9}" sibTransId="{1ABB47CA-149A-48BB-BC28-5A284C02A8DD}"/>
    <dgm:cxn modelId="{354CEB45-D919-4ED3-BC99-D251A1141A28}" type="presOf" srcId="{C43D0337-CF3F-44E6-A243-3A5D71686CC9}" destId="{142DB91C-05B2-411B-B1BB-433AE62413C8}" srcOrd="1" destOrd="0" presId="urn:microsoft.com/office/officeart/2005/8/layout/cycle8"/>
    <dgm:cxn modelId="{5367C8AF-4282-44FD-9616-34B2FD7956EC}" srcId="{070FC157-A509-4AA0-A10D-D33056171CAB}" destId="{4062395A-98B5-4A62-953A-36F84B2E13D7}" srcOrd="3" destOrd="0" parTransId="{2120215C-2B7A-4DF5-A379-175E2660B11B}" sibTransId="{CBE206CB-4883-49C3-A972-3122871E40A3}"/>
    <dgm:cxn modelId="{AEF25D07-5166-4F7F-8552-6D52656D57F5}" type="presParOf" srcId="{07E7D89D-4684-4B90-AEF1-971E8CBDE8F2}" destId="{C648834F-9CB9-412C-9B3A-6D184147BB8A}" srcOrd="0" destOrd="0" presId="urn:microsoft.com/office/officeart/2005/8/layout/cycle8"/>
    <dgm:cxn modelId="{77194A81-D588-4DA3-88B4-B1D17AEBC600}" type="presParOf" srcId="{07E7D89D-4684-4B90-AEF1-971E8CBDE8F2}" destId="{54E851CD-CCA3-416A-9E8E-B6AF3AE10989}" srcOrd="1" destOrd="0" presId="urn:microsoft.com/office/officeart/2005/8/layout/cycle8"/>
    <dgm:cxn modelId="{51BB0E8F-0AA0-492C-952C-06417D55BF02}" type="presParOf" srcId="{07E7D89D-4684-4B90-AEF1-971E8CBDE8F2}" destId="{923EF33E-E5C3-4C7B-8A8B-154320D62A75}" srcOrd="2" destOrd="0" presId="urn:microsoft.com/office/officeart/2005/8/layout/cycle8"/>
    <dgm:cxn modelId="{DADC5588-29A7-4607-9E0C-D86779B98177}" type="presParOf" srcId="{07E7D89D-4684-4B90-AEF1-971E8CBDE8F2}" destId="{142DB91C-05B2-411B-B1BB-433AE62413C8}" srcOrd="3" destOrd="0" presId="urn:microsoft.com/office/officeart/2005/8/layout/cycle8"/>
    <dgm:cxn modelId="{8191F04C-957E-4810-BBA6-D2A601AB81F9}" type="presParOf" srcId="{07E7D89D-4684-4B90-AEF1-971E8CBDE8F2}" destId="{3BEC9161-47F3-4275-ABA4-D8C036DA21FE}" srcOrd="4" destOrd="0" presId="urn:microsoft.com/office/officeart/2005/8/layout/cycle8"/>
    <dgm:cxn modelId="{72914AF0-2045-4907-8C48-A60A643C69D2}" type="presParOf" srcId="{07E7D89D-4684-4B90-AEF1-971E8CBDE8F2}" destId="{2F44202F-C49B-4945-85BE-0E2D122188F3}" srcOrd="5" destOrd="0" presId="urn:microsoft.com/office/officeart/2005/8/layout/cycle8"/>
    <dgm:cxn modelId="{23EEA7FE-6D1C-460F-A31F-DD95D7AD99D9}" type="presParOf" srcId="{07E7D89D-4684-4B90-AEF1-971E8CBDE8F2}" destId="{07A206BB-4FC1-485E-AFF9-033D228DAD91}" srcOrd="6" destOrd="0" presId="urn:microsoft.com/office/officeart/2005/8/layout/cycle8"/>
    <dgm:cxn modelId="{357F6F7B-FA99-4121-8ED1-750FA6FE14BD}" type="presParOf" srcId="{07E7D89D-4684-4B90-AEF1-971E8CBDE8F2}" destId="{A508F367-8EE2-4B54-A372-847AD56ED063}" srcOrd="7" destOrd="0" presId="urn:microsoft.com/office/officeart/2005/8/layout/cycle8"/>
    <dgm:cxn modelId="{0ACE0E6B-4360-4454-923A-C465504BFF87}" type="presParOf" srcId="{07E7D89D-4684-4B90-AEF1-971E8CBDE8F2}" destId="{8284DDB0-12E5-415F-BDB4-8483B50D29BD}" srcOrd="8" destOrd="0" presId="urn:microsoft.com/office/officeart/2005/8/layout/cycle8"/>
    <dgm:cxn modelId="{6EA2F48E-2C5A-4706-BD16-77139C41EDE9}" type="presParOf" srcId="{07E7D89D-4684-4B90-AEF1-971E8CBDE8F2}" destId="{81CF7854-BA3A-4464-8ED5-0CC22BF79BEF}" srcOrd="9" destOrd="0" presId="urn:microsoft.com/office/officeart/2005/8/layout/cycle8"/>
    <dgm:cxn modelId="{7E3255E5-D19D-43A0-8B0D-800386EFC615}" type="presParOf" srcId="{07E7D89D-4684-4B90-AEF1-971E8CBDE8F2}" destId="{2EDDE903-E095-4C2F-8A96-ED6ED2E6CFDF}" srcOrd="10" destOrd="0" presId="urn:microsoft.com/office/officeart/2005/8/layout/cycle8"/>
    <dgm:cxn modelId="{5C91482A-2FB7-453E-91F6-C124FB23F94B}" type="presParOf" srcId="{07E7D89D-4684-4B90-AEF1-971E8CBDE8F2}" destId="{E3C9FEAF-3F8A-4333-9925-03BD8BB7F74E}" srcOrd="11" destOrd="0" presId="urn:microsoft.com/office/officeart/2005/8/layout/cycle8"/>
    <dgm:cxn modelId="{2B1DD907-BA27-47E6-8411-7A573F8BA231}" type="presParOf" srcId="{07E7D89D-4684-4B90-AEF1-971E8CBDE8F2}" destId="{BA6A443D-3BE4-4839-8D75-E45D5AE05732}" srcOrd="12" destOrd="0" presId="urn:microsoft.com/office/officeart/2005/8/layout/cycle8"/>
    <dgm:cxn modelId="{269892E2-CDB2-4DEC-BC9C-F97F179D0E00}" type="presParOf" srcId="{07E7D89D-4684-4B90-AEF1-971E8CBDE8F2}" destId="{EA3E3D34-C7DF-42DC-BAD8-2143CCE5331F}" srcOrd="13" destOrd="0" presId="urn:microsoft.com/office/officeart/2005/8/layout/cycle8"/>
    <dgm:cxn modelId="{95583C0A-7773-458A-9216-44F765911D07}" type="presParOf" srcId="{07E7D89D-4684-4B90-AEF1-971E8CBDE8F2}" destId="{FABD965B-96AE-47D6-B06A-E6252CD4944B}" srcOrd="14" destOrd="0" presId="urn:microsoft.com/office/officeart/2005/8/layout/cycle8"/>
    <dgm:cxn modelId="{CC188584-DFA7-4146-AEAF-49D1231AA1A9}" type="presParOf" srcId="{07E7D89D-4684-4B90-AEF1-971E8CBDE8F2}" destId="{004BE69B-0470-47EB-8ADD-1BC1C50FFAC8}" srcOrd="15" destOrd="0" presId="urn:microsoft.com/office/officeart/2005/8/layout/cycle8"/>
    <dgm:cxn modelId="{05D5257D-FADB-43AE-9D30-2B5F0BEFA005}" type="presParOf" srcId="{07E7D89D-4684-4B90-AEF1-971E8CBDE8F2}" destId="{65A2E432-5CFD-43D2-842A-63BA0291E0E1}" srcOrd="16" destOrd="0" presId="urn:microsoft.com/office/officeart/2005/8/layout/cycle8"/>
    <dgm:cxn modelId="{5BA326B2-D8C6-4BC7-AE71-268A4131C28A}" type="presParOf" srcId="{07E7D89D-4684-4B90-AEF1-971E8CBDE8F2}" destId="{D877EF1B-6778-447C-B953-0C3F4380D24F}" srcOrd="17" destOrd="0" presId="urn:microsoft.com/office/officeart/2005/8/layout/cycle8"/>
    <dgm:cxn modelId="{EFBA0CCF-043D-422F-9005-FF16D5931003}" type="presParOf" srcId="{07E7D89D-4684-4B90-AEF1-971E8CBDE8F2}" destId="{BBBEE6BB-1C5B-40B0-A5F6-71EE1DC748F0}" srcOrd="18" destOrd="0" presId="urn:microsoft.com/office/officeart/2005/8/layout/cycle8"/>
    <dgm:cxn modelId="{CED286F9-34D4-4F96-B6B9-0B53A355C51C}" type="presParOf" srcId="{07E7D89D-4684-4B90-AEF1-971E8CBDE8F2}" destId="{0C4C521D-BFD7-48A6-B382-F2D72BF76583}" srcOrd="19" destOrd="0" presId="urn:microsoft.com/office/officeart/2005/8/layout/cycle8"/>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6392BD-E9F5-4B6C-9D28-5F1CB81682B2}">
      <dsp:nvSpPr>
        <dsp:cNvPr id="0" name=""/>
        <dsp:cNvSpPr/>
      </dsp:nvSpPr>
      <dsp:spPr>
        <a:xfrm rot="5400000">
          <a:off x="-121986" y="122218"/>
          <a:ext cx="813240" cy="569268"/>
        </a:xfrm>
        <a:prstGeom prst="chevron">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b="1" u="none" kern="1200">
              <a:solidFill>
                <a:schemeClr val="tx1"/>
              </a:solidFill>
              <a:latin typeface="Times New Roman" pitchFamily="18" charset="0"/>
              <a:cs typeface="Times New Roman" pitchFamily="18" charset="0"/>
            </a:rPr>
            <a:t>Political </a:t>
          </a:r>
          <a:endParaRPr lang="en-US" sz="600" b="1" kern="1200">
            <a:solidFill>
              <a:schemeClr val="tx1"/>
            </a:solidFill>
            <a:latin typeface="Times New Roman" pitchFamily="18" charset="0"/>
            <a:cs typeface="Times New Roman" pitchFamily="18" charset="0"/>
          </a:endParaRPr>
        </a:p>
      </dsp:txBody>
      <dsp:txXfrm rot="-5400000">
        <a:off x="0" y="284866"/>
        <a:ext cx="569268" cy="243972"/>
      </dsp:txXfrm>
    </dsp:sp>
    <dsp:sp modelId="{EF294556-7D5C-48F9-B448-8F18B07E2482}">
      <dsp:nvSpPr>
        <dsp:cNvPr id="0" name=""/>
        <dsp:cNvSpPr/>
      </dsp:nvSpPr>
      <dsp:spPr>
        <a:xfrm rot="5400000">
          <a:off x="2887038" y="-2317538"/>
          <a:ext cx="528606" cy="5164146"/>
        </a:xfrm>
        <a:prstGeom prst="round2Same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b="0" i="0" u="none" kern="1200">
              <a:solidFill>
                <a:schemeClr val="tx1"/>
              </a:solidFill>
              <a:latin typeface="Times New Roman" pitchFamily="18" charset="0"/>
              <a:cs typeface="Times New Roman" pitchFamily="18" charset="0"/>
            </a:rPr>
            <a:t>Unstable political conditions</a:t>
          </a:r>
          <a:endParaRPr lang="en-US" sz="1000" b="1" kern="1200">
            <a:solidFill>
              <a:schemeClr val="tx1"/>
            </a:solidFill>
            <a:latin typeface="Times New Roman" pitchFamily="18" charset="0"/>
            <a:cs typeface="Times New Roman" pitchFamily="18" charset="0"/>
          </a:endParaRPr>
        </a:p>
        <a:p>
          <a:pPr marL="57150" lvl="1" indent="-57150" algn="l" defTabSz="444500">
            <a:lnSpc>
              <a:spcPct val="90000"/>
            </a:lnSpc>
            <a:spcBef>
              <a:spcPct val="0"/>
            </a:spcBef>
            <a:spcAft>
              <a:spcPct val="15000"/>
            </a:spcAft>
            <a:buChar char="••"/>
          </a:pPr>
          <a:r>
            <a:rPr lang="en-US" sz="1000" b="0" i="0" u="none" kern="1200">
              <a:solidFill>
                <a:schemeClr val="tx1"/>
              </a:solidFill>
              <a:latin typeface="Times New Roman" pitchFamily="18" charset="0"/>
              <a:cs typeface="Times New Roman" pitchFamily="18" charset="0"/>
            </a:rPr>
            <a:t>Brexit issue</a:t>
          </a:r>
          <a:endParaRPr lang="en-US" sz="1000" b="1" kern="1200">
            <a:solidFill>
              <a:schemeClr val="tx1"/>
            </a:solidFill>
            <a:latin typeface="Times New Roman" pitchFamily="18" charset="0"/>
            <a:cs typeface="Times New Roman" pitchFamily="18" charset="0"/>
          </a:endParaRPr>
        </a:p>
        <a:p>
          <a:pPr marL="57150" lvl="1" indent="-57150" algn="l" defTabSz="444500">
            <a:lnSpc>
              <a:spcPct val="90000"/>
            </a:lnSpc>
            <a:spcBef>
              <a:spcPct val="0"/>
            </a:spcBef>
            <a:spcAft>
              <a:spcPct val="15000"/>
            </a:spcAft>
            <a:buChar char="••"/>
          </a:pPr>
          <a:r>
            <a:rPr lang="en-US" sz="1000" b="0" i="0" u="none" kern="1200">
              <a:solidFill>
                <a:schemeClr val="tx1"/>
              </a:solidFill>
              <a:latin typeface="Times New Roman" pitchFamily="18" charset="0"/>
              <a:cs typeface="Times New Roman" pitchFamily="18" charset="0"/>
            </a:rPr>
            <a:t>Free trading policy </a:t>
          </a:r>
          <a:endParaRPr lang="en-US" sz="1000" b="1" kern="1200">
            <a:solidFill>
              <a:schemeClr val="tx1"/>
            </a:solidFill>
            <a:latin typeface="Times New Roman" pitchFamily="18" charset="0"/>
            <a:cs typeface="Times New Roman" pitchFamily="18" charset="0"/>
          </a:endParaRPr>
        </a:p>
      </dsp:txBody>
      <dsp:txXfrm rot="-5400000">
        <a:off x="569268" y="26036"/>
        <a:ext cx="5138342" cy="476998"/>
      </dsp:txXfrm>
    </dsp:sp>
    <dsp:sp modelId="{700C0980-A7BB-441B-8F2C-E3BE0595BDD1}">
      <dsp:nvSpPr>
        <dsp:cNvPr id="0" name=""/>
        <dsp:cNvSpPr/>
      </dsp:nvSpPr>
      <dsp:spPr>
        <a:xfrm rot="5400000">
          <a:off x="-121986" y="836064"/>
          <a:ext cx="813240" cy="569268"/>
        </a:xfrm>
        <a:prstGeom prst="chevron">
          <a:avLst/>
        </a:prstGeom>
        <a:solidFill>
          <a:schemeClr val="accent3">
            <a:hueOff val="2250053"/>
            <a:satOff val="-3376"/>
            <a:lumOff val="-549"/>
            <a:alphaOff val="0"/>
          </a:schemeClr>
        </a:solidFill>
        <a:ln w="25400" cap="flat" cmpd="sng" algn="ctr">
          <a:solidFill>
            <a:schemeClr val="accent3">
              <a:hueOff val="2250053"/>
              <a:satOff val="-3376"/>
              <a:lumOff val="-549"/>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b="1" u="none" kern="1200">
              <a:solidFill>
                <a:schemeClr val="tx1"/>
              </a:solidFill>
              <a:latin typeface="Times New Roman" pitchFamily="18" charset="0"/>
              <a:cs typeface="Times New Roman" pitchFamily="18" charset="0"/>
            </a:rPr>
            <a:t>Economic </a:t>
          </a:r>
        </a:p>
      </dsp:txBody>
      <dsp:txXfrm rot="-5400000">
        <a:off x="0" y="998712"/>
        <a:ext cx="569268" cy="243972"/>
      </dsp:txXfrm>
    </dsp:sp>
    <dsp:sp modelId="{2257E21D-5E35-4E6A-A716-82BED39AC227}">
      <dsp:nvSpPr>
        <dsp:cNvPr id="0" name=""/>
        <dsp:cNvSpPr/>
      </dsp:nvSpPr>
      <dsp:spPr>
        <a:xfrm rot="5400000">
          <a:off x="2887038" y="-1603691"/>
          <a:ext cx="528606" cy="5164146"/>
        </a:xfrm>
        <a:prstGeom prst="round2SameRect">
          <a:avLst/>
        </a:prstGeom>
        <a:solidFill>
          <a:schemeClr val="lt1">
            <a:alpha val="90000"/>
            <a:hueOff val="0"/>
            <a:satOff val="0"/>
            <a:lumOff val="0"/>
            <a:alphaOff val="0"/>
          </a:schemeClr>
        </a:solidFill>
        <a:ln w="25400" cap="flat" cmpd="sng" algn="ctr">
          <a:solidFill>
            <a:schemeClr val="accent3">
              <a:hueOff val="2250053"/>
              <a:satOff val="-3376"/>
              <a:lumOff val="-549"/>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b="0" i="0" u="none" kern="1200">
              <a:solidFill>
                <a:schemeClr val="tx1"/>
              </a:solidFill>
              <a:latin typeface="Times New Roman" pitchFamily="18" charset="0"/>
              <a:cs typeface="Times New Roman" pitchFamily="18" charset="0"/>
            </a:rPr>
            <a:t>GDP has been increased by 2.1% (ons.gov.uk,2020)</a:t>
          </a:r>
          <a:endParaRPr lang="en-US" sz="1000" b="1" kern="1200">
            <a:solidFill>
              <a:schemeClr val="tx1"/>
            </a:solidFill>
            <a:latin typeface="Times New Roman" pitchFamily="18" charset="0"/>
            <a:cs typeface="Times New Roman" pitchFamily="18" charset="0"/>
          </a:endParaRPr>
        </a:p>
        <a:p>
          <a:pPr marL="57150" lvl="1" indent="-57150" algn="l" defTabSz="444500">
            <a:lnSpc>
              <a:spcPct val="90000"/>
            </a:lnSpc>
            <a:spcBef>
              <a:spcPct val="0"/>
            </a:spcBef>
            <a:spcAft>
              <a:spcPct val="15000"/>
            </a:spcAft>
            <a:buChar char="••"/>
          </a:pPr>
          <a:r>
            <a:rPr lang="en-US" sz="1000" b="0" i="0" u="none" kern="1200">
              <a:solidFill>
                <a:schemeClr val="tx1"/>
              </a:solidFill>
              <a:latin typeface="Times New Roman" pitchFamily="18" charset="0"/>
              <a:cs typeface="Times New Roman" pitchFamily="18" charset="0"/>
            </a:rPr>
            <a:t>inflation rate in UK has increased by 2.02% (statista.com, 2020)</a:t>
          </a:r>
          <a:endParaRPr lang="en-US" sz="1000" b="1" kern="1200">
            <a:solidFill>
              <a:schemeClr val="tx1"/>
            </a:solidFill>
            <a:latin typeface="Times New Roman" pitchFamily="18" charset="0"/>
            <a:cs typeface="Times New Roman" pitchFamily="18" charset="0"/>
          </a:endParaRPr>
        </a:p>
      </dsp:txBody>
      <dsp:txXfrm rot="-5400000">
        <a:off x="569268" y="739883"/>
        <a:ext cx="5138342" cy="476998"/>
      </dsp:txXfrm>
    </dsp:sp>
    <dsp:sp modelId="{733B5ADF-5A31-4354-BD11-CF6B75E191AA}">
      <dsp:nvSpPr>
        <dsp:cNvPr id="0" name=""/>
        <dsp:cNvSpPr/>
      </dsp:nvSpPr>
      <dsp:spPr>
        <a:xfrm rot="5400000">
          <a:off x="-121986" y="1549911"/>
          <a:ext cx="813240" cy="569268"/>
        </a:xfrm>
        <a:prstGeom prst="chevron">
          <a:avLst/>
        </a:prstGeom>
        <a:solidFill>
          <a:schemeClr val="accent3">
            <a:hueOff val="4500106"/>
            <a:satOff val="-6752"/>
            <a:lumOff val="-1098"/>
            <a:alphaOff val="0"/>
          </a:schemeClr>
        </a:solidFill>
        <a:ln w="25400" cap="flat" cmpd="sng" algn="ctr">
          <a:solidFill>
            <a:schemeClr val="accent3">
              <a:hueOff val="4500106"/>
              <a:satOff val="-6752"/>
              <a:lumOff val="-1098"/>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u="none" kern="1200">
              <a:solidFill>
                <a:schemeClr val="tx1"/>
              </a:solidFill>
              <a:latin typeface="Times New Roman" pitchFamily="18" charset="0"/>
              <a:cs typeface="Times New Roman" pitchFamily="18" charset="0"/>
            </a:rPr>
            <a:t>Social </a:t>
          </a:r>
        </a:p>
      </dsp:txBody>
      <dsp:txXfrm rot="-5400000">
        <a:off x="0" y="1712559"/>
        <a:ext cx="569268" cy="243972"/>
      </dsp:txXfrm>
    </dsp:sp>
    <dsp:sp modelId="{2F4117F1-2C03-4834-99FE-2646DA2B1D31}">
      <dsp:nvSpPr>
        <dsp:cNvPr id="0" name=""/>
        <dsp:cNvSpPr/>
      </dsp:nvSpPr>
      <dsp:spPr>
        <a:xfrm rot="5400000">
          <a:off x="2887038" y="-889844"/>
          <a:ext cx="528606" cy="5164146"/>
        </a:xfrm>
        <a:prstGeom prst="round2SameRect">
          <a:avLst/>
        </a:prstGeom>
        <a:solidFill>
          <a:schemeClr val="lt1">
            <a:alpha val="90000"/>
            <a:hueOff val="0"/>
            <a:satOff val="0"/>
            <a:lumOff val="0"/>
            <a:alphaOff val="0"/>
          </a:schemeClr>
        </a:solidFill>
        <a:ln w="25400" cap="flat" cmpd="sng" algn="ctr">
          <a:solidFill>
            <a:schemeClr val="accent3">
              <a:hueOff val="4500106"/>
              <a:satOff val="-6752"/>
              <a:lumOff val="-109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b="0" i="0" u="none" kern="1200">
              <a:solidFill>
                <a:schemeClr val="tx1"/>
              </a:solidFill>
              <a:latin typeface="Times New Roman" pitchFamily="18" charset="0"/>
              <a:cs typeface="Times New Roman" pitchFamily="18" charset="0"/>
            </a:rPr>
            <a:t>Stable and less crime activities </a:t>
          </a:r>
          <a:endParaRPr lang="en-US" sz="1000" b="1" kern="1200">
            <a:solidFill>
              <a:schemeClr val="tx1"/>
            </a:solidFill>
            <a:latin typeface="Times New Roman" pitchFamily="18" charset="0"/>
            <a:cs typeface="Times New Roman" pitchFamily="18" charset="0"/>
          </a:endParaRPr>
        </a:p>
        <a:p>
          <a:pPr marL="57150" lvl="1" indent="-57150" algn="l" defTabSz="444500">
            <a:lnSpc>
              <a:spcPct val="90000"/>
            </a:lnSpc>
            <a:spcBef>
              <a:spcPct val="0"/>
            </a:spcBef>
            <a:spcAft>
              <a:spcPct val="15000"/>
            </a:spcAft>
            <a:buChar char="••"/>
          </a:pPr>
          <a:r>
            <a:rPr lang="en-US" sz="1000" b="0" i="0" u="none" kern="1200">
              <a:solidFill>
                <a:schemeClr val="tx1"/>
              </a:solidFill>
              <a:latin typeface="Times New Roman" pitchFamily="18" charset="0"/>
              <a:cs typeface="Times New Roman" pitchFamily="18" charset="0"/>
            </a:rPr>
            <a:t>Manufacturing sales value of fruit jellies and jams in UK has increased by £ 6123 millions (statista.com, 2020)</a:t>
          </a:r>
          <a:endParaRPr lang="en-US" sz="1000" b="1" kern="1200">
            <a:solidFill>
              <a:schemeClr val="tx1"/>
            </a:solidFill>
            <a:latin typeface="Times New Roman" pitchFamily="18" charset="0"/>
            <a:cs typeface="Times New Roman" pitchFamily="18" charset="0"/>
          </a:endParaRPr>
        </a:p>
      </dsp:txBody>
      <dsp:txXfrm rot="-5400000">
        <a:off x="569268" y="1453730"/>
        <a:ext cx="5138342" cy="476998"/>
      </dsp:txXfrm>
    </dsp:sp>
    <dsp:sp modelId="{DBE11D0A-8069-4503-A60C-8970C770CE2B}">
      <dsp:nvSpPr>
        <dsp:cNvPr id="0" name=""/>
        <dsp:cNvSpPr/>
      </dsp:nvSpPr>
      <dsp:spPr>
        <a:xfrm rot="5400000">
          <a:off x="-121986" y="2263758"/>
          <a:ext cx="813240" cy="569268"/>
        </a:xfrm>
        <a:prstGeom prst="chevron">
          <a:avLst/>
        </a:prstGeom>
        <a:solidFill>
          <a:schemeClr val="accent3">
            <a:hueOff val="6750158"/>
            <a:satOff val="-10128"/>
            <a:lumOff val="-1647"/>
            <a:alphaOff val="0"/>
          </a:schemeClr>
        </a:solidFill>
        <a:ln w="25400" cap="flat" cmpd="sng" algn="ctr">
          <a:solidFill>
            <a:schemeClr val="accent3">
              <a:hueOff val="6750158"/>
              <a:satOff val="-10128"/>
              <a:lumOff val="-1647"/>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b="1" u="none" kern="1200">
              <a:solidFill>
                <a:schemeClr val="tx1"/>
              </a:solidFill>
              <a:latin typeface="Times New Roman" pitchFamily="18" charset="0"/>
              <a:cs typeface="Times New Roman" pitchFamily="18" charset="0"/>
            </a:rPr>
            <a:t>Technological </a:t>
          </a:r>
        </a:p>
      </dsp:txBody>
      <dsp:txXfrm rot="-5400000">
        <a:off x="0" y="2426406"/>
        <a:ext cx="569268" cy="243972"/>
      </dsp:txXfrm>
    </dsp:sp>
    <dsp:sp modelId="{607CCEC4-17F3-43FD-A5AB-7F7722C3EC2C}">
      <dsp:nvSpPr>
        <dsp:cNvPr id="0" name=""/>
        <dsp:cNvSpPr/>
      </dsp:nvSpPr>
      <dsp:spPr>
        <a:xfrm rot="5400000">
          <a:off x="2887038" y="-175998"/>
          <a:ext cx="528606" cy="5164146"/>
        </a:xfrm>
        <a:prstGeom prst="round2SameRect">
          <a:avLst/>
        </a:prstGeom>
        <a:solidFill>
          <a:schemeClr val="lt1">
            <a:alpha val="90000"/>
            <a:hueOff val="0"/>
            <a:satOff val="0"/>
            <a:lumOff val="0"/>
            <a:alphaOff val="0"/>
          </a:schemeClr>
        </a:solidFill>
        <a:ln w="25400" cap="flat" cmpd="sng" algn="ctr">
          <a:solidFill>
            <a:schemeClr val="accent3">
              <a:hueOff val="6750158"/>
              <a:satOff val="-10128"/>
              <a:lumOff val="-164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b="0" i="0" u="none" kern="1200">
              <a:solidFill>
                <a:schemeClr val="tx1"/>
              </a:solidFill>
              <a:latin typeface="Times New Roman" pitchFamily="18" charset="0"/>
              <a:cs typeface="Times New Roman" pitchFamily="18" charset="0"/>
            </a:rPr>
            <a:t>UK government has invested £ 10.1 billion in 2019 (telegraph.co.uk, 2019)</a:t>
          </a:r>
          <a:endParaRPr lang="en-US" sz="1000" b="1" kern="1200">
            <a:solidFill>
              <a:schemeClr val="tx1"/>
            </a:solidFill>
            <a:latin typeface="Times New Roman" pitchFamily="18" charset="0"/>
            <a:cs typeface="Times New Roman" pitchFamily="18" charset="0"/>
          </a:endParaRPr>
        </a:p>
      </dsp:txBody>
      <dsp:txXfrm rot="-5400000">
        <a:off x="569268" y="2167576"/>
        <a:ext cx="5138342" cy="476998"/>
      </dsp:txXfrm>
    </dsp:sp>
    <dsp:sp modelId="{21D2B5F3-D33F-4263-8507-155042DF910D}">
      <dsp:nvSpPr>
        <dsp:cNvPr id="0" name=""/>
        <dsp:cNvSpPr/>
      </dsp:nvSpPr>
      <dsp:spPr>
        <a:xfrm rot="5400000">
          <a:off x="-121986" y="2977604"/>
          <a:ext cx="813240" cy="569268"/>
        </a:xfrm>
        <a:prstGeom prst="chevron">
          <a:avLst/>
        </a:prstGeom>
        <a:solidFill>
          <a:schemeClr val="accent3">
            <a:hueOff val="9000211"/>
            <a:satOff val="-13504"/>
            <a:lumOff val="-2196"/>
            <a:alphaOff val="0"/>
          </a:schemeClr>
        </a:solidFill>
        <a:ln w="25400" cap="flat" cmpd="sng" algn="ctr">
          <a:solidFill>
            <a:schemeClr val="accent3">
              <a:hueOff val="9000211"/>
              <a:satOff val="-13504"/>
              <a:lumOff val="-2196"/>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b="1" u="none" kern="1200">
              <a:solidFill>
                <a:schemeClr val="tx1"/>
              </a:solidFill>
              <a:latin typeface="Times New Roman" pitchFamily="18" charset="0"/>
              <a:cs typeface="Times New Roman" pitchFamily="18" charset="0"/>
            </a:rPr>
            <a:t>Legal </a:t>
          </a:r>
        </a:p>
      </dsp:txBody>
      <dsp:txXfrm rot="-5400000">
        <a:off x="0" y="3140252"/>
        <a:ext cx="569268" cy="243972"/>
      </dsp:txXfrm>
    </dsp:sp>
    <dsp:sp modelId="{D82D69AF-5A31-46AD-9891-44DD33FAE676}">
      <dsp:nvSpPr>
        <dsp:cNvPr id="0" name=""/>
        <dsp:cNvSpPr/>
      </dsp:nvSpPr>
      <dsp:spPr>
        <a:xfrm rot="5400000">
          <a:off x="2887038" y="528323"/>
          <a:ext cx="528606" cy="5164146"/>
        </a:xfrm>
        <a:prstGeom prst="round2SameRect">
          <a:avLst/>
        </a:prstGeom>
        <a:solidFill>
          <a:schemeClr val="lt1">
            <a:alpha val="90000"/>
            <a:hueOff val="0"/>
            <a:satOff val="0"/>
            <a:lumOff val="0"/>
            <a:alphaOff val="0"/>
          </a:schemeClr>
        </a:solidFill>
        <a:ln w="25400" cap="flat" cmpd="sng" algn="ctr">
          <a:solidFill>
            <a:schemeClr val="accent3">
              <a:hueOff val="9000211"/>
              <a:satOff val="-13504"/>
              <a:lumOff val="-219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b="0" i="0" u="none" kern="1200">
              <a:solidFill>
                <a:schemeClr val="tx1"/>
              </a:solidFill>
              <a:latin typeface="Times New Roman" pitchFamily="18" charset="0"/>
              <a:cs typeface="Times New Roman" pitchFamily="18" charset="0"/>
            </a:rPr>
            <a:t>Introduction of a national minimum wage (NMW) </a:t>
          </a:r>
          <a:endParaRPr lang="en-US" sz="1000" b="1" kern="1200">
            <a:solidFill>
              <a:schemeClr val="tx1"/>
            </a:solidFill>
            <a:latin typeface="Times New Roman" pitchFamily="18" charset="0"/>
            <a:cs typeface="Times New Roman" pitchFamily="18" charset="0"/>
          </a:endParaRPr>
        </a:p>
        <a:p>
          <a:pPr marL="57150" lvl="1" indent="-57150" algn="l" defTabSz="444500">
            <a:lnSpc>
              <a:spcPct val="90000"/>
            </a:lnSpc>
            <a:spcBef>
              <a:spcPct val="0"/>
            </a:spcBef>
            <a:spcAft>
              <a:spcPct val="15000"/>
            </a:spcAft>
            <a:buChar char="••"/>
          </a:pPr>
          <a:r>
            <a:rPr lang="en-US" sz="1000" b="0" i="0" u="none" kern="1200">
              <a:solidFill>
                <a:schemeClr val="tx1"/>
              </a:solidFill>
              <a:latin typeface="Times New Roman" pitchFamily="18" charset="0"/>
              <a:cs typeface="Times New Roman" pitchFamily="18" charset="0"/>
            </a:rPr>
            <a:t>NMW for an employee aged over 25 years is £8.72/hour (Gov.uk, 2020)</a:t>
          </a:r>
          <a:endParaRPr lang="en-US" sz="1000" b="1" kern="1200">
            <a:solidFill>
              <a:schemeClr val="tx1"/>
            </a:solidFill>
            <a:latin typeface="Times New Roman" pitchFamily="18" charset="0"/>
            <a:cs typeface="Times New Roman" pitchFamily="18" charset="0"/>
          </a:endParaRPr>
        </a:p>
      </dsp:txBody>
      <dsp:txXfrm rot="-5400000">
        <a:off x="569268" y="2871897"/>
        <a:ext cx="5138342" cy="476998"/>
      </dsp:txXfrm>
    </dsp:sp>
    <dsp:sp modelId="{E8E7C0B0-B84B-4CB3-805A-47EFFEA18001}">
      <dsp:nvSpPr>
        <dsp:cNvPr id="0" name=""/>
        <dsp:cNvSpPr/>
      </dsp:nvSpPr>
      <dsp:spPr>
        <a:xfrm rot="5400000">
          <a:off x="-121986" y="3691451"/>
          <a:ext cx="813240" cy="569268"/>
        </a:xfrm>
        <a:prstGeom prst="chevron">
          <a:avLst/>
        </a:prstGeom>
        <a:solidFill>
          <a:schemeClr val="accent3">
            <a:hueOff val="11250264"/>
            <a:satOff val="-16880"/>
            <a:lumOff val="-2745"/>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b="1" u="none" kern="1200">
              <a:solidFill>
                <a:schemeClr val="tx1"/>
              </a:solidFill>
              <a:latin typeface="Times New Roman" pitchFamily="18" charset="0"/>
              <a:cs typeface="Times New Roman" pitchFamily="18" charset="0"/>
            </a:rPr>
            <a:t>Environmental </a:t>
          </a:r>
        </a:p>
      </dsp:txBody>
      <dsp:txXfrm rot="-5400000">
        <a:off x="0" y="3854099"/>
        <a:ext cx="569268" cy="243972"/>
      </dsp:txXfrm>
    </dsp:sp>
    <dsp:sp modelId="{4BD02A08-9987-4997-9B83-B7269AC6D92E}">
      <dsp:nvSpPr>
        <dsp:cNvPr id="0" name=""/>
        <dsp:cNvSpPr/>
      </dsp:nvSpPr>
      <dsp:spPr>
        <a:xfrm rot="5400000">
          <a:off x="2887038" y="1251695"/>
          <a:ext cx="528606" cy="5164146"/>
        </a:xfrm>
        <a:prstGeom prst="round2SameRect">
          <a:avLst/>
        </a:prstGeom>
        <a:solidFill>
          <a:schemeClr val="lt1">
            <a:alpha val="90000"/>
            <a:hueOff val="0"/>
            <a:satOff val="0"/>
            <a:lumOff val="0"/>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b="0" i="0" u="none" kern="1200">
              <a:solidFill>
                <a:schemeClr val="tx1"/>
              </a:solidFill>
              <a:latin typeface="Times New Roman" pitchFamily="18" charset="0"/>
              <a:cs typeface="Times New Roman" pitchFamily="18" charset="0"/>
            </a:rPr>
            <a:t>Presence of sustainable policies as well as CSR activities among the SMEs in UK</a:t>
          </a:r>
          <a:endParaRPr lang="en-US" sz="1000" b="1" kern="1200">
            <a:solidFill>
              <a:schemeClr val="tx1"/>
            </a:solidFill>
            <a:latin typeface="Times New Roman" pitchFamily="18" charset="0"/>
            <a:cs typeface="Times New Roman" pitchFamily="18" charset="0"/>
          </a:endParaRPr>
        </a:p>
      </dsp:txBody>
      <dsp:txXfrm rot="-5400000">
        <a:off x="569268" y="3595269"/>
        <a:ext cx="5138342" cy="47699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945ED9-44E7-4C2C-8CE0-99CE8B78E0B5}">
      <dsp:nvSpPr>
        <dsp:cNvPr id="0" name=""/>
        <dsp:cNvSpPr/>
      </dsp:nvSpPr>
      <dsp:spPr>
        <a:xfrm>
          <a:off x="939818" y="0"/>
          <a:ext cx="3853779" cy="3853779"/>
        </a:xfrm>
        <a:prstGeom prst="quadArrow">
          <a:avLst>
            <a:gd name="adj1" fmla="val 2000"/>
            <a:gd name="adj2" fmla="val 4000"/>
            <a:gd name="adj3" fmla="val 5000"/>
          </a:avLst>
        </a:prstGeom>
        <a:solidFill>
          <a:schemeClr val="accent3">
            <a:tint val="4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sp>
    <dsp:sp modelId="{3A4796C9-C70C-4968-8E06-84BEFB12DE77}">
      <dsp:nvSpPr>
        <dsp:cNvPr id="0" name=""/>
        <dsp:cNvSpPr/>
      </dsp:nvSpPr>
      <dsp:spPr>
        <a:xfrm>
          <a:off x="1190313" y="250495"/>
          <a:ext cx="1541511" cy="1541511"/>
        </a:xfrm>
        <a:prstGeom prst="roundRect">
          <a:avLst/>
        </a:prstGeom>
        <a:gradFill rotWithShape="0">
          <a:gsLst>
            <a:gs pos="0">
              <a:schemeClr val="accent3">
                <a:shade val="80000"/>
                <a:hueOff val="0"/>
                <a:satOff val="0"/>
                <a:lumOff val="0"/>
                <a:alphaOff val="0"/>
                <a:tint val="50000"/>
                <a:satMod val="300000"/>
              </a:schemeClr>
            </a:gs>
            <a:gs pos="35000">
              <a:schemeClr val="accent3">
                <a:shade val="80000"/>
                <a:hueOff val="0"/>
                <a:satOff val="0"/>
                <a:lumOff val="0"/>
                <a:alphaOff val="0"/>
                <a:tint val="37000"/>
                <a:satMod val="300000"/>
              </a:schemeClr>
            </a:gs>
            <a:gs pos="100000">
              <a:schemeClr val="accent3">
                <a:shade val="8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latin typeface="Times New Roman" pitchFamily="18" charset="0"/>
              <a:cs typeface="Times New Roman" pitchFamily="18" charset="0"/>
            </a:rPr>
            <a:t>Strengths</a:t>
          </a:r>
        </a:p>
        <a:p>
          <a:pPr lvl="0" algn="just" defTabSz="444500">
            <a:lnSpc>
              <a:spcPct val="90000"/>
            </a:lnSpc>
            <a:spcBef>
              <a:spcPct val="0"/>
            </a:spcBef>
            <a:spcAft>
              <a:spcPct val="35000"/>
            </a:spcAft>
          </a:pPr>
          <a:r>
            <a:rPr lang="en-US" sz="1000" b="0" i="0" u="none" kern="1200">
              <a:latin typeface="Times New Roman" pitchFamily="18" charset="0"/>
              <a:cs typeface="Times New Roman" pitchFamily="18" charset="0"/>
            </a:rPr>
            <a:t>wide range of food products</a:t>
          </a:r>
        </a:p>
        <a:p>
          <a:pPr lvl="0" algn="just" defTabSz="444500">
            <a:lnSpc>
              <a:spcPct val="90000"/>
            </a:lnSpc>
            <a:spcBef>
              <a:spcPct val="0"/>
            </a:spcBef>
            <a:spcAft>
              <a:spcPct val="35000"/>
            </a:spcAft>
          </a:pPr>
          <a:r>
            <a:rPr lang="en-US" sz="1000" b="0" i="0" u="none" kern="1200">
              <a:latin typeface="Times New Roman" pitchFamily="18" charset="0"/>
              <a:cs typeface="Times New Roman" pitchFamily="18" charset="0"/>
            </a:rPr>
            <a:t>accreditation from AABRC</a:t>
          </a:r>
        </a:p>
        <a:p>
          <a:pPr lvl="0" algn="just" defTabSz="444500">
            <a:lnSpc>
              <a:spcPct val="90000"/>
            </a:lnSpc>
            <a:spcBef>
              <a:spcPct val="0"/>
            </a:spcBef>
            <a:spcAft>
              <a:spcPct val="35000"/>
            </a:spcAft>
          </a:pPr>
          <a:r>
            <a:rPr lang="en-US" sz="1000" b="0" i="0" u="none" kern="1200">
              <a:latin typeface="Times New Roman" pitchFamily="18" charset="0"/>
              <a:cs typeface="Times New Roman" pitchFamily="18" charset="0"/>
            </a:rPr>
            <a:t>engagement of skilled workforce</a:t>
          </a:r>
          <a:r>
            <a:rPr lang="en-US" sz="1000" kern="1200">
              <a:latin typeface="Times New Roman" pitchFamily="18" charset="0"/>
              <a:cs typeface="Times New Roman" pitchFamily="18" charset="0"/>
            </a:rPr>
            <a:t>  </a:t>
          </a:r>
        </a:p>
      </dsp:txBody>
      <dsp:txXfrm>
        <a:off x="1265563" y="325745"/>
        <a:ext cx="1391011" cy="1391011"/>
      </dsp:txXfrm>
    </dsp:sp>
    <dsp:sp modelId="{5A0A16DB-0747-4CA0-B5FC-1930E56CDCDE}">
      <dsp:nvSpPr>
        <dsp:cNvPr id="0" name=""/>
        <dsp:cNvSpPr/>
      </dsp:nvSpPr>
      <dsp:spPr>
        <a:xfrm>
          <a:off x="3001589" y="250495"/>
          <a:ext cx="1541511" cy="1541511"/>
        </a:xfrm>
        <a:prstGeom prst="roundRect">
          <a:avLst/>
        </a:prstGeom>
        <a:gradFill rotWithShape="0">
          <a:gsLst>
            <a:gs pos="0">
              <a:schemeClr val="accent3">
                <a:shade val="80000"/>
                <a:hueOff val="72969"/>
                <a:satOff val="-477"/>
                <a:lumOff val="8185"/>
                <a:alphaOff val="0"/>
                <a:tint val="50000"/>
                <a:satMod val="300000"/>
              </a:schemeClr>
            </a:gs>
            <a:gs pos="35000">
              <a:schemeClr val="accent3">
                <a:shade val="80000"/>
                <a:hueOff val="72969"/>
                <a:satOff val="-477"/>
                <a:lumOff val="8185"/>
                <a:alphaOff val="0"/>
                <a:tint val="37000"/>
                <a:satMod val="300000"/>
              </a:schemeClr>
            </a:gs>
            <a:gs pos="100000">
              <a:schemeClr val="accent3">
                <a:shade val="80000"/>
                <a:hueOff val="72969"/>
                <a:satOff val="-477"/>
                <a:lumOff val="818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latin typeface="Times New Roman" pitchFamily="18" charset="0"/>
              <a:cs typeface="Times New Roman" pitchFamily="18" charset="0"/>
            </a:rPr>
            <a:t>Weaknesses</a:t>
          </a:r>
        </a:p>
        <a:p>
          <a:pPr lvl="0" algn="just" defTabSz="444500">
            <a:lnSpc>
              <a:spcPct val="90000"/>
            </a:lnSpc>
            <a:spcBef>
              <a:spcPct val="0"/>
            </a:spcBef>
            <a:spcAft>
              <a:spcPct val="35000"/>
            </a:spcAft>
          </a:pPr>
          <a:r>
            <a:rPr lang="en-US" sz="1000" kern="1200">
              <a:latin typeface="Times New Roman" pitchFamily="18" charset="0"/>
              <a:cs typeface="Times New Roman" pitchFamily="18" charset="0"/>
            </a:rPr>
            <a:t> improper loication </a:t>
          </a:r>
        </a:p>
        <a:p>
          <a:pPr lvl="0" algn="just" defTabSz="444500">
            <a:lnSpc>
              <a:spcPct val="90000"/>
            </a:lnSpc>
            <a:spcBef>
              <a:spcPct val="0"/>
            </a:spcBef>
            <a:spcAft>
              <a:spcPct val="35000"/>
            </a:spcAft>
          </a:pPr>
          <a:r>
            <a:rPr lang="en-US" sz="1000" kern="1200">
              <a:latin typeface="Times New Roman" pitchFamily="18" charset="0"/>
              <a:cs typeface="Times New Roman" pitchFamily="18" charset="0"/>
            </a:rPr>
            <a:t>excess investment in innovation </a:t>
          </a:r>
        </a:p>
        <a:p>
          <a:pPr lvl="0" algn="just" defTabSz="444500">
            <a:lnSpc>
              <a:spcPct val="90000"/>
            </a:lnSpc>
            <a:spcBef>
              <a:spcPct val="0"/>
            </a:spcBef>
            <a:spcAft>
              <a:spcPct val="35000"/>
            </a:spcAft>
          </a:pPr>
          <a:r>
            <a:rPr lang="en-US" sz="1000" kern="1200">
              <a:latin typeface="Times New Roman" pitchFamily="18" charset="0"/>
              <a:cs typeface="Times New Roman" pitchFamily="18" charset="0"/>
            </a:rPr>
            <a:t>absence of online shopping facility </a:t>
          </a:r>
        </a:p>
      </dsp:txBody>
      <dsp:txXfrm>
        <a:off x="3076839" y="325745"/>
        <a:ext cx="1391011" cy="1391011"/>
      </dsp:txXfrm>
    </dsp:sp>
    <dsp:sp modelId="{53F354E3-9E47-424D-A81E-47E790F9602A}">
      <dsp:nvSpPr>
        <dsp:cNvPr id="0" name=""/>
        <dsp:cNvSpPr/>
      </dsp:nvSpPr>
      <dsp:spPr>
        <a:xfrm>
          <a:off x="1190313" y="2061771"/>
          <a:ext cx="1541511" cy="1541511"/>
        </a:xfrm>
        <a:prstGeom prst="roundRect">
          <a:avLst/>
        </a:prstGeom>
        <a:gradFill rotWithShape="0">
          <a:gsLst>
            <a:gs pos="0">
              <a:schemeClr val="accent3">
                <a:shade val="80000"/>
                <a:hueOff val="145938"/>
                <a:satOff val="-954"/>
                <a:lumOff val="16369"/>
                <a:alphaOff val="0"/>
                <a:tint val="50000"/>
                <a:satMod val="300000"/>
              </a:schemeClr>
            </a:gs>
            <a:gs pos="35000">
              <a:schemeClr val="accent3">
                <a:shade val="80000"/>
                <a:hueOff val="145938"/>
                <a:satOff val="-954"/>
                <a:lumOff val="16369"/>
                <a:alphaOff val="0"/>
                <a:tint val="37000"/>
                <a:satMod val="300000"/>
              </a:schemeClr>
            </a:gs>
            <a:gs pos="100000">
              <a:schemeClr val="accent3">
                <a:shade val="80000"/>
                <a:hueOff val="145938"/>
                <a:satOff val="-954"/>
                <a:lumOff val="16369"/>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latin typeface="Times New Roman" pitchFamily="18" charset="0"/>
              <a:cs typeface="Times New Roman" pitchFamily="18" charset="0"/>
            </a:rPr>
            <a:t>Opportunities</a:t>
          </a:r>
        </a:p>
        <a:p>
          <a:pPr lvl="0" algn="just" defTabSz="444500">
            <a:lnSpc>
              <a:spcPct val="90000"/>
            </a:lnSpc>
            <a:spcBef>
              <a:spcPct val="0"/>
            </a:spcBef>
            <a:spcAft>
              <a:spcPct val="35000"/>
            </a:spcAft>
          </a:pPr>
          <a:r>
            <a:rPr lang="en-US" sz="1000" b="0" i="0" u="none" kern="1200">
              <a:latin typeface="Times New Roman" pitchFamily="18" charset="0"/>
              <a:cs typeface="Times New Roman" pitchFamily="18" charset="0"/>
            </a:rPr>
            <a:t>use of social media platforms</a:t>
          </a:r>
        </a:p>
        <a:p>
          <a:pPr lvl="0" algn="just" defTabSz="444500">
            <a:lnSpc>
              <a:spcPct val="90000"/>
            </a:lnSpc>
            <a:spcBef>
              <a:spcPct val="0"/>
            </a:spcBef>
            <a:spcAft>
              <a:spcPct val="35000"/>
            </a:spcAft>
          </a:pPr>
          <a:r>
            <a:rPr lang="en-US" sz="1000" b="0" i="0" u="none" kern="1200">
              <a:latin typeface="Times New Roman" pitchFamily="18" charset="0"/>
              <a:cs typeface="Times New Roman" pitchFamily="18" charset="0"/>
            </a:rPr>
            <a:t>unique range of flavour </a:t>
          </a:r>
        </a:p>
        <a:p>
          <a:pPr lvl="0" algn="just" defTabSz="444500">
            <a:lnSpc>
              <a:spcPct val="90000"/>
            </a:lnSpc>
            <a:spcBef>
              <a:spcPct val="0"/>
            </a:spcBef>
            <a:spcAft>
              <a:spcPct val="35000"/>
            </a:spcAft>
          </a:pPr>
          <a:r>
            <a:rPr lang="en-US" sz="1000" b="0" i="0" u="none" kern="1200">
              <a:latin typeface="Times New Roman" pitchFamily="18" charset="0"/>
              <a:cs typeface="Times New Roman" pitchFamily="18" charset="0"/>
            </a:rPr>
            <a:t>Continuous reinvention in fruit jellies</a:t>
          </a:r>
        </a:p>
        <a:p>
          <a:pPr lvl="0" algn="just" defTabSz="444500">
            <a:lnSpc>
              <a:spcPct val="90000"/>
            </a:lnSpc>
            <a:spcBef>
              <a:spcPct val="0"/>
            </a:spcBef>
            <a:spcAft>
              <a:spcPct val="35000"/>
            </a:spcAft>
          </a:pPr>
          <a:r>
            <a:rPr lang="en-US" sz="1000" b="0" i="0" u="none" kern="1200">
              <a:latin typeface="Times New Roman" pitchFamily="18" charset="0"/>
              <a:cs typeface="Times New Roman" pitchFamily="18" charset="0"/>
            </a:rPr>
            <a:t>introduction of employment</a:t>
          </a:r>
          <a:endParaRPr lang="en-US" sz="1000" kern="1200">
            <a:latin typeface="Times New Roman" pitchFamily="18" charset="0"/>
            <a:cs typeface="Times New Roman" pitchFamily="18" charset="0"/>
          </a:endParaRPr>
        </a:p>
      </dsp:txBody>
      <dsp:txXfrm>
        <a:off x="1265563" y="2137021"/>
        <a:ext cx="1391011" cy="1391011"/>
      </dsp:txXfrm>
    </dsp:sp>
    <dsp:sp modelId="{A18EE530-69F8-46C1-B2A4-BE58374ACFE6}">
      <dsp:nvSpPr>
        <dsp:cNvPr id="0" name=""/>
        <dsp:cNvSpPr/>
      </dsp:nvSpPr>
      <dsp:spPr>
        <a:xfrm>
          <a:off x="3027209" y="2061771"/>
          <a:ext cx="1541511" cy="1541511"/>
        </a:xfrm>
        <a:prstGeom prst="roundRect">
          <a:avLst/>
        </a:prstGeom>
        <a:gradFill rotWithShape="0">
          <a:gsLst>
            <a:gs pos="0">
              <a:schemeClr val="accent3">
                <a:shade val="80000"/>
                <a:hueOff val="218907"/>
                <a:satOff val="-1431"/>
                <a:lumOff val="24554"/>
                <a:alphaOff val="0"/>
                <a:tint val="50000"/>
                <a:satMod val="300000"/>
              </a:schemeClr>
            </a:gs>
            <a:gs pos="35000">
              <a:schemeClr val="accent3">
                <a:shade val="80000"/>
                <a:hueOff val="218907"/>
                <a:satOff val="-1431"/>
                <a:lumOff val="24554"/>
                <a:alphaOff val="0"/>
                <a:tint val="37000"/>
                <a:satMod val="300000"/>
              </a:schemeClr>
            </a:gs>
            <a:gs pos="100000">
              <a:schemeClr val="accent3">
                <a:shade val="80000"/>
                <a:hueOff val="218907"/>
                <a:satOff val="-1431"/>
                <a:lumOff val="24554"/>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latin typeface="Times New Roman" pitchFamily="18" charset="0"/>
              <a:cs typeface="Times New Roman" pitchFamily="18" charset="0"/>
            </a:rPr>
            <a:t>Threats</a:t>
          </a:r>
        </a:p>
        <a:p>
          <a:pPr lvl="0" algn="just" defTabSz="444500">
            <a:lnSpc>
              <a:spcPct val="90000"/>
            </a:lnSpc>
            <a:spcBef>
              <a:spcPct val="0"/>
            </a:spcBef>
            <a:spcAft>
              <a:spcPct val="35000"/>
            </a:spcAft>
          </a:pPr>
          <a:r>
            <a:rPr lang="en-US" sz="1000" b="0" i="0" u="none" kern="1200">
              <a:latin typeface="Times New Roman" pitchFamily="18" charset="0"/>
              <a:cs typeface="Times New Roman" pitchFamily="18" charset="0"/>
            </a:rPr>
            <a:t>existing rival companies in UK such as Treasure Island Sweets</a:t>
          </a:r>
        </a:p>
        <a:p>
          <a:pPr lvl="0" algn="just" defTabSz="444500">
            <a:lnSpc>
              <a:spcPct val="90000"/>
            </a:lnSpc>
            <a:spcBef>
              <a:spcPct val="0"/>
            </a:spcBef>
            <a:spcAft>
              <a:spcPct val="35000"/>
            </a:spcAft>
          </a:pPr>
          <a:r>
            <a:rPr lang="en-US" sz="1000" b="0" i="0" u="none" kern="1200">
              <a:latin typeface="Times New Roman" pitchFamily="18" charset="0"/>
              <a:cs typeface="Times New Roman" pitchFamily="18" charset="0"/>
            </a:rPr>
            <a:t>reducing customer base</a:t>
          </a:r>
        </a:p>
        <a:p>
          <a:pPr lvl="0" algn="just" defTabSz="444500">
            <a:lnSpc>
              <a:spcPct val="90000"/>
            </a:lnSpc>
            <a:spcBef>
              <a:spcPct val="0"/>
            </a:spcBef>
            <a:spcAft>
              <a:spcPct val="35000"/>
            </a:spcAft>
          </a:pPr>
          <a:r>
            <a:rPr lang="en-US" sz="1000" b="0" i="0" u="none" kern="1200">
              <a:latin typeface="Times New Roman" pitchFamily="18" charset="0"/>
              <a:cs typeface="Times New Roman" pitchFamily="18" charset="0"/>
            </a:rPr>
            <a:t>pandemic situation</a:t>
          </a:r>
          <a:endParaRPr lang="en-US" sz="1000" b="1" i="0" u="none" kern="1200">
            <a:latin typeface="Times New Roman" pitchFamily="18" charset="0"/>
            <a:cs typeface="Times New Roman" pitchFamily="18" charset="0"/>
          </a:endParaRPr>
        </a:p>
        <a:p>
          <a:pPr lvl="0" algn="just" defTabSz="444500">
            <a:lnSpc>
              <a:spcPct val="90000"/>
            </a:lnSpc>
            <a:spcBef>
              <a:spcPct val="0"/>
            </a:spcBef>
            <a:spcAft>
              <a:spcPct val="35000"/>
            </a:spcAft>
          </a:pPr>
          <a:endParaRPr lang="en-US" sz="1000" b="0" i="0" u="none" kern="1200">
            <a:latin typeface="Times New Roman" pitchFamily="18" charset="0"/>
            <a:cs typeface="Times New Roman" pitchFamily="18" charset="0"/>
          </a:endParaRPr>
        </a:p>
        <a:p>
          <a:pPr lvl="0" algn="just" defTabSz="444500">
            <a:lnSpc>
              <a:spcPct val="90000"/>
            </a:lnSpc>
            <a:spcBef>
              <a:spcPct val="0"/>
            </a:spcBef>
            <a:spcAft>
              <a:spcPct val="35000"/>
            </a:spcAft>
          </a:pPr>
          <a:r>
            <a:rPr lang="en-US" sz="1000" kern="1200">
              <a:latin typeface="Times New Roman" pitchFamily="18" charset="0"/>
              <a:cs typeface="Times New Roman" pitchFamily="18" charset="0"/>
            </a:rPr>
            <a:t> </a:t>
          </a:r>
        </a:p>
      </dsp:txBody>
      <dsp:txXfrm>
        <a:off x="3102459" y="2137021"/>
        <a:ext cx="1391011" cy="139101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48834F-9CB9-412C-9B3A-6D184147BB8A}">
      <dsp:nvSpPr>
        <dsp:cNvPr id="0" name=""/>
        <dsp:cNvSpPr/>
      </dsp:nvSpPr>
      <dsp:spPr>
        <a:xfrm>
          <a:off x="1458826" y="179097"/>
          <a:ext cx="2512314" cy="2512314"/>
        </a:xfrm>
        <a:prstGeom prst="pie">
          <a:avLst>
            <a:gd name="adj1" fmla="val 16200000"/>
            <a:gd name="adj2" fmla="val 0"/>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solidFill>
                <a:schemeClr val="tx1"/>
              </a:solidFill>
              <a:latin typeface="Times New Roman" pitchFamily="18" charset="0"/>
              <a:cs typeface="Times New Roman" pitchFamily="18" charset="0"/>
            </a:rPr>
            <a:t>interest</a:t>
          </a:r>
        </a:p>
        <a:p>
          <a:pPr lvl="0" algn="just" defTabSz="444500">
            <a:lnSpc>
              <a:spcPct val="90000"/>
            </a:lnSpc>
            <a:spcBef>
              <a:spcPct val="0"/>
            </a:spcBef>
            <a:spcAft>
              <a:spcPct val="35000"/>
            </a:spcAft>
          </a:pPr>
          <a:r>
            <a:rPr lang="en-US" sz="1000" b="0" kern="1200">
              <a:solidFill>
                <a:schemeClr val="tx1"/>
              </a:solidFill>
              <a:latin typeface="Times New Roman" pitchFamily="18" charset="0"/>
              <a:cs typeface="Times New Roman" pitchFamily="18" charset="0"/>
            </a:rPr>
            <a:t>annoucing reward details</a:t>
          </a:r>
        </a:p>
      </dsp:txBody>
      <dsp:txXfrm>
        <a:off x="2792446" y="699803"/>
        <a:ext cx="927163" cy="687895"/>
      </dsp:txXfrm>
    </dsp:sp>
    <dsp:sp modelId="{3BEC9161-47F3-4275-ABA4-D8C036DA21FE}">
      <dsp:nvSpPr>
        <dsp:cNvPr id="0" name=""/>
        <dsp:cNvSpPr/>
      </dsp:nvSpPr>
      <dsp:spPr>
        <a:xfrm>
          <a:off x="1458826" y="263438"/>
          <a:ext cx="2512314" cy="2512314"/>
        </a:xfrm>
        <a:prstGeom prst="pie">
          <a:avLst>
            <a:gd name="adj1" fmla="val 0"/>
            <a:gd name="adj2" fmla="val 5400000"/>
          </a:avLst>
        </a:prstGeom>
        <a:solidFill>
          <a:schemeClr val="accent4">
            <a:hueOff val="-1488257"/>
            <a:satOff val="8966"/>
            <a:lumOff val="719"/>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solidFill>
                <a:schemeClr val="tx1"/>
              </a:solidFill>
              <a:latin typeface="Times New Roman" pitchFamily="18" charset="0"/>
              <a:cs typeface="Times New Roman" pitchFamily="18" charset="0"/>
            </a:rPr>
            <a:t>desire</a:t>
          </a:r>
        </a:p>
        <a:p>
          <a:pPr lvl="0" algn="just" defTabSz="444500">
            <a:lnSpc>
              <a:spcPct val="90000"/>
            </a:lnSpc>
            <a:spcBef>
              <a:spcPct val="0"/>
            </a:spcBef>
            <a:spcAft>
              <a:spcPct val="35000"/>
            </a:spcAft>
          </a:pPr>
          <a:r>
            <a:rPr lang="en-US" sz="1000" b="0" kern="1200">
              <a:solidFill>
                <a:schemeClr val="tx1"/>
              </a:solidFill>
              <a:latin typeface="Times New Roman" pitchFamily="18" charset="0"/>
              <a:cs typeface="Times New Roman" pitchFamily="18" charset="0"/>
            </a:rPr>
            <a:t>declaring benefits of products </a:t>
          </a:r>
        </a:p>
      </dsp:txBody>
      <dsp:txXfrm>
        <a:off x="2792446" y="1567150"/>
        <a:ext cx="927163" cy="687895"/>
      </dsp:txXfrm>
    </dsp:sp>
    <dsp:sp modelId="{8284DDB0-12E5-415F-BDB4-8483B50D29BD}">
      <dsp:nvSpPr>
        <dsp:cNvPr id="0" name=""/>
        <dsp:cNvSpPr/>
      </dsp:nvSpPr>
      <dsp:spPr>
        <a:xfrm>
          <a:off x="1374484" y="263438"/>
          <a:ext cx="2512314" cy="2512314"/>
        </a:xfrm>
        <a:prstGeom prst="pie">
          <a:avLst>
            <a:gd name="adj1" fmla="val 5400000"/>
            <a:gd name="adj2" fmla="val 10800000"/>
          </a:avLst>
        </a:prstGeom>
        <a:solidFill>
          <a:schemeClr val="accent4">
            <a:hueOff val="-2976513"/>
            <a:satOff val="17933"/>
            <a:lumOff val="1437"/>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solidFill>
                <a:schemeClr val="tx1"/>
              </a:solidFill>
              <a:latin typeface="Times New Roman" pitchFamily="18" charset="0"/>
              <a:cs typeface="Times New Roman" pitchFamily="18" charset="0"/>
            </a:rPr>
            <a:t>action</a:t>
          </a:r>
        </a:p>
        <a:p>
          <a:pPr lvl="0" algn="just" defTabSz="444500">
            <a:lnSpc>
              <a:spcPct val="90000"/>
            </a:lnSpc>
            <a:spcBef>
              <a:spcPct val="0"/>
            </a:spcBef>
            <a:spcAft>
              <a:spcPct val="35000"/>
            </a:spcAft>
          </a:pPr>
          <a:r>
            <a:rPr lang="en-US" sz="1000" b="1" kern="1200">
              <a:solidFill>
                <a:schemeClr val="tx1"/>
              </a:solidFill>
              <a:latin typeface="Times New Roman" pitchFamily="18" charset="0"/>
              <a:cs typeface="Times New Roman" pitchFamily="18" charset="0"/>
            </a:rPr>
            <a:t> </a:t>
          </a:r>
          <a:r>
            <a:rPr lang="en-GB" sz="1000" kern="1200">
              <a:solidFill>
                <a:schemeClr val="tx1"/>
              </a:solidFill>
              <a:latin typeface="Times New Roman" pitchFamily="18" charset="0"/>
              <a:cs typeface="Times New Roman" pitchFamily="18" charset="0"/>
            </a:rPr>
            <a:t>persuasive text for convincing customers</a:t>
          </a:r>
          <a:endParaRPr lang="en-US" sz="1000" b="1" kern="1200">
            <a:solidFill>
              <a:schemeClr val="tx1"/>
            </a:solidFill>
            <a:latin typeface="Times New Roman" pitchFamily="18" charset="0"/>
            <a:cs typeface="Times New Roman" pitchFamily="18" charset="0"/>
          </a:endParaRPr>
        </a:p>
      </dsp:txBody>
      <dsp:txXfrm>
        <a:off x="1626014" y="1567150"/>
        <a:ext cx="927163" cy="687895"/>
      </dsp:txXfrm>
    </dsp:sp>
    <dsp:sp modelId="{BA6A443D-3BE4-4839-8D75-E45D5AE05732}">
      <dsp:nvSpPr>
        <dsp:cNvPr id="0" name=""/>
        <dsp:cNvSpPr/>
      </dsp:nvSpPr>
      <dsp:spPr>
        <a:xfrm>
          <a:off x="1374484" y="179097"/>
          <a:ext cx="2512314" cy="2512314"/>
        </a:xfrm>
        <a:prstGeom prst="pie">
          <a:avLst>
            <a:gd name="adj1" fmla="val 10800000"/>
            <a:gd name="adj2" fmla="val 16200000"/>
          </a:avLst>
        </a:prstGeom>
        <a:solidFill>
          <a:schemeClr val="accent4">
            <a:hueOff val="-4464770"/>
            <a:satOff val="26899"/>
            <a:lumOff val="2156"/>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solidFill>
                <a:schemeClr val="tx1"/>
              </a:solidFill>
              <a:latin typeface="Times New Roman" pitchFamily="18" charset="0"/>
              <a:cs typeface="Times New Roman" pitchFamily="18" charset="0"/>
            </a:rPr>
            <a:t>attention</a:t>
          </a:r>
        </a:p>
        <a:p>
          <a:pPr lvl="0" algn="just" defTabSz="444500">
            <a:lnSpc>
              <a:spcPct val="90000"/>
            </a:lnSpc>
            <a:spcBef>
              <a:spcPct val="0"/>
            </a:spcBef>
            <a:spcAft>
              <a:spcPct val="35000"/>
            </a:spcAft>
          </a:pPr>
          <a:r>
            <a:rPr lang="en-US" sz="1000" kern="1200">
              <a:solidFill>
                <a:schemeClr val="tx1"/>
              </a:solidFill>
              <a:latin typeface="Times New Roman" pitchFamily="18" charset="0"/>
              <a:cs typeface="Times New Roman" pitchFamily="18" charset="0"/>
            </a:rPr>
            <a:t>placing advertisements  </a:t>
          </a:r>
        </a:p>
      </dsp:txBody>
      <dsp:txXfrm>
        <a:off x="1626014" y="699803"/>
        <a:ext cx="927163" cy="687895"/>
      </dsp:txXfrm>
    </dsp:sp>
    <dsp:sp modelId="{65A2E432-5CFD-43D2-842A-63BA0291E0E1}">
      <dsp:nvSpPr>
        <dsp:cNvPr id="0" name=""/>
        <dsp:cNvSpPr/>
      </dsp:nvSpPr>
      <dsp:spPr>
        <a:xfrm>
          <a:off x="1303302" y="23572"/>
          <a:ext cx="2823362" cy="2823362"/>
        </a:xfrm>
        <a:prstGeom prst="circularArrow">
          <a:avLst>
            <a:gd name="adj1" fmla="val 5085"/>
            <a:gd name="adj2" fmla="val 327528"/>
            <a:gd name="adj3" fmla="val 21272472"/>
            <a:gd name="adj4" fmla="val 16200000"/>
            <a:gd name="adj5" fmla="val 5932"/>
          </a:avLst>
        </a:prstGeom>
        <a:solidFill>
          <a:schemeClr val="accent4">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D877EF1B-6778-447C-B953-0C3F4380D24F}">
      <dsp:nvSpPr>
        <dsp:cNvPr id="0" name=""/>
        <dsp:cNvSpPr/>
      </dsp:nvSpPr>
      <dsp:spPr>
        <a:xfrm>
          <a:off x="1303302" y="107914"/>
          <a:ext cx="2823362" cy="2823362"/>
        </a:xfrm>
        <a:prstGeom prst="circularArrow">
          <a:avLst>
            <a:gd name="adj1" fmla="val 5085"/>
            <a:gd name="adj2" fmla="val 327528"/>
            <a:gd name="adj3" fmla="val 5072472"/>
            <a:gd name="adj4" fmla="val 0"/>
            <a:gd name="adj5" fmla="val 5932"/>
          </a:avLst>
        </a:prstGeom>
        <a:solidFill>
          <a:schemeClr val="accent4">
            <a:hueOff val="-1488257"/>
            <a:satOff val="8966"/>
            <a:lumOff val="719"/>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BBBEE6BB-1C5B-40B0-A5F6-71EE1DC748F0}">
      <dsp:nvSpPr>
        <dsp:cNvPr id="0" name=""/>
        <dsp:cNvSpPr/>
      </dsp:nvSpPr>
      <dsp:spPr>
        <a:xfrm>
          <a:off x="1218960" y="107914"/>
          <a:ext cx="2823362" cy="2823362"/>
        </a:xfrm>
        <a:prstGeom prst="circularArrow">
          <a:avLst>
            <a:gd name="adj1" fmla="val 5085"/>
            <a:gd name="adj2" fmla="val 327528"/>
            <a:gd name="adj3" fmla="val 10472472"/>
            <a:gd name="adj4" fmla="val 5400000"/>
            <a:gd name="adj5" fmla="val 5932"/>
          </a:avLst>
        </a:prstGeom>
        <a:solidFill>
          <a:schemeClr val="accent4">
            <a:hueOff val="-2976513"/>
            <a:satOff val="17933"/>
            <a:lumOff val="1437"/>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0C4C521D-BFD7-48A6-B382-F2D72BF76583}">
      <dsp:nvSpPr>
        <dsp:cNvPr id="0" name=""/>
        <dsp:cNvSpPr/>
      </dsp:nvSpPr>
      <dsp:spPr>
        <a:xfrm>
          <a:off x="1218960" y="23572"/>
          <a:ext cx="2823362" cy="2823362"/>
        </a:xfrm>
        <a:prstGeom prst="circularArrow">
          <a:avLst>
            <a:gd name="adj1" fmla="val 5085"/>
            <a:gd name="adj2" fmla="val 327528"/>
            <a:gd name="adj3" fmla="val 15872472"/>
            <a:gd name="adj4" fmla="val 10800000"/>
            <a:gd name="adj5" fmla="val 5932"/>
          </a:avLst>
        </a:prstGeom>
        <a:solidFill>
          <a:schemeClr val="accent4">
            <a:hueOff val="-4464770"/>
            <a:satOff val="26899"/>
            <a:lumOff val="2156"/>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03B11B-CC2C-4765-A4E6-C47EB8E04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23</Pages>
  <Words>6217</Words>
  <Characters>35443</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angura begum</dc:creator>
  <cp:lastModifiedBy>angura begum</cp:lastModifiedBy>
  <cp:revision>31</cp:revision>
  <dcterms:created xsi:type="dcterms:W3CDTF">2020-11-20T21:22:00Z</dcterms:created>
  <dcterms:modified xsi:type="dcterms:W3CDTF">2020-11-20T23:44:00Z</dcterms:modified>
</cp:coreProperties>
</file>