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intelligence2.xml" ContentType="application/vnd.ms-office.intelligence2+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xmlns:a14="http://schemas.microsoft.com/office/drawing/2010/main" mc:Ignorable="w14 wp14">
  <w:body>
    <w:p xmlns:wp14="http://schemas.microsoft.com/office/word/2010/wordml" w:rsidP="453F919E" w14:paraId="3C781406" wp14:textId="115246B0">
      <w:pPr>
        <w:pStyle w:val="Body"/>
        <w:spacing w:line="360" w:lineRule="auto"/>
        <w:jc w:val="both"/>
        <w:rPr>
          <w:rFonts w:ascii="Arial" w:hAnsi="Arial"/>
          <w:sz w:val="22"/>
          <w:szCs w:val="22"/>
          <w:rtl w:val="0"/>
          <w:lang w:val="en-US"/>
        </w:rPr>
      </w:pPr>
      <w:r w:rsidRPr="453F919E" w:rsidR="31066F8E">
        <w:rPr>
          <w:rFonts w:ascii="Arial" w:hAnsi="Arial"/>
          <w:lang w:val="en-US"/>
        </w:rPr>
        <w:t>CONPONENT 1</w:t>
      </w:r>
    </w:p>
    <w:p xmlns:wp14="http://schemas.microsoft.com/office/word/2010/wordml" w:rsidP="453F919E" w14:paraId="3063834F" wp14:textId="4C3FB1D9">
      <w:pPr>
        <w:pStyle w:val="Body"/>
        <w:rPr>
          <w:lang w:val="en-US"/>
        </w:rPr>
      </w:pPr>
    </w:p>
    <w:p xmlns:wp14="http://schemas.microsoft.com/office/word/2010/wordml" w:rsidP="453F919E" w14:paraId="4A25C41D" wp14:textId="2D7808DE">
      <w:pPr>
        <w:pStyle w:val="Body"/>
        <w:rPr>
          <w:rFonts w:ascii="Arial" w:hAnsi="Arial"/>
          <w:rtl w:val="0"/>
          <w:lang w:val="en-US"/>
        </w:rPr>
      </w:pPr>
      <w:r w:rsidRPr="453F919E" w:rsidR="31066F8E">
        <w:rPr>
          <w:rFonts w:ascii="Arial" w:hAnsi="Arial"/>
          <w:lang w:val="en-US"/>
        </w:rPr>
        <w:t>NAME</w:t>
      </w:r>
      <w:r>
        <w:tab/>
      </w:r>
      <w:r>
        <w:tab/>
      </w:r>
      <w:r>
        <w:tab/>
      </w:r>
      <w:r>
        <w:tab/>
      </w:r>
      <w:r w:rsidRPr="453F919E" w:rsidR="31066F8E">
        <w:rPr>
          <w:rFonts w:ascii="Arial" w:hAnsi="Arial"/>
          <w:lang w:val="en-US"/>
        </w:rPr>
        <w:t>RACHEAL MONISOLA BECKER</w:t>
      </w:r>
    </w:p>
    <w:p xmlns:wp14="http://schemas.microsoft.com/office/word/2010/wordml" w:rsidP="453F919E" w14:paraId="2E4C8BD7" wp14:textId="202E3022">
      <w:pPr>
        <w:pStyle w:val="Body"/>
        <w:rPr>
          <w:lang w:val="en-US"/>
        </w:rPr>
      </w:pPr>
    </w:p>
    <w:p xmlns:wp14="http://schemas.microsoft.com/office/word/2010/wordml" w:rsidP="453F919E" w14:paraId="1A204D42" wp14:textId="32E3CE93">
      <w:pPr>
        <w:pStyle w:val="Body"/>
        <w:rPr>
          <w:rFonts w:ascii="Arial" w:hAnsi="Arial"/>
          <w:rtl w:val="0"/>
          <w:lang w:val="en-US"/>
        </w:rPr>
      </w:pPr>
      <w:r w:rsidRPr="453F919E" w:rsidR="31066F8E">
        <w:rPr>
          <w:rFonts w:ascii="Arial" w:hAnsi="Arial"/>
          <w:lang w:val="en-US"/>
        </w:rPr>
        <w:t>IDENTITY NUMBER</w:t>
      </w:r>
      <w:r>
        <w:tab/>
      </w:r>
      <w:r w:rsidRPr="453F919E" w:rsidR="31066F8E">
        <w:rPr>
          <w:rFonts w:ascii="Arial" w:hAnsi="Arial"/>
          <w:lang w:val="en-US"/>
        </w:rPr>
        <w:t>2310797</w:t>
      </w:r>
    </w:p>
    <w:p xmlns:wp14="http://schemas.microsoft.com/office/word/2010/wordml" w:rsidP="453F919E" w14:paraId="60D59620" wp14:textId="7F74BB97">
      <w:pPr>
        <w:pStyle w:val="Body"/>
        <w:rPr>
          <w:lang w:val="en-US"/>
        </w:rPr>
      </w:pPr>
    </w:p>
    <w:p xmlns:wp14="http://schemas.microsoft.com/office/word/2010/wordml" w:rsidP="453F919E" w14:paraId="6DEDBD07" wp14:textId="3C70E624">
      <w:pPr>
        <w:pStyle w:val="Body"/>
        <w:rPr>
          <w:rFonts w:ascii="Arial" w:hAnsi="Arial"/>
          <w:rtl w:val="0"/>
          <w:lang w:val="en-US"/>
        </w:rPr>
      </w:pPr>
      <w:r w:rsidRPr="453F919E" w:rsidR="31066F8E">
        <w:rPr>
          <w:rFonts w:ascii="Arial" w:hAnsi="Arial"/>
          <w:lang w:val="en-US"/>
        </w:rPr>
        <w:t>PROGRAMME</w:t>
      </w:r>
      <w:r>
        <w:tab/>
      </w:r>
      <w:r>
        <w:tab/>
      </w:r>
      <w:r w:rsidRPr="453F919E" w:rsidR="31066F8E">
        <w:rPr>
          <w:rFonts w:ascii="Arial" w:hAnsi="Arial"/>
          <w:lang w:val="en-US"/>
        </w:rPr>
        <w:t xml:space="preserve">DIGITAL TRANSFORMATION IN THE HEALTH AND </w:t>
      </w:r>
    </w:p>
    <w:p xmlns:wp14="http://schemas.microsoft.com/office/word/2010/wordml" w:rsidP="453F919E" w14:paraId="384A8DEE" wp14:textId="4B0110AD">
      <w:pPr>
        <w:pStyle w:val="Body"/>
        <w:rPr>
          <w:lang w:val="en-US"/>
        </w:rPr>
      </w:pPr>
      <w:r w:rsidRPr="453F919E" w:rsidR="31066F8E">
        <w:rPr>
          <w:lang w:val="en-US"/>
        </w:rPr>
        <w:t>CARE PROFESSIONS</w:t>
      </w:r>
    </w:p>
    <w:p xmlns:wp14="http://schemas.microsoft.com/office/word/2010/wordml" w:rsidP="453F919E" w14:paraId="668F4C65" wp14:textId="534D7ACB">
      <w:pPr>
        <w:pStyle w:val="Body"/>
        <w:rPr>
          <w:lang w:val="en-US"/>
        </w:rPr>
      </w:pPr>
    </w:p>
    <w:p xmlns:wp14="http://schemas.microsoft.com/office/word/2010/wordml" w:rsidP="453F919E" w14:paraId="2E6CD2B6" wp14:textId="16BAE582">
      <w:pPr>
        <w:pStyle w:val="Body"/>
        <w:rPr>
          <w:lang w:val="en-US"/>
        </w:rPr>
      </w:pPr>
      <w:r w:rsidRPr="453F919E" w:rsidR="31066F8E">
        <w:rPr>
          <w:lang w:val="en-US"/>
        </w:rPr>
        <w:t>MODULE CODE</w:t>
      </w:r>
      <w:r>
        <w:tab/>
      </w:r>
      <w:r>
        <w:tab/>
      </w:r>
      <w:r w:rsidRPr="453F919E" w:rsidR="31066F8E">
        <w:rPr>
          <w:lang w:val="en-US"/>
        </w:rPr>
        <w:t>BMHP6026</w:t>
      </w:r>
    </w:p>
    <w:p xmlns:wp14="http://schemas.microsoft.com/office/word/2010/wordml" w:rsidP="453F919E" w14:paraId="3161E873" wp14:textId="15EF0525">
      <w:pPr>
        <w:pStyle w:val="Body"/>
        <w:rPr>
          <w:lang w:val="en-US"/>
        </w:rPr>
      </w:pPr>
    </w:p>
    <w:p xmlns:wp14="http://schemas.microsoft.com/office/word/2010/wordml" w:rsidP="453F919E" w14:paraId="6986DEE2" wp14:textId="72C2631D">
      <w:pPr>
        <w:pStyle w:val="Body"/>
        <w:rPr>
          <w:lang w:val="en-US"/>
        </w:rPr>
      </w:pPr>
      <w:r w:rsidRPr="453F919E" w:rsidR="31066F8E">
        <w:rPr>
          <w:lang w:val="en-US"/>
        </w:rPr>
        <w:t>MODULE LEAD</w:t>
      </w:r>
      <w:r>
        <w:tab/>
      </w:r>
      <w:r>
        <w:tab/>
      </w:r>
      <w:r w:rsidRPr="453F919E" w:rsidR="31066F8E">
        <w:rPr>
          <w:lang w:val="en-US"/>
        </w:rPr>
        <w:t>MARTIN SVEJDA</w:t>
      </w:r>
    </w:p>
    <w:p xmlns:wp14="http://schemas.microsoft.com/office/word/2010/wordml" w:rsidP="453F919E" w14:paraId="028BFF94" wp14:textId="43D16ED7">
      <w:pPr>
        <w:pStyle w:val="Body"/>
        <w:rPr>
          <w:lang w:val="en-US"/>
        </w:rPr>
      </w:pPr>
    </w:p>
    <w:p xmlns:wp14="http://schemas.microsoft.com/office/word/2010/wordml" w:rsidP="453F919E" w14:paraId="3058E346" wp14:textId="61C1E2B1">
      <w:pPr>
        <w:pStyle w:val="Body"/>
        <w:spacing w:line="360" w:lineRule="auto"/>
        <w:jc w:val="both"/>
        <w:rPr>
          <w:rFonts w:ascii="Arial" w:hAnsi="Arial"/>
          <w:rtl w:val="0"/>
          <w:lang w:val="en-US"/>
        </w:rPr>
      </w:pPr>
    </w:p>
    <w:p xmlns:wp14="http://schemas.microsoft.com/office/word/2010/wordml" w:rsidP="453F919E" w14:paraId="26947A69" wp14:textId="1E9330B0">
      <w:pPr>
        <w:pStyle w:val="Body"/>
        <w:spacing w:line="360" w:lineRule="auto"/>
        <w:jc w:val="both"/>
        <w:rPr>
          <w:rFonts w:ascii="Arial" w:hAnsi="Arial"/>
          <w:rtl w:val="0"/>
          <w:lang w:val="en-US"/>
        </w:rPr>
      </w:pPr>
    </w:p>
    <w:p xmlns:wp14="http://schemas.microsoft.com/office/word/2010/wordml" w:rsidP="453F919E" w14:paraId="3C10F1EE" wp14:textId="451AD498">
      <w:pPr>
        <w:pStyle w:val="Body"/>
        <w:spacing w:line="360" w:lineRule="auto"/>
        <w:jc w:val="both"/>
        <w:rPr>
          <w:rFonts w:ascii="Arial" w:hAnsi="Arial"/>
          <w:rtl w:val="0"/>
          <w:lang w:val="en-US"/>
        </w:rPr>
      </w:pPr>
    </w:p>
    <w:p xmlns:wp14="http://schemas.microsoft.com/office/word/2010/wordml" w:rsidP="453F919E" w14:paraId="259EBD37" wp14:textId="62C4FAAC">
      <w:pPr>
        <w:pStyle w:val="Body"/>
        <w:spacing w:line="360" w:lineRule="auto"/>
        <w:jc w:val="both"/>
        <w:rPr>
          <w:rFonts w:ascii="Arial" w:hAnsi="Arial"/>
          <w:rtl w:val="0"/>
          <w:lang w:val="en-US"/>
        </w:rPr>
      </w:pPr>
    </w:p>
    <w:p xmlns:wp14="http://schemas.microsoft.com/office/word/2010/wordml" w:rsidP="453F919E" w14:paraId="0A7B5318" wp14:textId="015B29A7">
      <w:pPr>
        <w:pStyle w:val="Body"/>
        <w:spacing w:line="360" w:lineRule="auto"/>
        <w:jc w:val="both"/>
        <w:rPr>
          <w:rFonts w:ascii="Arial" w:hAnsi="Arial"/>
          <w:rtl w:val="0"/>
          <w:lang w:val="en-US"/>
        </w:rPr>
      </w:pPr>
    </w:p>
    <w:p xmlns:wp14="http://schemas.microsoft.com/office/word/2010/wordml" w:rsidP="453F919E" w14:paraId="0631ECEC" wp14:textId="062FA3C5">
      <w:pPr>
        <w:pStyle w:val="Body"/>
        <w:spacing w:line="360" w:lineRule="auto"/>
        <w:jc w:val="both"/>
        <w:rPr>
          <w:rFonts w:ascii="Arial" w:hAnsi="Arial"/>
          <w:rtl w:val="0"/>
          <w:lang w:val="en-US"/>
        </w:rPr>
      </w:pPr>
    </w:p>
    <w:p xmlns:wp14="http://schemas.microsoft.com/office/word/2010/wordml" w:rsidP="453F919E" w14:paraId="3D2B5D18" wp14:textId="70421BD4">
      <w:pPr>
        <w:pStyle w:val="Body"/>
        <w:spacing w:line="360" w:lineRule="auto"/>
        <w:jc w:val="both"/>
        <w:rPr>
          <w:rFonts w:ascii="Arial" w:hAnsi="Arial"/>
          <w:rtl w:val="0"/>
          <w:lang w:val="en-US"/>
        </w:rPr>
      </w:pPr>
    </w:p>
    <w:p xmlns:wp14="http://schemas.microsoft.com/office/word/2010/wordml" w:rsidP="453F919E" w14:paraId="38970CD5" wp14:textId="722E7F96">
      <w:pPr>
        <w:pStyle w:val="Body"/>
        <w:spacing w:line="360" w:lineRule="auto"/>
        <w:jc w:val="both"/>
        <w:rPr>
          <w:rFonts w:ascii="Arial" w:hAnsi="Arial"/>
          <w:rtl w:val="0"/>
          <w:lang w:val="en-US"/>
        </w:rPr>
      </w:pPr>
    </w:p>
    <w:p xmlns:wp14="http://schemas.microsoft.com/office/word/2010/wordml" w:rsidP="453F919E" w14:paraId="2E5A84A0" wp14:textId="36E4F0E6">
      <w:pPr>
        <w:pStyle w:val="Body"/>
        <w:spacing w:line="360" w:lineRule="auto"/>
        <w:jc w:val="both"/>
        <w:rPr>
          <w:rFonts w:ascii="Arial" w:hAnsi="Arial"/>
          <w:rtl w:val="0"/>
          <w:lang w:val="en-US"/>
        </w:rPr>
      </w:pPr>
    </w:p>
    <w:p xmlns:wp14="http://schemas.microsoft.com/office/word/2010/wordml" w:rsidP="453F919E" w14:paraId="389B1C57" wp14:textId="7A12CAD2">
      <w:pPr>
        <w:pStyle w:val="Body"/>
        <w:spacing w:line="360" w:lineRule="auto"/>
        <w:jc w:val="both"/>
        <w:rPr>
          <w:rFonts w:ascii="Arial" w:hAnsi="Arial"/>
          <w:rtl w:val="0"/>
          <w:lang w:val="en-US"/>
        </w:rPr>
      </w:pPr>
    </w:p>
    <w:p xmlns:wp14="http://schemas.microsoft.com/office/word/2010/wordml" w:rsidP="453F919E" w14:paraId="100A1074" wp14:textId="63248BAC">
      <w:pPr>
        <w:pStyle w:val="Body"/>
        <w:spacing w:line="360" w:lineRule="auto"/>
        <w:jc w:val="both"/>
        <w:rPr>
          <w:rFonts w:ascii="Arial" w:hAnsi="Arial"/>
          <w:rtl w:val="0"/>
          <w:lang w:val="en-US"/>
        </w:rPr>
      </w:pPr>
    </w:p>
    <w:p xmlns:wp14="http://schemas.microsoft.com/office/word/2010/wordml" w:rsidP="453F919E" w14:paraId="31535FF1" wp14:textId="09FCA0C1">
      <w:pPr>
        <w:pStyle w:val="Body"/>
        <w:spacing w:line="360" w:lineRule="auto"/>
        <w:jc w:val="both"/>
        <w:rPr>
          <w:rFonts w:ascii="Arial" w:hAnsi="Arial"/>
          <w:rtl w:val="0"/>
          <w:lang w:val="en-US"/>
        </w:rPr>
      </w:pPr>
    </w:p>
    <w:p xmlns:wp14="http://schemas.microsoft.com/office/word/2010/wordml" w:rsidP="453F919E" w14:paraId="4601BE14" wp14:textId="1D235BFD">
      <w:pPr>
        <w:pStyle w:val="Body"/>
        <w:spacing w:line="360" w:lineRule="auto"/>
        <w:jc w:val="both"/>
        <w:rPr>
          <w:rFonts w:ascii="Arial" w:hAnsi="Arial"/>
          <w:rtl w:val="0"/>
          <w:lang w:val="en-US"/>
        </w:rPr>
      </w:pPr>
    </w:p>
    <w:p xmlns:wp14="http://schemas.microsoft.com/office/word/2010/wordml" w:rsidP="453F919E" w14:paraId="204AAFAC" wp14:textId="337D01AD">
      <w:pPr>
        <w:pStyle w:val="Body"/>
        <w:spacing w:line="360" w:lineRule="auto"/>
        <w:jc w:val="both"/>
        <w:rPr>
          <w:rFonts w:ascii="Arial" w:hAnsi="Arial"/>
          <w:rtl w:val="0"/>
          <w:lang w:val="en-US"/>
        </w:rPr>
      </w:pPr>
    </w:p>
    <w:p xmlns:wp14="http://schemas.microsoft.com/office/word/2010/wordml" w:rsidP="453F919E" w14:paraId="1223623A" wp14:textId="232C9BF1">
      <w:pPr>
        <w:pStyle w:val="Body"/>
        <w:spacing w:line="360" w:lineRule="auto"/>
        <w:jc w:val="both"/>
        <w:rPr>
          <w:rFonts w:ascii="Arial" w:hAnsi="Arial"/>
          <w:rtl w:val="0"/>
          <w:lang w:val="en-US"/>
        </w:rPr>
      </w:pPr>
    </w:p>
    <w:p xmlns:wp14="http://schemas.microsoft.com/office/word/2010/wordml" w:rsidP="453F919E" w14:paraId="6E33D6DB" wp14:textId="59B64365">
      <w:pPr>
        <w:pStyle w:val="Body"/>
        <w:spacing w:line="360" w:lineRule="auto"/>
        <w:jc w:val="both"/>
        <w:rPr>
          <w:rFonts w:ascii="Arial" w:hAnsi="Arial"/>
          <w:rtl w:val="0"/>
          <w:lang w:val="en-US"/>
        </w:rPr>
      </w:pPr>
    </w:p>
    <w:p xmlns:wp14="http://schemas.microsoft.com/office/word/2010/wordml" w:rsidP="453F919E" w14:paraId="249C26A7" wp14:textId="5B361355">
      <w:pPr>
        <w:pStyle w:val="Body"/>
        <w:spacing w:line="360" w:lineRule="auto"/>
        <w:jc w:val="both"/>
        <w:rPr>
          <w:rFonts w:ascii="Arial" w:hAnsi="Arial"/>
          <w:rtl w:val="0"/>
          <w:lang w:val="en-US"/>
        </w:rPr>
      </w:pPr>
    </w:p>
    <w:p xmlns:wp14="http://schemas.microsoft.com/office/word/2010/wordml" w:rsidP="453F919E" w14:paraId="4D7129BD" wp14:textId="5B0FBB5C">
      <w:pPr>
        <w:pStyle w:val="Body"/>
        <w:spacing w:line="360" w:lineRule="auto"/>
        <w:jc w:val="both"/>
        <w:rPr>
          <w:rFonts w:ascii="Arial" w:hAnsi="Arial"/>
          <w:rtl w:val="0"/>
          <w:lang w:val="en-US"/>
        </w:rPr>
      </w:pPr>
    </w:p>
    <w:p xmlns:wp14="http://schemas.microsoft.com/office/word/2010/wordml" w:rsidP="453F919E" w14:paraId="19200C80" wp14:textId="515DDABE">
      <w:pPr>
        <w:pStyle w:val="Body"/>
        <w:spacing w:line="360" w:lineRule="auto"/>
        <w:jc w:val="both"/>
        <w:rPr>
          <w:rFonts w:ascii="Arial" w:hAnsi="Arial"/>
          <w:rtl w:val="0"/>
          <w:lang w:val="en-US"/>
        </w:rPr>
      </w:pPr>
    </w:p>
    <w:p xmlns:wp14="http://schemas.microsoft.com/office/word/2010/wordml" w:rsidP="453F919E" w14:paraId="238B3573" wp14:textId="78B0CFE4">
      <w:pPr>
        <w:pStyle w:val="Body"/>
        <w:spacing w:line="360" w:lineRule="auto"/>
        <w:jc w:val="both"/>
        <w:rPr>
          <w:rFonts w:ascii="Arial" w:hAnsi="Arial"/>
          <w:rtl w:val="0"/>
          <w:lang w:val="en-US"/>
        </w:rPr>
      </w:pPr>
    </w:p>
    <w:p xmlns:wp14="http://schemas.microsoft.com/office/word/2010/wordml" w:rsidP="453F919E" w14:paraId="53BE5BD2" wp14:textId="33527EC5">
      <w:pPr>
        <w:pStyle w:val="Body"/>
        <w:spacing w:line="360" w:lineRule="auto"/>
        <w:jc w:val="both"/>
        <w:rPr>
          <w:rFonts w:ascii="Arial" w:hAnsi="Arial"/>
          <w:rtl w:val="0"/>
          <w:lang w:val="en-US"/>
        </w:rPr>
      </w:pPr>
    </w:p>
    <w:p xmlns:wp14="http://schemas.microsoft.com/office/word/2010/wordml" w:rsidP="453F919E" w14:paraId="2297F994" wp14:textId="3B14B28E">
      <w:pPr>
        <w:pStyle w:val="Body"/>
        <w:spacing w:line="360" w:lineRule="auto"/>
        <w:jc w:val="both"/>
        <w:rPr>
          <w:rFonts w:ascii="Arial" w:hAnsi="Arial"/>
          <w:rtl w:val="0"/>
          <w:lang w:val="en-US"/>
        </w:rPr>
      </w:pPr>
    </w:p>
    <w:p xmlns:wp14="http://schemas.microsoft.com/office/word/2010/wordml" w14:paraId="672A6659" wp14:textId="6EC83815">
      <w:pPr>
        <w:pStyle w:val="Body"/>
        <w:spacing w:line="360" w:lineRule="auto"/>
        <w:jc w:val="both"/>
        <w:rPr>
          <w:rFonts w:ascii="Arial" w:hAnsi="Arial" w:eastAsia="Arial" w:cs="Arial"/>
        </w:rPr>
      </w:pPr>
      <w:r w:rsidRPr="453F919E" w:rsidR="41C34190">
        <w:rPr>
          <w:rFonts w:ascii="Arial" w:hAnsi="Arial" w:eastAsia="Arial" w:cs="Arial"/>
          <w:sz w:val="22"/>
          <w:szCs w:val="22"/>
        </w:rPr>
        <w:t xml:space="preserve">THE NHS APP: NAVIGATING THE DOUBLE-EDGED SWORD OF DATAFICATION IN </w:t>
      </w:r>
      <w:r w:rsidRPr="453F919E" w:rsidR="505C9EC8">
        <w:rPr>
          <w:rFonts w:ascii="Arial" w:hAnsi="Arial" w:eastAsia="Arial" w:cs="Arial"/>
          <w:sz w:val="22"/>
          <w:szCs w:val="22"/>
        </w:rPr>
        <w:t>UK HEALTHCARE</w:t>
      </w:r>
    </w:p>
    <w:p w:rsidR="453F919E" w:rsidP="453F919E" w:rsidRDefault="453F919E" w14:paraId="2570C45C" w14:textId="58CEBAA0">
      <w:pPr>
        <w:pStyle w:val="Body"/>
      </w:pPr>
    </w:p>
    <w:p w:rsidR="453F919E" w:rsidP="453F919E" w:rsidRDefault="453F919E" w14:paraId="2AC489E1" w14:textId="48C247E4">
      <w:pPr>
        <w:pStyle w:val="Body"/>
      </w:pPr>
    </w:p>
    <w:p w:rsidR="36EDF6DB" w:rsidP="453F919E" w:rsidRDefault="36EDF6DB" w14:paraId="280A4D27" w14:textId="3AD1958F">
      <w:pPr>
        <w:pStyle w:val="Body"/>
      </w:pPr>
      <w:r w:rsidR="36EDF6DB">
        <w:drawing>
          <wp:inline wp14:editId="4AA3A384" wp14:anchorId="398E3475">
            <wp:extent cx="5724525" cy="2857500"/>
            <wp:effectExtent l="0" t="0" r="0" b="0"/>
            <wp:docPr id="11403250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0325040" name=""/>
                    <pic:cNvPicPr/>
                  </pic:nvPicPr>
                  <pic:blipFill>
                    <a:blip xmlns:r="http://schemas.openxmlformats.org/officeDocument/2006/relationships" r:embed="rId1938663528">
                      <a:extLst>
                        <a:ext xmlns:a="http://schemas.openxmlformats.org/drawingml/2006/main" uri="{28A0092B-C50C-407E-A947-70E740481C1C}">
                          <a14:useLocalDpi xmlns:a14="http://schemas.microsoft.com/office/drawing/2010/main" val="0"/>
                        </a:ext>
                      </a:extLst>
                    </a:blip>
                    <a:stretch>
                      <a:fillRect/>
                    </a:stretch>
                  </pic:blipFill>
                  <pic:spPr>
                    <a:xfrm>
                      <a:off x="0" y="0"/>
                      <a:ext cx="5724525" cy="2857500"/>
                    </a:xfrm>
                    <a:prstGeom prst="rect">
                      <a:avLst/>
                    </a:prstGeom>
                  </pic:spPr>
                </pic:pic>
              </a:graphicData>
            </a:graphic>
          </wp:inline>
        </w:drawing>
      </w:r>
    </w:p>
    <w:p w:rsidR="215CD3FD" w:rsidP="453F919E" w:rsidRDefault="215CD3FD" w14:paraId="3BC4E2A2" w14:textId="159F3C32">
      <w:pPr>
        <w:pStyle w:val="Body"/>
      </w:pPr>
      <w:r w:rsidR="215CD3FD">
        <w:rPr/>
        <w:t>Bing, 2025 online pictures</w:t>
      </w:r>
    </w:p>
    <w:p xmlns:wp14="http://schemas.microsoft.com/office/word/2010/wordml" w14:paraId="0A37501D" wp14:textId="77777777">
      <w:pPr>
        <w:pStyle w:val="Body"/>
        <w:spacing w:line="360" w:lineRule="auto"/>
        <w:jc w:val="both"/>
        <w:rPr>
          <w:rFonts w:ascii="Arial" w:hAnsi="Arial" w:eastAsia="Arial" w:cs="Arial"/>
        </w:rPr>
      </w:pPr>
    </w:p>
    <w:p xmlns:wp14="http://schemas.microsoft.com/office/word/2010/wordml" w14:paraId="5DAB6C7B" wp14:textId="77777777">
      <w:pPr>
        <w:pStyle w:val="Body"/>
        <w:spacing w:line="360" w:lineRule="auto"/>
        <w:jc w:val="both"/>
        <w:rPr>
          <w:rFonts w:ascii="Arial" w:hAnsi="Arial" w:eastAsia="Arial" w:cs="Arial"/>
        </w:rPr>
      </w:pPr>
    </w:p>
    <w:p xmlns:wp14="http://schemas.microsoft.com/office/word/2010/wordml" w14:paraId="02EB378F" wp14:textId="77777777">
      <w:pPr>
        <w:pStyle w:val="Body"/>
        <w:spacing w:line="360" w:lineRule="auto"/>
        <w:jc w:val="both"/>
        <w:rPr>
          <w:rFonts w:ascii="Arial" w:hAnsi="Arial" w:eastAsia="Arial" w:cs="Arial"/>
        </w:rPr>
      </w:pPr>
    </w:p>
    <w:p xmlns:wp14="http://schemas.microsoft.com/office/word/2010/wordml" w14:paraId="6A05A809" wp14:textId="77777777">
      <w:pPr>
        <w:pStyle w:val="Body"/>
        <w:spacing w:line="360" w:lineRule="auto"/>
        <w:jc w:val="both"/>
        <w:rPr>
          <w:rFonts w:ascii="Arial" w:hAnsi="Arial" w:eastAsia="Arial" w:cs="Arial"/>
        </w:rPr>
      </w:pPr>
    </w:p>
    <w:p xmlns:wp14="http://schemas.microsoft.com/office/word/2010/wordml" w14:paraId="5A39BBE3" wp14:textId="77777777">
      <w:pPr>
        <w:pStyle w:val="Body"/>
        <w:spacing w:line="360" w:lineRule="auto"/>
        <w:jc w:val="both"/>
        <w:rPr>
          <w:rFonts w:ascii="Arial" w:hAnsi="Arial" w:eastAsia="Arial" w:cs="Arial"/>
        </w:rPr>
      </w:pPr>
    </w:p>
    <w:p xmlns:wp14="http://schemas.microsoft.com/office/word/2010/wordml" w14:paraId="41C8F396" wp14:textId="77777777">
      <w:pPr>
        <w:pStyle w:val="Body"/>
        <w:spacing w:line="360" w:lineRule="auto"/>
        <w:jc w:val="both"/>
        <w:rPr>
          <w:rFonts w:ascii="Arial" w:hAnsi="Arial" w:eastAsia="Arial" w:cs="Arial"/>
        </w:rPr>
      </w:pPr>
    </w:p>
    <w:p xmlns:wp14="http://schemas.microsoft.com/office/word/2010/wordml" w14:paraId="72A3D3EC" wp14:textId="77777777">
      <w:pPr>
        <w:pStyle w:val="Body"/>
        <w:spacing w:line="360" w:lineRule="auto"/>
        <w:jc w:val="both"/>
        <w:rPr>
          <w:rFonts w:ascii="Arial" w:hAnsi="Arial" w:eastAsia="Arial" w:cs="Arial"/>
        </w:rPr>
      </w:pPr>
    </w:p>
    <w:p xmlns:wp14="http://schemas.microsoft.com/office/word/2010/wordml" w14:paraId="0D0B940D" wp14:textId="77777777">
      <w:pPr>
        <w:pStyle w:val="Body"/>
        <w:spacing w:line="360" w:lineRule="auto"/>
        <w:jc w:val="both"/>
        <w:rPr>
          <w:rFonts w:ascii="Arial" w:hAnsi="Arial" w:eastAsia="Arial" w:cs="Arial"/>
        </w:rPr>
      </w:pPr>
    </w:p>
    <w:p xmlns:wp14="http://schemas.microsoft.com/office/word/2010/wordml" w14:paraId="0E27B00A" wp14:textId="77777777">
      <w:pPr>
        <w:pStyle w:val="Body"/>
        <w:spacing w:line="360" w:lineRule="auto"/>
        <w:jc w:val="both"/>
        <w:rPr>
          <w:rFonts w:ascii="Arial" w:hAnsi="Arial" w:eastAsia="Arial" w:cs="Arial"/>
        </w:rPr>
      </w:pPr>
    </w:p>
    <w:p xmlns:wp14="http://schemas.microsoft.com/office/word/2010/wordml" w14:paraId="60061E4C" wp14:textId="77777777">
      <w:pPr>
        <w:pStyle w:val="Body"/>
        <w:spacing w:line="360" w:lineRule="auto"/>
        <w:jc w:val="both"/>
        <w:rPr>
          <w:rFonts w:ascii="Arial" w:hAnsi="Arial" w:eastAsia="Arial" w:cs="Arial"/>
        </w:rPr>
      </w:pPr>
    </w:p>
    <w:p w:rsidR="453F919E" w:rsidP="453F919E" w:rsidRDefault="453F919E" w14:paraId="08190FE5" w14:textId="6CB6E8AA">
      <w:pPr>
        <w:pStyle w:val="Body"/>
        <w:spacing w:line="360" w:lineRule="auto"/>
        <w:jc w:val="both"/>
        <w:rPr>
          <w:rFonts w:ascii="Arial" w:hAnsi="Arial"/>
          <w:sz w:val="22"/>
          <w:szCs w:val="22"/>
          <w:rtl w:val="0"/>
          <w:lang w:val="fr-FR"/>
        </w:rPr>
      </w:pPr>
    </w:p>
    <w:p xmlns:wp14="http://schemas.microsoft.com/office/word/2010/wordml" w:rsidP="453F919E" w14:paraId="48651851" wp14:textId="6FE8A182">
      <w:pPr>
        <w:pStyle w:val="Body"/>
        <w:spacing w:line="360" w:lineRule="auto"/>
        <w:jc w:val="both"/>
        <w:rPr>
          <w:rFonts w:ascii="Arial" w:hAnsi="Arial"/>
          <w:sz w:val="22"/>
          <w:szCs w:val="22"/>
          <w:rtl w:val="0"/>
          <w:lang w:val="fr-FR"/>
        </w:rPr>
      </w:pPr>
      <w:r w:rsidRPr="453F919E" w:rsidR="69FE0A71">
        <w:rPr>
          <w:rFonts w:ascii="Arial" w:hAnsi="Arial"/>
          <w:sz w:val="22"/>
          <w:szCs w:val="22"/>
          <w:lang w:val="fr-FR"/>
        </w:rPr>
        <w:t>INTRODUCTION</w:t>
      </w:r>
    </w:p>
    <w:p xmlns:wp14="http://schemas.microsoft.com/office/word/2010/wordml" w:rsidP="453F919E" w14:paraId="3F6CDE9B" wp14:textId="00F10DA7">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The NHS App, with over 33 million registered users as of early 2024, stands as a cornerstone of the UK’s digital health strategy, celebrated as a tool for patient empowerment and operational efficiency (NHS England, 2024). Yet, this narrative of seamless progress requires critical examination. Far from being a neutral technological solution, the NHS App represents a profound shift towards a datafile health economy, a system where healthcare interactions are transformed into quantifiable data, redefining how care is accessed, delivered, and governed. This report argues that while the App enhances accessibility for those with digital skills and resources, it systematically marginalizes vulnerable populations, reconfigures clinical roles, and challenges the UK’s data protection framework under the General Data Protection Regulation (GDPR). The central thesis posits that the App’s architecture fosters technological determinism, creating a new digital determinant of health that risks entrenching inequalities and eroding data sovereignty and the ability of individuals to control their personal data.</w:t>
      </w:r>
    </w:p>
    <w:p xmlns:wp14="http://schemas.microsoft.com/office/word/2010/wordml" w:rsidP="453F919E" w14:paraId="35F070F6" wp14:textId="0DAB11DD">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Datafication, the process of converting healthcare interactions into digital data, underpins the App’s functionality, enabling users to access medical records, book appointments, renew prescriptions, and register for organ donation with unprecedented ease. For example, 60% of users report booking appointments within minutes, compared to hours spent navigating traditional systems (NHS England, 2024). However, this shift introduces precarity, a state of instability for both patients and clinicians. For patients, precarity manifests as an exclusion for those without digital skills or devices, creating barriers to care access. For clinicians, it is a new responsibility in managing data-driven interactions, often without adequate training. The App’s proliferation, while streamlining services for a digitally enabled cohort, undermines the NHS’s founding principle of universality, the commitment to equitable care for all by creating a two-tier system where digital fluency determines care quality (The King’s Fund, 2023). Moreover, the App’s expanding scope, from a simple records portal to a multi-functional platform, raises concerns about GDPR compliance, particularly the principle of purpose limitation, which requires data to be used only for specified purposes (Information Commissioner’s Office, 2018).</w:t>
      </w:r>
    </w:p>
    <w:p xmlns:wp14="http://schemas.microsoft.com/office/word/2010/wordml" w:rsidP="453F919E" w14:paraId="6B92138C" wp14:textId="75EFF6AB">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This report is structured in three key sections to unpack these dynamics. First, it examines how the NHS App reconfigures the health and social care workforce, shifting clinicians from medical interpreters to data validators. Second, it analyzes the App’s impact on service delivery, highlighting the trade-off between efficiency and data sovereignty. Third, it explores the App’s effects on patients and communities, focusing on the coercive nature of consent and the structural exclusion of digitally disadvantaged groups. By dissecting these dimensions, the report reveals the NHS App as a double-edged sword offering convenience but risking inequity and loss of autonomy. To address these challenges, the analysis advocates for a recalibration of digital health strategies, prioritizing digital inclusion and robust data protection to ensure the App aligns with the NHS’s commitment to equitable, universal care.</w:t>
      </w:r>
    </w:p>
    <w:p xmlns:wp14="http://schemas.microsoft.com/office/word/2010/wordml" w:rsidP="453F919E" w14:paraId="7C180582" wp14:textId="546BE738">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The significance of this analysis lies in its timing. As the NHS navigates post-pandemic recovery and increasing reliance on digital tools, the App’s widespread adoption used by 70% of adults in some regions marks a pivotal moment in healthcare transformation (NHS England, 2024). Yet, the rush to digitalize risks overlooking the broader societal implications, particularly for those already marginalized by socio-economic precarity. For instance, 10 million UK adults lack basic digital skills, a barrier that amplifies existing health inequalities (Good Things Foundation, 2021). By critically examining the App’s impact, this report seeks to inform policy and practice, ensuring that digital health advances do not come at the cost of equity or autonomy. The following sections delve into these issues, offering a comprehensive critique grounded in evidence and ethical principles.</w:t>
      </w:r>
    </w:p>
    <w:p xmlns:wp14="http://schemas.microsoft.com/office/word/2010/wordml" w:rsidP="453F919E" wp14:textId="77777777" w14:paraId="395E7530">
      <w:pPr>
        <w:pStyle w:val="Body"/>
        <w:spacing w:line="360" w:lineRule="auto"/>
        <w:jc w:val="both"/>
        <w:rPr>
          <w:rFonts w:ascii="Arial" w:hAnsi="Arial" w:eastAsia="Arial" w:cs="Arial"/>
          <w:sz w:val="22"/>
          <w:szCs w:val="22"/>
        </w:rPr>
      </w:pPr>
    </w:p>
    <w:p xmlns:wp14="http://schemas.microsoft.com/office/word/2010/wordml" w:rsidP="453F919E" wp14:textId="77777777" w14:paraId="47E20BAA">
      <w:pPr>
        <w:pStyle w:val="Body"/>
        <w:spacing w:line="360" w:lineRule="auto"/>
        <w:jc w:val="both"/>
        <w:rPr>
          <w:rFonts w:ascii="Arial" w:hAnsi="Arial" w:eastAsia="Arial" w:cs="Arial"/>
          <w:sz w:val="22"/>
          <w:szCs w:val="22"/>
        </w:rPr>
      </w:pPr>
    </w:p>
    <w:p xmlns:wp14="http://schemas.microsoft.com/office/word/2010/wordml" w:rsidP="453F919E" wp14:textId="77777777" w14:paraId="3BBDE457">
      <w:pPr>
        <w:pStyle w:val="Body"/>
        <w:spacing w:line="360" w:lineRule="auto"/>
        <w:jc w:val="both"/>
        <w:rPr>
          <w:rFonts w:ascii="Arial" w:hAnsi="Arial" w:eastAsia="Arial" w:cs="Arial"/>
          <w:sz w:val="22"/>
          <w:szCs w:val="22"/>
        </w:rPr>
      </w:pPr>
    </w:p>
    <w:p xmlns:wp14="http://schemas.microsoft.com/office/word/2010/wordml" w:rsidP="453F919E" wp14:textId="77777777" w14:paraId="683D4B14">
      <w:pPr>
        <w:pStyle w:val="Body"/>
        <w:spacing w:line="360" w:lineRule="auto"/>
        <w:jc w:val="both"/>
        <w:rPr>
          <w:rFonts w:ascii="Arial" w:hAnsi="Arial" w:eastAsia="Arial" w:cs="Arial"/>
          <w:sz w:val="22"/>
          <w:szCs w:val="22"/>
        </w:rPr>
      </w:pPr>
    </w:p>
    <w:p xmlns:wp14="http://schemas.microsoft.com/office/word/2010/wordml" w:rsidP="453F919E" wp14:textId="77777777" w14:paraId="59E8A248">
      <w:pPr>
        <w:pStyle w:val="Body"/>
        <w:spacing w:line="360" w:lineRule="auto"/>
        <w:jc w:val="both"/>
        <w:rPr>
          <w:rFonts w:ascii="Arial" w:hAnsi="Arial" w:eastAsia="Arial" w:cs="Arial"/>
          <w:sz w:val="22"/>
          <w:szCs w:val="22"/>
        </w:rPr>
      </w:pPr>
    </w:p>
    <w:p xmlns:wp14="http://schemas.microsoft.com/office/word/2010/wordml" w:rsidP="453F919E" w14:paraId="4FEFD5FE" wp14:textId="2FFE6BFB">
      <w:pPr>
        <w:pStyle w:val="Body"/>
        <w:spacing w:line="360" w:lineRule="auto"/>
        <w:jc w:val="both"/>
        <w:rPr>
          <w:rFonts w:ascii="Arial" w:hAnsi="Arial"/>
          <w:sz w:val="22"/>
          <w:szCs w:val="22"/>
          <w:rtl w:val="0"/>
          <w:lang w:val="en-US"/>
        </w:rPr>
      </w:pPr>
    </w:p>
    <w:p xmlns:wp14="http://schemas.microsoft.com/office/word/2010/wordml" w:rsidP="453F919E" w14:paraId="34FB75B4" wp14:textId="0465EB43">
      <w:pPr>
        <w:pStyle w:val="Body"/>
        <w:spacing w:line="360" w:lineRule="auto"/>
        <w:jc w:val="both"/>
        <w:rPr>
          <w:rFonts w:ascii="Arial" w:hAnsi="Arial"/>
          <w:sz w:val="22"/>
          <w:szCs w:val="22"/>
          <w:rtl w:val="0"/>
          <w:lang w:val="en-US"/>
        </w:rPr>
      </w:pPr>
      <w:r w:rsidRPr="453F919E" w:rsidR="69FE0A71">
        <w:rPr>
          <w:rFonts w:ascii="Arial" w:hAnsi="Arial"/>
          <w:sz w:val="22"/>
          <w:szCs w:val="22"/>
          <w:lang w:val="en-US"/>
        </w:rPr>
        <w:t>DISCUSSION</w:t>
      </w:r>
    </w:p>
    <w:p xmlns:wp14="http://schemas.microsoft.com/office/word/2010/wordml" w:rsidP="453F919E" wp14:textId="77777777" w14:paraId="46B505A3">
      <w:pPr>
        <w:pStyle w:val="Body"/>
        <w:spacing w:line="360" w:lineRule="auto"/>
        <w:jc w:val="both"/>
        <w:rPr>
          <w:rFonts w:ascii="Arial" w:hAnsi="Arial" w:eastAsia="Arial" w:cs="Arial"/>
          <w:sz w:val="22"/>
          <w:szCs w:val="22"/>
        </w:rPr>
      </w:pPr>
      <w:r w:rsidRPr="453F919E" w:rsidR="69FE0A71">
        <w:rPr>
          <w:rFonts w:ascii="Arial" w:hAnsi="Arial"/>
          <w:sz w:val="22"/>
          <w:szCs w:val="22"/>
          <w:lang w:val="en-US"/>
        </w:rPr>
        <w:t>a) Workforce Reconfiguration: The Emergence of the Data-Mediated Clinician</w:t>
      </w:r>
    </w:p>
    <w:p xmlns:wp14="http://schemas.microsoft.com/office/word/2010/wordml" w:rsidP="453F919E" w14:paraId="39350002" wp14:textId="25BC9E5D">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The NHS App’s impact on the health and social care workforce extends far beyond the promise of liberated time, the idea that digital tools free clinicians from administrative tasks to focus on patient care. While the Royal College of General Practitioners (2023) notes that the App reduces tasks like prescription renewals, with 70% of GP practices reporting a 20% reduction in administrative workload (NHS Confederation, 2022), this efficiency masks a deeper transformation: a re-</w:t>
      </w:r>
      <w:r w:rsidRPr="453F919E" w:rsidR="69FE0A71">
        <w:rPr>
          <w:rFonts w:ascii="Arial" w:hAnsi="Arial"/>
          <w:sz w:val="22"/>
          <w:szCs w:val="22"/>
          <w:lang w:val="en-US"/>
        </w:rPr>
        <w:t>professionalisation</w:t>
      </w:r>
      <w:r w:rsidRPr="453F919E" w:rsidR="69FE0A71">
        <w:rPr>
          <w:rFonts w:ascii="Arial" w:hAnsi="Arial"/>
          <w:sz w:val="22"/>
          <w:szCs w:val="22"/>
          <w:lang w:val="en-US"/>
        </w:rPr>
        <w:t xml:space="preserve"> of clinical roles. Clinicians are increasingly positioned as data-mediated clinicians, tasked with validating and contextuali</w:t>
      </w:r>
      <w:r w:rsidRPr="453F919E" w:rsidR="50D1F0B2">
        <w:rPr>
          <w:rFonts w:ascii="Arial" w:hAnsi="Arial"/>
          <w:sz w:val="22"/>
          <w:szCs w:val="22"/>
          <w:lang w:val="en-US"/>
        </w:rPr>
        <w:t>s</w:t>
      </w:r>
      <w:r w:rsidRPr="453F919E" w:rsidR="69FE0A71">
        <w:rPr>
          <w:rFonts w:ascii="Arial" w:hAnsi="Arial"/>
          <w:sz w:val="22"/>
          <w:szCs w:val="22"/>
          <w:lang w:val="en-US"/>
        </w:rPr>
        <w:t>ing patient-accessed data rather than solely interpreting medical narratives. This shift introduces significant cognitive and emotional burdens, reshaping the nature of clinical practice.</w:t>
      </w:r>
    </w:p>
    <w:p xmlns:wp14="http://schemas.microsoft.com/office/word/2010/wordml" w:rsidP="453F919E" w14:paraId="19C3C2EC" wp14:textId="7B46986D">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For example, patients using the NHS App can access test results or medical records instantly, often before clinicians can provide context. A patient viewing a blood test result indicating potential abnormalities, such as elevated cholesterol, may experience anxiety or misinterpret the data as a definitive diagnosis, prompting urgent consultation requests (British Medical Association, 2023). This phenomenon, known as data-driven anxiety, increases consultation demands, with 65% of GPs reporting a rise in queries related to App-accessed data (NHS Confederation, 2022). Clinicians must now excel in digital triage assessing which patient concerns require immediate attention and data communication, explaining complex results in ways that alleviate fears and clarify implications. These skills extend beyond traditional clinical training, yet a 2022 survey found that 60% of GPs felt under-equipped to handle such queries, highlighting a significant gap in workforce readiness (NHS Confederation, 2022).</w:t>
      </w:r>
    </w:p>
    <w:p xmlns:wp14="http://schemas.microsoft.com/office/word/2010/wordml" w:rsidP="453F919E" w14:paraId="00122DB3" wp14:textId="48129715">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This re-professionalisation introduces precarity for clinicians, who must navigate a system they do not fully control. The App’s interface, designed by NHS Digital, dictates how data is presented often in raw, unfiltered formats yet clinicians bear the responsibility of managing its psychological and clinical fallout. For instance, a GP may spend 10-15 minutes reassuring a patient who misinterprets a test result as life-threatening, adding to workload strain (British Medical Association, 2023). This shift challenge's professional identity, as clinicians balance traditional diagnostic roles with new data-management duties, risking role strain, and a state of tension from conflicting responsibilities. A 2023 BMA report notes that 55% of clinicians report increased stress due to digital tools, undermining the narrative of efficiency gains (British Medical Association, 2023).</w:t>
      </w:r>
    </w:p>
    <w:p xmlns:wp14="http://schemas.microsoft.com/office/word/2010/wordml" w:rsidP="453F919E" w14:paraId="6F756AA1" wp14:textId="5F3F48BE">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To address this precarity, the NHS must invest in comprehensive training programs that integrate digital literacy into clinical education. For example, workshops on data communication could equip GPs to handle patient queries effectively, reducing stress and improving care quality. Additionally, co-designing the App’s interface with clinicians could ensure data is presented in user-friendly formats, minimi</w:t>
      </w:r>
      <w:r w:rsidRPr="453F919E" w:rsidR="115A5B94">
        <w:rPr>
          <w:rFonts w:ascii="Arial" w:hAnsi="Arial"/>
          <w:sz w:val="22"/>
          <w:szCs w:val="22"/>
          <w:lang w:val="en-US"/>
        </w:rPr>
        <w:t>s</w:t>
      </w:r>
      <w:r w:rsidRPr="453F919E" w:rsidR="69FE0A71">
        <w:rPr>
          <w:rFonts w:ascii="Arial" w:hAnsi="Arial"/>
          <w:sz w:val="22"/>
          <w:szCs w:val="22"/>
          <w:lang w:val="en-US"/>
        </w:rPr>
        <w:t>ing misinterpretation. Without such measures, the workforce risks becoming entangled in a system that prioritizes technological efficiency over human-centered care, perpetuating precarity, and undermining professional autonomy.</w:t>
      </w:r>
    </w:p>
    <w:p xmlns:wp14="http://schemas.microsoft.com/office/word/2010/wordml" w:rsidP="453F919E" wp14:textId="77777777" w14:paraId="38A15314">
      <w:pPr>
        <w:pStyle w:val="Body"/>
        <w:spacing w:line="360" w:lineRule="auto"/>
        <w:jc w:val="both"/>
        <w:rPr>
          <w:rFonts w:ascii="Arial" w:hAnsi="Arial" w:eastAsia="Arial" w:cs="Arial"/>
          <w:sz w:val="22"/>
          <w:szCs w:val="22"/>
        </w:rPr>
      </w:pPr>
    </w:p>
    <w:p xmlns:wp14="http://schemas.microsoft.com/office/word/2010/wordml" w:rsidP="453F919E" wp14:textId="77777777" w14:paraId="65755401">
      <w:pPr>
        <w:pStyle w:val="Body"/>
        <w:spacing w:line="360" w:lineRule="auto"/>
        <w:jc w:val="both"/>
        <w:rPr>
          <w:rFonts w:ascii="Arial" w:hAnsi="Arial" w:eastAsia="Arial" w:cs="Arial"/>
          <w:sz w:val="22"/>
          <w:szCs w:val="22"/>
        </w:rPr>
      </w:pPr>
      <w:r w:rsidRPr="453F919E" w:rsidR="69FE0A71">
        <w:rPr>
          <w:rFonts w:ascii="Arial" w:hAnsi="Arial"/>
          <w:sz w:val="22"/>
          <w:szCs w:val="22"/>
          <w:lang w:val="en-US"/>
        </w:rPr>
        <w:t>b) Service Delivery: The Efficiency-Sovereignty Trade-Off</w:t>
      </w:r>
    </w:p>
    <w:p xmlns:wp14="http://schemas.microsoft.com/office/word/2010/wordml" w:rsidP="453F919E" w14:paraId="51ACF130" wp14:textId="6D631989">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At the systemic level, the NHS App promises a revolution in service delivery, streamlining access to appointments, prescriptions, and speciali</w:t>
      </w:r>
      <w:r w:rsidRPr="453F919E" w:rsidR="5DFB1593">
        <w:rPr>
          <w:rFonts w:ascii="Arial" w:hAnsi="Arial"/>
          <w:sz w:val="22"/>
          <w:szCs w:val="22"/>
          <w:lang w:val="en-US"/>
        </w:rPr>
        <w:t>s</w:t>
      </w:r>
      <w:r w:rsidRPr="453F919E" w:rsidR="69FE0A71">
        <w:rPr>
          <w:rFonts w:ascii="Arial" w:hAnsi="Arial"/>
          <w:sz w:val="22"/>
          <w:szCs w:val="22"/>
          <w:lang w:val="en-US"/>
        </w:rPr>
        <w:t>ed services like organ donation registration. By integrating these functions into a single platform, the App has reduced administrative costs by 15% in some NHS trusts, allowing staff to focus on clinical priorities (National Audit Office, 2023). For example, patients can book appointments in under five minutes, compared to 20-30 minutes via phone systems, improving access for 60% of users (NHS England, 2024). However, this efficiency stems from a data processing model that raises critical concerns under the UK GDPR, particularly Article 5(1)(b), which mandates purpose limitation data must be collected for “specified, explicit and legitimate purposes” (Information Commissioner’s Office, 2018).</w:t>
      </w:r>
    </w:p>
    <w:p xmlns:wp14="http://schemas.microsoft.com/office/word/2010/wordml" w:rsidP="453F919E" wp14:textId="77777777" w14:paraId="0D357A67">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The App’s evolution from a simple records portal to a multi-functional platform demonstrates functional creep, where data uses expand beyond original intents. Initially launched in 2018 for record access, the App now manages vaccination status, organ donation, and primary care interactions, aggregating sensitive data into a centralized system (National Audit Office, 2023). For instance, adding organ donation registration in 2022 was justified for public health, but its integration into a single platform challenges GDPR’s principle of bounded processing. This shift transforms service delivery from discrete, purpose-specific interactions to a continuous data relationship between citizens and the state, where data collected for one purpose (e.g., appointments) is repurposed for others (e.g., public health analytics) (Department of Health and Social Care, 2021).</w:t>
      </w:r>
    </w:p>
    <w:p xmlns:wp14="http://schemas.microsoft.com/office/word/2010/wordml" w:rsidP="453F919E" w14:paraId="01416589" wp14:textId="668BCED1">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This consolidation introduces precarity for data sovereignty, as patients lose control over how their data is used. The App’s comprehensive approach creates a centralised repository, increasing breaches or misuse of risks. A 2023 NAO report found that 40% of NHS trusts lack robust cybersecurity for integrated platforms, with 10 reported data incidents involving the App in 2022 (National Audit Office, 2023). For example, a breach exposing vaccination status could erode trust, particularly among communities skeptical of data sharing. While efficiency gains are tangible, saving an estimated £50 million annually across trusts, the constitutional cost is significant: eroding patient autonomy and testing GDPR limits (National Audit Office, 2023). To mitigate this, the NHS must implement stricter data governance, such as segmented data storage and transparent purpose declarations, to protect sovereignty while maintaining efficiency.</w:t>
      </w:r>
    </w:p>
    <w:p xmlns:wp14="http://schemas.microsoft.com/office/word/2010/wordml" w:rsidP="453F919E" wp14:textId="77777777" w14:paraId="5D61B1D2">
      <w:pPr>
        <w:pStyle w:val="Body"/>
        <w:spacing w:line="360" w:lineRule="auto"/>
        <w:jc w:val="both"/>
        <w:rPr>
          <w:rFonts w:ascii="Arial" w:hAnsi="Arial" w:eastAsia="Arial" w:cs="Arial"/>
          <w:sz w:val="22"/>
          <w:szCs w:val="22"/>
        </w:rPr>
      </w:pPr>
    </w:p>
    <w:p xmlns:wp14="http://schemas.microsoft.com/office/word/2010/wordml" w:rsidP="453F919E" wp14:textId="77777777" w14:paraId="5BF31CF6">
      <w:pPr>
        <w:pStyle w:val="Body"/>
        <w:spacing w:line="360" w:lineRule="auto"/>
        <w:jc w:val="both"/>
        <w:rPr>
          <w:rFonts w:ascii="Arial" w:hAnsi="Arial" w:eastAsia="Arial" w:cs="Arial"/>
          <w:sz w:val="22"/>
          <w:szCs w:val="22"/>
        </w:rPr>
      </w:pPr>
      <w:r w:rsidRPr="453F919E" w:rsidR="69FE0A71">
        <w:rPr>
          <w:rFonts w:ascii="Arial" w:hAnsi="Arial"/>
          <w:sz w:val="22"/>
          <w:szCs w:val="22"/>
          <w:lang w:val="en-US"/>
        </w:rPr>
        <w:t>c) Patient and Community Impact: The Mirage of Consent and the Reality of Structural Exclusion</w:t>
      </w:r>
    </w:p>
    <w:p xmlns:wp14="http://schemas.microsoft.com/office/word/2010/wordml" w:rsidP="453F919E" w14:paraId="40E5062D" wp14:textId="1FDA6808">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The NHS App’s rhetoric of empowerment promising patients’ control over their health data is critically undermined by its consent mechanics and the stark realities of digital exclusion. Under GDPR, consent must be freely given, specific, and informed, yet the App’s architecture ties access to essential services (e.g., appointments, prescriptions) to data sharing, creating a contractual necessity that borders on coercive (Micheli et al., 2020). For example, opting out of data sharing may disable key functionalities, compelling users to consent to maintain access. This power imbalance undermines voluntariness, as patients face a stark choice: share data or forgo efficient healthcare access (Micheli et al., 2020). A 2022 survey found that 45% of users felt pressured to consent to data sharing to use the App effectively (Healthwatch England, 2022).</w:t>
      </w:r>
    </w:p>
    <w:p xmlns:wp14="http://schemas.microsoft.com/office/word/2010/wordml" w:rsidP="453F919E" w14:paraId="6F75E8FA" wp14:textId="4CE18A66">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At the community level, digital exclusion exacerbates precarity, particularly for vulnerable groups. The Good Things Foundation (2021) estimates that 10 million UK adults lack basic digital skills, with older adults, low-income households, and rural communities disproportionately affected. The King’s Fund (2023) reports that 25% of NHS App users face barriers like lack of devices, internet, or skills, creating a two-tier system (Healthwatch England, 2022). Digitally enabled users often younger, urban, and affluent benefit from streamlined services, booking appointments in minutes, while those reliant on analogue pathways (e.g., phone or in-person bookings) face overburdened systems, with 30% longer wait times for non-digital appointments (Healthwatch England, 2022).</w:t>
      </w:r>
    </w:p>
    <w:p xmlns:wp14="http://schemas.microsoft.com/office/word/2010/wordml" w:rsidP="453F919E" wp14:textId="77777777" w14:paraId="11378334">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This stratification contravenes the NHS’s universality principle, hardwiring inequalities into care infrastructure. For instance, a rural patient without broadband may miss critical appointments, exacerbating conditions like diabetes or hypertension. The App’s design assumes digital fluency, ignoring the precarity of groups like the 15% of over-65s without internet access or the 20% of low-income households without smartphones (Good Things Foundation, 2021). Addressing this requires inclusive design, such as offline access options or community-based digital literacy programs, to ensure equitable care. Without such measures, the App risks perpetuating a system where digital access determines health outcomes, deepening socio-economic disparities.</w:t>
      </w:r>
    </w:p>
    <w:p xmlns:wp14="http://schemas.microsoft.com/office/word/2010/wordml" w:rsidP="453F919E" wp14:textId="77777777" w14:paraId="31499919">
      <w:pPr>
        <w:pStyle w:val="Body"/>
        <w:spacing w:line="360" w:lineRule="auto"/>
        <w:jc w:val="both"/>
        <w:rPr>
          <w:rFonts w:ascii="Arial" w:hAnsi="Arial" w:eastAsia="Arial" w:cs="Arial"/>
          <w:sz w:val="22"/>
          <w:szCs w:val="22"/>
        </w:rPr>
      </w:pPr>
    </w:p>
    <w:p xmlns:wp14="http://schemas.microsoft.com/office/word/2010/wordml" w:rsidP="453F919E" wp14:textId="77777777" w14:paraId="1104C817">
      <w:pPr>
        <w:pStyle w:val="Body"/>
        <w:spacing w:line="360" w:lineRule="auto"/>
        <w:jc w:val="both"/>
        <w:rPr>
          <w:rFonts w:ascii="Arial" w:hAnsi="Arial" w:eastAsia="Arial" w:cs="Arial"/>
          <w:sz w:val="22"/>
          <w:szCs w:val="22"/>
        </w:rPr>
      </w:pPr>
    </w:p>
    <w:p xmlns:wp14="http://schemas.microsoft.com/office/word/2010/wordml" w:rsidP="453F919E" wp14:textId="77777777" w14:paraId="43DFB457">
      <w:pPr>
        <w:pStyle w:val="Body"/>
        <w:spacing w:line="360" w:lineRule="auto"/>
        <w:jc w:val="both"/>
        <w:rPr>
          <w:rFonts w:ascii="Arial" w:hAnsi="Arial" w:eastAsia="Arial" w:cs="Arial"/>
          <w:sz w:val="22"/>
          <w:szCs w:val="22"/>
        </w:rPr>
      </w:pPr>
    </w:p>
    <w:p xmlns:wp14="http://schemas.microsoft.com/office/word/2010/wordml" w:rsidP="453F919E" wp14:textId="77777777" w14:paraId="06944F91">
      <w:pPr>
        <w:pStyle w:val="Body"/>
        <w:spacing w:line="360" w:lineRule="auto"/>
        <w:jc w:val="both"/>
        <w:rPr>
          <w:rFonts w:ascii="Arial" w:hAnsi="Arial" w:eastAsia="Arial" w:cs="Arial"/>
          <w:sz w:val="22"/>
          <w:szCs w:val="22"/>
        </w:rPr>
      </w:pPr>
    </w:p>
    <w:p xmlns:wp14="http://schemas.microsoft.com/office/word/2010/wordml" w:rsidP="453F919E" wp14:textId="77777777" w14:paraId="18F6CBB9">
      <w:pPr>
        <w:pStyle w:val="Body"/>
        <w:spacing w:line="360" w:lineRule="auto"/>
        <w:jc w:val="both"/>
        <w:rPr>
          <w:rFonts w:ascii="Arial" w:hAnsi="Arial" w:eastAsia="Arial" w:cs="Arial"/>
          <w:sz w:val="22"/>
          <w:szCs w:val="22"/>
        </w:rPr>
      </w:pPr>
    </w:p>
    <w:p xmlns:wp14="http://schemas.microsoft.com/office/word/2010/wordml" w:rsidP="453F919E" wp14:textId="77777777" w14:paraId="21BCE4F2">
      <w:pPr>
        <w:pStyle w:val="Body"/>
        <w:spacing w:line="360" w:lineRule="auto"/>
        <w:jc w:val="both"/>
        <w:rPr>
          <w:rFonts w:ascii="Arial" w:hAnsi="Arial" w:eastAsia="Arial" w:cs="Arial"/>
          <w:sz w:val="22"/>
          <w:szCs w:val="22"/>
        </w:rPr>
      </w:pPr>
    </w:p>
    <w:p xmlns:wp14="http://schemas.microsoft.com/office/word/2010/wordml" w:rsidP="453F919E" wp14:textId="77777777" w14:paraId="19684A75">
      <w:pPr>
        <w:pStyle w:val="Body"/>
        <w:spacing w:line="360" w:lineRule="auto"/>
        <w:jc w:val="both"/>
        <w:rPr>
          <w:rFonts w:ascii="Arial" w:hAnsi="Arial" w:eastAsia="Arial" w:cs="Arial"/>
          <w:sz w:val="22"/>
          <w:szCs w:val="22"/>
        </w:rPr>
      </w:pPr>
    </w:p>
    <w:p xmlns:wp14="http://schemas.microsoft.com/office/word/2010/wordml" w:rsidP="453F919E" w14:paraId="5495DBAA" wp14:textId="02793E4F">
      <w:pPr>
        <w:pStyle w:val="Body"/>
        <w:spacing w:line="360" w:lineRule="auto"/>
        <w:jc w:val="both"/>
        <w:rPr>
          <w:rFonts w:ascii="Arial" w:hAnsi="Arial"/>
          <w:sz w:val="22"/>
          <w:szCs w:val="22"/>
          <w:rtl w:val="0"/>
          <w:lang w:val="it-IT"/>
        </w:rPr>
      </w:pPr>
      <w:r w:rsidRPr="453F919E" w:rsidR="69FE0A71">
        <w:rPr>
          <w:rFonts w:ascii="Arial" w:hAnsi="Arial"/>
          <w:sz w:val="22"/>
          <w:szCs w:val="22"/>
          <w:lang w:val="it-IT"/>
        </w:rPr>
        <w:t>CONCLUSION</w:t>
      </w:r>
    </w:p>
    <w:p xmlns:wp14="http://schemas.microsoft.com/office/word/2010/wordml" w:rsidP="453F919E" w14:paraId="5F69A4D5" wp14:textId="52DB03D0">
      <w:pPr>
        <w:pStyle w:val="Body"/>
        <w:spacing w:line="360" w:lineRule="auto"/>
        <w:jc w:val="both"/>
        <w:rPr>
          <w:rFonts w:ascii="Arial" w:hAnsi="Arial" w:eastAsia="Arial" w:cs="Arial"/>
          <w:sz w:val="22"/>
          <w:szCs w:val="22"/>
          <w:lang w:val="en-US"/>
        </w:rPr>
      </w:pPr>
      <w:r w:rsidRPr="453F919E" w:rsidR="69FE0A71">
        <w:rPr>
          <w:rFonts w:ascii="Arial" w:hAnsi="Arial"/>
          <w:sz w:val="22"/>
          <w:szCs w:val="22"/>
          <w:lang w:val="en-US"/>
        </w:rPr>
        <w:t xml:space="preserve">The NHS App is not merely a technological tool, but a socio-technical system reshaping UK healthcare. While delivering efficiency and access for many, it introduces precarity through workforce reconfiguration, GDPR challenges, and digital exclusion. Clinicians face new burdens as data validators; service delivery risks eroding data sovereignty, and vulnerable communities are marginalized by a two-tier system. The App’s legacy lies in normalizing a trade-off between convenience and equity, demanding a recalibration where digital inclusion and data protection are foundational. Only by addressing these issues can the NHS App align with the NHS’s commitment to universal, </w:t>
      </w:r>
      <w:r w:rsidRPr="453F919E" w:rsidR="69FE0A71">
        <w:rPr>
          <w:rFonts w:ascii="Arial" w:hAnsi="Arial"/>
          <w:sz w:val="22"/>
          <w:szCs w:val="22"/>
          <w:lang w:val="en-US"/>
        </w:rPr>
        <w:t>equitable</w:t>
      </w:r>
      <w:r w:rsidRPr="453F919E" w:rsidR="69FE0A71">
        <w:rPr>
          <w:rFonts w:ascii="Arial" w:hAnsi="Arial"/>
          <w:sz w:val="22"/>
          <w:szCs w:val="22"/>
          <w:lang w:val="en-US"/>
        </w:rPr>
        <w:t xml:space="preserve"> care, ensuring that technological progress does not come at the cost of fairness or autonomy.</w:t>
      </w:r>
    </w:p>
    <w:p xmlns:wp14="http://schemas.microsoft.com/office/word/2010/wordml" w:rsidP="453F919E" w14:paraId="7E4B7059" wp14:textId="3418B037">
      <w:pPr>
        <w:pStyle w:val="Body"/>
        <w:rPr>
          <w:lang w:val="en-US"/>
        </w:rPr>
      </w:pPr>
    </w:p>
    <w:p xmlns:wp14="http://schemas.microsoft.com/office/word/2010/wordml" w:rsidP="453F919E" w14:paraId="0ACB9415" wp14:textId="427F2A25">
      <w:pPr>
        <w:pStyle w:val="Body"/>
        <w:rPr>
          <w:lang w:val="en-US"/>
        </w:rPr>
      </w:pPr>
    </w:p>
    <w:p xmlns:wp14="http://schemas.microsoft.com/office/word/2010/wordml" w:rsidP="453F919E" w14:paraId="418D6E17" wp14:textId="2ACADFDB">
      <w:pPr>
        <w:pStyle w:val="Body"/>
        <w:spacing w:line="360" w:lineRule="auto"/>
        <w:jc w:val="both"/>
        <w:rPr>
          <w:rFonts w:ascii="Arial" w:hAnsi="Arial"/>
          <w:sz w:val="22"/>
          <w:szCs w:val="22"/>
          <w:rtl w:val="0"/>
          <w:lang w:val="fr-FR"/>
        </w:rPr>
      </w:pPr>
    </w:p>
    <w:p xmlns:wp14="http://schemas.microsoft.com/office/word/2010/wordml" w:rsidP="453F919E" w14:paraId="26F10903" wp14:textId="26160365">
      <w:pPr>
        <w:pStyle w:val="Body"/>
        <w:spacing w:line="360" w:lineRule="auto"/>
        <w:jc w:val="both"/>
        <w:rPr>
          <w:rFonts w:ascii="Arial" w:hAnsi="Arial"/>
          <w:sz w:val="22"/>
          <w:szCs w:val="22"/>
          <w:rtl w:val="0"/>
          <w:lang w:val="fr-FR"/>
        </w:rPr>
      </w:pPr>
    </w:p>
    <w:p xmlns:wp14="http://schemas.microsoft.com/office/word/2010/wordml" w:rsidP="453F919E" w14:paraId="0A75D48F" wp14:textId="0340C941">
      <w:pPr>
        <w:pStyle w:val="Body"/>
        <w:rPr>
          <w:lang w:val="fr-FR"/>
        </w:rPr>
      </w:pPr>
    </w:p>
    <w:p xmlns:wp14="http://schemas.microsoft.com/office/word/2010/wordml" w:rsidP="453F919E" w14:paraId="022E00C9" wp14:textId="1ED2AE81">
      <w:pPr>
        <w:pStyle w:val="Body"/>
        <w:spacing w:line="360" w:lineRule="auto"/>
        <w:jc w:val="both"/>
        <w:rPr>
          <w:rFonts w:ascii="Arial" w:hAnsi="Arial"/>
          <w:sz w:val="22"/>
          <w:szCs w:val="22"/>
          <w:rtl w:val="0"/>
          <w:lang w:val="fr-FR"/>
        </w:rPr>
      </w:pPr>
      <w:r w:rsidRPr="453F919E" w:rsidR="69FE0A71">
        <w:rPr>
          <w:rFonts w:ascii="Arial" w:hAnsi="Arial"/>
          <w:sz w:val="22"/>
          <w:szCs w:val="22"/>
          <w:lang w:val="fr-FR"/>
        </w:rPr>
        <w:t>REFERENCES</w:t>
      </w:r>
    </w:p>
    <w:p xmlns:wp14="http://schemas.microsoft.com/office/word/2010/wordml" w:rsidP="453F919E" w14:paraId="670E887D" wp14:textId="08DE22E6">
      <w:pPr>
        <w:pStyle w:val="Body"/>
        <w:rPr>
          <w:rFonts w:ascii="Arial" w:hAnsi="Arial"/>
          <w:sz w:val="22"/>
          <w:szCs w:val="22"/>
          <w:rtl w:val="0"/>
          <w:lang w:val="en-US"/>
        </w:rPr>
      </w:pPr>
      <w:r w:rsidRPr="453F919E" w:rsidR="69FE0A71">
        <w:rPr>
          <w:rFonts w:ascii="Arial" w:hAnsi="Arial"/>
          <w:sz w:val="22"/>
          <w:szCs w:val="22"/>
          <w:lang w:val="en-US"/>
        </w:rPr>
        <w:t>Bing, 2025</w:t>
      </w:r>
      <w:r w:rsidRPr="453F919E" w:rsidR="69FE0A71">
        <w:rPr>
          <w:rFonts w:ascii="Arial" w:hAnsi="Arial"/>
          <w:i w:val="1"/>
          <w:iCs w:val="1"/>
          <w:sz w:val="22"/>
          <w:szCs w:val="22"/>
          <w:lang w:val="en-US"/>
        </w:rPr>
        <w:t xml:space="preserve"> Online Picture</w:t>
      </w:r>
      <w:r w:rsidRPr="453F919E" w:rsidR="7FE26D6E">
        <w:rPr>
          <w:rFonts w:ascii="Arial" w:hAnsi="Arial"/>
          <w:i w:val="1"/>
          <w:iCs w:val="1"/>
          <w:sz w:val="22"/>
          <w:szCs w:val="22"/>
          <w:lang w:val="en-US"/>
        </w:rPr>
        <w:t>s</w:t>
      </w:r>
      <w:r w:rsidRPr="453F919E" w:rsidR="69FE0A71">
        <w:rPr>
          <w:rFonts w:ascii="Arial" w:hAnsi="Arial"/>
          <w:sz w:val="22"/>
          <w:szCs w:val="22"/>
          <w:lang w:val="en-US"/>
        </w:rPr>
        <w:t xml:space="preserve"> (Accessed 21 October 2025)</w:t>
      </w:r>
    </w:p>
    <w:p xmlns:wp14="http://schemas.microsoft.com/office/word/2010/wordml" w:rsidP="453F919E" w14:paraId="1DD012AF" wp14:textId="2A981924">
      <w:pPr>
        <w:pStyle w:val="Body"/>
        <w:spacing w:line="360" w:lineRule="auto"/>
        <w:jc w:val="both"/>
        <w:rPr>
          <w:rStyle w:val="None"/>
          <w:rFonts w:ascii="Arial" w:hAnsi="Arial" w:eastAsia="Arial" w:cs="Arial"/>
          <w:sz w:val="22"/>
          <w:szCs w:val="22"/>
          <w:lang w:val="en-US"/>
        </w:rPr>
      </w:pPr>
      <w:r w:rsidRPr="453F919E" w:rsidR="69FE0A71">
        <w:rPr>
          <w:rFonts w:ascii="Arial" w:hAnsi="Arial"/>
          <w:sz w:val="22"/>
          <w:szCs w:val="22"/>
          <w:lang w:val="en-US"/>
        </w:rPr>
        <w:t xml:space="preserve">British Medical Association (2023) </w:t>
      </w:r>
      <w:r w:rsidRPr="453F919E" w:rsidR="69FE0A71">
        <w:rPr>
          <w:rFonts w:ascii="Arial" w:hAnsi="Arial"/>
          <w:i w:val="1"/>
          <w:iCs w:val="1"/>
          <w:sz w:val="22"/>
          <w:szCs w:val="22"/>
          <w:lang w:val="en-US"/>
        </w:rPr>
        <w:t xml:space="preserve">Digital health: benefits and risks for clinicians and patients. </w:t>
      </w:r>
      <w:r w:rsidRPr="453F919E" w:rsidR="69FE0A71">
        <w:rPr>
          <w:rFonts w:ascii="Arial" w:hAnsi="Arial"/>
          <w:sz w:val="22"/>
          <w:szCs w:val="22"/>
          <w:lang w:val="en-US"/>
        </w:rPr>
        <w:t xml:space="preserve">Available at: </w:t>
      </w:r>
      <w:hyperlink r:id="R891d971551b74d85">
        <w:r w:rsidRPr="453F919E" w:rsidR="69FE0A71">
          <w:rPr>
            <w:rStyle w:val="Hyperlink.0"/>
            <w:lang w:val="en-US"/>
          </w:rPr>
          <w:t>https://www.bma.org.uk/advice-and-support/nhs-delivery-and-workforce/digital-health/digital-health-benefits-and-risks</w:t>
        </w:r>
      </w:hyperlink>
      <w:r w:rsidRPr="453F919E" w:rsidR="69FE0A71">
        <w:rPr>
          <w:rStyle w:val="None"/>
          <w:rFonts w:ascii="Arial" w:hAnsi="Arial"/>
          <w:sz w:val="22"/>
          <w:szCs w:val="22"/>
          <w:lang w:val="en-US"/>
        </w:rPr>
        <w:t xml:space="preserve"> (Accessed 14 October 2025).</w:t>
      </w:r>
    </w:p>
    <w:p xmlns:wp14="http://schemas.microsoft.com/office/word/2010/wordml" w:rsidP="453F919E" w14:paraId="30B31BA6" wp14:textId="6D84233D">
      <w:pPr>
        <w:pStyle w:val="Body"/>
        <w:spacing w:line="360" w:lineRule="auto"/>
        <w:jc w:val="both"/>
        <w:rPr>
          <w:rStyle w:val="None"/>
          <w:rFonts w:ascii="Arial" w:hAnsi="Arial" w:eastAsia="Arial" w:cs="Arial"/>
          <w:sz w:val="22"/>
          <w:szCs w:val="22"/>
        </w:rPr>
      </w:pPr>
      <w:r w:rsidRPr="453F919E" w:rsidR="69FE0A71">
        <w:rPr>
          <w:rStyle w:val="None"/>
          <w:rFonts w:ascii="Arial" w:hAnsi="Arial"/>
          <w:sz w:val="22"/>
          <w:szCs w:val="22"/>
          <w:lang w:val="en-US"/>
        </w:rPr>
        <w:t xml:space="preserve">Department of Health and Social Care (2021) </w:t>
      </w:r>
      <w:r w:rsidRPr="453F919E" w:rsidR="69FE0A71">
        <w:rPr>
          <w:rStyle w:val="None"/>
          <w:rFonts w:ascii="Arial" w:hAnsi="Arial"/>
          <w:i w:val="1"/>
          <w:iCs w:val="1"/>
          <w:sz w:val="22"/>
          <w:szCs w:val="22"/>
          <w:lang w:val="en-US"/>
        </w:rPr>
        <w:t>Data saves lives: reshaping health and social care with data.</w:t>
      </w:r>
      <w:r w:rsidRPr="453F919E" w:rsidR="69FE0A71">
        <w:rPr>
          <w:rStyle w:val="None"/>
          <w:rFonts w:ascii="Arial" w:hAnsi="Arial"/>
          <w:i w:val="1"/>
          <w:iCs w:val="1"/>
          <w:sz w:val="22"/>
          <w:szCs w:val="22"/>
          <w:lang w:val="en-US"/>
        </w:rPr>
        <w:t xml:space="preserve"> </w:t>
      </w:r>
      <w:r w:rsidRPr="453F919E" w:rsidR="69FE0A71">
        <w:rPr>
          <w:rStyle w:val="None"/>
          <w:rFonts w:ascii="Arial" w:hAnsi="Arial"/>
          <w:sz w:val="22"/>
          <w:szCs w:val="22"/>
          <w:lang w:val="en-US"/>
        </w:rPr>
        <w:t xml:space="preserve">Available at: </w:t>
      </w:r>
      <w:hyperlink r:id="R364192ec1d734851">
        <w:r w:rsidRPr="453F919E" w:rsidR="69FE0A71">
          <w:rPr>
            <w:rStyle w:val="Hyperlink.0"/>
            <w:lang w:val="en-US"/>
          </w:rPr>
          <w:t>https://www.gov.uk/government/publications/data-saves-lives-reshaping-health-and-social-care-with-data</w:t>
        </w:r>
      </w:hyperlink>
      <w:r w:rsidRPr="453F919E" w:rsidR="69FE0A71">
        <w:rPr>
          <w:rStyle w:val="None"/>
          <w:rFonts w:ascii="Arial" w:hAnsi="Arial"/>
          <w:sz w:val="22"/>
          <w:szCs w:val="22"/>
          <w:lang w:val="en-US"/>
        </w:rPr>
        <w:t xml:space="preserve"> (Accessed 13 October 2025).</w:t>
      </w:r>
    </w:p>
    <w:p xmlns:wp14="http://schemas.microsoft.com/office/word/2010/wordml" w:rsidP="453F919E" w14:paraId="7867F057" wp14:textId="7A186D7B">
      <w:pPr>
        <w:pStyle w:val="Body"/>
        <w:spacing w:line="360" w:lineRule="auto"/>
        <w:jc w:val="both"/>
        <w:rPr>
          <w:rStyle w:val="None"/>
          <w:rFonts w:ascii="Arial" w:hAnsi="Arial" w:eastAsia="Arial" w:cs="Arial"/>
          <w:sz w:val="22"/>
          <w:szCs w:val="22"/>
          <w:lang w:val="en-US"/>
        </w:rPr>
      </w:pPr>
      <w:r w:rsidRPr="453F919E" w:rsidR="69FE0A71">
        <w:rPr>
          <w:rStyle w:val="None"/>
          <w:rFonts w:ascii="Arial" w:hAnsi="Arial"/>
          <w:sz w:val="22"/>
          <w:szCs w:val="22"/>
          <w:lang w:val="en-US"/>
        </w:rPr>
        <w:t xml:space="preserve">Good Things Foundation (2021) </w:t>
      </w:r>
      <w:r w:rsidRPr="453F919E" w:rsidR="69FE0A71">
        <w:rPr>
          <w:rStyle w:val="None"/>
          <w:rFonts w:ascii="Arial" w:hAnsi="Arial"/>
          <w:i w:val="1"/>
          <w:iCs w:val="1"/>
          <w:sz w:val="22"/>
          <w:szCs w:val="22"/>
          <w:lang w:val="en-US"/>
        </w:rPr>
        <w:t>Health inequalities: the potential of digital</w:t>
      </w:r>
      <w:r w:rsidRPr="453F919E" w:rsidR="69FE0A71">
        <w:rPr>
          <w:rStyle w:val="None"/>
          <w:rFonts w:ascii="Arial" w:hAnsi="Arial"/>
          <w:sz w:val="22"/>
          <w:szCs w:val="22"/>
          <w:lang w:val="en-US"/>
        </w:rPr>
        <w:t xml:space="preserve">. Available at: </w:t>
      </w:r>
      <w:hyperlink r:id="Rb8e0ffa714d64661">
        <w:r w:rsidRPr="453F919E" w:rsidR="69FE0A71">
          <w:rPr>
            <w:rStyle w:val="Hyperlink.0"/>
            <w:lang w:val="en-US"/>
          </w:rPr>
          <w:t>https://www.goodthingsfoundation.org/insights/health-inequalities-the-potential-of-digital/</w:t>
        </w:r>
      </w:hyperlink>
      <w:r w:rsidRPr="453F919E" w:rsidR="69FE0A71">
        <w:rPr>
          <w:rStyle w:val="None"/>
          <w:rFonts w:ascii="Arial" w:hAnsi="Arial"/>
          <w:sz w:val="22"/>
          <w:szCs w:val="22"/>
          <w:lang w:val="en-US"/>
        </w:rPr>
        <w:t xml:space="preserve">  (Accessed 17 October 2025).</w:t>
      </w:r>
    </w:p>
    <w:p xmlns:wp14="http://schemas.microsoft.com/office/word/2010/wordml" w:rsidP="453F919E" w14:paraId="33A8D174" wp14:textId="1EA5856D">
      <w:pPr>
        <w:pStyle w:val="Body"/>
        <w:spacing w:line="360" w:lineRule="auto"/>
        <w:jc w:val="both"/>
        <w:rPr>
          <w:rStyle w:val="None"/>
          <w:rFonts w:ascii="Arial" w:hAnsi="Arial" w:eastAsia="Arial" w:cs="Arial"/>
          <w:sz w:val="22"/>
          <w:szCs w:val="22"/>
          <w:lang w:val="en-US"/>
        </w:rPr>
      </w:pPr>
      <w:r w:rsidRPr="453F919E" w:rsidR="69FE0A71">
        <w:rPr>
          <w:rStyle w:val="None"/>
          <w:rFonts w:ascii="Arial" w:hAnsi="Arial"/>
          <w:sz w:val="22"/>
          <w:szCs w:val="22"/>
          <w:lang w:val="en-US"/>
        </w:rPr>
        <w:t xml:space="preserve">Healthwatch England (2022) </w:t>
      </w:r>
      <w:r w:rsidRPr="453F919E" w:rsidR="69FE0A71">
        <w:rPr>
          <w:rStyle w:val="None"/>
          <w:rFonts w:ascii="Arial" w:hAnsi="Arial"/>
          <w:i w:val="1"/>
          <w:iCs w:val="1"/>
          <w:sz w:val="22"/>
          <w:szCs w:val="22"/>
          <w:lang w:val="en-US"/>
        </w:rPr>
        <w:t xml:space="preserve">Digital health: public experiences and expectations. </w:t>
      </w:r>
      <w:r w:rsidRPr="453F919E" w:rsidR="69FE0A71">
        <w:rPr>
          <w:rStyle w:val="None"/>
          <w:rFonts w:ascii="Arial" w:hAnsi="Arial"/>
          <w:sz w:val="22"/>
          <w:szCs w:val="22"/>
          <w:lang w:val="en-US"/>
        </w:rPr>
        <w:t xml:space="preserve">Available at: </w:t>
      </w:r>
      <w:hyperlink r:id="Re955fe82509a4880">
        <w:r w:rsidRPr="453F919E" w:rsidR="69FE0A71">
          <w:rPr>
            <w:rStyle w:val="Hyperlink.0"/>
            <w:lang w:val="en-US"/>
          </w:rPr>
          <w:t>https://www.healthwatch.co.uk/reports/digital-health-public-experiences-2022</w:t>
        </w:r>
      </w:hyperlink>
      <w:r w:rsidRPr="453F919E" w:rsidR="69FE0A71">
        <w:rPr>
          <w:rStyle w:val="None"/>
          <w:rFonts w:ascii="Arial" w:hAnsi="Arial"/>
          <w:sz w:val="22"/>
          <w:szCs w:val="22"/>
          <w:lang w:val="en-US"/>
        </w:rPr>
        <w:t xml:space="preserve">  (Accessed 17 October 2025).</w:t>
      </w:r>
    </w:p>
    <w:p xmlns:wp14="http://schemas.microsoft.com/office/word/2010/wordml" w:rsidP="453F919E" w14:paraId="39F9CE15" wp14:textId="34B58F84">
      <w:pPr>
        <w:pStyle w:val="Body"/>
        <w:spacing w:line="360" w:lineRule="auto"/>
        <w:jc w:val="both"/>
        <w:rPr>
          <w:rStyle w:val="None"/>
          <w:rFonts w:ascii="Arial" w:hAnsi="Arial" w:eastAsia="Arial" w:cs="Arial"/>
          <w:sz w:val="22"/>
          <w:szCs w:val="22"/>
        </w:rPr>
      </w:pPr>
      <w:r w:rsidRPr="453F919E" w:rsidR="69FE0A71">
        <w:rPr>
          <w:rStyle w:val="None"/>
          <w:rFonts w:ascii="Arial" w:hAnsi="Arial"/>
          <w:sz w:val="22"/>
          <w:szCs w:val="22"/>
          <w:lang w:val="en-US"/>
        </w:rPr>
        <w:t>Information Commissioner’</w:t>
      </w:r>
      <w:r w:rsidRPr="453F919E" w:rsidR="69FE0A71">
        <w:rPr>
          <w:rStyle w:val="None"/>
          <w:rFonts w:ascii="Arial" w:hAnsi="Arial"/>
          <w:sz w:val="22"/>
          <w:szCs w:val="22"/>
          <w:lang w:val="it-IT"/>
        </w:rPr>
        <w:t xml:space="preserve">s Office (2018) </w:t>
      </w:r>
      <w:r w:rsidRPr="453F919E" w:rsidR="69FE0A71">
        <w:rPr>
          <w:rStyle w:val="None"/>
          <w:rFonts w:ascii="Arial" w:hAnsi="Arial"/>
          <w:i w:val="1"/>
          <w:iCs w:val="1"/>
          <w:sz w:val="22"/>
          <w:szCs w:val="22"/>
          <w:lang w:val="en-US"/>
        </w:rPr>
        <w:t xml:space="preserve">Guide to the General Data Protection Regulation (GDPR): principles. </w:t>
      </w:r>
      <w:r w:rsidRPr="453F919E" w:rsidR="69FE0A71">
        <w:rPr>
          <w:rStyle w:val="None"/>
          <w:rFonts w:ascii="Arial" w:hAnsi="Arial"/>
          <w:sz w:val="22"/>
          <w:szCs w:val="22"/>
          <w:lang w:val="en-US"/>
        </w:rPr>
        <w:t xml:space="preserve">Available at: </w:t>
      </w:r>
      <w:hyperlink r:id="R64cb335d331741d1">
        <w:r w:rsidRPr="453F919E" w:rsidR="69FE0A71">
          <w:rPr>
            <w:rStyle w:val="Hyperlink.0"/>
            <w:lang w:val="en-US"/>
          </w:rPr>
          <w:t>https://ico.org.uk/for-organisations/guide-to-data-protection/guide-to-the-general-data-protection-regulation-gdpr/principles/</w:t>
        </w:r>
      </w:hyperlink>
      <w:r w:rsidRPr="453F919E" w:rsidR="69FE0A71">
        <w:rPr>
          <w:rStyle w:val="None"/>
          <w:rFonts w:ascii="Arial" w:hAnsi="Arial"/>
          <w:sz w:val="22"/>
          <w:szCs w:val="22"/>
          <w:lang w:val="en-US"/>
        </w:rPr>
        <w:t xml:space="preserve">  (Accessed 17 October 2025).</w:t>
      </w:r>
    </w:p>
    <w:p xmlns:wp14="http://schemas.microsoft.com/office/word/2010/wordml" w:rsidP="453F919E" w14:paraId="5E770ADB" wp14:textId="1755D12D">
      <w:pPr>
        <w:pStyle w:val="Body"/>
        <w:spacing w:line="360" w:lineRule="auto"/>
        <w:jc w:val="both"/>
        <w:rPr>
          <w:rStyle w:val="None"/>
          <w:rFonts w:ascii="Arial" w:hAnsi="Arial" w:eastAsia="Arial" w:cs="Arial"/>
          <w:sz w:val="22"/>
          <w:szCs w:val="22"/>
          <w:lang w:val="en-US"/>
        </w:rPr>
      </w:pPr>
      <w:r w:rsidRPr="453F919E" w:rsidR="69FE0A71">
        <w:rPr>
          <w:rStyle w:val="None"/>
          <w:rFonts w:ascii="Arial" w:hAnsi="Arial"/>
          <w:sz w:val="22"/>
          <w:szCs w:val="22"/>
          <w:lang w:val="en-US"/>
        </w:rPr>
        <w:t xml:space="preserve">The King’s Fund (2023) Digital health and care: What are the opportunities and challenges? Available at: </w:t>
      </w:r>
      <w:hyperlink r:id="R77c5298d7f2e4487">
        <w:r w:rsidRPr="453F919E" w:rsidR="69FE0A71">
          <w:rPr>
            <w:rStyle w:val="Hyperlink.0"/>
            <w:lang w:val="en-US"/>
          </w:rPr>
          <w:t>https://www.kingsfund.org.uk/insight-and-analysis/long-reads/digital-health-and-care-opportunities-and-challenges</w:t>
        </w:r>
      </w:hyperlink>
      <w:r w:rsidRPr="453F919E" w:rsidR="69FE0A71">
        <w:rPr>
          <w:rStyle w:val="None"/>
          <w:rFonts w:ascii="Arial" w:hAnsi="Arial"/>
          <w:sz w:val="22"/>
          <w:szCs w:val="22"/>
          <w:lang w:val="en-US"/>
        </w:rPr>
        <w:t xml:space="preserve">  (Accessed 7 October 2025).</w:t>
      </w:r>
    </w:p>
    <w:p xmlns:wp14="http://schemas.microsoft.com/office/word/2010/wordml" w:rsidP="453F919E" w14:paraId="57D3C113" wp14:textId="713B0C80">
      <w:pPr>
        <w:pStyle w:val="Body"/>
        <w:spacing w:line="360" w:lineRule="auto"/>
        <w:jc w:val="both"/>
        <w:rPr>
          <w:rStyle w:val="None"/>
          <w:rFonts w:ascii="Arial" w:hAnsi="Arial" w:eastAsia="Arial" w:cs="Arial"/>
          <w:sz w:val="22"/>
          <w:szCs w:val="22"/>
        </w:rPr>
      </w:pPr>
      <w:r w:rsidRPr="453F919E" w:rsidR="69FE0A71">
        <w:rPr>
          <w:rStyle w:val="None"/>
          <w:rFonts w:ascii="Arial" w:hAnsi="Arial"/>
          <w:sz w:val="22"/>
          <w:szCs w:val="22"/>
          <w:lang w:val="it-IT"/>
        </w:rPr>
        <w:t xml:space="preserve">Micheli, M., Ponti, M., </w:t>
      </w:r>
      <w:r w:rsidRPr="453F919E" w:rsidR="69FE0A71">
        <w:rPr>
          <w:rStyle w:val="None"/>
          <w:rFonts w:ascii="Arial" w:hAnsi="Arial"/>
          <w:sz w:val="22"/>
          <w:szCs w:val="22"/>
          <w:lang w:val="it-IT"/>
        </w:rPr>
        <w:t>Craglia</w:t>
      </w:r>
      <w:r w:rsidRPr="453F919E" w:rsidR="69FE0A71">
        <w:rPr>
          <w:rStyle w:val="None"/>
          <w:rFonts w:ascii="Arial" w:hAnsi="Arial"/>
          <w:sz w:val="22"/>
          <w:szCs w:val="22"/>
          <w:lang w:val="it-IT"/>
        </w:rPr>
        <w:t xml:space="preserve">, M. and Berti Suman, A. (2020) </w:t>
      </w:r>
      <w:r w:rsidRPr="453F919E" w:rsidR="69FE0A71">
        <w:rPr>
          <w:rStyle w:val="None"/>
          <w:rFonts w:ascii="Arial" w:hAnsi="Arial"/>
          <w:sz w:val="22"/>
          <w:szCs w:val="22"/>
          <w:lang w:val="en-US"/>
        </w:rPr>
        <w:t>‘Emerging models of data governance in the age of datafication’</w:t>
      </w:r>
      <w:r w:rsidRPr="453F919E" w:rsidR="69FE0A71">
        <w:rPr>
          <w:rStyle w:val="None"/>
          <w:rFonts w:ascii="Arial" w:hAnsi="Arial"/>
          <w:sz w:val="22"/>
          <w:szCs w:val="22"/>
        </w:rPr>
        <w:t xml:space="preserve">, </w:t>
      </w:r>
      <w:r w:rsidRPr="453F919E" w:rsidR="69FE0A71">
        <w:rPr>
          <w:rStyle w:val="None"/>
          <w:rFonts w:ascii="Arial" w:hAnsi="Arial"/>
          <w:i w:val="1"/>
          <w:iCs w:val="1"/>
          <w:sz w:val="22"/>
          <w:szCs w:val="22"/>
          <w:lang w:val="it-IT"/>
        </w:rPr>
        <w:t xml:space="preserve">Big Data &amp; Society, </w:t>
      </w:r>
      <w:r w:rsidRPr="453F919E" w:rsidR="69FE0A71">
        <w:rPr>
          <w:rStyle w:val="None"/>
          <w:rFonts w:ascii="Arial" w:hAnsi="Arial"/>
          <w:sz w:val="22"/>
          <w:szCs w:val="22"/>
        </w:rPr>
        <w:t>7(2), pp. 1</w:t>
      </w:r>
      <w:r w:rsidRPr="453F919E" w:rsidR="69FE0A71">
        <w:rPr>
          <w:rStyle w:val="None"/>
          <w:rFonts w:ascii="Arial" w:hAnsi="Arial"/>
          <w:sz w:val="22"/>
          <w:szCs w:val="22"/>
          <w:lang w:val="en-US"/>
        </w:rPr>
        <w:t xml:space="preserve">–15. Available at: </w:t>
      </w:r>
      <w:hyperlink r:id="R9869027e79e9420f">
        <w:r w:rsidRPr="453F919E" w:rsidR="69FE0A71">
          <w:rPr>
            <w:rStyle w:val="Hyperlink.0"/>
            <w:lang w:val="en-US"/>
          </w:rPr>
          <w:t>https://doi.org/10.1177/2053951720948087</w:t>
        </w:r>
      </w:hyperlink>
      <w:r w:rsidRPr="453F919E" w:rsidR="69FE0A71">
        <w:rPr>
          <w:rStyle w:val="None"/>
          <w:rFonts w:ascii="Arial" w:hAnsi="Arial"/>
          <w:sz w:val="22"/>
          <w:szCs w:val="22"/>
          <w:lang w:val="en-US"/>
        </w:rPr>
        <w:t xml:space="preserve">  (Accessed 17 October 2025).</w:t>
      </w:r>
    </w:p>
    <w:p xmlns:wp14="http://schemas.microsoft.com/office/word/2010/wordml" w:rsidP="453F919E" w14:paraId="5D3B34C6" wp14:textId="6C63B26B">
      <w:pPr>
        <w:pStyle w:val="Body"/>
        <w:spacing w:line="360" w:lineRule="auto"/>
        <w:jc w:val="both"/>
        <w:rPr>
          <w:rStyle w:val="None"/>
          <w:rFonts w:ascii="Arial" w:hAnsi="Arial" w:eastAsia="Arial" w:cs="Arial"/>
          <w:sz w:val="22"/>
          <w:szCs w:val="22"/>
          <w:lang w:val="en-US"/>
        </w:rPr>
      </w:pPr>
      <w:r w:rsidRPr="453F919E" w:rsidR="69FE0A71">
        <w:rPr>
          <w:rStyle w:val="None"/>
          <w:rFonts w:ascii="Arial" w:hAnsi="Arial"/>
          <w:sz w:val="22"/>
          <w:szCs w:val="22"/>
          <w:lang w:val="en-US"/>
        </w:rPr>
        <w:t xml:space="preserve">National Audit Office (2023) </w:t>
      </w:r>
      <w:r w:rsidRPr="453F919E" w:rsidR="69FE0A71">
        <w:rPr>
          <w:rStyle w:val="None"/>
          <w:rFonts w:ascii="Arial" w:hAnsi="Arial"/>
          <w:i w:val="1"/>
          <w:iCs w:val="1"/>
          <w:sz w:val="22"/>
          <w:szCs w:val="22"/>
          <w:lang w:val="en-US"/>
        </w:rPr>
        <w:t xml:space="preserve">Digital transformation in the NHS. </w:t>
      </w:r>
      <w:r w:rsidRPr="453F919E" w:rsidR="69FE0A71">
        <w:rPr>
          <w:rStyle w:val="None"/>
          <w:rFonts w:ascii="Arial" w:hAnsi="Arial"/>
          <w:sz w:val="22"/>
          <w:szCs w:val="22"/>
          <w:lang w:val="en-US"/>
        </w:rPr>
        <w:t xml:space="preserve">Available at: </w:t>
      </w:r>
      <w:hyperlink r:id="R6d38367126f7419f">
        <w:r w:rsidRPr="453F919E" w:rsidR="69FE0A71">
          <w:rPr>
            <w:rStyle w:val="Hyperlink.0"/>
            <w:lang w:val="en-US"/>
          </w:rPr>
          <w:t>https://www.nao.org.uk/reports/digital-transformation-in-the-nhs/</w:t>
        </w:r>
      </w:hyperlink>
      <w:r w:rsidRPr="453F919E" w:rsidR="69FE0A71">
        <w:rPr>
          <w:rStyle w:val="None"/>
          <w:rFonts w:ascii="Arial" w:hAnsi="Arial"/>
          <w:sz w:val="22"/>
          <w:szCs w:val="22"/>
          <w:lang w:val="en-US"/>
        </w:rPr>
        <w:t xml:space="preserve">  (Accessed 17 October 2025).</w:t>
      </w:r>
    </w:p>
    <w:p xmlns:wp14="http://schemas.microsoft.com/office/word/2010/wordml" w:rsidP="453F919E" w14:paraId="003BF599" wp14:textId="26DDDDC5">
      <w:pPr>
        <w:pStyle w:val="Body"/>
        <w:spacing w:line="360" w:lineRule="auto"/>
        <w:rPr>
          <w:rStyle w:val="None"/>
          <w:rFonts w:ascii="Arial" w:hAnsi="Arial"/>
          <w:sz w:val="22"/>
          <w:szCs w:val="22"/>
          <w:rtl w:val="0"/>
          <w:lang w:val="en-US"/>
        </w:rPr>
      </w:pPr>
      <w:r w:rsidRPr="453F919E" w:rsidR="69FE0A71">
        <w:rPr>
          <w:rStyle w:val="None"/>
          <w:rFonts w:ascii="Arial" w:hAnsi="Arial"/>
          <w:sz w:val="22"/>
          <w:szCs w:val="22"/>
          <w:lang w:val="en-US"/>
        </w:rPr>
        <w:t>NHS Confe</w:t>
      </w:r>
      <w:r w:rsidRPr="453F919E" w:rsidR="4BED36F1">
        <w:rPr>
          <w:rStyle w:val="None"/>
          <w:rFonts w:ascii="Arial" w:hAnsi="Arial"/>
          <w:sz w:val="22"/>
          <w:szCs w:val="22"/>
          <w:lang w:val="en-US"/>
        </w:rPr>
        <w:t>deration (2022)</w:t>
      </w:r>
      <w:r w:rsidRPr="453F919E" w:rsidR="58ECA932">
        <w:rPr>
          <w:rStyle w:val="None"/>
          <w:rFonts w:ascii="Arial" w:hAnsi="Arial"/>
          <w:sz w:val="22"/>
          <w:szCs w:val="22"/>
          <w:lang w:val="en-US"/>
        </w:rPr>
        <w:t xml:space="preserve"> </w:t>
      </w:r>
      <w:r w:rsidRPr="453F919E" w:rsidR="4BED36F1">
        <w:rPr>
          <w:rStyle w:val="None"/>
          <w:rFonts w:ascii="Arial" w:hAnsi="Arial"/>
          <w:sz w:val="22"/>
          <w:szCs w:val="22"/>
          <w:lang w:val="en-US"/>
        </w:rPr>
        <w:t>Digital transformation in the NHS Available at:</w:t>
      </w:r>
      <w:r w:rsidRPr="453F919E" w:rsidR="4717820B">
        <w:rPr>
          <w:rStyle w:val="None"/>
          <w:rFonts w:ascii="Arial" w:hAnsi="Arial"/>
          <w:sz w:val="22"/>
          <w:szCs w:val="22"/>
          <w:lang w:val="en-US"/>
        </w:rPr>
        <w:t xml:space="preserve"> </w:t>
      </w:r>
      <w:hyperlink r:id="Re36623a107d34e13">
        <w:r w:rsidRPr="453F919E" w:rsidR="2956C94A">
          <w:rPr>
            <w:rStyle w:val="Hyperlink"/>
            <w:rFonts w:ascii="Arial" w:hAnsi="Arial"/>
            <w:sz w:val="22"/>
            <w:szCs w:val="22"/>
            <w:lang w:val="en-US"/>
          </w:rPr>
          <w:t>https:</w:t>
        </w:r>
        <w:r w:rsidRPr="453F919E" w:rsidR="1CD495DB">
          <w:rPr>
            <w:rStyle w:val="Hyperlink"/>
            <w:rFonts w:ascii="Arial" w:hAnsi="Arial"/>
            <w:sz w:val="22"/>
            <w:szCs w:val="22"/>
            <w:lang w:val="en-US"/>
          </w:rPr>
          <w:t>//www.mhsconfed.org/publications/digital-transformation-nhs</w:t>
        </w:r>
      </w:hyperlink>
      <w:r w:rsidRPr="453F919E" w:rsidR="1CD495DB">
        <w:rPr>
          <w:rStyle w:val="None"/>
          <w:rFonts w:ascii="Arial" w:hAnsi="Arial"/>
          <w:sz w:val="22"/>
          <w:szCs w:val="22"/>
          <w:lang w:val="en-US"/>
        </w:rPr>
        <w:t xml:space="preserve"> </w:t>
      </w:r>
      <w:r w:rsidRPr="453F919E" w:rsidR="79B3A23A">
        <w:rPr>
          <w:rStyle w:val="None"/>
          <w:rFonts w:ascii="Arial" w:hAnsi="Arial"/>
          <w:sz w:val="22"/>
          <w:szCs w:val="22"/>
          <w:lang w:val="en-US"/>
        </w:rPr>
        <w:t>(Accessed 17. October 2025)</w:t>
      </w:r>
    </w:p>
    <w:p xmlns:wp14="http://schemas.microsoft.com/office/word/2010/wordml" w:rsidP="453F919E" w14:paraId="626942B8" wp14:textId="730F19EB">
      <w:pPr>
        <w:pStyle w:val="Body"/>
        <w:spacing w:line="360" w:lineRule="auto"/>
        <w:jc w:val="both"/>
        <w:rPr>
          <w:rStyle w:val="None"/>
          <w:rFonts w:ascii="Arial" w:hAnsi="Arial" w:eastAsia="Arial" w:cs="Arial"/>
          <w:sz w:val="22"/>
          <w:szCs w:val="22"/>
          <w:lang w:val="en-US"/>
        </w:rPr>
      </w:pPr>
      <w:r w:rsidRPr="453F919E" w:rsidR="453F919E">
        <w:rPr>
          <w:rStyle w:val="None"/>
          <w:rFonts w:ascii="Arial" w:hAnsi="Arial"/>
          <w:sz w:val="22"/>
          <w:szCs w:val="22"/>
          <w:lang w:val="en-US"/>
        </w:rPr>
        <w:t>NHS Englan</w:t>
      </w:r>
      <w:r w:rsidRPr="453F919E" w:rsidR="453F919E">
        <w:rPr>
          <w:rStyle w:val="None"/>
          <w:rFonts w:ascii="Arial" w:hAnsi="Arial"/>
          <w:sz w:val="22"/>
          <w:szCs w:val="22"/>
          <w:lang w:val="en-US"/>
        </w:rPr>
        <w:t xml:space="preserve">d (2024) </w:t>
      </w:r>
      <w:r w:rsidRPr="453F919E" w:rsidR="453F919E">
        <w:rPr>
          <w:rStyle w:val="None"/>
          <w:rFonts w:ascii="Arial" w:hAnsi="Arial"/>
          <w:i w:val="1"/>
          <w:iCs w:val="1"/>
          <w:sz w:val="22"/>
          <w:szCs w:val="22"/>
          <w:lang w:val="en-US"/>
        </w:rPr>
        <w:t>NHS App and NHS login: January 2024 monthly statistics</w:t>
      </w:r>
      <w:r w:rsidRPr="453F919E" w:rsidR="389014C9">
        <w:rPr>
          <w:rStyle w:val="None"/>
          <w:rFonts w:ascii="Arial" w:hAnsi="Arial"/>
          <w:i w:val="1"/>
          <w:iCs w:val="1"/>
          <w:sz w:val="22"/>
          <w:szCs w:val="22"/>
          <w:lang w:val="en-US"/>
        </w:rPr>
        <w:t xml:space="preserve">. </w:t>
      </w:r>
      <w:r w:rsidRPr="453F919E" w:rsidR="453F919E">
        <w:rPr>
          <w:rStyle w:val="None"/>
          <w:rFonts w:ascii="Arial" w:hAnsi="Arial"/>
          <w:sz w:val="22"/>
          <w:szCs w:val="22"/>
          <w:lang w:val="en-US"/>
        </w:rPr>
        <w:t xml:space="preserve">Available at: </w:t>
      </w:r>
      <w:hyperlink r:id="Rde9b1eb0ecf34ced">
        <w:r w:rsidRPr="453F919E" w:rsidR="453F919E">
          <w:rPr>
            <w:rStyle w:val="Hyperlink.0"/>
            <w:lang w:val="en-US"/>
          </w:rPr>
          <w:t>https://www.digital.nhs.uk/data-and-information/data-collections-and-data-sets/data-collections/nhs-app-and-nhs-login-monthly-statistics</w:t>
        </w:r>
      </w:hyperlink>
      <w:r w:rsidRPr="453F919E" w:rsidR="453F919E">
        <w:rPr>
          <w:rStyle w:val="None"/>
          <w:rFonts w:ascii="Arial" w:hAnsi="Arial"/>
          <w:sz w:val="22"/>
          <w:szCs w:val="22"/>
          <w:lang w:val="en-US"/>
        </w:rPr>
        <w:t xml:space="preserve">  (Accessed 17 October 2025).</w:t>
      </w:r>
    </w:p>
    <w:p xmlns:wp14="http://schemas.microsoft.com/office/word/2010/wordml" w:rsidP="453F919E" w14:paraId="1536C1E1" wp14:textId="4EE9FBE8">
      <w:pPr>
        <w:pStyle w:val="Body"/>
        <w:spacing w:line="360" w:lineRule="auto"/>
        <w:jc w:val="both"/>
        <w:rPr>
          <w:rStyle w:val="None"/>
          <w:rFonts w:ascii="Arial" w:hAnsi="Arial"/>
          <w:sz w:val="22"/>
          <w:szCs w:val="22"/>
          <w:rtl w:val="0"/>
          <w:lang w:val="en-US"/>
        </w:rPr>
      </w:pPr>
      <w:r w:rsidRPr="453F919E" w:rsidR="453F919E">
        <w:rPr>
          <w:rStyle w:val="None"/>
          <w:rFonts w:ascii="Arial" w:hAnsi="Arial"/>
          <w:sz w:val="22"/>
          <w:szCs w:val="22"/>
          <w:lang w:val="en-US"/>
        </w:rPr>
        <w:t xml:space="preserve">Royal College of General Practitioners (2023) </w:t>
      </w:r>
      <w:r w:rsidRPr="453F919E" w:rsidR="453F919E">
        <w:rPr>
          <w:rStyle w:val="None"/>
          <w:rFonts w:ascii="Arial" w:hAnsi="Arial"/>
          <w:i w:val="1"/>
          <w:iCs w:val="1"/>
          <w:sz w:val="22"/>
          <w:szCs w:val="22"/>
          <w:lang w:val="en-US"/>
        </w:rPr>
        <w:t>RCGP response to the NHS England Primary Care Access Recovery Plan</w:t>
      </w:r>
      <w:r w:rsidRPr="453F919E" w:rsidR="1A6518C6">
        <w:rPr>
          <w:rStyle w:val="None"/>
          <w:rFonts w:ascii="Arial" w:hAnsi="Arial"/>
          <w:i w:val="1"/>
          <w:iCs w:val="1"/>
          <w:sz w:val="22"/>
          <w:szCs w:val="22"/>
          <w:lang w:val="en-US"/>
        </w:rPr>
        <w:t xml:space="preserve">. </w:t>
      </w:r>
      <w:r w:rsidRPr="453F919E" w:rsidR="453F919E">
        <w:rPr>
          <w:rStyle w:val="None"/>
          <w:rFonts w:ascii="Arial" w:hAnsi="Arial"/>
          <w:sz w:val="22"/>
          <w:szCs w:val="22"/>
          <w:lang w:val="en-US"/>
        </w:rPr>
        <w:t xml:space="preserve">Available at: </w:t>
      </w:r>
      <w:hyperlink r:id="R7a0ee38775ba413a">
        <w:r w:rsidRPr="453F919E" w:rsidR="453F919E">
          <w:rPr>
            <w:rStyle w:val="Hyperlink.0"/>
            <w:lang w:val="en-US"/>
          </w:rPr>
          <w:t>https://www.rcgp.org.uk/representing-you/policy-areas/nhs-england-primary-care-access-recovery-plan</w:t>
        </w:r>
      </w:hyperlink>
      <w:r w:rsidRPr="453F919E" w:rsidR="453F919E">
        <w:rPr>
          <w:rStyle w:val="None"/>
          <w:rFonts w:ascii="Arial" w:hAnsi="Arial"/>
          <w:sz w:val="22"/>
          <w:szCs w:val="22"/>
          <w:lang w:val="en-US"/>
        </w:rPr>
        <w:t xml:space="preserve">  (Accessed 15 October 2025</w:t>
      </w:r>
    </w:p>
    <w:sectPr>
      <w:headerReference w:type="default" r:id="rId4"/>
      <w:footerReference w:type="default" r:id="rId5"/>
      <w:pgSz w:w="11900" w:h="16840" w:orient="portrait"/>
      <w:pgMar w:top="1440" w:right="1440" w:bottom="1440" w:left="1440" w:header="708" w:footer="708"/>
      <w:pgNumType w:start="1"/>
      <w:bidi w:val="0"/>
      <w:cols w:num="1"/>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1C36B14E" wp14:textId="77777777">
    <w:pPr>
      <w:pStyle w:val="Body"/>
    </w:pPr>
    <w:r>
      <w:rPr/>
      <w:fldChar w:fldCharType="begin" w:fldLock="0"/>
    </w:r>
    <w:r>
      <w:instrText xml:space="preserve"> PAGE </w:instrText>
    </w:r>
    <w:r>
      <w:rPr/>
      <w:fldChar w:fldCharType="separate" w:fldLock="0"/>
    </w:r>
    <w:r/>
    <w:r>
      <w:rPr/>
      <w:fldChar w:fldCharType="end" w:fldLock="0"/>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6204FF1" wp14:textId="77777777">
    <w:pPr>
      <w:pStyle w:val="Header &amp; Footer"/>
      <w:bidi w:val="0"/>
    </w:pPr>
    <w:r/>
  </w:p>
</w:hdr>
</file>

<file path=word/intelligence2.xml><?xml version="1.0" encoding="utf-8"?>
<int2:intelligence xmlns:oel="http://schemas.microsoft.com/office/2019/extlst" xmlns:int2="http://schemas.microsoft.com/office/intelligence/2020/intelligence">
  <int2:observations>
    <int2:textHash int2:hashCode="LOKXXXnn8FfYIs" int2:id="q4ZjufNJ">
      <int2:state int2:type="spell" int2:value="Rejected"/>
    </int2:textHash>
    <int2:textHash int2:hashCode="SKkB12slgSTZF+" int2:id="cKNbbfyX">
      <int2:state int2:type="spell" int2:value="Rejected"/>
    </int2:textHash>
    <int2:textHash int2:hashCode="SQR04Xo2ixVdme" int2:id="mp1yUJeD">
      <int2:state int2:type="spell" int2:value="Rejected"/>
    </int2:textHash>
    <int2:textHash int2:hashCode="z9d232MymInAbJ" int2:id="EH3z4ZUX">
      <int2:state int2:type="spell" int2:value="Rejected"/>
    </int2:textHash>
    <int2:textHash int2:hashCode="doycEd9dSooA39" int2:id="6xGtLbs1">
      <int2:state int2:type="spell" int2:value="Rejected"/>
    </int2:textHash>
    <int2:textHash int2:hashCode="sdSpBeq8NhOr67" int2:id="LfcKHWU1">
      <int2:state int2:type="spell" int2:value="Rejected"/>
    </int2:textHash>
    <int2:textHash int2:hashCode="y7aIs5brWeJdIX" int2:id="oEFT7Aj4">
      <int2:state int2:type="spell" int2:value="Rejected"/>
    </int2:textHash>
    <int2:bookmark int2:bookmarkName="_Int_yq0vY2eM" int2:invalidationBookmarkName="" int2:hashCode="QoNyhAsILrxDJ0" int2:id="jO2xNXnY">
      <int2:extLst>
        <oel:ext uri="426473B9-03D8-482F-96C9-C2C85392BACA">
          <int2:similarityCritique int2:version="1" int2:context="Department of Health and Social Care (2021) Data saves lives: reshaping health and social care with data.">
            <int2:source int2:sourceType="Online" int2:sourceTitle="Data saves lives: reshaping health and social care with data" int2:sourceUrl="https://thelivinglib.org/data-saves-lives-reshaping-health-and-social-care-with-data/" int2:sourceSnippet="Data saves lives: reshaping health and social care with data UK Department of Health and Social Care: “In England and in every community around the world, digital developments have been essential to the pandemic response. People have accessed advice and care remotely in unprecedented numbers, helping keep them and their families safe.">
              <int2:suggestions int2:citationType="Inline">
                <int2:suggestion int2:citationStyle="Mla" int2:isIdentical="0">
                  <int2:citationText>(“Data saves lives: reshaping health and social care with data”)</int2:citationText>
                </int2:suggestion>
                <int2:suggestion int2:citationStyle="Apa" int2:isIdentical="0">
                  <int2:citationText>(“Data saves lives: reshaping health and social care with data”)</int2:citationText>
                </int2:suggestion>
                <int2:suggestion int2:citationStyle="Chicago" int2:isIdentical="0">
                  <int2:citationText>(“Data saves lives: reshaping health and social care with data”)</int2:citationText>
                </int2:suggestion>
              </int2:suggestions>
              <int2:suggestions int2:citationType="Full">
                <int2:suggestion int2:citationStyle="Mla" int2:isIdentical="0">
                  <int2:citationText>&lt;i&gt;Data saves lives: reshaping health and social care with data&lt;/i&gt;, https://thelivinglib.org/data-saves-lives-reshaping-health-and-social-care-with-data/.</int2:citationText>
                </int2:suggestion>
                <int2:suggestion int2:citationStyle="Apa" int2:isIdentical="0">
                  <int2:citationText>&lt;i&gt;Data saves lives: reshaping health and social care with data&lt;/i&gt;. (n.d.). Retrieved from https://thelivinglib.org/data-saves-lives-reshaping-health-and-social-care-with-data/</int2:citationText>
                </int2:suggestion>
                <int2:suggestion int2:citationStyle="Chicago" int2:isIdentical="0">
                  <int2:citationText>“Data saves lives: reshaping health and social care with data” n.d., https://thelivinglib.org/data-saves-lives-reshaping-health-and-social-care-with-data/.</int2:citationText>
                </int2:suggestion>
              </int2:suggestions>
            </int2:source>
            <int2:source int2:sourceType="Online" int2:sourceTitle="1 https://www.gov.uk/government/publications/data-saves-lives-reshaping ..." int2:sourceUrl="https://keepournhspublic.com/wp-content/uploads/2024/12/Data-Saves-Lives-KONP-response.pdf" int2:sourceSnippet="Overview The strategy document Data saves lives: reshaping health and social care with data sets out how the Department of Health and Social Care wants data to be used to bring benefits to all parts of health and social care, from patients and care users to front line staff and pioneers driving research. It’s supported by a number of commitments, including investing in secure data ...">
              <int2:suggestions int2:citationType="Inline">
                <int2:suggestion int2:citationStyle="Mla" int2:isIdentical="0">
                  <int2:citationText>(“1 https://www.gov.uk/government/publications/data-saves-lives-reshaping ...”)</int2:citationText>
                </int2:suggestion>
                <int2:suggestion int2:citationStyle="Apa" int2:isIdentical="0">
                  <int2:citationText>(“1 https://www.gov.uk/government/publications/data-saves-lives-reshaping ...”)</int2:citationText>
                </int2:suggestion>
                <int2:suggestion int2:citationStyle="Chicago" int2:isIdentical="0">
                  <int2:citationText>(“1 https://www.gov.uk/government/publications/data-saves-lives-reshaping ...”)</int2:citationText>
                </int2:suggestion>
              </int2:suggestions>
              <int2:suggestions int2:citationType="Full">
                <int2:suggestion int2:citationStyle="Mla" int2:isIdentical="0">
                  <int2:citationText>&lt;i&gt;1 https://www.gov.uk/government/publications/data-saves-lives-reshaping ...&lt;/i&gt;, https://keepournhspublic.com/wp-content/uploads/2024/12/Data-Saves-Lives-KONP-response.pdf.</int2:citationText>
                </int2:suggestion>
                <int2:suggestion int2:citationStyle="Apa" int2:isIdentical="0">
                  <int2:citationText>&lt;i&gt;1 https://www.gov.uk/government/publications/data-saves-lives-reshaping ...&lt;/i&gt;. (n.d.). Retrieved from https://keepournhspublic.com/wp-content/uploads/2024/12/Data-Saves-Lives-KONP-response.pdf</int2:citationText>
                </int2:suggestion>
                <int2:suggestion int2:citationStyle="Chicago" int2:isIdentical="0">
                  <int2:citationText>“1 https://www.gov.uk/government/publications/data-saves-lives-reshaping ...” n.d., https://keepournhspublic.com/wp-content/uploads/2024/12/Data-Saves-Lives-KONP-response.pdf.</int2:citationText>
                </int2:suggestion>
              </int2:suggestions>
            </int2:source>
            <int2:source int2:sourceType="Online" int2:sourceTitle="Using linked health and social care data to understand service delivery ..." int2:sourceUrl="https://www.ncbi.nlm.nih.gov/pmc/articles/PMC8963446/" int2:sourceSnippet="Data Saves Lives: Reshaping Health and Social Care with Data (Draft). London: GOV.UK, 2021. [Google Scholar] 5. Musa MK, Akdur G, Brand S et al. The uptake and use of a minimum data set (MDS) for older people living and dying in care homes: a realist review. BMC Geriatr 2022; 22: 1–14. [PMC free article] [PubMed] [Google Scholar] 6.">
              <int2:suggestions int2:citationType="Inline">
                <int2:suggestion int2:citationStyle="Mla" int2:isIdentical="0">
                  <int2:citationText>(“Using linked health and social care data to understand service delivery ...”)</int2:citationText>
                </int2:suggestion>
                <int2:suggestion int2:citationStyle="Apa" int2:isIdentical="0">
                  <int2:citationText>(“Using linked health and social care data to understand service delivery ...”)</int2:citationText>
                </int2:suggestion>
                <int2:suggestion int2:citationStyle="Chicago" int2:isIdentical="0">
                  <int2:citationText>(“Using linked health and social care data to understand service delivery ...”)</int2:citationText>
                </int2:suggestion>
              </int2:suggestions>
              <int2:suggestions int2:citationType="Full">
                <int2:suggestion int2:citationStyle="Mla" int2:isIdentical="0">
                  <int2:citationText>&lt;i&gt;Using linked health and social care data to understand service delivery ...&lt;/i&gt;, https://www.ncbi.nlm.nih.gov/pmc/articles/PMC8963446/.</int2:citationText>
                </int2:suggestion>
                <int2:suggestion int2:citationStyle="Apa" int2:isIdentical="0">
                  <int2:citationText>&lt;i&gt;Using linked health and social care data to understand service delivery ...&lt;/i&gt;. (n.d.). Retrieved from https://www.ncbi.nlm.nih.gov/pmc/articles/PMC8963446/</int2:citationText>
                </int2:suggestion>
                <int2:suggestion int2:citationStyle="Chicago" int2:isIdentical="0">
                  <int2:citationText>“Using linked health and social care data to understand service delivery ...” n.d., https://www.ncbi.nlm.nih.gov/pmc/articles/PMC8963446/.</int2:citationText>
                </int2:suggestion>
              </int2:suggestions>
            </int2:source>
          </int2:similarityCritique>
        </oel:ext>
      </int2:extLst>
    </int2:bookmark>
    <int2:entireDocument int2:id="FBCpjiXE">
      <int2:extLst>
        <oel:ext uri="E302BA01-7950-474C-9AD3-286E660C40A8">
          <int2:similaritySummary int2:version="1" int2:runId="1761038114589" int2:tilesCheckedInThisRun="36" int2:totalNumOfTiles="36" int2:similarityAnnotationCount="1" int2:numWords="2146" int2:numFlaggedWords="17"/>
        </oel:ext>
      </int2:extLst>
    </int2:entireDocument>
  </int2:observations>
  <int2:intelligenceSettings/>
  <int2:onDemandWorkflows>
    <int2:onDemandWorkflow int2:type="SimilarityCheck" int2:paragraphVersions="3C781406-375CC579 3058E346-61C1E2B1 26947A69-1E9330B0 3C10F1EE-451AD498 259EBD37-62C4FAAC 0A7B5318-015B29A7 0631ECEC-062FA3C5 3D2B5D18-70421BD4 38970CD5-722E7F96 2E5A84A0-36E4F0E6 389B1C57-7A12CAD2 100A1074-63248BAC 31535FF1-09FCA0C1 4601BE14-1D235BFD 204AAFAC-337D01AD 1223623A-232C9BF1 6E33D6DB-59B64365 249C26A7-5B361355 4D7129BD-5B0FBB5C 19200C80-515DDABE 238B3573-78B0CFE4 53BE5BD2-33527EC5 2297F994-3B14B28E 672A6659-6EC83815 2570C45C-58CEBAA0 2AC489E1-48C247E4 280A4D27-3AD1958F 3BC4E2A2-2D379F44 0A37501D-77777777 5DAB6C7B-77777777 02EB378F-77777777 6A05A809-77777777 5A39BBE3-77777777 41C8F396-77777777 72A3D3EC-77777777 0D0B940D-77777777 0E27B00A-77777777 60061E4C-77777777 44EAFD9C-77777777 53DE3AF8-7E9A4E16 41D3D93F-00F10DA7 4A1C23C0-0DAB11DD 43E5FC1F-75EFF6AB 162E3087-546BE738 1299C43A-77777777 4DDBEF00-77777777 3461D779-77777777 3CF2D8B6-77777777 0FB78278-77777777 4A9C4B2F-2FFE6BFB 4AFE23A4-0465EB43 52172554-77777777 03009396-77777777 7206E74B-7B46986D 019E9B9F-48129715 71FDCD6E-7C2D473B 5043CB0F-77777777 68FEDB62-77777777 784B8A1B-3CA11952 28CFEF1C-77777777 2D5861D3-668BCED1 07459315-77777777 07EDD980-77777777 01A2E3CB-1FDA6808 4BD80075-4CE18A66 443FABF3-77777777 6537F28F-77777777 6DFB9E20-77777777 70DF9E56-77777777 44E871BC-77777777 144A5D23-77777777 738610EB-77777777 637805D2-77777777 2B2A7A39-02793E4F 4DC571D0-4C3078B6 61829076-77777777 2BA226A1-77777777 17AD93B2-77777777 0DE4B5B7-77777777 4CDB7431-1D302E49 6A297AF6-65A2F1B2 450EF312-06ED8F0A 3E30A15B-23F01C65 7B994FAA-6063D953 1CD9E81F-31CB3AA8 676B5378-6B984D79 6D539637-2ACADFDB 4A37838C-074FB733 29F7A5CD-6D375115 60AE345E-46004FDB 071E4E01-1ED2AE81 7CFC02DC-1166A623 1EF6C6BA-2A981924 74F0AFBB-0BEC53EE 63F13B4A-77777777 6BACA500-7A186D7B 4CF33868-1EA5856D 46BE44C9-34B58F84 57D53E49-1755D12D 649C532E-713B0C80 735211DB-6C63B26B 003BF599-4810714C 626942B8-730F19EB 1536C1E1-4EE9FBE8 66204FF1-77777777 1C36B14E-77777777"/>
  </int2:onDemandWorkflows>
</int2:intelligence>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14:docId w14:val="39DC9160"/>
  <w15:docId w15:val="{D98172C6-C31E-4C79-A969-FDE5B4D2ECA6}"/>
  <w:rsids>
    <w:rsidRoot w:val="000DD5A5"/>
    <w:rsid w:val="000DD5A5"/>
    <w:rsid w:val="0107DADD"/>
    <w:rsid w:val="0352EE0A"/>
    <w:rsid w:val="06492A8E"/>
    <w:rsid w:val="06F575D6"/>
    <w:rsid w:val="09004C69"/>
    <w:rsid w:val="0AB0DEE5"/>
    <w:rsid w:val="0BF48345"/>
    <w:rsid w:val="115A5B94"/>
    <w:rsid w:val="120A9D28"/>
    <w:rsid w:val="125AA9E7"/>
    <w:rsid w:val="141C8C40"/>
    <w:rsid w:val="1A6518C6"/>
    <w:rsid w:val="1A9278B8"/>
    <w:rsid w:val="1B0B6E96"/>
    <w:rsid w:val="1CD495DB"/>
    <w:rsid w:val="1DD8AB3C"/>
    <w:rsid w:val="1F2D6FB1"/>
    <w:rsid w:val="215CD3FD"/>
    <w:rsid w:val="255B7511"/>
    <w:rsid w:val="258A9B6D"/>
    <w:rsid w:val="25CB1EF4"/>
    <w:rsid w:val="27337B2B"/>
    <w:rsid w:val="280DC859"/>
    <w:rsid w:val="28F9638F"/>
    <w:rsid w:val="2956C94A"/>
    <w:rsid w:val="2A9314FD"/>
    <w:rsid w:val="2B686759"/>
    <w:rsid w:val="2CD5B3BD"/>
    <w:rsid w:val="2F4435CA"/>
    <w:rsid w:val="308777DD"/>
    <w:rsid w:val="31066F8E"/>
    <w:rsid w:val="3313F84C"/>
    <w:rsid w:val="34495DBA"/>
    <w:rsid w:val="35CBEDF4"/>
    <w:rsid w:val="36EDF6DB"/>
    <w:rsid w:val="389014C9"/>
    <w:rsid w:val="3A3B224B"/>
    <w:rsid w:val="4041EB80"/>
    <w:rsid w:val="41C34190"/>
    <w:rsid w:val="453F919E"/>
    <w:rsid w:val="4670F2E0"/>
    <w:rsid w:val="4717820B"/>
    <w:rsid w:val="481E43F2"/>
    <w:rsid w:val="48A829F1"/>
    <w:rsid w:val="48D71721"/>
    <w:rsid w:val="4B46CD8F"/>
    <w:rsid w:val="4BED36F1"/>
    <w:rsid w:val="4D4DA133"/>
    <w:rsid w:val="4D4DA133"/>
    <w:rsid w:val="505C9EC8"/>
    <w:rsid w:val="50D1F0B2"/>
    <w:rsid w:val="56F46C0E"/>
    <w:rsid w:val="5838EDE4"/>
    <w:rsid w:val="58C0E387"/>
    <w:rsid w:val="58ECA932"/>
    <w:rsid w:val="59E9E586"/>
    <w:rsid w:val="5DFB1593"/>
    <w:rsid w:val="5E0B18C5"/>
    <w:rsid w:val="61522591"/>
    <w:rsid w:val="61ED93A6"/>
    <w:rsid w:val="69FE0A71"/>
    <w:rsid w:val="6FF7D02E"/>
    <w:rsid w:val="72454A8E"/>
    <w:rsid w:val="7529733E"/>
    <w:rsid w:val="79B3A23A"/>
    <w:rsid w:val="7FE26D6E"/>
  </w:rsids>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hAnsi="Helvetica Neue" w:eastAsia="Arial Unicode MS" w:cs="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hAnsi="Aptos" w:eastAsia="Aptos" w:cs="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hAnsi="Arial" w:eastAsia="Arial" w:cs="Arial"/>
      <w:outline w:val="0"/>
      <w:color w:val="467886"/>
      <w:u w:val="single" w:color="467886"/>
      <w14:textFill>
        <w14:solidFill>
          <w14:srgbClr w14:val="467886"/>
        </w14:solidFill>
      </w14:textFill>
    </w:r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header" Target="header1.xml" Id="rId4" /><Relationship Type="http://schemas.openxmlformats.org/officeDocument/2006/relationships/footer" Target="footer1.xml" Id="rId5" /><Relationship Type="http://schemas.openxmlformats.org/officeDocument/2006/relationships/theme" Target="theme/theme1.xml" Id="rId6" /><Relationship Type="http://schemas.openxmlformats.org/officeDocument/2006/relationships/image" Target="/media/image.png" Id="rId1938663528" /><Relationship Type="http://schemas.openxmlformats.org/officeDocument/2006/relationships/hyperlink" Target="https://www.bma.org.uk/advice-and-support/nhs-delivery-and-workforce/digital-health/digital-health-benefits-and-risks" TargetMode="External" Id="R891d971551b74d85" /><Relationship Type="http://schemas.openxmlformats.org/officeDocument/2006/relationships/hyperlink" Target="https://www.gov.uk/government/publications/data-saves-lives-reshaping-health-and-social-care-with-data" TargetMode="External" Id="R364192ec1d734851" /><Relationship Type="http://schemas.openxmlformats.org/officeDocument/2006/relationships/hyperlink" Target="https://www.goodthingsfoundation.org/insights/health-inequalities-the-potential-of-digital/" TargetMode="External" Id="Rb8e0ffa714d64661" /><Relationship Type="http://schemas.openxmlformats.org/officeDocument/2006/relationships/hyperlink" Target="https://www.healthwatch.co.uk/reports/digital-health-public-experiences-2022" TargetMode="External" Id="Re955fe82509a4880" /><Relationship Type="http://schemas.openxmlformats.org/officeDocument/2006/relationships/hyperlink" Target="https://ico.org.uk/for-organisations/guide-to-data-protection/guide-to-the-general-data-protection-regulation-gdpr/principles/" TargetMode="External" Id="R64cb335d331741d1" /><Relationship Type="http://schemas.openxmlformats.org/officeDocument/2006/relationships/hyperlink" Target="https://www.kingsfund.org.uk/insight-and-analysis/long-reads/digital-health-and-care-opportunities-and-challenges" TargetMode="External" Id="R77c5298d7f2e4487" /><Relationship Type="http://schemas.openxmlformats.org/officeDocument/2006/relationships/hyperlink" Target="https://doi.org/10.1177/2053951720948087" TargetMode="External" Id="R9869027e79e9420f" /><Relationship Type="http://schemas.openxmlformats.org/officeDocument/2006/relationships/hyperlink" Target="https://www.nao.org.uk/reports/digital-transformation-in-the-nhs/" TargetMode="External" Id="R6d38367126f7419f" /><Relationship Type="http://schemas.openxmlformats.org/officeDocument/2006/relationships/hyperlink" Target="https://www.mhsconfed.org/publications/digital-transformation-nhs" TargetMode="External" Id="Re36623a107d34e13" /><Relationship Type="http://schemas.openxmlformats.org/officeDocument/2006/relationships/hyperlink" Target="https://www.digital.nhs.uk/data-and-information/data-collections-and-data-sets/data-collections/nhs-app-and-nhs-login-monthly-statistics" TargetMode="External" Id="Rde9b1eb0ecf34ced" /><Relationship Type="http://schemas.openxmlformats.org/officeDocument/2006/relationships/hyperlink" Target="https://www.rcgp.org.uk/representing-you/policy-areas/nhs-england-primary-care-access-recovery-plan" TargetMode="External" Id="R7a0ee38775ba413a" /><Relationship Type="http://schemas.microsoft.com/office/2020/10/relationships/intelligence" Target="intelligence2.xml" Id="Ra1fe4a20a1fc4770" /></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sx="100000" sy="100000" kx="0" ky="0" algn="b" rotWithShape="0">
              <a:srgbClr val="000000">
                <a:alpha val="35000"/>
              </a:srgbClr>
            </a:outerShdw>
          </a:effectLst>
        </a:effectStyle>
        <a:effectStyle>
          <a:effectLst>
            <a:outerShdw blurRad="38100" dist="23000" dir="5400000" sx="100000" sy="100000" kx="0" ky="0" algn="b" rotWithShape="0">
              <a:srgbClr val="000000">
                <a:alpha val="35000"/>
              </a:srgbClr>
            </a:outerShdw>
          </a:effectLst>
        </a:effectStyle>
        <a:effectStyle>
          <a:effectLst>
            <a:outerShdw blurRad="38100" dist="20000" dir="5400000" sx="100000" sy="100000" kx="0" ky="0" algn="b"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sx="100000" sy="100000" kx="0" ky="0" algn="b" rotWithShape="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blurRad="38100" dist="20000" dir="5400000" sx="100000" sy="100000" kx="0" ky="0" algn="b" rotWithShape="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Racheal Becker (2310797)</lastModifiedBy>
  <dcterms:modified xsi:type="dcterms:W3CDTF">2025-10-21T09:46:02.3373846Z</dcterms:modified>
</coreProperties>
</file>