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652A75" w14:textId="5ECDBACB" w:rsidR="007642F0" w:rsidRPr="007642F0" w:rsidRDefault="007642F0" w:rsidP="007642F0">
      <w:pPr>
        <w:jc w:val="center"/>
        <w:rPr>
          <w:b/>
          <w:bCs/>
          <w:sz w:val="36"/>
          <w:szCs w:val="40"/>
        </w:rPr>
      </w:pPr>
      <w:r w:rsidRPr="007642F0">
        <w:rPr>
          <w:b/>
          <w:bCs/>
          <w:sz w:val="36"/>
          <w:szCs w:val="40"/>
        </w:rPr>
        <w:t>Principles of Human Resource Management</w:t>
      </w:r>
    </w:p>
    <w:p w14:paraId="221AB248" w14:textId="77777777" w:rsidR="007642F0" w:rsidRPr="007642F0" w:rsidRDefault="007642F0" w:rsidP="007642F0">
      <w:pPr>
        <w:jc w:val="center"/>
        <w:rPr>
          <w:b/>
          <w:bCs/>
          <w:sz w:val="36"/>
          <w:szCs w:val="40"/>
        </w:rPr>
      </w:pPr>
    </w:p>
    <w:p w14:paraId="75363DA8" w14:textId="1583F197" w:rsidR="007642F0" w:rsidRPr="007642F0" w:rsidRDefault="007642F0" w:rsidP="007642F0">
      <w:pPr>
        <w:jc w:val="center"/>
        <w:rPr>
          <w:b/>
          <w:bCs/>
          <w:sz w:val="36"/>
          <w:szCs w:val="40"/>
        </w:rPr>
      </w:pPr>
      <w:r w:rsidRPr="007642F0">
        <w:rPr>
          <w:b/>
          <w:bCs/>
          <w:sz w:val="36"/>
          <w:szCs w:val="40"/>
        </w:rPr>
        <w:t>LCBBS012</w:t>
      </w:r>
    </w:p>
    <w:p w14:paraId="3CE85D81" w14:textId="77777777" w:rsidR="007642F0" w:rsidRPr="007642F0" w:rsidRDefault="007642F0" w:rsidP="007642F0">
      <w:pPr>
        <w:jc w:val="center"/>
        <w:rPr>
          <w:b/>
          <w:bCs/>
          <w:sz w:val="36"/>
          <w:szCs w:val="40"/>
        </w:rPr>
      </w:pPr>
    </w:p>
    <w:p w14:paraId="5EBFDBC7" w14:textId="77777777" w:rsidR="007642F0" w:rsidRDefault="007642F0" w:rsidP="007642F0">
      <w:pPr>
        <w:jc w:val="center"/>
        <w:rPr>
          <w:b/>
          <w:bCs/>
          <w:sz w:val="36"/>
          <w:szCs w:val="40"/>
        </w:rPr>
      </w:pPr>
      <w:r w:rsidRPr="007642F0">
        <w:rPr>
          <w:b/>
          <w:bCs/>
          <w:sz w:val="36"/>
          <w:szCs w:val="40"/>
        </w:rPr>
        <w:t>CW2 – Individual report</w:t>
      </w:r>
    </w:p>
    <w:p w14:paraId="3F52232B" w14:textId="77777777" w:rsidR="007642F0" w:rsidRDefault="007642F0" w:rsidP="007642F0">
      <w:pPr>
        <w:jc w:val="center"/>
        <w:rPr>
          <w:sz w:val="36"/>
          <w:szCs w:val="40"/>
        </w:rPr>
      </w:pPr>
      <w:r w:rsidRPr="007642F0">
        <w:rPr>
          <w:b/>
          <w:bCs/>
          <w:sz w:val="36"/>
          <w:szCs w:val="40"/>
        </w:rPr>
        <w:t>Learning and development report</w:t>
      </w:r>
      <w:r w:rsidRPr="007642F0">
        <w:rPr>
          <w:sz w:val="36"/>
          <w:szCs w:val="40"/>
        </w:rPr>
        <w:t xml:space="preserve"> </w:t>
      </w:r>
    </w:p>
    <w:p w14:paraId="45A2F0FF" w14:textId="77777777" w:rsidR="007642F0" w:rsidRDefault="007642F0" w:rsidP="007642F0"/>
    <w:p w14:paraId="18A61FF2" w14:textId="77777777" w:rsidR="007642F0" w:rsidRDefault="007642F0" w:rsidP="007642F0"/>
    <w:p w14:paraId="607964A7" w14:textId="77777777" w:rsidR="007642F0" w:rsidRDefault="007642F0" w:rsidP="007642F0"/>
    <w:p w14:paraId="16313842" w14:textId="77777777" w:rsidR="007642F0" w:rsidRDefault="007642F0" w:rsidP="007642F0"/>
    <w:p w14:paraId="575E0AF3" w14:textId="77777777" w:rsidR="007642F0" w:rsidRDefault="007642F0" w:rsidP="007642F0"/>
    <w:p w14:paraId="4ABF421E" w14:textId="77777777" w:rsidR="007642F0" w:rsidRDefault="007642F0" w:rsidP="007642F0"/>
    <w:p w14:paraId="277616CC" w14:textId="77777777" w:rsidR="007642F0" w:rsidRDefault="007642F0" w:rsidP="007642F0"/>
    <w:p w14:paraId="7C928631" w14:textId="77777777" w:rsidR="007642F0" w:rsidRDefault="007642F0" w:rsidP="007642F0"/>
    <w:p w14:paraId="4191F64B" w14:textId="77777777" w:rsidR="007642F0" w:rsidRPr="007642F0" w:rsidRDefault="007642F0" w:rsidP="007642F0">
      <w:pPr>
        <w:rPr>
          <w:b/>
          <w:bCs/>
          <w:sz w:val="28"/>
          <w:szCs w:val="32"/>
        </w:rPr>
      </w:pPr>
      <w:r w:rsidRPr="007642F0">
        <w:rPr>
          <w:b/>
          <w:bCs/>
          <w:sz w:val="28"/>
          <w:szCs w:val="32"/>
        </w:rPr>
        <w:t>Student Name:</w:t>
      </w:r>
    </w:p>
    <w:p w14:paraId="3E79DCCF" w14:textId="08EA3B4E" w:rsidR="002120A9" w:rsidRDefault="007642F0" w:rsidP="007642F0">
      <w:r w:rsidRPr="007642F0">
        <w:rPr>
          <w:b/>
          <w:bCs/>
          <w:sz w:val="28"/>
          <w:szCs w:val="32"/>
        </w:rPr>
        <w:t>Student ID:</w:t>
      </w:r>
      <w:r w:rsidR="002120A9">
        <w:br w:type="page"/>
      </w:r>
    </w:p>
    <w:sdt>
      <w:sdtPr>
        <w:id w:val="1499616032"/>
        <w:docPartObj>
          <w:docPartGallery w:val="Table of Contents"/>
          <w:docPartUnique/>
        </w:docPartObj>
      </w:sdtPr>
      <w:sdtEndPr>
        <w:rPr>
          <w:rFonts w:ascii="Times New Roman" w:eastAsiaTheme="minorHAnsi" w:hAnsi="Times New Roman" w:cstheme="minorBidi"/>
          <w:b/>
          <w:bCs/>
          <w:noProof/>
          <w:color w:val="auto"/>
          <w:sz w:val="24"/>
          <w:szCs w:val="30"/>
          <w:lang w:val="en-GB" w:bidi="bn-IN"/>
          <w14:ligatures w14:val="standardContextual"/>
        </w:rPr>
      </w:sdtEndPr>
      <w:sdtContent>
        <w:p w14:paraId="10D98E8A" w14:textId="4524B7F0" w:rsidR="007642F0" w:rsidRPr="007642F0" w:rsidRDefault="007642F0">
          <w:pPr>
            <w:pStyle w:val="TOCHeading"/>
            <w:rPr>
              <w:rFonts w:ascii="Times New Roman" w:hAnsi="Times New Roman" w:cs="Times New Roman"/>
              <w:b/>
              <w:bCs/>
            </w:rPr>
          </w:pPr>
          <w:r w:rsidRPr="007642F0">
            <w:rPr>
              <w:rFonts w:ascii="Times New Roman" w:hAnsi="Times New Roman" w:cs="Times New Roman"/>
              <w:b/>
              <w:bCs/>
            </w:rPr>
            <w:t>Table of Contents</w:t>
          </w:r>
        </w:p>
        <w:p w14:paraId="68D4C336" w14:textId="31E0590E" w:rsidR="005F6A3F" w:rsidRDefault="007642F0">
          <w:pPr>
            <w:pStyle w:val="TOC1"/>
            <w:tabs>
              <w:tab w:val="right" w:leader="dot" w:pos="9019"/>
            </w:tabs>
            <w:rPr>
              <w:rFonts w:asciiTheme="minorHAnsi" w:eastAsiaTheme="minorEastAsia" w:hAnsiTheme="minorHAnsi"/>
              <w:noProof/>
              <w:kern w:val="2"/>
              <w:lang w:eastAsia="en-GB"/>
            </w:rPr>
          </w:pPr>
          <w:r>
            <w:fldChar w:fldCharType="begin"/>
          </w:r>
          <w:r>
            <w:instrText xml:space="preserve"> TOC \o "1-3" \h \z \u </w:instrText>
          </w:r>
          <w:r>
            <w:fldChar w:fldCharType="separate"/>
          </w:r>
          <w:hyperlink w:anchor="_Toc214521448" w:history="1">
            <w:r w:rsidR="005F6A3F" w:rsidRPr="000F7A58">
              <w:rPr>
                <w:rStyle w:val="Hyperlink"/>
                <w:noProof/>
              </w:rPr>
              <w:t>Introduction</w:t>
            </w:r>
            <w:r w:rsidR="005F6A3F">
              <w:rPr>
                <w:noProof/>
                <w:webHidden/>
              </w:rPr>
              <w:tab/>
            </w:r>
            <w:r w:rsidR="005F6A3F">
              <w:rPr>
                <w:noProof/>
                <w:webHidden/>
              </w:rPr>
              <w:fldChar w:fldCharType="begin"/>
            </w:r>
            <w:r w:rsidR="005F6A3F">
              <w:rPr>
                <w:noProof/>
                <w:webHidden/>
              </w:rPr>
              <w:instrText xml:space="preserve"> PAGEREF _Toc214521448 \h </w:instrText>
            </w:r>
            <w:r w:rsidR="005F6A3F">
              <w:rPr>
                <w:noProof/>
                <w:webHidden/>
              </w:rPr>
            </w:r>
            <w:r w:rsidR="005F6A3F">
              <w:rPr>
                <w:noProof/>
                <w:webHidden/>
              </w:rPr>
              <w:fldChar w:fldCharType="separate"/>
            </w:r>
            <w:r w:rsidR="005F6A3F">
              <w:rPr>
                <w:noProof/>
                <w:webHidden/>
              </w:rPr>
              <w:t>3</w:t>
            </w:r>
            <w:r w:rsidR="005F6A3F">
              <w:rPr>
                <w:noProof/>
                <w:webHidden/>
              </w:rPr>
              <w:fldChar w:fldCharType="end"/>
            </w:r>
          </w:hyperlink>
        </w:p>
        <w:p w14:paraId="4551DAAA" w14:textId="5506F314" w:rsidR="005F6A3F" w:rsidRDefault="005F6A3F">
          <w:pPr>
            <w:pStyle w:val="TOC1"/>
            <w:tabs>
              <w:tab w:val="right" w:leader="dot" w:pos="9019"/>
            </w:tabs>
            <w:rPr>
              <w:rFonts w:asciiTheme="minorHAnsi" w:eastAsiaTheme="minorEastAsia" w:hAnsiTheme="minorHAnsi"/>
              <w:noProof/>
              <w:kern w:val="2"/>
              <w:lang w:eastAsia="en-GB"/>
            </w:rPr>
          </w:pPr>
          <w:hyperlink w:anchor="_Toc214521449" w:history="1">
            <w:r w:rsidRPr="000F7A58">
              <w:rPr>
                <w:rStyle w:val="Hyperlink"/>
                <w:noProof/>
              </w:rPr>
              <w:t>Impact of Internal and External Forces on L&amp;D Design and Implementation</w:t>
            </w:r>
            <w:r>
              <w:rPr>
                <w:noProof/>
                <w:webHidden/>
              </w:rPr>
              <w:tab/>
            </w:r>
            <w:r>
              <w:rPr>
                <w:noProof/>
                <w:webHidden/>
              </w:rPr>
              <w:fldChar w:fldCharType="begin"/>
            </w:r>
            <w:r>
              <w:rPr>
                <w:noProof/>
                <w:webHidden/>
              </w:rPr>
              <w:instrText xml:space="preserve"> PAGEREF _Toc214521449 \h </w:instrText>
            </w:r>
            <w:r>
              <w:rPr>
                <w:noProof/>
                <w:webHidden/>
              </w:rPr>
            </w:r>
            <w:r>
              <w:rPr>
                <w:noProof/>
                <w:webHidden/>
              </w:rPr>
              <w:fldChar w:fldCharType="separate"/>
            </w:r>
            <w:r>
              <w:rPr>
                <w:noProof/>
                <w:webHidden/>
              </w:rPr>
              <w:t>3</w:t>
            </w:r>
            <w:r>
              <w:rPr>
                <w:noProof/>
                <w:webHidden/>
              </w:rPr>
              <w:fldChar w:fldCharType="end"/>
            </w:r>
          </w:hyperlink>
        </w:p>
        <w:p w14:paraId="703E82BF" w14:textId="7999EC5A" w:rsidR="005F6A3F" w:rsidRDefault="005F6A3F">
          <w:pPr>
            <w:pStyle w:val="TOC2"/>
            <w:tabs>
              <w:tab w:val="right" w:leader="dot" w:pos="9019"/>
            </w:tabs>
            <w:rPr>
              <w:rFonts w:asciiTheme="minorHAnsi" w:eastAsiaTheme="minorEastAsia" w:hAnsiTheme="minorHAnsi"/>
              <w:noProof/>
              <w:kern w:val="2"/>
              <w:lang w:eastAsia="en-GB"/>
            </w:rPr>
          </w:pPr>
          <w:hyperlink w:anchor="_Toc214521450" w:history="1">
            <w:r w:rsidRPr="000F7A58">
              <w:rPr>
                <w:rStyle w:val="Hyperlink"/>
                <w:noProof/>
              </w:rPr>
              <w:t>Internal Forces</w:t>
            </w:r>
            <w:r>
              <w:rPr>
                <w:noProof/>
                <w:webHidden/>
              </w:rPr>
              <w:tab/>
            </w:r>
            <w:r>
              <w:rPr>
                <w:noProof/>
                <w:webHidden/>
              </w:rPr>
              <w:fldChar w:fldCharType="begin"/>
            </w:r>
            <w:r>
              <w:rPr>
                <w:noProof/>
                <w:webHidden/>
              </w:rPr>
              <w:instrText xml:space="preserve"> PAGEREF _Toc214521450 \h </w:instrText>
            </w:r>
            <w:r>
              <w:rPr>
                <w:noProof/>
                <w:webHidden/>
              </w:rPr>
            </w:r>
            <w:r>
              <w:rPr>
                <w:noProof/>
                <w:webHidden/>
              </w:rPr>
              <w:fldChar w:fldCharType="separate"/>
            </w:r>
            <w:r>
              <w:rPr>
                <w:noProof/>
                <w:webHidden/>
              </w:rPr>
              <w:t>3</w:t>
            </w:r>
            <w:r>
              <w:rPr>
                <w:noProof/>
                <w:webHidden/>
              </w:rPr>
              <w:fldChar w:fldCharType="end"/>
            </w:r>
          </w:hyperlink>
        </w:p>
        <w:p w14:paraId="292AD52C" w14:textId="0F83ECF6" w:rsidR="005F6A3F" w:rsidRDefault="005F6A3F">
          <w:pPr>
            <w:pStyle w:val="TOC2"/>
            <w:tabs>
              <w:tab w:val="right" w:leader="dot" w:pos="9019"/>
            </w:tabs>
            <w:rPr>
              <w:rFonts w:asciiTheme="minorHAnsi" w:eastAsiaTheme="minorEastAsia" w:hAnsiTheme="minorHAnsi"/>
              <w:noProof/>
              <w:kern w:val="2"/>
              <w:lang w:eastAsia="en-GB"/>
            </w:rPr>
          </w:pPr>
          <w:hyperlink w:anchor="_Toc214521451" w:history="1">
            <w:r w:rsidRPr="000F7A58">
              <w:rPr>
                <w:rStyle w:val="Hyperlink"/>
                <w:noProof/>
              </w:rPr>
              <w:t>External Forces</w:t>
            </w:r>
            <w:r>
              <w:rPr>
                <w:noProof/>
                <w:webHidden/>
              </w:rPr>
              <w:tab/>
            </w:r>
            <w:r>
              <w:rPr>
                <w:noProof/>
                <w:webHidden/>
              </w:rPr>
              <w:fldChar w:fldCharType="begin"/>
            </w:r>
            <w:r>
              <w:rPr>
                <w:noProof/>
                <w:webHidden/>
              </w:rPr>
              <w:instrText xml:space="preserve"> PAGEREF _Toc214521451 \h </w:instrText>
            </w:r>
            <w:r>
              <w:rPr>
                <w:noProof/>
                <w:webHidden/>
              </w:rPr>
            </w:r>
            <w:r>
              <w:rPr>
                <w:noProof/>
                <w:webHidden/>
              </w:rPr>
              <w:fldChar w:fldCharType="separate"/>
            </w:r>
            <w:r>
              <w:rPr>
                <w:noProof/>
                <w:webHidden/>
              </w:rPr>
              <w:t>4</w:t>
            </w:r>
            <w:r>
              <w:rPr>
                <w:noProof/>
                <w:webHidden/>
              </w:rPr>
              <w:fldChar w:fldCharType="end"/>
            </w:r>
          </w:hyperlink>
        </w:p>
        <w:p w14:paraId="6B40AF28" w14:textId="028C478C" w:rsidR="005F6A3F" w:rsidRDefault="005F6A3F">
          <w:pPr>
            <w:pStyle w:val="TOC2"/>
            <w:tabs>
              <w:tab w:val="right" w:leader="dot" w:pos="9019"/>
            </w:tabs>
            <w:rPr>
              <w:rFonts w:asciiTheme="minorHAnsi" w:eastAsiaTheme="minorEastAsia" w:hAnsiTheme="minorHAnsi"/>
              <w:noProof/>
              <w:kern w:val="2"/>
              <w:lang w:eastAsia="en-GB"/>
            </w:rPr>
          </w:pPr>
          <w:hyperlink w:anchor="_Toc214521452" w:history="1">
            <w:r w:rsidRPr="000F7A58">
              <w:rPr>
                <w:rStyle w:val="Hyperlink"/>
                <w:noProof/>
              </w:rPr>
              <w:t>Impact These Forces have on the L&amp;D Strategy at BP</w:t>
            </w:r>
            <w:r>
              <w:rPr>
                <w:noProof/>
                <w:webHidden/>
              </w:rPr>
              <w:tab/>
            </w:r>
            <w:r>
              <w:rPr>
                <w:noProof/>
                <w:webHidden/>
              </w:rPr>
              <w:fldChar w:fldCharType="begin"/>
            </w:r>
            <w:r>
              <w:rPr>
                <w:noProof/>
                <w:webHidden/>
              </w:rPr>
              <w:instrText xml:space="preserve"> PAGEREF _Toc214521452 \h </w:instrText>
            </w:r>
            <w:r>
              <w:rPr>
                <w:noProof/>
                <w:webHidden/>
              </w:rPr>
            </w:r>
            <w:r>
              <w:rPr>
                <w:noProof/>
                <w:webHidden/>
              </w:rPr>
              <w:fldChar w:fldCharType="separate"/>
            </w:r>
            <w:r>
              <w:rPr>
                <w:noProof/>
                <w:webHidden/>
              </w:rPr>
              <w:t>5</w:t>
            </w:r>
            <w:r>
              <w:rPr>
                <w:noProof/>
                <w:webHidden/>
              </w:rPr>
              <w:fldChar w:fldCharType="end"/>
            </w:r>
          </w:hyperlink>
        </w:p>
        <w:p w14:paraId="2B8C77E3" w14:textId="7D5A2533" w:rsidR="005F6A3F" w:rsidRDefault="005F6A3F">
          <w:pPr>
            <w:pStyle w:val="TOC1"/>
            <w:tabs>
              <w:tab w:val="right" w:leader="dot" w:pos="9019"/>
            </w:tabs>
            <w:rPr>
              <w:rFonts w:asciiTheme="minorHAnsi" w:eastAsiaTheme="minorEastAsia" w:hAnsiTheme="minorHAnsi"/>
              <w:noProof/>
              <w:kern w:val="2"/>
              <w:lang w:eastAsia="en-GB"/>
            </w:rPr>
          </w:pPr>
          <w:hyperlink w:anchor="_Toc214521453" w:history="1">
            <w:r w:rsidRPr="000F7A58">
              <w:rPr>
                <w:rStyle w:val="Hyperlink"/>
                <w:noProof/>
              </w:rPr>
              <w:t>L&amp;D Assisting Adaptation to the Environmental Factors</w:t>
            </w:r>
            <w:r>
              <w:rPr>
                <w:noProof/>
                <w:webHidden/>
              </w:rPr>
              <w:tab/>
            </w:r>
            <w:r>
              <w:rPr>
                <w:noProof/>
                <w:webHidden/>
              </w:rPr>
              <w:fldChar w:fldCharType="begin"/>
            </w:r>
            <w:r>
              <w:rPr>
                <w:noProof/>
                <w:webHidden/>
              </w:rPr>
              <w:instrText xml:space="preserve"> PAGEREF _Toc214521453 \h </w:instrText>
            </w:r>
            <w:r>
              <w:rPr>
                <w:noProof/>
                <w:webHidden/>
              </w:rPr>
            </w:r>
            <w:r>
              <w:rPr>
                <w:noProof/>
                <w:webHidden/>
              </w:rPr>
              <w:fldChar w:fldCharType="separate"/>
            </w:r>
            <w:r>
              <w:rPr>
                <w:noProof/>
                <w:webHidden/>
              </w:rPr>
              <w:t>5</w:t>
            </w:r>
            <w:r>
              <w:rPr>
                <w:noProof/>
                <w:webHidden/>
              </w:rPr>
              <w:fldChar w:fldCharType="end"/>
            </w:r>
          </w:hyperlink>
        </w:p>
        <w:p w14:paraId="46DFF7BC" w14:textId="178E27DF" w:rsidR="005F6A3F" w:rsidRDefault="005F6A3F">
          <w:pPr>
            <w:pStyle w:val="TOC1"/>
            <w:tabs>
              <w:tab w:val="right" w:leader="dot" w:pos="9019"/>
            </w:tabs>
            <w:rPr>
              <w:rFonts w:asciiTheme="minorHAnsi" w:eastAsiaTheme="minorEastAsia" w:hAnsiTheme="minorHAnsi"/>
              <w:noProof/>
              <w:kern w:val="2"/>
              <w:lang w:eastAsia="en-GB"/>
            </w:rPr>
          </w:pPr>
          <w:hyperlink w:anchor="_Toc214521454" w:history="1">
            <w:r w:rsidRPr="000F7A58">
              <w:rPr>
                <w:rStyle w:val="Hyperlink"/>
                <w:noProof/>
              </w:rPr>
              <w:t>L&amp;D as a Tool for Maintaining Competitive Advantage</w:t>
            </w:r>
            <w:r>
              <w:rPr>
                <w:noProof/>
                <w:webHidden/>
              </w:rPr>
              <w:tab/>
            </w:r>
            <w:r>
              <w:rPr>
                <w:noProof/>
                <w:webHidden/>
              </w:rPr>
              <w:fldChar w:fldCharType="begin"/>
            </w:r>
            <w:r>
              <w:rPr>
                <w:noProof/>
                <w:webHidden/>
              </w:rPr>
              <w:instrText xml:space="preserve"> PAGEREF _Toc214521454 \h </w:instrText>
            </w:r>
            <w:r>
              <w:rPr>
                <w:noProof/>
                <w:webHidden/>
              </w:rPr>
            </w:r>
            <w:r>
              <w:rPr>
                <w:noProof/>
                <w:webHidden/>
              </w:rPr>
              <w:fldChar w:fldCharType="separate"/>
            </w:r>
            <w:r>
              <w:rPr>
                <w:noProof/>
                <w:webHidden/>
              </w:rPr>
              <w:t>5</w:t>
            </w:r>
            <w:r>
              <w:rPr>
                <w:noProof/>
                <w:webHidden/>
              </w:rPr>
              <w:fldChar w:fldCharType="end"/>
            </w:r>
          </w:hyperlink>
        </w:p>
        <w:p w14:paraId="192FD0F3" w14:textId="5EE9E480" w:rsidR="005F6A3F" w:rsidRDefault="005F6A3F">
          <w:pPr>
            <w:pStyle w:val="TOC1"/>
            <w:tabs>
              <w:tab w:val="right" w:leader="dot" w:pos="9019"/>
            </w:tabs>
            <w:rPr>
              <w:rFonts w:asciiTheme="minorHAnsi" w:eastAsiaTheme="minorEastAsia" w:hAnsiTheme="minorHAnsi"/>
              <w:noProof/>
              <w:kern w:val="2"/>
              <w:lang w:eastAsia="en-GB"/>
            </w:rPr>
          </w:pPr>
          <w:hyperlink w:anchor="_Toc214521455" w:history="1">
            <w:r w:rsidRPr="000F7A58">
              <w:rPr>
                <w:rStyle w:val="Hyperlink"/>
                <w:noProof/>
              </w:rPr>
              <w:t>Fostering Diversity at the Workplace</w:t>
            </w:r>
            <w:r>
              <w:rPr>
                <w:noProof/>
                <w:webHidden/>
              </w:rPr>
              <w:tab/>
            </w:r>
            <w:r>
              <w:rPr>
                <w:noProof/>
                <w:webHidden/>
              </w:rPr>
              <w:fldChar w:fldCharType="begin"/>
            </w:r>
            <w:r>
              <w:rPr>
                <w:noProof/>
                <w:webHidden/>
              </w:rPr>
              <w:instrText xml:space="preserve"> PAGEREF _Toc214521455 \h </w:instrText>
            </w:r>
            <w:r>
              <w:rPr>
                <w:noProof/>
                <w:webHidden/>
              </w:rPr>
            </w:r>
            <w:r>
              <w:rPr>
                <w:noProof/>
                <w:webHidden/>
              </w:rPr>
              <w:fldChar w:fldCharType="separate"/>
            </w:r>
            <w:r>
              <w:rPr>
                <w:noProof/>
                <w:webHidden/>
              </w:rPr>
              <w:t>6</w:t>
            </w:r>
            <w:r>
              <w:rPr>
                <w:noProof/>
                <w:webHidden/>
              </w:rPr>
              <w:fldChar w:fldCharType="end"/>
            </w:r>
          </w:hyperlink>
        </w:p>
        <w:p w14:paraId="5A6FB219" w14:textId="09F83856" w:rsidR="005F6A3F" w:rsidRDefault="005F6A3F">
          <w:pPr>
            <w:pStyle w:val="TOC1"/>
            <w:tabs>
              <w:tab w:val="right" w:leader="dot" w:pos="9019"/>
            </w:tabs>
            <w:rPr>
              <w:rFonts w:asciiTheme="minorHAnsi" w:eastAsiaTheme="minorEastAsia" w:hAnsiTheme="minorHAnsi"/>
              <w:noProof/>
              <w:kern w:val="2"/>
              <w:lang w:eastAsia="en-GB"/>
            </w:rPr>
          </w:pPr>
          <w:hyperlink w:anchor="_Toc214521456" w:history="1">
            <w:r w:rsidRPr="000F7A58">
              <w:rPr>
                <w:rStyle w:val="Hyperlink"/>
                <w:noProof/>
              </w:rPr>
              <w:t>Application of the L&amp;D Model</w:t>
            </w:r>
            <w:r>
              <w:rPr>
                <w:noProof/>
                <w:webHidden/>
              </w:rPr>
              <w:tab/>
            </w:r>
            <w:r>
              <w:rPr>
                <w:noProof/>
                <w:webHidden/>
              </w:rPr>
              <w:fldChar w:fldCharType="begin"/>
            </w:r>
            <w:r>
              <w:rPr>
                <w:noProof/>
                <w:webHidden/>
              </w:rPr>
              <w:instrText xml:space="preserve"> PAGEREF _Toc214521456 \h </w:instrText>
            </w:r>
            <w:r>
              <w:rPr>
                <w:noProof/>
                <w:webHidden/>
              </w:rPr>
            </w:r>
            <w:r>
              <w:rPr>
                <w:noProof/>
                <w:webHidden/>
              </w:rPr>
              <w:fldChar w:fldCharType="separate"/>
            </w:r>
            <w:r>
              <w:rPr>
                <w:noProof/>
                <w:webHidden/>
              </w:rPr>
              <w:t>7</w:t>
            </w:r>
            <w:r>
              <w:rPr>
                <w:noProof/>
                <w:webHidden/>
              </w:rPr>
              <w:fldChar w:fldCharType="end"/>
            </w:r>
          </w:hyperlink>
        </w:p>
        <w:p w14:paraId="0A104F4A" w14:textId="1CEB3AE8" w:rsidR="005F6A3F" w:rsidRDefault="005F6A3F">
          <w:pPr>
            <w:pStyle w:val="TOC1"/>
            <w:tabs>
              <w:tab w:val="right" w:leader="dot" w:pos="9019"/>
            </w:tabs>
            <w:rPr>
              <w:rFonts w:asciiTheme="minorHAnsi" w:eastAsiaTheme="minorEastAsia" w:hAnsiTheme="minorHAnsi"/>
              <w:noProof/>
              <w:kern w:val="2"/>
              <w:lang w:eastAsia="en-GB"/>
            </w:rPr>
          </w:pPr>
          <w:hyperlink w:anchor="_Toc214521457" w:history="1">
            <w:r w:rsidRPr="000F7A58">
              <w:rPr>
                <w:rStyle w:val="Hyperlink"/>
                <w:noProof/>
              </w:rPr>
              <w:t>Challenges and Recommendations</w:t>
            </w:r>
            <w:r>
              <w:rPr>
                <w:noProof/>
                <w:webHidden/>
              </w:rPr>
              <w:tab/>
            </w:r>
            <w:r>
              <w:rPr>
                <w:noProof/>
                <w:webHidden/>
              </w:rPr>
              <w:fldChar w:fldCharType="begin"/>
            </w:r>
            <w:r>
              <w:rPr>
                <w:noProof/>
                <w:webHidden/>
              </w:rPr>
              <w:instrText xml:space="preserve"> PAGEREF _Toc214521457 \h </w:instrText>
            </w:r>
            <w:r>
              <w:rPr>
                <w:noProof/>
                <w:webHidden/>
              </w:rPr>
            </w:r>
            <w:r>
              <w:rPr>
                <w:noProof/>
                <w:webHidden/>
              </w:rPr>
              <w:fldChar w:fldCharType="separate"/>
            </w:r>
            <w:r>
              <w:rPr>
                <w:noProof/>
                <w:webHidden/>
              </w:rPr>
              <w:t>7</w:t>
            </w:r>
            <w:r>
              <w:rPr>
                <w:noProof/>
                <w:webHidden/>
              </w:rPr>
              <w:fldChar w:fldCharType="end"/>
            </w:r>
          </w:hyperlink>
        </w:p>
        <w:p w14:paraId="2EBE7412" w14:textId="2D5DB496" w:rsidR="005F6A3F" w:rsidRDefault="005F6A3F">
          <w:pPr>
            <w:pStyle w:val="TOC1"/>
            <w:tabs>
              <w:tab w:val="right" w:leader="dot" w:pos="9019"/>
            </w:tabs>
            <w:rPr>
              <w:rFonts w:asciiTheme="minorHAnsi" w:eastAsiaTheme="minorEastAsia" w:hAnsiTheme="minorHAnsi"/>
              <w:noProof/>
              <w:kern w:val="2"/>
              <w:lang w:eastAsia="en-GB"/>
            </w:rPr>
          </w:pPr>
          <w:hyperlink w:anchor="_Toc214521458" w:history="1">
            <w:r w:rsidRPr="000F7A58">
              <w:rPr>
                <w:rStyle w:val="Hyperlink"/>
                <w:noProof/>
              </w:rPr>
              <w:t>Conclusion</w:t>
            </w:r>
            <w:r>
              <w:rPr>
                <w:noProof/>
                <w:webHidden/>
              </w:rPr>
              <w:tab/>
            </w:r>
            <w:r>
              <w:rPr>
                <w:noProof/>
                <w:webHidden/>
              </w:rPr>
              <w:fldChar w:fldCharType="begin"/>
            </w:r>
            <w:r>
              <w:rPr>
                <w:noProof/>
                <w:webHidden/>
              </w:rPr>
              <w:instrText xml:space="preserve"> PAGEREF _Toc214521458 \h </w:instrText>
            </w:r>
            <w:r>
              <w:rPr>
                <w:noProof/>
                <w:webHidden/>
              </w:rPr>
            </w:r>
            <w:r>
              <w:rPr>
                <w:noProof/>
                <w:webHidden/>
              </w:rPr>
              <w:fldChar w:fldCharType="separate"/>
            </w:r>
            <w:r>
              <w:rPr>
                <w:noProof/>
                <w:webHidden/>
              </w:rPr>
              <w:t>8</w:t>
            </w:r>
            <w:r>
              <w:rPr>
                <w:noProof/>
                <w:webHidden/>
              </w:rPr>
              <w:fldChar w:fldCharType="end"/>
            </w:r>
          </w:hyperlink>
        </w:p>
        <w:p w14:paraId="5B779421" w14:textId="4D564CA1" w:rsidR="005F6A3F" w:rsidRDefault="005F6A3F">
          <w:pPr>
            <w:pStyle w:val="TOC1"/>
            <w:tabs>
              <w:tab w:val="right" w:leader="dot" w:pos="9019"/>
            </w:tabs>
            <w:rPr>
              <w:rFonts w:asciiTheme="minorHAnsi" w:eastAsiaTheme="minorEastAsia" w:hAnsiTheme="minorHAnsi"/>
              <w:noProof/>
              <w:kern w:val="2"/>
              <w:lang w:eastAsia="en-GB"/>
            </w:rPr>
          </w:pPr>
          <w:hyperlink w:anchor="_Toc214521459" w:history="1">
            <w:r w:rsidRPr="000F7A58">
              <w:rPr>
                <w:rStyle w:val="Hyperlink"/>
                <w:noProof/>
              </w:rPr>
              <w:t>References</w:t>
            </w:r>
            <w:r>
              <w:rPr>
                <w:noProof/>
                <w:webHidden/>
              </w:rPr>
              <w:tab/>
            </w:r>
            <w:r>
              <w:rPr>
                <w:noProof/>
                <w:webHidden/>
              </w:rPr>
              <w:fldChar w:fldCharType="begin"/>
            </w:r>
            <w:r>
              <w:rPr>
                <w:noProof/>
                <w:webHidden/>
              </w:rPr>
              <w:instrText xml:space="preserve"> PAGEREF _Toc214521459 \h </w:instrText>
            </w:r>
            <w:r>
              <w:rPr>
                <w:noProof/>
                <w:webHidden/>
              </w:rPr>
            </w:r>
            <w:r>
              <w:rPr>
                <w:noProof/>
                <w:webHidden/>
              </w:rPr>
              <w:fldChar w:fldCharType="separate"/>
            </w:r>
            <w:r>
              <w:rPr>
                <w:noProof/>
                <w:webHidden/>
              </w:rPr>
              <w:t>9</w:t>
            </w:r>
            <w:r>
              <w:rPr>
                <w:noProof/>
                <w:webHidden/>
              </w:rPr>
              <w:fldChar w:fldCharType="end"/>
            </w:r>
          </w:hyperlink>
        </w:p>
        <w:p w14:paraId="053E027A" w14:textId="157A9BAB" w:rsidR="007642F0" w:rsidRDefault="007642F0">
          <w:r>
            <w:rPr>
              <w:b/>
              <w:bCs/>
              <w:noProof/>
            </w:rPr>
            <w:fldChar w:fldCharType="end"/>
          </w:r>
        </w:p>
      </w:sdtContent>
    </w:sdt>
    <w:p w14:paraId="303C87FA" w14:textId="77777777" w:rsidR="007642F0" w:rsidRDefault="007642F0" w:rsidP="007642F0">
      <w:r>
        <w:br w:type="page"/>
      </w:r>
    </w:p>
    <w:p w14:paraId="5BB97C1B" w14:textId="1AB1C0C2" w:rsidR="002120A9" w:rsidRDefault="002120A9" w:rsidP="007642F0">
      <w:pPr>
        <w:pStyle w:val="Heading1"/>
      </w:pPr>
      <w:bookmarkStart w:id="0" w:name="_Toc214521448"/>
      <w:r>
        <w:lastRenderedPageBreak/>
        <w:t>Introduction</w:t>
      </w:r>
      <w:bookmarkEnd w:id="0"/>
    </w:p>
    <w:p w14:paraId="6DF36244" w14:textId="64814BF7" w:rsidR="002120A9" w:rsidRDefault="002120A9" w:rsidP="002120A9">
      <w:r>
        <w:t xml:space="preserve">Learning and Development (L&amp;D) is a strategic part of </w:t>
      </w:r>
      <w:r w:rsidR="002E36C5">
        <w:t>human resource management</w:t>
      </w:r>
      <w:r w:rsidR="00CC0D24">
        <w:t>,</w:t>
      </w:r>
      <w:r>
        <w:t xml:space="preserve"> which is aimed at increasing the competence of workers, reinforcing the organisational capability and equipping the workforce with the challenges of </w:t>
      </w:r>
      <w:r w:rsidR="00CC0D24">
        <w:t xml:space="preserve">the </w:t>
      </w:r>
      <w:r>
        <w:t>future</w:t>
      </w:r>
      <w:r w:rsidR="005F6A3F" w:rsidRPr="005F6A3F">
        <w:t xml:space="preserve"> </w:t>
      </w:r>
      <w:r w:rsidR="005F6A3F" w:rsidRPr="005F6A3F">
        <w:t>(Benabed and Messaoudi, 2025)</w:t>
      </w:r>
      <w:r>
        <w:t xml:space="preserve">. It also involves formal training, skills increment, knowledge dissemination, leadership preparation and ongoing learning systems that aim at aiding organisational performance. With the rapid technological change in </w:t>
      </w:r>
      <w:r w:rsidR="00CC0D24">
        <w:t xml:space="preserve">the </w:t>
      </w:r>
      <w:r>
        <w:t xml:space="preserve">business environment, evolving energy requirements, augmented competition and an impetus to focus on sustainability, L&amp;D has assumed a hub of organisational </w:t>
      </w:r>
      <w:r w:rsidR="002E36C5">
        <w:t>development</w:t>
      </w:r>
      <w:r>
        <w:t xml:space="preserve"> and long-term sustainability</w:t>
      </w:r>
      <w:r w:rsidR="005F6A3F" w:rsidRPr="005F6A3F">
        <w:t xml:space="preserve"> </w:t>
      </w:r>
      <w:r w:rsidR="005F6A3F" w:rsidRPr="005F6A3F">
        <w:t>(Berger and Berger, 2017)</w:t>
      </w:r>
      <w:r>
        <w:t>. It helps companies to increase the skills level of their employees, operational excellence, and an innovative culture.</w:t>
      </w:r>
    </w:p>
    <w:p w14:paraId="031BC2DC" w14:textId="706C3FC6" w:rsidR="002120A9" w:rsidRDefault="002120A9" w:rsidP="002120A9">
      <w:r>
        <w:t xml:space="preserve">L&amp;D turned out to be critical when it comes to </w:t>
      </w:r>
      <w:r w:rsidR="00CC0D24">
        <w:t xml:space="preserve">the </w:t>
      </w:r>
      <w:r>
        <w:t xml:space="preserve">diversity of the workforce. </w:t>
      </w:r>
      <w:r w:rsidR="00CC0D24">
        <w:t>C</w:t>
      </w:r>
      <w:r>
        <w:t>ontemporary organisations</w:t>
      </w:r>
      <w:r w:rsidR="00CC0D24">
        <w:t>,</w:t>
      </w:r>
      <w:r>
        <w:t xml:space="preserve"> especially those in the international market</w:t>
      </w:r>
      <w:r w:rsidR="00CC0D24">
        <w:t>place,</w:t>
      </w:r>
      <w:r>
        <w:t xml:space="preserve"> place demand </w:t>
      </w:r>
      <w:r w:rsidR="00CC0D24">
        <w:t xml:space="preserve">on </w:t>
      </w:r>
      <w:r>
        <w:t>the strategies of inclusiveness to consider the various cultural expectation</w:t>
      </w:r>
      <w:r w:rsidR="00CC0D24">
        <w:t>s</w:t>
      </w:r>
      <w:r>
        <w:t>, learning preferences, and prior knowledge levels</w:t>
      </w:r>
      <w:r w:rsidR="005F6A3F" w:rsidRPr="005F6A3F">
        <w:t xml:space="preserve"> </w:t>
      </w:r>
      <w:r w:rsidR="005F6A3F" w:rsidRPr="005F6A3F">
        <w:t>(Berger and Berger, 2017)</w:t>
      </w:r>
      <w:r>
        <w:t xml:space="preserve">. Inclusive L&amp;D expands opportunity and helps marginalised populations, as well as creating work-based cultures that value inclusion and </w:t>
      </w:r>
      <w:r w:rsidR="00CC0D24">
        <w:t xml:space="preserve">the </w:t>
      </w:r>
      <w:r>
        <w:t>majority.</w:t>
      </w:r>
      <w:r w:rsidR="00CC0D24">
        <w:t xml:space="preserve"> </w:t>
      </w:r>
      <w:r>
        <w:t>In order to facilitate the assessment of learning effectiveness, this report will use the Kirkpatrick Four-Level Evaluation Model, which evaluates a reaction, learning, behavioural change, and organisational results</w:t>
      </w:r>
      <w:r w:rsidR="005F6A3F" w:rsidRPr="005F6A3F">
        <w:t xml:space="preserve"> </w:t>
      </w:r>
      <w:r w:rsidR="005F6A3F" w:rsidRPr="005F6A3F">
        <w:t>(Crawshaw</w:t>
      </w:r>
      <w:r w:rsidR="005F6A3F">
        <w:t xml:space="preserve"> et al.</w:t>
      </w:r>
      <w:r w:rsidR="005F6A3F" w:rsidRPr="005F6A3F">
        <w:t>, 2020)</w:t>
      </w:r>
      <w:r>
        <w:t>. The model is especially applicable to industries where the training effectiveness directly affects the industry</w:t>
      </w:r>
      <w:r w:rsidR="00CC0D24">
        <w:t>’s</w:t>
      </w:r>
      <w:r>
        <w:t xml:space="preserve"> safety, performance, and compliance.</w:t>
      </w:r>
      <w:r w:rsidR="00CC0D24">
        <w:t xml:space="preserve"> </w:t>
      </w:r>
      <w:r>
        <w:t xml:space="preserve">As a large British multinational firm which deals with energy and has its headquarters in London, </w:t>
      </w:r>
      <w:r w:rsidR="00652D01" w:rsidRPr="00652D01">
        <w:t>British Petroleum</w:t>
      </w:r>
      <w:r w:rsidR="00652D01">
        <w:t xml:space="preserve"> (</w:t>
      </w:r>
      <w:r>
        <w:t>BP</w:t>
      </w:r>
      <w:r w:rsidR="00652D01">
        <w:t>)</w:t>
      </w:r>
      <w:r>
        <w:t xml:space="preserve"> functions in more than seventy countries; it boasts a workforce that is extremely diverse</w:t>
      </w:r>
      <w:r w:rsidR="00652D01" w:rsidRPr="00652D01">
        <w:t xml:space="preserve"> </w:t>
      </w:r>
      <w:r w:rsidR="00652D01" w:rsidRPr="00652D01">
        <w:t>(BP, 2025)</w:t>
      </w:r>
      <w:r>
        <w:t xml:space="preserve">. </w:t>
      </w:r>
    </w:p>
    <w:p w14:paraId="507844E5" w14:textId="77777777" w:rsidR="00CC0D24" w:rsidRDefault="00CC0D24" w:rsidP="00CC0D24">
      <w:pPr>
        <w:pStyle w:val="Heading1"/>
      </w:pPr>
      <w:bookmarkStart w:id="1" w:name="_Toc214521449"/>
      <w:r w:rsidRPr="00CC0D24">
        <w:t>Impact of Internal and External Forces on L&amp;D Design and Implementation</w:t>
      </w:r>
      <w:bookmarkEnd w:id="1"/>
      <w:r w:rsidRPr="00CC0D24">
        <w:t xml:space="preserve"> </w:t>
      </w:r>
    </w:p>
    <w:p w14:paraId="2F93E19D" w14:textId="3C66076C" w:rsidR="002120A9" w:rsidRDefault="002120A9" w:rsidP="00CC0D24">
      <w:pPr>
        <w:pStyle w:val="Heading2"/>
      </w:pPr>
      <w:bookmarkStart w:id="2" w:name="_Toc214521450"/>
      <w:r>
        <w:t>Internal Forces</w:t>
      </w:r>
      <w:bookmarkEnd w:id="2"/>
    </w:p>
    <w:p w14:paraId="7D8FCAA0" w14:textId="1521DA2B" w:rsidR="002120A9" w:rsidRDefault="002120A9" w:rsidP="002120A9">
      <w:r>
        <w:t xml:space="preserve">Organisational culture is one of the primary factors that define the nature of </w:t>
      </w:r>
      <w:r w:rsidR="00CC0D24">
        <w:t xml:space="preserve">the </w:t>
      </w:r>
      <w:r>
        <w:t>L&amp;D frame and delivery. The culture of BP puts unprecedented priority on safety, discipline in operations, and accountability</w:t>
      </w:r>
      <w:r w:rsidR="00CC0D24">
        <w:t>,</w:t>
      </w:r>
      <w:r>
        <w:t xml:space="preserve"> </w:t>
      </w:r>
      <w:r w:rsidR="00CC0D24">
        <w:t>which</w:t>
      </w:r>
      <w:r>
        <w:t xml:space="preserve"> has been greatly influenced by its history and the high risks that it operates within</w:t>
      </w:r>
      <w:r w:rsidR="005F6A3F" w:rsidRPr="005F6A3F">
        <w:t xml:space="preserve"> </w:t>
      </w:r>
      <w:r w:rsidR="005F6A3F" w:rsidRPr="005F6A3F">
        <w:t>(Ambrose, 2025)</w:t>
      </w:r>
      <w:r>
        <w:t xml:space="preserve">. This culture leads to the focus of the safety and compliance </w:t>
      </w:r>
      <w:r>
        <w:lastRenderedPageBreak/>
        <w:t>training as the basic learning needs. It also affects the leadership programmes</w:t>
      </w:r>
      <w:r w:rsidR="00CC0D24">
        <w:t>’</w:t>
      </w:r>
      <w:r>
        <w:t xml:space="preserve"> structure</w:t>
      </w:r>
      <w:r w:rsidR="00CC0D24">
        <w:t>,</w:t>
      </w:r>
      <w:r>
        <w:t xml:space="preserve"> which puts the responsible operations and ethical decision-making at the forefront</w:t>
      </w:r>
      <w:r w:rsidR="005F6A3F">
        <w:t xml:space="preserve"> </w:t>
      </w:r>
      <w:r w:rsidR="005F6A3F" w:rsidRPr="005F6A3F">
        <w:t>(</w:t>
      </w:r>
      <w:proofErr w:type="spellStart"/>
      <w:r w:rsidR="005F6A3F" w:rsidRPr="005F6A3F">
        <w:t>Garavan</w:t>
      </w:r>
      <w:proofErr w:type="spellEnd"/>
      <w:r w:rsidR="005F6A3F">
        <w:t xml:space="preserve"> et al.</w:t>
      </w:r>
      <w:r w:rsidR="005F6A3F" w:rsidRPr="005F6A3F">
        <w:t>, 2024)</w:t>
      </w:r>
      <w:r>
        <w:t>.</w:t>
      </w:r>
      <w:r w:rsidR="005F6A3F">
        <w:t xml:space="preserve"> </w:t>
      </w:r>
      <w:proofErr w:type="gramStart"/>
      <w:r>
        <w:t>Commitment</w:t>
      </w:r>
      <w:proofErr w:type="gramEnd"/>
      <w:r>
        <w:t xml:space="preserve"> to leadership also influences the provision of L&amp;D. The topmost leadership of BP is the proponent of the creation of technical expertise and future</w:t>
      </w:r>
      <w:r w:rsidR="00CC0D24">
        <w:t>-</w:t>
      </w:r>
      <w:r>
        <w:t>oriented skill</w:t>
      </w:r>
      <w:r w:rsidR="00CC0D24">
        <w:t>s,</w:t>
      </w:r>
      <w:r>
        <w:t xml:space="preserve"> especially that being related to renewable energy and digital transformation</w:t>
      </w:r>
      <w:r w:rsidR="005F6A3F">
        <w:t xml:space="preserve"> </w:t>
      </w:r>
      <w:r w:rsidR="005F6A3F" w:rsidRPr="005F6A3F">
        <w:t>(Huang, 2020)</w:t>
      </w:r>
      <w:r>
        <w:t>. The support provided by leaders also guarantees an investment in the learning technologies and makes L&amp;D strategies consistent with the organisational goals.</w:t>
      </w:r>
      <w:r w:rsidR="005F6A3F">
        <w:t xml:space="preserve"> </w:t>
      </w:r>
      <w:proofErr w:type="gramStart"/>
      <w:r>
        <w:t>Another</w:t>
      </w:r>
      <w:proofErr w:type="gramEnd"/>
      <w:r>
        <w:t xml:space="preserve"> internal force is </w:t>
      </w:r>
      <w:r w:rsidR="00CC0D24">
        <w:t xml:space="preserve">the </w:t>
      </w:r>
      <w:r>
        <w:t>skill gap. With the shift of BP to low-carbon energy sources, the organisation encounters expanded discontinuities in terms of hydrogen technology, bioenergy, offshore wind enterprise, and data analytics</w:t>
      </w:r>
      <w:r w:rsidR="005F6A3F">
        <w:t xml:space="preserve"> </w:t>
      </w:r>
      <w:r w:rsidR="005F6A3F" w:rsidRPr="005F6A3F">
        <w:t>(Ambrose, 2025)</w:t>
      </w:r>
      <w:r>
        <w:t xml:space="preserve">. L&amp;D should thus not only lead to upskilling, but also reskilling, as employees should be capable of adjusting to </w:t>
      </w:r>
      <w:r w:rsidR="00CC0D24">
        <w:t xml:space="preserve">a </w:t>
      </w:r>
      <w:r>
        <w:t xml:space="preserve">new organisational focus, without </w:t>
      </w:r>
      <w:r w:rsidR="00CC0D24">
        <w:t>compromising</w:t>
      </w:r>
      <w:r>
        <w:t xml:space="preserve"> on high levels of operational performance</w:t>
      </w:r>
      <w:r w:rsidR="005F6A3F" w:rsidRPr="005F6A3F">
        <w:t xml:space="preserve"> </w:t>
      </w:r>
      <w:r w:rsidR="005F6A3F" w:rsidRPr="005F6A3F">
        <w:t>(Krithika</w:t>
      </w:r>
      <w:r w:rsidR="005F6A3F">
        <w:t xml:space="preserve"> et al.</w:t>
      </w:r>
      <w:r w:rsidR="005F6A3F" w:rsidRPr="005F6A3F">
        <w:t>, 2024)</w:t>
      </w:r>
      <w:r>
        <w:t>.</w:t>
      </w:r>
      <w:r w:rsidR="00CC0D24">
        <w:t xml:space="preserve"> </w:t>
      </w:r>
      <w:r>
        <w:t>The L&amp;D practi</w:t>
      </w:r>
      <w:r w:rsidR="00CC0D24">
        <w:t>c</w:t>
      </w:r>
      <w:r>
        <w:t xml:space="preserve">es are also influenced by the technological progress within the operations of BP. </w:t>
      </w:r>
    </w:p>
    <w:p w14:paraId="68F0D128" w14:textId="36FC37EF" w:rsidR="002120A9" w:rsidRDefault="002120A9" w:rsidP="00CC0D24">
      <w:pPr>
        <w:pStyle w:val="Heading2"/>
      </w:pPr>
      <w:bookmarkStart w:id="3" w:name="_Toc214521451"/>
      <w:r>
        <w:t>External Forces</w:t>
      </w:r>
      <w:bookmarkEnd w:id="3"/>
    </w:p>
    <w:p w14:paraId="30C707B3" w14:textId="4C22CF22" w:rsidR="002120A9" w:rsidRDefault="002120A9" w:rsidP="002120A9">
      <w:r>
        <w:t>The cultural, regulatory, and operational environments that BP faces are diverse since the company is exposed to globalisation. The L&amp;D programmes should then be designed also to be flexible enough to meet the regional differences, whilst upholding global capability standards. The organisation should also consider the different degrees of digital literacy, language barrier</w:t>
      </w:r>
      <w:r w:rsidR="00CC0D24">
        <w:t>s</w:t>
      </w:r>
      <w:r>
        <w:t xml:space="preserve"> and different cultures which hold diverse views on learning</w:t>
      </w:r>
      <w:r w:rsidR="005F6A3F" w:rsidRPr="005F6A3F">
        <w:t xml:space="preserve"> </w:t>
      </w:r>
      <w:r w:rsidR="005F6A3F" w:rsidRPr="005F6A3F">
        <w:t>(Moreland</w:t>
      </w:r>
      <w:r w:rsidR="005F6A3F">
        <w:t xml:space="preserve"> et al.</w:t>
      </w:r>
      <w:r w:rsidR="005F6A3F" w:rsidRPr="005F6A3F">
        <w:t>, 2019)</w:t>
      </w:r>
      <w:r>
        <w:t>.</w:t>
      </w:r>
      <w:r w:rsidR="005F6A3F">
        <w:t xml:space="preserve"> </w:t>
      </w:r>
      <w:proofErr w:type="gramStart"/>
      <w:r>
        <w:t>The</w:t>
      </w:r>
      <w:proofErr w:type="gramEnd"/>
      <w:r>
        <w:t xml:space="preserve"> energy industry is still being transformed by technological disruption. The current developments in artificial intelligence, data science, robotics, </w:t>
      </w:r>
      <w:r w:rsidR="00CC0D24">
        <w:t xml:space="preserve">and </w:t>
      </w:r>
      <w:r>
        <w:t xml:space="preserve">advanced analytics produce fresh demands </w:t>
      </w:r>
      <w:r w:rsidR="00CC0D24">
        <w:t>for</w:t>
      </w:r>
      <w:r>
        <w:t xml:space="preserve"> being digital</w:t>
      </w:r>
      <w:r w:rsidR="005F6A3F">
        <w:t xml:space="preserve"> </w:t>
      </w:r>
      <w:r w:rsidR="005F6A3F" w:rsidRPr="005F6A3F">
        <w:t>(Crawshaw</w:t>
      </w:r>
      <w:r w:rsidR="005F6A3F">
        <w:t xml:space="preserve"> et al.</w:t>
      </w:r>
      <w:r w:rsidR="005F6A3F" w:rsidRPr="005F6A3F">
        <w:t>, 2020)</w:t>
      </w:r>
      <w:r>
        <w:t>. To keep the employees operational in more digital workplaces, the L&amp;D structure of BP should encourage constantly changing its response to such technologies.</w:t>
      </w:r>
      <w:r w:rsidR="005F6A3F">
        <w:t xml:space="preserve"> </w:t>
      </w:r>
      <w:r>
        <w:t>The energy industry is one of the sectors under the impact of regulatory change. BP has to adhere to rigid environmental policies, the obligatory reporting of carbon, and laws concerning health and safety</w:t>
      </w:r>
      <w:r w:rsidR="005F6A3F">
        <w:t xml:space="preserve"> </w:t>
      </w:r>
      <w:r w:rsidR="005F6A3F" w:rsidRPr="005F6A3F">
        <w:t>(Huang, 2020)</w:t>
      </w:r>
      <w:r>
        <w:t>. This requires a thorough training of compliance, frequent certification and effective systems to track the learning achievement</w:t>
      </w:r>
      <w:r w:rsidR="005F6A3F" w:rsidRPr="005F6A3F">
        <w:t xml:space="preserve"> </w:t>
      </w:r>
      <w:r w:rsidR="005F6A3F" w:rsidRPr="005F6A3F">
        <w:t>(</w:t>
      </w:r>
      <w:proofErr w:type="spellStart"/>
      <w:r w:rsidR="005F6A3F" w:rsidRPr="005F6A3F">
        <w:t>Swapnalekha</w:t>
      </w:r>
      <w:proofErr w:type="spellEnd"/>
      <w:r w:rsidR="005F6A3F" w:rsidRPr="005F6A3F">
        <w:t>, 2015)</w:t>
      </w:r>
      <w:r>
        <w:t>.</w:t>
      </w:r>
      <w:r w:rsidR="00CC0D24">
        <w:t xml:space="preserve"> </w:t>
      </w:r>
      <w:r>
        <w:t>Trends in the labour markets</w:t>
      </w:r>
      <w:r w:rsidR="00CC0D24">
        <w:t>,</w:t>
      </w:r>
      <w:r>
        <w:t xml:space="preserve"> such as labour shortage in the engineering and renewable energy talent</w:t>
      </w:r>
      <w:r w:rsidR="00CC0D24">
        <w:t>,</w:t>
      </w:r>
      <w:r>
        <w:t xml:space="preserve"> will make BP focus more on internal talent development</w:t>
      </w:r>
      <w:r w:rsidR="005F6A3F" w:rsidRPr="005F6A3F">
        <w:t xml:space="preserve"> </w:t>
      </w:r>
      <w:r w:rsidR="005F6A3F" w:rsidRPr="005F6A3F">
        <w:t>(</w:t>
      </w:r>
      <w:proofErr w:type="spellStart"/>
      <w:r w:rsidR="005F6A3F" w:rsidRPr="005F6A3F">
        <w:t>Wardhani</w:t>
      </w:r>
      <w:proofErr w:type="spellEnd"/>
      <w:r w:rsidR="005F6A3F" w:rsidRPr="005F6A3F">
        <w:t xml:space="preserve"> et al., 2025)</w:t>
      </w:r>
      <w:r w:rsidR="00CC0D24">
        <w:t>.</w:t>
      </w:r>
    </w:p>
    <w:p w14:paraId="4D1FA467" w14:textId="3C5F0B38" w:rsidR="002120A9" w:rsidRDefault="002120A9" w:rsidP="00CC0D24">
      <w:pPr>
        <w:pStyle w:val="Heading2"/>
      </w:pPr>
      <w:bookmarkStart w:id="4" w:name="_Toc214521452"/>
      <w:r>
        <w:lastRenderedPageBreak/>
        <w:t>Impact These Forces have on the L&amp;D Strategy at BP</w:t>
      </w:r>
      <w:bookmarkEnd w:id="4"/>
    </w:p>
    <w:p w14:paraId="6F8902D7" w14:textId="30F8CE2D" w:rsidR="002120A9" w:rsidRDefault="002120A9" w:rsidP="002120A9">
      <w:r>
        <w:t>All these external and internal forces have made BP internalise very structured, technology-supported and visionary L&amp;D strategies. The firm engages in heavy investment in digital learning systems, comprehensive professional growth and development, global leadership schemes and safety</w:t>
      </w:r>
      <w:r w:rsidR="00CC0D24">
        <w:t>-</w:t>
      </w:r>
      <w:r>
        <w:t>critical training</w:t>
      </w:r>
      <w:r w:rsidR="005F6A3F">
        <w:t xml:space="preserve"> </w:t>
      </w:r>
      <w:r w:rsidR="005F6A3F" w:rsidRPr="005F6A3F">
        <w:t>(Ambrose, 2025)</w:t>
      </w:r>
      <w:r>
        <w:t>. These are the methods which can make the organisation remain competitive, compliant and ones that can manoeuvre in an emerging energy environment</w:t>
      </w:r>
      <w:r w:rsidR="005F6A3F">
        <w:t xml:space="preserve"> </w:t>
      </w:r>
      <w:r w:rsidR="005F6A3F" w:rsidRPr="005F6A3F">
        <w:t>(Wei and Jin, 2021)</w:t>
      </w:r>
      <w:r>
        <w:t>.</w:t>
      </w:r>
    </w:p>
    <w:p w14:paraId="763EEE2F" w14:textId="686270B4" w:rsidR="002120A9" w:rsidRDefault="002120A9" w:rsidP="00CC0D24">
      <w:pPr>
        <w:pStyle w:val="Heading1"/>
      </w:pPr>
      <w:bookmarkStart w:id="5" w:name="_Toc214521453"/>
      <w:r>
        <w:t>L&amp;D Assisting Adaptation to the Environmental Factors</w:t>
      </w:r>
      <w:bookmarkEnd w:id="5"/>
    </w:p>
    <w:p w14:paraId="087053DE" w14:textId="39B8D77A" w:rsidR="002120A9" w:rsidRDefault="002120A9" w:rsidP="002120A9">
      <w:r>
        <w:t>The forces on the environment in the energy industry are high</w:t>
      </w:r>
      <w:r w:rsidR="00CC0D24">
        <w:t>,</w:t>
      </w:r>
      <w:r>
        <w:t xml:space="preserve"> and L&amp;D has been critical towards facilitating the ability of BP to respond appropriately. Digital transformation is one of the greatest changes that influence</w:t>
      </w:r>
      <w:r w:rsidR="00CC0D24">
        <w:t>s</w:t>
      </w:r>
      <w:r>
        <w:t xml:space="preserve"> the organisation</w:t>
      </w:r>
      <w:r w:rsidR="005F6A3F">
        <w:t xml:space="preserve"> </w:t>
      </w:r>
      <w:r w:rsidR="005F6A3F" w:rsidRPr="005F6A3F">
        <w:t>(Moreland</w:t>
      </w:r>
      <w:r w:rsidR="005F6A3F">
        <w:t xml:space="preserve"> et al.</w:t>
      </w:r>
      <w:r w:rsidR="005F6A3F" w:rsidRPr="005F6A3F">
        <w:t>, 2019)</w:t>
      </w:r>
      <w:r>
        <w:t>. BP is growing dependent on the technologies of advanced analytics, remote operations, and predictive maintenance. In order to facilitate such a transition, the organisation supports data literacy, artificial intelligence applications, and digital engineering tools training</w:t>
      </w:r>
      <w:r w:rsidR="005F6A3F">
        <w:t xml:space="preserve"> </w:t>
      </w:r>
      <w:r w:rsidR="005F6A3F" w:rsidRPr="005F6A3F">
        <w:t>(Wei and Jin, 2021)</w:t>
      </w:r>
      <w:r>
        <w:t xml:space="preserve">. The training through simulation and virtual reality proves to be especially efficient as employees get a chance to train </w:t>
      </w:r>
      <w:r w:rsidR="00CC0D24">
        <w:t xml:space="preserve">on </w:t>
      </w:r>
      <w:r>
        <w:t xml:space="preserve">the difficult tasks in </w:t>
      </w:r>
      <w:r w:rsidR="00CC0D24">
        <w:t>a</w:t>
      </w:r>
      <w:r>
        <w:t xml:space="preserve"> non-dangerous environment.</w:t>
      </w:r>
    </w:p>
    <w:p w14:paraId="70688B05" w14:textId="673E73C1" w:rsidR="002120A9" w:rsidRDefault="002120A9" w:rsidP="002120A9">
      <w:r>
        <w:t>Remote and hybrid working practi</w:t>
      </w:r>
      <w:r w:rsidR="00CC0D24">
        <w:t>ces</w:t>
      </w:r>
      <w:r>
        <w:t xml:space="preserve"> ha</w:t>
      </w:r>
      <w:r w:rsidR="00CC0D24">
        <w:t>ve</w:t>
      </w:r>
      <w:r>
        <w:t xml:space="preserve"> increased the urgency of flexible learning practi</w:t>
      </w:r>
      <w:r w:rsidR="00CC0D24">
        <w:t>c</w:t>
      </w:r>
      <w:r>
        <w:t>es</w:t>
      </w:r>
      <w:r w:rsidR="005F6A3F">
        <w:t xml:space="preserve"> </w:t>
      </w:r>
      <w:r w:rsidR="005F6A3F" w:rsidRPr="005F6A3F">
        <w:t>(Krithika</w:t>
      </w:r>
      <w:r w:rsidR="005F6A3F">
        <w:t xml:space="preserve"> et al.</w:t>
      </w:r>
      <w:r w:rsidR="005F6A3F" w:rsidRPr="005F6A3F">
        <w:t>, 2024)</w:t>
      </w:r>
      <w:r>
        <w:t xml:space="preserve">. BP has increased the utilisation of online programmes and virtual classrooms to </w:t>
      </w:r>
      <w:r w:rsidR="00CC0D24">
        <w:t>ensure</w:t>
      </w:r>
      <w:r>
        <w:t xml:space="preserve"> that the employees can use learning no matter where they are</w:t>
      </w:r>
      <w:r w:rsidR="005F6A3F">
        <w:t xml:space="preserve"> (BP, 2025)</w:t>
      </w:r>
      <w:r>
        <w:t xml:space="preserve">. The movement increases the accessibility to learning and facilitates </w:t>
      </w:r>
      <w:r w:rsidR="00CC0D24">
        <w:t xml:space="preserve">the </w:t>
      </w:r>
      <w:r>
        <w:t>sharing of knowledge across geographical borders.</w:t>
      </w:r>
      <w:r w:rsidR="00CC0D24">
        <w:t xml:space="preserve"> </w:t>
      </w:r>
      <w:proofErr w:type="gramStart"/>
      <w:r>
        <w:t>Another</w:t>
      </w:r>
      <w:proofErr w:type="gramEnd"/>
      <w:r>
        <w:t xml:space="preserve"> significant environmental condition is the energy transition. BP is presenting itself as a connected energy firm</w:t>
      </w:r>
      <w:r w:rsidR="00CC0D24">
        <w:t>,</w:t>
      </w:r>
      <w:r>
        <w:t xml:space="preserve"> which means the employees must master renewable energy technologies, carbon management and low-carbon in</w:t>
      </w:r>
      <w:r w:rsidR="00CC0D24">
        <w:t>nova</w:t>
      </w:r>
      <w:r>
        <w:t>tion</w:t>
      </w:r>
      <w:r w:rsidR="005F6A3F">
        <w:t xml:space="preserve"> </w:t>
      </w:r>
      <w:r w:rsidR="005F6A3F" w:rsidRPr="005F6A3F">
        <w:t>(Benabed and Messaoudi, 2025)</w:t>
      </w:r>
      <w:r>
        <w:t xml:space="preserve">. </w:t>
      </w:r>
    </w:p>
    <w:p w14:paraId="0B955DC9" w14:textId="245FCA7B" w:rsidR="002120A9" w:rsidRDefault="00CC0D24" w:rsidP="00CC0D24">
      <w:pPr>
        <w:pStyle w:val="Heading1"/>
      </w:pPr>
      <w:bookmarkStart w:id="6" w:name="_Toc214521454"/>
      <w:r w:rsidRPr="00CC0D24">
        <w:t>L&amp;D as a Tool for Maintaining Competitive Advantage</w:t>
      </w:r>
      <w:bookmarkEnd w:id="6"/>
    </w:p>
    <w:p w14:paraId="1464B8D9" w14:textId="31601CEB" w:rsidR="002120A9" w:rsidRDefault="002120A9" w:rsidP="002120A9">
      <w:r>
        <w:t xml:space="preserve">L&amp;D is also a solution enhancing </w:t>
      </w:r>
      <w:r w:rsidR="00CC0D24">
        <w:t xml:space="preserve">the </w:t>
      </w:r>
      <w:r>
        <w:t>competitive advantage of BP in terms of its human capital and operational capacity. Good learning experiences bring about high engagement and motivation</w:t>
      </w:r>
      <w:r w:rsidR="00CC0D24">
        <w:t>,</w:t>
      </w:r>
      <w:r>
        <w:t xml:space="preserve"> as well as building loyalty and lowering turnover among employees</w:t>
      </w:r>
      <w:r w:rsidR="005F6A3F">
        <w:t xml:space="preserve"> </w:t>
      </w:r>
      <w:r w:rsidR="005F6A3F" w:rsidRPr="005F6A3F">
        <w:t>(Berger and Berger, 2017)</w:t>
      </w:r>
      <w:r>
        <w:t xml:space="preserve">. Since the oil and gas sector is unique in its ability to generate high competition among talented engineers and digital professionals, the willingness of BP to invest in career </w:t>
      </w:r>
      <w:r>
        <w:lastRenderedPageBreak/>
        <w:t>development gives it a competitive edge as a source of value to its existing and potential workforce.</w:t>
      </w:r>
    </w:p>
    <w:p w14:paraId="04B8D705" w14:textId="3603385D" w:rsidR="002120A9" w:rsidRDefault="002120A9" w:rsidP="002120A9">
      <w:r>
        <w:t>Strong L&amp;D systems are also used to increase productivity and performance. Employees with high qualifications perform tasks in a safer manner, make decisions, and are better at solving their problems. This results in the minimi</w:t>
      </w:r>
      <w:r w:rsidR="00CC0D24">
        <w:t>s</w:t>
      </w:r>
      <w:r>
        <w:t>ation of inciden</w:t>
      </w:r>
      <w:r w:rsidR="00CC0D24">
        <w:t>t</w:t>
      </w:r>
      <w:r>
        <w:t>s, an increase in efficiency</w:t>
      </w:r>
      <w:r w:rsidR="00CC0D24">
        <w:t>,</w:t>
      </w:r>
      <w:r>
        <w:t xml:space="preserve"> as well as a decrease in </w:t>
      </w:r>
      <w:r w:rsidR="00CC0D24">
        <w:t xml:space="preserve">the </w:t>
      </w:r>
      <w:r>
        <w:t>time that the operational unit is not working</w:t>
      </w:r>
      <w:r w:rsidR="005F6A3F">
        <w:t xml:space="preserve"> </w:t>
      </w:r>
      <w:r w:rsidR="005F6A3F" w:rsidRPr="005F6A3F">
        <w:t>(Berger and Berger, 2017)</w:t>
      </w:r>
      <w:r>
        <w:t>. These are the direct consequences of the BP strategic goals, which contemplate the improvement of the safety performance and cost efficiency.</w:t>
      </w:r>
      <w:r w:rsidR="00CC0D24">
        <w:t xml:space="preserve"> </w:t>
      </w:r>
      <w:r>
        <w:t xml:space="preserve">Leadership development is also </w:t>
      </w:r>
      <w:r w:rsidR="00652D01">
        <w:t>a</w:t>
      </w:r>
      <w:r>
        <w:t xml:space="preserve"> competitive advantage. BP has multi-level leadership programmes where people are developed and trained on how to lead under risky situations, negotiate on complex project</w:t>
      </w:r>
      <w:r w:rsidR="00CC0D24">
        <w:t>s</w:t>
      </w:r>
      <w:r>
        <w:t>, and transform the organisation</w:t>
      </w:r>
      <w:r w:rsidR="005F6A3F" w:rsidRPr="005F6A3F">
        <w:t xml:space="preserve"> </w:t>
      </w:r>
      <w:r w:rsidR="005F6A3F" w:rsidRPr="005F6A3F">
        <w:t>(Benabed and Messaoudi, 2025)</w:t>
      </w:r>
      <w:r w:rsidR="005F6A3F">
        <w:t>.</w:t>
      </w:r>
    </w:p>
    <w:p w14:paraId="014D976A" w14:textId="7F6393A2" w:rsidR="002120A9" w:rsidRDefault="002120A9" w:rsidP="00CC0D24">
      <w:pPr>
        <w:pStyle w:val="Heading1"/>
      </w:pPr>
      <w:bookmarkStart w:id="7" w:name="_Toc214521455"/>
      <w:r>
        <w:t>Fostering Diversity at the Workplace</w:t>
      </w:r>
      <w:bookmarkEnd w:id="7"/>
    </w:p>
    <w:p w14:paraId="2EB2658E" w14:textId="56F6EA8F" w:rsidR="002120A9" w:rsidRDefault="002120A9" w:rsidP="002120A9">
      <w:r>
        <w:t>The international activities of BP would demand a holistic L&amp;D that would cater to and consider the different backgrounds, experiences, and various learning requirements</w:t>
      </w:r>
      <w:r w:rsidR="005F6A3F">
        <w:t xml:space="preserve"> </w:t>
      </w:r>
      <w:r w:rsidR="005F6A3F" w:rsidRPr="005F6A3F">
        <w:t>(BP, 2025)</w:t>
      </w:r>
      <w:r>
        <w:t xml:space="preserve">. The vision of providing learning opportunities that are equitable and accessible to every employee is also among the key values of the approach of </w:t>
      </w:r>
      <w:r w:rsidR="00652D01">
        <w:t xml:space="preserve">the </w:t>
      </w:r>
      <w:r>
        <w:t>organisation</w:t>
      </w:r>
      <w:r w:rsidR="005F6A3F">
        <w:t xml:space="preserve"> </w:t>
      </w:r>
      <w:r w:rsidR="005F6A3F" w:rsidRPr="005F6A3F">
        <w:t>(Crawshaw</w:t>
      </w:r>
      <w:r w:rsidR="005F6A3F">
        <w:t xml:space="preserve"> et al.</w:t>
      </w:r>
      <w:r w:rsidR="005F6A3F" w:rsidRPr="005F6A3F">
        <w:t>, 2020)</w:t>
      </w:r>
      <w:r>
        <w:t xml:space="preserve">. This involves </w:t>
      </w:r>
      <w:r w:rsidR="00CC0D24">
        <w:t xml:space="preserve">the </w:t>
      </w:r>
      <w:r>
        <w:t xml:space="preserve">provision of cultural awareness training, teamwork with experience across the world, </w:t>
      </w:r>
      <w:r w:rsidR="00CC0D24">
        <w:t xml:space="preserve">and </w:t>
      </w:r>
      <w:r>
        <w:t>workshops on cultural diversity and inclusion that will create mutual respect and understanding in the various regions</w:t>
      </w:r>
      <w:r w:rsidR="005F6A3F">
        <w:t xml:space="preserve"> </w:t>
      </w:r>
      <w:r w:rsidR="005F6A3F" w:rsidRPr="005F6A3F">
        <w:t>(Huang, 2020)</w:t>
      </w:r>
      <w:r>
        <w:t>.</w:t>
      </w:r>
      <w:r w:rsidR="00CC0D24">
        <w:t xml:space="preserve"> </w:t>
      </w:r>
      <w:r>
        <w:t xml:space="preserve">The L&amp;D design of BP includes language and accessibility issues. A lot of online courses are carried </w:t>
      </w:r>
      <w:r w:rsidR="00CC0D24">
        <w:t xml:space="preserve">out </w:t>
      </w:r>
      <w:r>
        <w:t>in various languages</w:t>
      </w:r>
      <w:r w:rsidR="00CC0D24">
        <w:t>,</w:t>
      </w:r>
      <w:r>
        <w:t xml:space="preserve"> and learning materials are made to facilitate various literacy and accessib</w:t>
      </w:r>
      <w:r w:rsidR="00CC0D24">
        <w:t>ility</w:t>
      </w:r>
      <w:r>
        <w:t xml:space="preserve"> needs. This </w:t>
      </w:r>
      <w:r w:rsidR="00CC0D24">
        <w:t>enabl</w:t>
      </w:r>
      <w:r>
        <w:t xml:space="preserve">es employees in all the regions to participate in learning content completely. Also, digital platforms assist users with visual, auditory, or cognitive disabilities, which proves the dedication of BP to inclusive </w:t>
      </w:r>
      <w:proofErr w:type="gramStart"/>
      <w:r>
        <w:t>practi</w:t>
      </w:r>
      <w:r w:rsidR="00CC0D24">
        <w:t>c</w:t>
      </w:r>
      <w:r>
        <w:t>e</w:t>
      </w:r>
      <w:r w:rsidR="005F6A3F" w:rsidRPr="005F6A3F">
        <w:t>(</w:t>
      </w:r>
      <w:proofErr w:type="gramEnd"/>
      <w:r w:rsidR="005F6A3F" w:rsidRPr="005F6A3F">
        <w:t>BP, 2025)</w:t>
      </w:r>
      <w:r>
        <w:t>.</w:t>
      </w:r>
      <w:r w:rsidR="00CC0D24">
        <w:t xml:space="preserve"> </w:t>
      </w:r>
      <w:r>
        <w:t>The awareness of learning styles implies that BP can adopt blended learning methods that incorporate videos, interactive module</w:t>
      </w:r>
      <w:r w:rsidR="00CC0D24">
        <w:t>s</w:t>
      </w:r>
      <w:r>
        <w:t>, practical training, simulat</w:t>
      </w:r>
      <w:r w:rsidR="00CC0D24">
        <w:t>ed</w:t>
      </w:r>
      <w:r>
        <w:t xml:space="preserve"> learning, and self-directed learning. The diversity guarantees that learning is appealing to a person</w:t>
      </w:r>
      <w:r w:rsidR="00CC0D24">
        <w:t>,</w:t>
      </w:r>
      <w:r>
        <w:t xml:space="preserve"> despite preference or background</w:t>
      </w:r>
      <w:r w:rsidR="005F6A3F">
        <w:t xml:space="preserve"> </w:t>
      </w:r>
      <w:r w:rsidR="005F6A3F" w:rsidRPr="005F6A3F">
        <w:t>(Krithika</w:t>
      </w:r>
      <w:r w:rsidR="005F6A3F">
        <w:t xml:space="preserve"> et al.</w:t>
      </w:r>
      <w:r w:rsidR="005F6A3F" w:rsidRPr="005F6A3F">
        <w:t>, 2024)</w:t>
      </w:r>
      <w:r>
        <w:t>.</w:t>
      </w:r>
      <w:r w:rsidR="00CC0D24">
        <w:t xml:space="preserve"> </w:t>
      </w:r>
      <w:r>
        <w:t>Also in place are talent development programmes at BP to accommodate under</w:t>
      </w:r>
      <w:r w:rsidR="00CC0D24">
        <w:t>-</w:t>
      </w:r>
      <w:r>
        <w:t xml:space="preserve">representation in technical and leadership positions. </w:t>
      </w:r>
    </w:p>
    <w:p w14:paraId="3EE669F9" w14:textId="38845225" w:rsidR="002120A9" w:rsidRDefault="002120A9" w:rsidP="00CC0D24">
      <w:pPr>
        <w:pStyle w:val="Heading1"/>
      </w:pPr>
      <w:bookmarkStart w:id="8" w:name="_Toc214521456"/>
      <w:r>
        <w:lastRenderedPageBreak/>
        <w:t>Application of the L&amp;D Model</w:t>
      </w:r>
      <w:bookmarkEnd w:id="8"/>
    </w:p>
    <w:p w14:paraId="2C1D3D19" w14:textId="58AA1FB8" w:rsidR="002120A9" w:rsidRDefault="00652D01" w:rsidP="002120A9">
      <w:r>
        <w:t xml:space="preserve">The </w:t>
      </w:r>
      <w:r w:rsidR="002120A9">
        <w:t>Kirkpatrick Four-Level Evaluation Model is the structured framework that will be used to analyse the effectiveness of the L&amp;D initiatives at BP. On the initial level, reaction, BP receives feedback in the form of surveys and engagement analytics to know whether the employees consider the learning experience relevant, practical, and well delivered</w:t>
      </w:r>
      <w:r w:rsidR="005F6A3F">
        <w:t xml:space="preserve"> </w:t>
      </w:r>
      <w:r w:rsidR="005F6A3F" w:rsidRPr="005F6A3F">
        <w:t>(</w:t>
      </w:r>
      <w:proofErr w:type="spellStart"/>
      <w:r w:rsidR="005F6A3F" w:rsidRPr="005F6A3F">
        <w:t>Wardhani</w:t>
      </w:r>
      <w:proofErr w:type="spellEnd"/>
      <w:r w:rsidR="005F6A3F" w:rsidRPr="005F6A3F">
        <w:t xml:space="preserve"> et al., 2025)</w:t>
      </w:r>
      <w:r w:rsidR="002120A9">
        <w:t>. The positive responses will mean that the work environment will help employees to achieve motivation and engagement.</w:t>
      </w:r>
      <w:r w:rsidR="00CC0D24">
        <w:t xml:space="preserve"> </w:t>
      </w:r>
      <w:r w:rsidR="002120A9">
        <w:t xml:space="preserve">The second level is the learning that determines how much of the knowledge and skills targeted by an employee </w:t>
      </w:r>
      <w:r w:rsidR="00CC0D24">
        <w:t>are</w:t>
      </w:r>
      <w:r w:rsidR="002120A9">
        <w:t xml:space="preserve"> learned. BP utilises tests, simulations, and realistic tests in realising the excellence of safety training, leadership development, and technical training</w:t>
      </w:r>
      <w:r w:rsidR="005F6A3F">
        <w:t xml:space="preserve"> </w:t>
      </w:r>
      <w:r w:rsidR="005F6A3F" w:rsidRPr="005F6A3F">
        <w:t>(Wei and Jin, 2021)</w:t>
      </w:r>
      <w:r w:rsidR="002120A9">
        <w:t>. This makes the learning outcomes in line with the organisational expectations.</w:t>
      </w:r>
      <w:r w:rsidR="00CC0D24">
        <w:t xml:space="preserve"> </w:t>
      </w:r>
      <w:r w:rsidR="002120A9">
        <w:t>The third level is behaviour, which investigates the application of learning to the workplace by the employees</w:t>
      </w:r>
      <w:r w:rsidR="005F6A3F">
        <w:t xml:space="preserve"> </w:t>
      </w:r>
      <w:r w:rsidR="005F6A3F" w:rsidRPr="005F6A3F">
        <w:t>(</w:t>
      </w:r>
      <w:proofErr w:type="spellStart"/>
      <w:r w:rsidR="005F6A3F" w:rsidRPr="005F6A3F">
        <w:t>Wardhani</w:t>
      </w:r>
      <w:proofErr w:type="spellEnd"/>
      <w:r w:rsidR="005F6A3F" w:rsidRPr="005F6A3F">
        <w:t xml:space="preserve"> et al., 2025)</w:t>
      </w:r>
      <w:r w:rsidR="002120A9">
        <w:t>. Safety observation, managerial feedback and performance appraisal are the BP methods of monitoring behaviour changes. There should be an increase in the areas of hazard reporting, risk awareness, and operational consistency, which are the signs of a positive transfer of behaviour</w:t>
      </w:r>
      <w:r w:rsidR="005F6A3F">
        <w:t xml:space="preserve"> </w:t>
      </w:r>
      <w:r w:rsidR="005F6A3F" w:rsidRPr="005F6A3F">
        <w:t>(Wei and Jin, 2021)</w:t>
      </w:r>
      <w:r w:rsidR="002120A9">
        <w:t>.</w:t>
      </w:r>
      <w:r w:rsidR="00CC0D24">
        <w:t xml:space="preserve"> </w:t>
      </w:r>
      <w:r w:rsidR="002120A9">
        <w:t>Results level is the last level which lays emphasis on organisational results</w:t>
      </w:r>
      <w:r>
        <w:t xml:space="preserve"> and the output of all the activities.</w:t>
      </w:r>
    </w:p>
    <w:p w14:paraId="72426FEF" w14:textId="42A14697" w:rsidR="002120A9" w:rsidRDefault="00CC0D24" w:rsidP="00CC0D24">
      <w:pPr>
        <w:pStyle w:val="Heading1"/>
      </w:pPr>
      <w:bookmarkStart w:id="9" w:name="_Toc214521457"/>
      <w:r w:rsidRPr="00CC0D24">
        <w:t>Challenges and Recommendations</w:t>
      </w:r>
      <w:bookmarkEnd w:id="9"/>
    </w:p>
    <w:p w14:paraId="07867AF1" w14:textId="6F6FD6CB" w:rsidR="002120A9" w:rsidRDefault="002120A9" w:rsidP="002120A9">
      <w:r>
        <w:t>BP has a number of difficulties in regards to effective implementation of L&amp;D initiatives. This may lead to resistance to change, especially by the long</w:t>
      </w:r>
      <w:r w:rsidR="00CC0D24">
        <w:t>-</w:t>
      </w:r>
      <w:r>
        <w:t>serving employees who are used to the traditional working behaviour</w:t>
      </w:r>
      <w:r w:rsidR="005F6A3F">
        <w:t xml:space="preserve"> </w:t>
      </w:r>
      <w:r w:rsidR="005F6A3F" w:rsidRPr="005F6A3F">
        <w:t>(</w:t>
      </w:r>
      <w:proofErr w:type="spellStart"/>
      <w:r w:rsidR="005F6A3F" w:rsidRPr="005F6A3F">
        <w:t>Garavan</w:t>
      </w:r>
      <w:proofErr w:type="spellEnd"/>
      <w:r w:rsidR="005F6A3F">
        <w:t xml:space="preserve"> et al.</w:t>
      </w:r>
      <w:r w:rsidR="005F6A3F" w:rsidRPr="005F6A3F">
        <w:t>, 2024)</w:t>
      </w:r>
      <w:r>
        <w:t>. This opposition will potentially delay the use of online education and the creation of new practi</w:t>
      </w:r>
      <w:r w:rsidR="00CC0D24">
        <w:t>c</w:t>
      </w:r>
      <w:r>
        <w:t>es. The budget-related factors</w:t>
      </w:r>
      <w:r w:rsidR="00CC0D24">
        <w:t>,</w:t>
      </w:r>
      <w:r>
        <w:t xml:space="preserve"> such as the budget-constraining aspects of economic conditions</w:t>
      </w:r>
      <w:r w:rsidR="00CC0D24">
        <w:t>,</w:t>
      </w:r>
      <w:r>
        <w:t xml:space="preserve"> particularly in volatile economic periods</w:t>
      </w:r>
      <w:r w:rsidR="00CC0D24">
        <w:t>,</w:t>
      </w:r>
      <w:r>
        <w:t xml:space="preserve"> could restrict the organisation</w:t>
      </w:r>
      <w:r w:rsidR="00CC0D24">
        <w:t>’</w:t>
      </w:r>
      <w:r>
        <w:t xml:space="preserve">s capability to invest in sophisticated technologies or </w:t>
      </w:r>
      <w:r w:rsidR="00CC0D24">
        <w:t xml:space="preserve">an </w:t>
      </w:r>
      <w:r>
        <w:t>expansive learning programme</w:t>
      </w:r>
      <w:r w:rsidR="005F6A3F">
        <w:t xml:space="preserve"> </w:t>
      </w:r>
      <w:r w:rsidR="005F6A3F" w:rsidRPr="005F6A3F">
        <w:t>(Benabed and Messaoudi, 2025)</w:t>
      </w:r>
      <w:r>
        <w:t>. Inadequacy in this area means that skills in renewable energy and digital areas are lacking, which further complicate</w:t>
      </w:r>
      <w:r w:rsidR="00CC0D24">
        <w:t>s</w:t>
      </w:r>
      <w:r>
        <w:t xml:space="preserve"> the nature of the workforce development and puts more pressure on speeding up internal reskilling. Also, contrasting cultural aspects in the various BP operations on the international platform can lead to varying achievements in both learning activities and involvement</w:t>
      </w:r>
      <w:r w:rsidR="005F6A3F">
        <w:t xml:space="preserve"> </w:t>
      </w:r>
      <w:r w:rsidR="005F6A3F" w:rsidRPr="005F6A3F">
        <w:t>(Berger and Berger, 2017)</w:t>
      </w:r>
      <w:r>
        <w:t>. It is also challenging to measure the long-term effect of training</w:t>
      </w:r>
      <w:r w:rsidR="00CC0D24">
        <w:t>,</w:t>
      </w:r>
      <w:r>
        <w:t xml:space="preserve"> especially with regard to behaviour and organisational effects</w:t>
      </w:r>
      <w:r w:rsidR="00CC0D24">
        <w:t xml:space="preserve">. </w:t>
      </w:r>
      <w:r>
        <w:t xml:space="preserve">In order to improve the effectiveness of L&amp;D, BP needs to increase the application of artificial intelligence to deliver individual learning </w:t>
      </w:r>
      <w:r>
        <w:lastRenderedPageBreak/>
        <w:t>journeys that change accordingly to the needs of people</w:t>
      </w:r>
      <w:r w:rsidR="00CC0D24">
        <w:t>,</w:t>
      </w:r>
      <w:r>
        <w:t xml:space="preserve"> making them more relevant and engaging. </w:t>
      </w:r>
    </w:p>
    <w:p w14:paraId="70F63B08" w14:textId="42E5D7F8" w:rsidR="002120A9" w:rsidRDefault="002120A9" w:rsidP="00CC0D24">
      <w:pPr>
        <w:pStyle w:val="Heading1"/>
      </w:pPr>
      <w:bookmarkStart w:id="10" w:name="_Toc214521458"/>
      <w:r>
        <w:t>Conclusion</w:t>
      </w:r>
      <w:bookmarkEnd w:id="10"/>
    </w:p>
    <w:p w14:paraId="66E3A38E" w14:textId="7BFFB20E" w:rsidR="002120A9" w:rsidRDefault="002120A9" w:rsidP="002120A9">
      <w:r>
        <w:t xml:space="preserve">BP is able to operate safely, </w:t>
      </w:r>
      <w:r w:rsidR="00652D01">
        <w:t xml:space="preserve">be </w:t>
      </w:r>
      <w:r>
        <w:t>innovative and compete in a progressively complex global energy market</w:t>
      </w:r>
      <w:r w:rsidR="00CC0D24">
        <w:t>,</w:t>
      </w:r>
      <w:r>
        <w:t xml:space="preserve"> with the main tool being Learning and Development. The organisational culture, leadership commitment, skill gap and technological development are the internal factors that influence the organisation</w:t>
      </w:r>
      <w:r w:rsidR="00CC0D24">
        <w:t>’</w:t>
      </w:r>
      <w:r>
        <w:t>s way of L&amp;D</w:t>
      </w:r>
      <w:r w:rsidR="00CC0D24">
        <w:t>,</w:t>
      </w:r>
      <w:r>
        <w:t xml:space="preserve"> whereas the external factors that include globalisation, digital disruption, regulation and labour market trends are more than enough to endorse and demand strong learning strategies. By investing in the digital shift, development of leadership and lifelong learning, BP improves its ability to respond to the pressures of the environment</w:t>
      </w:r>
      <w:r w:rsidR="00CC0D24">
        <w:t>,</w:t>
      </w:r>
      <w:r>
        <w:t xml:space="preserve"> such as the energy transformation, as well as the increased demands of the stakeholders. Inclusivity is another initiative of L&amp;D as it helps employees of various backgrounds and reputation</w:t>
      </w:r>
      <w:r w:rsidR="00CC0D24">
        <w:t>s</w:t>
      </w:r>
      <w:r>
        <w:t xml:space="preserve">, as well as provides an equal opportunity to those who require it. Even though there are still difficulties, especially concerning the resistance to change, capability disparity, and appraisal, the organisation can enhance its L&amp;D delivery with the help of technology-based learning, specific reskilling, and increased strategic focus. </w:t>
      </w:r>
    </w:p>
    <w:p w14:paraId="66F087E8" w14:textId="349AC4FF" w:rsidR="00CC0D24" w:rsidRDefault="00CC0D24">
      <w:pPr>
        <w:spacing w:before="0" w:after="160" w:line="278" w:lineRule="auto"/>
        <w:jc w:val="left"/>
      </w:pPr>
      <w:r>
        <w:br w:type="page"/>
      </w:r>
    </w:p>
    <w:p w14:paraId="30842BD3" w14:textId="3B9F159E" w:rsidR="00CC0D24" w:rsidRDefault="00CC0D24" w:rsidP="00CC0D24">
      <w:pPr>
        <w:pStyle w:val="Heading1"/>
      </w:pPr>
      <w:bookmarkStart w:id="11" w:name="_Toc214521459"/>
      <w:r>
        <w:lastRenderedPageBreak/>
        <w:t>References</w:t>
      </w:r>
      <w:bookmarkEnd w:id="11"/>
    </w:p>
    <w:p w14:paraId="575E6782" w14:textId="77777777" w:rsidR="00652D01" w:rsidRDefault="00652D01" w:rsidP="00652D01">
      <w:r>
        <w:t>Ambrose, J. (2025) ‘BP to cut 4,700 jobs and 3,000 contractor roles to help save £1.6bn’, The guardian, 16 January. Available at: https://www.theguardian.com/business/2025/jan/16/bp-to-cut-4700-jobs-3000-contractor-roles-costs (Accessed: 20 November 2025).</w:t>
      </w:r>
    </w:p>
    <w:p w14:paraId="5BB5B832" w14:textId="77777777" w:rsidR="00652D01" w:rsidRDefault="00652D01" w:rsidP="00652D01">
      <w:r>
        <w:t xml:space="preserve">Benabed, F. and Messaoudi, B. (2025) ‘The role of contemporary human resource management in improving companies’ organizational performance’, </w:t>
      </w:r>
      <w:proofErr w:type="spellStart"/>
      <w:r>
        <w:t>Pegem</w:t>
      </w:r>
      <w:proofErr w:type="spellEnd"/>
      <w:r>
        <w:t xml:space="preserve"> Journal of Education and Instruction, 15(4), pp. 1872–1888.</w:t>
      </w:r>
    </w:p>
    <w:p w14:paraId="65684B6D" w14:textId="77777777" w:rsidR="00652D01" w:rsidRDefault="00652D01" w:rsidP="00652D01">
      <w:r>
        <w:t xml:space="preserve">Berger, L. and Berger, D. (2017) The talent management handbook, third edition: Making culture a competitive advantage by acquiring, identifying, developing, and promoting the best people. 3rd </w:t>
      </w:r>
      <w:proofErr w:type="spellStart"/>
      <w:r>
        <w:t>edn</w:t>
      </w:r>
      <w:proofErr w:type="spellEnd"/>
      <w:r>
        <w:t>. McGraw-Hill Education.</w:t>
      </w:r>
    </w:p>
    <w:p w14:paraId="6D2278B3" w14:textId="77777777" w:rsidR="00652D01" w:rsidRDefault="00652D01" w:rsidP="00652D01">
      <w:r>
        <w:t>BP (2025) Our strategy at work, bp global. Available at: https://www.bp.com/en/global/corporate/what-we-do/our-strategy-at-work.html (Accessed: 20 November 2025).</w:t>
      </w:r>
    </w:p>
    <w:p w14:paraId="5E7D5EA4" w14:textId="77777777" w:rsidR="00652D01" w:rsidRDefault="00652D01" w:rsidP="00652D01">
      <w:r>
        <w:t xml:space="preserve">Crawshaw, J., </w:t>
      </w:r>
      <w:proofErr w:type="spellStart"/>
      <w:r>
        <w:t>Budhwar</w:t>
      </w:r>
      <w:proofErr w:type="spellEnd"/>
      <w:r>
        <w:t xml:space="preserve">, P. and Davis, A. (eds) (2020) Human resource management: Strategic and international perspectives. 3rd </w:t>
      </w:r>
      <w:proofErr w:type="spellStart"/>
      <w:r>
        <w:t>edn</w:t>
      </w:r>
      <w:proofErr w:type="spellEnd"/>
      <w:r>
        <w:t>. London: SAGE Publications.</w:t>
      </w:r>
    </w:p>
    <w:p w14:paraId="0AA49DE9" w14:textId="77777777" w:rsidR="00652D01" w:rsidRDefault="00652D01" w:rsidP="00652D01">
      <w:proofErr w:type="spellStart"/>
      <w:r>
        <w:t>Garavan</w:t>
      </w:r>
      <w:proofErr w:type="spellEnd"/>
      <w:r>
        <w:t>, T.N., Darcy, C. and Bierema, L.L. (2024) ‘Learning and development in highly dynamic VUCA contexts: a new framework for the L&amp;D function’, Personnel review, 53(3), pp. 641–656. Available at: https://doi.org/10.1108/pr-03-2024-0284.</w:t>
      </w:r>
    </w:p>
    <w:p w14:paraId="684AAF6F" w14:textId="77777777" w:rsidR="00652D01" w:rsidRDefault="00652D01" w:rsidP="00652D01">
      <w:r>
        <w:t>Huang, L. (2020) ‘Improvement in human resource management process: A case study in BP’, SSRN Electronic Journal [Preprint]. Available at: https://doi.org/10.2139/ssrn.3973121.</w:t>
      </w:r>
    </w:p>
    <w:p w14:paraId="14393395" w14:textId="77777777" w:rsidR="00652D01" w:rsidRDefault="00652D01" w:rsidP="00652D01">
      <w:r>
        <w:t xml:space="preserve">Krithika, J., Rajarajan, A.S. and Babitha, L.R.B. (2024) Strategic human resource management: Exploring future dimensions with practical tests and real-world case studies. </w:t>
      </w:r>
      <w:proofErr w:type="spellStart"/>
      <w:r>
        <w:t>Chyren</w:t>
      </w:r>
      <w:proofErr w:type="spellEnd"/>
      <w:r>
        <w:t xml:space="preserve"> Publication.</w:t>
      </w:r>
    </w:p>
    <w:p w14:paraId="717C9113" w14:textId="77777777" w:rsidR="00652D01" w:rsidRDefault="00652D01" w:rsidP="00652D01">
      <w:r>
        <w:t xml:space="preserve">Moreland, T., Parente-Neubert, G. and Simon-Walters, J. (2019) </w:t>
      </w:r>
      <w:proofErr w:type="spellStart"/>
      <w:r>
        <w:t>Phr</w:t>
      </w:r>
      <w:proofErr w:type="spellEnd"/>
      <w:r>
        <w:t>/</w:t>
      </w:r>
      <w:proofErr w:type="spellStart"/>
      <w:r>
        <w:t>sphr</w:t>
      </w:r>
      <w:proofErr w:type="spellEnd"/>
      <w:r>
        <w:t xml:space="preserve"> professional in human resources certification practice exams, second edition. 2nd </w:t>
      </w:r>
      <w:proofErr w:type="spellStart"/>
      <w:r>
        <w:t>edn</w:t>
      </w:r>
      <w:proofErr w:type="spellEnd"/>
      <w:r>
        <w:t>. Columbus, OH, USA: McGraw-Hill Education.</w:t>
      </w:r>
    </w:p>
    <w:p w14:paraId="52D67DB6" w14:textId="77777777" w:rsidR="00652D01" w:rsidRDefault="00652D01" w:rsidP="00652D01">
      <w:proofErr w:type="spellStart"/>
      <w:r>
        <w:lastRenderedPageBreak/>
        <w:t>Swapnalekha</w:t>
      </w:r>
      <w:proofErr w:type="spellEnd"/>
      <w:r>
        <w:t>, P.S.&amp;. (2015) Human resource management: Text &amp; cases, 2nd edition. New Delhi, India: Vikas Publishing House.</w:t>
      </w:r>
    </w:p>
    <w:p w14:paraId="09A19A0B" w14:textId="77777777" w:rsidR="00652D01" w:rsidRDefault="00652D01" w:rsidP="00652D01">
      <w:proofErr w:type="spellStart"/>
      <w:r>
        <w:t>Wardhani</w:t>
      </w:r>
      <w:proofErr w:type="spellEnd"/>
      <w:r>
        <w:t>, W. et al. (2025) ‘Enhancing Human Resource Competence through Structured and Sustainable Learning &amp; Development Programs’, The Journal of Academic Science, 2(4), pp. 1077–1086.</w:t>
      </w:r>
    </w:p>
    <w:p w14:paraId="179F5331" w14:textId="77777777" w:rsidR="00652D01" w:rsidRDefault="00652D01" w:rsidP="00652D01">
      <w:r>
        <w:t>Wei, G. and Jin, Y. (2021) ‘Human resource management model based on three-layer BP neural network and machine learning’, Journal of intelligent &amp; fuzzy systems, 40(2), pp. 2289–2300. Available at: https://doi.org/10.3233/jifs-189226.</w:t>
      </w:r>
    </w:p>
    <w:p w14:paraId="1129F5AE" w14:textId="77777777" w:rsidR="00CC0D24" w:rsidRPr="00CC0D24" w:rsidRDefault="00CC0D24" w:rsidP="00CC0D24"/>
    <w:p w14:paraId="4F85CC93" w14:textId="77777777" w:rsidR="00CC0D24" w:rsidRDefault="00CC0D24" w:rsidP="00CC0D24"/>
    <w:sectPr w:rsidR="00CC0D24" w:rsidSect="0009748B">
      <w:headerReference w:type="even" r:id="rId7"/>
      <w:headerReference w:type="default" r:id="rId8"/>
      <w:footerReference w:type="even" r:id="rId9"/>
      <w:footerReference w:type="default" r:id="rId10"/>
      <w:headerReference w:type="first" r:id="rId11"/>
      <w:footerReference w:type="first" r:id="rId12"/>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A8C29" w14:textId="77777777" w:rsidR="008556AF" w:rsidRDefault="008556AF" w:rsidP="007619A0">
      <w:pPr>
        <w:spacing w:before="0" w:after="0" w:line="240" w:lineRule="auto"/>
      </w:pPr>
      <w:r>
        <w:separator/>
      </w:r>
    </w:p>
  </w:endnote>
  <w:endnote w:type="continuationSeparator" w:id="0">
    <w:p w14:paraId="1281B272" w14:textId="77777777" w:rsidR="008556AF" w:rsidRDefault="008556AF" w:rsidP="007619A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163B9" w14:textId="77777777" w:rsidR="007642F0" w:rsidRDefault="007642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9251924"/>
      <w:docPartObj>
        <w:docPartGallery w:val="Page Numbers (Bottom of Page)"/>
        <w:docPartUnique/>
      </w:docPartObj>
    </w:sdtPr>
    <w:sdtEndPr>
      <w:rPr>
        <w:noProof/>
      </w:rPr>
    </w:sdtEndPr>
    <w:sdtContent>
      <w:p w14:paraId="0A8BDF2E" w14:textId="4631925E" w:rsidR="007642F0" w:rsidRDefault="007642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5743C5" w14:textId="77777777" w:rsidR="007642F0" w:rsidRDefault="007642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F1C41" w14:textId="77777777" w:rsidR="007642F0" w:rsidRDefault="007642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F77EA" w14:textId="77777777" w:rsidR="008556AF" w:rsidRDefault="008556AF" w:rsidP="007619A0">
      <w:pPr>
        <w:spacing w:before="0" w:after="0" w:line="240" w:lineRule="auto"/>
      </w:pPr>
      <w:r>
        <w:separator/>
      </w:r>
    </w:p>
  </w:footnote>
  <w:footnote w:type="continuationSeparator" w:id="0">
    <w:p w14:paraId="1D8B94B3" w14:textId="77777777" w:rsidR="008556AF" w:rsidRDefault="008556AF" w:rsidP="007619A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CB410C" w14:textId="77777777" w:rsidR="007642F0" w:rsidRDefault="007642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4C7EA" w14:textId="77777777" w:rsidR="007642F0" w:rsidRDefault="007642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6E4C53" w14:textId="77777777" w:rsidR="007642F0" w:rsidRDefault="007642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CwtDAyNTUzMTExNTFU0lEKTi0uzszPAykwrAUAugZGiCwAAAA="/>
  </w:docVars>
  <w:rsids>
    <w:rsidRoot w:val="00A078FB"/>
    <w:rsid w:val="00087BC1"/>
    <w:rsid w:val="000904C7"/>
    <w:rsid w:val="0009748B"/>
    <w:rsid w:val="002120A9"/>
    <w:rsid w:val="002E36C5"/>
    <w:rsid w:val="00323AAB"/>
    <w:rsid w:val="003B4E8C"/>
    <w:rsid w:val="003C7739"/>
    <w:rsid w:val="004726B6"/>
    <w:rsid w:val="0047493E"/>
    <w:rsid w:val="005F6A3F"/>
    <w:rsid w:val="00652D01"/>
    <w:rsid w:val="00753AC3"/>
    <w:rsid w:val="007619A0"/>
    <w:rsid w:val="007642F0"/>
    <w:rsid w:val="008556AF"/>
    <w:rsid w:val="00A078FB"/>
    <w:rsid w:val="00C478F4"/>
    <w:rsid w:val="00CC0D24"/>
    <w:rsid w:val="00E062B1"/>
    <w:rsid w:val="00EB19E2"/>
    <w:rsid w:val="00ED518F"/>
    <w:rsid w:val="00F0586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54C1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48B"/>
    <w:pPr>
      <w:spacing w:before="120" w:after="280"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0904C7"/>
    <w:pPr>
      <w:keepNext/>
      <w:keepLines/>
      <w:spacing w:after="0"/>
      <w:outlineLvl w:val="0"/>
    </w:pPr>
    <w:rPr>
      <w:rFonts w:eastAsiaTheme="majorEastAsia" w:cstheme="majorBidi"/>
      <w:b/>
      <w:color w:val="2F5496" w:themeColor="accent1" w:themeShade="BF"/>
      <w:sz w:val="32"/>
      <w:szCs w:val="50"/>
    </w:rPr>
  </w:style>
  <w:style w:type="paragraph" w:styleId="Heading2">
    <w:name w:val="heading 2"/>
    <w:basedOn w:val="Normal"/>
    <w:next w:val="Normal"/>
    <w:link w:val="Heading2Char"/>
    <w:autoRedefine/>
    <w:uiPriority w:val="9"/>
    <w:unhideWhenUsed/>
    <w:qFormat/>
    <w:rsid w:val="000904C7"/>
    <w:pPr>
      <w:keepNext/>
      <w:keepLines/>
      <w:spacing w:before="160" w:after="120"/>
      <w:outlineLvl w:val="1"/>
    </w:pPr>
    <w:rPr>
      <w:rFonts w:eastAsiaTheme="majorEastAsia" w:cstheme="majorBidi"/>
      <w:b/>
      <w:color w:val="000000" w:themeColor="text1"/>
      <w:sz w:val="28"/>
      <w:szCs w:val="40"/>
    </w:rPr>
  </w:style>
  <w:style w:type="paragraph" w:styleId="Heading3">
    <w:name w:val="heading 3"/>
    <w:basedOn w:val="Normal"/>
    <w:next w:val="Normal"/>
    <w:link w:val="Heading3Char"/>
    <w:uiPriority w:val="9"/>
    <w:semiHidden/>
    <w:unhideWhenUsed/>
    <w:qFormat/>
    <w:rsid w:val="00A078FB"/>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A078F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078F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078F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078F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078F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078F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04C7"/>
    <w:rPr>
      <w:rFonts w:ascii="Times New Roman" w:eastAsiaTheme="majorEastAsia" w:hAnsi="Times New Roman" w:cstheme="majorBidi"/>
      <w:b/>
      <w:color w:val="000000" w:themeColor="text1"/>
      <w:sz w:val="28"/>
      <w:szCs w:val="40"/>
    </w:rPr>
  </w:style>
  <w:style w:type="character" w:customStyle="1" w:styleId="Heading1Char">
    <w:name w:val="Heading 1 Char"/>
    <w:basedOn w:val="DefaultParagraphFont"/>
    <w:link w:val="Heading1"/>
    <w:uiPriority w:val="9"/>
    <w:rsid w:val="000904C7"/>
    <w:rPr>
      <w:rFonts w:ascii="Times New Roman" w:eastAsiaTheme="majorEastAsia" w:hAnsi="Times New Roman" w:cstheme="majorBidi"/>
      <w:b/>
      <w:color w:val="2F5496" w:themeColor="accent1" w:themeShade="BF"/>
      <w:sz w:val="32"/>
      <w:szCs w:val="50"/>
    </w:rPr>
  </w:style>
  <w:style w:type="character" w:customStyle="1" w:styleId="Heading3Char">
    <w:name w:val="Heading 3 Char"/>
    <w:basedOn w:val="DefaultParagraphFont"/>
    <w:link w:val="Heading3"/>
    <w:uiPriority w:val="9"/>
    <w:semiHidden/>
    <w:rsid w:val="00A078FB"/>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A078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78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78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8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8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8FB"/>
    <w:rPr>
      <w:rFonts w:eastAsiaTheme="majorEastAsia" w:cstheme="majorBidi"/>
      <w:color w:val="272727" w:themeColor="text1" w:themeTint="D8"/>
    </w:rPr>
  </w:style>
  <w:style w:type="paragraph" w:styleId="Title">
    <w:name w:val="Title"/>
    <w:basedOn w:val="Normal"/>
    <w:next w:val="Normal"/>
    <w:link w:val="TitleChar"/>
    <w:uiPriority w:val="10"/>
    <w:qFormat/>
    <w:rsid w:val="00A078FB"/>
    <w:pPr>
      <w:spacing w:before="0"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078F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A078FB"/>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078F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A078F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078FB"/>
    <w:rPr>
      <w:rFonts w:ascii="Times New Roman" w:hAnsi="Times New Roman"/>
      <w:i/>
      <w:iCs/>
      <w:color w:val="404040" w:themeColor="text1" w:themeTint="BF"/>
    </w:rPr>
  </w:style>
  <w:style w:type="paragraph" w:styleId="ListParagraph">
    <w:name w:val="List Paragraph"/>
    <w:basedOn w:val="Normal"/>
    <w:uiPriority w:val="34"/>
    <w:qFormat/>
    <w:rsid w:val="00A078FB"/>
    <w:pPr>
      <w:ind w:left="720"/>
      <w:contextualSpacing/>
    </w:pPr>
  </w:style>
  <w:style w:type="character" w:styleId="IntenseEmphasis">
    <w:name w:val="Intense Emphasis"/>
    <w:basedOn w:val="DefaultParagraphFont"/>
    <w:uiPriority w:val="21"/>
    <w:qFormat/>
    <w:rsid w:val="00A078FB"/>
    <w:rPr>
      <w:i/>
      <w:iCs/>
      <w:color w:val="2F5496" w:themeColor="accent1" w:themeShade="BF"/>
    </w:rPr>
  </w:style>
  <w:style w:type="paragraph" w:styleId="IntenseQuote">
    <w:name w:val="Intense Quote"/>
    <w:basedOn w:val="Normal"/>
    <w:next w:val="Normal"/>
    <w:link w:val="IntenseQuoteChar"/>
    <w:uiPriority w:val="30"/>
    <w:qFormat/>
    <w:rsid w:val="00A078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78FB"/>
    <w:rPr>
      <w:rFonts w:ascii="Times New Roman" w:hAnsi="Times New Roman"/>
      <w:i/>
      <w:iCs/>
      <w:color w:val="2F5496" w:themeColor="accent1" w:themeShade="BF"/>
    </w:rPr>
  </w:style>
  <w:style w:type="character" w:styleId="IntenseReference">
    <w:name w:val="Intense Reference"/>
    <w:basedOn w:val="DefaultParagraphFont"/>
    <w:uiPriority w:val="32"/>
    <w:qFormat/>
    <w:rsid w:val="00A078FB"/>
    <w:rPr>
      <w:b/>
      <w:bCs/>
      <w:smallCaps/>
      <w:color w:val="2F5496" w:themeColor="accent1" w:themeShade="BF"/>
      <w:spacing w:val="5"/>
    </w:rPr>
  </w:style>
  <w:style w:type="paragraph" w:styleId="Header">
    <w:name w:val="header"/>
    <w:basedOn w:val="Normal"/>
    <w:link w:val="HeaderChar"/>
    <w:uiPriority w:val="99"/>
    <w:unhideWhenUsed/>
    <w:rsid w:val="007619A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619A0"/>
    <w:rPr>
      <w:rFonts w:ascii="Times New Roman" w:hAnsi="Times New Roman"/>
    </w:rPr>
  </w:style>
  <w:style w:type="paragraph" w:styleId="Footer">
    <w:name w:val="footer"/>
    <w:basedOn w:val="Normal"/>
    <w:link w:val="FooterChar"/>
    <w:uiPriority w:val="99"/>
    <w:unhideWhenUsed/>
    <w:rsid w:val="007619A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619A0"/>
    <w:rPr>
      <w:rFonts w:ascii="Times New Roman" w:hAnsi="Times New Roman"/>
    </w:rPr>
  </w:style>
  <w:style w:type="paragraph" w:styleId="TOCHeading">
    <w:name w:val="TOC Heading"/>
    <w:basedOn w:val="Heading1"/>
    <w:next w:val="Normal"/>
    <w:uiPriority w:val="39"/>
    <w:unhideWhenUsed/>
    <w:qFormat/>
    <w:rsid w:val="007642F0"/>
    <w:pPr>
      <w:spacing w:before="240" w:line="259" w:lineRule="auto"/>
      <w:jc w:val="left"/>
      <w:outlineLvl w:val="9"/>
    </w:pPr>
    <w:rPr>
      <w:rFonts w:asciiTheme="majorHAnsi" w:hAnsiTheme="majorHAnsi"/>
      <w:b w:val="0"/>
      <w:szCs w:val="32"/>
      <w:lang w:val="en-US" w:bidi="ar-SA"/>
      <w14:ligatures w14:val="none"/>
    </w:rPr>
  </w:style>
  <w:style w:type="paragraph" w:styleId="TOC1">
    <w:name w:val="toc 1"/>
    <w:basedOn w:val="Normal"/>
    <w:next w:val="Normal"/>
    <w:autoRedefine/>
    <w:uiPriority w:val="39"/>
    <w:unhideWhenUsed/>
    <w:rsid w:val="007642F0"/>
    <w:pPr>
      <w:spacing w:after="100"/>
    </w:pPr>
  </w:style>
  <w:style w:type="character" w:styleId="Hyperlink">
    <w:name w:val="Hyperlink"/>
    <w:basedOn w:val="DefaultParagraphFont"/>
    <w:uiPriority w:val="99"/>
    <w:unhideWhenUsed/>
    <w:rsid w:val="007642F0"/>
    <w:rPr>
      <w:color w:val="0563C1" w:themeColor="hyperlink"/>
      <w:u w:val="single"/>
    </w:rPr>
  </w:style>
  <w:style w:type="paragraph" w:styleId="TOC2">
    <w:name w:val="toc 2"/>
    <w:basedOn w:val="Normal"/>
    <w:next w:val="Normal"/>
    <w:autoRedefine/>
    <w:uiPriority w:val="39"/>
    <w:unhideWhenUsed/>
    <w:rsid w:val="00CC0D2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3EF8D-5350-4530-A148-E650A895B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2664</Words>
  <Characters>15188</Characters>
  <Application>Microsoft Office Word</Application>
  <DocSecurity>0</DocSecurity>
  <Lines>126</Lines>
  <Paragraphs>35</Paragraphs>
  <ScaleCrop>false</ScaleCrop>
  <Company/>
  <LinksUpToDate>false</LinksUpToDate>
  <CharactersWithSpaces>17817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2025-11-20T07:52:00Z</dcterms:created>
  <dcterms:modified xsi:type="dcterms:W3CDTF">2025-11-20T08:57:00Z</dcterms:modified>
</cp:coreProperties>
</file>