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11001D9" w14:paraId="3E88E80B" wp14:textId="779E2FF2">
      <w:pPr>
        <w:pStyle w:val="Normal"/>
        <w:jc w:val="center"/>
        <w:rPr>
          <w:rFonts w:ascii="Arial Nova" w:hAnsi="Arial Nova" w:eastAsia="Arial Nova" w:cs="Arial Nova"/>
          <w:b w:val="1"/>
          <w:bCs w:val="1"/>
          <w:sz w:val="32"/>
          <w:szCs w:val="32"/>
        </w:rPr>
      </w:pPr>
      <w:r w:rsidRPr="311001D9" w:rsidR="311001D9">
        <w:rPr>
          <w:rFonts w:ascii="Arial Nova" w:hAnsi="Arial Nova" w:eastAsia="Arial Nova" w:cs="Arial Nova"/>
          <w:b w:val="1"/>
          <w:bCs w:val="1"/>
          <w:sz w:val="28"/>
          <w:szCs w:val="28"/>
        </w:rPr>
        <w:t>BMDS7001</w:t>
      </w:r>
      <w:bookmarkStart w:name="_GoBack" w:id="0"/>
      <w:bookmarkEnd w:id="0"/>
    </w:p>
    <w:p xmlns:wp14="http://schemas.microsoft.com/office/word/2010/wordml" w:rsidP="311001D9" w14:paraId="5E5787A5" wp14:textId="5B5CCCBA">
      <w:pPr>
        <w:pStyle w:val="Normal"/>
        <w:jc w:val="center"/>
        <w:rPr>
          <w:rFonts w:ascii="Arial Nova" w:hAnsi="Arial Nova" w:eastAsia="Arial Nova" w:cs="Arial Nova"/>
          <w:b w:val="1"/>
          <w:bCs w:val="1"/>
          <w:sz w:val="28"/>
          <w:szCs w:val="28"/>
        </w:rPr>
      </w:pPr>
      <w:r w:rsidRPr="188A98AD" w:rsidR="311001D9">
        <w:rPr>
          <w:rFonts w:ascii="Arial Nova" w:hAnsi="Arial Nova" w:eastAsia="Arial Nova" w:cs="Arial Nova"/>
          <w:b w:val="1"/>
          <w:bCs w:val="1"/>
          <w:sz w:val="28"/>
          <w:szCs w:val="28"/>
        </w:rPr>
        <w:t xml:space="preserve">Reflective account: </w:t>
      </w:r>
      <w:r w:rsidRPr="188A98AD" w:rsidR="311001D9">
        <w:rPr>
          <w:rFonts w:ascii="Arial Nova" w:hAnsi="Arial Nova" w:eastAsia="Arial Nova" w:cs="Arial Nova"/>
          <w:b w:val="1"/>
          <w:bCs w:val="1"/>
          <w:sz w:val="28"/>
          <w:szCs w:val="28"/>
        </w:rPr>
        <w:t>multi-stakeholder</w:t>
      </w:r>
      <w:r w:rsidRPr="188A98AD" w:rsidR="311001D9">
        <w:rPr>
          <w:rFonts w:ascii="Arial Nova" w:hAnsi="Arial Nova" w:eastAsia="Arial Nova" w:cs="Arial Nova"/>
          <w:b w:val="1"/>
          <w:bCs w:val="1"/>
          <w:sz w:val="28"/>
          <w:szCs w:val="28"/>
        </w:rPr>
        <w:t xml:space="preserve"> working</w:t>
      </w:r>
    </w:p>
    <w:p w:rsidR="311001D9" w:rsidP="311001D9" w:rsidRDefault="311001D9" w14:paraId="030D94E8" w14:textId="55E939E2">
      <w:pPr>
        <w:pStyle w:val="Normal"/>
        <w:jc w:val="center"/>
        <w:rPr>
          <w:rFonts w:ascii="Arial Nova" w:hAnsi="Arial Nova" w:eastAsia="Arial Nova" w:cs="Arial Nova"/>
          <w:sz w:val="28"/>
          <w:szCs w:val="28"/>
        </w:rPr>
      </w:pPr>
      <w:r w:rsidRPr="311001D9" w:rsidR="311001D9">
        <w:rPr>
          <w:rFonts w:ascii="Arial Nova" w:hAnsi="Arial Nova" w:eastAsia="Arial Nova" w:cs="Arial Nova"/>
          <w:sz w:val="28"/>
          <w:szCs w:val="28"/>
        </w:rPr>
        <w:t>Matt McCarthy - 2112755</w:t>
      </w:r>
    </w:p>
    <w:p w:rsidR="311001D9" w:rsidP="311001D9" w:rsidRDefault="311001D9" w14:paraId="4A149FC4" w14:textId="7C8A9824">
      <w:pPr>
        <w:pStyle w:val="Normal"/>
        <w:jc w:val="center"/>
        <w:rPr>
          <w:rFonts w:ascii="Arial Nova" w:hAnsi="Arial Nova" w:eastAsia="Arial Nova" w:cs="Arial Nova"/>
          <w:sz w:val="24"/>
          <w:szCs w:val="24"/>
        </w:rPr>
      </w:pPr>
    </w:p>
    <w:p w:rsidR="311001D9" w:rsidP="311001D9" w:rsidRDefault="311001D9" w14:paraId="2EE55FC9" w14:textId="73C5A5BE">
      <w:pPr>
        <w:pStyle w:val="Normal"/>
        <w:jc w:val="left"/>
        <w:rPr>
          <w:rFonts w:ascii="Arial Nova" w:hAnsi="Arial Nova" w:eastAsia="Arial Nova" w:cs="Arial Nova"/>
          <w:sz w:val="24"/>
          <w:szCs w:val="24"/>
        </w:rPr>
      </w:pPr>
      <w:r w:rsidRPr="311001D9" w:rsidR="311001D9">
        <w:rPr>
          <w:rFonts w:ascii="Arial Nova" w:hAnsi="Arial Nova" w:eastAsia="Arial Nova" w:cs="Arial Nova"/>
          <w:b w:val="1"/>
          <w:bCs w:val="1"/>
          <w:sz w:val="28"/>
          <w:szCs w:val="28"/>
        </w:rPr>
        <w:t>Introduction</w:t>
      </w:r>
    </w:p>
    <w:p w:rsidR="311001D9" w:rsidP="311001D9" w:rsidRDefault="311001D9" w14:paraId="5239E149" w14:textId="207CEB1F">
      <w:pPr>
        <w:pStyle w:val="Normal"/>
        <w:jc w:val="left"/>
        <w:rPr>
          <w:rFonts w:ascii="Arial Nova" w:hAnsi="Arial Nova" w:eastAsia="Arial Nova" w:cs="Arial Nova"/>
          <w:b w:val="1"/>
          <w:bCs w:val="1"/>
          <w:sz w:val="24"/>
          <w:szCs w:val="24"/>
        </w:rPr>
      </w:pPr>
      <w:r w:rsidRPr="311001D9" w:rsidR="311001D9">
        <w:rPr>
          <w:rFonts w:ascii="Arial Nova" w:hAnsi="Arial Nova" w:eastAsia="Arial Nova" w:cs="Arial Nova"/>
          <w:b w:val="0"/>
          <w:bCs w:val="0"/>
          <w:sz w:val="24"/>
          <w:szCs w:val="24"/>
        </w:rPr>
        <w:t>In my previous paper, I considered the development of a digital strategy for improving healthcare worker compliance with hand hygiene (McCarthy, 2022). This sought to address the policy aim of the World Health Organization (WHO) – reducing the harm caused to patients by healthcare-acquired infections (World Health Organization, 2009).</w:t>
      </w:r>
    </w:p>
    <w:p w:rsidR="311001D9" w:rsidP="311001D9" w:rsidRDefault="311001D9" w14:paraId="359C1264" w14:textId="709C55A5">
      <w:pPr>
        <w:pStyle w:val="Normal"/>
        <w:jc w:val="left"/>
        <w:rPr>
          <w:rFonts w:ascii="Arial Nova" w:hAnsi="Arial Nova" w:eastAsia="Arial Nova" w:cs="Arial Nova"/>
          <w:b w:val="0"/>
          <w:bCs w:val="0"/>
          <w:sz w:val="24"/>
          <w:szCs w:val="24"/>
        </w:rPr>
      </w:pPr>
      <w:r w:rsidRPr="311001D9" w:rsidR="311001D9">
        <w:rPr>
          <w:rFonts w:ascii="Arial Nova" w:hAnsi="Arial Nova" w:eastAsia="Arial Nova" w:cs="Arial Nova"/>
          <w:b w:val="0"/>
          <w:bCs w:val="0"/>
          <w:sz w:val="24"/>
          <w:szCs w:val="24"/>
        </w:rPr>
        <w:t>It is widely accepted that involvement of stakeholder groups from different professions is essential to the successful implementation of digital technology within healthcare (Cresswell, Bates and Sheikh, 2013). This paper reflects on strategies and methods for multi-stakeholder working that could be applied to the implementation of an electronic hand hygiene monitoring system.</w:t>
      </w:r>
    </w:p>
    <w:p w:rsidR="311001D9" w:rsidP="311001D9" w:rsidRDefault="311001D9" w14:paraId="426487C4" w14:textId="506F4063">
      <w:pPr>
        <w:pStyle w:val="Normal"/>
        <w:jc w:val="left"/>
        <w:rPr>
          <w:rFonts w:ascii="Arial Nova" w:hAnsi="Arial Nova" w:eastAsia="Arial Nova" w:cs="Arial Nova"/>
          <w:b w:val="0"/>
          <w:bCs w:val="0"/>
          <w:sz w:val="24"/>
          <w:szCs w:val="24"/>
        </w:rPr>
      </w:pPr>
    </w:p>
    <w:p w:rsidR="311001D9" w:rsidP="311001D9" w:rsidRDefault="311001D9" w14:paraId="1FB9BD49" w14:textId="34761247">
      <w:pPr>
        <w:pStyle w:val="Normal"/>
        <w:jc w:val="left"/>
        <w:rPr>
          <w:rFonts w:ascii="Arial Nova" w:hAnsi="Arial Nova" w:eastAsia="Arial Nova" w:cs="Arial Nova"/>
          <w:b w:val="1"/>
          <w:bCs w:val="1"/>
          <w:sz w:val="28"/>
          <w:szCs w:val="28"/>
        </w:rPr>
      </w:pPr>
      <w:r w:rsidRPr="311001D9" w:rsidR="311001D9">
        <w:rPr>
          <w:rFonts w:ascii="Arial Nova" w:hAnsi="Arial Nova" w:eastAsia="Arial Nova" w:cs="Arial Nova"/>
          <w:b w:val="1"/>
          <w:bCs w:val="1"/>
          <w:sz w:val="28"/>
          <w:szCs w:val="28"/>
        </w:rPr>
        <w:t>Identification of stakeholders</w:t>
      </w:r>
    </w:p>
    <w:p w:rsidR="311001D9" w:rsidP="311001D9" w:rsidRDefault="311001D9" w14:paraId="0E0171FF" w14:textId="60BD1032">
      <w:pPr>
        <w:pStyle w:val="Normal"/>
        <w:jc w:val="left"/>
        <w:rPr>
          <w:rFonts w:ascii="Arial Nova" w:hAnsi="Arial Nova" w:eastAsia="Arial Nova" w:cs="Arial Nova"/>
          <w:b w:val="1"/>
          <w:bCs w:val="1"/>
          <w:sz w:val="28"/>
          <w:szCs w:val="28"/>
        </w:rPr>
      </w:pPr>
      <w:r w:rsidRPr="188A98AD" w:rsidR="311001D9">
        <w:rPr>
          <w:rFonts w:ascii="Arial Nova" w:hAnsi="Arial Nova" w:eastAsia="Arial Nova" w:cs="Arial Nova"/>
          <w:b w:val="0"/>
          <w:bCs w:val="0"/>
          <w:sz w:val="24"/>
          <w:szCs w:val="24"/>
        </w:rPr>
        <w:t xml:space="preserve">While identification of the stakeholders who should be involved in a particular digital project sounds initially straightforward, if groups are excluded from the development process, they can feel that change is being thrust upon them and this can lead to resistance (Ludwick and Doucette, 2008). </w:t>
      </w:r>
    </w:p>
    <w:p w:rsidR="311001D9" w:rsidP="311001D9" w:rsidRDefault="311001D9" w14:paraId="29B93028" w14:textId="5A162531">
      <w:pPr>
        <w:pStyle w:val="Normal"/>
        <w:jc w:val="left"/>
        <w:rPr>
          <w:rFonts w:ascii="Arial Nova" w:hAnsi="Arial Nova" w:eastAsia="Arial Nova" w:cs="Arial Nova"/>
          <w:b w:val="0"/>
          <w:bCs w:val="0"/>
          <w:sz w:val="24"/>
          <w:szCs w:val="24"/>
        </w:rPr>
      </w:pPr>
      <w:r w:rsidRPr="311001D9" w:rsidR="311001D9">
        <w:rPr>
          <w:rFonts w:ascii="Arial Nova" w:hAnsi="Arial Nova" w:eastAsia="Arial Nova" w:cs="Arial Nova"/>
          <w:b w:val="0"/>
          <w:bCs w:val="0"/>
          <w:sz w:val="24"/>
          <w:szCs w:val="24"/>
        </w:rPr>
        <w:t xml:space="preserve">It can be helpful to view a digital implementation as a quality improvement project. Quality improvement is well established within healthcare and many of the principles are transferrable to digital implementations. After all, digital technology should be used to improve, directly or indirectly, the care given to patients, rather than being implemented just for the sake of being ‘digital’. </w:t>
      </w:r>
      <w:r>
        <w:br/>
      </w:r>
      <w:r>
        <w:br/>
      </w:r>
      <w:r w:rsidRPr="311001D9" w:rsidR="311001D9">
        <w:rPr>
          <w:rFonts w:ascii="Arial Nova" w:hAnsi="Arial Nova" w:eastAsia="Arial Nova" w:cs="Arial Nova"/>
          <w:b w:val="0"/>
          <w:bCs w:val="0"/>
          <w:sz w:val="24"/>
          <w:szCs w:val="24"/>
        </w:rPr>
        <w:t xml:space="preserve">While there are </w:t>
      </w:r>
      <w:proofErr w:type="gramStart"/>
      <w:r w:rsidRPr="311001D9" w:rsidR="311001D9">
        <w:rPr>
          <w:rFonts w:ascii="Arial Nova" w:hAnsi="Arial Nova" w:eastAsia="Arial Nova" w:cs="Arial Nova"/>
          <w:b w:val="0"/>
          <w:bCs w:val="0"/>
          <w:sz w:val="24"/>
          <w:szCs w:val="24"/>
        </w:rPr>
        <w:t>a number of</w:t>
      </w:r>
      <w:proofErr w:type="gramEnd"/>
      <w:r w:rsidRPr="311001D9" w:rsidR="311001D9">
        <w:rPr>
          <w:rFonts w:ascii="Arial Nova" w:hAnsi="Arial Nova" w:eastAsia="Arial Nova" w:cs="Arial Nova"/>
          <w:b w:val="0"/>
          <w:bCs w:val="0"/>
          <w:sz w:val="24"/>
          <w:szCs w:val="24"/>
        </w:rPr>
        <w:t xml:space="preserve"> information technology or digital-specific approaches for stakeholder identification, complicating this simple task is unnecessary. The Health Foundation sets out overarching areas for successful engagement in quality improvement which I have used to structure the identification of stakeholders for the hand hygiene implementation. These are set out in italics below (The Health Foundation, 2021).</w:t>
      </w:r>
    </w:p>
    <w:p w:rsidR="311001D9" w:rsidP="311001D9" w:rsidRDefault="311001D9" w14:paraId="6E6D660A" w14:textId="71FA9D44">
      <w:pPr>
        <w:pStyle w:val="Normal"/>
        <w:jc w:val="left"/>
        <w:rPr>
          <w:rFonts w:ascii="Arial Nova" w:hAnsi="Arial Nova" w:eastAsia="Arial Nova" w:cs="Arial Nova"/>
          <w:b w:val="0"/>
          <w:bCs w:val="0"/>
          <w:i w:val="1"/>
          <w:iCs w:val="1"/>
          <w:sz w:val="24"/>
          <w:szCs w:val="24"/>
        </w:rPr>
      </w:pPr>
      <w:r w:rsidRPr="311001D9" w:rsidR="311001D9">
        <w:rPr>
          <w:rFonts w:ascii="Arial Nova" w:hAnsi="Arial Nova" w:eastAsia="Arial Nova" w:cs="Arial Nova"/>
          <w:b w:val="0"/>
          <w:bCs w:val="0"/>
          <w:i w:val="1"/>
          <w:iCs w:val="1"/>
          <w:sz w:val="24"/>
          <w:szCs w:val="24"/>
        </w:rPr>
        <w:t>Involving the clinical team early on when setting aspirations and goals</w:t>
      </w:r>
      <w:r>
        <w:br/>
      </w:r>
      <w:r w:rsidRPr="311001D9" w:rsidR="311001D9">
        <w:rPr>
          <w:rFonts w:ascii="Arial Nova" w:hAnsi="Arial Nova" w:eastAsia="Arial Nova" w:cs="Arial Nova"/>
          <w:b w:val="0"/>
          <w:bCs w:val="0"/>
          <w:i w:val="0"/>
          <w:iCs w:val="0"/>
          <w:sz w:val="24"/>
          <w:szCs w:val="24"/>
        </w:rPr>
        <w:t>There are two key clinical teams involved in hand hygiene within an organisation – the core infection, prevention and control team (IPC), and the clinical team within the individual area, such as the ward or department. While both teams will have similar overall goals – the reduction of infections, the IPC team will primarily focus on the outputted data from the system, whereas the ward team’s concerns are likely to be the usability of the system in real clinical practice.</w:t>
      </w:r>
    </w:p>
    <w:p w:rsidR="311001D9" w:rsidP="311001D9" w:rsidRDefault="311001D9" w14:paraId="6993E8EC" w14:textId="02711F32">
      <w:pPr>
        <w:pStyle w:val="Normal"/>
        <w:jc w:val="left"/>
        <w:rPr>
          <w:rFonts w:ascii="Arial Nova" w:hAnsi="Arial Nova" w:eastAsia="Arial Nova" w:cs="Arial Nova"/>
          <w:b w:val="0"/>
          <w:bCs w:val="0"/>
          <w:i w:val="1"/>
          <w:iCs w:val="1"/>
          <w:sz w:val="24"/>
          <w:szCs w:val="24"/>
        </w:rPr>
      </w:pPr>
      <w:r w:rsidRPr="311001D9" w:rsidR="311001D9">
        <w:rPr>
          <w:rFonts w:ascii="Arial Nova" w:hAnsi="Arial Nova" w:eastAsia="Arial Nova" w:cs="Arial Nova"/>
          <w:b w:val="0"/>
          <w:bCs w:val="0"/>
          <w:i w:val="1"/>
          <w:iCs w:val="1"/>
          <w:sz w:val="24"/>
          <w:szCs w:val="24"/>
        </w:rPr>
        <w:t>Ensuring senior clinical involvement and peer influence</w:t>
      </w:r>
      <w:r>
        <w:br/>
      </w:r>
      <w:r w:rsidRPr="311001D9" w:rsidR="311001D9">
        <w:rPr>
          <w:rFonts w:ascii="Arial Nova" w:hAnsi="Arial Nova" w:eastAsia="Arial Nova" w:cs="Arial Nova"/>
          <w:b w:val="0"/>
          <w:bCs w:val="0"/>
          <w:i w:val="0"/>
          <w:iCs w:val="0"/>
          <w:sz w:val="24"/>
          <w:szCs w:val="24"/>
        </w:rPr>
        <w:t>Senior involvement is essential as these individuals often encourage junior staff to engage with change, especially when their position in the organisation allows them to appreciate the wider benefit. For example, a ward nurse would understand the direct benefit to a patient of not contracting an infection, but a senior nurse might have a better appreciation of the related reduction in the patient’s length of stay, and the knock-on impact to flow and improved outcomes for the next patient who requires admission to the ward.</w:t>
      </w:r>
    </w:p>
    <w:p w:rsidR="311001D9" w:rsidP="311001D9" w:rsidRDefault="311001D9" w14:paraId="0FC50065" w14:textId="67552E40">
      <w:pPr>
        <w:pStyle w:val="Normal"/>
        <w:jc w:val="left"/>
        <w:rPr>
          <w:rFonts w:ascii="Arial Nova" w:hAnsi="Arial Nova" w:eastAsia="Arial Nova" w:cs="Arial Nova"/>
          <w:b w:val="0"/>
          <w:bCs w:val="0"/>
          <w:i w:val="0"/>
          <w:iCs w:val="0"/>
          <w:sz w:val="24"/>
          <w:szCs w:val="24"/>
        </w:rPr>
      </w:pPr>
      <w:r w:rsidRPr="311001D9" w:rsidR="311001D9">
        <w:rPr>
          <w:rFonts w:ascii="Arial Nova" w:hAnsi="Arial Nova" w:eastAsia="Arial Nova" w:cs="Arial Nova"/>
          <w:b w:val="0"/>
          <w:bCs w:val="0"/>
          <w:i w:val="0"/>
          <w:iCs w:val="0"/>
          <w:sz w:val="24"/>
          <w:szCs w:val="24"/>
        </w:rPr>
        <w:t xml:space="preserve">Senior support from non-clinical departments is equally important. While the need for involvement of the Health Board’s digital team is obvious, it would be easy to overlook other groups, such as the estate teams who would need to install electronically monitored soap or </w:t>
      </w:r>
      <w:proofErr w:type="spellStart"/>
      <w:r w:rsidRPr="311001D9" w:rsidR="311001D9">
        <w:rPr>
          <w:rFonts w:ascii="Arial Nova" w:hAnsi="Arial Nova" w:eastAsia="Arial Nova" w:cs="Arial Nova"/>
          <w:b w:val="0"/>
          <w:bCs w:val="0"/>
          <w:i w:val="0"/>
          <w:iCs w:val="0"/>
          <w:sz w:val="24"/>
          <w:szCs w:val="24"/>
        </w:rPr>
        <w:t>handrub</w:t>
      </w:r>
      <w:proofErr w:type="spellEnd"/>
      <w:r w:rsidRPr="311001D9" w:rsidR="311001D9">
        <w:rPr>
          <w:rFonts w:ascii="Arial Nova" w:hAnsi="Arial Nova" w:eastAsia="Arial Nova" w:cs="Arial Nova"/>
          <w:b w:val="0"/>
          <w:bCs w:val="0"/>
          <w:i w:val="0"/>
          <w:iCs w:val="0"/>
          <w:sz w:val="24"/>
          <w:szCs w:val="24"/>
        </w:rPr>
        <w:t xml:space="preserve"> dispensers, or the facilities teams that would be responsible for replenishing these. For the system to be successful, these dispensers must be regularly checked so that faulty or empty units do not cause incomplete data (Filho </w:t>
      </w:r>
      <w:r w:rsidRPr="311001D9" w:rsidR="311001D9">
        <w:rPr>
          <w:rFonts w:ascii="Arial Nova" w:hAnsi="Arial Nova" w:eastAsia="Arial Nova" w:cs="Arial Nova"/>
          <w:b w:val="0"/>
          <w:bCs w:val="0"/>
          <w:i w:val="1"/>
          <w:iCs w:val="1"/>
          <w:sz w:val="24"/>
          <w:szCs w:val="24"/>
        </w:rPr>
        <w:t xml:space="preserve">et al. </w:t>
      </w:r>
      <w:r w:rsidRPr="311001D9" w:rsidR="311001D9">
        <w:rPr>
          <w:rFonts w:ascii="Arial Nova" w:hAnsi="Arial Nova" w:eastAsia="Arial Nova" w:cs="Arial Nova"/>
          <w:b w:val="0"/>
          <w:bCs w:val="0"/>
          <w:i w:val="0"/>
          <w:iCs w:val="0"/>
          <w:sz w:val="24"/>
          <w:szCs w:val="24"/>
        </w:rPr>
        <w:t>2014).</w:t>
      </w:r>
    </w:p>
    <w:p w:rsidR="311001D9" w:rsidP="311001D9" w:rsidRDefault="311001D9" w14:paraId="1071A3F8" w14:textId="3EA55C5E">
      <w:pPr>
        <w:pStyle w:val="Normal"/>
        <w:jc w:val="left"/>
        <w:rPr>
          <w:rFonts w:ascii="Arial Nova" w:hAnsi="Arial Nova" w:eastAsia="Arial Nova" w:cs="Arial Nova"/>
          <w:b w:val="0"/>
          <w:bCs w:val="0"/>
          <w:i w:val="1"/>
          <w:iCs w:val="1"/>
          <w:sz w:val="24"/>
          <w:szCs w:val="24"/>
        </w:rPr>
      </w:pPr>
      <w:r w:rsidRPr="311001D9" w:rsidR="311001D9">
        <w:rPr>
          <w:rFonts w:ascii="Arial Nova" w:hAnsi="Arial Nova" w:eastAsia="Arial Nova" w:cs="Arial Nova"/>
          <w:b w:val="0"/>
          <w:bCs w:val="0"/>
          <w:i w:val="1"/>
          <w:iCs w:val="1"/>
          <w:sz w:val="24"/>
          <w:szCs w:val="24"/>
        </w:rPr>
        <w:t>Obtaining credible endorsement</w:t>
      </w:r>
      <w:r>
        <w:br/>
      </w:r>
      <w:r w:rsidRPr="311001D9" w:rsidR="311001D9">
        <w:rPr>
          <w:rFonts w:ascii="Arial Nova" w:hAnsi="Arial Nova" w:eastAsia="Arial Nova" w:cs="Arial Nova"/>
          <w:b w:val="0"/>
          <w:bCs w:val="0"/>
          <w:i w:val="0"/>
          <w:iCs w:val="0"/>
          <w:sz w:val="24"/>
          <w:szCs w:val="24"/>
        </w:rPr>
        <w:t>Much of healthcare is based on evidence-based best practice. In my experience, clinicians want to know that any changes to the status quo are supported by evidence and aligns with local and national guidance. Support by Royal Colleges or organisations such as the National Institute for Health and Care Excellence (NICE), provide this important reassurance. Engagement with these organisations at an early stage can be advantageous and the link with the WHO policy and guidance for hand hygiene is something that should be highlighted to clinicians.</w:t>
      </w:r>
    </w:p>
    <w:p w:rsidR="311001D9" w:rsidP="311001D9" w:rsidRDefault="311001D9" w14:paraId="685958AD" w14:textId="78E6AA75">
      <w:pPr>
        <w:pStyle w:val="Normal"/>
        <w:jc w:val="left"/>
        <w:rPr>
          <w:rFonts w:ascii="Arial Nova" w:hAnsi="Arial Nova" w:eastAsia="Arial Nova" w:cs="Arial Nova"/>
          <w:b w:val="0"/>
          <w:bCs w:val="0"/>
          <w:i w:val="0"/>
          <w:iCs w:val="0"/>
          <w:sz w:val="24"/>
          <w:szCs w:val="24"/>
        </w:rPr>
      </w:pPr>
      <w:r w:rsidRPr="311001D9" w:rsidR="311001D9">
        <w:rPr>
          <w:rFonts w:ascii="Arial Nova" w:hAnsi="Arial Nova" w:eastAsia="Arial Nova" w:cs="Arial Nova"/>
          <w:b w:val="0"/>
          <w:bCs w:val="0"/>
          <w:i w:val="1"/>
          <w:iCs w:val="1"/>
          <w:sz w:val="24"/>
          <w:szCs w:val="24"/>
        </w:rPr>
        <w:t>Involving clinical networks across organisational boundaries</w:t>
      </w:r>
      <w:r>
        <w:br/>
      </w:r>
      <w:r w:rsidRPr="311001D9" w:rsidR="311001D9">
        <w:rPr>
          <w:rFonts w:ascii="Arial Nova" w:hAnsi="Arial Nova" w:eastAsia="Arial Nova" w:cs="Arial Nova"/>
          <w:b w:val="0"/>
          <w:bCs w:val="0"/>
          <w:i w:val="0"/>
          <w:iCs w:val="0"/>
          <w:sz w:val="24"/>
          <w:szCs w:val="24"/>
        </w:rPr>
        <w:t>Many specialty areas within healthcare have national ‘</w:t>
      </w:r>
      <w:proofErr w:type="gramStart"/>
      <w:r w:rsidRPr="311001D9" w:rsidR="311001D9">
        <w:rPr>
          <w:rFonts w:ascii="Arial Nova" w:hAnsi="Arial Nova" w:eastAsia="Arial Nova" w:cs="Arial Nova"/>
          <w:b w:val="0"/>
          <w:bCs w:val="0"/>
          <w:i w:val="0"/>
          <w:iCs w:val="0"/>
          <w:sz w:val="24"/>
          <w:szCs w:val="24"/>
        </w:rPr>
        <w:t>networks’</w:t>
      </w:r>
      <w:proofErr w:type="gramEnd"/>
      <w:r w:rsidRPr="311001D9" w:rsidR="311001D9">
        <w:rPr>
          <w:rFonts w:ascii="Arial Nova" w:hAnsi="Arial Nova" w:eastAsia="Arial Nova" w:cs="Arial Nova"/>
          <w:b w:val="0"/>
          <w:bCs w:val="0"/>
          <w:i w:val="0"/>
          <w:iCs w:val="0"/>
          <w:sz w:val="24"/>
          <w:szCs w:val="24"/>
        </w:rPr>
        <w:t>. These can vary in formality, from self-organised collaboration between staff in similar roles in different organisations, to formally hosted and funded networks such as those administered by a central body (NHS Wales Health Collaborative, 2022). Their support for an implementation carries weight with clinicians and cross-organisation communication can also encourage shared learning and prevent siloed developments within each participating organisation.</w:t>
      </w:r>
    </w:p>
    <w:p w:rsidR="311001D9" w:rsidP="188A98AD" w:rsidRDefault="311001D9" w14:paraId="041E2F12" w14:textId="27A99EC5">
      <w:pPr>
        <w:pStyle w:val="Normal"/>
        <w:jc w:val="left"/>
        <w:rPr>
          <w:rFonts w:ascii="Arial Nova" w:hAnsi="Arial Nova" w:eastAsia="Arial Nova" w:cs="Arial Nova"/>
          <w:b w:val="0"/>
          <w:bCs w:val="0"/>
          <w:i w:val="0"/>
          <w:iCs w:val="0"/>
          <w:sz w:val="24"/>
          <w:szCs w:val="24"/>
        </w:rPr>
      </w:pPr>
      <w:r w:rsidRPr="188A98AD" w:rsidR="311001D9">
        <w:rPr>
          <w:rFonts w:ascii="Arial Nova" w:hAnsi="Arial Nova" w:eastAsia="Arial Nova" w:cs="Arial Nova"/>
          <w:b w:val="0"/>
          <w:bCs w:val="0"/>
          <w:i w:val="0"/>
          <w:iCs w:val="0"/>
          <w:sz w:val="24"/>
          <w:szCs w:val="24"/>
        </w:rPr>
        <w:t>The other stakeholder group that is vital with a digital implementation is the system developer, whether that be a private company for a purchased system, or an internal development team if the system is created in-house.</w:t>
      </w:r>
    </w:p>
    <w:p w:rsidR="311001D9" w:rsidP="188A98AD" w:rsidRDefault="311001D9" w14:paraId="10E64EAE" w14:textId="3AACBDAC">
      <w:pPr>
        <w:pStyle w:val="Normal"/>
        <w:jc w:val="left"/>
        <w:rPr>
          <w:rFonts w:ascii="Arial Nova" w:hAnsi="Arial Nova" w:eastAsia="Arial Nova" w:cs="Arial Nova"/>
          <w:b w:val="0"/>
          <w:bCs w:val="0"/>
          <w:i w:val="0"/>
          <w:iCs w:val="0"/>
          <w:sz w:val="24"/>
          <w:szCs w:val="24"/>
        </w:rPr>
      </w:pPr>
      <w:r w:rsidRPr="188A98AD" w:rsidR="311001D9">
        <w:rPr>
          <w:rFonts w:ascii="Arial Nova" w:hAnsi="Arial Nova" w:eastAsia="Arial Nova" w:cs="Arial Nova"/>
          <w:b w:val="0"/>
          <w:bCs w:val="0"/>
          <w:i w:val="0"/>
          <w:iCs w:val="0"/>
          <w:sz w:val="24"/>
          <w:szCs w:val="24"/>
        </w:rPr>
        <w:t>As with other healthcare IT systems, while an electronic hand-hygiene monitoring system would not be directly used by patients, their involvement in development remains important to avoid unintended negative consequences. For example, where clinical applications are made available and accessed on healthcare workers’ personal mobile devices, it can concern patients if this use is not explained. The use of the applications could appear to a patient that the worker is accessing their device for personal non-healthcare related reasons – something that may discourage adoption of the application.</w:t>
      </w:r>
      <w:r>
        <w:br/>
      </w:r>
      <w:r>
        <w:br/>
      </w:r>
      <w:r>
        <w:br/>
      </w:r>
      <w:r w:rsidRPr="188A98AD" w:rsidR="311001D9">
        <w:rPr>
          <w:rFonts w:ascii="Arial Nova" w:hAnsi="Arial Nova" w:eastAsia="Arial Nova" w:cs="Arial Nova"/>
          <w:b w:val="1"/>
          <w:bCs w:val="1"/>
          <w:i w:val="0"/>
          <w:iCs w:val="0"/>
          <w:sz w:val="28"/>
          <w:szCs w:val="28"/>
        </w:rPr>
        <w:t>Engaging with stakeholders</w:t>
      </w:r>
    </w:p>
    <w:p w:rsidR="311001D9" w:rsidP="311001D9" w:rsidRDefault="311001D9" w14:paraId="208D509D" w14:textId="20D5E2A3">
      <w:pPr>
        <w:pStyle w:val="Normal"/>
        <w:jc w:val="left"/>
        <w:rPr>
          <w:rFonts w:ascii="Arial Nova" w:hAnsi="Arial Nova" w:eastAsia="Arial Nova" w:cs="Arial Nova"/>
          <w:b w:val="0"/>
          <w:bCs w:val="0"/>
          <w:i w:val="0"/>
          <w:iCs w:val="0"/>
          <w:sz w:val="24"/>
          <w:szCs w:val="24"/>
        </w:rPr>
      </w:pPr>
      <w:proofErr w:type="gramStart"/>
      <w:r w:rsidRPr="311001D9" w:rsidR="311001D9">
        <w:rPr>
          <w:rFonts w:ascii="Arial Nova" w:hAnsi="Arial Nova" w:eastAsia="Arial Nova" w:cs="Arial Nova"/>
          <w:b w:val="0"/>
          <w:bCs w:val="0"/>
          <w:i w:val="0"/>
          <w:iCs w:val="0"/>
          <w:sz w:val="24"/>
          <w:szCs w:val="24"/>
        </w:rPr>
        <w:t>In order to</w:t>
      </w:r>
      <w:proofErr w:type="gramEnd"/>
      <w:r w:rsidRPr="311001D9" w:rsidR="311001D9">
        <w:rPr>
          <w:rFonts w:ascii="Arial Nova" w:hAnsi="Arial Nova" w:eastAsia="Arial Nova" w:cs="Arial Nova"/>
          <w:b w:val="0"/>
          <w:bCs w:val="0"/>
          <w:i w:val="0"/>
          <w:iCs w:val="0"/>
          <w:sz w:val="24"/>
          <w:szCs w:val="24"/>
        </w:rPr>
        <w:t xml:space="preserve"> successfully engage with project stakeholders, it is vital to try and understand each group’s views on both the policy goal and the proposed digital system designed to achieve it.</w:t>
      </w:r>
    </w:p>
    <w:p w:rsidR="311001D9" w:rsidP="311001D9" w:rsidRDefault="311001D9" w14:paraId="32224D25" w14:textId="2DAFCF93">
      <w:pPr>
        <w:pStyle w:val="Normal"/>
        <w:jc w:val="left"/>
        <w:rPr>
          <w:rFonts w:ascii="Arial Nova" w:hAnsi="Arial Nova" w:eastAsia="Arial Nova" w:cs="Arial Nova"/>
          <w:b w:val="0"/>
          <w:bCs w:val="0"/>
          <w:i w:val="0"/>
          <w:iCs w:val="0"/>
          <w:sz w:val="24"/>
          <w:szCs w:val="24"/>
        </w:rPr>
      </w:pPr>
      <w:r w:rsidRPr="311001D9" w:rsidR="311001D9">
        <w:rPr>
          <w:rFonts w:ascii="Arial Nova" w:hAnsi="Arial Nova" w:eastAsia="Arial Nova" w:cs="Arial Nova"/>
          <w:b w:val="0"/>
          <w:bCs w:val="0"/>
          <w:i w:val="0"/>
          <w:iCs w:val="0"/>
          <w:sz w:val="24"/>
          <w:szCs w:val="24"/>
        </w:rPr>
        <w:t>Through my experience of multi-disciplinary working in the NHS, my preferred approach is to start engagement with stakeholders individually, before bringing them together. The individual meetings give chance to explore each group’s position in detail and pre-empt areas of agreement or disagreement that are likely to arise when the stakeholders meet to discuss the implementation.</w:t>
      </w:r>
    </w:p>
    <w:p w:rsidR="311001D9" w:rsidP="311001D9" w:rsidRDefault="311001D9" w14:paraId="53C9E0DE" w14:textId="536AE0B8">
      <w:pPr>
        <w:pStyle w:val="Normal"/>
        <w:jc w:val="left"/>
        <w:rPr>
          <w:rFonts w:ascii="Arial Nova" w:hAnsi="Arial Nova" w:eastAsia="Arial Nova" w:cs="Arial Nova"/>
          <w:b w:val="0"/>
          <w:bCs w:val="0"/>
          <w:i w:val="0"/>
          <w:iCs w:val="0"/>
          <w:sz w:val="24"/>
          <w:szCs w:val="24"/>
        </w:rPr>
      </w:pPr>
      <w:r w:rsidRPr="311001D9" w:rsidR="311001D9">
        <w:rPr>
          <w:rFonts w:ascii="Arial Nova" w:hAnsi="Arial Nova" w:eastAsia="Arial Nova" w:cs="Arial Nova"/>
          <w:b w:val="0"/>
          <w:bCs w:val="0"/>
          <w:i w:val="0"/>
          <w:iCs w:val="0"/>
          <w:sz w:val="24"/>
          <w:szCs w:val="24"/>
        </w:rPr>
        <w:t>Individual meetings also ensure that each group’s input is received even when the dynamics of a multi-stakeholder meeting could prevent an individual group from expressing their views. While the levels of agreement between stakeholders will vary depending on the implementation, there is always likely to be some disagreement that requires exploration and resolution. While reflecting on stakeholder engagement, I have been struck by the similarities with the mediation process that is often used with individual staff member disputes. Many of the aspects of mediation easily translate to stakeholder management. For example, mediation is designed to mend relationships by allowing the involved parties to have some control of the final agreement. Stakeholder management for the hand hygiene system would mean ensuring ongoing relationships by allowing the stakeholders to have some control over the design of the final system (Acas, 2022).</w:t>
      </w:r>
    </w:p>
    <w:p w:rsidR="311001D9" w:rsidP="311001D9" w:rsidRDefault="311001D9" w14:paraId="6A3C7676" w14:textId="2DB094AD">
      <w:pPr>
        <w:pStyle w:val="Normal"/>
        <w:jc w:val="left"/>
        <w:rPr>
          <w:rFonts w:ascii="Arial Nova" w:hAnsi="Arial Nova" w:eastAsia="Arial Nova" w:cs="Arial Nova"/>
          <w:b w:val="0"/>
          <w:bCs w:val="0"/>
          <w:i w:val="0"/>
          <w:iCs w:val="0"/>
          <w:sz w:val="24"/>
          <w:szCs w:val="24"/>
        </w:rPr>
      </w:pPr>
      <w:r w:rsidRPr="311001D9" w:rsidR="311001D9">
        <w:rPr>
          <w:rFonts w:ascii="Arial Nova" w:hAnsi="Arial Nova" w:eastAsia="Arial Nova" w:cs="Arial Nova"/>
          <w:b w:val="0"/>
          <w:bCs w:val="0"/>
          <w:i w:val="0"/>
          <w:iCs w:val="0"/>
          <w:sz w:val="24"/>
          <w:szCs w:val="24"/>
        </w:rPr>
        <w:t xml:space="preserve">Mediation also involves seeing things from another person’s (or group’s) perspective. This is also a vital part of stakeholder management and can be challenging when </w:t>
      </w:r>
      <w:r w:rsidRPr="311001D9" w:rsidR="311001D9">
        <w:rPr>
          <w:rFonts w:ascii="Arial Nova" w:hAnsi="Arial Nova" w:eastAsia="Arial Nova" w:cs="Arial Nova"/>
          <w:b w:val="0"/>
          <w:bCs w:val="0"/>
          <w:i w:val="0"/>
          <w:iCs w:val="0"/>
          <w:sz w:val="24"/>
          <w:szCs w:val="24"/>
        </w:rPr>
        <w:t>different groups’</w:t>
      </w:r>
      <w:r w:rsidRPr="311001D9" w:rsidR="311001D9">
        <w:rPr>
          <w:rFonts w:ascii="Arial Nova" w:hAnsi="Arial Nova" w:eastAsia="Arial Nova" w:cs="Arial Nova"/>
          <w:b w:val="0"/>
          <w:bCs w:val="0"/>
          <w:i w:val="0"/>
          <w:iCs w:val="0"/>
          <w:sz w:val="24"/>
          <w:szCs w:val="24"/>
        </w:rPr>
        <w:t xml:space="preserve"> knowledgebases are not aligned. A key function of the project leader is to translate those perspectives so that they can be understood by another group.</w:t>
      </w:r>
    </w:p>
    <w:p w:rsidR="311001D9" w:rsidP="188A98AD" w:rsidRDefault="311001D9" w14:paraId="7E37725B" w14:textId="027EB7AB">
      <w:pPr>
        <w:pStyle w:val="Normal"/>
        <w:jc w:val="left"/>
        <w:rPr>
          <w:rFonts w:ascii="Arial Nova" w:hAnsi="Arial Nova" w:eastAsia="Arial Nova" w:cs="Arial Nova"/>
          <w:b w:val="0"/>
          <w:bCs w:val="0"/>
          <w:i w:val="0"/>
          <w:iCs w:val="0"/>
          <w:sz w:val="24"/>
          <w:szCs w:val="24"/>
        </w:rPr>
      </w:pPr>
      <w:r w:rsidRPr="188A98AD" w:rsidR="311001D9">
        <w:rPr>
          <w:rFonts w:ascii="Arial Nova" w:hAnsi="Arial Nova" w:eastAsia="Arial Nova" w:cs="Arial Nova"/>
          <w:b w:val="0"/>
          <w:bCs w:val="0"/>
          <w:i w:val="0"/>
          <w:iCs w:val="0"/>
          <w:sz w:val="24"/>
          <w:szCs w:val="24"/>
        </w:rPr>
        <w:t xml:space="preserve">This is a situation that I have experienced when leading the implementation of electronically printed patient ID wristbands within a Health Board. This role is often best performed by individuals who are clinicians but also understand digital. While they will not necessarily have the </w:t>
      </w:r>
      <w:r w:rsidRPr="188A98AD" w:rsidR="311001D9">
        <w:rPr>
          <w:rFonts w:ascii="Arial Nova" w:hAnsi="Arial Nova" w:eastAsia="Arial Nova" w:cs="Arial Nova"/>
          <w:b w:val="0"/>
          <w:bCs w:val="0"/>
          <w:i w:val="0"/>
          <w:iCs w:val="0"/>
          <w:sz w:val="24"/>
          <w:szCs w:val="24"/>
        </w:rPr>
        <w:t>very detailed</w:t>
      </w:r>
      <w:r w:rsidRPr="188A98AD" w:rsidR="311001D9">
        <w:rPr>
          <w:rFonts w:ascii="Arial Nova" w:hAnsi="Arial Nova" w:eastAsia="Arial Nova" w:cs="Arial Nova"/>
          <w:b w:val="0"/>
          <w:bCs w:val="0"/>
          <w:i w:val="0"/>
          <w:iCs w:val="0"/>
          <w:sz w:val="24"/>
          <w:szCs w:val="24"/>
        </w:rPr>
        <w:t xml:space="preserve"> clinical knowledge for a particular speciality, or high-level technical skills, they understand enough about each aspect to act as an intermediary. I expect that over time, the need for this type of role will diminish as the clinical healthcare workforce develops its digital skills and the technical healthcare workforce gains more experience in the development and implementation of IT systems.</w:t>
      </w:r>
    </w:p>
    <w:p w:rsidR="311001D9" w:rsidP="188A98AD" w:rsidRDefault="311001D9" w14:paraId="01F21822" w14:textId="54E73470">
      <w:pPr>
        <w:pStyle w:val="Normal"/>
        <w:jc w:val="left"/>
        <w:rPr>
          <w:rFonts w:ascii="Arial Nova" w:hAnsi="Arial Nova" w:eastAsia="Arial Nova" w:cs="Arial Nova"/>
          <w:b w:val="0"/>
          <w:bCs w:val="0"/>
          <w:i w:val="0"/>
          <w:iCs w:val="0"/>
          <w:sz w:val="24"/>
          <w:szCs w:val="24"/>
        </w:rPr>
      </w:pPr>
      <w:r w:rsidRPr="188A98AD" w:rsidR="311001D9">
        <w:rPr>
          <w:rFonts w:ascii="Arial Nova" w:hAnsi="Arial Nova" w:eastAsia="Arial Nova" w:cs="Arial Nova"/>
          <w:b w:val="0"/>
          <w:bCs w:val="0"/>
          <w:i w:val="0"/>
          <w:iCs w:val="0"/>
          <w:sz w:val="24"/>
          <w:szCs w:val="24"/>
        </w:rPr>
        <w:t xml:space="preserve">While it is natural to want to achieve consensus among stakeholders, especially for those leading the project, care must be taken to avoid groupthink. This occurs when a group’s desire for conformity is so great that it leads to poor decision making (Baumeister and Vohs, 2007, p. 90). In my experience, it is prudent to explain to stakeholders at the outset of the project that they may have differing views and that this is one of the reasons why projects have stakeholder involvement. There are also some more practical tools that can be used to help avoid groupthink, such as the ‘six thinking hats’ developed by De Bono (2009). The technique uses six </w:t>
      </w:r>
      <w:r w:rsidRPr="188A98AD" w:rsidR="311001D9">
        <w:rPr>
          <w:rFonts w:ascii="Arial Nova" w:hAnsi="Arial Nova" w:eastAsia="Arial Nova" w:cs="Arial Nova"/>
          <w:b w:val="0"/>
          <w:bCs w:val="0"/>
          <w:i w:val="0"/>
          <w:iCs w:val="0"/>
          <w:sz w:val="24"/>
          <w:szCs w:val="24"/>
        </w:rPr>
        <w:t>imaginary</w:t>
      </w:r>
      <w:r w:rsidRPr="188A98AD" w:rsidR="311001D9">
        <w:rPr>
          <w:rFonts w:ascii="Arial Nova" w:hAnsi="Arial Nova" w:eastAsia="Arial Nova" w:cs="Arial Nova"/>
          <w:b w:val="0"/>
          <w:bCs w:val="0"/>
          <w:i w:val="0"/>
          <w:iCs w:val="0"/>
          <w:sz w:val="24"/>
          <w:szCs w:val="24"/>
        </w:rPr>
        <w:t xml:space="preserve"> ‘hats’ to encourage a group to think about a problem or task from different perspectives. This can also help </w:t>
      </w:r>
      <w:proofErr w:type="gramStart"/>
      <w:r w:rsidRPr="188A98AD" w:rsidR="311001D9">
        <w:rPr>
          <w:rFonts w:ascii="Arial Nova" w:hAnsi="Arial Nova" w:eastAsia="Arial Nova" w:cs="Arial Nova"/>
          <w:b w:val="0"/>
          <w:bCs w:val="0"/>
          <w:i w:val="0"/>
          <w:iCs w:val="0"/>
          <w:sz w:val="24"/>
          <w:szCs w:val="24"/>
        </w:rPr>
        <w:t>less</w:t>
      </w:r>
      <w:proofErr w:type="gramEnd"/>
      <w:r w:rsidRPr="188A98AD" w:rsidR="311001D9">
        <w:rPr>
          <w:rFonts w:ascii="Arial Nova" w:hAnsi="Arial Nova" w:eastAsia="Arial Nova" w:cs="Arial Nova"/>
          <w:b w:val="0"/>
          <w:bCs w:val="0"/>
          <w:i w:val="0"/>
          <w:iCs w:val="0"/>
          <w:sz w:val="24"/>
          <w:szCs w:val="24"/>
        </w:rPr>
        <w:t xml:space="preserve"> dominant stakeholders express their views as each perspective is considered in turn by the group. </w:t>
      </w:r>
    </w:p>
    <w:p w:rsidR="188A98AD" w:rsidP="188A98AD" w:rsidRDefault="188A98AD" w14:paraId="70CA4F8C" w14:textId="6185FD66">
      <w:pPr>
        <w:pStyle w:val="Normal"/>
        <w:jc w:val="left"/>
        <w:rPr>
          <w:rFonts w:ascii="Arial Nova" w:hAnsi="Arial Nova" w:eastAsia="Arial Nova" w:cs="Arial Nova"/>
          <w:b w:val="0"/>
          <w:bCs w:val="0"/>
          <w:i w:val="0"/>
          <w:iCs w:val="0"/>
          <w:sz w:val="24"/>
          <w:szCs w:val="24"/>
        </w:rPr>
      </w:pPr>
      <w:r w:rsidRPr="188A98AD" w:rsidR="188A98AD">
        <w:rPr>
          <w:rFonts w:ascii="Arial Nova" w:hAnsi="Arial Nova" w:eastAsia="Arial Nova" w:cs="Arial Nova"/>
          <w:b w:val="0"/>
          <w:bCs w:val="0"/>
          <w:i w:val="0"/>
          <w:iCs w:val="0"/>
          <w:sz w:val="24"/>
          <w:szCs w:val="24"/>
        </w:rPr>
        <w:t>As has happened over the last 10-20 years in clinical care, there is a slow move in healthcare IT to become less paternalistic and more open to closer working between IT teams and clinicians. Although early clinical input in the design and development of systems is known to be critical, this can still be difficult to achieve in practice (Huang, 2017).</w:t>
      </w:r>
    </w:p>
    <w:p w:rsidR="311001D9" w:rsidP="188A98AD" w:rsidRDefault="311001D9" w14:paraId="59A782CF" w14:textId="1C90B0AF">
      <w:pPr>
        <w:pStyle w:val="Normal"/>
        <w:jc w:val="left"/>
        <w:rPr>
          <w:rFonts w:ascii="Arial Nova" w:hAnsi="Arial Nova" w:eastAsia="Arial Nova" w:cs="Arial Nova"/>
          <w:b w:val="0"/>
          <w:bCs w:val="0"/>
          <w:i w:val="0"/>
          <w:iCs w:val="0"/>
          <w:sz w:val="24"/>
          <w:szCs w:val="24"/>
        </w:rPr>
      </w:pPr>
      <w:r w:rsidRPr="188A98AD" w:rsidR="188A98AD">
        <w:rPr>
          <w:rFonts w:ascii="Arial Nova" w:hAnsi="Arial Nova" w:eastAsia="Arial Nova" w:cs="Arial Nova"/>
          <w:b w:val="0"/>
          <w:bCs w:val="0"/>
          <w:i w:val="0"/>
          <w:iCs w:val="0"/>
          <w:sz w:val="24"/>
          <w:szCs w:val="24"/>
        </w:rPr>
        <w:t>Any IT implementation in healthcare is challenging, but the chances of success can be vastly increased through proper identification, engagement and management of stakeholders</w:t>
      </w:r>
      <w:r w:rsidRPr="188A98AD" w:rsidR="311001D9">
        <w:rPr>
          <w:rFonts w:ascii="Arial Nova" w:hAnsi="Arial Nova" w:eastAsia="Arial Nova" w:cs="Arial Nova"/>
          <w:b w:val="0"/>
          <w:bCs w:val="0"/>
          <w:sz w:val="24"/>
          <w:szCs w:val="24"/>
        </w:rPr>
        <w:t xml:space="preserve"> (Cresswell, Bates and Sheikh, 2013)</w:t>
      </w:r>
      <w:r w:rsidRPr="188A98AD" w:rsidR="188A98AD">
        <w:rPr>
          <w:rFonts w:ascii="Arial Nova" w:hAnsi="Arial Nova" w:eastAsia="Arial Nova" w:cs="Arial Nova"/>
          <w:b w:val="0"/>
          <w:bCs w:val="0"/>
          <w:i w:val="0"/>
          <w:iCs w:val="0"/>
          <w:sz w:val="24"/>
          <w:szCs w:val="24"/>
        </w:rPr>
        <w:t xml:space="preserve">. This is especially important with systems that will be used in a clinical setting as there are often many challenges and factors related to use that are overlooked by those who don’t work in that environment. Early engagement with end users also helps with change management and achieving acceptance from </w:t>
      </w:r>
      <w:r w:rsidRPr="188A98AD" w:rsidR="188A98AD">
        <w:rPr>
          <w:rFonts w:ascii="Arial Nova" w:hAnsi="Arial Nova" w:eastAsia="Arial Nova" w:cs="Arial Nova"/>
          <w:b w:val="0"/>
          <w:bCs w:val="0"/>
          <w:i w:val="0"/>
          <w:iCs w:val="0"/>
          <w:sz w:val="24"/>
          <w:szCs w:val="24"/>
        </w:rPr>
        <w:t>clinical</w:t>
      </w:r>
      <w:r w:rsidRPr="188A98AD" w:rsidR="188A98AD">
        <w:rPr>
          <w:rFonts w:ascii="Arial Nova" w:hAnsi="Arial Nova" w:eastAsia="Arial Nova" w:cs="Arial Nova"/>
          <w:b w:val="0"/>
          <w:bCs w:val="0"/>
          <w:i w:val="0"/>
          <w:iCs w:val="0"/>
          <w:sz w:val="24"/>
          <w:szCs w:val="24"/>
        </w:rPr>
        <w:t xml:space="preserve"> staff.</w:t>
      </w:r>
    </w:p>
    <w:p w:rsidR="188A98AD" w:rsidP="188A98AD" w:rsidRDefault="188A98AD" w14:paraId="65F7B07D" w14:textId="306C8E3F">
      <w:pPr>
        <w:pStyle w:val="Normal"/>
        <w:jc w:val="left"/>
        <w:rPr>
          <w:rFonts w:ascii="Arial Nova" w:hAnsi="Arial Nova" w:eastAsia="Arial Nova" w:cs="Arial Nova"/>
          <w:b w:val="0"/>
          <w:bCs w:val="0"/>
          <w:i w:val="0"/>
          <w:iCs w:val="0"/>
          <w:sz w:val="24"/>
          <w:szCs w:val="24"/>
        </w:rPr>
      </w:pPr>
    </w:p>
    <w:p w:rsidR="188A98AD" w:rsidP="188A98AD" w:rsidRDefault="188A98AD" w14:paraId="45CEDE26" w14:textId="5FF99C25">
      <w:pPr>
        <w:pStyle w:val="Normal"/>
        <w:jc w:val="left"/>
        <w:rPr>
          <w:rFonts w:ascii="Arial Nova" w:hAnsi="Arial Nova" w:eastAsia="Arial Nova" w:cs="Arial Nova"/>
          <w:b w:val="0"/>
          <w:bCs w:val="0"/>
          <w:i w:val="0"/>
          <w:iCs w:val="0"/>
          <w:sz w:val="24"/>
          <w:szCs w:val="24"/>
        </w:rPr>
      </w:pPr>
    </w:p>
    <w:p w:rsidR="188A98AD" w:rsidP="188A98AD" w:rsidRDefault="188A98AD" w14:paraId="33E86023" w14:textId="4F4A33F2">
      <w:pPr>
        <w:pStyle w:val="Normal"/>
        <w:jc w:val="left"/>
        <w:rPr>
          <w:rFonts w:ascii="Arial Nova" w:hAnsi="Arial Nova" w:eastAsia="Arial Nova" w:cs="Arial Nova"/>
          <w:b w:val="0"/>
          <w:bCs w:val="0"/>
          <w:i w:val="0"/>
          <w:iCs w:val="0"/>
          <w:sz w:val="24"/>
          <w:szCs w:val="24"/>
        </w:rPr>
      </w:pPr>
    </w:p>
    <w:p w:rsidR="188A98AD" w:rsidP="188A98AD" w:rsidRDefault="188A98AD" w14:paraId="5D7EE049" w14:textId="37BD02CD">
      <w:pPr>
        <w:pStyle w:val="Normal"/>
        <w:jc w:val="left"/>
        <w:rPr>
          <w:rFonts w:ascii="Arial Nova" w:hAnsi="Arial Nova" w:eastAsia="Arial Nova" w:cs="Arial Nova"/>
          <w:b w:val="0"/>
          <w:bCs w:val="0"/>
          <w:i w:val="0"/>
          <w:iCs w:val="0"/>
          <w:sz w:val="24"/>
          <w:szCs w:val="24"/>
        </w:rPr>
      </w:pPr>
    </w:p>
    <w:p w:rsidR="188A98AD" w:rsidP="188A98AD" w:rsidRDefault="188A98AD" w14:paraId="4609B1AD" w14:textId="560969EB">
      <w:pPr>
        <w:pStyle w:val="Normal"/>
        <w:jc w:val="left"/>
        <w:rPr>
          <w:rFonts w:ascii="Arial Nova" w:hAnsi="Arial Nova" w:eastAsia="Arial Nova" w:cs="Arial Nova"/>
          <w:b w:val="0"/>
          <w:bCs w:val="0"/>
          <w:i w:val="0"/>
          <w:iCs w:val="0"/>
          <w:sz w:val="24"/>
          <w:szCs w:val="24"/>
        </w:rPr>
      </w:pPr>
    </w:p>
    <w:p w:rsidR="188A98AD" w:rsidP="188A98AD" w:rsidRDefault="188A98AD" w14:paraId="2E02F443" w14:textId="55718237">
      <w:pPr>
        <w:pStyle w:val="Normal"/>
        <w:jc w:val="left"/>
        <w:rPr>
          <w:rFonts w:ascii="Arial Nova" w:hAnsi="Arial Nova" w:eastAsia="Arial Nova" w:cs="Arial Nova"/>
          <w:b w:val="0"/>
          <w:bCs w:val="0"/>
          <w:i w:val="0"/>
          <w:iCs w:val="0"/>
          <w:sz w:val="24"/>
          <w:szCs w:val="24"/>
        </w:rPr>
      </w:pPr>
    </w:p>
    <w:p w:rsidR="188A98AD" w:rsidP="188A98AD" w:rsidRDefault="188A98AD" w14:paraId="3A58D8BC" w14:textId="08B33471">
      <w:pPr>
        <w:pStyle w:val="Normal"/>
        <w:jc w:val="left"/>
        <w:rPr>
          <w:rFonts w:ascii="Arial Nova" w:hAnsi="Arial Nova" w:eastAsia="Arial Nova" w:cs="Arial Nova"/>
          <w:b w:val="0"/>
          <w:bCs w:val="0"/>
          <w:i w:val="0"/>
          <w:iCs w:val="0"/>
          <w:sz w:val="24"/>
          <w:szCs w:val="24"/>
        </w:rPr>
      </w:pPr>
    </w:p>
    <w:p w:rsidR="188A98AD" w:rsidP="188A98AD" w:rsidRDefault="188A98AD" w14:paraId="3E5F2517" w14:textId="2144E905">
      <w:pPr>
        <w:pStyle w:val="Normal"/>
        <w:jc w:val="left"/>
        <w:rPr>
          <w:rFonts w:ascii="Arial Nova" w:hAnsi="Arial Nova" w:eastAsia="Arial Nova" w:cs="Arial Nova"/>
          <w:b w:val="0"/>
          <w:bCs w:val="0"/>
          <w:i w:val="0"/>
          <w:iCs w:val="0"/>
          <w:sz w:val="24"/>
          <w:szCs w:val="24"/>
        </w:rPr>
      </w:pPr>
    </w:p>
    <w:p w:rsidR="188A98AD" w:rsidP="188A98AD" w:rsidRDefault="188A98AD" w14:paraId="03ACCBFF" w14:textId="50A14853">
      <w:pPr>
        <w:pStyle w:val="Normal"/>
        <w:jc w:val="left"/>
        <w:rPr>
          <w:rFonts w:ascii="Arial Nova" w:hAnsi="Arial Nova" w:eastAsia="Arial Nova" w:cs="Arial Nova"/>
          <w:b w:val="0"/>
          <w:bCs w:val="0"/>
          <w:i w:val="0"/>
          <w:iCs w:val="0"/>
          <w:sz w:val="24"/>
          <w:szCs w:val="24"/>
        </w:rPr>
      </w:pPr>
    </w:p>
    <w:p w:rsidR="188A98AD" w:rsidP="188A98AD" w:rsidRDefault="188A98AD" w14:paraId="753550B0" w14:textId="5AD5E0BC">
      <w:pPr>
        <w:pStyle w:val="Normal"/>
        <w:jc w:val="left"/>
        <w:rPr>
          <w:rFonts w:ascii="Arial Nova" w:hAnsi="Arial Nova" w:eastAsia="Arial Nova" w:cs="Arial Nova"/>
          <w:b w:val="0"/>
          <w:bCs w:val="0"/>
          <w:i w:val="0"/>
          <w:iCs w:val="0"/>
          <w:sz w:val="24"/>
          <w:szCs w:val="24"/>
        </w:rPr>
      </w:pPr>
    </w:p>
    <w:p w:rsidR="188A98AD" w:rsidP="188A98AD" w:rsidRDefault="188A98AD" w14:paraId="7247CE07" w14:textId="5847AE7A">
      <w:pPr>
        <w:pStyle w:val="Normal"/>
        <w:jc w:val="left"/>
        <w:rPr>
          <w:rFonts w:ascii="Arial Nova" w:hAnsi="Arial Nova" w:eastAsia="Arial Nova" w:cs="Arial Nova"/>
          <w:b w:val="0"/>
          <w:bCs w:val="0"/>
          <w:i w:val="0"/>
          <w:iCs w:val="0"/>
          <w:sz w:val="24"/>
          <w:szCs w:val="24"/>
        </w:rPr>
      </w:pPr>
    </w:p>
    <w:p w:rsidR="188A98AD" w:rsidP="188A98AD" w:rsidRDefault="188A98AD" w14:paraId="1FB1FEA3" w14:textId="436423A4">
      <w:pPr>
        <w:pStyle w:val="Normal"/>
        <w:jc w:val="left"/>
        <w:rPr>
          <w:rFonts w:ascii="Arial Nova" w:hAnsi="Arial Nova" w:eastAsia="Arial Nova" w:cs="Arial Nova"/>
          <w:b w:val="0"/>
          <w:bCs w:val="0"/>
          <w:i w:val="0"/>
          <w:iCs w:val="0"/>
          <w:sz w:val="24"/>
          <w:szCs w:val="24"/>
        </w:rPr>
      </w:pPr>
    </w:p>
    <w:p w:rsidR="188A98AD" w:rsidP="188A98AD" w:rsidRDefault="188A98AD" w14:paraId="443369EE" w14:textId="16B2B988">
      <w:pPr>
        <w:pStyle w:val="Normal"/>
        <w:jc w:val="left"/>
        <w:rPr>
          <w:rFonts w:ascii="Arial Nova" w:hAnsi="Arial Nova" w:eastAsia="Arial Nova" w:cs="Arial Nova"/>
          <w:b w:val="0"/>
          <w:bCs w:val="0"/>
          <w:i w:val="0"/>
          <w:iCs w:val="0"/>
          <w:sz w:val="24"/>
          <w:szCs w:val="24"/>
        </w:rPr>
      </w:pPr>
    </w:p>
    <w:p w:rsidR="188A98AD" w:rsidP="188A98AD" w:rsidRDefault="188A98AD" w14:paraId="01C541E3" w14:textId="2D150579">
      <w:pPr>
        <w:pStyle w:val="Normal"/>
        <w:bidi w:val="0"/>
        <w:spacing w:before="0" w:beforeAutospacing="off" w:after="160" w:afterAutospacing="off" w:line="259" w:lineRule="auto"/>
        <w:ind w:left="0" w:right="0"/>
        <w:jc w:val="left"/>
      </w:pPr>
      <w:r>
        <w:br/>
      </w:r>
      <w:r w:rsidRPr="188A98AD" w:rsidR="188A98AD">
        <w:rPr>
          <w:rFonts w:ascii="Arial Nova" w:hAnsi="Arial Nova" w:eastAsia="Arial Nova" w:cs="Arial Nova"/>
          <w:b w:val="1"/>
          <w:bCs w:val="1"/>
          <w:i w:val="0"/>
          <w:iCs w:val="0"/>
          <w:sz w:val="28"/>
          <w:szCs w:val="28"/>
        </w:rPr>
        <w:t>References</w:t>
      </w:r>
    </w:p>
    <w:p w:rsidR="188A98AD" w:rsidP="188A98AD" w:rsidRDefault="188A98AD" w14:paraId="382CF743" w14:textId="14B09D36">
      <w:pPr>
        <w:pStyle w:val="Normal"/>
        <w:jc w:val="left"/>
        <w:rPr>
          <w:rFonts w:ascii="Arial Nova" w:hAnsi="Arial Nova" w:eastAsia="Arial Nova" w:cs="Arial Nova"/>
          <w:b w:val="0"/>
          <w:bCs w:val="0"/>
          <w:i w:val="0"/>
          <w:iCs w:val="0"/>
          <w:sz w:val="24"/>
          <w:szCs w:val="24"/>
        </w:rPr>
      </w:pPr>
    </w:p>
    <w:p w:rsidR="188A98AD" w:rsidP="188A98AD" w:rsidRDefault="188A98AD" w14:paraId="2236D814" w14:textId="535C5BD4">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Acas (2022) </w:t>
      </w:r>
      <w:r w:rsidRPr="188A98AD" w:rsidR="188A98AD">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Mediation at work. </w:t>
      </w:r>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19ed027b7dec49bc">
        <w:r w:rsidRPr="188A98AD" w:rsidR="188A98AD">
          <w:rPr>
            <w:rStyle w:val="Hyperlink"/>
            <w:rFonts w:ascii="Arial Nova" w:hAnsi="Arial Nova" w:eastAsia="Arial Nova" w:cs="Arial Nova"/>
            <w:b w:val="0"/>
            <w:bCs w:val="0"/>
            <w:i w:val="0"/>
            <w:iCs w:val="0"/>
            <w:caps w:val="0"/>
            <w:smallCaps w:val="0"/>
            <w:strike w:val="0"/>
            <w:dstrike w:val="0"/>
            <w:noProof w:val="0"/>
            <w:sz w:val="24"/>
            <w:szCs w:val="24"/>
            <w:lang w:val="en-US"/>
          </w:rPr>
          <w:t>https://www.acas.org.uk/mediation</w:t>
        </w:r>
      </w:hyperlink>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25 May 2022).</w:t>
      </w:r>
      <w:r>
        <w:br/>
      </w:r>
      <w:r>
        <w:br/>
      </w:r>
      <w:r>
        <w:br/>
      </w:r>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Baumeister, R.F. and Vohs, K.D. (2007) </w:t>
      </w:r>
      <w:r w:rsidRPr="188A98AD" w:rsidR="188A98AD">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Encyclopedia of Social Psychology. </w:t>
      </w:r>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California: SAGE.</w:t>
      </w:r>
      <w:r>
        <w:br/>
      </w:r>
      <w:r>
        <w:br/>
      </w:r>
      <w:r>
        <w:br/>
      </w:r>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Cresswell, K.M., Bates, D.W. and Sheikh, A. (2013) ‘Ten key considerations for the successful implementation and adoption of large-scale health information technology’, </w:t>
      </w:r>
      <w:r w:rsidRPr="188A98AD" w:rsidR="188A98AD">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Journal of the Americal Medical Informatics Association, </w:t>
      </w:r>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20, pp.9-13. DOI: 10.1136/amiajnl-2013-001684</w:t>
      </w:r>
      <w:r>
        <w:br/>
      </w:r>
      <w:r>
        <w:br/>
      </w:r>
      <w:r>
        <w:br/>
      </w:r>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De Bono, E. (2009) </w:t>
      </w:r>
      <w:r w:rsidRPr="188A98AD" w:rsidR="188A98AD">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Six thinking hats. </w:t>
      </w:r>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London: Penguin.</w:t>
      </w:r>
    </w:p>
    <w:p w:rsidR="188A98AD" w:rsidP="188A98AD" w:rsidRDefault="188A98AD" w14:paraId="094299B3" w14:textId="4EB3971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br/>
      </w:r>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Filho, M.A.O. </w:t>
      </w:r>
      <w:r w:rsidRPr="188A98AD" w:rsidR="188A98AD">
        <w:rPr>
          <w:rFonts w:ascii="Arial Nova" w:hAnsi="Arial Nova" w:eastAsia="Arial Nova" w:cs="Arial Nova"/>
          <w:b w:val="0"/>
          <w:bCs w:val="0"/>
          <w:i w:val="1"/>
          <w:iCs w:val="1"/>
          <w:caps w:val="0"/>
          <w:smallCaps w:val="0"/>
          <w:noProof w:val="0"/>
          <w:color w:val="000000" w:themeColor="text1" w:themeTint="FF" w:themeShade="FF"/>
          <w:sz w:val="24"/>
          <w:szCs w:val="24"/>
          <w:lang w:val="en-US"/>
        </w:rPr>
        <w:t>et al.</w:t>
      </w:r>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(2014) ‘Comparison of human and electronic observation for the measurement of compliance with hand hygiene’, </w:t>
      </w:r>
      <w:r w:rsidRPr="188A98AD" w:rsidR="188A98AD">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American Journal of Infection Control, </w:t>
      </w:r>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42(11), pp. 1188-1192. DOI: 10.1016/j.ajic.2014.07.031</w:t>
      </w:r>
      <w:r>
        <w:br/>
      </w:r>
      <w:r>
        <w:br/>
      </w:r>
      <w:r>
        <w:br/>
      </w:r>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Huang, M.E. (2017) ‘IT is from Mars and physicians from Venus: Bridging the gap’, </w:t>
      </w:r>
      <w:r w:rsidRPr="188A98AD" w:rsidR="188A98AD">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PM&amp;R, </w:t>
      </w:r>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9(5), pp. S19-S25. DOI: 10.1016/j.pmrj.2017.02.011 </w:t>
      </w:r>
      <w:r>
        <w:br/>
      </w:r>
      <w:r>
        <w:br/>
      </w:r>
      <w:r>
        <w:br/>
      </w:r>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Ludwick, D.A. and Doucett, J. (2008) ‘Adopting electronic medical records in primary care: Lessons learned from health information systems implementation experience in seven countries’, </w:t>
      </w:r>
      <w:r w:rsidRPr="188A98AD" w:rsidR="188A98AD">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International journal of medical informatics, </w:t>
      </w:r>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78(1), pp. 22-31. DOI: 10.1016/j.ijmedinf.2008.06.005</w:t>
      </w:r>
      <w:r>
        <w:br/>
      </w:r>
      <w:r>
        <w:br/>
      </w:r>
      <w:r>
        <w:br/>
      </w:r>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McCarthy, M. (2022) </w:t>
      </w:r>
      <w:r w:rsidRPr="188A98AD" w:rsidR="188A98AD">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Digital strategy development for hand hygiene improvement. </w:t>
      </w:r>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Unpublished.</w:t>
      </w:r>
      <w:r>
        <w:br/>
      </w:r>
      <w:r>
        <w:br/>
      </w:r>
      <w:r>
        <w:br/>
      </w:r>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NHS Wales Health Collaborative (2022) </w:t>
      </w:r>
      <w:r w:rsidRPr="188A98AD" w:rsidR="188A98AD">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Networks. </w:t>
      </w:r>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870291e452684e2a">
        <w:r w:rsidRPr="188A98AD" w:rsidR="188A98AD">
          <w:rPr>
            <w:rStyle w:val="Hyperlink"/>
            <w:rFonts w:ascii="Arial Nova" w:hAnsi="Arial Nova" w:eastAsia="Arial Nova" w:cs="Arial Nova"/>
            <w:b w:val="0"/>
            <w:bCs w:val="0"/>
            <w:i w:val="0"/>
            <w:iCs w:val="0"/>
            <w:caps w:val="0"/>
            <w:smallCaps w:val="0"/>
            <w:strike w:val="0"/>
            <w:dstrike w:val="0"/>
            <w:noProof w:val="0"/>
            <w:sz w:val="24"/>
            <w:szCs w:val="24"/>
            <w:lang w:val="en-US"/>
          </w:rPr>
          <w:t>https://collaborative.nhs.wales/networks/</w:t>
        </w:r>
      </w:hyperlink>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23 May 2022).</w:t>
      </w:r>
      <w:r>
        <w:br/>
      </w:r>
      <w:r>
        <w:br/>
      </w:r>
      <w:r>
        <w:br/>
      </w:r>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Health Foundation (2021) </w:t>
      </w:r>
      <w:r w:rsidRPr="188A98AD" w:rsidR="188A98AD">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Quality improvement made simple. </w:t>
      </w:r>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6bf1d9222dab476b">
        <w:r w:rsidRPr="188A98AD" w:rsidR="188A98AD">
          <w:rPr>
            <w:rStyle w:val="Hyperlink"/>
            <w:rFonts w:ascii="Arial Nova" w:hAnsi="Arial Nova" w:eastAsia="Arial Nova" w:cs="Arial Nova"/>
            <w:b w:val="0"/>
            <w:bCs w:val="0"/>
            <w:i w:val="0"/>
            <w:iCs w:val="0"/>
            <w:caps w:val="0"/>
            <w:smallCaps w:val="0"/>
            <w:strike w:val="0"/>
            <w:dstrike w:val="0"/>
            <w:noProof w:val="0"/>
            <w:sz w:val="24"/>
            <w:szCs w:val="24"/>
            <w:lang w:val="en-US"/>
          </w:rPr>
          <w:t>https://www.health.org.uk/publications/quality-improvement-made-simple</w:t>
        </w:r>
      </w:hyperlink>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18 April 2022).</w:t>
      </w:r>
      <w:r>
        <w:br/>
      </w:r>
      <w:r>
        <w:br/>
      </w:r>
      <w:r>
        <w:br/>
      </w:r>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World Health Organization (2009) </w:t>
      </w:r>
      <w:r w:rsidRPr="188A98AD" w:rsidR="188A98AD">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Guide to implementation. </w:t>
      </w:r>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e3a7a0e6aab04c43">
        <w:r w:rsidRPr="188A98AD" w:rsidR="188A98AD">
          <w:rPr>
            <w:rStyle w:val="Hyperlink"/>
            <w:rFonts w:ascii="Arial Nova" w:hAnsi="Arial Nova" w:eastAsia="Arial Nova" w:cs="Arial Nova"/>
            <w:b w:val="0"/>
            <w:bCs w:val="0"/>
            <w:i w:val="0"/>
            <w:iCs w:val="0"/>
            <w:caps w:val="0"/>
            <w:smallCaps w:val="0"/>
            <w:strike w:val="0"/>
            <w:dstrike w:val="0"/>
            <w:noProof w:val="0"/>
            <w:sz w:val="24"/>
            <w:szCs w:val="24"/>
            <w:lang w:val="en-US"/>
          </w:rPr>
          <w:t>https://apps.who.int/iris/handle/10665/70030</w:t>
        </w:r>
      </w:hyperlink>
      <w:r w:rsidRPr="188A98AD" w:rsidR="188A98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23 May 2022).</w:t>
      </w:r>
    </w:p>
    <w:p w:rsidR="188A98AD" w:rsidP="188A98AD" w:rsidRDefault="188A98AD" w14:paraId="15424737" w14:textId="19DC72D5">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88A98AD" w:rsidP="188A98AD" w:rsidRDefault="188A98AD" w14:paraId="0BB73737" w14:textId="1C8F66E4">
      <w:pPr>
        <w:pStyle w:val="Normal"/>
        <w:jc w:val="left"/>
        <w:rPr>
          <w:rFonts w:ascii="Arial Nova" w:hAnsi="Arial Nova" w:eastAsia="Arial Nova" w:cs="Arial Nova"/>
          <w:b w:val="0"/>
          <w:bCs w:val="0"/>
          <w:i w:val="0"/>
          <w:i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97A548"/>
    <w:rsid w:val="0029851C"/>
    <w:rsid w:val="01C5557D"/>
    <w:rsid w:val="01C5557D"/>
    <w:rsid w:val="0229AF82"/>
    <w:rsid w:val="0229AF82"/>
    <w:rsid w:val="029B668A"/>
    <w:rsid w:val="03EC5647"/>
    <w:rsid w:val="04F5EF8C"/>
    <w:rsid w:val="05D31AD3"/>
    <w:rsid w:val="0723F709"/>
    <w:rsid w:val="0723F709"/>
    <w:rsid w:val="076ED7AD"/>
    <w:rsid w:val="082D904E"/>
    <w:rsid w:val="0878B90F"/>
    <w:rsid w:val="090AA80E"/>
    <w:rsid w:val="0A148970"/>
    <w:rsid w:val="0A8579B2"/>
    <w:rsid w:val="0BD29D4D"/>
    <w:rsid w:val="0C36C672"/>
    <w:rsid w:val="0C3D98A3"/>
    <w:rsid w:val="0C3DB549"/>
    <w:rsid w:val="0C3DB549"/>
    <w:rsid w:val="0DD43F00"/>
    <w:rsid w:val="0DD96904"/>
    <w:rsid w:val="0DDE1931"/>
    <w:rsid w:val="0F2F08EE"/>
    <w:rsid w:val="10B5C32C"/>
    <w:rsid w:val="10CAD94F"/>
    <w:rsid w:val="1115B9F3"/>
    <w:rsid w:val="11E87B85"/>
    <w:rsid w:val="12967FE4"/>
    <w:rsid w:val="1298757E"/>
    <w:rsid w:val="13A9FE0E"/>
    <w:rsid w:val="14325045"/>
    <w:rsid w:val="143445DF"/>
    <w:rsid w:val="143445DF"/>
    <w:rsid w:val="15B1891A"/>
    <w:rsid w:val="15B1891A"/>
    <w:rsid w:val="15C62888"/>
    <w:rsid w:val="15C62888"/>
    <w:rsid w:val="15D01640"/>
    <w:rsid w:val="174D597B"/>
    <w:rsid w:val="176F2D19"/>
    <w:rsid w:val="188A98AD"/>
    <w:rsid w:val="1897F7F8"/>
    <w:rsid w:val="190AFD7A"/>
    <w:rsid w:val="190AFD7A"/>
    <w:rsid w:val="1970D005"/>
    <w:rsid w:val="1A33C859"/>
    <w:rsid w:val="1ABFD992"/>
    <w:rsid w:val="1B0CA066"/>
    <w:rsid w:val="1CA870C7"/>
    <w:rsid w:val="1CA870C7"/>
    <w:rsid w:val="1D6D80E3"/>
    <w:rsid w:val="1DD81643"/>
    <w:rsid w:val="1DD81643"/>
    <w:rsid w:val="1DF8C684"/>
    <w:rsid w:val="1E444128"/>
    <w:rsid w:val="1E83F6ED"/>
    <w:rsid w:val="1F6D0ACE"/>
    <w:rsid w:val="1F73E6A4"/>
    <w:rsid w:val="1F934AB5"/>
    <w:rsid w:val="1F934AB5"/>
    <w:rsid w:val="1FF27B50"/>
    <w:rsid w:val="2108DB2F"/>
    <w:rsid w:val="21BB97AF"/>
    <w:rsid w:val="2284BB00"/>
    <w:rsid w:val="2284BB00"/>
    <w:rsid w:val="238B4B66"/>
    <w:rsid w:val="24407BF1"/>
    <w:rsid w:val="250EE847"/>
    <w:rsid w:val="26C41B18"/>
    <w:rsid w:val="271C50AF"/>
    <w:rsid w:val="28B82110"/>
    <w:rsid w:val="28B82110"/>
    <w:rsid w:val="29FBBBDA"/>
    <w:rsid w:val="2A36A5C7"/>
    <w:rsid w:val="2A447A5E"/>
    <w:rsid w:val="2A53F171"/>
    <w:rsid w:val="2B8C5BDC"/>
    <w:rsid w:val="2B8C5BDC"/>
    <w:rsid w:val="2C97A548"/>
    <w:rsid w:val="2CFE4A56"/>
    <w:rsid w:val="2CFE4A56"/>
    <w:rsid w:val="2D953B28"/>
    <w:rsid w:val="2DD86117"/>
    <w:rsid w:val="2F743178"/>
    <w:rsid w:val="3046A4A2"/>
    <w:rsid w:val="3046A4A2"/>
    <w:rsid w:val="305DC92E"/>
    <w:rsid w:val="30840915"/>
    <w:rsid w:val="311001D9"/>
    <w:rsid w:val="321FD976"/>
    <w:rsid w:val="321FD976"/>
    <w:rsid w:val="3241B7AC"/>
    <w:rsid w:val="327E7011"/>
    <w:rsid w:val="32D63552"/>
    <w:rsid w:val="3380CA82"/>
    <w:rsid w:val="35577A38"/>
    <w:rsid w:val="36F34A99"/>
    <w:rsid w:val="38760F43"/>
    <w:rsid w:val="38760F43"/>
    <w:rsid w:val="387DFCC9"/>
    <w:rsid w:val="39E4BAE4"/>
    <w:rsid w:val="3AE14737"/>
    <w:rsid w:val="3AF86E67"/>
    <w:rsid w:val="3BC6D862"/>
    <w:rsid w:val="3BDE8CF0"/>
    <w:rsid w:val="3BF08778"/>
    <w:rsid w:val="3BF08778"/>
    <w:rsid w:val="3C7D1798"/>
    <w:rsid w:val="3C8A248A"/>
    <w:rsid w:val="3D62A8C3"/>
    <w:rsid w:val="3EFE7924"/>
    <w:rsid w:val="4053FC68"/>
    <w:rsid w:val="40890EAE"/>
    <w:rsid w:val="40890EAE"/>
    <w:rsid w:val="4167AFEB"/>
    <w:rsid w:val="41C2560A"/>
    <w:rsid w:val="421CF189"/>
    <w:rsid w:val="4224DF0F"/>
    <w:rsid w:val="435E266B"/>
    <w:rsid w:val="44CE466D"/>
    <w:rsid w:val="44E76ECA"/>
    <w:rsid w:val="46876278"/>
    <w:rsid w:val="46B831E7"/>
    <w:rsid w:val="47EAE435"/>
    <w:rsid w:val="482332D9"/>
    <w:rsid w:val="482332D9"/>
    <w:rsid w:val="48789BEB"/>
    <w:rsid w:val="48789BEB"/>
    <w:rsid w:val="48942093"/>
    <w:rsid w:val="497FF600"/>
    <w:rsid w:val="49A1B790"/>
    <w:rsid w:val="49BF033A"/>
    <w:rsid w:val="4A4A48DB"/>
    <w:rsid w:val="4B07318B"/>
    <w:rsid w:val="4B07318B"/>
    <w:rsid w:val="4BBE8D25"/>
    <w:rsid w:val="4BCBC155"/>
    <w:rsid w:val="4CD95852"/>
    <w:rsid w:val="4CD95852"/>
    <w:rsid w:val="5144BAC8"/>
    <w:rsid w:val="524E540D"/>
    <w:rsid w:val="53EA246E"/>
    <w:rsid w:val="54E46A37"/>
    <w:rsid w:val="556830F7"/>
    <w:rsid w:val="564550AB"/>
    <w:rsid w:val="564D3E31"/>
    <w:rsid w:val="56803A98"/>
    <w:rsid w:val="5688281E"/>
    <w:rsid w:val="577820D8"/>
    <w:rsid w:val="57E1210C"/>
    <w:rsid w:val="57E1210C"/>
    <w:rsid w:val="597CF16D"/>
    <w:rsid w:val="5BFD23D9"/>
    <w:rsid w:val="5BFF5091"/>
    <w:rsid w:val="5BFF5091"/>
    <w:rsid w:val="5C89F4E8"/>
    <w:rsid w:val="5CB925B6"/>
    <w:rsid w:val="5D225240"/>
    <w:rsid w:val="5D225240"/>
    <w:rsid w:val="5D956A0E"/>
    <w:rsid w:val="5E54F617"/>
    <w:rsid w:val="5E54F617"/>
    <w:rsid w:val="5F34C49B"/>
    <w:rsid w:val="5F34C49B"/>
    <w:rsid w:val="5F5ED779"/>
    <w:rsid w:val="5F5ED779"/>
    <w:rsid w:val="5FA744F1"/>
    <w:rsid w:val="5FCFC7BB"/>
    <w:rsid w:val="5FD24CD9"/>
    <w:rsid w:val="60DCB067"/>
    <w:rsid w:val="60DCB067"/>
    <w:rsid w:val="616B981C"/>
    <w:rsid w:val="625F586B"/>
    <w:rsid w:val="626C655D"/>
    <w:rsid w:val="6307687D"/>
    <w:rsid w:val="632BC139"/>
    <w:rsid w:val="6366AB26"/>
    <w:rsid w:val="64CC2521"/>
    <w:rsid w:val="64F2313C"/>
    <w:rsid w:val="64F2313C"/>
    <w:rsid w:val="6617AED1"/>
    <w:rsid w:val="6667F582"/>
    <w:rsid w:val="6667F582"/>
    <w:rsid w:val="669E4BE8"/>
    <w:rsid w:val="6732C98E"/>
    <w:rsid w:val="67FF325C"/>
    <w:rsid w:val="6803C5E3"/>
    <w:rsid w:val="680A599C"/>
    <w:rsid w:val="683A1C49"/>
    <w:rsid w:val="683A1C49"/>
    <w:rsid w:val="688C72C3"/>
    <w:rsid w:val="68D89E02"/>
    <w:rsid w:val="68D89E02"/>
    <w:rsid w:val="698DCE8D"/>
    <w:rsid w:val="698DCE8D"/>
    <w:rsid w:val="69BA20C7"/>
    <w:rsid w:val="6AC9AF9D"/>
    <w:rsid w:val="6B3B66A5"/>
    <w:rsid w:val="6C1347A3"/>
    <w:rsid w:val="6C1347A3"/>
    <w:rsid w:val="6CD73706"/>
    <w:rsid w:val="6CD73706"/>
    <w:rsid w:val="6CF9FDA4"/>
    <w:rsid w:val="6CF9FDA4"/>
    <w:rsid w:val="6D0D8D6C"/>
    <w:rsid w:val="6E77B82E"/>
    <w:rsid w:val="6E77B82E"/>
    <w:rsid w:val="6EA95DCD"/>
    <w:rsid w:val="6EA95DCD"/>
    <w:rsid w:val="6F2FAC06"/>
    <w:rsid w:val="70452E2E"/>
    <w:rsid w:val="71A614A2"/>
    <w:rsid w:val="725EDB9A"/>
    <w:rsid w:val="72D8E4CF"/>
    <w:rsid w:val="73925888"/>
    <w:rsid w:val="73FAABFB"/>
    <w:rsid w:val="75A9739D"/>
    <w:rsid w:val="75B84FFA"/>
    <w:rsid w:val="7694C47F"/>
    <w:rsid w:val="7758B3E2"/>
    <w:rsid w:val="77AA3E2A"/>
    <w:rsid w:val="77AA3E2A"/>
    <w:rsid w:val="78BD65EF"/>
    <w:rsid w:val="78BD65EF"/>
    <w:rsid w:val="793D62AB"/>
    <w:rsid w:val="793D62AB"/>
    <w:rsid w:val="7A29559D"/>
    <w:rsid w:val="7A29559D"/>
    <w:rsid w:val="7A7D1791"/>
    <w:rsid w:val="7A88671E"/>
    <w:rsid w:val="7A9054A4"/>
    <w:rsid w:val="7B74510D"/>
    <w:rsid w:val="7BF506B1"/>
    <w:rsid w:val="7C092D0F"/>
    <w:rsid w:val="7C092D0F"/>
    <w:rsid w:val="7C2C2505"/>
    <w:rsid w:val="7C4D6561"/>
    <w:rsid w:val="7CEA5C75"/>
    <w:rsid w:val="7DF2F806"/>
    <w:rsid w:val="7DF2F806"/>
    <w:rsid w:val="7E92C972"/>
    <w:rsid w:val="7E92C9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7A548"/>
  <w15:chartTrackingRefBased/>
  <w15:docId w15:val="{E44C8F90-4079-41CD-AA9B-57D693F9F0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cas.org.uk/mediation" TargetMode="External" Id="R19ed027b7dec49bc" /><Relationship Type="http://schemas.openxmlformats.org/officeDocument/2006/relationships/hyperlink" Target="https://collaborative.nhs.wales/networks/" TargetMode="External" Id="R870291e452684e2a" /><Relationship Type="http://schemas.openxmlformats.org/officeDocument/2006/relationships/hyperlink" Target="https://www.health.org.uk/publications/quality-improvement-made-simple" TargetMode="External" Id="R6bf1d9222dab476b" /><Relationship Type="http://schemas.openxmlformats.org/officeDocument/2006/relationships/hyperlink" Target="https://apps.who.int/iris/handle/10665/70030" TargetMode="External" Id="Re3a7a0e6aab04c4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 Mccarthy (2112755)</dc:creator>
  <keywords/>
  <dc:description/>
  <lastModifiedBy>Matt Mccarthy (2112755)</lastModifiedBy>
  <revision>3</revision>
  <dcterms:created xsi:type="dcterms:W3CDTF">2022-05-22T17:56:56.7986564Z</dcterms:created>
  <dcterms:modified xsi:type="dcterms:W3CDTF">2022-06-05T18:46:27.1915172Z</dcterms:modified>
</coreProperties>
</file>